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B3E5" w14:textId="77777777" w:rsidR="00FE79FE" w:rsidRDefault="00FE79FE"/>
    <w:p w14:paraId="0B3D012E" w14:textId="77777777" w:rsidR="00013002" w:rsidRDefault="00013002" w:rsidP="00DE5556">
      <w:pPr>
        <w:tabs>
          <w:tab w:val="clear" w:pos="794"/>
          <w:tab w:val="clear" w:pos="1191"/>
          <w:tab w:val="clear" w:pos="1588"/>
          <w:tab w:val="clear" w:pos="1985"/>
        </w:tabs>
      </w:pPr>
    </w:p>
    <w:p w14:paraId="3E6302E6" w14:textId="024851F2" w:rsidR="00D5024B" w:rsidRPr="00710A2A" w:rsidRDefault="00D5024B" w:rsidP="00D5024B">
      <w:pPr>
        <w:pStyle w:val="CoverNumber"/>
        <w:rPr>
          <w:lang w:val="fr-FR"/>
        </w:rPr>
      </w:pPr>
      <w:r w:rsidRPr="00710A2A">
        <w:rPr>
          <w:lang w:val="fr-FR"/>
        </w:rPr>
        <w:t>Recomm</w:t>
      </w:r>
      <w:r w:rsidR="00A25EE2" w:rsidRPr="00710A2A">
        <w:rPr>
          <w:lang w:val="fr-FR"/>
        </w:rPr>
        <w:t>a</w:t>
      </w:r>
      <w:r w:rsidRPr="00710A2A">
        <w:rPr>
          <w:lang w:val="fr-FR"/>
        </w:rPr>
        <w:t xml:space="preserve">ndation </w:t>
      </w:r>
      <w:r w:rsidR="007624B1" w:rsidRPr="00710A2A">
        <w:rPr>
          <w:lang w:val="fr-FR"/>
        </w:rPr>
        <w:t>U</w:t>
      </w:r>
      <w:r w:rsidRPr="00710A2A">
        <w:rPr>
          <w:lang w:val="fr-FR"/>
        </w:rPr>
        <w:t xml:space="preserve">IT-R </w:t>
      </w:r>
      <w:r w:rsidR="00BC3C85">
        <w:rPr>
          <w:lang w:val="fr-FR"/>
        </w:rPr>
        <w:t>M</w:t>
      </w:r>
      <w:r w:rsidRPr="00710A2A">
        <w:rPr>
          <w:lang w:val="fr-FR"/>
        </w:rPr>
        <w:t>.</w:t>
      </w:r>
      <w:r w:rsidR="001D43CF">
        <w:t>633-5</w:t>
      </w:r>
    </w:p>
    <w:p w14:paraId="777317F1" w14:textId="44EDA217" w:rsidR="00D5024B" w:rsidRPr="004F3F6F" w:rsidRDefault="00D5024B" w:rsidP="00D5024B">
      <w:pPr>
        <w:pStyle w:val="CoverDate"/>
        <w:rPr>
          <w:lang w:val="fr-FR"/>
        </w:rPr>
      </w:pPr>
      <w:r w:rsidRPr="004F3F6F">
        <w:rPr>
          <w:lang w:val="fr-FR"/>
        </w:rPr>
        <w:t>(</w:t>
      </w:r>
      <w:r w:rsidR="001D43CF">
        <w:t>11</w:t>
      </w:r>
      <w:r w:rsidR="001D43CF" w:rsidRPr="004A6FEB">
        <w:t>/</w:t>
      </w:r>
      <w:r w:rsidR="001D43CF">
        <w:t>2023</w:t>
      </w:r>
      <w:r w:rsidRPr="004F3F6F">
        <w:rPr>
          <w:lang w:val="fr-FR"/>
        </w:rPr>
        <w:t>)</w:t>
      </w:r>
    </w:p>
    <w:p w14:paraId="156A6DBE" w14:textId="77777777" w:rsidR="00D5024B" w:rsidRPr="00BC3C85" w:rsidRDefault="00A25EE2" w:rsidP="00BC3C85">
      <w:pPr>
        <w:pStyle w:val="CoverSeries"/>
      </w:pPr>
      <w:r w:rsidRPr="00BC3C85">
        <w:t xml:space="preserve">Série </w:t>
      </w:r>
      <w:r w:rsidR="00BC3C85" w:rsidRPr="00BC3C85">
        <w:t>M</w:t>
      </w:r>
      <w:r w:rsidR="00D5024B" w:rsidRPr="00BC3C85">
        <w:t xml:space="preserve">: </w:t>
      </w:r>
      <w:r w:rsidR="00BC3C85" w:rsidRPr="00BC3C85">
        <w:t>Services mobile, de radiorepérage et d’amateur y compris les services par satellite associés</w:t>
      </w:r>
    </w:p>
    <w:p w14:paraId="2F00C8CC" w14:textId="0199AECB" w:rsidR="00D5024B" w:rsidRPr="004F3F6F" w:rsidRDefault="001D43CF" w:rsidP="00D5024B">
      <w:pPr>
        <w:pStyle w:val="CoverTitle"/>
        <w:rPr>
          <w:lang w:val="fr-FR"/>
        </w:rPr>
      </w:pPr>
      <w:r w:rsidRPr="00B13715">
        <w:rPr>
          <w:lang w:val="fr-FR"/>
        </w:rPr>
        <w:t>Caractéristiques de transmission d'un système de radiobalises de localisation des sinistres par satellite (RLS par satellite) fonctionnant par l'intermédiaire d'un système à satellites dans la bande</w:t>
      </w:r>
      <w:r>
        <w:rPr>
          <w:lang w:val="fr-FR"/>
        </w:rPr>
        <w:t xml:space="preserve"> </w:t>
      </w:r>
      <w:r w:rsidRPr="00B13715">
        <w:rPr>
          <w:lang w:val="fr-FR"/>
        </w:rPr>
        <w:t>de fréquences 406,0</w:t>
      </w:r>
      <w:r w:rsidRPr="00B13715">
        <w:rPr>
          <w:lang w:val="fr-FR"/>
        </w:rPr>
        <w:noBreakHyphen/>
        <w:t>406,1 MHz</w:t>
      </w:r>
    </w:p>
    <w:p w14:paraId="1DD95191" w14:textId="77777777" w:rsidR="00A71FE5" w:rsidRPr="005373E0" w:rsidRDefault="00A71FE5" w:rsidP="005373E0"/>
    <w:p w14:paraId="351AE006" w14:textId="77777777" w:rsidR="00EE47C4" w:rsidRPr="005373E0" w:rsidRDefault="00EE47C4" w:rsidP="005373E0">
      <w:p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6311106F" w14:textId="77777777" w:rsidR="00A25EE2" w:rsidRPr="00F54FBD" w:rsidRDefault="00A25EE2" w:rsidP="00A25EE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rPr>
      </w:pPr>
      <w:bookmarkStart w:id="0" w:name="c2tope"/>
      <w:bookmarkEnd w:id="0"/>
      <w:r w:rsidRPr="00F54FBD">
        <w:rPr>
          <w:bCs/>
          <w:sz w:val="24"/>
          <w:szCs w:val="24"/>
        </w:rPr>
        <w:lastRenderedPageBreak/>
        <w:t>Avant-propos</w:t>
      </w:r>
    </w:p>
    <w:p w14:paraId="20B04C64" w14:textId="77777777" w:rsidR="00A25EE2" w:rsidRPr="00F54FBD" w:rsidRDefault="00A25EE2" w:rsidP="00A25EE2">
      <w:pPr>
        <w:spacing w:before="240"/>
        <w:rPr>
          <w:sz w:val="20"/>
        </w:rPr>
      </w:pPr>
      <w:r w:rsidRPr="00F54FBD">
        <w:rPr>
          <w:sz w:val="20"/>
        </w:rPr>
        <w:t xml:space="preserve">Le rôle du Secteur des radiocommunications est d’assurer l’utilisation rationnelle, </w:t>
      </w:r>
      <w:r>
        <w:rPr>
          <w:sz w:val="20"/>
        </w:rPr>
        <w:t>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266F588B" w14:textId="77777777" w:rsidR="00A25EE2" w:rsidRPr="00F54FBD" w:rsidRDefault="00A25EE2" w:rsidP="00A25EE2">
      <w:pPr>
        <w:rPr>
          <w:sz w:val="20"/>
        </w:rPr>
      </w:pPr>
      <w:r w:rsidRPr="00F54FBD">
        <w:rPr>
          <w:sz w:val="20"/>
        </w:rPr>
        <w:t xml:space="preserve">Les </w:t>
      </w:r>
      <w:r>
        <w:rPr>
          <w:sz w:val="20"/>
        </w:rPr>
        <w:t>fo</w:t>
      </w:r>
      <w:r w:rsidRPr="00F54FBD">
        <w:rPr>
          <w:sz w:val="20"/>
        </w:rPr>
        <w:t>nctions réglementaires et politiques du Secteur des ra</w:t>
      </w:r>
      <w:r>
        <w:rPr>
          <w:sz w:val="20"/>
        </w:rPr>
        <w:t>diocommunications sont remplies par les Conférences mondiales et régionales des radiocommunications et par les Assemblées des radiocommunications assistées par les Commissions d’études.</w:t>
      </w:r>
    </w:p>
    <w:p w14:paraId="18A49986" w14:textId="77777777" w:rsidR="00A25EE2" w:rsidRPr="00E44CBB" w:rsidRDefault="00A25EE2" w:rsidP="00A25EE2">
      <w:pPr>
        <w:pStyle w:val="Heading1"/>
        <w:spacing w:before="360"/>
        <w:jc w:val="center"/>
        <w:rPr>
          <w:szCs w:val="24"/>
        </w:rPr>
      </w:pPr>
      <w:r w:rsidRPr="003F6436">
        <w:rPr>
          <w:szCs w:val="24"/>
        </w:rPr>
        <w:t>Politique en matière de droits de propriété intellectuelle</w:t>
      </w:r>
      <w:r w:rsidRPr="00E44CBB">
        <w:rPr>
          <w:szCs w:val="24"/>
        </w:rPr>
        <w:t xml:space="preserve"> (IPR)</w:t>
      </w:r>
    </w:p>
    <w:p w14:paraId="7DA27906" w14:textId="77777777" w:rsidR="00A25EE2" w:rsidRPr="00E44CBB" w:rsidRDefault="00A25EE2" w:rsidP="00A25EE2">
      <w:pPr>
        <w:spacing w:before="240"/>
        <w:rPr>
          <w:sz w:val="20"/>
          <w:lang w:val="fr-CH"/>
        </w:rPr>
      </w:pPr>
      <w:r w:rsidRPr="00E44CBB">
        <w:rPr>
          <w:sz w:val="20"/>
        </w:rPr>
        <w:t>La politique de l'UIT</w:t>
      </w:r>
      <w:r w:rsidRPr="00E44CBB">
        <w:rPr>
          <w:sz w:val="20"/>
        </w:rPr>
        <w:noBreakHyphen/>
        <w:t xml:space="preserve">R en matière de droits de propriété intellectuelle est décrite dans la </w:t>
      </w:r>
      <w:r w:rsidRPr="00E44CBB">
        <w:rPr>
          <w:sz w:val="20"/>
          <w:lang w:val="fr-CH"/>
        </w:rPr>
        <w:t>«Politique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E44CBB">
        <w:rPr>
          <w:sz w:val="20"/>
        </w:rPr>
        <w:t xml:space="preserve">Les formulaires que les titulaires de brevets doivent utiliser pour soumettre les déclarations de brevet et d'octroi de licence sont accessibles à l'adresse </w:t>
      </w:r>
      <w:hyperlink r:id="rId11" w:history="1">
        <w:r w:rsidRPr="00E44CBB">
          <w:rPr>
            <w:rStyle w:val="Hyperlink"/>
            <w:sz w:val="20"/>
          </w:rPr>
          <w:t>http://www.itu.int/ITU-R/go/patents/fr</w:t>
        </w:r>
      </w:hyperlink>
      <w:r w:rsidRPr="00E44CBB">
        <w:rPr>
          <w:sz w:val="20"/>
        </w:rPr>
        <w:t>, où l'on trouvera également les Lignes directrices pour la mise en oeuvre de la politique commune en matière de brevets de l'UIT</w:t>
      </w:r>
      <w:r w:rsidRPr="00E44CBB">
        <w:rPr>
          <w:sz w:val="20"/>
        </w:rPr>
        <w:noBreakHyphen/>
        <w:t>T, l'UIT</w:t>
      </w:r>
      <w:r w:rsidRPr="00E44CBB">
        <w:rPr>
          <w:sz w:val="20"/>
        </w:rPr>
        <w:noBreakHyphen/>
        <w:t>R, l'ISO et la CEI</w:t>
      </w:r>
      <w:r w:rsidRPr="00E44CBB" w:rsidDel="0061025C">
        <w:rPr>
          <w:sz w:val="20"/>
        </w:rPr>
        <w:t xml:space="preserve"> </w:t>
      </w:r>
      <w:r w:rsidRPr="00E44CBB">
        <w:rPr>
          <w:sz w:val="20"/>
        </w:rPr>
        <w:t>et la base de données en matière de brevets de l'UIT-R.</w:t>
      </w:r>
    </w:p>
    <w:p w14:paraId="5D09E918" w14:textId="77777777" w:rsidR="00A25EE2" w:rsidRPr="0086089D" w:rsidRDefault="00A25EE2" w:rsidP="00A25EE2">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A25EE2" w:rsidRPr="009454F8" w14:paraId="7CA33D66" w14:textId="77777777" w:rsidTr="00A25EE2">
        <w:tc>
          <w:tcPr>
            <w:tcW w:w="9360" w:type="dxa"/>
            <w:gridSpan w:val="2"/>
          </w:tcPr>
          <w:p w14:paraId="604018C1" w14:textId="77777777" w:rsidR="00A25EE2" w:rsidRPr="009454F8" w:rsidRDefault="00A25EE2" w:rsidP="000B4BD9">
            <w:pPr>
              <w:pStyle w:val="Chaptitle"/>
              <w:keepLines w:val="0"/>
              <w:tabs>
                <w:tab w:val="clear" w:pos="794"/>
                <w:tab w:val="clear" w:pos="1191"/>
                <w:tab w:val="clear" w:pos="1588"/>
                <w:tab w:val="clear" w:pos="1985"/>
              </w:tabs>
              <w:overflowPunct/>
              <w:spacing w:before="140"/>
              <w:textAlignment w:val="auto"/>
              <w:rPr>
                <w:sz w:val="22"/>
                <w:szCs w:val="22"/>
              </w:rPr>
            </w:pPr>
            <w:r w:rsidRPr="009454F8">
              <w:rPr>
                <w:sz w:val="22"/>
                <w:szCs w:val="22"/>
              </w:rPr>
              <w:t>Séries des Recommandations UIT-R</w:t>
            </w:r>
            <w:r>
              <w:rPr>
                <w:sz w:val="22"/>
                <w:szCs w:val="22"/>
              </w:rPr>
              <w:t xml:space="preserve"> </w:t>
            </w:r>
          </w:p>
          <w:p w14:paraId="1602988E" w14:textId="77777777" w:rsidR="00A25EE2" w:rsidRPr="009454F8"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BC0651">
              <w:rPr>
                <w:b w:val="0"/>
                <w:sz w:val="18"/>
                <w:szCs w:val="18"/>
              </w:rPr>
              <w:t>(</w:t>
            </w:r>
            <w:r w:rsidRPr="009454F8">
              <w:rPr>
                <w:b w:val="0"/>
                <w:sz w:val="18"/>
                <w:szCs w:val="18"/>
              </w:rPr>
              <w:t xml:space="preserve">Egalement disponible en ligne: </w:t>
            </w:r>
            <w:hyperlink r:id="rId12" w:history="1">
              <w:r>
                <w:rPr>
                  <w:rStyle w:val="Hyperlink"/>
                  <w:b w:val="0"/>
                  <w:bCs/>
                  <w:sz w:val="18"/>
                  <w:szCs w:val="18"/>
                </w:rPr>
                <w:t>https://www.itu.int/publ/R-REC/fr</w:t>
              </w:r>
            </w:hyperlink>
            <w:r w:rsidRPr="00BC0651">
              <w:rPr>
                <w:b w:val="0"/>
                <w:bCs/>
                <w:sz w:val="18"/>
                <w:szCs w:val="18"/>
              </w:rPr>
              <w:t>)</w:t>
            </w:r>
          </w:p>
        </w:tc>
      </w:tr>
      <w:tr w:rsidR="00A25EE2" w:rsidRPr="00036EE3" w14:paraId="6294F6E5" w14:textId="77777777" w:rsidTr="00A25EE2">
        <w:tc>
          <w:tcPr>
            <w:tcW w:w="1140" w:type="dxa"/>
            <w:tcBorders>
              <w:bottom w:val="nil"/>
            </w:tcBorders>
          </w:tcPr>
          <w:p w14:paraId="1D776CA4" w14:textId="77777777" w:rsidR="00A25EE2" w:rsidRPr="00614CC6" w:rsidRDefault="00A25EE2" w:rsidP="000B4BD9">
            <w:pPr>
              <w:spacing w:before="90" w:after="100"/>
              <w:ind w:left="57"/>
              <w:rPr>
                <w:b/>
                <w:bCs/>
                <w:sz w:val="20"/>
                <w:lang w:val="en-US"/>
              </w:rPr>
            </w:pPr>
            <w:r w:rsidRPr="00614CC6">
              <w:rPr>
                <w:b/>
                <w:bCs/>
                <w:sz w:val="20"/>
                <w:lang w:val="en-US"/>
              </w:rPr>
              <w:t>Séries</w:t>
            </w:r>
          </w:p>
        </w:tc>
        <w:tc>
          <w:tcPr>
            <w:tcW w:w="8220" w:type="dxa"/>
            <w:tcBorders>
              <w:bottom w:val="nil"/>
            </w:tcBorders>
          </w:tcPr>
          <w:p w14:paraId="098F895A" w14:textId="77777777" w:rsidR="00A25EE2" w:rsidRPr="00614CC6"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r w:rsidRPr="00614CC6">
              <w:rPr>
                <w:bCs/>
                <w:sz w:val="20"/>
                <w:lang w:val="en-US"/>
              </w:rPr>
              <w:t>Titre</w:t>
            </w:r>
          </w:p>
        </w:tc>
      </w:tr>
      <w:tr w:rsidR="00A25EE2" w:rsidRPr="005E427C" w14:paraId="11BF9A20" w14:textId="77777777" w:rsidTr="00A25EE2">
        <w:tc>
          <w:tcPr>
            <w:tcW w:w="1140" w:type="dxa"/>
            <w:tcBorders>
              <w:top w:val="nil"/>
              <w:bottom w:val="nil"/>
            </w:tcBorders>
            <w:shd w:val="clear" w:color="auto" w:fill="auto"/>
          </w:tcPr>
          <w:p w14:paraId="07D087AF" w14:textId="77777777" w:rsidR="00A25EE2" w:rsidRPr="008E50E5" w:rsidRDefault="00A25EE2" w:rsidP="000B4BD9">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65F20BE7"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A25EE2" w:rsidRPr="009454F8" w14:paraId="524BFD2B" w14:textId="77777777" w:rsidTr="00A25EE2">
        <w:tc>
          <w:tcPr>
            <w:tcW w:w="1140" w:type="dxa"/>
            <w:tcBorders>
              <w:top w:val="nil"/>
              <w:bottom w:val="nil"/>
            </w:tcBorders>
          </w:tcPr>
          <w:p w14:paraId="7E88851A" w14:textId="77777777" w:rsidR="00A25EE2" w:rsidRPr="00A66700" w:rsidRDefault="00A25EE2" w:rsidP="000B4BD9">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56674196"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Enregistrement pour la production, l'archivage et la diffusion; films pour la télévision</w:t>
            </w:r>
          </w:p>
        </w:tc>
      </w:tr>
      <w:tr w:rsidR="00A25EE2" w:rsidRPr="00E80F1D" w14:paraId="345BDA4C" w14:textId="77777777" w:rsidTr="003B409A">
        <w:tc>
          <w:tcPr>
            <w:tcW w:w="1140" w:type="dxa"/>
            <w:tcBorders>
              <w:top w:val="nil"/>
              <w:bottom w:val="nil"/>
            </w:tcBorders>
            <w:shd w:val="clear" w:color="auto" w:fill="auto"/>
          </w:tcPr>
          <w:p w14:paraId="483C471E" w14:textId="77777777" w:rsidR="00A25EE2" w:rsidRPr="003B409A" w:rsidRDefault="00A25EE2" w:rsidP="000B4BD9">
            <w:pPr>
              <w:spacing w:before="30" w:after="30"/>
              <w:ind w:left="57"/>
              <w:jc w:val="left"/>
              <w:rPr>
                <w:b/>
                <w:bCs/>
                <w:sz w:val="20"/>
                <w:lang w:val="en-US"/>
              </w:rPr>
            </w:pPr>
            <w:r w:rsidRPr="003B409A">
              <w:rPr>
                <w:b/>
                <w:bCs/>
                <w:sz w:val="20"/>
                <w:lang w:val="en-US"/>
              </w:rPr>
              <w:t>BS</w:t>
            </w:r>
          </w:p>
        </w:tc>
        <w:tc>
          <w:tcPr>
            <w:tcW w:w="8220" w:type="dxa"/>
            <w:tcBorders>
              <w:top w:val="nil"/>
              <w:bottom w:val="nil"/>
            </w:tcBorders>
            <w:shd w:val="clear" w:color="auto" w:fill="auto"/>
          </w:tcPr>
          <w:p w14:paraId="4B812456" w14:textId="77777777" w:rsidR="00A25EE2" w:rsidRPr="003B409A"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3B409A">
              <w:rPr>
                <w:b w:val="0"/>
                <w:sz w:val="20"/>
              </w:rPr>
              <w:t>Service de radiodiffusion sonore</w:t>
            </w:r>
          </w:p>
        </w:tc>
      </w:tr>
      <w:tr w:rsidR="00A25EE2" w:rsidRPr="00ED2695" w14:paraId="7D4A41F2" w14:textId="77777777" w:rsidTr="00A25EE2">
        <w:tc>
          <w:tcPr>
            <w:tcW w:w="1140" w:type="dxa"/>
            <w:tcBorders>
              <w:top w:val="nil"/>
              <w:bottom w:val="nil"/>
            </w:tcBorders>
            <w:shd w:val="clear" w:color="auto" w:fill="auto"/>
          </w:tcPr>
          <w:p w14:paraId="42D27465" w14:textId="77777777" w:rsidR="00A25EE2" w:rsidRPr="00614CC6" w:rsidRDefault="00A25EE2" w:rsidP="000B4BD9">
            <w:pPr>
              <w:spacing w:before="30" w:after="30"/>
              <w:ind w:left="57"/>
              <w:jc w:val="left"/>
              <w:rPr>
                <w:b/>
                <w:bCs/>
                <w:sz w:val="20"/>
                <w:lang w:val="en-US"/>
              </w:rPr>
            </w:pPr>
            <w:r w:rsidRPr="00614CC6">
              <w:rPr>
                <w:b/>
                <w:bCs/>
                <w:sz w:val="20"/>
                <w:lang w:val="en-US"/>
              </w:rPr>
              <w:t>BT</w:t>
            </w:r>
          </w:p>
        </w:tc>
        <w:tc>
          <w:tcPr>
            <w:tcW w:w="8220" w:type="dxa"/>
            <w:tcBorders>
              <w:top w:val="nil"/>
              <w:bottom w:val="nil"/>
            </w:tcBorders>
            <w:shd w:val="clear" w:color="auto" w:fill="auto"/>
          </w:tcPr>
          <w:p w14:paraId="1EC817EB"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de radiodiffusion télévisuelle</w:t>
            </w:r>
          </w:p>
        </w:tc>
      </w:tr>
      <w:tr w:rsidR="00A25EE2" w:rsidRPr="00DE5EA2" w14:paraId="61929609" w14:textId="77777777" w:rsidTr="00BC3C85">
        <w:tc>
          <w:tcPr>
            <w:tcW w:w="1140" w:type="dxa"/>
            <w:tcBorders>
              <w:top w:val="nil"/>
              <w:bottom w:val="nil"/>
            </w:tcBorders>
            <w:shd w:val="clear" w:color="auto" w:fill="FFFFFF" w:themeFill="background1"/>
          </w:tcPr>
          <w:p w14:paraId="24D0EE3B" w14:textId="77777777" w:rsidR="00A25EE2" w:rsidRPr="00BC3C85" w:rsidRDefault="00A25EE2" w:rsidP="000B4BD9">
            <w:pPr>
              <w:spacing w:before="30" w:after="30"/>
              <w:ind w:left="57"/>
              <w:jc w:val="left"/>
              <w:rPr>
                <w:rFonts w:ascii="Times New Roman Bold" w:hAnsi="Times New Roman Bold"/>
                <w:b/>
                <w:bCs/>
                <w:sz w:val="20"/>
                <w:lang w:val="fr-CH"/>
              </w:rPr>
            </w:pPr>
            <w:r w:rsidRPr="00BC3C85">
              <w:rPr>
                <w:rFonts w:ascii="Times New Roman Bold" w:hAnsi="Times New Roman Bold"/>
                <w:b/>
                <w:bCs/>
                <w:sz w:val="20"/>
                <w:lang w:val="fr-CH"/>
              </w:rPr>
              <w:t>F</w:t>
            </w:r>
          </w:p>
        </w:tc>
        <w:tc>
          <w:tcPr>
            <w:tcW w:w="8220" w:type="dxa"/>
            <w:tcBorders>
              <w:top w:val="nil"/>
              <w:bottom w:val="nil"/>
            </w:tcBorders>
            <w:shd w:val="clear" w:color="auto" w:fill="FFFFFF" w:themeFill="background1"/>
          </w:tcPr>
          <w:p w14:paraId="7E501716" w14:textId="77777777" w:rsidR="00A25EE2" w:rsidRPr="00BC3C85"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BC3C85">
              <w:rPr>
                <w:b w:val="0"/>
                <w:sz w:val="20"/>
              </w:rPr>
              <w:t>Service fixe</w:t>
            </w:r>
          </w:p>
        </w:tc>
      </w:tr>
      <w:tr w:rsidR="00A25EE2" w:rsidRPr="00B21066" w14:paraId="6028A4EC" w14:textId="77777777" w:rsidTr="00BC3C85">
        <w:tc>
          <w:tcPr>
            <w:tcW w:w="1140" w:type="dxa"/>
            <w:tcBorders>
              <w:top w:val="nil"/>
              <w:bottom w:val="nil"/>
            </w:tcBorders>
            <w:shd w:val="clear" w:color="auto" w:fill="F3F3F3"/>
          </w:tcPr>
          <w:p w14:paraId="4F92B89A" w14:textId="77777777" w:rsidR="00A25EE2" w:rsidRPr="00BC3C85" w:rsidRDefault="00A25EE2" w:rsidP="000B4BD9">
            <w:pPr>
              <w:spacing w:before="30" w:after="30"/>
              <w:ind w:left="57"/>
              <w:jc w:val="left"/>
              <w:rPr>
                <w:b/>
                <w:bCs/>
                <w:color w:val="000080"/>
                <w:sz w:val="20"/>
                <w:lang w:val="en-US"/>
              </w:rPr>
            </w:pPr>
            <w:r w:rsidRPr="00BC3C85">
              <w:rPr>
                <w:b/>
                <w:bCs/>
                <w:color w:val="000080"/>
                <w:sz w:val="20"/>
                <w:lang w:val="en-US"/>
              </w:rPr>
              <w:t>M</w:t>
            </w:r>
          </w:p>
        </w:tc>
        <w:tc>
          <w:tcPr>
            <w:tcW w:w="8220" w:type="dxa"/>
            <w:tcBorders>
              <w:top w:val="nil"/>
              <w:bottom w:val="nil"/>
            </w:tcBorders>
            <w:shd w:val="clear" w:color="auto" w:fill="F3F3F3"/>
          </w:tcPr>
          <w:p w14:paraId="4AC0C3E9" w14:textId="77777777" w:rsidR="00A25EE2" w:rsidRPr="00BC3C85"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olor w:val="000080"/>
                <w:sz w:val="20"/>
              </w:rPr>
            </w:pPr>
            <w:r w:rsidRPr="00BC3C85">
              <w:rPr>
                <w:rFonts w:ascii="Times New Roman Bold" w:hAnsi="Times New Roman Bold"/>
                <w:color w:val="000080"/>
                <w:sz w:val="20"/>
              </w:rPr>
              <w:t>Services mobile, de radiorepérage et d'amateur y compris les services par satellite associés</w:t>
            </w:r>
          </w:p>
        </w:tc>
      </w:tr>
      <w:tr w:rsidR="00A25EE2" w:rsidRPr="00EC361D" w14:paraId="07349E93" w14:textId="77777777" w:rsidTr="00A25EE2">
        <w:tc>
          <w:tcPr>
            <w:tcW w:w="1140" w:type="dxa"/>
            <w:tcBorders>
              <w:top w:val="nil"/>
              <w:bottom w:val="nil"/>
            </w:tcBorders>
            <w:shd w:val="clear" w:color="auto" w:fill="auto"/>
          </w:tcPr>
          <w:p w14:paraId="124BE56D" w14:textId="77777777" w:rsidR="00A25EE2" w:rsidRPr="00EC361D" w:rsidRDefault="00A25EE2" w:rsidP="000B4BD9">
            <w:pPr>
              <w:spacing w:before="30" w:after="30"/>
              <w:ind w:left="57"/>
              <w:jc w:val="left"/>
              <w:rPr>
                <w:b/>
                <w:bCs/>
                <w:sz w:val="20"/>
                <w:lang w:val="fr-CH"/>
              </w:rPr>
            </w:pPr>
            <w:r w:rsidRPr="00EC361D">
              <w:rPr>
                <w:b/>
                <w:bCs/>
                <w:sz w:val="20"/>
                <w:lang w:val="fr-CH"/>
              </w:rPr>
              <w:t>P</w:t>
            </w:r>
          </w:p>
        </w:tc>
        <w:tc>
          <w:tcPr>
            <w:tcW w:w="8220" w:type="dxa"/>
            <w:tcBorders>
              <w:top w:val="nil"/>
              <w:bottom w:val="nil"/>
            </w:tcBorders>
            <w:shd w:val="clear" w:color="auto" w:fill="auto"/>
          </w:tcPr>
          <w:p w14:paraId="04AD4B76"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Propagation des ondes radioélectriques</w:t>
            </w:r>
          </w:p>
        </w:tc>
      </w:tr>
      <w:tr w:rsidR="00A25EE2" w:rsidRPr="004822EF" w14:paraId="39C18AD1" w14:textId="77777777" w:rsidTr="00A25EE2">
        <w:tc>
          <w:tcPr>
            <w:tcW w:w="1140" w:type="dxa"/>
            <w:tcBorders>
              <w:top w:val="nil"/>
              <w:bottom w:val="nil"/>
            </w:tcBorders>
            <w:shd w:val="clear" w:color="auto" w:fill="auto"/>
          </w:tcPr>
          <w:p w14:paraId="08B4236E" w14:textId="77777777" w:rsidR="00A25EE2" w:rsidRPr="004822EF" w:rsidRDefault="00A25EE2" w:rsidP="000B4BD9">
            <w:pPr>
              <w:spacing w:before="30" w:after="30"/>
              <w:ind w:left="57"/>
              <w:jc w:val="left"/>
              <w:rPr>
                <w:b/>
                <w:bCs/>
                <w:sz w:val="20"/>
                <w:lang w:val="en-US"/>
              </w:rPr>
            </w:pPr>
            <w:r w:rsidRPr="004822EF">
              <w:rPr>
                <w:b/>
                <w:bCs/>
                <w:sz w:val="20"/>
                <w:lang w:val="en-US"/>
              </w:rPr>
              <w:t>RA</w:t>
            </w:r>
          </w:p>
        </w:tc>
        <w:tc>
          <w:tcPr>
            <w:tcW w:w="8220" w:type="dxa"/>
            <w:tcBorders>
              <w:top w:val="nil"/>
              <w:bottom w:val="nil"/>
            </w:tcBorders>
            <w:shd w:val="clear" w:color="auto" w:fill="auto"/>
          </w:tcPr>
          <w:p w14:paraId="01BFE504"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Radio astronomie</w:t>
            </w:r>
          </w:p>
        </w:tc>
      </w:tr>
      <w:tr w:rsidR="00A25EE2" w:rsidRPr="00326525" w14:paraId="4F38FC6C" w14:textId="77777777" w:rsidTr="00A25EE2">
        <w:tc>
          <w:tcPr>
            <w:tcW w:w="1140" w:type="dxa"/>
            <w:tcBorders>
              <w:top w:val="nil"/>
              <w:bottom w:val="nil"/>
            </w:tcBorders>
            <w:shd w:val="clear" w:color="auto" w:fill="auto"/>
          </w:tcPr>
          <w:p w14:paraId="50F74EE4" w14:textId="77777777" w:rsidR="00A25EE2" w:rsidRPr="00326525" w:rsidRDefault="00A25EE2" w:rsidP="000B4BD9">
            <w:pPr>
              <w:spacing w:before="30" w:after="30"/>
              <w:ind w:left="57"/>
              <w:jc w:val="left"/>
              <w:rPr>
                <w:b/>
                <w:bCs/>
                <w:sz w:val="20"/>
                <w:lang w:val="en-US"/>
              </w:rPr>
            </w:pPr>
            <w:r w:rsidRPr="00326525">
              <w:rPr>
                <w:b/>
                <w:bCs/>
                <w:sz w:val="20"/>
                <w:lang w:val="en-US"/>
              </w:rPr>
              <w:t>RS</w:t>
            </w:r>
          </w:p>
        </w:tc>
        <w:tc>
          <w:tcPr>
            <w:tcW w:w="8220" w:type="dxa"/>
            <w:tcBorders>
              <w:top w:val="nil"/>
              <w:bottom w:val="nil"/>
            </w:tcBorders>
            <w:shd w:val="clear" w:color="auto" w:fill="auto"/>
          </w:tcPr>
          <w:p w14:paraId="3A9A5EF0"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Systèmes de télédétection</w:t>
            </w:r>
          </w:p>
        </w:tc>
      </w:tr>
      <w:tr w:rsidR="00A25EE2" w:rsidRPr="00C40D3E" w14:paraId="3F831556" w14:textId="77777777" w:rsidTr="00A25EE2">
        <w:tc>
          <w:tcPr>
            <w:tcW w:w="1140" w:type="dxa"/>
            <w:tcBorders>
              <w:top w:val="nil"/>
              <w:bottom w:val="nil"/>
            </w:tcBorders>
            <w:shd w:val="clear" w:color="auto" w:fill="auto"/>
          </w:tcPr>
          <w:p w14:paraId="58388FE7" w14:textId="77777777" w:rsidR="00A25EE2" w:rsidRPr="00C40D3E" w:rsidRDefault="00A25EE2" w:rsidP="000B4BD9">
            <w:pPr>
              <w:spacing w:before="30" w:after="30"/>
              <w:ind w:left="57"/>
              <w:jc w:val="left"/>
              <w:rPr>
                <w:b/>
                <w:bCs/>
                <w:sz w:val="20"/>
                <w:lang w:val="en-US"/>
              </w:rPr>
            </w:pPr>
            <w:r w:rsidRPr="00C40D3E">
              <w:rPr>
                <w:b/>
                <w:bCs/>
                <w:sz w:val="20"/>
                <w:lang w:val="en-US"/>
              </w:rPr>
              <w:t>S</w:t>
            </w:r>
          </w:p>
        </w:tc>
        <w:tc>
          <w:tcPr>
            <w:tcW w:w="8220" w:type="dxa"/>
            <w:tcBorders>
              <w:top w:val="nil"/>
              <w:bottom w:val="nil"/>
            </w:tcBorders>
            <w:shd w:val="clear" w:color="auto" w:fill="auto"/>
          </w:tcPr>
          <w:p w14:paraId="0CF57480"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 par satellite</w:t>
            </w:r>
          </w:p>
        </w:tc>
      </w:tr>
      <w:tr w:rsidR="00A25EE2" w:rsidRPr="00C40D3E" w14:paraId="3991E30D" w14:textId="77777777" w:rsidTr="00CE7896">
        <w:tc>
          <w:tcPr>
            <w:tcW w:w="1140" w:type="dxa"/>
            <w:tcBorders>
              <w:top w:val="nil"/>
              <w:bottom w:val="nil"/>
            </w:tcBorders>
            <w:shd w:val="clear" w:color="auto" w:fill="FFFFFF" w:themeFill="background1"/>
          </w:tcPr>
          <w:p w14:paraId="22D65EFC" w14:textId="77777777" w:rsidR="00A25EE2" w:rsidRPr="004F3F6F" w:rsidRDefault="00A25EE2" w:rsidP="000B4BD9">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15069BC0"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Applications spatiales et météorologie</w:t>
            </w:r>
          </w:p>
        </w:tc>
      </w:tr>
      <w:tr w:rsidR="00A25EE2" w:rsidRPr="00614CC6" w14:paraId="36F99D53" w14:textId="77777777" w:rsidTr="00A25EE2">
        <w:tc>
          <w:tcPr>
            <w:tcW w:w="1140" w:type="dxa"/>
            <w:tcBorders>
              <w:top w:val="nil"/>
            </w:tcBorders>
          </w:tcPr>
          <w:p w14:paraId="2CC03C72" w14:textId="77777777" w:rsidR="00A25EE2" w:rsidRPr="00614CC6" w:rsidRDefault="00A25EE2" w:rsidP="000B4BD9">
            <w:pPr>
              <w:spacing w:before="30" w:after="30"/>
              <w:ind w:left="57"/>
              <w:jc w:val="left"/>
              <w:rPr>
                <w:b/>
                <w:bCs/>
                <w:sz w:val="20"/>
                <w:lang w:val="en-US"/>
              </w:rPr>
            </w:pPr>
            <w:r w:rsidRPr="00614CC6">
              <w:rPr>
                <w:b/>
                <w:bCs/>
                <w:sz w:val="20"/>
                <w:lang w:val="en-US"/>
              </w:rPr>
              <w:t>SF</w:t>
            </w:r>
          </w:p>
        </w:tc>
        <w:tc>
          <w:tcPr>
            <w:tcW w:w="8220" w:type="dxa"/>
            <w:tcBorders>
              <w:top w:val="nil"/>
            </w:tcBorders>
          </w:tcPr>
          <w:p w14:paraId="65DBA945"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Partage des fréquences et coordination entre les systèmes du service fixe par satellite et du service fixe</w:t>
            </w:r>
          </w:p>
        </w:tc>
      </w:tr>
      <w:tr w:rsidR="00A25EE2" w:rsidRPr="00036EE3" w14:paraId="1AE56D35" w14:textId="77777777" w:rsidTr="00A25EE2">
        <w:tc>
          <w:tcPr>
            <w:tcW w:w="1140" w:type="dxa"/>
            <w:shd w:val="clear" w:color="auto" w:fill="auto"/>
          </w:tcPr>
          <w:p w14:paraId="21154A27" w14:textId="77777777" w:rsidR="00A25EE2" w:rsidRPr="00592F9F" w:rsidRDefault="00A25EE2" w:rsidP="000B4BD9">
            <w:pPr>
              <w:spacing w:before="30" w:after="30"/>
              <w:ind w:left="57"/>
              <w:jc w:val="left"/>
              <w:rPr>
                <w:b/>
                <w:bCs/>
                <w:sz w:val="20"/>
                <w:lang w:val="en-US"/>
              </w:rPr>
            </w:pPr>
            <w:r w:rsidRPr="00592F9F">
              <w:rPr>
                <w:b/>
                <w:bCs/>
                <w:sz w:val="20"/>
                <w:lang w:val="en-US"/>
              </w:rPr>
              <w:t>SM</w:t>
            </w:r>
          </w:p>
        </w:tc>
        <w:tc>
          <w:tcPr>
            <w:tcW w:w="8220" w:type="dxa"/>
            <w:shd w:val="clear" w:color="auto" w:fill="auto"/>
          </w:tcPr>
          <w:p w14:paraId="48CA7B35"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A25EE2" w:rsidRPr="00036EE3" w14:paraId="2E8D7B45" w14:textId="77777777" w:rsidTr="00A25EE2">
        <w:tc>
          <w:tcPr>
            <w:tcW w:w="1140" w:type="dxa"/>
          </w:tcPr>
          <w:p w14:paraId="6E9B52A2" w14:textId="77777777" w:rsidR="00A25EE2" w:rsidRPr="00614CC6" w:rsidRDefault="00A25EE2" w:rsidP="000B4BD9">
            <w:pPr>
              <w:spacing w:before="30" w:after="30"/>
              <w:ind w:left="57"/>
              <w:jc w:val="left"/>
              <w:rPr>
                <w:b/>
                <w:bCs/>
                <w:sz w:val="20"/>
                <w:lang w:val="en-US"/>
              </w:rPr>
            </w:pPr>
            <w:r w:rsidRPr="00614CC6">
              <w:rPr>
                <w:b/>
                <w:bCs/>
                <w:sz w:val="20"/>
                <w:lang w:val="en-US"/>
              </w:rPr>
              <w:t>SNG</w:t>
            </w:r>
          </w:p>
        </w:tc>
        <w:tc>
          <w:tcPr>
            <w:tcW w:w="8220" w:type="dxa"/>
          </w:tcPr>
          <w:p w14:paraId="57BDFC86"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Reportage d'actualités par satellite</w:t>
            </w:r>
          </w:p>
        </w:tc>
      </w:tr>
      <w:tr w:rsidR="00A25EE2" w:rsidRPr="00614CC6" w14:paraId="1F42AA3A" w14:textId="77777777" w:rsidTr="00A25EE2">
        <w:tc>
          <w:tcPr>
            <w:tcW w:w="1140" w:type="dxa"/>
          </w:tcPr>
          <w:p w14:paraId="04BED0B3" w14:textId="77777777" w:rsidR="00A25EE2" w:rsidRPr="00710A2A" w:rsidRDefault="00A25EE2" w:rsidP="000B4BD9">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27591335"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Emissions de fréquences étalon et de signaux horaires</w:t>
            </w:r>
          </w:p>
        </w:tc>
      </w:tr>
      <w:tr w:rsidR="00A25EE2" w:rsidRPr="00036EE3" w14:paraId="1D1890C8" w14:textId="77777777" w:rsidTr="00A25EE2">
        <w:tc>
          <w:tcPr>
            <w:tcW w:w="1140" w:type="dxa"/>
          </w:tcPr>
          <w:p w14:paraId="5B8941F8" w14:textId="77777777" w:rsidR="00A25EE2" w:rsidRPr="00614CC6" w:rsidRDefault="00A25EE2" w:rsidP="000B4BD9">
            <w:pPr>
              <w:spacing w:before="30" w:after="30"/>
              <w:ind w:left="57"/>
              <w:jc w:val="left"/>
              <w:rPr>
                <w:b/>
                <w:bCs/>
                <w:sz w:val="20"/>
                <w:lang w:val="en-US"/>
              </w:rPr>
            </w:pPr>
            <w:r w:rsidRPr="00614CC6">
              <w:rPr>
                <w:b/>
                <w:bCs/>
                <w:sz w:val="20"/>
                <w:lang w:val="en-US"/>
              </w:rPr>
              <w:t>V</w:t>
            </w:r>
          </w:p>
        </w:tc>
        <w:tc>
          <w:tcPr>
            <w:tcW w:w="8220" w:type="dxa"/>
          </w:tcPr>
          <w:p w14:paraId="3BB4AB33" w14:textId="77777777" w:rsidR="00A25EE2" w:rsidRPr="00A66700" w:rsidRDefault="00A25EE2" w:rsidP="00B02C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r w:rsidRPr="00A66700">
              <w:rPr>
                <w:b w:val="0"/>
                <w:sz w:val="20"/>
              </w:rPr>
              <w:t>Vocabulaire et sujets associés</w:t>
            </w:r>
          </w:p>
        </w:tc>
      </w:tr>
    </w:tbl>
    <w:p w14:paraId="5277068C" w14:textId="77777777" w:rsidR="00A25EE2" w:rsidRPr="00036EE3" w:rsidRDefault="00A25EE2" w:rsidP="00A25EE2">
      <w:pPr>
        <w:spacing w:before="0"/>
        <w:jc w:val="center"/>
        <w:rPr>
          <w:sz w:val="20"/>
          <w:lang w:val="en-US"/>
        </w:rPr>
      </w:pPr>
    </w:p>
    <w:p w14:paraId="3B43040C" w14:textId="77777777" w:rsidR="00A25EE2" w:rsidRPr="00036EE3" w:rsidRDefault="00A25EE2" w:rsidP="00A25EE2">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A25EE2" w:rsidRPr="00756B4D" w14:paraId="19F04474" w14:textId="77777777" w:rsidTr="00A25EE2">
        <w:tc>
          <w:tcPr>
            <w:tcW w:w="9360" w:type="dxa"/>
          </w:tcPr>
          <w:p w14:paraId="14FF1C60" w14:textId="77777777" w:rsidR="00A25EE2" w:rsidRPr="00756B4D" w:rsidRDefault="00A25EE2" w:rsidP="00A25EE2">
            <w:pPr>
              <w:spacing w:before="80" w:after="80"/>
              <w:rPr>
                <w:i/>
                <w:iCs/>
                <w:sz w:val="20"/>
              </w:rPr>
            </w:pPr>
            <w:r w:rsidRPr="00756B4D">
              <w:rPr>
                <w:b/>
                <w:bCs/>
                <w:i/>
                <w:iCs/>
                <w:sz w:val="20"/>
              </w:rPr>
              <w:t>Note</w:t>
            </w:r>
            <w:r w:rsidRPr="00756B4D">
              <w:rPr>
                <w:i/>
                <w:iCs/>
                <w:sz w:val="20"/>
              </w:rPr>
              <w:t>: Cette Recommandation UIT-R a été approuvée en anglais aux termes de la procédure détaillée dans la</w:t>
            </w:r>
            <w:r w:rsidR="00BD554D">
              <w:rPr>
                <w:i/>
                <w:iCs/>
                <w:sz w:val="20"/>
              </w:rPr>
              <w:t xml:space="preserve"> </w:t>
            </w:r>
            <w:r w:rsidRPr="00756B4D">
              <w:rPr>
                <w:i/>
                <w:iCs/>
                <w:sz w:val="20"/>
              </w:rPr>
              <w:t xml:space="preserve">Résolution UIT-R 1. </w:t>
            </w:r>
          </w:p>
        </w:tc>
      </w:tr>
    </w:tbl>
    <w:p w14:paraId="317EC4BF" w14:textId="77777777" w:rsidR="00A25EE2" w:rsidRPr="00756B4D" w:rsidRDefault="00A25EE2" w:rsidP="00A25EE2">
      <w:pPr>
        <w:spacing w:before="0"/>
        <w:jc w:val="center"/>
        <w:rPr>
          <w:sz w:val="22"/>
        </w:rPr>
      </w:pPr>
    </w:p>
    <w:p w14:paraId="674EAC79" w14:textId="77777777" w:rsidR="00A25EE2" w:rsidRPr="00614CC6" w:rsidRDefault="00A25EE2" w:rsidP="00A25EE2">
      <w:pPr>
        <w:spacing w:before="100"/>
        <w:jc w:val="right"/>
        <w:rPr>
          <w:i/>
          <w:iCs/>
          <w:sz w:val="20"/>
        </w:rPr>
      </w:pPr>
      <w:r w:rsidRPr="00614CC6">
        <w:rPr>
          <w:i/>
          <w:iCs/>
          <w:sz w:val="20"/>
        </w:rPr>
        <w:t>Publication électronique</w:t>
      </w:r>
    </w:p>
    <w:p w14:paraId="503B9D09" w14:textId="0F932BC6" w:rsidR="00A25EE2" w:rsidRPr="00614CC6" w:rsidRDefault="00A25EE2" w:rsidP="00A25EE2">
      <w:pPr>
        <w:spacing w:before="0"/>
        <w:jc w:val="right"/>
        <w:rPr>
          <w:sz w:val="20"/>
        </w:rPr>
      </w:pPr>
      <w:r w:rsidRPr="00614CC6">
        <w:rPr>
          <w:sz w:val="20"/>
        </w:rPr>
        <w:t>Genève, 20</w:t>
      </w:r>
      <w:r>
        <w:rPr>
          <w:sz w:val="20"/>
        </w:rPr>
        <w:t>2</w:t>
      </w:r>
      <w:r w:rsidR="001D43CF">
        <w:rPr>
          <w:sz w:val="20"/>
        </w:rPr>
        <w:t>4</w:t>
      </w:r>
    </w:p>
    <w:p w14:paraId="1A043E82" w14:textId="1DB0A0D2" w:rsidR="00A25EE2" w:rsidRPr="00614CC6" w:rsidRDefault="00A25EE2" w:rsidP="00A25EE2">
      <w:pPr>
        <w:spacing w:before="200"/>
        <w:jc w:val="center"/>
        <w:rPr>
          <w:sz w:val="20"/>
        </w:rPr>
      </w:pPr>
      <w:r w:rsidRPr="00470E28">
        <w:rPr>
          <w:sz w:val="20"/>
          <w:lang w:val="en-US"/>
        </w:rPr>
        <w:sym w:font="Symbol" w:char="F0E3"/>
      </w:r>
      <w:r w:rsidRPr="00614CC6">
        <w:rPr>
          <w:sz w:val="20"/>
        </w:rPr>
        <w:t xml:space="preserve"> UIT </w:t>
      </w:r>
      <w:bookmarkStart w:id="1" w:name="iiannee"/>
      <w:bookmarkEnd w:id="1"/>
      <w:r w:rsidRPr="00614CC6">
        <w:rPr>
          <w:sz w:val="20"/>
        </w:rPr>
        <w:t>20</w:t>
      </w:r>
      <w:r>
        <w:rPr>
          <w:sz w:val="20"/>
        </w:rPr>
        <w:t>2</w:t>
      </w:r>
      <w:r w:rsidR="001D43CF">
        <w:rPr>
          <w:sz w:val="20"/>
        </w:rPr>
        <w:t>4</w:t>
      </w:r>
    </w:p>
    <w:p w14:paraId="2FDECBB5" w14:textId="77777777" w:rsidR="00D5024B" w:rsidRPr="004F3F6F" w:rsidRDefault="00A25EE2" w:rsidP="00A25EE2">
      <w:pPr>
        <w:rPr>
          <w:sz w:val="18"/>
          <w:szCs w:val="18"/>
        </w:rPr>
      </w:pPr>
      <w:r w:rsidRPr="00614CC6">
        <w:rPr>
          <w:sz w:val="18"/>
          <w:szCs w:val="18"/>
        </w:rPr>
        <w:t xml:space="preserve">Tous droits </w:t>
      </w:r>
      <w:r>
        <w:rPr>
          <w:sz w:val="18"/>
          <w:szCs w:val="18"/>
        </w:rPr>
        <w:t>réservé</w:t>
      </w:r>
      <w:r w:rsidRPr="00614CC6">
        <w:rPr>
          <w:sz w:val="18"/>
          <w:szCs w:val="18"/>
        </w:rPr>
        <w:t xml:space="preserve">s. </w:t>
      </w:r>
      <w:r>
        <w:rPr>
          <w:sz w:val="18"/>
          <w:szCs w:val="18"/>
        </w:rPr>
        <w:t>Aucune partie de cette publication ne peut être reproduite, par quelque procédé que ce soit, sans l’accord écrit préalable de l’UIT</w:t>
      </w:r>
      <w:r w:rsidRPr="00614CC6">
        <w:rPr>
          <w:sz w:val="18"/>
          <w:szCs w:val="18"/>
        </w:rPr>
        <w:t>.</w:t>
      </w:r>
    </w:p>
    <w:p w14:paraId="1139A75D" w14:textId="77777777" w:rsidR="007565CC" w:rsidRPr="004F3F6F" w:rsidRDefault="007565CC" w:rsidP="00A971A1">
      <w:pPr>
        <w:spacing w:before="160"/>
        <w:rPr>
          <w:i/>
          <w:sz w:val="20"/>
        </w:rPr>
        <w:sectPr w:rsidR="007565CC" w:rsidRPr="004F3F6F"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BD64EA2" w14:textId="3616BAA1" w:rsidR="00B874C6" w:rsidRPr="004F3F6F" w:rsidRDefault="00B874C6" w:rsidP="00A936CB">
      <w:pPr>
        <w:pStyle w:val="RecNo"/>
        <w:spacing w:before="0"/>
      </w:pPr>
      <w:bookmarkStart w:id="2" w:name="irecnoe"/>
      <w:bookmarkEnd w:id="2"/>
      <w:r w:rsidRPr="00BF487A">
        <w:lastRenderedPageBreak/>
        <w:t>RECOMM</w:t>
      </w:r>
      <w:r w:rsidR="00A25EE2">
        <w:t>A</w:t>
      </w:r>
      <w:r w:rsidRPr="00BF487A">
        <w:t xml:space="preserve">NDATION  </w:t>
      </w:r>
      <w:r w:rsidR="00A25EE2" w:rsidRPr="004F3F6F">
        <w:rPr>
          <w:rStyle w:val="href"/>
        </w:rPr>
        <w:t>UI</w:t>
      </w:r>
      <w:r w:rsidRPr="004F3F6F">
        <w:rPr>
          <w:rStyle w:val="href"/>
        </w:rPr>
        <w:t xml:space="preserve">T-R  </w:t>
      </w:r>
      <w:r w:rsidR="00BC3C85">
        <w:rPr>
          <w:rStyle w:val="href"/>
        </w:rPr>
        <w:t>M</w:t>
      </w:r>
      <w:r w:rsidRPr="004F3F6F">
        <w:rPr>
          <w:rStyle w:val="href"/>
        </w:rPr>
        <w:t>.</w:t>
      </w:r>
      <w:r w:rsidR="001D43CF">
        <w:rPr>
          <w:rStyle w:val="href"/>
        </w:rPr>
        <w:t>633-5</w:t>
      </w:r>
      <w:r w:rsidR="00ED78D1" w:rsidRPr="00B13715">
        <w:rPr>
          <w:rStyle w:val="FootnoteReference"/>
        </w:rPr>
        <w:footnoteReference w:customMarkFollows="1" w:id="1"/>
        <w:t>*</w:t>
      </w:r>
    </w:p>
    <w:p w14:paraId="63FD362D" w14:textId="77777777" w:rsidR="00ED78D1" w:rsidRPr="00B13715" w:rsidRDefault="00ED78D1" w:rsidP="00F274D2">
      <w:pPr>
        <w:pStyle w:val="Rectitle"/>
      </w:pPr>
      <w:r w:rsidRPr="00B13715">
        <w:t>Caractéristiques de transmission d'un système de radiobalises de localisation des</w:t>
      </w:r>
      <w:r w:rsidRPr="00B13715">
        <w:br/>
        <w:t>sinistres par satellite (RLS par satellite) fonctionnant par l'intermédiaire</w:t>
      </w:r>
      <w:r w:rsidRPr="00B13715">
        <w:br/>
        <w:t>d'un système à satellites dans la bande de fréquences 406,0-406,1 MHz</w:t>
      </w:r>
    </w:p>
    <w:p w14:paraId="04145570" w14:textId="77777777" w:rsidR="00ED78D1" w:rsidRPr="00B13715" w:rsidRDefault="00ED78D1" w:rsidP="00F274D2">
      <w:pPr>
        <w:pStyle w:val="Recdate"/>
      </w:pPr>
      <w:r w:rsidRPr="00B13715">
        <w:t>(1986-1990-2000-2004-2010-2023)</w:t>
      </w:r>
    </w:p>
    <w:p w14:paraId="1B1E4B2F" w14:textId="77777777" w:rsidR="00ED78D1" w:rsidRPr="00B13715" w:rsidRDefault="00ED78D1" w:rsidP="00F274D2">
      <w:pPr>
        <w:pStyle w:val="HeadingSum"/>
        <w:rPr>
          <w:sz w:val="22"/>
          <w:szCs w:val="22"/>
          <w:lang w:val="fr-FR"/>
        </w:rPr>
      </w:pPr>
      <w:r w:rsidRPr="00B13715">
        <w:rPr>
          <w:sz w:val="22"/>
          <w:szCs w:val="22"/>
          <w:lang w:val="fr-FR"/>
        </w:rPr>
        <w:t>Domaine d'application</w:t>
      </w:r>
    </w:p>
    <w:p w14:paraId="743704F7" w14:textId="77777777" w:rsidR="00ED78D1" w:rsidRPr="00B13715" w:rsidRDefault="00ED78D1" w:rsidP="00F274D2">
      <w:pPr>
        <w:pStyle w:val="Summary"/>
        <w:rPr>
          <w:rFonts w:eastAsiaTheme="minorHAnsi"/>
          <w:sz w:val="22"/>
          <w:szCs w:val="22"/>
          <w:lang w:val="fr-FR"/>
        </w:rPr>
      </w:pPr>
      <w:r w:rsidRPr="00B13715">
        <w:rPr>
          <w:rFonts w:eastAsiaTheme="minorHAnsi"/>
          <w:sz w:val="22"/>
          <w:szCs w:val="22"/>
          <w:lang w:val="fr-FR"/>
        </w:rPr>
        <w:t>On trouvera dans la présente Recommandation les caractéristiques de transmission d'un système de radiobalises de localisation des sinistres par satellite (RLS par satellite) fonctionnant dans la bande de fréquences 406,0-406,1 MHz.</w:t>
      </w:r>
    </w:p>
    <w:p w14:paraId="7DC66F16" w14:textId="77777777" w:rsidR="00ED78D1" w:rsidRPr="00B13715" w:rsidRDefault="00ED78D1" w:rsidP="00F274D2">
      <w:pPr>
        <w:pStyle w:val="Headingb"/>
      </w:pPr>
      <w:r w:rsidRPr="00B13715">
        <w:t>Mots clés</w:t>
      </w:r>
    </w:p>
    <w:p w14:paraId="40A0ACD5" w14:textId="77777777" w:rsidR="00ED78D1" w:rsidRPr="00B13715" w:rsidRDefault="00ED78D1" w:rsidP="00F274D2">
      <w:pPr>
        <w:rPr>
          <w:szCs w:val="24"/>
        </w:rPr>
      </w:pPr>
      <w:r w:rsidRPr="00B13715">
        <w:rPr>
          <w:szCs w:val="24"/>
        </w:rPr>
        <w:t>Satellite, RLS, balise</w:t>
      </w:r>
    </w:p>
    <w:p w14:paraId="6F133B5F" w14:textId="77777777" w:rsidR="00ED78D1" w:rsidRPr="00B13715" w:rsidRDefault="00ED78D1" w:rsidP="00F274D2">
      <w:pPr>
        <w:pStyle w:val="Headingb"/>
        <w:rPr>
          <w:szCs w:val="24"/>
        </w:rPr>
      </w:pPr>
      <w:bookmarkStart w:id="3" w:name="_Toc369007122"/>
      <w:r w:rsidRPr="00B13715">
        <w:t>Abréviations/Glossaire</w:t>
      </w:r>
      <w:bookmarkEnd w:id="3"/>
    </w:p>
    <w:p w14:paraId="4FD99D1A" w14:textId="77777777" w:rsidR="00ED78D1" w:rsidRPr="00B13715" w:rsidRDefault="00ED78D1" w:rsidP="00F274D2">
      <w:pPr>
        <w:tabs>
          <w:tab w:val="clear" w:pos="794"/>
        </w:tabs>
        <w:rPr>
          <w:szCs w:val="24"/>
          <w:lang w:eastAsia="zh-CN"/>
        </w:rPr>
      </w:pPr>
      <w:r w:rsidRPr="00B13715">
        <w:rPr>
          <w:szCs w:val="24"/>
          <w:lang w:eastAsia="zh-CN"/>
        </w:rPr>
        <w:t>ELT</w:t>
      </w:r>
      <w:r w:rsidRPr="00B13715">
        <w:rPr>
          <w:szCs w:val="24"/>
          <w:lang w:eastAsia="zh-CN"/>
        </w:rPr>
        <w:tab/>
        <w:t>émetteur de localisation d'urgence (</w:t>
      </w:r>
      <w:r w:rsidRPr="00B13715">
        <w:rPr>
          <w:i/>
          <w:iCs/>
          <w:szCs w:val="24"/>
          <w:lang w:eastAsia="zh-CN"/>
        </w:rPr>
        <w:t>e</w:t>
      </w:r>
      <w:r w:rsidRPr="00B13715">
        <w:rPr>
          <w:rFonts w:eastAsiaTheme="minorHAnsi" w:cstheme="minorBidi"/>
          <w:i/>
          <w:iCs/>
          <w:szCs w:val="22"/>
        </w:rPr>
        <w:t>mergency locator transmitter</w:t>
      </w:r>
      <w:r w:rsidRPr="00B13715">
        <w:rPr>
          <w:rFonts w:eastAsiaTheme="minorHAnsi" w:cstheme="minorBidi"/>
          <w:szCs w:val="22"/>
        </w:rPr>
        <w:t>)</w:t>
      </w:r>
    </w:p>
    <w:p w14:paraId="6A6CD65E" w14:textId="77777777" w:rsidR="00ED78D1" w:rsidRPr="00B13715" w:rsidRDefault="00ED78D1" w:rsidP="00F274D2">
      <w:pPr>
        <w:tabs>
          <w:tab w:val="clear" w:pos="794"/>
        </w:tabs>
        <w:rPr>
          <w:rFonts w:eastAsiaTheme="minorHAnsi" w:cstheme="minorBidi"/>
          <w:szCs w:val="22"/>
        </w:rPr>
      </w:pPr>
      <w:r w:rsidRPr="00B13715">
        <w:rPr>
          <w:szCs w:val="24"/>
          <w:lang w:eastAsia="zh-CN"/>
        </w:rPr>
        <w:t>PLB</w:t>
      </w:r>
      <w:r w:rsidRPr="00B13715">
        <w:rPr>
          <w:szCs w:val="24"/>
          <w:lang w:eastAsia="zh-CN"/>
        </w:rPr>
        <w:tab/>
        <w:t>radiobalise de localisation personnelle (</w:t>
      </w:r>
      <w:r w:rsidRPr="00B13715">
        <w:rPr>
          <w:i/>
          <w:iCs/>
          <w:szCs w:val="24"/>
          <w:lang w:eastAsia="zh-CN"/>
        </w:rPr>
        <w:t>p</w:t>
      </w:r>
      <w:r w:rsidRPr="00B13715">
        <w:rPr>
          <w:rFonts w:eastAsiaTheme="minorHAnsi" w:cstheme="minorBidi"/>
          <w:i/>
          <w:iCs/>
          <w:szCs w:val="22"/>
        </w:rPr>
        <w:t>ersonal locator beacon</w:t>
      </w:r>
      <w:r w:rsidRPr="00B13715">
        <w:rPr>
          <w:rFonts w:eastAsiaTheme="minorHAnsi" w:cstheme="minorBidi"/>
          <w:szCs w:val="22"/>
        </w:rPr>
        <w:t>)</w:t>
      </w:r>
    </w:p>
    <w:p w14:paraId="6C68D1E0" w14:textId="77777777" w:rsidR="00ED78D1" w:rsidRPr="00B13715" w:rsidRDefault="00ED78D1" w:rsidP="00F274D2">
      <w:pPr>
        <w:tabs>
          <w:tab w:val="clear" w:pos="794"/>
        </w:tabs>
        <w:rPr>
          <w:szCs w:val="24"/>
          <w:lang w:eastAsia="zh-CN"/>
        </w:rPr>
      </w:pPr>
      <w:r w:rsidRPr="00B13715">
        <w:rPr>
          <w:szCs w:val="24"/>
          <w:lang w:eastAsia="zh-CN"/>
        </w:rPr>
        <w:t>RLS</w:t>
      </w:r>
      <w:r w:rsidRPr="00B13715">
        <w:rPr>
          <w:szCs w:val="24"/>
          <w:lang w:eastAsia="zh-CN"/>
        </w:rPr>
        <w:tab/>
        <w:t>radiobalise de localisation des sinistres (e</w:t>
      </w:r>
      <w:r w:rsidRPr="00B13715">
        <w:rPr>
          <w:i/>
          <w:iCs/>
          <w:szCs w:val="24"/>
          <w:lang w:eastAsia="zh-CN"/>
        </w:rPr>
        <w:t>mergency position-indicating radio beacon</w:t>
      </w:r>
      <w:r w:rsidRPr="00B13715">
        <w:rPr>
          <w:szCs w:val="24"/>
          <w:lang w:eastAsia="zh-CN"/>
        </w:rPr>
        <w:t>)</w:t>
      </w:r>
    </w:p>
    <w:p w14:paraId="0C4876A3" w14:textId="77777777" w:rsidR="00ED78D1" w:rsidRPr="00B13715" w:rsidRDefault="00ED78D1" w:rsidP="00F274D2">
      <w:pPr>
        <w:tabs>
          <w:tab w:val="clear" w:pos="794"/>
        </w:tabs>
        <w:rPr>
          <w:rFonts w:eastAsiaTheme="minorHAnsi" w:cstheme="minorBidi"/>
          <w:szCs w:val="22"/>
          <w:lang w:eastAsia="zh-CN"/>
        </w:rPr>
      </w:pPr>
      <w:r w:rsidRPr="00B13715">
        <w:rPr>
          <w:szCs w:val="24"/>
          <w:lang w:eastAsia="zh-CN"/>
        </w:rPr>
        <w:t>SOLAS</w:t>
      </w:r>
      <w:r w:rsidRPr="00B13715">
        <w:rPr>
          <w:szCs w:val="24"/>
          <w:lang w:eastAsia="zh-CN"/>
        </w:rPr>
        <w:tab/>
        <w:t>sauvegarde de la vie humaine en mer (</w:t>
      </w:r>
      <w:r w:rsidRPr="00B13715">
        <w:rPr>
          <w:i/>
          <w:iCs/>
          <w:szCs w:val="24"/>
          <w:lang w:eastAsia="zh-CN"/>
        </w:rPr>
        <w:t>s</w:t>
      </w:r>
      <w:r w:rsidRPr="00B13715">
        <w:rPr>
          <w:rFonts w:eastAsiaTheme="minorHAnsi" w:cstheme="minorBidi"/>
          <w:i/>
          <w:iCs/>
          <w:szCs w:val="22"/>
          <w:lang w:eastAsia="zh-CN"/>
        </w:rPr>
        <w:t>afety of life at sea</w:t>
      </w:r>
      <w:r w:rsidRPr="00B13715">
        <w:rPr>
          <w:rFonts w:eastAsiaTheme="minorHAnsi" w:cstheme="minorBidi"/>
          <w:szCs w:val="22"/>
          <w:lang w:eastAsia="zh-CN"/>
        </w:rPr>
        <w:t>)</w:t>
      </w:r>
    </w:p>
    <w:p w14:paraId="52FC1338" w14:textId="77777777" w:rsidR="00ED78D1" w:rsidRPr="00ED78D1" w:rsidRDefault="00ED78D1" w:rsidP="00ED78D1">
      <w:pPr>
        <w:pStyle w:val="Headingb"/>
      </w:pPr>
      <w:r w:rsidRPr="00ED78D1">
        <w:t>Recommandations et rapports connexes de l'UIT</w:t>
      </w:r>
    </w:p>
    <w:p w14:paraId="2B7A3A8A" w14:textId="77777777" w:rsidR="00ED78D1" w:rsidRPr="00ED78D1" w:rsidRDefault="00ED78D1" w:rsidP="00ED78D1">
      <w:pPr>
        <w:pStyle w:val="Reftext"/>
      </w:pPr>
      <w:r w:rsidRPr="00ED78D1">
        <w:t xml:space="preserve">Recommandation UIT-R </w:t>
      </w:r>
      <w:hyperlink r:id="rId15" w:history="1">
        <w:r w:rsidRPr="00ED78D1">
          <w:rPr>
            <w:rStyle w:val="Hyperlink"/>
            <w:color w:val="auto"/>
            <w:u w:val="none"/>
          </w:rPr>
          <w:t>M.1478</w:t>
        </w:r>
      </w:hyperlink>
      <w:r w:rsidRPr="00ED78D1">
        <w:t xml:space="preserve"> – Critères de protection applicables aux instruments de recherche et de sauvetage Cospas-Sarsat dans la bande 406-406,1 MHz</w:t>
      </w:r>
    </w:p>
    <w:p w14:paraId="0B2488E4" w14:textId="77777777" w:rsidR="00ED78D1" w:rsidRPr="00ED78D1" w:rsidRDefault="00ED78D1" w:rsidP="00ED78D1">
      <w:pPr>
        <w:pStyle w:val="Reftext"/>
      </w:pPr>
      <w:r w:rsidRPr="00ED78D1">
        <w:t xml:space="preserve">Rapport UIT-R </w:t>
      </w:r>
      <w:hyperlink r:id="rId16" w:history="1">
        <w:r w:rsidRPr="00ED78D1">
          <w:rPr>
            <w:rStyle w:val="Hyperlink"/>
            <w:color w:val="auto"/>
            <w:u w:val="none"/>
          </w:rPr>
          <w:t>M.2359</w:t>
        </w:r>
      </w:hyperlink>
      <w:r w:rsidRPr="00ED78D1">
        <w:t xml:space="preserve"> – Protection de la bande de fréquences 406-406,1 MHz</w:t>
      </w:r>
    </w:p>
    <w:p w14:paraId="13A4549E" w14:textId="77777777" w:rsidR="00ED78D1" w:rsidRPr="00B13715" w:rsidRDefault="00ED78D1" w:rsidP="00F274D2">
      <w:pPr>
        <w:pStyle w:val="Normalaftertitle"/>
      </w:pPr>
      <w:r w:rsidRPr="00B13715">
        <w:t>L'Assemblée des radiocommunications de l'UIT,</w:t>
      </w:r>
    </w:p>
    <w:p w14:paraId="224EF74F" w14:textId="77777777" w:rsidR="00ED78D1" w:rsidRPr="00B13715" w:rsidRDefault="00ED78D1" w:rsidP="00F274D2">
      <w:pPr>
        <w:pStyle w:val="Call"/>
      </w:pPr>
      <w:r w:rsidRPr="00B13715">
        <w:t>considérant</w:t>
      </w:r>
    </w:p>
    <w:p w14:paraId="4A72573B" w14:textId="77777777" w:rsidR="00ED78D1" w:rsidRPr="00B13715" w:rsidRDefault="00ED78D1" w:rsidP="00F274D2">
      <w:pPr>
        <w:rPr>
          <w:rFonts w:eastAsiaTheme="minorHAnsi" w:cstheme="minorBidi"/>
          <w:szCs w:val="22"/>
        </w:rPr>
      </w:pPr>
      <w:r w:rsidRPr="00B13715">
        <w:rPr>
          <w:rFonts w:eastAsiaTheme="minorHAnsi" w:cstheme="minorBidi"/>
          <w:i/>
          <w:iCs/>
          <w:szCs w:val="22"/>
        </w:rPr>
        <w:t>a)</w:t>
      </w:r>
      <w:r w:rsidRPr="00B13715">
        <w:rPr>
          <w:rFonts w:eastAsiaTheme="minorHAnsi" w:cstheme="minorBidi"/>
          <w:szCs w:val="22"/>
        </w:rPr>
        <w:tab/>
        <w:t>que les RLS par satellite peuvent être utilisées pour l'alerte de détresse dans le cadre des services maritime, terrestre et aéronautique;</w:t>
      </w:r>
    </w:p>
    <w:p w14:paraId="1F8961DB" w14:textId="77777777" w:rsidR="00ED78D1" w:rsidRPr="00B13715" w:rsidRDefault="00ED78D1" w:rsidP="00F274D2">
      <w:pPr>
        <w:rPr>
          <w:rFonts w:eastAsiaTheme="minorHAnsi" w:cstheme="minorBidi"/>
          <w:szCs w:val="22"/>
        </w:rPr>
      </w:pPr>
      <w:r w:rsidRPr="00B13715">
        <w:rPr>
          <w:rFonts w:eastAsiaTheme="minorHAnsi" w:cstheme="minorBidi"/>
          <w:i/>
          <w:iCs/>
          <w:szCs w:val="22"/>
        </w:rPr>
        <w:t>b)</w:t>
      </w:r>
      <w:r w:rsidRPr="00B13715">
        <w:rPr>
          <w:rFonts w:eastAsiaTheme="minorHAnsi" w:cstheme="minorBidi"/>
          <w:szCs w:val="22"/>
        </w:rPr>
        <w:tab/>
        <w:t>que les RLS par satellite ayant des caractéristiques d'émission similaires (mais pouvant présenter par ailleurs des différences de conception) peuvent être employées dans diverses conditions d'exploitation (on peut alors les appeler, selon le cas, «radiobalises de localisation des sinistres» (RLS) dans le domaine maritime, «émetteurs de localisation d'urgence» (ELT) dans l'aviation et «radiobalises de localisation personnelle» (PLB) quand elles sont destinées à être portées par les personnes);</w:t>
      </w:r>
    </w:p>
    <w:p w14:paraId="747BC5DA" w14:textId="77777777" w:rsidR="00ED78D1" w:rsidRPr="00B13715" w:rsidRDefault="00ED78D1" w:rsidP="00F274D2">
      <w:pPr>
        <w:rPr>
          <w:rFonts w:eastAsiaTheme="minorHAnsi" w:cstheme="minorBidi"/>
          <w:szCs w:val="22"/>
        </w:rPr>
      </w:pPr>
      <w:r w:rsidRPr="00B13715">
        <w:rPr>
          <w:rFonts w:eastAsiaTheme="minorHAnsi" w:cstheme="minorBidi"/>
          <w:i/>
          <w:iCs/>
          <w:szCs w:val="22"/>
        </w:rPr>
        <w:t>c)</w:t>
      </w:r>
      <w:r w:rsidRPr="00B13715">
        <w:rPr>
          <w:rFonts w:eastAsiaTheme="minorHAnsi" w:cstheme="minorBidi"/>
          <w:szCs w:val="22"/>
        </w:rPr>
        <w:tab/>
        <w:t>que les RLS par satellite constituent l'un des moyens d'alerte les plus importants du Système mondial de détresse et de sécurité en mer (SMDSM) de l'Organisation maritime internationale (OMI);</w:t>
      </w:r>
    </w:p>
    <w:p w14:paraId="4B623E58" w14:textId="77777777" w:rsidR="00ED78D1" w:rsidRPr="00B13715" w:rsidRDefault="00ED78D1" w:rsidP="00F274D2">
      <w:pPr>
        <w:rPr>
          <w:rFonts w:eastAsiaTheme="minorHAnsi" w:cstheme="minorBidi"/>
          <w:szCs w:val="22"/>
        </w:rPr>
      </w:pPr>
      <w:r w:rsidRPr="00B13715">
        <w:rPr>
          <w:rFonts w:eastAsiaTheme="minorHAnsi" w:cstheme="minorBidi"/>
          <w:i/>
          <w:iCs/>
          <w:szCs w:val="22"/>
        </w:rPr>
        <w:lastRenderedPageBreak/>
        <w:t>d)</w:t>
      </w:r>
      <w:r w:rsidRPr="00B13715">
        <w:rPr>
          <w:rFonts w:eastAsiaTheme="minorHAnsi" w:cstheme="minorBidi"/>
          <w:szCs w:val="22"/>
        </w:rPr>
        <w:tab/>
        <w:t>que tous les navires auxquels s'applique le Chapitre IV de la Convention internationale pour la sauvegarde de la vie humaine en mer (SOLAS), 1974, telle que modifiée, sont tenus d'avoir à leur bord une RLS par satellite fonctionnant dans la bande de fréquences 406,0-406,1 MHz;</w:t>
      </w:r>
    </w:p>
    <w:p w14:paraId="12FEA371" w14:textId="77777777" w:rsidR="00ED78D1" w:rsidRPr="00B13715" w:rsidRDefault="00ED78D1" w:rsidP="00F274D2">
      <w:pPr>
        <w:rPr>
          <w:rFonts w:eastAsiaTheme="minorHAnsi" w:cstheme="minorBidi"/>
          <w:szCs w:val="22"/>
        </w:rPr>
      </w:pPr>
      <w:r w:rsidRPr="00B13715">
        <w:rPr>
          <w:rFonts w:eastAsiaTheme="minorHAnsi" w:cstheme="minorBidi"/>
          <w:i/>
          <w:iCs/>
          <w:szCs w:val="22"/>
        </w:rPr>
        <w:t>e)</w:t>
      </w:r>
      <w:r w:rsidRPr="00B13715">
        <w:rPr>
          <w:rFonts w:eastAsiaTheme="minorHAnsi" w:cstheme="minorBidi"/>
          <w:szCs w:val="22"/>
        </w:rPr>
        <w:tab/>
        <w:t>que tous les avions et hélicoptères auxquels s'appliquent les Parties I, II et III de l'Annexe 6 de la Convention relative à l'aviation civile internationale sont tenus d'embarquer au moins une balise RLS par satellite fonctionnant dans la bande de fréquences 406,0-406,1 MHz (désignée par le sigle ELT dans les documents de l'OACI),</w:t>
      </w:r>
    </w:p>
    <w:p w14:paraId="4DD0E7FD" w14:textId="77777777" w:rsidR="00ED78D1" w:rsidRPr="00B13715" w:rsidRDefault="00ED78D1" w:rsidP="00F274D2">
      <w:pPr>
        <w:pStyle w:val="Call"/>
        <w:rPr>
          <w:iCs/>
        </w:rPr>
      </w:pPr>
      <w:r w:rsidRPr="00B13715">
        <w:t>notant</w:t>
      </w:r>
    </w:p>
    <w:p w14:paraId="6260A8C1" w14:textId="77777777" w:rsidR="00ED78D1" w:rsidRPr="00B13715" w:rsidRDefault="00ED78D1" w:rsidP="00F274D2">
      <w:pPr>
        <w:rPr>
          <w:rFonts w:eastAsiaTheme="minorHAnsi" w:cstheme="minorBidi"/>
          <w:szCs w:val="22"/>
        </w:rPr>
      </w:pPr>
      <w:r w:rsidRPr="00B13715">
        <w:rPr>
          <w:rFonts w:eastAsiaTheme="minorHAnsi" w:cstheme="minorBidi"/>
          <w:i/>
          <w:iCs/>
          <w:szCs w:val="22"/>
        </w:rPr>
        <w:t>a)</w:t>
      </w:r>
      <w:r w:rsidRPr="00B13715">
        <w:rPr>
          <w:rFonts w:eastAsiaTheme="minorHAnsi" w:cstheme="minorBidi"/>
          <w:szCs w:val="22"/>
        </w:rPr>
        <w:tab/>
        <w:t>la disponibilité actuelle et prévue de satellites Cospas-Sarsat opérationnels en orbite;</w:t>
      </w:r>
    </w:p>
    <w:p w14:paraId="3136D7C5" w14:textId="77777777" w:rsidR="00ED78D1" w:rsidRPr="00B13715" w:rsidRDefault="00ED78D1" w:rsidP="00F274D2">
      <w:pPr>
        <w:rPr>
          <w:rFonts w:ascii="Calibri" w:eastAsiaTheme="minorHAnsi" w:hAnsi="Calibri" w:cs="Calibri"/>
          <w:szCs w:val="22"/>
        </w:rPr>
      </w:pPr>
      <w:r w:rsidRPr="00B13715">
        <w:rPr>
          <w:rFonts w:eastAsiaTheme="minorHAnsi" w:cstheme="minorBidi"/>
          <w:i/>
          <w:iCs/>
          <w:szCs w:val="22"/>
        </w:rPr>
        <w:t>b)</w:t>
      </w:r>
      <w:r w:rsidRPr="00B13715">
        <w:rPr>
          <w:rFonts w:eastAsiaTheme="minorHAnsi" w:cstheme="minorBidi"/>
          <w:szCs w:val="22"/>
        </w:rPr>
        <w:tab/>
        <w:t>la disponibilité actuelle et prévue du système au sol Cospas-Sarsat,</w:t>
      </w:r>
    </w:p>
    <w:p w14:paraId="20006A60" w14:textId="77777777" w:rsidR="00ED78D1" w:rsidRPr="00B13715" w:rsidRDefault="00ED78D1" w:rsidP="00F274D2">
      <w:pPr>
        <w:pStyle w:val="Call"/>
        <w:rPr>
          <w:rFonts w:ascii="Calibri" w:hAnsi="Calibri" w:cs="Calibri"/>
        </w:rPr>
      </w:pPr>
      <w:r w:rsidRPr="00B13715">
        <w:t>recommande</w:t>
      </w:r>
    </w:p>
    <w:p w14:paraId="4AFD9521" w14:textId="77777777" w:rsidR="00ED78D1" w:rsidRPr="00B13715" w:rsidRDefault="00ED78D1" w:rsidP="00F274D2">
      <w:pPr>
        <w:rPr>
          <w:rFonts w:eastAsiaTheme="minorHAnsi" w:cstheme="minorBidi"/>
          <w:szCs w:val="22"/>
        </w:rPr>
      </w:pPr>
      <w:r w:rsidRPr="00B13715">
        <w:rPr>
          <w:rFonts w:eastAsiaTheme="minorHAnsi" w:cstheme="minorBidi"/>
          <w:szCs w:val="22"/>
        </w:rPr>
        <w:t xml:space="preserve">que les caractéristiques de transmission et les formats de données d'une RLS par satellite fonctionnant dans la bande de fréquences 406,0-406,1 MHz </w:t>
      </w:r>
      <w:bookmarkStart w:id="4" w:name="OLE_LINK3"/>
      <w:bookmarkStart w:id="5" w:name="OLE_LINK4"/>
      <w:r w:rsidRPr="00B13715">
        <w:rPr>
          <w:rFonts w:eastAsiaTheme="minorHAnsi" w:cstheme="minorBidi"/>
          <w:szCs w:val="22"/>
        </w:rPr>
        <w:t>soient conformes aux spécifications des balises de détresse Cospas-Sarsat fonctionnant dans la bande des 406 MHz figurant dans le Document Cospas</w:t>
      </w:r>
      <w:r w:rsidRPr="00B13715">
        <w:rPr>
          <w:rFonts w:eastAsiaTheme="minorHAnsi" w:cstheme="minorBidi"/>
          <w:szCs w:val="22"/>
        </w:rPr>
        <w:noBreakHyphen/>
        <w:t xml:space="preserve">Sarsat C/S T.001, </w:t>
      </w:r>
      <w:bookmarkEnd w:id="4"/>
      <w:bookmarkEnd w:id="5"/>
      <w:r w:rsidRPr="00B13715">
        <w:rPr>
          <w:rFonts w:eastAsiaTheme="minorHAnsi" w:cstheme="minorBidi"/>
          <w:szCs w:val="22"/>
        </w:rPr>
        <w:t xml:space="preserve">tel que modifié, </w:t>
      </w:r>
      <w:bookmarkStart w:id="6" w:name="OLE_LINK7"/>
      <w:bookmarkStart w:id="7" w:name="OLE_LINK8"/>
      <w:bookmarkStart w:id="8" w:name="OLE_LINK5"/>
      <w:bookmarkStart w:id="9" w:name="OLE_LINK6"/>
      <w:r w:rsidRPr="00B13715">
        <w:rPr>
          <w:rFonts w:eastAsiaTheme="minorHAnsi" w:cstheme="minorBidi"/>
          <w:szCs w:val="22"/>
        </w:rPr>
        <w:t>ou aux spécifications des balises de détresse Cospas-Sarsat de deuxième génération fonctionnant dans la bande des 406 MHz figurant dans le Document Cospas</w:t>
      </w:r>
      <w:r w:rsidRPr="00B13715">
        <w:rPr>
          <w:rFonts w:eastAsiaTheme="minorHAnsi" w:cstheme="minorBidi"/>
          <w:szCs w:val="22"/>
        </w:rPr>
        <w:noBreakHyphen/>
        <w:t>Sarsat C/S T.018</w:t>
      </w:r>
      <w:bookmarkEnd w:id="6"/>
      <w:bookmarkEnd w:id="7"/>
      <w:r w:rsidRPr="00B13715">
        <w:rPr>
          <w:rFonts w:eastAsiaTheme="minorHAnsi" w:cstheme="minorBidi"/>
          <w:szCs w:val="22"/>
        </w:rPr>
        <w:t xml:space="preserve">, </w:t>
      </w:r>
      <w:bookmarkEnd w:id="8"/>
      <w:bookmarkEnd w:id="9"/>
      <w:r w:rsidRPr="00B13715">
        <w:rPr>
          <w:rFonts w:eastAsiaTheme="minorHAnsi" w:cstheme="minorBidi"/>
          <w:szCs w:val="22"/>
        </w:rPr>
        <w:t>tel que modifié.</w:t>
      </w:r>
    </w:p>
    <w:p w14:paraId="7D4EEBED" w14:textId="276BD493" w:rsidR="00ED78D1" w:rsidRPr="00B13715" w:rsidRDefault="00ED78D1" w:rsidP="00B13715">
      <w:pPr>
        <w:ind w:right="-20"/>
      </w:pPr>
      <w:r w:rsidRPr="00B13715">
        <w:t>NOTE</w:t>
      </w:r>
      <w:r>
        <w:t> </w:t>
      </w:r>
      <w:r w:rsidRPr="00B13715">
        <w:t>1</w:t>
      </w:r>
      <w:r>
        <w:t> </w:t>
      </w:r>
      <w:r w:rsidRPr="00B13715">
        <w:t>–</w:t>
      </w:r>
      <w:r>
        <w:t> </w:t>
      </w:r>
      <w:r w:rsidRPr="00B13715">
        <w:t>Pour recevoir gratuitement un exemplaire de la dernière version modifiée du Document C/S T.001 ou du Document C/S T.018, s'adresser au Secrétariat de Cospas-Sarsat (</w:t>
      </w:r>
      <w:hyperlink r:id="rId17" w:history="1">
        <w:r w:rsidRPr="00B13715">
          <w:rPr>
            <w:rStyle w:val="Hyperlink"/>
          </w:rPr>
          <w:t>mail@cospas</w:t>
        </w:r>
        <w:r w:rsidRPr="00B13715">
          <w:rPr>
            <w:rStyle w:val="Hyperlink"/>
            <w:b/>
            <w:bCs/>
          </w:rPr>
          <w:t>-</w:t>
        </w:r>
        <w:r w:rsidRPr="00B13715">
          <w:rPr>
            <w:rStyle w:val="Hyperlink"/>
          </w:rPr>
          <w:t>sarsat.int</w:t>
        </w:r>
      </w:hyperlink>
      <w:r w:rsidRPr="00B13715">
        <w:t>) ou consulter le site Internet de Cospas-Sarsat (</w:t>
      </w:r>
      <w:hyperlink r:id="rId18" w:history="1">
        <w:r w:rsidRPr="00B13715">
          <w:rPr>
            <w:rStyle w:val="Hyperlink"/>
          </w:rPr>
          <w:t>http://www.cospas-sarsat.</w:t>
        </w:r>
        <w:r w:rsidRPr="00B13715">
          <w:rPr>
            <w:rStyle w:val="Hyperlink"/>
            <w:bCs/>
          </w:rPr>
          <w:t>int</w:t>
        </w:r>
      </w:hyperlink>
      <w:r w:rsidRPr="00B13715">
        <w:t>).</w:t>
      </w:r>
    </w:p>
    <w:p w14:paraId="143A8BCC" w14:textId="77777777" w:rsidR="00B874C6" w:rsidRDefault="00B874C6" w:rsidP="00B874C6"/>
    <w:p w14:paraId="2511C722" w14:textId="77777777" w:rsidR="00B874C6" w:rsidRPr="004F3F6F" w:rsidRDefault="00B874C6" w:rsidP="00B874C6">
      <w:pPr>
        <w:pStyle w:val="Line"/>
        <w:rPr>
          <w:lang w:val="fr-FR"/>
        </w:rPr>
      </w:pPr>
    </w:p>
    <w:sectPr w:rsidR="00B874C6" w:rsidRPr="004F3F6F" w:rsidSect="007565CC">
      <w:footerReference w:type="default" r:id="rId19"/>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FEC5" w14:textId="77777777" w:rsidR="006D5E0F" w:rsidRDefault="006D5E0F">
      <w:r>
        <w:separator/>
      </w:r>
    </w:p>
  </w:endnote>
  <w:endnote w:type="continuationSeparator" w:id="0">
    <w:p w14:paraId="176AF8FD" w14:textId="77777777" w:rsidR="006D5E0F" w:rsidRDefault="006D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9AE7" w14:textId="77777777" w:rsidR="00301DB3" w:rsidRDefault="00301DB3">
    <w:pPr>
      <w:pStyle w:val="Footer"/>
    </w:pPr>
    <w:r>
      <w:drawing>
        <wp:anchor distT="0" distB="0" distL="0" distR="0" simplePos="0" relativeHeight="251656192" behindDoc="0" locked="0" layoutInCell="1" allowOverlap="1" wp14:anchorId="45F57866" wp14:editId="7518B366">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53F2"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3BC5" w14:textId="77777777" w:rsidR="006D5E0F" w:rsidRDefault="006D5E0F">
      <w:r>
        <w:separator/>
      </w:r>
    </w:p>
  </w:footnote>
  <w:footnote w:type="continuationSeparator" w:id="0">
    <w:p w14:paraId="70DFE96C" w14:textId="77777777" w:rsidR="006D5E0F" w:rsidRDefault="006D5E0F">
      <w:r>
        <w:continuationSeparator/>
      </w:r>
    </w:p>
  </w:footnote>
  <w:footnote w:id="1">
    <w:p w14:paraId="210277F3" w14:textId="77777777" w:rsidR="00ED78D1" w:rsidRPr="00123822" w:rsidRDefault="00ED78D1" w:rsidP="00ED78D1">
      <w:pPr>
        <w:pStyle w:val="FootnoteText"/>
      </w:pPr>
      <w:r w:rsidRPr="00123822">
        <w:rPr>
          <w:rStyle w:val="FootnoteReference"/>
        </w:rPr>
        <w:t>*</w:t>
      </w:r>
      <w:r w:rsidRPr="00123822">
        <w:tab/>
        <w:t>La présente Recommandation doit être portée à l'attention de l'Organisation maritime internationale (OMI), de l'Organisation de l'aviation civile internationale (OACI), et de l'Organisation internationale des télécommunications mobiles par satellite (IMSO).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6173"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125E1684" w14:textId="77777777" w:rsidTr="0019307B">
      <w:tc>
        <w:tcPr>
          <w:tcW w:w="4634" w:type="dxa"/>
          <w:vAlign w:val="center"/>
        </w:tcPr>
        <w:p w14:paraId="552AEBD7"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AA68C37"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Union</w:t>
          </w:r>
          <w:r w:rsidR="00A25EE2">
            <w:rPr>
              <w:rFonts w:asciiTheme="minorBidi" w:hAnsiTheme="minorBidi"/>
              <w:b/>
              <w:spacing w:val="4"/>
              <w:szCs w:val="24"/>
            </w:rPr>
            <w:t xml:space="preserve"> i</w:t>
          </w:r>
          <w:r w:rsidR="00A25EE2" w:rsidRPr="00260B24">
            <w:rPr>
              <w:rFonts w:asciiTheme="minorBidi" w:hAnsiTheme="minorBidi"/>
              <w:b/>
              <w:spacing w:val="4"/>
              <w:szCs w:val="24"/>
            </w:rPr>
            <w:t>nternational</w:t>
          </w:r>
          <w:r w:rsidR="00BF3333">
            <w:rPr>
              <w:rFonts w:asciiTheme="minorBidi" w:hAnsiTheme="minorBidi"/>
              <w:b/>
              <w:spacing w:val="4"/>
              <w:szCs w:val="24"/>
            </w:rPr>
            <w:t>e</w:t>
          </w:r>
          <w:r w:rsidR="00A25EE2" w:rsidRPr="00260B24">
            <w:rPr>
              <w:rFonts w:asciiTheme="minorBidi" w:hAnsiTheme="minorBidi"/>
              <w:b/>
              <w:spacing w:val="4"/>
              <w:szCs w:val="24"/>
            </w:rPr>
            <w:t xml:space="preserve"> </w:t>
          </w:r>
          <w:r w:rsidR="00A25EE2">
            <w:rPr>
              <w:rFonts w:asciiTheme="minorBidi" w:hAnsiTheme="minorBidi"/>
              <w:b/>
              <w:spacing w:val="4"/>
              <w:szCs w:val="24"/>
            </w:rPr>
            <w:t>des té</w:t>
          </w:r>
          <w:r w:rsidR="00A25EE2" w:rsidRPr="00260B24">
            <w:rPr>
              <w:rFonts w:asciiTheme="minorBidi" w:hAnsiTheme="minorBidi"/>
              <w:b/>
              <w:spacing w:val="4"/>
              <w:szCs w:val="24"/>
            </w:rPr>
            <w:t>l</w:t>
          </w:r>
          <w:r w:rsidR="00A25EE2">
            <w:rPr>
              <w:rFonts w:asciiTheme="minorBidi" w:hAnsiTheme="minorBidi"/>
              <w:b/>
              <w:spacing w:val="4"/>
              <w:szCs w:val="24"/>
            </w:rPr>
            <w:t>é</w:t>
          </w:r>
          <w:r w:rsidR="00A25EE2" w:rsidRPr="00260B24">
            <w:rPr>
              <w:rFonts w:asciiTheme="minorBidi" w:hAnsiTheme="minorBidi"/>
              <w:b/>
              <w:spacing w:val="4"/>
              <w:szCs w:val="24"/>
            </w:rPr>
            <w:t>communication</w:t>
          </w:r>
          <w:r w:rsidR="00A25EE2">
            <w:rPr>
              <w:rFonts w:asciiTheme="minorBidi" w:hAnsiTheme="minorBidi"/>
              <w:b/>
              <w:spacing w:val="4"/>
              <w:szCs w:val="24"/>
            </w:rPr>
            <w:t>s</w:t>
          </w:r>
        </w:p>
      </w:tc>
    </w:tr>
    <w:tr w:rsidR="005B0371" w:rsidRPr="00A239D1" w14:paraId="5D9A1C95" w14:textId="77777777" w:rsidTr="0019307B">
      <w:tc>
        <w:tcPr>
          <w:tcW w:w="4634" w:type="dxa"/>
          <w:vAlign w:val="center"/>
        </w:tcPr>
        <w:p w14:paraId="3E927515"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sidR="00A25EE2">
            <w:rPr>
              <w:rFonts w:asciiTheme="minorBidi" w:hAnsiTheme="minorBidi"/>
              <w:spacing w:val="4"/>
              <w:szCs w:val="24"/>
            </w:rPr>
            <w:t>a</w:t>
          </w:r>
          <w:r w:rsidRPr="00260B24">
            <w:rPr>
              <w:rFonts w:asciiTheme="minorBidi" w:hAnsiTheme="minorBidi"/>
              <w:spacing w:val="4"/>
              <w:szCs w:val="24"/>
            </w:rPr>
            <w:t>ndation</w:t>
          </w:r>
          <w:r w:rsidR="004A6FEB" w:rsidRPr="00260B24">
            <w:rPr>
              <w:rFonts w:asciiTheme="minorBidi" w:hAnsiTheme="minorBidi"/>
              <w:spacing w:val="4"/>
              <w:szCs w:val="24"/>
            </w:rPr>
            <w:t>s</w:t>
          </w:r>
        </w:p>
      </w:tc>
      <w:tc>
        <w:tcPr>
          <w:tcW w:w="5998" w:type="dxa"/>
          <w:vAlign w:val="center"/>
        </w:tcPr>
        <w:p w14:paraId="13A28A23"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EE47C4" w:rsidRPr="00260B24">
            <w:rPr>
              <w:rFonts w:asciiTheme="minorBidi" w:hAnsiTheme="minorBidi"/>
              <w:spacing w:val="4"/>
              <w:szCs w:val="24"/>
            </w:rPr>
            <w:t>Radiocommunication</w:t>
          </w:r>
          <w:r>
            <w:rPr>
              <w:rFonts w:asciiTheme="minorBidi" w:hAnsiTheme="minorBidi"/>
              <w:spacing w:val="4"/>
              <w:szCs w:val="24"/>
            </w:rPr>
            <w:t>s</w:t>
          </w:r>
        </w:p>
      </w:tc>
    </w:tr>
  </w:tbl>
  <w:p w14:paraId="7C475EFC"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44EE184E" wp14:editId="7D275401">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68CEAB3D" wp14:editId="5B8C2D2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86C8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913E819"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BAE3EBD" wp14:editId="56A9AA42">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4FCF2"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3288" w14:textId="36FD3A94"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C761DA">
      <w:rPr>
        <w:b/>
        <w:bCs/>
        <w:lang w:val="en-US"/>
      </w:rPr>
      <w:t xml:space="preserve">Rec. </w:t>
    </w:r>
    <w:r>
      <w:rPr>
        <w:b/>
        <w:bCs/>
        <w:lang w:val="en-US"/>
      </w:rPr>
      <w:fldChar w:fldCharType="end"/>
    </w:r>
    <w:r w:rsidRPr="004F3F6F">
      <w:rPr>
        <w:b/>
        <w:bCs/>
        <w:lang w:val="en-GB"/>
      </w:rPr>
      <w:t xml:space="preserve"> </w:t>
    </w:r>
    <w:r>
      <w:rPr>
        <w:b/>
        <w:bCs/>
      </w:rPr>
      <w:fldChar w:fldCharType="begin"/>
    </w:r>
    <w:r>
      <w:rPr>
        <w:b/>
        <w:bCs/>
        <w:lang w:val="en-US"/>
      </w:rPr>
      <w:instrText>styleref href</w:instrText>
    </w:r>
    <w:r>
      <w:rPr>
        <w:b/>
        <w:bCs/>
      </w:rPr>
      <w:fldChar w:fldCharType="separate"/>
    </w:r>
    <w:r w:rsidR="00C761DA">
      <w:rPr>
        <w:b/>
        <w:bCs/>
        <w:noProof/>
        <w:lang w:val="en-US"/>
      </w:rPr>
      <w:t>UIT-R  M.633-5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5B3F" w14:textId="2531E6C7"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C761DA">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C761DA">
      <w:rPr>
        <w:b/>
        <w:bCs/>
        <w:noProof/>
      </w:rPr>
      <w:t>UIT-R  M.633-5</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0F"/>
    <w:rsid w:val="00013002"/>
    <w:rsid w:val="00036EE3"/>
    <w:rsid w:val="00072484"/>
    <w:rsid w:val="00095530"/>
    <w:rsid w:val="00096612"/>
    <w:rsid w:val="000A4A32"/>
    <w:rsid w:val="000B1B2B"/>
    <w:rsid w:val="000B7683"/>
    <w:rsid w:val="000D0677"/>
    <w:rsid w:val="000E0548"/>
    <w:rsid w:val="000E6A6E"/>
    <w:rsid w:val="00102934"/>
    <w:rsid w:val="00147110"/>
    <w:rsid w:val="001511A6"/>
    <w:rsid w:val="00171C4D"/>
    <w:rsid w:val="0017562F"/>
    <w:rsid w:val="0019307B"/>
    <w:rsid w:val="001B0927"/>
    <w:rsid w:val="001B164E"/>
    <w:rsid w:val="001B7886"/>
    <w:rsid w:val="001D43CF"/>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627C"/>
    <w:rsid w:val="003B409A"/>
    <w:rsid w:val="003E5516"/>
    <w:rsid w:val="003F4B75"/>
    <w:rsid w:val="00420DFD"/>
    <w:rsid w:val="00425BC7"/>
    <w:rsid w:val="00437A76"/>
    <w:rsid w:val="004604B2"/>
    <w:rsid w:val="00470E28"/>
    <w:rsid w:val="0047379B"/>
    <w:rsid w:val="00474170"/>
    <w:rsid w:val="00477729"/>
    <w:rsid w:val="004842E2"/>
    <w:rsid w:val="00486EB3"/>
    <w:rsid w:val="004934C5"/>
    <w:rsid w:val="004A293A"/>
    <w:rsid w:val="004A6FEB"/>
    <w:rsid w:val="004E61FF"/>
    <w:rsid w:val="004F3F6F"/>
    <w:rsid w:val="005373E0"/>
    <w:rsid w:val="00556548"/>
    <w:rsid w:val="00571B1C"/>
    <w:rsid w:val="00576D47"/>
    <w:rsid w:val="00586EF8"/>
    <w:rsid w:val="005B0371"/>
    <w:rsid w:val="005B49AB"/>
    <w:rsid w:val="005B50E7"/>
    <w:rsid w:val="005C4BAB"/>
    <w:rsid w:val="005D2F8E"/>
    <w:rsid w:val="005E12A5"/>
    <w:rsid w:val="005E69F0"/>
    <w:rsid w:val="005E7B4F"/>
    <w:rsid w:val="005F003B"/>
    <w:rsid w:val="005F2E73"/>
    <w:rsid w:val="00601882"/>
    <w:rsid w:val="00607D68"/>
    <w:rsid w:val="00613212"/>
    <w:rsid w:val="006144F0"/>
    <w:rsid w:val="006149B1"/>
    <w:rsid w:val="00636507"/>
    <w:rsid w:val="00640332"/>
    <w:rsid w:val="00680D2B"/>
    <w:rsid w:val="00681B32"/>
    <w:rsid w:val="00697887"/>
    <w:rsid w:val="006B1D2B"/>
    <w:rsid w:val="006C37D5"/>
    <w:rsid w:val="006D5E0F"/>
    <w:rsid w:val="006E1131"/>
    <w:rsid w:val="006E2037"/>
    <w:rsid w:val="006E6199"/>
    <w:rsid w:val="006E7E89"/>
    <w:rsid w:val="00710A2A"/>
    <w:rsid w:val="00712870"/>
    <w:rsid w:val="00714AC0"/>
    <w:rsid w:val="0074147D"/>
    <w:rsid w:val="00743D85"/>
    <w:rsid w:val="00744F8B"/>
    <w:rsid w:val="00747D6E"/>
    <w:rsid w:val="00753CF4"/>
    <w:rsid w:val="007565CC"/>
    <w:rsid w:val="007624B1"/>
    <w:rsid w:val="00763B9A"/>
    <w:rsid w:val="007A6AA8"/>
    <w:rsid w:val="007B1357"/>
    <w:rsid w:val="007B3343"/>
    <w:rsid w:val="008203DA"/>
    <w:rsid w:val="008310C9"/>
    <w:rsid w:val="008335F0"/>
    <w:rsid w:val="00834306"/>
    <w:rsid w:val="00853CC5"/>
    <w:rsid w:val="00877E6E"/>
    <w:rsid w:val="008B083A"/>
    <w:rsid w:val="008C5BDE"/>
    <w:rsid w:val="008C7848"/>
    <w:rsid w:val="008E50E5"/>
    <w:rsid w:val="00906589"/>
    <w:rsid w:val="00906AD6"/>
    <w:rsid w:val="00912BF7"/>
    <w:rsid w:val="00917AF2"/>
    <w:rsid w:val="0092418A"/>
    <w:rsid w:val="00934ED7"/>
    <w:rsid w:val="00940D16"/>
    <w:rsid w:val="009543C3"/>
    <w:rsid w:val="00966E1B"/>
    <w:rsid w:val="00972F51"/>
    <w:rsid w:val="00984A02"/>
    <w:rsid w:val="009947C0"/>
    <w:rsid w:val="009A4039"/>
    <w:rsid w:val="009A41F9"/>
    <w:rsid w:val="009D4BBD"/>
    <w:rsid w:val="009F2D2C"/>
    <w:rsid w:val="009F5580"/>
    <w:rsid w:val="00A03C0E"/>
    <w:rsid w:val="00A239D1"/>
    <w:rsid w:val="00A25EE2"/>
    <w:rsid w:val="00A31928"/>
    <w:rsid w:val="00A35B27"/>
    <w:rsid w:val="00A507D4"/>
    <w:rsid w:val="00A5147A"/>
    <w:rsid w:val="00A62A14"/>
    <w:rsid w:val="00A6617B"/>
    <w:rsid w:val="00A66700"/>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1EC3"/>
    <w:rsid w:val="00B0286E"/>
    <w:rsid w:val="00B02C89"/>
    <w:rsid w:val="00B033C8"/>
    <w:rsid w:val="00B24667"/>
    <w:rsid w:val="00B33425"/>
    <w:rsid w:val="00B42334"/>
    <w:rsid w:val="00B44E24"/>
    <w:rsid w:val="00B54ECC"/>
    <w:rsid w:val="00B60AC0"/>
    <w:rsid w:val="00B714F3"/>
    <w:rsid w:val="00B75A52"/>
    <w:rsid w:val="00B874C6"/>
    <w:rsid w:val="00B87B6B"/>
    <w:rsid w:val="00B9169E"/>
    <w:rsid w:val="00BB7886"/>
    <w:rsid w:val="00BC3C85"/>
    <w:rsid w:val="00BC5D77"/>
    <w:rsid w:val="00BD4283"/>
    <w:rsid w:val="00BD554D"/>
    <w:rsid w:val="00BF3333"/>
    <w:rsid w:val="00BF487A"/>
    <w:rsid w:val="00BF5544"/>
    <w:rsid w:val="00C15F3E"/>
    <w:rsid w:val="00C46BD9"/>
    <w:rsid w:val="00C55258"/>
    <w:rsid w:val="00C73560"/>
    <w:rsid w:val="00C761DA"/>
    <w:rsid w:val="00C84DB7"/>
    <w:rsid w:val="00C87A35"/>
    <w:rsid w:val="00CB0F14"/>
    <w:rsid w:val="00CD659B"/>
    <w:rsid w:val="00CE0A43"/>
    <w:rsid w:val="00CE7896"/>
    <w:rsid w:val="00D00118"/>
    <w:rsid w:val="00D16749"/>
    <w:rsid w:val="00D5024B"/>
    <w:rsid w:val="00D61962"/>
    <w:rsid w:val="00D65AAB"/>
    <w:rsid w:val="00D72623"/>
    <w:rsid w:val="00D73376"/>
    <w:rsid w:val="00D83556"/>
    <w:rsid w:val="00DE5556"/>
    <w:rsid w:val="00DF4176"/>
    <w:rsid w:val="00E0095C"/>
    <w:rsid w:val="00E17240"/>
    <w:rsid w:val="00E74595"/>
    <w:rsid w:val="00E77485"/>
    <w:rsid w:val="00EB1CB6"/>
    <w:rsid w:val="00EB5736"/>
    <w:rsid w:val="00EB7C57"/>
    <w:rsid w:val="00ED0C71"/>
    <w:rsid w:val="00ED2695"/>
    <w:rsid w:val="00ED78D1"/>
    <w:rsid w:val="00EE04BA"/>
    <w:rsid w:val="00EE47C4"/>
    <w:rsid w:val="00EF2D52"/>
    <w:rsid w:val="00F30C9B"/>
    <w:rsid w:val="00F354B1"/>
    <w:rsid w:val="00F354D7"/>
    <w:rsid w:val="00F6343F"/>
    <w:rsid w:val="00F72776"/>
    <w:rsid w:val="00F92A40"/>
    <w:rsid w:val="00FA24FA"/>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5E93FEC2"/>
  <w15:docId w15:val="{32E2F6F2-ED1F-4179-BAB0-490ED1A8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Footnote Reference/,Appel note de bas de p"/>
    <w:basedOn w:val="DefaultParagraphFont"/>
    <w:rsid w:val="00A93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ED78D1"/>
    <w:rPr>
      <w:sz w:val="22"/>
      <w:lang w:val="fr-FR" w:eastAsia="en-US"/>
    </w:rPr>
  </w:style>
  <w:style w:type="character" w:customStyle="1" w:styleId="HeadingbChar">
    <w:name w:val="Heading_b Char"/>
    <w:basedOn w:val="DefaultParagraphFont"/>
    <w:link w:val="Headingb"/>
    <w:locked/>
    <w:rsid w:val="00ED78D1"/>
    <w:rPr>
      <w:b/>
      <w:sz w:val="24"/>
      <w:lang w:val="fr-FR" w:eastAsia="en-US"/>
    </w:rPr>
  </w:style>
  <w:style w:type="paragraph" w:styleId="Revision">
    <w:name w:val="Revision"/>
    <w:hidden/>
    <w:uiPriority w:val="99"/>
    <w:semiHidden/>
    <w:rsid w:val="005D2F8E"/>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cospas-sarsat.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ubl/R-REC/fr" TargetMode="External"/><Relationship Id="rId17" Type="http://schemas.openxmlformats.org/officeDocument/2006/relationships/hyperlink" Target="mailto:mail@cospas-sarsat.int" TargetMode="External"/><Relationship Id="rId2" Type="http://schemas.openxmlformats.org/officeDocument/2006/relationships/numbering" Target="numbering.xml"/><Relationship Id="rId16" Type="http://schemas.openxmlformats.org/officeDocument/2006/relationships/hyperlink" Target="https://www.itu.int/pub/R-REP-M.23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fr" TargetMode="External"/><Relationship Id="rId5" Type="http://schemas.openxmlformats.org/officeDocument/2006/relationships/webSettings" Target="webSettings.xml"/><Relationship Id="rId15" Type="http://schemas.openxmlformats.org/officeDocument/2006/relationships/hyperlink" Target="https://www.itu.int/rec/R-REC-M.1478/en"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F\2023-ITU-R-REC%20BR_M.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9BE4-0D92-46CF-93A2-FB1B5317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 BR_M.F.dotx</Template>
  <TotalTime>6</TotalTime>
  <Pages>4</Pages>
  <Words>918</Words>
  <Characters>5942</Characters>
  <Application>Microsoft Office Word</Application>
  <DocSecurity>0</DocSecurity>
  <Lines>138</Lines>
  <Paragraphs>95</Paragraphs>
  <ScaleCrop>false</ScaleCrop>
  <HeadingPairs>
    <vt:vector size="2" baseType="variant">
      <vt:variant>
        <vt:lpstr>Title</vt:lpstr>
      </vt:variant>
      <vt:variant>
        <vt:i4>1</vt:i4>
      </vt:variant>
    </vt:vector>
  </HeadingPairs>
  <TitlesOfParts>
    <vt:vector size="1" baseType="lpstr">
      <vt:lpstr>RECOMMANDATION  UIT-R  M.633-5* - Caractéristiques de transmission d'un système de radiobalises de localisation des sinistres par satellite (RLS par satellite) fonctionnant par l'intermédiaire d'un système à satellites dans la bande de fréquences 406,0-40</vt:lpstr>
    </vt:vector>
  </TitlesOfParts>
  <Manager/>
  <Company>ITU</Company>
  <LinksUpToDate>false</LinksUpToDate>
  <CharactersWithSpaces>6765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M.633-5 - Caractéristiques de transmission d'un système de radiobalises de localisation des sinistres par satellite (RLS par satellite) fonctionnant par l'intermédiaire d'un système à satellites dans la bande de fréquences 406,0-406,1 MHz</dc:title>
  <dc:subject>Série M = Services mobile, de radiorepérage et d'amateur y compris les services par satellite associés</dc:subject>
  <dc:creator>Bureau des radiocommunications de l'UIT (BR)</dc:creator>
  <cp:keywords>M,633-5</cp:keywords>
  <dc:description>Saez, 31.01.2024, ITU51013874</dc:description>
  <cp:lastModifiedBy>Saez Grau, Ricardo</cp:lastModifiedBy>
  <cp:revision>8</cp:revision>
  <cp:lastPrinted>2024-01-31T10:05:00Z</cp:lastPrinted>
  <dcterms:created xsi:type="dcterms:W3CDTF">2024-01-31T09:10:00Z</dcterms:created>
  <dcterms:modified xsi:type="dcterms:W3CDTF">2024-01-31T10:05:00Z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French</vt:lpwstr>
  </property>
  <property fmtid="{D5CDD505-2E9C-101B-9397-08002B2CF9AE}" pid="10" name="Typist">
    <vt:lpwstr>Saez</vt:lpwstr>
  </property>
  <property fmtid="{D5CDD505-2E9C-101B-9397-08002B2CF9AE}" pid="11" name="Date completed">
    <vt:lpwstr>mercredi, 31 janvier 2024</vt:lpwstr>
  </property>
</Properties>
</file>