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E93" w:rsidRPr="00575CB8" w:rsidRDefault="00AC3E93" w:rsidP="0063684B">
      <w:pPr>
        <w:rPr>
          <w:lang w:val="en-US"/>
        </w:rPr>
      </w:pPr>
      <w:bookmarkStart w:id="0" w:name="_GoBack"/>
      <w:bookmarkEnd w:id="0"/>
    </w:p>
    <w:p w:rsidR="00AC3E93" w:rsidRDefault="00AC3E93" w:rsidP="0063684B"/>
    <w:p w:rsidR="00AC3E93" w:rsidRDefault="00AC3E93" w:rsidP="0063684B"/>
    <w:p w:rsidR="00AC3E93" w:rsidRDefault="00AC3E93" w:rsidP="0063684B"/>
    <w:p w:rsidR="00AC3E93" w:rsidRDefault="00AC3E93" w:rsidP="0063684B"/>
    <w:p w:rsidR="00AC3E93" w:rsidRDefault="00AC3E93" w:rsidP="0063684B"/>
    <w:p w:rsidR="00AC3E93" w:rsidRDefault="00AC3E93" w:rsidP="0063684B"/>
    <w:p w:rsidR="00AC3E93" w:rsidRDefault="00AC3E93" w:rsidP="0063684B"/>
    <w:p w:rsidR="00AC3E93" w:rsidRDefault="00AC3E93" w:rsidP="0063684B"/>
    <w:tbl>
      <w:tblPr>
        <w:tblW w:w="10089" w:type="dxa"/>
        <w:tblLook w:val="01E0" w:firstRow="1" w:lastRow="1" w:firstColumn="1" w:lastColumn="1" w:noHBand="0" w:noVBand="0"/>
      </w:tblPr>
      <w:tblGrid>
        <w:gridCol w:w="10089"/>
      </w:tblGrid>
      <w:tr w:rsidR="00AC3E93" w:rsidRPr="00AC3E93" w:rsidTr="0063684B">
        <w:tc>
          <w:tcPr>
            <w:tcW w:w="10089" w:type="dxa"/>
          </w:tcPr>
          <w:p w:rsidR="00AC3E93" w:rsidRPr="00A07AEB" w:rsidRDefault="00AC3E93" w:rsidP="0063684B">
            <w:pPr>
              <w:spacing w:before="380" w:line="280" w:lineRule="exact"/>
              <w:jc w:val="right"/>
              <w:rPr>
                <w:rFonts w:ascii="Tahoma" w:hAnsi="Tahoma" w:cs="Tahoma"/>
                <w:b/>
                <w:bCs/>
                <w:iCs/>
                <w:color w:val="243285"/>
                <w:sz w:val="32"/>
                <w:szCs w:val="32"/>
                <w:lang w:val="en-US"/>
              </w:rPr>
            </w:pPr>
          </w:p>
          <w:p w:rsidR="00AC3E93" w:rsidRPr="00A07AEB" w:rsidRDefault="00AC3E93" w:rsidP="00D84A59">
            <w:pPr>
              <w:spacing w:before="380" w:line="280" w:lineRule="exact"/>
              <w:jc w:val="right"/>
              <w:rPr>
                <w:rFonts w:ascii="Tahoma" w:hAnsi="Tahoma" w:cs="Tahoma"/>
                <w:b/>
                <w:bCs/>
                <w:iCs/>
                <w:color w:val="243285"/>
                <w:sz w:val="36"/>
                <w:szCs w:val="36"/>
                <w:lang w:val="es-ES_tradnl"/>
              </w:rPr>
            </w:pPr>
            <w:r w:rsidRPr="00A07AEB">
              <w:rPr>
                <w:rFonts w:ascii="Tahoma" w:hAnsi="Tahoma" w:cs="Tahoma"/>
                <w:b/>
                <w:bCs/>
                <w:iCs/>
                <w:color w:val="243285"/>
                <w:sz w:val="36"/>
                <w:szCs w:val="36"/>
                <w:lang w:val="es-ES_tradnl"/>
              </w:rPr>
              <w:t>Recomendación  UIT-R  M.</w:t>
            </w:r>
            <w:r w:rsidR="00D84A59">
              <w:rPr>
                <w:rFonts w:ascii="Tahoma" w:hAnsi="Tahoma" w:cs="Tahoma"/>
                <w:b/>
                <w:bCs/>
                <w:iCs/>
                <w:color w:val="243285"/>
                <w:sz w:val="36"/>
                <w:szCs w:val="36"/>
                <w:lang w:val="es-ES_tradnl"/>
              </w:rPr>
              <w:t>633-4</w:t>
            </w:r>
          </w:p>
          <w:p w:rsidR="00AC3E93" w:rsidRPr="00A07AEB" w:rsidRDefault="00AC3E93" w:rsidP="00D84A59">
            <w:pPr>
              <w:spacing w:before="80" w:line="280" w:lineRule="exact"/>
              <w:jc w:val="right"/>
              <w:rPr>
                <w:rFonts w:ascii="Tahoma" w:hAnsi="Tahoma" w:cs="Tahoma"/>
                <w:b/>
                <w:bCs/>
                <w:iCs/>
                <w:color w:val="243285"/>
                <w:szCs w:val="24"/>
                <w:lang w:val="es-ES_tradnl"/>
              </w:rPr>
            </w:pPr>
            <w:r w:rsidRPr="00A07AEB">
              <w:rPr>
                <w:rFonts w:ascii="Tahoma" w:hAnsi="Tahoma" w:cs="Tahoma"/>
                <w:b/>
                <w:bCs/>
                <w:iCs/>
                <w:color w:val="243285"/>
                <w:szCs w:val="24"/>
                <w:lang w:val="es-ES_tradnl"/>
              </w:rPr>
              <w:t>(</w:t>
            </w:r>
            <w:r w:rsidR="00D84A59">
              <w:rPr>
                <w:rFonts w:ascii="Tahoma" w:hAnsi="Tahoma" w:cs="Tahoma"/>
                <w:b/>
                <w:bCs/>
                <w:iCs/>
                <w:color w:val="243285"/>
                <w:szCs w:val="24"/>
                <w:lang w:val="es-ES_tradnl"/>
              </w:rPr>
              <w:t>12</w:t>
            </w:r>
            <w:r w:rsidRPr="00A07AEB">
              <w:rPr>
                <w:rFonts w:ascii="Tahoma" w:hAnsi="Tahoma" w:cs="Tahoma"/>
                <w:b/>
                <w:bCs/>
                <w:iCs/>
                <w:color w:val="243285"/>
                <w:szCs w:val="24"/>
                <w:lang w:val="es-ES_tradnl"/>
              </w:rPr>
              <w:t>/</w:t>
            </w:r>
            <w:r w:rsidR="00D84A59">
              <w:rPr>
                <w:rFonts w:ascii="Tahoma" w:hAnsi="Tahoma" w:cs="Tahoma"/>
                <w:b/>
                <w:bCs/>
                <w:iCs/>
                <w:color w:val="243285"/>
                <w:szCs w:val="24"/>
                <w:lang w:val="es-ES_tradnl"/>
              </w:rPr>
              <w:t>2010</w:t>
            </w:r>
            <w:r w:rsidRPr="00A07AEB">
              <w:rPr>
                <w:rFonts w:ascii="Tahoma" w:hAnsi="Tahoma" w:cs="Tahoma"/>
                <w:b/>
                <w:bCs/>
                <w:iCs/>
                <w:color w:val="243285"/>
                <w:szCs w:val="24"/>
                <w:lang w:val="es-ES_tradnl"/>
              </w:rPr>
              <w:t>)</w:t>
            </w:r>
          </w:p>
        </w:tc>
      </w:tr>
      <w:tr w:rsidR="00AC3E93" w:rsidRPr="00B949DE" w:rsidTr="0063684B">
        <w:tc>
          <w:tcPr>
            <w:tcW w:w="10089" w:type="dxa"/>
          </w:tcPr>
          <w:p w:rsidR="00AC3E93" w:rsidRPr="00A07AEB" w:rsidRDefault="00AC3E93" w:rsidP="0063684B">
            <w:pPr>
              <w:spacing w:before="80" w:line="500" w:lineRule="exact"/>
              <w:jc w:val="right"/>
              <w:rPr>
                <w:rFonts w:ascii="Tahoma" w:hAnsi="Tahoma" w:cs="Tahoma"/>
                <w:b/>
                <w:bCs/>
                <w:iCs/>
                <w:color w:val="243285"/>
                <w:sz w:val="44"/>
                <w:szCs w:val="44"/>
                <w:lang w:val="es-ES_tradnl"/>
              </w:rPr>
            </w:pPr>
          </w:p>
          <w:p w:rsidR="00AC3E93" w:rsidRPr="00A07AEB" w:rsidRDefault="00D84A59" w:rsidP="00942942">
            <w:pPr>
              <w:spacing w:before="80" w:line="500" w:lineRule="exact"/>
              <w:jc w:val="right"/>
              <w:rPr>
                <w:rFonts w:ascii="Tahoma" w:hAnsi="Tahoma" w:cs="Tahoma"/>
                <w:b/>
                <w:bCs/>
                <w:iCs/>
                <w:color w:val="243285"/>
                <w:sz w:val="44"/>
                <w:szCs w:val="44"/>
                <w:lang w:val="es-ES_tradnl"/>
              </w:rPr>
            </w:pPr>
            <w:r>
              <w:rPr>
                <w:rFonts w:ascii="Tahoma" w:hAnsi="Tahoma" w:cs="Tahoma"/>
                <w:b/>
                <w:bCs/>
                <w:iCs/>
                <w:color w:val="243285"/>
                <w:sz w:val="44"/>
                <w:szCs w:val="44"/>
                <w:lang w:val="es-ES_tradnl"/>
              </w:rPr>
              <w:t xml:space="preserve">Características de transmisión de un sistema de radiobalizas de localización de siniestros por satélite (RLS por satélite) </w:t>
            </w:r>
            <w:r w:rsidR="00B55D7D">
              <w:rPr>
                <w:rFonts w:ascii="Tahoma" w:hAnsi="Tahoma" w:cs="Tahoma"/>
                <w:b/>
                <w:bCs/>
                <w:iCs/>
                <w:color w:val="243285"/>
                <w:sz w:val="44"/>
                <w:szCs w:val="44"/>
                <w:lang w:val="es-ES_tradnl"/>
              </w:rPr>
              <w:br/>
            </w:r>
            <w:r>
              <w:rPr>
                <w:rFonts w:ascii="Tahoma" w:hAnsi="Tahoma" w:cs="Tahoma"/>
                <w:b/>
                <w:bCs/>
                <w:iCs/>
                <w:color w:val="243285"/>
                <w:sz w:val="44"/>
                <w:szCs w:val="44"/>
                <w:lang w:val="es-ES_tradnl"/>
              </w:rPr>
              <w:t>que utiliza un sistema de satélites</w:t>
            </w:r>
            <w:r w:rsidR="00942942">
              <w:rPr>
                <w:rFonts w:ascii="Tahoma" w:hAnsi="Tahoma" w:cs="Tahoma"/>
                <w:b/>
                <w:bCs/>
                <w:iCs/>
                <w:color w:val="243285"/>
                <w:sz w:val="44"/>
                <w:szCs w:val="44"/>
                <w:lang w:val="es-ES_tradnl"/>
              </w:rPr>
              <w:br/>
            </w:r>
            <w:r>
              <w:rPr>
                <w:rFonts w:ascii="Tahoma" w:hAnsi="Tahoma" w:cs="Tahoma"/>
                <w:b/>
                <w:bCs/>
                <w:iCs/>
                <w:color w:val="243285"/>
                <w:sz w:val="44"/>
                <w:szCs w:val="44"/>
                <w:lang w:val="es-ES_tradnl"/>
              </w:rPr>
              <w:t>en la banda de 406 MHz</w:t>
            </w:r>
          </w:p>
          <w:p w:rsidR="00AC3E93" w:rsidRPr="00A07AEB" w:rsidRDefault="00AC3E93" w:rsidP="0063684B">
            <w:pPr>
              <w:spacing w:before="80" w:line="500" w:lineRule="exact"/>
              <w:jc w:val="right"/>
              <w:rPr>
                <w:rFonts w:ascii="Tahoma" w:hAnsi="Tahoma" w:cs="Tahoma"/>
                <w:b/>
                <w:bCs/>
                <w:iCs/>
                <w:color w:val="243285"/>
                <w:sz w:val="44"/>
                <w:szCs w:val="44"/>
                <w:lang w:val="es-ES_tradnl"/>
              </w:rPr>
            </w:pPr>
          </w:p>
        </w:tc>
      </w:tr>
      <w:tr w:rsidR="00AC3E93" w:rsidRPr="00B949DE" w:rsidTr="0063684B">
        <w:tc>
          <w:tcPr>
            <w:tcW w:w="10089" w:type="dxa"/>
          </w:tcPr>
          <w:p w:rsidR="00AC3E93" w:rsidRPr="00A07AEB" w:rsidRDefault="00AC3E93" w:rsidP="0063684B">
            <w:pPr>
              <w:spacing w:before="80" w:line="280" w:lineRule="exact"/>
              <w:ind w:right="640"/>
              <w:rPr>
                <w:rFonts w:ascii="Tahoma" w:hAnsi="Tahoma" w:cs="Tahoma"/>
                <w:b/>
                <w:bCs/>
                <w:iCs/>
                <w:color w:val="243285"/>
                <w:sz w:val="32"/>
                <w:szCs w:val="32"/>
                <w:lang w:val="es-ES_tradnl"/>
              </w:rPr>
            </w:pPr>
          </w:p>
          <w:p w:rsidR="00AC3E93" w:rsidRPr="00A07AEB" w:rsidRDefault="00AC3E93" w:rsidP="0063684B">
            <w:pPr>
              <w:spacing w:before="80" w:line="280" w:lineRule="exact"/>
              <w:ind w:right="640"/>
              <w:rPr>
                <w:rFonts w:ascii="Tahoma" w:hAnsi="Tahoma" w:cs="Tahoma"/>
                <w:b/>
                <w:bCs/>
                <w:iCs/>
                <w:color w:val="243285"/>
                <w:sz w:val="32"/>
                <w:szCs w:val="32"/>
                <w:lang w:val="es-ES_tradnl"/>
              </w:rPr>
            </w:pPr>
          </w:p>
          <w:p w:rsidR="00AC3E93" w:rsidRPr="00A07AEB" w:rsidRDefault="00AC3E93" w:rsidP="0063684B">
            <w:pPr>
              <w:spacing w:before="80" w:after="180" w:line="360" w:lineRule="exact"/>
              <w:ind w:right="720"/>
              <w:rPr>
                <w:rFonts w:ascii="Tahoma" w:hAnsi="Tahoma" w:cs="Tahoma"/>
                <w:b/>
                <w:bCs/>
                <w:iCs/>
                <w:color w:val="243285"/>
                <w:sz w:val="36"/>
                <w:szCs w:val="36"/>
                <w:lang w:val="es-ES_tradnl"/>
              </w:rPr>
            </w:pPr>
          </w:p>
          <w:p w:rsidR="00AC3E93" w:rsidRPr="00A07AEB" w:rsidRDefault="00AC3E93" w:rsidP="0063684B">
            <w:pPr>
              <w:spacing w:before="80" w:after="180" w:line="360" w:lineRule="exact"/>
              <w:jc w:val="right"/>
              <w:rPr>
                <w:rFonts w:ascii="Tahoma" w:hAnsi="Tahoma" w:cs="Tahoma"/>
                <w:b/>
                <w:bCs/>
                <w:iCs/>
                <w:color w:val="243285"/>
                <w:sz w:val="36"/>
                <w:szCs w:val="36"/>
                <w:lang w:val="es-ES_tradnl"/>
              </w:rPr>
            </w:pPr>
            <w:r w:rsidRPr="00A07AEB">
              <w:rPr>
                <w:rFonts w:ascii="Tahoma" w:hAnsi="Tahoma" w:cs="Tahoma"/>
                <w:b/>
                <w:bCs/>
                <w:iCs/>
                <w:color w:val="243285"/>
                <w:sz w:val="36"/>
                <w:szCs w:val="36"/>
                <w:lang w:val="es-ES_tradnl"/>
              </w:rPr>
              <w:t>Serie M</w:t>
            </w:r>
          </w:p>
          <w:p w:rsidR="00AC3E93" w:rsidRPr="00A07AEB" w:rsidRDefault="00AC3E93" w:rsidP="0063684B">
            <w:pPr>
              <w:spacing w:before="80" w:line="420" w:lineRule="exact"/>
              <w:jc w:val="right"/>
              <w:rPr>
                <w:rFonts w:ascii="Tahoma" w:hAnsi="Tahoma" w:cs="Tahoma"/>
                <w:b/>
                <w:bCs/>
                <w:iCs/>
                <w:color w:val="243285"/>
                <w:sz w:val="36"/>
                <w:szCs w:val="36"/>
                <w:lang w:val="es-ES_tradnl"/>
              </w:rPr>
            </w:pPr>
            <w:r w:rsidRPr="00A07AEB">
              <w:rPr>
                <w:rFonts w:ascii="Tahoma" w:hAnsi="Tahoma" w:cs="Tahoma"/>
                <w:b/>
                <w:bCs/>
                <w:iCs/>
                <w:color w:val="243285"/>
                <w:sz w:val="36"/>
                <w:szCs w:val="36"/>
                <w:lang w:val="es-ES_tradnl"/>
              </w:rPr>
              <w:t>Servicios móviles, de radiodeterminación,</w:t>
            </w:r>
            <w:r w:rsidRPr="00A07AEB">
              <w:rPr>
                <w:rFonts w:ascii="Tahoma" w:hAnsi="Tahoma" w:cs="Tahoma"/>
                <w:b/>
                <w:bCs/>
                <w:iCs/>
                <w:color w:val="243285"/>
                <w:sz w:val="36"/>
                <w:szCs w:val="36"/>
                <w:lang w:val="es-ES_tradnl"/>
              </w:rPr>
              <w:br/>
              <w:t>de aficionados y otros servicios</w:t>
            </w:r>
            <w:r w:rsidRPr="00A07AEB">
              <w:rPr>
                <w:rFonts w:ascii="Tahoma" w:hAnsi="Tahoma" w:cs="Tahoma"/>
                <w:b/>
                <w:bCs/>
                <w:iCs/>
                <w:color w:val="243285"/>
                <w:sz w:val="36"/>
                <w:szCs w:val="36"/>
                <w:lang w:val="es-ES_tradnl"/>
              </w:rPr>
              <w:br/>
              <w:t>por satélite conexos</w:t>
            </w:r>
          </w:p>
        </w:tc>
      </w:tr>
    </w:tbl>
    <w:p w:rsidR="00AC3E93" w:rsidRDefault="00AC3E93" w:rsidP="0063684B">
      <w:pPr>
        <w:spacing w:before="80"/>
        <w:rPr>
          <w:i/>
          <w:sz w:val="22"/>
          <w:lang w:val="es-ES_tradnl"/>
        </w:rPr>
      </w:pPr>
    </w:p>
    <w:p w:rsidR="0063684B" w:rsidRDefault="0063684B" w:rsidP="0063684B">
      <w:pPr>
        <w:spacing w:before="80"/>
        <w:rPr>
          <w:i/>
          <w:sz w:val="22"/>
          <w:lang w:val="es-ES_tradnl"/>
        </w:rPr>
      </w:pPr>
    </w:p>
    <w:p w:rsidR="00AC3E93" w:rsidRPr="0026666F" w:rsidRDefault="00AC3E93" w:rsidP="0063684B">
      <w:pPr>
        <w:spacing w:before="80"/>
        <w:rPr>
          <w:i/>
          <w:sz w:val="22"/>
          <w:lang w:val="es-ES_tradnl"/>
        </w:rPr>
      </w:pPr>
    </w:p>
    <w:p w:rsidR="00AC3E93" w:rsidRPr="0026666F" w:rsidRDefault="00AC3E93" w:rsidP="0063684B">
      <w:pPr>
        <w:spacing w:before="80"/>
        <w:rPr>
          <w:i/>
          <w:sz w:val="22"/>
          <w:lang w:val="es-ES_tradnl"/>
        </w:rPr>
      </w:pPr>
    </w:p>
    <w:p w:rsidR="00AC3E93" w:rsidRPr="0026666F" w:rsidRDefault="00AC3E93" w:rsidP="0063684B">
      <w:pPr>
        <w:pStyle w:val="Equation"/>
        <w:tabs>
          <w:tab w:val="clear" w:pos="4820"/>
          <w:tab w:val="clear" w:pos="9639"/>
          <w:tab w:val="left" w:pos="1191"/>
          <w:tab w:val="left" w:pos="1588"/>
          <w:tab w:val="left" w:pos="1985"/>
        </w:tabs>
        <w:rPr>
          <w:rFonts w:ascii="Palatino Linotype" w:hAnsi="Palatino Linotype"/>
          <w:lang w:val="es-ES_tradnl"/>
        </w:rPr>
        <w:sectPr w:rsidR="00AC3E93" w:rsidRPr="0026666F" w:rsidSect="0063684B">
          <w:headerReference w:type="even" r:id="rId7"/>
          <w:headerReference w:type="default" r:id="rId8"/>
          <w:pgSz w:w="11907" w:h="16834" w:code="9"/>
          <w:pgMar w:top="1418" w:right="1134" w:bottom="1134" w:left="1134" w:header="720" w:footer="482" w:gutter="0"/>
          <w:paperSrc w:first="15" w:other="15"/>
          <w:cols w:space="720"/>
        </w:sectPr>
      </w:pPr>
    </w:p>
    <w:p w:rsidR="00AC3E93" w:rsidRPr="006C718C"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0" w:after="0"/>
        <w:rPr>
          <w:bCs/>
          <w:sz w:val="24"/>
          <w:szCs w:val="24"/>
          <w:lang w:val="es-ES_tradnl"/>
        </w:rPr>
      </w:pPr>
      <w:bookmarkStart w:id="1" w:name="c2tope"/>
      <w:bookmarkEnd w:id="1"/>
      <w:r w:rsidRPr="006C718C">
        <w:rPr>
          <w:bCs/>
          <w:sz w:val="24"/>
          <w:szCs w:val="24"/>
          <w:lang w:val="es-ES_tradnl"/>
        </w:rPr>
        <w:lastRenderedPageBreak/>
        <w:t>Prólogo</w:t>
      </w:r>
    </w:p>
    <w:p w:rsidR="00AC3E93" w:rsidRPr="006C718C" w:rsidRDefault="00AC3E93" w:rsidP="0063684B">
      <w:pPr>
        <w:spacing w:before="180"/>
        <w:rPr>
          <w:sz w:val="20"/>
          <w:lang w:val="es-ES_tradnl"/>
        </w:rPr>
      </w:pPr>
      <w:r w:rsidRPr="006C718C">
        <w:rPr>
          <w:sz w:val="20"/>
          <w:lang w:val="es-ES_tradnl"/>
        </w:rPr>
        <w:t>El Sector de Radiocomunicaciones tiene como cometido garantizar la utilizaci</w:t>
      </w:r>
      <w:r>
        <w:rPr>
          <w:sz w:val="20"/>
          <w:lang w:val="es-ES_tradnl"/>
        </w:rPr>
        <w:t>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rsidR="00AC3E93" w:rsidRPr="006C718C" w:rsidRDefault="00AC3E93" w:rsidP="0063684B">
      <w:pPr>
        <w:rPr>
          <w:sz w:val="20"/>
          <w:lang w:val="es-ES_tradnl"/>
        </w:rPr>
      </w:pPr>
      <w:r w:rsidRPr="006C718C">
        <w:rPr>
          <w:sz w:val="20"/>
          <w:lang w:val="es-ES_tradnl"/>
        </w:rPr>
        <w:t>Las Conferencias Mundiales y Regionales de Radiocomunicaciones y las Asambleas de Radiocomunicaciones, c</w:t>
      </w:r>
      <w:r>
        <w:rPr>
          <w:sz w:val="20"/>
          <w:lang w:val="es-ES_tradnl"/>
        </w:rPr>
        <w:t>on la colaboración de las Comisiones de Estudio, cumplen las funciones reglamentarias y políticas del Sector de Radiocomunicaciones.</w:t>
      </w:r>
    </w:p>
    <w:p w:rsidR="00AC3E93" w:rsidRPr="00021E8A" w:rsidRDefault="00AC3E93" w:rsidP="0063684B">
      <w:pPr>
        <w:pStyle w:val="Heading1"/>
        <w:spacing w:before="340"/>
        <w:jc w:val="center"/>
        <w:rPr>
          <w:szCs w:val="24"/>
          <w:lang w:val="es-ES_tradnl"/>
        </w:rPr>
      </w:pPr>
      <w:r w:rsidRPr="007C36CA">
        <w:rPr>
          <w:lang w:val="es-ES_tradnl"/>
        </w:rPr>
        <w:t>Política sobre Derechos de Propiedad Intelectual</w:t>
      </w:r>
      <w:r w:rsidRPr="00021E8A">
        <w:rPr>
          <w:szCs w:val="24"/>
          <w:lang w:val="es-ES_tradnl"/>
        </w:rPr>
        <w:t xml:space="preserve"> (IPR)</w:t>
      </w:r>
    </w:p>
    <w:p w:rsidR="00AC3E93" w:rsidRPr="00021E8A" w:rsidRDefault="00AC3E93" w:rsidP="0063684B">
      <w:pPr>
        <w:spacing w:before="180"/>
        <w:rPr>
          <w:sz w:val="20"/>
          <w:lang w:val="es-ES_tradnl"/>
        </w:rPr>
      </w:pPr>
      <w:r w:rsidRPr="00021E8A">
        <w:rPr>
          <w:sz w:val="20"/>
          <w:lang w:val="es-ES_tradnl"/>
        </w:rPr>
        <w:t>La política del UIT</w:t>
      </w:r>
      <w:r w:rsidRPr="00021E8A">
        <w:rPr>
          <w:sz w:val="20"/>
          <w:lang w:val="es-ES_tradnl"/>
        </w:rPr>
        <w:noBreakHyphen/>
        <w:t>R sobre Derechos de Propiedad Intelectual se describe en la Política Común de Patentes UIT</w:t>
      </w:r>
      <w:r w:rsidRPr="00021E8A">
        <w:rPr>
          <w:sz w:val="20"/>
          <w:lang w:val="es-ES_tradnl"/>
        </w:rPr>
        <w:noBreakHyphen/>
        <w:t>T/UIT</w:t>
      </w:r>
      <w:r w:rsidRPr="00021E8A">
        <w:rPr>
          <w:sz w:val="20"/>
          <w:lang w:val="es-ES_tradnl"/>
        </w:rPr>
        <w:noBreakHyphen/>
        <w:t>R/ISO/CEI a la que se hace referencia en el Anexo 1 a la Resolución UIT</w:t>
      </w:r>
      <w:r w:rsidRPr="00021E8A">
        <w:rPr>
          <w:sz w:val="20"/>
          <w:lang w:val="es-ES_tradnl"/>
        </w:rPr>
        <w:noBreakHyphen/>
        <w:t xml:space="preserve">R 1. Los formularios que deben utilizarse en la declaración sobre patentes y utilización de patentes por los titulares de las mismas figuran en la dirección web </w:t>
      </w:r>
      <w:hyperlink r:id="rId9" w:history="1">
        <w:r w:rsidRPr="00021E8A">
          <w:rPr>
            <w:rStyle w:val="Hyperlink"/>
            <w:sz w:val="20"/>
            <w:lang w:val="es-ES_tradnl"/>
          </w:rPr>
          <w:t>http://www.itu.int/ITU-R/go/patents/es</w:t>
        </w:r>
      </w:hyperlink>
      <w:r w:rsidRPr="00021E8A">
        <w:rPr>
          <w:sz w:val="20"/>
          <w:lang w:val="es-ES_tradnl"/>
        </w:rPr>
        <w:t>, donde también aparecen las Directrices para la implementación de la Política Común de Patentes UIT</w:t>
      </w:r>
      <w:r w:rsidRPr="00021E8A">
        <w:rPr>
          <w:sz w:val="20"/>
          <w:lang w:val="es-ES_tradnl"/>
        </w:rPr>
        <w:noBreakHyphen/>
        <w:t>T/UIT</w:t>
      </w:r>
      <w:r w:rsidRPr="00021E8A">
        <w:rPr>
          <w:sz w:val="20"/>
          <w:lang w:val="es-ES_tradnl"/>
        </w:rPr>
        <w:noBreakHyphen/>
        <w:t>R/ISO/CEI y la base de datos sobre información de patentes del UIT</w:t>
      </w:r>
      <w:r w:rsidRPr="00021E8A">
        <w:rPr>
          <w:sz w:val="20"/>
          <w:lang w:val="es-ES_tradnl"/>
        </w:rPr>
        <w:noBreakHyphen/>
        <w:t>R sobre este asunto.</w:t>
      </w:r>
    </w:p>
    <w:p w:rsidR="00AC3E93" w:rsidRPr="007C36CA" w:rsidRDefault="00AC3E93" w:rsidP="0063684B">
      <w:pPr>
        <w:spacing w:before="0"/>
        <w:jc w:val="center"/>
        <w:rPr>
          <w:sz w:val="22"/>
          <w:lang w:val="es-ES_tradnl"/>
        </w:rPr>
      </w:pPr>
    </w:p>
    <w:p w:rsidR="00AC3E93" w:rsidRPr="007C36CA" w:rsidRDefault="00AC3E93" w:rsidP="0063684B">
      <w:pPr>
        <w:spacing w:before="0"/>
        <w:jc w:val="center"/>
        <w:rPr>
          <w:sz w:val="22"/>
          <w:lang w:val="es-ES_tradnl"/>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40"/>
        <w:gridCol w:w="8220"/>
      </w:tblGrid>
      <w:tr w:rsidR="00AC3E93" w:rsidRPr="00B949DE" w:rsidTr="0063684B">
        <w:tc>
          <w:tcPr>
            <w:tcW w:w="9360" w:type="dxa"/>
            <w:gridSpan w:val="2"/>
          </w:tcPr>
          <w:p w:rsidR="00AC3E93" w:rsidRPr="00021E8A" w:rsidRDefault="00AC3E93" w:rsidP="0063684B">
            <w:pPr>
              <w:pStyle w:val="Chaptitle"/>
              <w:keepLines w:val="0"/>
              <w:tabs>
                <w:tab w:val="clear" w:pos="794"/>
                <w:tab w:val="clear" w:pos="1191"/>
                <w:tab w:val="clear" w:pos="1588"/>
                <w:tab w:val="clear" w:pos="1985"/>
              </w:tabs>
              <w:overflowPunct/>
              <w:spacing w:before="140"/>
              <w:textAlignment w:val="auto"/>
              <w:rPr>
                <w:sz w:val="22"/>
                <w:szCs w:val="22"/>
                <w:lang w:val="es-ES_tradnl"/>
              </w:rPr>
            </w:pPr>
            <w:r w:rsidRPr="00021E8A">
              <w:rPr>
                <w:sz w:val="22"/>
                <w:szCs w:val="22"/>
                <w:lang w:val="es-ES_tradnl"/>
              </w:rPr>
              <w:t xml:space="preserve">Series de las Recomendaciones UIT-R </w:t>
            </w:r>
          </w:p>
          <w:p w:rsidR="00AC3E93" w:rsidRPr="00763D08"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s-ES_tradnl"/>
              </w:rPr>
            </w:pPr>
            <w:r w:rsidRPr="00763D08">
              <w:rPr>
                <w:b w:val="0"/>
                <w:sz w:val="18"/>
                <w:szCs w:val="18"/>
                <w:lang w:val="es-ES_tradnl"/>
              </w:rPr>
              <w:t xml:space="preserve">(También disponible en línea en </w:t>
            </w:r>
            <w:hyperlink r:id="rId10" w:history="1">
              <w:r>
                <w:rPr>
                  <w:rStyle w:val="Hyperlink"/>
                  <w:b w:val="0"/>
                  <w:bCs/>
                  <w:sz w:val="18"/>
                  <w:szCs w:val="18"/>
                  <w:lang w:val="es-ES_tradnl"/>
                </w:rPr>
                <w:t>http://www.itu.int/publ/R-REC/es</w:t>
              </w:r>
            </w:hyperlink>
            <w:r w:rsidRPr="00763D08">
              <w:rPr>
                <w:b w:val="0"/>
                <w:bCs/>
                <w:sz w:val="18"/>
                <w:szCs w:val="18"/>
                <w:lang w:val="es-ES_tradnl"/>
              </w:rPr>
              <w:t>)</w:t>
            </w:r>
          </w:p>
        </w:tc>
      </w:tr>
      <w:tr w:rsidR="00AC3E93" w:rsidRPr="00036EE3" w:rsidTr="0063684B">
        <w:tc>
          <w:tcPr>
            <w:tcW w:w="1140" w:type="dxa"/>
          </w:tcPr>
          <w:p w:rsidR="00AC3E93" w:rsidRPr="00036EE3" w:rsidRDefault="00AC3E93" w:rsidP="0063684B">
            <w:pPr>
              <w:spacing w:before="180" w:after="100"/>
              <w:ind w:left="57"/>
              <w:rPr>
                <w:b/>
                <w:bCs/>
                <w:sz w:val="20"/>
                <w:lang w:val="en-US"/>
              </w:rPr>
            </w:pPr>
            <w:r w:rsidRPr="00036EE3">
              <w:rPr>
                <w:b/>
                <w:bCs/>
                <w:sz w:val="20"/>
                <w:lang w:val="en-US"/>
              </w:rPr>
              <w:t>Series</w:t>
            </w:r>
          </w:p>
        </w:tc>
        <w:tc>
          <w:tcPr>
            <w:tcW w:w="8220" w:type="dxa"/>
          </w:tcPr>
          <w:p w:rsidR="00AC3E93" w:rsidRPr="00036EE3"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lang w:val="en-US"/>
              </w:rPr>
            </w:pPr>
            <w:r>
              <w:rPr>
                <w:bCs/>
                <w:sz w:val="20"/>
                <w:lang w:val="en-US"/>
              </w:rPr>
              <w:t>Título</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BO</w:t>
            </w:r>
          </w:p>
        </w:tc>
        <w:tc>
          <w:tcPr>
            <w:tcW w:w="8220" w:type="dxa"/>
          </w:tcPr>
          <w:p w:rsidR="00AC3E93" w:rsidRPr="00021E8A"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Distribución por satélite</w:t>
            </w:r>
          </w:p>
        </w:tc>
      </w:tr>
      <w:tr w:rsidR="00AC3E93" w:rsidRPr="00B949DE"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BR</w:t>
            </w:r>
          </w:p>
        </w:tc>
        <w:tc>
          <w:tcPr>
            <w:tcW w:w="8220" w:type="dxa"/>
          </w:tcPr>
          <w:p w:rsidR="00AC3E93" w:rsidRPr="00021E8A"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s-ES_tradnl"/>
              </w:rPr>
            </w:pPr>
            <w:r w:rsidRPr="00021E8A">
              <w:rPr>
                <w:b w:val="0"/>
                <w:bCs/>
                <w:sz w:val="20"/>
                <w:lang w:val="es-ES_tradnl"/>
              </w:rPr>
              <w:t>Registro para producción, archivo y reproducción; películas en televisión</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BS</w:t>
            </w:r>
          </w:p>
        </w:tc>
        <w:tc>
          <w:tcPr>
            <w:tcW w:w="8220" w:type="dxa"/>
          </w:tcPr>
          <w:p w:rsidR="00AC3E93" w:rsidRPr="00021E8A"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Servicio de radiodifusión sonora</w:t>
            </w:r>
          </w:p>
        </w:tc>
      </w:tr>
      <w:tr w:rsidR="00AC3E93" w:rsidRPr="00ED2695" w:rsidTr="0063684B">
        <w:tc>
          <w:tcPr>
            <w:tcW w:w="1140" w:type="dxa"/>
            <w:shd w:val="clear" w:color="auto" w:fill="auto"/>
          </w:tcPr>
          <w:p w:rsidR="00AC3E93" w:rsidRPr="00ED2695" w:rsidRDefault="00AC3E93" w:rsidP="0063684B">
            <w:pPr>
              <w:spacing w:before="30" w:after="30"/>
              <w:ind w:left="57"/>
              <w:jc w:val="left"/>
              <w:rPr>
                <w:b/>
                <w:bCs/>
                <w:sz w:val="20"/>
                <w:lang w:val="en-US"/>
              </w:rPr>
            </w:pPr>
            <w:r w:rsidRPr="00ED2695">
              <w:rPr>
                <w:b/>
                <w:bCs/>
                <w:sz w:val="20"/>
                <w:lang w:val="en-US"/>
              </w:rPr>
              <w:t>BT</w:t>
            </w:r>
          </w:p>
        </w:tc>
        <w:tc>
          <w:tcPr>
            <w:tcW w:w="8220" w:type="dxa"/>
            <w:shd w:val="clear" w:color="auto" w:fill="auto"/>
          </w:tcPr>
          <w:p w:rsidR="00AC3E93" w:rsidRPr="00021E8A"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Servicio de radiodifusión (televisión)</w:t>
            </w:r>
          </w:p>
        </w:tc>
      </w:tr>
      <w:tr w:rsidR="00AC3E93" w:rsidRPr="00036EE3" w:rsidTr="0063684B">
        <w:tc>
          <w:tcPr>
            <w:tcW w:w="1140" w:type="dxa"/>
            <w:shd w:val="clear" w:color="auto" w:fill="auto"/>
          </w:tcPr>
          <w:p w:rsidR="00AC3E93" w:rsidRPr="00036EE3" w:rsidRDefault="00AC3E93" w:rsidP="0063684B">
            <w:pPr>
              <w:spacing w:before="30" w:after="30"/>
              <w:ind w:left="57"/>
              <w:jc w:val="left"/>
              <w:rPr>
                <w:b/>
                <w:bCs/>
                <w:sz w:val="20"/>
                <w:lang w:val="fr-CH"/>
              </w:rPr>
            </w:pPr>
            <w:r w:rsidRPr="00036EE3">
              <w:rPr>
                <w:b/>
                <w:bCs/>
                <w:sz w:val="20"/>
                <w:lang w:val="fr-CH"/>
              </w:rPr>
              <w:t>F</w:t>
            </w:r>
          </w:p>
        </w:tc>
        <w:tc>
          <w:tcPr>
            <w:tcW w:w="8220" w:type="dxa"/>
            <w:shd w:val="clear" w:color="auto" w:fill="auto"/>
          </w:tcPr>
          <w:p w:rsidR="00AC3E93" w:rsidRPr="00021E8A" w:rsidRDefault="00AC3E93" w:rsidP="0063684B">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bCs/>
                <w:sz w:val="20"/>
                <w:lang w:val="fr-CH"/>
              </w:rPr>
            </w:pPr>
            <w:r w:rsidRPr="00021E8A">
              <w:rPr>
                <w:bCs/>
                <w:sz w:val="20"/>
              </w:rPr>
              <w:t>Servicio fijo</w:t>
            </w:r>
          </w:p>
        </w:tc>
      </w:tr>
      <w:tr w:rsidR="00AC3E93" w:rsidRPr="00B949DE" w:rsidTr="0063684B">
        <w:tc>
          <w:tcPr>
            <w:tcW w:w="1140" w:type="dxa"/>
            <w:shd w:val="clear" w:color="auto" w:fill="F3F3F3"/>
          </w:tcPr>
          <w:p w:rsidR="00AC3E93" w:rsidRPr="001240BC" w:rsidRDefault="00AC3E93" w:rsidP="0063684B">
            <w:pPr>
              <w:spacing w:before="30" w:after="30"/>
              <w:ind w:left="57"/>
              <w:jc w:val="left"/>
              <w:rPr>
                <w:b/>
                <w:bCs/>
                <w:color w:val="000080"/>
                <w:sz w:val="20"/>
                <w:lang w:val="en-US"/>
              </w:rPr>
            </w:pPr>
            <w:r w:rsidRPr="001240BC">
              <w:rPr>
                <w:b/>
                <w:bCs/>
                <w:color w:val="000080"/>
                <w:sz w:val="20"/>
                <w:lang w:val="en-US"/>
              </w:rPr>
              <w:t>M</w:t>
            </w:r>
          </w:p>
        </w:tc>
        <w:tc>
          <w:tcPr>
            <w:tcW w:w="8220" w:type="dxa"/>
            <w:shd w:val="clear" w:color="auto" w:fill="F3F3F3"/>
          </w:tcPr>
          <w:p w:rsidR="00AC3E93" w:rsidRPr="001240BC" w:rsidRDefault="00AC3E93" w:rsidP="006368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lang w:val="es-ES_tradnl"/>
              </w:rPr>
            </w:pPr>
            <w:r w:rsidRPr="001240BC">
              <w:rPr>
                <w:bCs/>
                <w:color w:val="000080"/>
                <w:sz w:val="20"/>
                <w:lang w:val="es-ES_tradnl"/>
              </w:rPr>
              <w:t>Servicios móviles, de radiodeterminación, de aficionados y otros servicios por satélite conexos</w:t>
            </w:r>
          </w:p>
        </w:tc>
      </w:tr>
      <w:tr w:rsidR="00AC3E93" w:rsidRPr="00B949DE" w:rsidTr="0063684B">
        <w:tc>
          <w:tcPr>
            <w:tcW w:w="1140" w:type="dxa"/>
          </w:tcPr>
          <w:p w:rsidR="00AC3E93" w:rsidRPr="00036EE3" w:rsidRDefault="00AC3E93" w:rsidP="0063684B">
            <w:pPr>
              <w:spacing w:before="30" w:after="30"/>
              <w:ind w:left="57"/>
              <w:jc w:val="left"/>
              <w:rPr>
                <w:b/>
                <w:bCs/>
                <w:sz w:val="20"/>
                <w:lang w:val="fr-CH"/>
              </w:rPr>
            </w:pPr>
            <w:r w:rsidRPr="00036EE3">
              <w:rPr>
                <w:b/>
                <w:bCs/>
                <w:sz w:val="20"/>
                <w:lang w:val="fr-CH"/>
              </w:rPr>
              <w:t>P</w:t>
            </w:r>
          </w:p>
        </w:tc>
        <w:tc>
          <w:tcPr>
            <w:tcW w:w="8220" w:type="dxa"/>
          </w:tcPr>
          <w:p w:rsidR="00AC3E93" w:rsidRPr="00021E8A" w:rsidRDefault="00AC3E93" w:rsidP="0063684B">
            <w:pPr>
              <w:spacing w:before="30" w:after="30"/>
              <w:jc w:val="left"/>
              <w:rPr>
                <w:bCs/>
                <w:sz w:val="20"/>
                <w:lang w:val="es-ES_tradnl"/>
              </w:rPr>
            </w:pPr>
            <w:r w:rsidRPr="00021E8A">
              <w:rPr>
                <w:bCs/>
                <w:sz w:val="20"/>
                <w:lang w:val="es-ES_tradnl"/>
              </w:rPr>
              <w:t>Propagación de las ondas radioeléctricas</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RA</w:t>
            </w:r>
          </w:p>
        </w:tc>
        <w:tc>
          <w:tcPr>
            <w:tcW w:w="8220" w:type="dxa"/>
          </w:tcPr>
          <w:p w:rsidR="00AC3E93" w:rsidRPr="00021E8A" w:rsidRDefault="00AC3E93" w:rsidP="00D84A5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bCs/>
                <w:sz w:val="20"/>
                <w:lang w:val="en-US"/>
              </w:rPr>
            </w:pPr>
            <w:r w:rsidRPr="00021E8A">
              <w:rPr>
                <w:bCs/>
                <w:sz w:val="20"/>
              </w:rPr>
              <w:t>Radioastronomía</w:t>
            </w:r>
          </w:p>
        </w:tc>
      </w:tr>
      <w:tr w:rsidR="00AC3E93" w:rsidRPr="00B949DE"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RS</w:t>
            </w:r>
          </w:p>
        </w:tc>
        <w:tc>
          <w:tcPr>
            <w:tcW w:w="8220" w:type="dxa"/>
          </w:tcPr>
          <w:p w:rsidR="00AC3E93" w:rsidRPr="00021E8A" w:rsidRDefault="00AC3E93" w:rsidP="0063684B">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bCs/>
                <w:sz w:val="20"/>
                <w:lang w:val="es-ES_tradnl"/>
              </w:rPr>
            </w:pPr>
            <w:r w:rsidRPr="00021E8A">
              <w:rPr>
                <w:bCs/>
                <w:sz w:val="20"/>
                <w:lang w:val="es-ES_tradnl"/>
              </w:rPr>
              <w:t>Sistemas de detección a distancia</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S</w:t>
            </w:r>
          </w:p>
        </w:tc>
        <w:tc>
          <w:tcPr>
            <w:tcW w:w="8220" w:type="dxa"/>
          </w:tcPr>
          <w:p w:rsidR="00AC3E93" w:rsidRPr="00021E8A" w:rsidRDefault="00AC3E93" w:rsidP="0063684B">
            <w:pPr>
              <w:spacing w:before="30" w:after="30"/>
              <w:jc w:val="left"/>
              <w:rPr>
                <w:bCs/>
                <w:sz w:val="20"/>
                <w:lang w:val="en-US"/>
              </w:rPr>
            </w:pPr>
            <w:r w:rsidRPr="00021E8A">
              <w:rPr>
                <w:bCs/>
                <w:sz w:val="20"/>
              </w:rPr>
              <w:t>Servicio fijo por satélite</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SA</w:t>
            </w:r>
          </w:p>
        </w:tc>
        <w:tc>
          <w:tcPr>
            <w:tcW w:w="8220" w:type="dxa"/>
          </w:tcPr>
          <w:p w:rsidR="00AC3E93" w:rsidRPr="00021E8A" w:rsidRDefault="00AC3E93" w:rsidP="0063684B">
            <w:pPr>
              <w:spacing w:before="30" w:after="30"/>
              <w:jc w:val="left"/>
              <w:rPr>
                <w:bCs/>
                <w:sz w:val="20"/>
                <w:lang w:val="en-US"/>
              </w:rPr>
            </w:pPr>
            <w:r w:rsidRPr="00021E8A">
              <w:rPr>
                <w:bCs/>
                <w:sz w:val="20"/>
              </w:rPr>
              <w:t>Aplicaciones espaciales y meteorología</w:t>
            </w:r>
          </w:p>
        </w:tc>
      </w:tr>
      <w:tr w:rsidR="00AC3E93" w:rsidRPr="00B949DE"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SF</w:t>
            </w:r>
          </w:p>
        </w:tc>
        <w:tc>
          <w:tcPr>
            <w:tcW w:w="8220" w:type="dxa"/>
          </w:tcPr>
          <w:p w:rsidR="00AC3E93" w:rsidRPr="00021E8A" w:rsidRDefault="00AC3E93" w:rsidP="0063684B">
            <w:pPr>
              <w:spacing w:before="30" w:after="30"/>
              <w:jc w:val="left"/>
              <w:rPr>
                <w:bCs/>
                <w:sz w:val="20"/>
                <w:lang w:val="es-ES_tradnl"/>
              </w:rPr>
            </w:pPr>
            <w:r w:rsidRPr="00021E8A">
              <w:rPr>
                <w:bCs/>
                <w:sz w:val="20"/>
                <w:lang w:val="es-ES_tradnl"/>
              </w:rPr>
              <w:t>Compartición de frecuencias y coordinación entre los sistemas del servicio fijo por satélite y del servicio fijo</w:t>
            </w:r>
          </w:p>
        </w:tc>
      </w:tr>
      <w:tr w:rsidR="00AC3E93" w:rsidRPr="00036EE3" w:rsidTr="0063684B">
        <w:tc>
          <w:tcPr>
            <w:tcW w:w="1140" w:type="dxa"/>
            <w:shd w:val="clear" w:color="auto" w:fill="auto"/>
          </w:tcPr>
          <w:p w:rsidR="00AC3E93" w:rsidRPr="001240BC" w:rsidRDefault="00AC3E93" w:rsidP="0063684B">
            <w:pPr>
              <w:spacing w:before="30" w:after="30"/>
              <w:ind w:left="57"/>
              <w:jc w:val="left"/>
              <w:rPr>
                <w:b/>
                <w:bCs/>
                <w:sz w:val="20"/>
                <w:lang w:val="en-US"/>
              </w:rPr>
            </w:pPr>
            <w:r w:rsidRPr="001240BC">
              <w:rPr>
                <w:b/>
                <w:bCs/>
                <w:sz w:val="20"/>
                <w:lang w:val="en-US"/>
              </w:rPr>
              <w:t>SM</w:t>
            </w:r>
          </w:p>
        </w:tc>
        <w:tc>
          <w:tcPr>
            <w:tcW w:w="8220" w:type="dxa"/>
            <w:shd w:val="clear" w:color="auto" w:fill="auto"/>
          </w:tcPr>
          <w:p w:rsidR="00AC3E93" w:rsidRPr="001240BC" w:rsidRDefault="00AC3E93" w:rsidP="0063684B">
            <w:pPr>
              <w:spacing w:before="30" w:after="30"/>
              <w:jc w:val="left"/>
              <w:rPr>
                <w:sz w:val="20"/>
                <w:lang w:val="en-US"/>
              </w:rPr>
            </w:pPr>
            <w:r w:rsidRPr="001240BC">
              <w:rPr>
                <w:sz w:val="20"/>
              </w:rPr>
              <w:t>Gestión del espectro</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SNG</w:t>
            </w:r>
          </w:p>
        </w:tc>
        <w:tc>
          <w:tcPr>
            <w:tcW w:w="8220" w:type="dxa"/>
          </w:tcPr>
          <w:p w:rsidR="00AC3E93" w:rsidRPr="00021E8A" w:rsidRDefault="00AC3E93" w:rsidP="0063684B">
            <w:pPr>
              <w:spacing w:before="30" w:after="30"/>
              <w:jc w:val="left"/>
              <w:rPr>
                <w:bCs/>
                <w:sz w:val="20"/>
                <w:lang w:val="en-US"/>
              </w:rPr>
            </w:pPr>
            <w:r w:rsidRPr="00021E8A">
              <w:rPr>
                <w:bCs/>
                <w:sz w:val="20"/>
              </w:rPr>
              <w:t>Periodismo electrónico por satélite</w:t>
            </w:r>
          </w:p>
        </w:tc>
      </w:tr>
      <w:tr w:rsidR="00AC3E93" w:rsidRPr="00B949DE"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TF</w:t>
            </w:r>
          </w:p>
        </w:tc>
        <w:tc>
          <w:tcPr>
            <w:tcW w:w="8220" w:type="dxa"/>
          </w:tcPr>
          <w:p w:rsidR="00AC3E93" w:rsidRPr="00021E8A" w:rsidRDefault="00AC3E93" w:rsidP="0063684B">
            <w:pPr>
              <w:spacing w:before="30" w:after="30"/>
              <w:jc w:val="left"/>
              <w:rPr>
                <w:bCs/>
                <w:sz w:val="20"/>
                <w:lang w:val="es-ES_tradnl"/>
              </w:rPr>
            </w:pPr>
            <w:r w:rsidRPr="00021E8A">
              <w:rPr>
                <w:bCs/>
                <w:sz w:val="20"/>
                <w:lang w:val="es-ES_tradnl"/>
              </w:rPr>
              <w:t>Emisiones de frecuencias patrón y señales horarias</w:t>
            </w:r>
          </w:p>
        </w:tc>
      </w:tr>
      <w:tr w:rsidR="00AC3E93" w:rsidRPr="00036EE3" w:rsidTr="0063684B">
        <w:tc>
          <w:tcPr>
            <w:tcW w:w="1140" w:type="dxa"/>
          </w:tcPr>
          <w:p w:rsidR="00AC3E93" w:rsidRPr="00036EE3" w:rsidRDefault="00AC3E93" w:rsidP="0063684B">
            <w:pPr>
              <w:spacing w:before="30" w:after="30"/>
              <w:ind w:left="57"/>
              <w:jc w:val="left"/>
              <w:rPr>
                <w:b/>
                <w:bCs/>
                <w:sz w:val="20"/>
                <w:lang w:val="en-US"/>
              </w:rPr>
            </w:pPr>
            <w:r w:rsidRPr="00036EE3">
              <w:rPr>
                <w:b/>
                <w:bCs/>
                <w:sz w:val="20"/>
                <w:lang w:val="en-US"/>
              </w:rPr>
              <w:t>V</w:t>
            </w:r>
          </w:p>
        </w:tc>
        <w:tc>
          <w:tcPr>
            <w:tcW w:w="8220" w:type="dxa"/>
          </w:tcPr>
          <w:p w:rsidR="00AC3E93" w:rsidRPr="00021E8A" w:rsidRDefault="00AC3E93" w:rsidP="0063684B">
            <w:pPr>
              <w:spacing w:before="30" w:after="140"/>
              <w:jc w:val="left"/>
              <w:rPr>
                <w:bCs/>
                <w:sz w:val="20"/>
                <w:lang w:val="en-US"/>
              </w:rPr>
            </w:pPr>
            <w:r w:rsidRPr="00021E8A">
              <w:rPr>
                <w:bCs/>
                <w:sz w:val="20"/>
              </w:rPr>
              <w:t>Vocabulario y cuestiones afines</w:t>
            </w:r>
          </w:p>
        </w:tc>
      </w:tr>
    </w:tbl>
    <w:p w:rsidR="00AC3E93" w:rsidRPr="00036EE3" w:rsidRDefault="00AC3E93" w:rsidP="0063684B">
      <w:pPr>
        <w:spacing w:before="0" w:after="14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AC3E93" w:rsidTr="0063684B">
        <w:tc>
          <w:tcPr>
            <w:tcW w:w="720" w:type="dxa"/>
          </w:tcPr>
          <w:p w:rsidR="00AC3E93" w:rsidRDefault="00AC3E93" w:rsidP="0063684B">
            <w:pPr>
              <w:spacing w:before="0"/>
              <w:jc w:val="center"/>
              <w:rPr>
                <w:sz w:val="22"/>
                <w:lang w:val="en-US"/>
              </w:rPr>
            </w:pPr>
          </w:p>
        </w:tc>
      </w:tr>
    </w:tbl>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60"/>
      </w:tblGrid>
      <w:tr w:rsidR="00AC3E93" w:rsidRPr="00B949DE" w:rsidTr="0063684B">
        <w:tc>
          <w:tcPr>
            <w:tcW w:w="9360" w:type="dxa"/>
          </w:tcPr>
          <w:p w:rsidR="00AC3E93" w:rsidRPr="00A07AEB" w:rsidRDefault="00AC3E93" w:rsidP="0063684B">
            <w:pPr>
              <w:spacing w:before="92" w:after="92"/>
              <w:jc w:val="left"/>
              <w:rPr>
                <w:i/>
                <w:iCs/>
                <w:sz w:val="20"/>
                <w:lang w:val="es-ES_tradnl"/>
              </w:rPr>
            </w:pPr>
            <w:r w:rsidRPr="00A07AEB">
              <w:rPr>
                <w:b/>
                <w:bCs/>
                <w:i/>
                <w:iCs/>
                <w:sz w:val="20"/>
                <w:lang w:val="es-ES_tradnl"/>
              </w:rPr>
              <w:t xml:space="preserve">         Nota</w:t>
            </w:r>
            <w:r w:rsidRPr="00A07AEB">
              <w:rPr>
                <w:i/>
                <w:iCs/>
                <w:sz w:val="20"/>
                <w:lang w:val="es-ES_tradnl"/>
              </w:rPr>
              <w:t xml:space="preserve">: Esta Recomendación UIT-R fue aprobada en inglés conforme al procedimiento detallado en la </w:t>
            </w:r>
            <w:r w:rsidRPr="00A07AEB">
              <w:rPr>
                <w:i/>
                <w:iCs/>
                <w:sz w:val="20"/>
                <w:lang w:val="es-ES_tradnl"/>
              </w:rPr>
              <w:br/>
              <w:t xml:space="preserve">        Resolución UIT-R 1.</w:t>
            </w:r>
          </w:p>
        </w:tc>
      </w:tr>
    </w:tbl>
    <w:p w:rsidR="00AC3E93" w:rsidRPr="00763D08" w:rsidRDefault="00AC3E93" w:rsidP="0063684B">
      <w:pPr>
        <w:spacing w:before="0"/>
        <w:jc w:val="center"/>
        <w:rPr>
          <w:sz w:val="22"/>
          <w:lang w:val="es-ES_tradnl"/>
        </w:rPr>
      </w:pPr>
    </w:p>
    <w:p w:rsidR="00AC3E93" w:rsidRPr="00763D08" w:rsidRDefault="00AC3E93" w:rsidP="0063684B">
      <w:pPr>
        <w:spacing w:before="60"/>
        <w:jc w:val="right"/>
        <w:rPr>
          <w:i/>
          <w:iCs/>
          <w:sz w:val="20"/>
          <w:lang w:val="es-ES_tradnl"/>
        </w:rPr>
      </w:pPr>
      <w:r w:rsidRPr="00763D08">
        <w:rPr>
          <w:i/>
          <w:iCs/>
          <w:sz w:val="20"/>
          <w:lang w:val="es-ES_tradnl"/>
        </w:rPr>
        <w:t>Publicación electrónica</w:t>
      </w:r>
    </w:p>
    <w:p w:rsidR="00AC3E93" w:rsidRPr="00763D08" w:rsidRDefault="00AC3E93" w:rsidP="0063684B">
      <w:pPr>
        <w:spacing w:before="0" w:after="40"/>
        <w:jc w:val="right"/>
        <w:rPr>
          <w:sz w:val="20"/>
          <w:lang w:val="es-ES_tradnl"/>
        </w:rPr>
      </w:pPr>
      <w:r w:rsidRPr="00763D08">
        <w:rPr>
          <w:sz w:val="20"/>
          <w:lang w:val="es-ES_tradnl"/>
        </w:rPr>
        <w:t>Ginebra, 20</w:t>
      </w:r>
      <w:r>
        <w:rPr>
          <w:sz w:val="20"/>
          <w:lang w:val="es-ES_tradnl"/>
        </w:rPr>
        <w:t>11</w:t>
      </w:r>
    </w:p>
    <w:p w:rsidR="00AC3E93" w:rsidRPr="00763D08" w:rsidRDefault="00AC3E93" w:rsidP="0063684B">
      <w:pPr>
        <w:spacing w:before="0"/>
        <w:jc w:val="center"/>
        <w:rPr>
          <w:sz w:val="22"/>
          <w:lang w:val="es-ES_tradnl"/>
        </w:rPr>
      </w:pPr>
    </w:p>
    <w:p w:rsidR="00AC3E93" w:rsidRPr="00763D08" w:rsidRDefault="00AC3E93" w:rsidP="0063684B">
      <w:pPr>
        <w:spacing w:before="0"/>
        <w:jc w:val="center"/>
        <w:rPr>
          <w:sz w:val="20"/>
          <w:lang w:val="es-ES_tradnl"/>
        </w:rPr>
      </w:pPr>
      <w:r w:rsidRPr="00470E28">
        <w:rPr>
          <w:sz w:val="20"/>
          <w:lang w:val="en-US"/>
        </w:rPr>
        <w:sym w:font="Symbol" w:char="F0E3"/>
      </w:r>
      <w:r w:rsidRPr="00763D08">
        <w:rPr>
          <w:sz w:val="20"/>
          <w:lang w:val="es-ES_tradnl"/>
        </w:rPr>
        <w:t xml:space="preserve"> UIT </w:t>
      </w:r>
      <w:bookmarkStart w:id="2" w:name="iiannee"/>
      <w:bookmarkEnd w:id="2"/>
      <w:r w:rsidRPr="00763D08">
        <w:rPr>
          <w:sz w:val="20"/>
          <w:lang w:val="es-ES_tradnl"/>
        </w:rPr>
        <w:t>20</w:t>
      </w:r>
      <w:r>
        <w:rPr>
          <w:sz w:val="20"/>
          <w:lang w:val="es-ES_tradnl"/>
        </w:rPr>
        <w:t>11</w:t>
      </w:r>
    </w:p>
    <w:p w:rsidR="00AC3E93" w:rsidRPr="006C718C" w:rsidRDefault="00AC3E93" w:rsidP="0063684B">
      <w:pPr>
        <w:spacing w:before="80"/>
        <w:rPr>
          <w:sz w:val="18"/>
          <w:szCs w:val="18"/>
          <w:lang w:val="es-ES_tradnl"/>
        </w:rPr>
      </w:pPr>
      <w:r w:rsidRPr="00763D08">
        <w:rPr>
          <w:sz w:val="18"/>
          <w:szCs w:val="18"/>
          <w:lang w:val="es-ES_tradnl"/>
        </w:rPr>
        <w:t xml:space="preserve">Reservados todos los derechos. </w:t>
      </w:r>
      <w:r w:rsidRPr="006C718C">
        <w:rPr>
          <w:sz w:val="18"/>
          <w:szCs w:val="18"/>
          <w:lang w:val="es-ES_tradnl"/>
        </w:rPr>
        <w:t>Ninguna parte de esta publicación puede reproducirse por ningún procedimiento sin previa autorizaci</w:t>
      </w:r>
      <w:r>
        <w:rPr>
          <w:sz w:val="18"/>
          <w:szCs w:val="18"/>
          <w:lang w:val="es-ES_tradnl"/>
        </w:rPr>
        <w:t>ón escrita por parte de la UIT</w:t>
      </w:r>
      <w:r w:rsidRPr="006C718C">
        <w:rPr>
          <w:sz w:val="18"/>
          <w:szCs w:val="18"/>
          <w:lang w:val="es-ES_tradnl"/>
        </w:rPr>
        <w:t>.</w:t>
      </w:r>
    </w:p>
    <w:p w:rsidR="00AC3E93" w:rsidRPr="006C718C" w:rsidRDefault="00AC3E93" w:rsidP="0063684B">
      <w:pPr>
        <w:spacing w:before="160"/>
        <w:rPr>
          <w:i/>
          <w:sz w:val="20"/>
          <w:highlight w:val="yellow"/>
          <w:lang w:val="es-ES_tradnl"/>
        </w:rPr>
        <w:sectPr w:rsidR="00AC3E93" w:rsidRPr="006C718C" w:rsidSect="0063684B">
          <w:headerReference w:type="even" r:id="rId11"/>
          <w:headerReference w:type="default" r:id="rId12"/>
          <w:pgSz w:w="11907" w:h="16834" w:code="9"/>
          <w:pgMar w:top="1418" w:right="1134" w:bottom="1134" w:left="1134" w:header="720" w:footer="482" w:gutter="0"/>
          <w:pgNumType w:fmt="lowerRoman" w:start="2"/>
          <w:cols w:space="720"/>
        </w:sectPr>
      </w:pPr>
    </w:p>
    <w:p w:rsidR="00670014" w:rsidRPr="00E54123" w:rsidRDefault="00670014" w:rsidP="00670014">
      <w:pPr>
        <w:pStyle w:val="RecNo"/>
        <w:spacing w:before="0"/>
        <w:rPr>
          <w:lang w:val="es-ES"/>
        </w:rPr>
      </w:pPr>
      <w:bookmarkStart w:id="3" w:name="irecnoe"/>
      <w:bookmarkEnd w:id="3"/>
      <w:r w:rsidRPr="00E54123">
        <w:rPr>
          <w:lang w:val="es-ES"/>
        </w:rPr>
        <w:lastRenderedPageBreak/>
        <w:t xml:space="preserve">RECOMENDACIÓN  </w:t>
      </w:r>
      <w:r w:rsidRPr="00E54123">
        <w:rPr>
          <w:rStyle w:val="href"/>
          <w:lang w:val="es-ES"/>
        </w:rPr>
        <w:t>UIT-R  M.633-4</w:t>
      </w:r>
      <w:r w:rsidRPr="00E54123">
        <w:rPr>
          <w:rStyle w:val="FootnoteReference"/>
          <w:lang w:val="es-ES"/>
        </w:rPr>
        <w:footnoteReference w:customMarkFollows="1" w:id="1"/>
        <w:t>*</w:t>
      </w:r>
    </w:p>
    <w:p w:rsidR="00670014" w:rsidRPr="00E54123" w:rsidRDefault="00670014" w:rsidP="00670014">
      <w:pPr>
        <w:pStyle w:val="Rectitle"/>
        <w:rPr>
          <w:lang w:val="es-ES"/>
        </w:rPr>
      </w:pPr>
      <w:r w:rsidRPr="00E54123">
        <w:rPr>
          <w:lang w:val="es-ES"/>
        </w:rPr>
        <w:t xml:space="preserve">Características de transmisión de un sistema </w:t>
      </w:r>
      <w:r w:rsidR="00942942">
        <w:rPr>
          <w:lang w:val="es-ES"/>
        </w:rPr>
        <w:t>de radiobalizas de localización</w:t>
      </w:r>
      <w:r w:rsidRPr="00E54123">
        <w:rPr>
          <w:lang w:val="es-ES"/>
        </w:rPr>
        <w:br/>
        <w:t xml:space="preserve">de siniestros por satélite (RLS por satélite) que utiliza un sistema </w:t>
      </w:r>
      <w:r w:rsidRPr="00E54123">
        <w:rPr>
          <w:lang w:val="es-ES"/>
        </w:rPr>
        <w:br/>
        <w:t>de satélites en la banda de 406 MHz</w:t>
      </w:r>
    </w:p>
    <w:p w:rsidR="00670014" w:rsidRPr="00E54123" w:rsidRDefault="00670014" w:rsidP="00670014">
      <w:pPr>
        <w:pStyle w:val="Recref"/>
        <w:rPr>
          <w:lang w:val="es-ES"/>
        </w:rPr>
      </w:pPr>
    </w:p>
    <w:p w:rsidR="00670014" w:rsidRDefault="00670014" w:rsidP="00670014">
      <w:pPr>
        <w:pStyle w:val="Recdate"/>
        <w:rPr>
          <w:lang w:val="es-ES"/>
        </w:rPr>
      </w:pPr>
      <w:r>
        <w:rPr>
          <w:lang w:val="es-ES"/>
        </w:rPr>
        <w:t>(1986-1990-2000-2004-2010)</w:t>
      </w:r>
    </w:p>
    <w:p w:rsidR="00670014" w:rsidRPr="00AC3FC1" w:rsidRDefault="00670014" w:rsidP="00670014">
      <w:pPr>
        <w:rPr>
          <w:lang w:val="es-ES"/>
        </w:rPr>
      </w:pPr>
    </w:p>
    <w:p w:rsidR="00670014" w:rsidRPr="00E54123" w:rsidRDefault="00670014" w:rsidP="00670014">
      <w:pPr>
        <w:pStyle w:val="HeadingSum"/>
      </w:pPr>
      <w:r w:rsidRPr="00E54123">
        <w:t>Cometido</w:t>
      </w:r>
    </w:p>
    <w:p w:rsidR="00670014" w:rsidRPr="00E54123" w:rsidRDefault="00670014" w:rsidP="00846610">
      <w:pPr>
        <w:pStyle w:val="Summary"/>
      </w:pPr>
      <w:r w:rsidRPr="00E54123">
        <w:t>En esta Recomendación se facilitan las características de transmisión de un sistema de radiobalizas de localización de siniestros por satélite (RLS por satélite) que utiliza un sistema de sa</w:t>
      </w:r>
      <w:r>
        <w:t>télites en la banda de</w:t>
      </w:r>
      <w:r w:rsidR="00846610">
        <w:t xml:space="preserve"> </w:t>
      </w:r>
      <w:r>
        <w:t>406</w:t>
      </w:r>
      <w:r w:rsidR="00846610">
        <w:t> </w:t>
      </w:r>
      <w:r>
        <w:t>MHz.</w:t>
      </w:r>
    </w:p>
    <w:p w:rsidR="00670014" w:rsidRPr="00E54123" w:rsidRDefault="00670014" w:rsidP="00670014">
      <w:pPr>
        <w:pStyle w:val="Normalaftertitle"/>
        <w:rPr>
          <w:lang w:val="es-ES"/>
        </w:rPr>
      </w:pPr>
      <w:r w:rsidRPr="00E54123">
        <w:rPr>
          <w:lang w:val="es-ES"/>
        </w:rPr>
        <w:t>La Asamblea de Radiocomunicaciones de la UIT,</w:t>
      </w:r>
    </w:p>
    <w:p w:rsidR="00670014" w:rsidRPr="00E54123" w:rsidRDefault="00670014" w:rsidP="00670014">
      <w:pPr>
        <w:pStyle w:val="Call"/>
        <w:rPr>
          <w:lang w:val="es-ES"/>
        </w:rPr>
      </w:pPr>
      <w:r w:rsidRPr="00E54123">
        <w:rPr>
          <w:lang w:val="es-ES"/>
        </w:rPr>
        <w:t>considerando</w:t>
      </w:r>
    </w:p>
    <w:p w:rsidR="00670014" w:rsidRPr="00E54123" w:rsidRDefault="00670014" w:rsidP="00670014">
      <w:pPr>
        <w:rPr>
          <w:lang w:val="es-ES"/>
        </w:rPr>
      </w:pPr>
      <w:r w:rsidRPr="00E54123">
        <w:rPr>
          <w:iCs/>
          <w:lang w:val="es-ES"/>
        </w:rPr>
        <w:t>a)</w:t>
      </w:r>
      <w:r w:rsidRPr="00E54123">
        <w:rPr>
          <w:lang w:val="es-ES"/>
        </w:rPr>
        <w:tab/>
        <w:t>que las RLS por satélite pueden utilizarse para alerta de socorro en los sistemas terrestres, marítimos y aeronáuticos;</w:t>
      </w:r>
    </w:p>
    <w:p w:rsidR="00670014" w:rsidRPr="00E54123" w:rsidRDefault="00670014" w:rsidP="00670014">
      <w:pPr>
        <w:rPr>
          <w:lang w:val="es-ES"/>
        </w:rPr>
      </w:pPr>
      <w:r w:rsidRPr="00E54123">
        <w:rPr>
          <w:iCs/>
          <w:lang w:val="es-ES"/>
        </w:rPr>
        <w:t>b)</w:t>
      </w:r>
      <w:r w:rsidRPr="00E54123">
        <w:rPr>
          <w:lang w:val="es-ES"/>
        </w:rPr>
        <w:tab/>
        <w:t>que pueden emplearse RLS por satélite con características comunes en diversos entornos de funcionamiento;</w:t>
      </w:r>
    </w:p>
    <w:p w:rsidR="00670014" w:rsidRPr="00E54123" w:rsidRDefault="00670014" w:rsidP="00670014">
      <w:pPr>
        <w:rPr>
          <w:lang w:val="es-ES"/>
        </w:rPr>
      </w:pPr>
      <w:r w:rsidRPr="00E54123">
        <w:rPr>
          <w:iCs/>
          <w:lang w:val="es-ES"/>
        </w:rPr>
        <w:t>c)</w:t>
      </w:r>
      <w:r w:rsidRPr="00E54123">
        <w:rPr>
          <w:lang w:val="es-ES"/>
        </w:rPr>
        <w:tab/>
        <w:t>que las RLS por satélite constituyen uno de los medios prioritarios de alerta en el Sistema Mundial de Socorro y Seguridad Marítimos (SMSSM) de la Organización Marítima Internacional (OMI);</w:t>
      </w:r>
    </w:p>
    <w:p w:rsidR="00670014" w:rsidRPr="00E54123" w:rsidRDefault="00670014" w:rsidP="00670014">
      <w:pPr>
        <w:rPr>
          <w:lang w:val="es-ES"/>
        </w:rPr>
      </w:pPr>
      <w:r w:rsidRPr="00E54123">
        <w:rPr>
          <w:iCs/>
          <w:lang w:val="es-ES"/>
        </w:rPr>
        <w:t>d)</w:t>
      </w:r>
      <w:r w:rsidRPr="00E54123">
        <w:rPr>
          <w:lang w:val="es-ES"/>
        </w:rPr>
        <w:tab/>
        <w:t>que todos los barcos a los que se refiere el Capítulo IV del Convenio Internacional para la Seguridad de la Vida Humana en el Mar (SOLAS), 1974, (modificado en 1988) están obligados por la Regla IV/7.1.6 a llevar una RLS por satélite a partir del 1 de agosto de 1993;</w:t>
      </w:r>
    </w:p>
    <w:p w:rsidR="00670014" w:rsidRPr="00E54123" w:rsidRDefault="00670014" w:rsidP="00670014">
      <w:pPr>
        <w:rPr>
          <w:lang w:val="es-ES"/>
        </w:rPr>
      </w:pPr>
      <w:r w:rsidRPr="00E54123">
        <w:rPr>
          <w:iCs/>
          <w:lang w:val="es-ES"/>
        </w:rPr>
        <w:t>e)</w:t>
      </w:r>
      <w:r w:rsidRPr="00E54123">
        <w:rPr>
          <w:lang w:val="es-ES"/>
        </w:rPr>
        <w:tab/>
        <w:t>que la Regla IV/7.1.6 del Convenio SOLAS prevé la incorporación de una RLS por satélite que funcione a través de una banda en 406 MHz;</w:t>
      </w:r>
    </w:p>
    <w:p w:rsidR="00670014" w:rsidRPr="00E54123" w:rsidRDefault="00670014" w:rsidP="00670014">
      <w:pPr>
        <w:rPr>
          <w:lang w:val="es-ES"/>
        </w:rPr>
      </w:pPr>
      <w:r w:rsidRPr="00E54123">
        <w:rPr>
          <w:iCs/>
          <w:lang w:val="es-ES"/>
        </w:rPr>
        <w:t>f)</w:t>
      </w:r>
      <w:r w:rsidRPr="00E54123">
        <w:rPr>
          <w:lang w:val="es-ES"/>
        </w:rPr>
        <w:tab/>
        <w:t>que todas las aeronaves y helicópteros a los que se aplican l</w:t>
      </w:r>
      <w:r>
        <w:rPr>
          <w:lang w:val="es-ES"/>
        </w:rPr>
        <w:t>as Partes I, II y III del Anexo </w:t>
      </w:r>
      <w:r w:rsidRPr="00E54123">
        <w:rPr>
          <w:lang w:val="es-ES"/>
        </w:rPr>
        <w:t xml:space="preserve">6 del Convenio de Aviación Civil Internacional tienen que llevar  al menos una RLS por satélite que funcione en la banda de 406 MHz (al que se hace referencia como </w:t>
      </w:r>
      <w:r>
        <w:rPr>
          <w:lang w:val="es-ES"/>
        </w:rPr>
        <w:t>t</w:t>
      </w:r>
      <w:r w:rsidRPr="00E54123">
        <w:rPr>
          <w:lang w:val="es-ES"/>
        </w:rPr>
        <w:t>ransmisor localizador de siniestros (ELT) en</w:t>
      </w:r>
      <w:r w:rsidR="00846610">
        <w:rPr>
          <w:lang w:val="es-ES"/>
        </w:rPr>
        <w:t xml:space="preserve"> la documentación de la OACI),</w:t>
      </w:r>
    </w:p>
    <w:p w:rsidR="00670014" w:rsidRPr="00E54123" w:rsidRDefault="00670014" w:rsidP="00670014">
      <w:pPr>
        <w:pStyle w:val="Call"/>
        <w:rPr>
          <w:lang w:val="es-ES"/>
        </w:rPr>
      </w:pPr>
      <w:r w:rsidRPr="00E54123">
        <w:rPr>
          <w:lang w:val="es-ES"/>
        </w:rPr>
        <w:t>observando</w:t>
      </w:r>
    </w:p>
    <w:p w:rsidR="00670014" w:rsidRPr="00E54123" w:rsidRDefault="00670014" w:rsidP="00670014">
      <w:pPr>
        <w:rPr>
          <w:lang w:val="es-ES"/>
        </w:rPr>
      </w:pPr>
      <w:r w:rsidRPr="00E54123">
        <w:rPr>
          <w:lang w:val="es-ES"/>
        </w:rPr>
        <w:t>a)</w:t>
      </w:r>
      <w:r w:rsidRPr="00E54123">
        <w:rPr>
          <w:lang w:val="es-ES"/>
        </w:rPr>
        <w:tab/>
        <w:t>la disponibilidad actual y prevista de satélites operacionales del tipo Cospas</w:t>
      </w:r>
      <w:r w:rsidRPr="00E54123">
        <w:rPr>
          <w:lang w:val="es-ES"/>
        </w:rPr>
        <w:noBreakHyphen/>
        <w:t>Sarsat en órbita;</w:t>
      </w:r>
    </w:p>
    <w:p w:rsidR="00670014" w:rsidRPr="00E54123" w:rsidRDefault="00670014" w:rsidP="00670014">
      <w:pPr>
        <w:rPr>
          <w:lang w:val="es-ES"/>
        </w:rPr>
      </w:pPr>
      <w:r>
        <w:rPr>
          <w:iCs/>
          <w:lang w:val="es-ES"/>
        </w:rPr>
        <w:t>b</w:t>
      </w:r>
      <w:r w:rsidRPr="00E54123">
        <w:rPr>
          <w:iCs/>
          <w:lang w:val="es-ES"/>
        </w:rPr>
        <w:t>)</w:t>
      </w:r>
      <w:r w:rsidRPr="00E54123">
        <w:rPr>
          <w:lang w:val="es-ES"/>
        </w:rPr>
        <w:tab/>
        <w:t>la disponibilidad actual y prevista del sistema terrestre Cospas</w:t>
      </w:r>
      <w:r w:rsidRPr="00E54123">
        <w:rPr>
          <w:lang w:val="es-ES"/>
        </w:rPr>
        <w:noBreakHyphen/>
        <w:t>Sarsat,</w:t>
      </w:r>
    </w:p>
    <w:p w:rsidR="00670014" w:rsidRPr="00E54123" w:rsidRDefault="00670014" w:rsidP="00670014">
      <w:pPr>
        <w:pStyle w:val="Call"/>
        <w:rPr>
          <w:lang w:val="es-ES"/>
        </w:rPr>
      </w:pPr>
      <w:r w:rsidRPr="00E54123">
        <w:rPr>
          <w:lang w:val="es-ES"/>
        </w:rPr>
        <w:lastRenderedPageBreak/>
        <w:t>recomienda</w:t>
      </w:r>
    </w:p>
    <w:p w:rsidR="00670014" w:rsidRPr="00E54123" w:rsidRDefault="00670014" w:rsidP="00670014">
      <w:pPr>
        <w:rPr>
          <w:lang w:val="es-ES"/>
        </w:rPr>
      </w:pPr>
      <w:r w:rsidRPr="00E54123">
        <w:rPr>
          <w:b/>
          <w:lang w:val="es-ES"/>
        </w:rPr>
        <w:t>1</w:t>
      </w:r>
      <w:r w:rsidRPr="00E54123">
        <w:rPr>
          <w:lang w:val="es-ES"/>
        </w:rPr>
        <w:tab/>
        <w:t>que las características de transmisión y los formatos de datos de las RLS por satélite que funcionen mediante un sistema de satélites, en la banda de 406 MHz, sean conformes al Documento Cospas</w:t>
      </w:r>
      <w:r w:rsidRPr="00E54123">
        <w:rPr>
          <w:lang w:val="es-ES"/>
        </w:rPr>
        <w:noBreakHyphen/>
        <w:t>Sarsat, C/S T.001 (Edición 3, Revisión 10, octubre de 2009 titulada, Especificación de las balizas de socorro Cospas-Sarsat en la banda de 406 MHz).</w:t>
      </w:r>
    </w:p>
    <w:p w:rsidR="00670014" w:rsidRPr="00E54123" w:rsidRDefault="00670014" w:rsidP="00670014">
      <w:pPr>
        <w:rPr>
          <w:lang w:val="es-ES"/>
        </w:rPr>
      </w:pPr>
      <w:r w:rsidRPr="00E54123">
        <w:rPr>
          <w:lang w:val="es-ES"/>
        </w:rPr>
        <w:t xml:space="preserve">NOTA 1 – Es posible obtener gratuitamente una copia del Documento C/S T.001 (Edición 3, Revisión 10, octubre de 2009) en la Secretaría del sistema Cospas-Sarsat (Correo-e: </w:t>
      </w:r>
      <w:hyperlink r:id="rId13" w:history="1">
        <w:r w:rsidRPr="00E54123">
          <w:rPr>
            <w:rStyle w:val="Hyperlink"/>
            <w:lang w:val="es-ES"/>
          </w:rPr>
          <w:t>cospas_sarsat@imso.org</w:t>
        </w:r>
      </w:hyperlink>
      <w:r w:rsidRPr="00E54123">
        <w:rPr>
          <w:lang w:val="es-ES"/>
        </w:rPr>
        <w:t>) o en el sitio web del sistema Cospas-Sarsat.</w:t>
      </w:r>
    </w:p>
    <w:p w:rsidR="00670014" w:rsidRPr="00E54123" w:rsidRDefault="00670014" w:rsidP="00670014">
      <w:pPr>
        <w:rPr>
          <w:lang w:val="es-ES"/>
        </w:rPr>
      </w:pPr>
    </w:p>
    <w:p w:rsidR="00670014" w:rsidRDefault="00670014" w:rsidP="00670014">
      <w:pPr>
        <w:rPr>
          <w:lang w:val="es-ES_tradnl"/>
        </w:rPr>
      </w:pPr>
    </w:p>
    <w:p w:rsidR="00670014" w:rsidRPr="00B55D7D" w:rsidRDefault="00670014" w:rsidP="00670014">
      <w:pPr>
        <w:pStyle w:val="Line"/>
        <w:rPr>
          <w:lang w:val="es-ES_tradnl"/>
        </w:rPr>
      </w:pPr>
    </w:p>
    <w:sectPr w:rsidR="00670014" w:rsidRPr="00B55D7D" w:rsidSect="0063684B">
      <w:headerReference w:type="even" r:id="rId14"/>
      <w:headerReference w:type="default" r:id="rId15"/>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84B" w:rsidRDefault="0063684B">
      <w:r>
        <w:separator/>
      </w:r>
    </w:p>
  </w:endnote>
  <w:endnote w:type="continuationSeparator" w:id="0">
    <w:p w:rsidR="0063684B" w:rsidRDefault="0063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84B" w:rsidRDefault="0063684B">
      <w:r>
        <w:separator/>
      </w:r>
    </w:p>
  </w:footnote>
  <w:footnote w:type="continuationSeparator" w:id="0">
    <w:p w:rsidR="0063684B" w:rsidRDefault="0063684B">
      <w:r>
        <w:continuationSeparator/>
      </w:r>
    </w:p>
  </w:footnote>
  <w:footnote w:id="1">
    <w:p w:rsidR="0063684B" w:rsidRDefault="0063684B" w:rsidP="00942942">
      <w:pPr>
        <w:pStyle w:val="FootnoteText"/>
        <w:rPr>
          <w:lang w:val="es-ES_tradnl"/>
        </w:rPr>
      </w:pPr>
      <w:r>
        <w:rPr>
          <w:rStyle w:val="FootnoteReference"/>
          <w:lang w:val="es-ES_tradnl"/>
        </w:rPr>
        <w:t>*</w:t>
      </w:r>
      <w:r>
        <w:rPr>
          <w:lang w:val="es-ES_tradnl"/>
        </w:rPr>
        <w:tab/>
        <w:t>Esta Recomendación debe señalarse a la atención de la Organización Marítima Internacional (OMI), de la Organización de Aviación Civil Internacional (OACI), de la Organización Internacional de Telecomunicaciones Móviles por Satélite (IMSO) y la Secretaría del sistema Cospas-Sarsat.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84B" w:rsidRDefault="0063684B">
    <w:pP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84B" w:rsidRDefault="0063684B" w:rsidP="0063684B">
    <w:pPr>
      <w:ind w:right="360" w:firstLine="360"/>
    </w:pPr>
    <w:r>
      <w:rPr>
        <w:noProof/>
        <w:lang w:val="en-US" w:eastAsia="zh-CN"/>
      </w:rPr>
      <w:drawing>
        <wp:anchor distT="0" distB="0" distL="114300" distR="114300" simplePos="0" relativeHeight="251659264" behindDoc="1" locked="0" layoutInCell="1" allowOverlap="1" wp14:anchorId="1058F2B0" wp14:editId="3F630488">
          <wp:simplePos x="0" y="0"/>
          <wp:positionH relativeFrom="page">
            <wp:posOffset>0</wp:posOffset>
          </wp:positionH>
          <wp:positionV relativeFrom="page">
            <wp:posOffset>0</wp:posOffset>
          </wp:positionV>
          <wp:extent cx="7592060" cy="10760075"/>
          <wp:effectExtent l="19050" t="0" r="8890" b="0"/>
          <wp:wrapNone/>
          <wp:docPr id="1" name="Picture 1" descr="rec_S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_S_2009"/>
                  <pic:cNvPicPr>
                    <a:picLocks noChangeAspect="1" noChangeArrowheads="1"/>
                  </pic:cNvPicPr>
                </pic:nvPicPr>
                <pic:blipFill>
                  <a:blip r:embed="rId1"/>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84B" w:rsidRDefault="0063684B" w:rsidP="0063684B">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sidR="00B949DE">
      <w:rPr>
        <w:rStyle w:val="PageNumber"/>
        <w:b/>
        <w:bCs/>
        <w:noProof/>
      </w:rPr>
      <w:t>ii</w:t>
    </w:r>
    <w:r>
      <w:rPr>
        <w:rStyle w:val="PageNumber"/>
        <w:b/>
        <w:bCs/>
      </w:rPr>
      <w:fldChar w:fldCharType="end"/>
    </w:r>
    <w:r>
      <w:tab/>
    </w:r>
    <w:r w:rsidR="00B949DE">
      <w:fldChar w:fldCharType="begin"/>
    </w:r>
    <w:r w:rsidR="00B949DE">
      <w:instrText xml:space="preserve"> DOCPROPERTY "Header" \* MERGEFORMAT </w:instrText>
    </w:r>
    <w:r w:rsidR="00B949DE">
      <w:fldChar w:fldCharType="separate"/>
    </w:r>
    <w:r w:rsidR="00B949DE" w:rsidRPr="00B949DE">
      <w:rPr>
        <w:b/>
        <w:bCs/>
      </w:rPr>
      <w:t xml:space="preserve">Rec. </w:t>
    </w:r>
    <w:r w:rsidR="00B949DE">
      <w:rPr>
        <w:b/>
        <w:bCs/>
      </w:rPr>
      <w:fldChar w:fldCharType="end"/>
    </w:r>
    <w:r w:rsidRPr="001B395D">
      <w:rPr>
        <w:b/>
        <w:bCs/>
      </w:rPr>
      <w:t xml:space="preserve"> </w:t>
    </w:r>
    <w:r w:rsidRPr="001B395D">
      <w:rPr>
        <w:b/>
        <w:bCs/>
      </w:rPr>
      <w:fldChar w:fldCharType="begin"/>
    </w:r>
    <w:r w:rsidRPr="001B395D">
      <w:rPr>
        <w:b/>
        <w:bCs/>
      </w:rPr>
      <w:instrText>styleref href</w:instrText>
    </w:r>
    <w:r w:rsidRPr="001B395D">
      <w:rPr>
        <w:b/>
        <w:bCs/>
      </w:rPr>
      <w:fldChar w:fldCharType="separate"/>
    </w:r>
    <w:r w:rsidR="00B949DE">
      <w:rPr>
        <w:b/>
        <w:bCs/>
        <w:noProof/>
      </w:rPr>
      <w:t>UIT-R  M.633-4</w:t>
    </w:r>
    <w:r w:rsidRPr="001B395D">
      <w:rP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84B" w:rsidRDefault="0063684B">
    <w:r>
      <w:tab/>
    </w:r>
    <w:r w:rsidR="00B949DE">
      <w:fldChar w:fldCharType="begin"/>
    </w:r>
    <w:r w:rsidR="00B949DE">
      <w:instrText xml:space="preserve"> DOCPROPERTY "Header" \* MERGEFORMAT </w:instrText>
    </w:r>
    <w:r w:rsidR="00B949DE">
      <w:fldChar w:fldCharType="separate"/>
    </w:r>
    <w:r w:rsidR="00B949DE" w:rsidRPr="00B949DE">
      <w:rPr>
        <w:b/>
        <w:bCs/>
      </w:rPr>
      <w:t xml:space="preserve">Rec. </w:t>
    </w:r>
    <w:r w:rsidR="00B949DE">
      <w:rPr>
        <w:b/>
        <w:bCs/>
      </w:rPr>
      <w:fldChar w:fldCharType="end"/>
    </w:r>
    <w:r>
      <w:rPr>
        <w:b/>
        <w:bCs/>
      </w:rPr>
      <w:t xml:space="preserve"> </w:t>
    </w:r>
    <w:r>
      <w:rPr>
        <w:b/>
        <w:bCs/>
      </w:rPr>
      <w:fldChar w:fldCharType="begin"/>
    </w:r>
    <w:r>
      <w:rPr>
        <w:b/>
        <w:bCs/>
      </w:rPr>
      <w:instrText>styleref href</w:instrText>
    </w:r>
    <w:r>
      <w:rPr>
        <w:b/>
        <w:bCs/>
      </w:rPr>
      <w:fldChar w:fldCharType="separate"/>
    </w:r>
    <w:r w:rsidR="00B949DE">
      <w:rPr>
        <w:b/>
        <w:bCs/>
        <w:noProof/>
      </w:rPr>
      <w:t>UIT-R  M.633-4</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3</w:t>
    </w:r>
    <w:r>
      <w:rPr>
        <w:rStyle w:val="PageNumbe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84B" w:rsidRDefault="0063684B">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B949DE">
      <w:rPr>
        <w:rStyle w:val="PageNumber"/>
        <w:b/>
        <w:bCs/>
        <w:noProof/>
        <w:lang w:val="en-US"/>
      </w:rPr>
      <w:t>2</w:t>
    </w:r>
    <w:r>
      <w:rPr>
        <w:rStyle w:val="PageNumber"/>
        <w:b/>
        <w:bCs/>
      </w:rPr>
      <w:fldChar w:fldCharType="end"/>
    </w:r>
    <w:r>
      <w:rPr>
        <w:lang w:val="en-US"/>
      </w:rPr>
      <w:tab/>
    </w:r>
    <w:r w:rsidR="00B949DE">
      <w:fldChar w:fldCharType="begin"/>
    </w:r>
    <w:r w:rsidR="00B949DE">
      <w:instrText xml:space="preserve"> DOCPROPERTY "Header" \* MERGEFORMAT </w:instrText>
    </w:r>
    <w:r w:rsidR="00B949DE">
      <w:fldChar w:fldCharType="separate"/>
    </w:r>
    <w:r w:rsidR="00B949DE" w:rsidRPr="00B949DE">
      <w:rPr>
        <w:b/>
        <w:bCs/>
        <w:lang w:val="en-US"/>
      </w:rPr>
      <w:t xml:space="preserve">Rec. </w:t>
    </w:r>
    <w:r w:rsidR="00B949DE">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B949DE">
      <w:rPr>
        <w:b/>
        <w:bCs/>
        <w:noProof/>
      </w:rPr>
      <w:t>UIT-R  M.633-4</w:t>
    </w:r>
    <w:r>
      <w:rPr>
        <w:b/>
        <w:bC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84B" w:rsidRDefault="0063684B">
    <w:pPr>
      <w:pStyle w:val="Header"/>
    </w:pPr>
    <w:r>
      <w:tab/>
    </w:r>
    <w:r w:rsidR="00B949DE">
      <w:fldChar w:fldCharType="begin"/>
    </w:r>
    <w:r w:rsidR="00B949DE">
      <w:instrText xml:space="preserve"> DOCPROPERTY "Header" \* MERGEFORMAT </w:instrText>
    </w:r>
    <w:r w:rsidR="00B949DE">
      <w:fldChar w:fldCharType="separate"/>
    </w:r>
    <w:r w:rsidR="00B949DE" w:rsidRPr="00B949DE">
      <w:rPr>
        <w:b/>
        <w:bCs/>
      </w:rPr>
      <w:t xml:space="preserve">Rec. </w:t>
    </w:r>
    <w:r w:rsidR="00B949DE">
      <w:rPr>
        <w:b/>
        <w:bCs/>
      </w:rPr>
      <w:fldChar w:fldCharType="end"/>
    </w:r>
    <w:r>
      <w:rPr>
        <w:b/>
        <w:bCs/>
      </w:rPr>
      <w:t xml:space="preserve"> </w:t>
    </w:r>
    <w:r>
      <w:rPr>
        <w:b/>
        <w:bCs/>
      </w:rPr>
      <w:fldChar w:fldCharType="begin"/>
    </w:r>
    <w:r>
      <w:rPr>
        <w:b/>
        <w:bCs/>
      </w:rPr>
      <w:instrText>styleref href</w:instrText>
    </w:r>
    <w:r>
      <w:rPr>
        <w:b/>
        <w:bCs/>
      </w:rPr>
      <w:fldChar w:fldCharType="separate"/>
    </w:r>
    <w:r w:rsidR="00B949DE">
      <w:rPr>
        <w:b/>
        <w:bCs/>
        <w:noProof/>
      </w:rPr>
      <w:t>UIT-R  M.633-4</w:t>
    </w:r>
    <w:r>
      <w:rPr>
        <w:b/>
        <w:bCs/>
      </w:rPr>
      <w:fldChar w:fldCharType="end"/>
    </w:r>
    <w:r>
      <w:tab/>
    </w:r>
    <w:r w:rsidRPr="0063684B">
      <w:rPr>
        <w:b/>
        <w:bCs/>
      </w:rPr>
      <w:fldChar w:fldCharType="begin"/>
    </w:r>
    <w:r w:rsidRPr="0063684B">
      <w:rPr>
        <w:b/>
        <w:bCs/>
      </w:rPr>
      <w:instrText xml:space="preserve"> PAGE   \* MERGEFORMAT </w:instrText>
    </w:r>
    <w:r w:rsidRPr="0063684B">
      <w:rPr>
        <w:b/>
        <w:bCs/>
      </w:rPr>
      <w:fldChar w:fldCharType="separate"/>
    </w:r>
    <w:r w:rsidR="00B949DE">
      <w:rPr>
        <w:b/>
        <w:bCs/>
        <w:noProof/>
      </w:rPr>
      <w:t>1</w:t>
    </w:r>
    <w:r w:rsidRPr="0063684B">
      <w:rPr>
        <w:b/>
        <w:bCs/>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s-ES_tradnl"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E93"/>
    <w:rsid w:val="00217EBF"/>
    <w:rsid w:val="002D76C4"/>
    <w:rsid w:val="00607D68"/>
    <w:rsid w:val="0063684B"/>
    <w:rsid w:val="00670014"/>
    <w:rsid w:val="007468DA"/>
    <w:rsid w:val="00846610"/>
    <w:rsid w:val="00860FDC"/>
    <w:rsid w:val="00942942"/>
    <w:rsid w:val="00A6617B"/>
    <w:rsid w:val="00AB0DC8"/>
    <w:rsid w:val="00AC3E93"/>
    <w:rsid w:val="00B44E24"/>
    <w:rsid w:val="00B55D7D"/>
    <w:rsid w:val="00B949DE"/>
    <w:rsid w:val="00D84A59"/>
    <w:rsid w:val="00DF41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AC3E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AC3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cospas_sarsat@imso.or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yperlink" Target="http://www.itu.int/publ/R-REC/es" TargetMode="External"/><Relationship Id="rId4" Type="http://schemas.openxmlformats.org/officeDocument/2006/relationships/webSettings" Target="webSettings.xml"/><Relationship Id="rId9" Type="http://schemas.openxmlformats.org/officeDocument/2006/relationships/hyperlink" Target="http://www.itu.int/ITU-R/go/patents/es" TargetMode="Externa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ntosbo\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23</TotalTime>
  <Pages>4</Pages>
  <Words>706</Words>
  <Characters>4769</Characters>
  <Application>Microsoft Office Word</Application>
  <DocSecurity>0</DocSecurity>
  <Lines>476</Lines>
  <Paragraphs>195</Paragraphs>
  <ScaleCrop>false</ScaleCrop>
  <HeadingPairs>
    <vt:vector size="2" baseType="variant">
      <vt:variant>
        <vt:lpstr>Title</vt:lpstr>
      </vt:variant>
      <vt:variant>
        <vt:i4>1</vt:i4>
      </vt:variant>
    </vt:vector>
  </HeadingPairs>
  <TitlesOfParts>
    <vt:vector size="1" baseType="lpstr">
      <vt:lpstr>RECOMENDACIÓN  UIT-R  M.633-4* - Características de transmisión de un sistema de radiobalizas de localización  de siniestros por satélite (RLS por satélite) que utiliza un sistema  de satélites en la banda de 406 MHz</vt:lpstr>
    </vt:vector>
  </TitlesOfParts>
  <Manager/>
  <Company>ITU</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UIT-R  M.633-4* - Características de transmisión de un sistema de radiobalizas de localización  de siniestros por satélite (RLS por satélite) que utiliza un sistema  de satélites en la banda de 406 MHz</dc:title>
  <dc:subject>Serie M = Servicios móviles, de radiodeterminación y de aficionados, incluidos los correspondientes servicios por satélite</dc:subject>
  <dc:creator>Oficina de Radiocomunicaciones del UIT (BR)</dc:creator>
  <cp:keywords>M,633-4*</cp:keywords>
  <dc:description>Santosbo, 16.05.2011, MSB106309</dc:description>
  <cp:lastModifiedBy>santosbo</cp:lastModifiedBy>
  <cp:revision>8</cp:revision>
  <cp:lastPrinted>2005-02-10T15:54:00Z</cp:lastPrinted>
  <dcterms:created xsi:type="dcterms:W3CDTF">2011-05-13T12:35:00Z</dcterms:created>
  <dcterms:modified xsi:type="dcterms:W3CDTF">2011-05-16T09:54:00Z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Spanish</vt:lpwstr>
  </property>
  <property fmtid="{D5CDD505-2E9C-101B-9397-08002B2CF9AE}" pid="10" name="Typist">
    <vt:lpwstr>Santosbo</vt:lpwstr>
  </property>
  <property fmtid="{D5CDD505-2E9C-101B-9397-08002B2CF9AE}" pid="11" name="Date completed">
    <vt:lpwstr>16 May 2011</vt:lpwstr>
  </property>
</Properties>
</file>