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F8F" w:rsidRPr="00575CB8" w:rsidRDefault="00664F8F" w:rsidP="00042292">
      <w:pPr>
        <w:rPr>
          <w:lang w:val="en-US"/>
        </w:rPr>
      </w:pPr>
    </w:p>
    <w:p w:rsidR="00664F8F" w:rsidRDefault="00664F8F" w:rsidP="00042292"/>
    <w:p w:rsidR="00664F8F" w:rsidRDefault="00664F8F" w:rsidP="00042292"/>
    <w:p w:rsidR="00664F8F" w:rsidRDefault="00664F8F" w:rsidP="00042292"/>
    <w:p w:rsidR="00664F8F" w:rsidRDefault="00664F8F" w:rsidP="00042292"/>
    <w:p w:rsidR="00664F8F" w:rsidRDefault="00664F8F" w:rsidP="00042292"/>
    <w:p w:rsidR="00664F8F" w:rsidRDefault="00664F8F" w:rsidP="00042292"/>
    <w:p w:rsidR="00664F8F" w:rsidRDefault="00664F8F" w:rsidP="00042292"/>
    <w:p w:rsidR="00664F8F" w:rsidRDefault="00664F8F" w:rsidP="00042292"/>
    <w:p w:rsidR="00664F8F" w:rsidRDefault="00664F8F" w:rsidP="00042292"/>
    <w:tbl>
      <w:tblPr>
        <w:tblW w:w="10089" w:type="dxa"/>
        <w:tblLook w:val="01E0" w:firstRow="1" w:lastRow="1" w:firstColumn="1" w:lastColumn="1" w:noHBand="0" w:noVBand="0"/>
      </w:tblPr>
      <w:tblGrid>
        <w:gridCol w:w="10089"/>
      </w:tblGrid>
      <w:tr w:rsidR="00664F8F" w:rsidRPr="00906075" w:rsidTr="00A07AEB">
        <w:tc>
          <w:tcPr>
            <w:tcW w:w="10089" w:type="dxa"/>
          </w:tcPr>
          <w:p w:rsidR="00664F8F" w:rsidRPr="00A07AEB" w:rsidRDefault="00664F8F" w:rsidP="00A07AEB">
            <w:pPr>
              <w:spacing w:before="380" w:line="280" w:lineRule="exact"/>
              <w:jc w:val="right"/>
              <w:rPr>
                <w:rFonts w:ascii="Tahoma" w:hAnsi="Tahoma" w:cs="Tahoma"/>
                <w:b/>
                <w:bCs/>
                <w:iCs/>
                <w:color w:val="243285"/>
                <w:sz w:val="32"/>
                <w:szCs w:val="32"/>
                <w:lang w:val="en-US"/>
              </w:rPr>
            </w:pPr>
          </w:p>
          <w:p w:rsidR="00664F8F" w:rsidRPr="00A07AEB" w:rsidRDefault="00664F8F" w:rsidP="00664F8F">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629-1</w:t>
            </w:r>
          </w:p>
          <w:p w:rsidR="00664F8F" w:rsidRPr="00A07AEB" w:rsidRDefault="00664F8F" w:rsidP="00664F8F">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2013</w:t>
            </w:r>
            <w:r w:rsidRPr="00A07AEB">
              <w:rPr>
                <w:rFonts w:ascii="Tahoma" w:hAnsi="Tahoma" w:cs="Tahoma"/>
                <w:b/>
                <w:bCs/>
                <w:iCs/>
                <w:color w:val="243285"/>
                <w:szCs w:val="24"/>
                <w:lang w:val="es-ES_tradnl"/>
              </w:rPr>
              <w:t>)</w:t>
            </w:r>
          </w:p>
        </w:tc>
      </w:tr>
      <w:tr w:rsidR="00664F8F" w:rsidRPr="00A07AEB" w:rsidTr="00A07AEB">
        <w:tc>
          <w:tcPr>
            <w:tcW w:w="10089" w:type="dxa"/>
          </w:tcPr>
          <w:p w:rsidR="00664F8F" w:rsidRPr="00A07AEB" w:rsidRDefault="00664F8F" w:rsidP="00664F8F">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
              </w:rPr>
              <w:br/>
            </w:r>
            <w:r w:rsidRPr="009C5F18">
              <w:rPr>
                <w:rFonts w:ascii="Tahoma" w:hAnsi="Tahoma" w:cs="Tahoma"/>
                <w:b/>
                <w:bCs/>
                <w:iCs/>
                <w:color w:val="243285"/>
                <w:sz w:val="44"/>
                <w:szCs w:val="44"/>
                <w:lang w:val="es-ES"/>
              </w:rPr>
              <w:t>Utilización para el servicio de</w:t>
            </w:r>
            <w:r>
              <w:rPr>
                <w:rFonts w:ascii="Tahoma" w:hAnsi="Tahoma" w:cs="Tahoma"/>
                <w:b/>
                <w:bCs/>
                <w:iCs/>
                <w:color w:val="243285"/>
                <w:sz w:val="44"/>
                <w:szCs w:val="44"/>
                <w:lang w:val="es-ES"/>
              </w:rPr>
              <w:t xml:space="preserve"> </w:t>
            </w:r>
            <w:r w:rsidRPr="009C5F18">
              <w:rPr>
                <w:rFonts w:ascii="Tahoma" w:hAnsi="Tahoma" w:cs="Tahoma"/>
                <w:b/>
                <w:bCs/>
                <w:iCs/>
                <w:color w:val="243285"/>
                <w:sz w:val="44"/>
                <w:szCs w:val="44"/>
                <w:lang w:val="es-ES"/>
              </w:rPr>
              <w:t>radionavegación de las bandas</w:t>
            </w:r>
            <w:r>
              <w:rPr>
                <w:rFonts w:ascii="Tahoma" w:hAnsi="Tahoma" w:cs="Tahoma"/>
                <w:b/>
                <w:bCs/>
                <w:iCs/>
                <w:color w:val="243285"/>
                <w:sz w:val="44"/>
                <w:szCs w:val="44"/>
                <w:lang w:val="es-ES"/>
              </w:rPr>
              <w:t xml:space="preserve"> </w:t>
            </w:r>
            <w:r w:rsidRPr="009C5F18">
              <w:rPr>
                <w:rFonts w:ascii="Tahoma" w:hAnsi="Tahoma" w:cs="Tahoma"/>
                <w:b/>
                <w:bCs/>
                <w:iCs/>
                <w:color w:val="243285"/>
                <w:sz w:val="44"/>
                <w:szCs w:val="44"/>
                <w:lang w:val="es-ES"/>
              </w:rPr>
              <w:t>2</w:t>
            </w:r>
            <w:r>
              <w:rPr>
                <w:rFonts w:ascii="Tahoma" w:hAnsi="Tahoma" w:cs="Tahoma"/>
                <w:b/>
                <w:bCs/>
                <w:iCs/>
                <w:color w:val="243285"/>
                <w:sz w:val="44"/>
                <w:szCs w:val="44"/>
                <w:lang w:val="es-ES"/>
              </w:rPr>
              <w:t> </w:t>
            </w:r>
            <w:r w:rsidRPr="009C5F18">
              <w:rPr>
                <w:rFonts w:ascii="Tahoma" w:hAnsi="Tahoma" w:cs="Tahoma"/>
                <w:b/>
                <w:bCs/>
                <w:iCs/>
                <w:color w:val="243285"/>
                <w:sz w:val="44"/>
                <w:szCs w:val="44"/>
                <w:lang w:val="es-ES"/>
              </w:rPr>
              <w:t>900</w:t>
            </w:r>
            <w:r>
              <w:rPr>
                <w:rFonts w:ascii="Tahoma" w:hAnsi="Tahoma" w:cs="Tahoma"/>
                <w:b/>
                <w:bCs/>
                <w:iCs/>
                <w:color w:val="243285"/>
                <w:sz w:val="44"/>
                <w:szCs w:val="44"/>
                <w:lang w:val="es-ES"/>
              </w:rPr>
              <w:noBreakHyphen/>
            </w:r>
            <w:r w:rsidRPr="009C5F18">
              <w:rPr>
                <w:rFonts w:ascii="Tahoma" w:hAnsi="Tahoma" w:cs="Tahoma"/>
                <w:b/>
                <w:bCs/>
                <w:iCs/>
                <w:color w:val="243285"/>
                <w:sz w:val="44"/>
                <w:szCs w:val="44"/>
                <w:lang w:val="es-ES"/>
              </w:rPr>
              <w:t>3</w:t>
            </w:r>
            <w:r>
              <w:rPr>
                <w:rFonts w:ascii="Tahoma" w:hAnsi="Tahoma" w:cs="Tahoma"/>
                <w:b/>
                <w:bCs/>
                <w:iCs/>
                <w:color w:val="243285"/>
                <w:sz w:val="44"/>
                <w:szCs w:val="44"/>
                <w:lang w:val="es-ES"/>
              </w:rPr>
              <w:t> </w:t>
            </w:r>
            <w:r w:rsidRPr="009C5F18">
              <w:rPr>
                <w:rFonts w:ascii="Tahoma" w:hAnsi="Tahoma" w:cs="Tahoma"/>
                <w:b/>
                <w:bCs/>
                <w:iCs/>
                <w:color w:val="243285"/>
                <w:sz w:val="44"/>
                <w:szCs w:val="44"/>
                <w:lang w:val="es-ES"/>
              </w:rPr>
              <w:t>100</w:t>
            </w:r>
            <w:r>
              <w:rPr>
                <w:rFonts w:ascii="Tahoma" w:hAnsi="Tahoma" w:cs="Tahoma"/>
                <w:b/>
                <w:bCs/>
                <w:iCs/>
                <w:color w:val="243285"/>
                <w:sz w:val="44"/>
                <w:szCs w:val="44"/>
                <w:lang w:val="es-ES"/>
              </w:rPr>
              <w:t> </w:t>
            </w:r>
            <w:r w:rsidRPr="009C5F18">
              <w:rPr>
                <w:rFonts w:ascii="Tahoma" w:hAnsi="Tahoma" w:cs="Tahoma"/>
                <w:b/>
                <w:bCs/>
                <w:iCs/>
                <w:color w:val="243285"/>
                <w:sz w:val="44"/>
                <w:szCs w:val="44"/>
                <w:lang w:val="es-ES"/>
              </w:rPr>
              <w:t>MHz, 5 470- 5 650 MHz,</w:t>
            </w:r>
            <w:r>
              <w:rPr>
                <w:rFonts w:ascii="Tahoma" w:hAnsi="Tahoma" w:cs="Tahoma"/>
                <w:b/>
                <w:bCs/>
                <w:iCs/>
                <w:color w:val="243285"/>
                <w:sz w:val="44"/>
                <w:szCs w:val="44"/>
                <w:lang w:val="es-ES"/>
              </w:rPr>
              <w:t xml:space="preserve"> </w:t>
            </w:r>
            <w:r w:rsidRPr="009C5F18">
              <w:rPr>
                <w:rFonts w:ascii="Tahoma" w:hAnsi="Tahoma" w:cs="Tahoma"/>
                <w:b/>
                <w:bCs/>
                <w:iCs/>
                <w:color w:val="243285"/>
                <w:sz w:val="44"/>
                <w:szCs w:val="44"/>
                <w:lang w:val="es-ES"/>
              </w:rPr>
              <w:t>9</w:t>
            </w:r>
            <w:r>
              <w:rPr>
                <w:rFonts w:ascii="Tahoma" w:hAnsi="Tahoma" w:cs="Tahoma"/>
                <w:b/>
                <w:bCs/>
                <w:iCs/>
                <w:color w:val="243285"/>
                <w:sz w:val="44"/>
                <w:szCs w:val="44"/>
                <w:lang w:val="es-ES"/>
              </w:rPr>
              <w:t> </w:t>
            </w:r>
            <w:r w:rsidRPr="009C5F18">
              <w:rPr>
                <w:rFonts w:ascii="Tahoma" w:hAnsi="Tahoma" w:cs="Tahoma"/>
                <w:b/>
                <w:bCs/>
                <w:iCs/>
                <w:color w:val="243285"/>
                <w:sz w:val="44"/>
                <w:szCs w:val="44"/>
                <w:lang w:val="es-ES"/>
              </w:rPr>
              <w:t>200</w:t>
            </w:r>
            <w:r>
              <w:rPr>
                <w:rFonts w:ascii="Tahoma" w:hAnsi="Tahoma" w:cs="Tahoma"/>
                <w:b/>
                <w:bCs/>
                <w:iCs/>
                <w:color w:val="243285"/>
                <w:sz w:val="44"/>
                <w:szCs w:val="44"/>
                <w:lang w:val="es-ES"/>
              </w:rPr>
              <w:noBreakHyphen/>
            </w:r>
            <w:r w:rsidRPr="009C5F18">
              <w:rPr>
                <w:rFonts w:ascii="Tahoma" w:hAnsi="Tahoma" w:cs="Tahoma"/>
                <w:b/>
                <w:bCs/>
                <w:iCs/>
                <w:color w:val="243285"/>
                <w:sz w:val="44"/>
                <w:szCs w:val="44"/>
                <w:lang w:val="es-ES"/>
              </w:rPr>
              <w:t>9 300 MHz, 9 300-9 500 MHz</w:t>
            </w:r>
            <w:r>
              <w:rPr>
                <w:rFonts w:ascii="Tahoma" w:hAnsi="Tahoma" w:cs="Tahoma"/>
                <w:b/>
                <w:bCs/>
                <w:iCs/>
                <w:color w:val="243285"/>
                <w:sz w:val="44"/>
                <w:szCs w:val="44"/>
                <w:lang w:val="es-ES"/>
              </w:rPr>
              <w:t xml:space="preserve"> </w:t>
            </w:r>
            <w:r w:rsidRPr="009C5F18">
              <w:rPr>
                <w:rFonts w:ascii="Tahoma" w:hAnsi="Tahoma" w:cs="Tahoma"/>
                <w:b/>
                <w:bCs/>
                <w:iCs/>
                <w:color w:val="243285"/>
                <w:sz w:val="44"/>
                <w:szCs w:val="44"/>
                <w:lang w:val="es-ES"/>
              </w:rPr>
              <w:t>y 9</w:t>
            </w:r>
            <w:r>
              <w:rPr>
                <w:rFonts w:ascii="Tahoma" w:hAnsi="Tahoma" w:cs="Tahoma"/>
                <w:b/>
                <w:bCs/>
                <w:iCs/>
                <w:color w:val="243285"/>
                <w:sz w:val="44"/>
                <w:szCs w:val="44"/>
                <w:lang w:val="es-ES"/>
              </w:rPr>
              <w:t> </w:t>
            </w:r>
            <w:r w:rsidRPr="009C5F18">
              <w:rPr>
                <w:rFonts w:ascii="Tahoma" w:hAnsi="Tahoma" w:cs="Tahoma"/>
                <w:b/>
                <w:bCs/>
                <w:iCs/>
                <w:color w:val="243285"/>
                <w:sz w:val="44"/>
                <w:szCs w:val="44"/>
                <w:lang w:val="es-ES"/>
              </w:rPr>
              <w:t>500</w:t>
            </w:r>
            <w:r>
              <w:rPr>
                <w:rFonts w:ascii="Tahoma" w:hAnsi="Tahoma" w:cs="Tahoma"/>
                <w:b/>
                <w:bCs/>
                <w:iCs/>
                <w:color w:val="243285"/>
                <w:sz w:val="44"/>
                <w:szCs w:val="44"/>
                <w:lang w:val="es-ES"/>
              </w:rPr>
              <w:noBreakHyphen/>
            </w:r>
            <w:r w:rsidRPr="009C5F18">
              <w:rPr>
                <w:rFonts w:ascii="Tahoma" w:hAnsi="Tahoma" w:cs="Tahoma"/>
                <w:b/>
                <w:bCs/>
                <w:iCs/>
                <w:color w:val="243285"/>
                <w:sz w:val="44"/>
                <w:szCs w:val="44"/>
                <w:lang w:val="es-ES"/>
              </w:rPr>
              <w:t>9 800 MHz</w:t>
            </w:r>
          </w:p>
        </w:tc>
      </w:tr>
      <w:tr w:rsidR="00664F8F" w:rsidRPr="00906075" w:rsidTr="00A07AEB">
        <w:tc>
          <w:tcPr>
            <w:tcW w:w="10089" w:type="dxa"/>
          </w:tcPr>
          <w:p w:rsidR="00664F8F" w:rsidRPr="00A07AEB" w:rsidRDefault="00664F8F" w:rsidP="00A07AEB">
            <w:pPr>
              <w:spacing w:before="80" w:line="280" w:lineRule="exact"/>
              <w:ind w:right="640"/>
              <w:rPr>
                <w:rFonts w:ascii="Tahoma" w:hAnsi="Tahoma" w:cs="Tahoma"/>
                <w:b/>
                <w:bCs/>
                <w:iCs/>
                <w:color w:val="243285"/>
                <w:sz w:val="32"/>
                <w:szCs w:val="32"/>
                <w:lang w:val="es-ES_tradnl"/>
              </w:rPr>
            </w:pPr>
          </w:p>
          <w:p w:rsidR="00664F8F" w:rsidRPr="00A07AEB" w:rsidRDefault="00664F8F" w:rsidP="00A07AEB">
            <w:pPr>
              <w:spacing w:before="80" w:line="280" w:lineRule="exact"/>
              <w:ind w:right="640"/>
              <w:rPr>
                <w:rFonts w:ascii="Tahoma" w:hAnsi="Tahoma" w:cs="Tahoma"/>
                <w:b/>
                <w:bCs/>
                <w:iCs/>
                <w:color w:val="243285"/>
                <w:sz w:val="32"/>
                <w:szCs w:val="32"/>
                <w:lang w:val="es-ES_tradnl"/>
              </w:rPr>
            </w:pPr>
          </w:p>
          <w:p w:rsidR="00664F8F" w:rsidRPr="00A07AEB" w:rsidRDefault="00664F8F" w:rsidP="00A07AEB">
            <w:pPr>
              <w:spacing w:before="80" w:after="180" w:line="360" w:lineRule="exact"/>
              <w:ind w:right="720"/>
              <w:rPr>
                <w:rFonts w:ascii="Tahoma" w:hAnsi="Tahoma" w:cs="Tahoma"/>
                <w:b/>
                <w:bCs/>
                <w:iCs/>
                <w:color w:val="243285"/>
                <w:sz w:val="36"/>
                <w:szCs w:val="36"/>
                <w:lang w:val="es-ES_tradnl"/>
              </w:rPr>
            </w:pPr>
          </w:p>
          <w:p w:rsidR="00664F8F" w:rsidRPr="00A07AEB" w:rsidRDefault="00664F8F"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64F8F" w:rsidRPr="00A07AEB" w:rsidRDefault="00664F8F"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64F8F" w:rsidRPr="0026666F" w:rsidRDefault="00664F8F" w:rsidP="00042292">
      <w:pPr>
        <w:spacing w:before="80"/>
        <w:rPr>
          <w:i/>
          <w:sz w:val="22"/>
          <w:lang w:val="es-ES_tradnl"/>
        </w:rPr>
      </w:pPr>
    </w:p>
    <w:p w:rsidR="00664F8F" w:rsidRPr="0026666F" w:rsidRDefault="00664F8F" w:rsidP="00042292">
      <w:pPr>
        <w:spacing w:before="80"/>
        <w:rPr>
          <w:i/>
          <w:sz w:val="22"/>
          <w:lang w:val="es-ES_tradnl"/>
        </w:rPr>
      </w:pPr>
    </w:p>
    <w:p w:rsidR="00664F8F" w:rsidRPr="0026666F" w:rsidRDefault="00664F8F" w:rsidP="00042292">
      <w:pPr>
        <w:spacing w:before="80"/>
        <w:rPr>
          <w:i/>
          <w:sz w:val="22"/>
          <w:lang w:val="es-ES_tradnl"/>
        </w:rPr>
      </w:pPr>
    </w:p>
    <w:p w:rsidR="00664F8F" w:rsidRPr="0026666F" w:rsidRDefault="00664F8F" w:rsidP="00042292">
      <w:pPr>
        <w:spacing w:before="80"/>
        <w:rPr>
          <w:i/>
          <w:sz w:val="22"/>
          <w:lang w:val="es-ES_tradnl"/>
        </w:rPr>
      </w:pPr>
    </w:p>
    <w:p w:rsidR="00664F8F" w:rsidRPr="0026666F" w:rsidRDefault="00664F8F" w:rsidP="00042292">
      <w:pPr>
        <w:spacing w:before="80"/>
        <w:rPr>
          <w:i/>
          <w:sz w:val="22"/>
          <w:lang w:val="es-ES_tradnl"/>
        </w:rPr>
      </w:pPr>
    </w:p>
    <w:p w:rsidR="00664F8F" w:rsidRPr="0026666F" w:rsidRDefault="00664F8F" w:rsidP="00042292">
      <w:pPr>
        <w:spacing w:before="80"/>
        <w:rPr>
          <w:i/>
          <w:sz w:val="22"/>
          <w:lang w:val="es-ES_tradnl"/>
        </w:rPr>
      </w:pPr>
    </w:p>
    <w:p w:rsidR="00664F8F" w:rsidRPr="0026666F" w:rsidRDefault="00664F8F" w:rsidP="00042292">
      <w:pPr>
        <w:pStyle w:val="Equation"/>
        <w:tabs>
          <w:tab w:val="clear" w:pos="4820"/>
          <w:tab w:val="clear" w:pos="9639"/>
          <w:tab w:val="left" w:pos="1191"/>
          <w:tab w:val="left" w:pos="1588"/>
          <w:tab w:val="left" w:pos="1985"/>
        </w:tabs>
        <w:rPr>
          <w:rFonts w:ascii="Palatino Linotype" w:hAnsi="Palatino Linotype"/>
          <w:lang w:val="es-ES_tradnl"/>
        </w:rPr>
        <w:sectPr w:rsidR="00664F8F" w:rsidRPr="0026666F" w:rsidSect="00004195">
          <w:headerReference w:type="even" r:id="rId7"/>
          <w:headerReference w:type="default" r:id="rId8"/>
          <w:pgSz w:w="11907" w:h="16834" w:code="9"/>
          <w:pgMar w:top="1418" w:right="1134" w:bottom="1134" w:left="1134" w:header="720" w:footer="482" w:gutter="0"/>
          <w:paperSrc w:first="15" w:other="15"/>
          <w:cols w:space="720"/>
        </w:sectPr>
      </w:pPr>
    </w:p>
    <w:p w:rsidR="00664F8F" w:rsidRPr="006C718C" w:rsidRDefault="00664F8F"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64F8F" w:rsidRPr="006C718C" w:rsidRDefault="00664F8F"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64F8F" w:rsidRPr="006C718C" w:rsidRDefault="00664F8F"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64F8F" w:rsidRPr="00021E8A" w:rsidRDefault="00664F8F"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64F8F" w:rsidRPr="00021E8A" w:rsidRDefault="00664F8F" w:rsidP="00664F8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64F8F" w:rsidRPr="007C36CA" w:rsidRDefault="00664F8F" w:rsidP="00042292">
      <w:pPr>
        <w:spacing w:before="0"/>
        <w:jc w:val="center"/>
        <w:rPr>
          <w:sz w:val="22"/>
          <w:lang w:val="es-ES_tradnl"/>
        </w:rPr>
      </w:pPr>
    </w:p>
    <w:p w:rsidR="00664F8F" w:rsidRPr="007C36CA" w:rsidRDefault="00664F8F"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4F8F" w:rsidRPr="00906075" w:rsidTr="00CB1354">
        <w:tc>
          <w:tcPr>
            <w:tcW w:w="9360" w:type="dxa"/>
            <w:gridSpan w:val="2"/>
          </w:tcPr>
          <w:p w:rsidR="00664F8F" w:rsidRPr="00021E8A" w:rsidRDefault="00664F8F"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64F8F" w:rsidRPr="00763D08"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664F8F" w:rsidRPr="00036EE3" w:rsidTr="00CB1354">
        <w:tc>
          <w:tcPr>
            <w:tcW w:w="1140" w:type="dxa"/>
          </w:tcPr>
          <w:p w:rsidR="00664F8F" w:rsidRPr="00036EE3" w:rsidRDefault="00664F8F" w:rsidP="00CB1354">
            <w:pPr>
              <w:spacing w:before="180" w:after="100"/>
              <w:ind w:left="57"/>
              <w:rPr>
                <w:b/>
                <w:bCs/>
                <w:sz w:val="20"/>
                <w:lang w:val="en-US"/>
              </w:rPr>
            </w:pPr>
            <w:r w:rsidRPr="00036EE3">
              <w:rPr>
                <w:b/>
                <w:bCs/>
                <w:sz w:val="20"/>
                <w:lang w:val="en-US"/>
              </w:rPr>
              <w:t>Series</w:t>
            </w:r>
          </w:p>
        </w:tc>
        <w:tc>
          <w:tcPr>
            <w:tcW w:w="8220" w:type="dxa"/>
          </w:tcPr>
          <w:p w:rsidR="00664F8F" w:rsidRPr="00036EE3"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BO</w:t>
            </w:r>
          </w:p>
        </w:tc>
        <w:tc>
          <w:tcPr>
            <w:tcW w:w="8220" w:type="dxa"/>
          </w:tcPr>
          <w:p w:rsidR="00664F8F" w:rsidRPr="00021E8A"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64F8F" w:rsidRPr="00906075"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BR</w:t>
            </w:r>
          </w:p>
        </w:tc>
        <w:tc>
          <w:tcPr>
            <w:tcW w:w="8220" w:type="dxa"/>
          </w:tcPr>
          <w:p w:rsidR="00664F8F" w:rsidRPr="00021E8A"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BS</w:t>
            </w:r>
          </w:p>
        </w:tc>
        <w:tc>
          <w:tcPr>
            <w:tcW w:w="8220" w:type="dxa"/>
          </w:tcPr>
          <w:p w:rsidR="00664F8F" w:rsidRPr="00021E8A"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64F8F" w:rsidRPr="00ED2695" w:rsidTr="00CB1354">
        <w:tc>
          <w:tcPr>
            <w:tcW w:w="1140" w:type="dxa"/>
            <w:shd w:val="clear" w:color="auto" w:fill="auto"/>
          </w:tcPr>
          <w:p w:rsidR="00664F8F" w:rsidRPr="00ED2695" w:rsidRDefault="00664F8F"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664F8F" w:rsidRPr="00021E8A"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64F8F" w:rsidRPr="00036EE3" w:rsidTr="00CB1354">
        <w:tc>
          <w:tcPr>
            <w:tcW w:w="1140" w:type="dxa"/>
            <w:shd w:val="clear" w:color="auto" w:fill="auto"/>
          </w:tcPr>
          <w:p w:rsidR="00664F8F" w:rsidRPr="00036EE3" w:rsidRDefault="00664F8F"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664F8F" w:rsidRPr="00021E8A" w:rsidRDefault="00664F8F"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64F8F" w:rsidRPr="00906075" w:rsidTr="00CB1354">
        <w:tc>
          <w:tcPr>
            <w:tcW w:w="1140" w:type="dxa"/>
            <w:shd w:val="clear" w:color="auto" w:fill="F3F3F3"/>
          </w:tcPr>
          <w:p w:rsidR="00664F8F" w:rsidRPr="001240BC" w:rsidRDefault="00664F8F"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64F8F" w:rsidRPr="001240BC" w:rsidRDefault="00664F8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64F8F" w:rsidRPr="00906075" w:rsidTr="00CB1354">
        <w:tc>
          <w:tcPr>
            <w:tcW w:w="1140" w:type="dxa"/>
          </w:tcPr>
          <w:p w:rsidR="00664F8F" w:rsidRPr="00036EE3" w:rsidRDefault="00664F8F" w:rsidP="00CB1354">
            <w:pPr>
              <w:spacing w:before="30" w:after="30"/>
              <w:ind w:left="57"/>
              <w:jc w:val="left"/>
              <w:rPr>
                <w:b/>
                <w:bCs/>
                <w:sz w:val="20"/>
                <w:lang w:val="fr-CH"/>
              </w:rPr>
            </w:pPr>
            <w:r w:rsidRPr="00036EE3">
              <w:rPr>
                <w:b/>
                <w:bCs/>
                <w:sz w:val="20"/>
                <w:lang w:val="fr-CH"/>
              </w:rPr>
              <w:t>P</w:t>
            </w:r>
          </w:p>
        </w:tc>
        <w:tc>
          <w:tcPr>
            <w:tcW w:w="8220" w:type="dxa"/>
          </w:tcPr>
          <w:p w:rsidR="00664F8F" w:rsidRPr="00021E8A" w:rsidRDefault="00664F8F" w:rsidP="00CB1354">
            <w:pPr>
              <w:spacing w:before="30" w:after="30"/>
              <w:jc w:val="left"/>
              <w:rPr>
                <w:bCs/>
                <w:sz w:val="20"/>
                <w:lang w:val="es-ES_tradnl"/>
              </w:rPr>
            </w:pPr>
            <w:r w:rsidRPr="00021E8A">
              <w:rPr>
                <w:bCs/>
                <w:sz w:val="20"/>
                <w:lang w:val="es-ES_tradnl"/>
              </w:rPr>
              <w:t>Propagación de las ondas radioeléctricas</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RA</w:t>
            </w:r>
          </w:p>
        </w:tc>
        <w:tc>
          <w:tcPr>
            <w:tcW w:w="8220" w:type="dxa"/>
          </w:tcPr>
          <w:p w:rsidR="00664F8F" w:rsidRPr="00021E8A" w:rsidRDefault="00664F8F"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64F8F" w:rsidRPr="00906075"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RS</w:t>
            </w:r>
          </w:p>
        </w:tc>
        <w:tc>
          <w:tcPr>
            <w:tcW w:w="8220" w:type="dxa"/>
          </w:tcPr>
          <w:p w:rsidR="00664F8F" w:rsidRPr="00021E8A" w:rsidRDefault="00664F8F"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S</w:t>
            </w:r>
          </w:p>
        </w:tc>
        <w:tc>
          <w:tcPr>
            <w:tcW w:w="8220" w:type="dxa"/>
          </w:tcPr>
          <w:p w:rsidR="00664F8F" w:rsidRPr="00021E8A" w:rsidRDefault="00664F8F" w:rsidP="00CB1354">
            <w:pPr>
              <w:spacing w:before="30" w:after="30"/>
              <w:jc w:val="left"/>
              <w:rPr>
                <w:bCs/>
                <w:sz w:val="20"/>
                <w:lang w:val="en-US"/>
              </w:rPr>
            </w:pPr>
            <w:r w:rsidRPr="00021E8A">
              <w:rPr>
                <w:bCs/>
                <w:sz w:val="20"/>
              </w:rPr>
              <w:t>Servicio fijo por satélite</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SA</w:t>
            </w:r>
          </w:p>
        </w:tc>
        <w:tc>
          <w:tcPr>
            <w:tcW w:w="8220" w:type="dxa"/>
          </w:tcPr>
          <w:p w:rsidR="00664F8F" w:rsidRPr="00021E8A" w:rsidRDefault="00664F8F" w:rsidP="00CB1354">
            <w:pPr>
              <w:spacing w:before="30" w:after="30"/>
              <w:jc w:val="left"/>
              <w:rPr>
                <w:bCs/>
                <w:sz w:val="20"/>
                <w:lang w:val="en-US"/>
              </w:rPr>
            </w:pPr>
            <w:r w:rsidRPr="00021E8A">
              <w:rPr>
                <w:bCs/>
                <w:sz w:val="20"/>
              </w:rPr>
              <w:t>Aplicaciones espaciales y meteorología</w:t>
            </w:r>
          </w:p>
        </w:tc>
      </w:tr>
      <w:tr w:rsidR="00664F8F" w:rsidRPr="00906075"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SF</w:t>
            </w:r>
          </w:p>
        </w:tc>
        <w:tc>
          <w:tcPr>
            <w:tcW w:w="8220" w:type="dxa"/>
          </w:tcPr>
          <w:p w:rsidR="00664F8F" w:rsidRPr="00021E8A" w:rsidRDefault="00664F8F"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64F8F" w:rsidRPr="00036EE3" w:rsidTr="00CB1354">
        <w:tc>
          <w:tcPr>
            <w:tcW w:w="1140" w:type="dxa"/>
            <w:shd w:val="clear" w:color="auto" w:fill="auto"/>
          </w:tcPr>
          <w:p w:rsidR="00664F8F" w:rsidRPr="001240BC" w:rsidRDefault="00664F8F"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664F8F" w:rsidRPr="001240BC" w:rsidRDefault="00664F8F" w:rsidP="00CB1354">
            <w:pPr>
              <w:spacing w:before="30" w:after="30"/>
              <w:jc w:val="left"/>
              <w:rPr>
                <w:sz w:val="20"/>
                <w:lang w:val="en-US"/>
              </w:rPr>
            </w:pPr>
            <w:r w:rsidRPr="001240BC">
              <w:rPr>
                <w:sz w:val="20"/>
              </w:rPr>
              <w:t>Gestión del espe</w:t>
            </w:r>
            <w:bookmarkStart w:id="1" w:name="_GoBack"/>
            <w:bookmarkEnd w:id="1"/>
            <w:r w:rsidRPr="001240BC">
              <w:rPr>
                <w:sz w:val="20"/>
              </w:rPr>
              <w:t>ctro</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SNG</w:t>
            </w:r>
          </w:p>
        </w:tc>
        <w:tc>
          <w:tcPr>
            <w:tcW w:w="8220" w:type="dxa"/>
          </w:tcPr>
          <w:p w:rsidR="00664F8F" w:rsidRPr="00021E8A" w:rsidRDefault="00664F8F" w:rsidP="00CB1354">
            <w:pPr>
              <w:spacing w:before="30" w:after="30"/>
              <w:jc w:val="left"/>
              <w:rPr>
                <w:bCs/>
                <w:sz w:val="20"/>
                <w:lang w:val="en-US"/>
              </w:rPr>
            </w:pPr>
            <w:r w:rsidRPr="00021E8A">
              <w:rPr>
                <w:bCs/>
                <w:sz w:val="20"/>
              </w:rPr>
              <w:t>Periodismo electrónico por satélite</w:t>
            </w:r>
          </w:p>
        </w:tc>
      </w:tr>
      <w:tr w:rsidR="00664F8F" w:rsidRPr="00906075"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TF</w:t>
            </w:r>
          </w:p>
        </w:tc>
        <w:tc>
          <w:tcPr>
            <w:tcW w:w="8220" w:type="dxa"/>
          </w:tcPr>
          <w:p w:rsidR="00664F8F" w:rsidRPr="00021E8A" w:rsidRDefault="00664F8F" w:rsidP="00CB1354">
            <w:pPr>
              <w:spacing w:before="30" w:after="30"/>
              <w:jc w:val="left"/>
              <w:rPr>
                <w:bCs/>
                <w:sz w:val="20"/>
                <w:lang w:val="es-ES_tradnl"/>
              </w:rPr>
            </w:pPr>
            <w:r w:rsidRPr="00021E8A">
              <w:rPr>
                <w:bCs/>
                <w:sz w:val="20"/>
                <w:lang w:val="es-ES_tradnl"/>
              </w:rPr>
              <w:t>Emisiones de frecuencias patrón y señales horarias</w:t>
            </w:r>
          </w:p>
        </w:tc>
      </w:tr>
      <w:tr w:rsidR="00664F8F" w:rsidRPr="00036EE3" w:rsidTr="00CB1354">
        <w:tc>
          <w:tcPr>
            <w:tcW w:w="1140" w:type="dxa"/>
          </w:tcPr>
          <w:p w:rsidR="00664F8F" w:rsidRPr="00036EE3" w:rsidRDefault="00664F8F" w:rsidP="00CB1354">
            <w:pPr>
              <w:spacing w:before="30" w:after="30"/>
              <w:ind w:left="57"/>
              <w:jc w:val="left"/>
              <w:rPr>
                <w:b/>
                <w:bCs/>
                <w:sz w:val="20"/>
                <w:lang w:val="en-US"/>
              </w:rPr>
            </w:pPr>
            <w:r w:rsidRPr="00036EE3">
              <w:rPr>
                <w:b/>
                <w:bCs/>
                <w:sz w:val="20"/>
                <w:lang w:val="en-US"/>
              </w:rPr>
              <w:t>V</w:t>
            </w:r>
          </w:p>
        </w:tc>
        <w:tc>
          <w:tcPr>
            <w:tcW w:w="8220" w:type="dxa"/>
          </w:tcPr>
          <w:p w:rsidR="00664F8F" w:rsidRPr="00021E8A" w:rsidRDefault="00664F8F" w:rsidP="00CB1354">
            <w:pPr>
              <w:spacing w:before="30" w:after="140"/>
              <w:jc w:val="left"/>
              <w:rPr>
                <w:bCs/>
                <w:sz w:val="20"/>
                <w:lang w:val="en-US"/>
              </w:rPr>
            </w:pPr>
            <w:r w:rsidRPr="00021E8A">
              <w:rPr>
                <w:bCs/>
                <w:sz w:val="20"/>
              </w:rPr>
              <w:t>Vocabulario y cuestiones afines</w:t>
            </w:r>
          </w:p>
        </w:tc>
      </w:tr>
    </w:tbl>
    <w:p w:rsidR="00664F8F" w:rsidRPr="00036EE3" w:rsidRDefault="00664F8F"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64F8F" w:rsidTr="00CB1354">
        <w:tc>
          <w:tcPr>
            <w:tcW w:w="720" w:type="dxa"/>
          </w:tcPr>
          <w:p w:rsidR="00664F8F" w:rsidRDefault="00664F8F"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4F8F" w:rsidRPr="00906075" w:rsidTr="00A07AEB">
        <w:tc>
          <w:tcPr>
            <w:tcW w:w="9360" w:type="dxa"/>
          </w:tcPr>
          <w:p w:rsidR="00664F8F" w:rsidRPr="00A07AEB" w:rsidRDefault="00664F8F"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64F8F" w:rsidRPr="00763D08" w:rsidRDefault="00664F8F" w:rsidP="00042292">
      <w:pPr>
        <w:spacing w:before="0"/>
        <w:jc w:val="center"/>
        <w:rPr>
          <w:sz w:val="22"/>
          <w:lang w:val="es-ES_tradnl"/>
        </w:rPr>
      </w:pPr>
    </w:p>
    <w:p w:rsidR="00664F8F" w:rsidRPr="00763D08" w:rsidRDefault="00664F8F" w:rsidP="00042292">
      <w:pPr>
        <w:spacing w:before="60"/>
        <w:jc w:val="right"/>
        <w:rPr>
          <w:i/>
          <w:iCs/>
          <w:sz w:val="20"/>
          <w:lang w:val="es-ES_tradnl"/>
        </w:rPr>
      </w:pPr>
      <w:r w:rsidRPr="00763D08">
        <w:rPr>
          <w:i/>
          <w:iCs/>
          <w:sz w:val="20"/>
          <w:lang w:val="es-ES_tradnl"/>
        </w:rPr>
        <w:t>Publicación electrónica</w:t>
      </w:r>
    </w:p>
    <w:p w:rsidR="00664F8F" w:rsidRPr="00763D08" w:rsidRDefault="00664F8F" w:rsidP="00906075">
      <w:pPr>
        <w:spacing w:before="0" w:after="40"/>
        <w:jc w:val="right"/>
        <w:rPr>
          <w:sz w:val="20"/>
          <w:lang w:val="es-ES_tradnl"/>
        </w:rPr>
      </w:pPr>
      <w:r w:rsidRPr="00763D08">
        <w:rPr>
          <w:sz w:val="20"/>
          <w:lang w:val="es-ES_tradnl"/>
        </w:rPr>
        <w:t>Ginebra, 20</w:t>
      </w:r>
      <w:r>
        <w:rPr>
          <w:sz w:val="20"/>
          <w:lang w:val="es-ES_tradnl"/>
        </w:rPr>
        <w:t>13</w:t>
      </w:r>
    </w:p>
    <w:p w:rsidR="00664F8F" w:rsidRPr="00763D08" w:rsidRDefault="00664F8F" w:rsidP="00042292">
      <w:pPr>
        <w:spacing w:before="0"/>
        <w:jc w:val="center"/>
        <w:rPr>
          <w:sz w:val="22"/>
          <w:lang w:val="es-ES_tradnl"/>
        </w:rPr>
      </w:pPr>
    </w:p>
    <w:p w:rsidR="00664F8F" w:rsidRPr="00763D08" w:rsidRDefault="00664F8F" w:rsidP="00F9138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13</w:t>
      </w:r>
    </w:p>
    <w:p w:rsidR="00664F8F" w:rsidRPr="006C718C" w:rsidRDefault="00664F8F"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64F8F" w:rsidRPr="006C718C" w:rsidRDefault="00664F8F" w:rsidP="00042292">
      <w:pPr>
        <w:spacing w:before="160"/>
        <w:rPr>
          <w:i/>
          <w:sz w:val="20"/>
          <w:highlight w:val="yellow"/>
          <w:lang w:val="es-ES_tradnl"/>
        </w:rPr>
        <w:sectPr w:rsidR="00664F8F"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664F8F" w:rsidRPr="00763D08" w:rsidRDefault="00664F8F" w:rsidP="00664F8F">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w:t>
      </w:r>
      <w:r>
        <w:rPr>
          <w:rStyle w:val="href"/>
          <w:lang w:val="es-ES_tradnl"/>
        </w:rPr>
        <w:t>629-1</w:t>
      </w:r>
      <w:r w:rsidRPr="009C5F18">
        <w:rPr>
          <w:rStyle w:val="FootnoteReference"/>
          <w:lang w:val="es-ES"/>
        </w:rPr>
        <w:footnoteReference w:customMarkFollows="1" w:id="1"/>
        <w:t>*</w:t>
      </w:r>
    </w:p>
    <w:p w:rsidR="00664F8F" w:rsidRDefault="00664F8F" w:rsidP="00664F8F">
      <w:pPr>
        <w:pStyle w:val="Rectitle"/>
        <w:rPr>
          <w:lang w:val="es-ES"/>
        </w:rPr>
      </w:pPr>
      <w:r w:rsidRPr="009C5F18">
        <w:rPr>
          <w:lang w:val="es-ES"/>
        </w:rPr>
        <w:t>Utilización para el servicio de radionavegación de las bandas</w:t>
      </w:r>
      <w:r>
        <w:rPr>
          <w:lang w:val="es-ES"/>
        </w:rPr>
        <w:br/>
      </w:r>
      <w:r w:rsidRPr="009C5F18">
        <w:rPr>
          <w:lang w:val="es-ES"/>
        </w:rPr>
        <w:t>2 900-3 100 MHz, 5</w:t>
      </w:r>
      <w:r>
        <w:rPr>
          <w:lang w:val="es-ES"/>
        </w:rPr>
        <w:t> </w:t>
      </w:r>
      <w:r w:rsidRPr="009C5F18">
        <w:rPr>
          <w:lang w:val="es-ES"/>
        </w:rPr>
        <w:t>470- 5 650 MHz, 9 200-9 300 MHz,</w:t>
      </w:r>
      <w:r>
        <w:rPr>
          <w:lang w:val="es-ES"/>
        </w:rPr>
        <w:br/>
      </w:r>
      <w:r w:rsidRPr="009C5F18">
        <w:rPr>
          <w:lang w:val="es-ES"/>
        </w:rPr>
        <w:t>9 300-9 500 MHz y 9 500-9 800 MHz</w:t>
      </w:r>
    </w:p>
    <w:p w:rsidR="00664F8F" w:rsidRPr="00964EB5" w:rsidRDefault="00664F8F" w:rsidP="00664F8F">
      <w:pPr>
        <w:pStyle w:val="Recdate"/>
      </w:pPr>
      <w:r w:rsidRPr="00964EB5">
        <w:t>(1986-2013)</w:t>
      </w:r>
    </w:p>
    <w:p w:rsidR="00664F8F" w:rsidRPr="009C5F18" w:rsidRDefault="00664F8F" w:rsidP="00664F8F">
      <w:pPr>
        <w:pStyle w:val="HeadingSum"/>
        <w:rPr>
          <w:lang w:val="es-ES"/>
        </w:rPr>
      </w:pPr>
      <w:r w:rsidRPr="009C5F18">
        <w:rPr>
          <w:lang w:val="es-ES"/>
        </w:rPr>
        <w:t>Cometido</w:t>
      </w:r>
    </w:p>
    <w:p w:rsidR="00664F8F" w:rsidRPr="009C5F18" w:rsidRDefault="00664F8F" w:rsidP="00664F8F">
      <w:pPr>
        <w:pStyle w:val="Summary"/>
        <w:spacing w:after="0"/>
        <w:rPr>
          <w:lang w:val="es-ES"/>
        </w:rPr>
      </w:pPr>
      <w:r w:rsidRPr="009C5F18">
        <w:rPr>
          <w:lang w:val="es-ES"/>
        </w:rPr>
        <w:t xml:space="preserve">En esta Recomendación, </w:t>
      </w:r>
      <w:r>
        <w:rPr>
          <w:lang w:val="es-ES"/>
        </w:rPr>
        <w:t xml:space="preserve">tras reconocerse </w:t>
      </w:r>
      <w:r w:rsidRPr="009C5F18">
        <w:rPr>
          <w:lang w:val="es-ES"/>
        </w:rPr>
        <w:t>la importancia del radar de navegación a borde de buques y aeronáutico y de las balizas de radar (racones) para la seguridad de la navegación marítima y aérea, en las bandas de frecuencias 2 900-3 100 MHz, 5 470</w:t>
      </w:r>
      <w:r>
        <w:rPr>
          <w:lang w:val="es-ES"/>
        </w:rPr>
        <w:t>-</w:t>
      </w:r>
      <w:r w:rsidRPr="009C5F18">
        <w:rPr>
          <w:lang w:val="es-ES"/>
        </w:rPr>
        <w:t>5 650 MHz, 9 200-9 300 MHz, 9 300-9 500 MHz y 9</w:t>
      </w:r>
      <w:r>
        <w:rPr>
          <w:lang w:val="es-ES"/>
        </w:rPr>
        <w:t> </w:t>
      </w:r>
      <w:r w:rsidRPr="009C5F18">
        <w:rPr>
          <w:lang w:val="es-ES"/>
        </w:rPr>
        <w:t>500</w:t>
      </w:r>
      <w:r>
        <w:rPr>
          <w:lang w:val="es-ES"/>
        </w:rPr>
        <w:noBreakHyphen/>
      </w:r>
      <w:r w:rsidRPr="009C5F18">
        <w:rPr>
          <w:lang w:val="es-ES"/>
        </w:rPr>
        <w:t>9</w:t>
      </w:r>
      <w:r>
        <w:rPr>
          <w:lang w:val="es-ES"/>
        </w:rPr>
        <w:t> </w:t>
      </w:r>
      <w:r w:rsidRPr="009C5F18">
        <w:rPr>
          <w:lang w:val="es-ES"/>
        </w:rPr>
        <w:t>800 MHz, se recomienda que se optimicen las bandas de funcionamiento para la detección de balizas de radar.</w:t>
      </w:r>
    </w:p>
    <w:p w:rsidR="00664F8F" w:rsidRPr="009C5F18" w:rsidRDefault="00664F8F" w:rsidP="00664F8F">
      <w:pPr>
        <w:pStyle w:val="Summary"/>
        <w:rPr>
          <w:lang w:val="es-ES"/>
        </w:rPr>
      </w:pPr>
      <w:r w:rsidRPr="009C5F18">
        <w:rPr>
          <w:lang w:val="es-ES"/>
        </w:rPr>
        <w:t>En esta Recomendación se trata asimismo de garantizar la compatibilidad de equipos entre los radares, las balizas de radar a bordo de buques y aeronáuticas, y desaconseja la utilización de transpondedores de radar que puedan confundirse con balizas de radar, ocasionando así peligros para la navegación. Se restringe el uso de los transpondedores de radar a bordo de buques en ciertas bandas, y se recomienda que se reduzca al mínimo la utilización de ciertas bandas por los radares de navegación a bordo de aeronaves. Dado que ciertos transpondedores de radar se utilizan con fines de búsqueda y rescate, sus características deben ser tales que no quepa confundirlos con balizas de radar.</w:t>
      </w:r>
    </w:p>
    <w:p w:rsidR="00664F8F" w:rsidRPr="009C5F18" w:rsidRDefault="00664F8F" w:rsidP="00664F8F">
      <w:pPr>
        <w:pStyle w:val="Normalaftertitle"/>
        <w:rPr>
          <w:lang w:val="es-ES"/>
        </w:rPr>
      </w:pPr>
      <w:r w:rsidRPr="009C5F18">
        <w:rPr>
          <w:lang w:val="es-ES"/>
        </w:rPr>
        <w:t>La Asamblea de Radiocomunicaciones de la UIT,</w:t>
      </w:r>
    </w:p>
    <w:p w:rsidR="00664F8F" w:rsidRPr="009C5F18" w:rsidRDefault="00664F8F" w:rsidP="00664F8F">
      <w:pPr>
        <w:pStyle w:val="Call"/>
        <w:rPr>
          <w:lang w:val="es-ES"/>
        </w:rPr>
      </w:pPr>
      <w:r w:rsidRPr="009C5F18">
        <w:rPr>
          <w:lang w:val="es-ES"/>
        </w:rPr>
        <w:t>considerando</w:t>
      </w:r>
    </w:p>
    <w:p w:rsidR="00664F8F" w:rsidRPr="009C5F18" w:rsidRDefault="00664F8F" w:rsidP="00664F8F">
      <w:pPr>
        <w:rPr>
          <w:lang w:val="es-ES"/>
        </w:rPr>
      </w:pPr>
      <w:r w:rsidRPr="009C5F18">
        <w:rPr>
          <w:iCs/>
          <w:lang w:val="es-ES"/>
        </w:rPr>
        <w:t>a)</w:t>
      </w:r>
      <w:r w:rsidRPr="009C5F18">
        <w:rPr>
          <w:lang w:val="es-ES"/>
        </w:rPr>
        <w:tab/>
        <w:t>que la compatibilidad entre los radares de barco y las balizas de radar en el servicio de radionavegación resulta fundamental para garantizar la seguridad de la navegación marítima;</w:t>
      </w:r>
    </w:p>
    <w:p w:rsidR="00664F8F" w:rsidRPr="009C5F18" w:rsidRDefault="00664F8F" w:rsidP="00664F8F">
      <w:pPr>
        <w:rPr>
          <w:lang w:val="es-ES"/>
        </w:rPr>
      </w:pPr>
      <w:r w:rsidRPr="009C5F18">
        <w:rPr>
          <w:iCs/>
          <w:lang w:val="es-ES"/>
        </w:rPr>
        <w:t>b)</w:t>
      </w:r>
      <w:r w:rsidRPr="009C5F18">
        <w:rPr>
          <w:lang w:val="es-ES"/>
        </w:rPr>
        <w:tab/>
        <w:t>que, para que sean compatibles, las balizas de radar deben funcionar en las bandas de frecuencia utilizadas por los radares a bordo de barcos;</w:t>
      </w:r>
    </w:p>
    <w:p w:rsidR="00664F8F" w:rsidRPr="009C5F18" w:rsidRDefault="00664F8F" w:rsidP="00664F8F">
      <w:pPr>
        <w:rPr>
          <w:lang w:val="es-ES"/>
        </w:rPr>
      </w:pPr>
      <w:r w:rsidRPr="009C5F18">
        <w:rPr>
          <w:iCs/>
          <w:lang w:val="es-ES"/>
        </w:rPr>
        <w:t>c)</w:t>
      </w:r>
      <w:r w:rsidRPr="009C5F18">
        <w:rPr>
          <w:lang w:val="es-ES"/>
        </w:rPr>
        <w:tab/>
        <w:t>que la mayoría de los radares de navegación marítima funcionan o bien en la banda 2</w:t>
      </w:r>
      <w:r>
        <w:rPr>
          <w:lang w:val="es-ES"/>
        </w:rPr>
        <w:t> </w:t>
      </w:r>
      <w:r w:rsidRPr="009C5F18">
        <w:rPr>
          <w:lang w:val="es-ES"/>
        </w:rPr>
        <w:t>900</w:t>
      </w:r>
      <w:r>
        <w:rPr>
          <w:lang w:val="es-ES"/>
        </w:rPr>
        <w:noBreakHyphen/>
      </w:r>
      <w:r w:rsidRPr="009C5F18">
        <w:rPr>
          <w:lang w:val="es-ES"/>
        </w:rPr>
        <w:t>3</w:t>
      </w:r>
      <w:r>
        <w:rPr>
          <w:lang w:val="es-ES"/>
        </w:rPr>
        <w:t> </w:t>
      </w:r>
      <w:r w:rsidRPr="009C5F18">
        <w:rPr>
          <w:lang w:val="es-ES"/>
        </w:rPr>
        <w:t>100 MHz, o bien en la banda 9 200-9 500 MHz;</w:t>
      </w:r>
    </w:p>
    <w:p w:rsidR="00664F8F" w:rsidRPr="009C5F18" w:rsidRDefault="00664F8F" w:rsidP="00664F8F">
      <w:pPr>
        <w:rPr>
          <w:lang w:val="es-ES"/>
        </w:rPr>
      </w:pPr>
      <w:r w:rsidRPr="009C5F18">
        <w:rPr>
          <w:iCs/>
          <w:lang w:val="es-ES"/>
        </w:rPr>
        <w:t>d)</w:t>
      </w:r>
      <w:r w:rsidRPr="009C5F18">
        <w:rPr>
          <w:lang w:val="es-ES"/>
        </w:rPr>
        <w:tab/>
        <w:t>que numerosos radares de navegación a bordo de buques funcionan o bien en la banda 5</w:t>
      </w:r>
      <w:r>
        <w:rPr>
          <w:lang w:val="es-ES"/>
        </w:rPr>
        <w:t> </w:t>
      </w:r>
      <w:r w:rsidRPr="009C5F18">
        <w:rPr>
          <w:lang w:val="es-ES"/>
        </w:rPr>
        <w:t>470-5 650 MHz, o bie</w:t>
      </w:r>
      <w:r>
        <w:rPr>
          <w:lang w:val="es-ES"/>
        </w:rPr>
        <w:t>n en la banda 9 500-9 800 MHz;</w:t>
      </w:r>
    </w:p>
    <w:p w:rsidR="00664F8F" w:rsidRPr="009C5F18" w:rsidRDefault="00664F8F" w:rsidP="00664F8F">
      <w:pPr>
        <w:rPr>
          <w:lang w:val="es-ES"/>
        </w:rPr>
      </w:pPr>
      <w:r w:rsidRPr="009C5F18">
        <w:rPr>
          <w:iCs/>
          <w:lang w:val="es-ES"/>
        </w:rPr>
        <w:t>e)</w:t>
      </w:r>
      <w:r w:rsidRPr="009C5F18">
        <w:rPr>
          <w:lang w:val="es-ES"/>
        </w:rPr>
        <w:tab/>
        <w:t>que muchos radares a bordo de aeronaves funcionan en la banda 9</w:t>
      </w:r>
      <w:r>
        <w:rPr>
          <w:lang w:val="es-ES"/>
        </w:rPr>
        <w:t> </w:t>
      </w:r>
      <w:r w:rsidRPr="009C5F18">
        <w:rPr>
          <w:lang w:val="es-ES"/>
        </w:rPr>
        <w:t>3</w:t>
      </w:r>
      <w:r>
        <w:rPr>
          <w:lang w:val="es-ES"/>
        </w:rPr>
        <w:t>0</w:t>
      </w:r>
      <w:r w:rsidRPr="009C5F18">
        <w:rPr>
          <w:lang w:val="es-ES"/>
        </w:rPr>
        <w:t>0-9</w:t>
      </w:r>
      <w:r>
        <w:rPr>
          <w:lang w:val="es-ES"/>
        </w:rPr>
        <w:t> </w:t>
      </w:r>
      <w:r w:rsidRPr="009C5F18">
        <w:rPr>
          <w:lang w:val="es-ES"/>
        </w:rPr>
        <w:t>500 MHz;</w:t>
      </w:r>
    </w:p>
    <w:p w:rsidR="00664F8F" w:rsidRPr="009C5F18" w:rsidRDefault="00664F8F" w:rsidP="00664F8F">
      <w:pPr>
        <w:rPr>
          <w:lang w:val="es-ES"/>
        </w:rPr>
      </w:pPr>
      <w:r w:rsidRPr="009C5F18">
        <w:rPr>
          <w:iCs/>
          <w:lang w:val="es-ES"/>
        </w:rPr>
        <w:t>f)</w:t>
      </w:r>
      <w:r w:rsidRPr="009C5F18">
        <w:rPr>
          <w:lang w:val="es-ES"/>
        </w:rPr>
        <w:tab/>
        <w:t>que las balizas de radar aeronáuticas funcionan en la banda 9</w:t>
      </w:r>
      <w:r>
        <w:rPr>
          <w:lang w:val="es-ES"/>
        </w:rPr>
        <w:t> </w:t>
      </w:r>
      <w:r w:rsidRPr="009C5F18">
        <w:rPr>
          <w:lang w:val="es-ES"/>
        </w:rPr>
        <w:t>300-9</w:t>
      </w:r>
      <w:r>
        <w:rPr>
          <w:lang w:val="es-ES"/>
        </w:rPr>
        <w:t> </w:t>
      </w:r>
      <w:r w:rsidRPr="009C5F18">
        <w:rPr>
          <w:lang w:val="es-ES"/>
        </w:rPr>
        <w:t xml:space="preserve">320 MHz; </w:t>
      </w:r>
    </w:p>
    <w:p w:rsidR="00664F8F" w:rsidRPr="009C5F18" w:rsidRDefault="00664F8F" w:rsidP="00664F8F">
      <w:pPr>
        <w:rPr>
          <w:lang w:val="es-ES"/>
        </w:rPr>
      </w:pPr>
      <w:r w:rsidRPr="009C5F18">
        <w:rPr>
          <w:lang w:val="es-ES"/>
        </w:rPr>
        <w:t>g)</w:t>
      </w:r>
      <w:r w:rsidRPr="009C5F18">
        <w:rPr>
          <w:lang w:val="es-ES"/>
        </w:rPr>
        <w:tab/>
        <w:t>que otros transpondedores de radar podrían en ciertas circunstancias ayudar a la seguridad de la navegación;</w:t>
      </w:r>
    </w:p>
    <w:p w:rsidR="00664F8F" w:rsidRPr="009C5F18" w:rsidRDefault="00664F8F" w:rsidP="00664F8F">
      <w:pPr>
        <w:rPr>
          <w:lang w:val="es-ES"/>
        </w:rPr>
      </w:pPr>
      <w:r w:rsidRPr="009C5F18">
        <w:rPr>
          <w:lang w:val="es-ES"/>
        </w:rPr>
        <w:t>h)</w:t>
      </w:r>
      <w:r w:rsidRPr="009C5F18">
        <w:rPr>
          <w:lang w:val="es-ES"/>
        </w:rPr>
        <w:tab/>
        <w:t>que los transpondedores utilizados con fines de búsqueda y salvamento tienen un código único de identificación que debe impedir que se confundan con una baliza de radar,</w:t>
      </w:r>
    </w:p>
    <w:p w:rsidR="00664F8F" w:rsidRPr="00664F8F" w:rsidRDefault="00664F8F" w:rsidP="00664F8F">
      <w:pPr>
        <w:pStyle w:val="Call"/>
      </w:pPr>
      <w:r w:rsidRPr="00664F8F">
        <w:lastRenderedPageBreak/>
        <w:t>recomienda</w:t>
      </w:r>
    </w:p>
    <w:p w:rsidR="00664F8F" w:rsidRPr="009C5F18" w:rsidRDefault="00664F8F" w:rsidP="00664F8F">
      <w:pPr>
        <w:rPr>
          <w:lang w:val="es-ES" w:eastAsia="zh-CN"/>
        </w:rPr>
      </w:pPr>
      <w:r w:rsidRPr="009C5F18">
        <w:rPr>
          <w:b/>
          <w:lang w:val="es-ES"/>
        </w:rPr>
        <w:t>1</w:t>
      </w:r>
      <w:r w:rsidRPr="009C5F18">
        <w:rPr>
          <w:lang w:val="es-ES"/>
        </w:rPr>
        <w:tab/>
      </w:r>
      <w:r w:rsidRPr="009C5F18">
        <w:rPr>
          <w:lang w:val="es-ES" w:eastAsia="zh-CN"/>
        </w:rPr>
        <w:t>que los conceptores de radares marítimos del servicio de radionavegación marítima garanticen, en la medida de lo posible, la compatibilidad con las balizas de radar utilizadas por las administraciones para la seguridad de la navegación</w:t>
      </w:r>
      <w:r>
        <w:rPr>
          <w:lang w:val="es-ES" w:eastAsia="zh-CN"/>
        </w:rPr>
        <w:t>;</w:t>
      </w:r>
    </w:p>
    <w:p w:rsidR="00664F8F" w:rsidRDefault="00664F8F" w:rsidP="00664F8F">
      <w:pPr>
        <w:rPr>
          <w:lang w:val="es-ES"/>
        </w:rPr>
      </w:pPr>
      <w:r w:rsidRPr="009C5F18">
        <w:rPr>
          <w:b/>
          <w:lang w:val="es-ES" w:eastAsia="zh-CN"/>
        </w:rPr>
        <w:t>2</w:t>
      </w:r>
      <w:r w:rsidRPr="009C5F18">
        <w:rPr>
          <w:lang w:val="es-ES" w:eastAsia="zh-CN"/>
        </w:rPr>
        <w:tab/>
        <w:t>que, en el servicio de radionavegación marítima, los radares de impulsos tradicionales a bordo de buques no funcion</w:t>
      </w:r>
      <w:r>
        <w:rPr>
          <w:lang w:val="es-ES" w:eastAsia="zh-CN"/>
        </w:rPr>
        <w:t xml:space="preserve">en </w:t>
      </w:r>
      <w:r w:rsidRPr="009C5F18">
        <w:rPr>
          <w:lang w:val="es-ES" w:eastAsia="zh-CN"/>
        </w:rPr>
        <w:t>en la banda 9</w:t>
      </w:r>
      <w:r>
        <w:rPr>
          <w:lang w:val="es-ES" w:eastAsia="zh-CN"/>
        </w:rPr>
        <w:t> </w:t>
      </w:r>
      <w:r w:rsidRPr="009C5F18">
        <w:rPr>
          <w:lang w:val="es-ES" w:eastAsia="zh-CN"/>
        </w:rPr>
        <w:t>500-9</w:t>
      </w:r>
      <w:r>
        <w:rPr>
          <w:lang w:val="es-ES" w:eastAsia="zh-CN"/>
        </w:rPr>
        <w:t> </w:t>
      </w:r>
      <w:r w:rsidRPr="009C5F18">
        <w:rPr>
          <w:lang w:val="es-ES" w:eastAsia="zh-CN"/>
        </w:rPr>
        <w:t>800 MHz</w:t>
      </w:r>
      <w:r w:rsidRPr="009C5F18">
        <w:rPr>
          <w:lang w:val="es-ES"/>
        </w:rPr>
        <w:t>.</w:t>
      </w:r>
    </w:p>
    <w:p w:rsidR="00664F8F" w:rsidRDefault="00664F8F" w:rsidP="00664F8F">
      <w:pPr>
        <w:rPr>
          <w:lang w:val="es-ES"/>
        </w:rPr>
      </w:pPr>
    </w:p>
    <w:p w:rsidR="007E0AD0" w:rsidRDefault="007E0AD0" w:rsidP="00664F8F">
      <w:pPr>
        <w:rPr>
          <w:lang w:val="es-ES"/>
        </w:rPr>
      </w:pPr>
    </w:p>
    <w:p w:rsidR="007E0AD0" w:rsidRDefault="007E0AD0" w:rsidP="00664F8F">
      <w:pPr>
        <w:rPr>
          <w:lang w:val="es-ES"/>
        </w:rPr>
      </w:pPr>
    </w:p>
    <w:p w:rsidR="00664F8F" w:rsidRPr="009C5F18" w:rsidRDefault="00664F8F" w:rsidP="00664F8F">
      <w:pPr>
        <w:rPr>
          <w:lang w:val="es-ES"/>
        </w:rPr>
      </w:pPr>
    </w:p>
    <w:p w:rsidR="00664F8F" w:rsidRPr="009C5F18" w:rsidRDefault="00664F8F" w:rsidP="00664F8F">
      <w:pPr>
        <w:pStyle w:val="Line"/>
      </w:pPr>
    </w:p>
    <w:p w:rsidR="00664F8F" w:rsidRDefault="00664F8F" w:rsidP="00664F8F">
      <w:pPr>
        <w:rPr>
          <w:lang w:val="es-ES_tradnl"/>
        </w:rPr>
      </w:pPr>
    </w:p>
    <w:p w:rsidR="00664F8F" w:rsidRPr="00664F8F" w:rsidRDefault="00664F8F" w:rsidP="00664F8F">
      <w:pPr>
        <w:rPr>
          <w:lang w:val="es-ES_tradnl"/>
        </w:rPr>
      </w:pPr>
    </w:p>
    <w:sectPr w:rsidR="00664F8F" w:rsidRPr="00664F8F" w:rsidSect="007E0AD0">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F8F" w:rsidRDefault="00664F8F">
      <w:r>
        <w:separator/>
      </w:r>
    </w:p>
  </w:endnote>
  <w:endnote w:type="continuationSeparator" w:id="0">
    <w:p w:rsidR="00664F8F" w:rsidRDefault="0066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F8F" w:rsidRDefault="00664F8F">
      <w:r>
        <w:separator/>
      </w:r>
    </w:p>
  </w:footnote>
  <w:footnote w:type="continuationSeparator" w:id="0">
    <w:p w:rsidR="00664F8F" w:rsidRDefault="00664F8F">
      <w:r>
        <w:continuationSeparator/>
      </w:r>
    </w:p>
  </w:footnote>
  <w:footnote w:id="1">
    <w:p w:rsidR="00664F8F" w:rsidRDefault="00664F8F" w:rsidP="00664F8F">
      <w:pPr>
        <w:pStyle w:val="FootnoteText"/>
        <w:rPr>
          <w:lang w:val="es-ES_tradnl"/>
        </w:rPr>
      </w:pPr>
      <w:r>
        <w:rPr>
          <w:rStyle w:val="FootnoteReference"/>
          <w:lang w:val="es-ES_tradnl"/>
        </w:rPr>
        <w:t>*</w:t>
      </w:r>
      <w:r>
        <w:rPr>
          <w:lang w:val="es-ES_tradnl"/>
        </w:rPr>
        <w:tab/>
        <w:t xml:space="preserve">Se pide al Director de la Oficina de Radiocomunicaciones que señale esta Recomendación a la atención de la Organización Marítima Internacional (OMI), de la Organización de Aviación Civil Internacional (OACI), y la </w:t>
      </w:r>
      <w:r w:rsidRPr="009A7924">
        <w:rPr>
          <w:lang w:val="es-ES_tradnl"/>
        </w:rPr>
        <w:t>Asociación Internacional de Señalización Marítima (IALA)</w:t>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F8F" w:rsidRDefault="00664F8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F8F" w:rsidRDefault="00664F8F" w:rsidP="00CB1354">
    <w:pPr>
      <w:ind w:right="360" w:firstLine="360"/>
    </w:pPr>
    <w:r>
      <w:rPr>
        <w:noProof/>
        <w:lang w:val="en-US" w:eastAsia="zh-CN"/>
      </w:rPr>
      <w:drawing>
        <wp:anchor distT="0" distB="0" distL="114300" distR="114300" simplePos="0" relativeHeight="251659264" behindDoc="1" locked="0" layoutInCell="1" allowOverlap="1" wp14:anchorId="73EE1185" wp14:editId="0F2301B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F8F" w:rsidRDefault="00664F8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E0AD0">
      <w:rPr>
        <w:rStyle w:val="PageNumber"/>
        <w:b/>
        <w:bCs/>
        <w:noProof/>
      </w:rPr>
      <w:t>ii</w:t>
    </w:r>
    <w:r>
      <w:rPr>
        <w:rStyle w:val="PageNumber"/>
        <w:b/>
        <w:bCs/>
      </w:rPr>
      <w:fldChar w:fldCharType="end"/>
    </w:r>
    <w:r>
      <w:tab/>
    </w:r>
    <w:fldSimple w:instr=" DOCPROPERTY &quot;Header&quot; \* MERGEFORMAT ">
      <w:r w:rsidR="007E0AD0" w:rsidRPr="007E0AD0">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E0AD0">
      <w:rPr>
        <w:b/>
        <w:bCs/>
        <w:noProof/>
      </w:rPr>
      <w:t>UIT-R  M.629-1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F8F" w:rsidRDefault="00664F8F">
    <w:r>
      <w:tab/>
    </w:r>
    <w:fldSimple w:instr=" DOCPROPERTY &quot;Header&quot; \* MERGEFORMAT ">
      <w:r w:rsidR="007E0AD0" w:rsidRPr="007E0A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E0AD0">
      <w:rPr>
        <w:b/>
        <w:bCs/>
        <w:noProof/>
      </w:rPr>
      <w:t>UIT-R  M.629-1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0AD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E0AD0" w:rsidRPr="007E0AD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0AD0">
      <w:rPr>
        <w:b/>
        <w:bCs/>
        <w:noProof/>
      </w:rPr>
      <w:t>UIT-R  M.629-1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E0AD0">
      <w:fldChar w:fldCharType="begin"/>
    </w:r>
    <w:r w:rsidR="007E0AD0">
      <w:instrText xml:space="preserve"> DOCPROPERTY "Header" \* MERGEFORMAT </w:instrText>
    </w:r>
    <w:r w:rsidR="007E0AD0">
      <w:fldChar w:fldCharType="separate"/>
    </w:r>
    <w:r w:rsidR="007E0AD0" w:rsidRPr="007E0AD0">
      <w:rPr>
        <w:b/>
        <w:bCs/>
      </w:rPr>
      <w:t xml:space="preserve">Rec. </w:t>
    </w:r>
    <w:r w:rsidR="007E0AD0">
      <w:rPr>
        <w:b/>
        <w:bCs/>
      </w:rPr>
      <w:fldChar w:fldCharType="end"/>
    </w:r>
    <w:r>
      <w:rPr>
        <w:b/>
        <w:bCs/>
      </w:rPr>
      <w:t xml:space="preserve"> </w:t>
    </w:r>
    <w:r>
      <w:rPr>
        <w:b/>
        <w:bCs/>
      </w:rPr>
      <w:fldChar w:fldCharType="begin"/>
    </w:r>
    <w:r>
      <w:rPr>
        <w:b/>
        <w:bCs/>
      </w:rPr>
      <w:instrText>styleref href</w:instrText>
    </w:r>
    <w:r>
      <w:rPr>
        <w:b/>
        <w:bCs/>
      </w:rPr>
      <w:fldChar w:fldCharType="separate"/>
    </w:r>
    <w:r w:rsidR="007E0AD0">
      <w:rPr>
        <w:b/>
        <w:bCs/>
        <w:noProof/>
      </w:rPr>
      <w:t>UIT-R  M.629-1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0AD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8F"/>
    <w:rsid w:val="00217EBF"/>
    <w:rsid w:val="00242AEE"/>
    <w:rsid w:val="002D76C4"/>
    <w:rsid w:val="0052529D"/>
    <w:rsid w:val="00607D68"/>
    <w:rsid w:val="00664F8F"/>
    <w:rsid w:val="007468DA"/>
    <w:rsid w:val="007E0AD0"/>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64F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64F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4</Pages>
  <Words>872</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Delaroque, Marceline</cp:lastModifiedBy>
  <cp:revision>2</cp:revision>
  <cp:lastPrinted>2005-02-10T15:54:00Z</cp:lastPrinted>
  <dcterms:created xsi:type="dcterms:W3CDTF">2013-12-20T14:37:00Z</dcterms:created>
  <dcterms:modified xsi:type="dcterms:W3CDTF">2013-12-20T14:42:00Z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