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tbl>
      <w:tblPr>
        <w:tblW w:w="10089" w:type="dxa"/>
        <w:tblLook w:val="01E0" w:firstRow="1" w:lastRow="1" w:firstColumn="1" w:lastColumn="1" w:noHBand="0" w:noVBand="0"/>
      </w:tblPr>
      <w:tblGrid>
        <w:gridCol w:w="10089"/>
      </w:tblGrid>
      <w:tr w:rsidR="00DA4AF8" w:rsidRPr="00FE5596" w:rsidTr="005C6D8F">
        <w:tc>
          <w:tcPr>
            <w:tcW w:w="10089" w:type="dxa"/>
          </w:tcPr>
          <w:p w:rsidR="00DA4AF8" w:rsidRPr="00FE5596" w:rsidRDefault="00DA4AF8" w:rsidP="005C6D8F">
            <w:pPr>
              <w:spacing w:before="380" w:line="280" w:lineRule="exact"/>
              <w:jc w:val="right"/>
              <w:rPr>
                <w:rFonts w:ascii="Tahoma" w:hAnsi="Tahoma" w:cs="Tahoma"/>
                <w:b/>
                <w:bCs/>
                <w:iCs/>
                <w:color w:val="243285"/>
                <w:sz w:val="32"/>
                <w:szCs w:val="32"/>
                <w:lang w:val="es-ES_tradnl"/>
              </w:rPr>
            </w:pPr>
          </w:p>
          <w:p w:rsidR="00DA4AF8" w:rsidRPr="00FE5596" w:rsidRDefault="00DA4AF8" w:rsidP="00DA4AF8">
            <w:pPr>
              <w:spacing w:before="380" w:line="28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628</w:t>
            </w:r>
            <w:r w:rsidRPr="00FE5596">
              <w:rPr>
                <w:rFonts w:ascii="Tahoma" w:hAnsi="Tahoma" w:cs="Tahoma"/>
                <w:b/>
                <w:bCs/>
                <w:iCs/>
                <w:color w:val="243285"/>
                <w:sz w:val="36"/>
                <w:szCs w:val="36"/>
                <w:lang w:val="es-ES_tradnl"/>
              </w:rPr>
              <w:t>-</w:t>
            </w:r>
            <w:r>
              <w:rPr>
                <w:rFonts w:ascii="Tahoma" w:hAnsi="Tahoma" w:cs="Tahoma"/>
                <w:b/>
                <w:bCs/>
                <w:iCs/>
                <w:color w:val="243285"/>
                <w:sz w:val="36"/>
                <w:szCs w:val="36"/>
                <w:lang w:val="es-ES_tradnl"/>
              </w:rPr>
              <w:t>5</w:t>
            </w:r>
          </w:p>
          <w:p w:rsidR="00DA4AF8" w:rsidRPr="00FE5596" w:rsidRDefault="00DA4AF8" w:rsidP="005C6D8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(03</w:t>
            </w:r>
            <w:r w:rsidRPr="00FE5596">
              <w:rPr>
                <w:rFonts w:ascii="Tahoma" w:hAnsi="Tahoma" w:cs="Tahoma"/>
                <w:b/>
                <w:bCs/>
                <w:iCs/>
                <w:color w:val="243285"/>
                <w:szCs w:val="24"/>
                <w:lang w:val="es-ES_tradnl"/>
              </w:rPr>
              <w:t>/2012)</w:t>
            </w:r>
          </w:p>
        </w:tc>
      </w:tr>
      <w:tr w:rsidR="00DA4AF8" w:rsidRPr="00D159E0" w:rsidTr="005C6D8F">
        <w:tc>
          <w:tcPr>
            <w:tcW w:w="10089" w:type="dxa"/>
          </w:tcPr>
          <w:p w:rsidR="00DA4AF8" w:rsidRPr="00FE5596" w:rsidRDefault="00DA4AF8" w:rsidP="005C6D8F">
            <w:pPr>
              <w:spacing w:before="80" w:line="500" w:lineRule="exact"/>
              <w:jc w:val="right"/>
              <w:rPr>
                <w:rFonts w:ascii="Tahoma" w:hAnsi="Tahoma" w:cs="Tahoma"/>
                <w:b/>
                <w:bCs/>
                <w:iCs/>
                <w:color w:val="243285"/>
                <w:sz w:val="44"/>
                <w:szCs w:val="44"/>
                <w:lang w:val="es-ES_tradnl"/>
              </w:rPr>
            </w:pPr>
          </w:p>
          <w:p w:rsidR="00DA4AF8" w:rsidRPr="00FE5596" w:rsidRDefault="00DA4AF8" w:rsidP="005C6D8F">
            <w:pPr>
              <w:spacing w:before="80" w:line="500" w:lineRule="exact"/>
              <w:jc w:val="right"/>
              <w:rPr>
                <w:rFonts w:ascii="Tahoma" w:hAnsi="Tahoma" w:cs="Tahoma"/>
                <w:b/>
                <w:bCs/>
                <w:iCs/>
                <w:color w:val="243285"/>
                <w:sz w:val="44"/>
                <w:szCs w:val="44"/>
                <w:lang w:val="es-ES_tradnl"/>
              </w:rPr>
            </w:pPr>
          </w:p>
          <w:p w:rsidR="00DA4AF8" w:rsidRPr="00FE5596" w:rsidRDefault="00DA4AF8" w:rsidP="00DA4AF8">
            <w:pPr>
              <w:spacing w:before="80" w:line="500" w:lineRule="exact"/>
              <w:jc w:val="right"/>
              <w:rPr>
                <w:rFonts w:ascii="Tahoma" w:hAnsi="Tahoma" w:cs="Tahoma"/>
                <w:b/>
                <w:bCs/>
                <w:color w:val="243285"/>
                <w:sz w:val="44"/>
                <w:szCs w:val="44"/>
                <w:lang w:val="es-ES_tradnl"/>
              </w:rPr>
            </w:pPr>
            <w:r w:rsidRPr="00996B64">
              <w:rPr>
                <w:rFonts w:ascii="Tahoma" w:hAnsi="Tahoma" w:cs="Tahoma"/>
                <w:b/>
                <w:bCs/>
                <w:iCs/>
                <w:color w:val="243285"/>
                <w:sz w:val="44"/>
                <w:szCs w:val="44"/>
                <w:lang w:val="es-ES"/>
              </w:rPr>
              <w:t>Características técnicas de los transpondedores</w:t>
            </w:r>
            <w:r>
              <w:rPr>
                <w:rFonts w:ascii="Tahoma" w:hAnsi="Tahoma" w:cs="Tahoma"/>
                <w:b/>
                <w:bCs/>
                <w:iCs/>
                <w:color w:val="243285"/>
                <w:sz w:val="44"/>
                <w:szCs w:val="44"/>
                <w:lang w:val="es-ES"/>
              </w:rPr>
              <w:t xml:space="preserve"> </w:t>
            </w:r>
            <w:r w:rsidRPr="00996B64">
              <w:rPr>
                <w:rFonts w:ascii="Tahoma" w:hAnsi="Tahoma" w:cs="Tahoma"/>
                <w:b/>
                <w:bCs/>
                <w:iCs/>
                <w:color w:val="243285"/>
                <w:sz w:val="44"/>
                <w:szCs w:val="44"/>
                <w:lang w:val="es-ES"/>
              </w:rPr>
              <w:t>de radar</w:t>
            </w:r>
            <w:r>
              <w:rPr>
                <w:rFonts w:ascii="Tahoma" w:hAnsi="Tahoma" w:cs="Tahoma"/>
                <w:b/>
                <w:bCs/>
                <w:iCs/>
                <w:color w:val="243285"/>
                <w:sz w:val="44"/>
                <w:szCs w:val="44"/>
                <w:lang w:val="es-ES"/>
              </w:rPr>
              <w:t xml:space="preserve"> </w:t>
            </w:r>
            <w:r w:rsidRPr="00996B64">
              <w:rPr>
                <w:rFonts w:ascii="Tahoma" w:hAnsi="Tahoma" w:cs="Tahoma"/>
                <w:b/>
                <w:bCs/>
                <w:iCs/>
                <w:color w:val="243285"/>
                <w:sz w:val="44"/>
                <w:szCs w:val="44"/>
                <w:lang w:val="es-ES"/>
              </w:rPr>
              <w:t>de</w:t>
            </w:r>
            <w:r>
              <w:rPr>
                <w:rFonts w:ascii="Tahoma" w:hAnsi="Tahoma" w:cs="Tahoma"/>
                <w:b/>
                <w:bCs/>
                <w:iCs/>
                <w:color w:val="243285"/>
                <w:sz w:val="44"/>
                <w:szCs w:val="44"/>
                <w:lang w:val="es-ES"/>
              </w:rPr>
              <w:br/>
            </w:r>
            <w:r w:rsidRPr="00996B64">
              <w:rPr>
                <w:rFonts w:ascii="Tahoma" w:hAnsi="Tahoma" w:cs="Tahoma"/>
                <w:b/>
                <w:bCs/>
                <w:iCs/>
                <w:color w:val="243285"/>
                <w:sz w:val="44"/>
                <w:szCs w:val="44"/>
                <w:lang w:val="es-ES"/>
              </w:rPr>
              <w:t>búsqueda y salvamento</w:t>
            </w:r>
          </w:p>
          <w:p w:rsidR="00DA4AF8" w:rsidRPr="00FE5596" w:rsidRDefault="00DA4AF8" w:rsidP="005C6D8F">
            <w:pPr>
              <w:spacing w:before="80" w:line="500" w:lineRule="exact"/>
              <w:jc w:val="right"/>
              <w:rPr>
                <w:rFonts w:ascii="Tahoma" w:hAnsi="Tahoma" w:cs="Tahoma"/>
                <w:b/>
                <w:bCs/>
                <w:iCs/>
                <w:color w:val="243285"/>
                <w:sz w:val="44"/>
                <w:szCs w:val="44"/>
                <w:lang w:val="es-ES_tradnl"/>
              </w:rPr>
            </w:pPr>
          </w:p>
        </w:tc>
      </w:tr>
      <w:tr w:rsidR="00DA4AF8" w:rsidRPr="00D159E0" w:rsidTr="005C6D8F">
        <w:tc>
          <w:tcPr>
            <w:tcW w:w="10089" w:type="dxa"/>
          </w:tcPr>
          <w:p w:rsidR="00DA4AF8" w:rsidRPr="00FE5596" w:rsidRDefault="00DA4AF8" w:rsidP="005C6D8F">
            <w:pPr>
              <w:spacing w:before="80" w:line="280" w:lineRule="exact"/>
              <w:ind w:right="640"/>
              <w:rPr>
                <w:rFonts w:ascii="Tahoma" w:hAnsi="Tahoma" w:cs="Tahoma"/>
                <w:b/>
                <w:bCs/>
                <w:iCs/>
                <w:color w:val="243285"/>
                <w:sz w:val="32"/>
                <w:szCs w:val="32"/>
                <w:lang w:val="es-ES_tradnl"/>
              </w:rPr>
            </w:pPr>
          </w:p>
          <w:p w:rsidR="00DA4AF8" w:rsidRPr="00FE5596" w:rsidRDefault="00DA4AF8" w:rsidP="005C6D8F">
            <w:pPr>
              <w:spacing w:before="80" w:line="280" w:lineRule="exact"/>
              <w:ind w:right="640"/>
              <w:rPr>
                <w:rFonts w:ascii="Tahoma" w:hAnsi="Tahoma" w:cs="Tahoma"/>
                <w:b/>
                <w:bCs/>
                <w:iCs/>
                <w:color w:val="243285"/>
                <w:sz w:val="32"/>
                <w:szCs w:val="32"/>
                <w:lang w:val="es-ES_tradnl"/>
              </w:rPr>
            </w:pPr>
          </w:p>
          <w:p w:rsidR="00DA4AF8" w:rsidRPr="00FE5596" w:rsidRDefault="00DA4AF8" w:rsidP="005C6D8F">
            <w:pPr>
              <w:spacing w:before="80" w:after="180" w:line="360" w:lineRule="exact"/>
              <w:ind w:right="720"/>
              <w:rPr>
                <w:rFonts w:ascii="Tahoma" w:hAnsi="Tahoma" w:cs="Tahoma"/>
                <w:b/>
                <w:bCs/>
                <w:iCs/>
                <w:color w:val="243285"/>
                <w:sz w:val="36"/>
                <w:szCs w:val="36"/>
                <w:lang w:val="es-ES_tradnl"/>
              </w:rPr>
            </w:pPr>
          </w:p>
          <w:p w:rsidR="00DA4AF8" w:rsidRPr="00FE5596" w:rsidRDefault="00DA4AF8" w:rsidP="005C6D8F">
            <w:pPr>
              <w:spacing w:before="80" w:after="180" w:line="36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Serie M</w:t>
            </w:r>
          </w:p>
          <w:p w:rsidR="00DA4AF8" w:rsidRPr="00FE5596" w:rsidRDefault="00DA4AF8" w:rsidP="005C6D8F">
            <w:pPr>
              <w:spacing w:before="80" w:line="42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 xml:space="preserve">Servicios móviles, de </w:t>
            </w:r>
            <w:proofErr w:type="spellStart"/>
            <w:r w:rsidRPr="00FE5596">
              <w:rPr>
                <w:rFonts w:ascii="Tahoma" w:hAnsi="Tahoma" w:cs="Tahoma"/>
                <w:b/>
                <w:bCs/>
                <w:iCs/>
                <w:color w:val="243285"/>
                <w:sz w:val="36"/>
                <w:szCs w:val="36"/>
                <w:lang w:val="es-ES_tradnl"/>
              </w:rPr>
              <w:t>radiodeterminación</w:t>
            </w:r>
            <w:proofErr w:type="spellEnd"/>
            <w:r w:rsidRPr="00FE5596">
              <w:rPr>
                <w:rFonts w:ascii="Tahoma" w:hAnsi="Tahoma" w:cs="Tahoma"/>
                <w:b/>
                <w:bCs/>
                <w:iCs/>
                <w:color w:val="243285"/>
                <w:sz w:val="36"/>
                <w:szCs w:val="36"/>
                <w:lang w:val="es-ES_tradnl"/>
              </w:rPr>
              <w:t>,</w:t>
            </w:r>
            <w:r w:rsidRPr="00FE5596">
              <w:rPr>
                <w:rFonts w:ascii="Tahoma" w:hAnsi="Tahoma" w:cs="Tahoma"/>
                <w:b/>
                <w:bCs/>
                <w:iCs/>
                <w:color w:val="243285"/>
                <w:sz w:val="36"/>
                <w:szCs w:val="36"/>
                <w:lang w:val="es-ES_tradnl"/>
              </w:rPr>
              <w:br/>
              <w:t>de aficionados y otros servicios</w:t>
            </w:r>
            <w:r w:rsidRPr="00FE5596">
              <w:rPr>
                <w:rFonts w:ascii="Tahoma" w:hAnsi="Tahoma" w:cs="Tahoma"/>
                <w:b/>
                <w:bCs/>
                <w:iCs/>
                <w:color w:val="243285"/>
                <w:sz w:val="36"/>
                <w:szCs w:val="36"/>
                <w:lang w:val="es-ES_tradnl"/>
              </w:rPr>
              <w:br/>
              <w:t>por satélite conexos</w:t>
            </w:r>
          </w:p>
        </w:tc>
      </w:tr>
    </w:tbl>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pStyle w:val="Equation"/>
        <w:tabs>
          <w:tab w:val="clear" w:pos="4820"/>
          <w:tab w:val="clear" w:pos="9639"/>
          <w:tab w:val="left" w:pos="1191"/>
          <w:tab w:val="left" w:pos="1588"/>
          <w:tab w:val="left" w:pos="1985"/>
        </w:tabs>
        <w:rPr>
          <w:rFonts w:ascii="Palatino Linotype" w:hAnsi="Palatino Linotype"/>
          <w:lang w:val="es-ES_tradnl"/>
        </w:rPr>
        <w:sectPr w:rsidR="00DA4AF8" w:rsidRPr="00FE5596">
          <w:headerReference w:type="even" r:id="rId8"/>
          <w:headerReference w:type="default" r:id="rId9"/>
          <w:pgSz w:w="11907" w:h="16840" w:code="9"/>
          <w:pgMar w:top="1089" w:right="1089" w:bottom="284" w:left="1089" w:header="567" w:footer="284" w:gutter="0"/>
          <w:pgNumType w:start="1"/>
          <w:cols w:space="720"/>
        </w:sectPr>
      </w:pPr>
    </w:p>
    <w:p w:rsidR="00DA4AF8" w:rsidRPr="00FE5596" w:rsidRDefault="00DA4AF8" w:rsidP="00DA4A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FE5596">
        <w:rPr>
          <w:bCs/>
          <w:sz w:val="24"/>
          <w:szCs w:val="24"/>
          <w:lang w:val="es-ES_tradnl"/>
        </w:rPr>
        <w:lastRenderedPageBreak/>
        <w:t>Prólogo</w:t>
      </w:r>
    </w:p>
    <w:p w:rsidR="00DA4AF8" w:rsidRPr="00FE5596" w:rsidRDefault="00DA4AF8" w:rsidP="00DA4AF8">
      <w:pPr>
        <w:spacing w:before="180"/>
        <w:rPr>
          <w:sz w:val="20"/>
          <w:lang w:val="es-ES_tradnl"/>
        </w:rPr>
      </w:pPr>
      <w:r w:rsidRPr="00FE559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A4AF8" w:rsidRPr="00FE5596" w:rsidRDefault="00DA4AF8" w:rsidP="00DA4AF8">
      <w:pPr>
        <w:rPr>
          <w:sz w:val="20"/>
          <w:lang w:val="es-ES_tradnl"/>
        </w:rPr>
      </w:pPr>
      <w:r w:rsidRPr="00FE559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DA4AF8" w:rsidRPr="00FE5596" w:rsidRDefault="00DA4AF8" w:rsidP="00DA4AF8">
      <w:pPr>
        <w:pStyle w:val="Heading1"/>
        <w:spacing w:before="340"/>
        <w:jc w:val="center"/>
        <w:rPr>
          <w:szCs w:val="24"/>
          <w:lang w:val="es-ES_tradnl"/>
        </w:rPr>
      </w:pPr>
      <w:r w:rsidRPr="00FE5596">
        <w:rPr>
          <w:lang w:val="es-ES_tradnl"/>
        </w:rPr>
        <w:t>Política sobre Derechos de Propiedad Intelectual</w:t>
      </w:r>
      <w:r w:rsidRPr="00FE5596">
        <w:rPr>
          <w:szCs w:val="24"/>
          <w:lang w:val="es-ES_tradnl"/>
        </w:rPr>
        <w:t xml:space="preserve"> (IPR)</w:t>
      </w:r>
    </w:p>
    <w:p w:rsidR="00DA4AF8" w:rsidRPr="00FE5596" w:rsidRDefault="00DA4AF8" w:rsidP="00DA4AF8">
      <w:pPr>
        <w:spacing w:before="180"/>
        <w:rPr>
          <w:sz w:val="20"/>
          <w:lang w:val="es-ES_tradnl"/>
        </w:rPr>
      </w:pPr>
      <w:r w:rsidRPr="00FE5596">
        <w:rPr>
          <w:sz w:val="20"/>
          <w:lang w:val="es-ES_tradnl"/>
        </w:rPr>
        <w:t>La política del UIT</w:t>
      </w:r>
      <w:r w:rsidRPr="00FE5596">
        <w:rPr>
          <w:sz w:val="20"/>
          <w:lang w:val="es-ES_tradnl"/>
        </w:rPr>
        <w:noBreakHyphen/>
        <w:t>R sobre Derechos de Propiedad Intelectual se describe en la Política Común de Patentes UIT</w:t>
      </w:r>
      <w:r w:rsidRPr="00FE5596">
        <w:rPr>
          <w:sz w:val="20"/>
          <w:lang w:val="es-ES_tradnl"/>
        </w:rPr>
        <w:noBreakHyphen/>
        <w:t>T/UIT</w:t>
      </w:r>
      <w:r w:rsidRPr="00FE5596">
        <w:rPr>
          <w:sz w:val="20"/>
          <w:lang w:val="es-ES_tradnl"/>
        </w:rPr>
        <w:noBreakHyphen/>
        <w:t>R/ISO/CEI a la que</w:t>
      </w:r>
      <w:r w:rsidR="00C82EF5">
        <w:rPr>
          <w:sz w:val="20"/>
          <w:lang w:val="es-ES_tradnl"/>
        </w:rPr>
        <w:t xml:space="preserve"> se hace referencia en el Anexo </w:t>
      </w:r>
      <w:bookmarkStart w:id="1" w:name="_GoBack"/>
      <w:bookmarkEnd w:id="1"/>
      <w:r w:rsidRPr="00FE5596">
        <w:rPr>
          <w:sz w:val="20"/>
          <w:lang w:val="es-ES_tradnl"/>
        </w:rPr>
        <w:t>1 a la Resolución UIT</w:t>
      </w:r>
      <w:r w:rsidRPr="00FE559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FE5596">
          <w:rPr>
            <w:rStyle w:val="Hyperlink"/>
            <w:sz w:val="20"/>
            <w:lang w:val="es-ES_tradnl"/>
          </w:rPr>
          <w:t>http://www.itu.int/ITU-R/go/patents/es</w:t>
        </w:r>
      </w:hyperlink>
      <w:r w:rsidRPr="00FE5596">
        <w:rPr>
          <w:sz w:val="20"/>
          <w:lang w:val="es-ES_tradnl"/>
        </w:rPr>
        <w:t>, donde también aparecen las Directrices para la implementación de la Política Común de Patentes UIT</w:t>
      </w:r>
      <w:r w:rsidRPr="00FE5596">
        <w:rPr>
          <w:sz w:val="20"/>
          <w:lang w:val="es-ES_tradnl"/>
        </w:rPr>
        <w:noBreakHyphen/>
        <w:t>T/UIT</w:t>
      </w:r>
      <w:r w:rsidRPr="00FE5596">
        <w:rPr>
          <w:sz w:val="20"/>
          <w:lang w:val="es-ES_tradnl"/>
        </w:rPr>
        <w:noBreakHyphen/>
        <w:t>R/ISO/CEI y la base de datos sobre información de patentes del UIT</w:t>
      </w:r>
      <w:r w:rsidRPr="00FE5596">
        <w:rPr>
          <w:sz w:val="20"/>
          <w:lang w:val="es-ES_tradnl"/>
        </w:rPr>
        <w:noBreakHyphen/>
        <w:t>R sobre este asunto.</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A4AF8" w:rsidRPr="00D159E0" w:rsidTr="005C6D8F">
        <w:tc>
          <w:tcPr>
            <w:tcW w:w="9360" w:type="dxa"/>
            <w:gridSpan w:val="2"/>
          </w:tcPr>
          <w:p w:rsidR="00DA4AF8" w:rsidRPr="00FE5596" w:rsidRDefault="00DA4AF8" w:rsidP="005C6D8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E5596">
              <w:rPr>
                <w:sz w:val="22"/>
                <w:szCs w:val="22"/>
                <w:lang w:val="es-ES_tradnl"/>
              </w:rPr>
              <w:t xml:space="preserve">Series de las Recomendaciones UIT-R </w:t>
            </w:r>
          </w:p>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E5596">
              <w:rPr>
                <w:b w:val="0"/>
                <w:sz w:val="18"/>
                <w:szCs w:val="18"/>
                <w:lang w:val="es-ES_tradnl"/>
              </w:rPr>
              <w:t xml:space="preserve">(También disponible en línea en </w:t>
            </w:r>
            <w:hyperlink r:id="rId11" w:history="1">
              <w:r w:rsidRPr="00FE5596">
                <w:rPr>
                  <w:rStyle w:val="Hyperlink"/>
                  <w:b w:val="0"/>
                  <w:bCs/>
                  <w:sz w:val="18"/>
                  <w:szCs w:val="18"/>
                  <w:lang w:val="es-ES_tradnl"/>
                </w:rPr>
                <w:t>http://www.itu.int/publ/R-REC/es</w:t>
              </w:r>
            </w:hyperlink>
            <w:r w:rsidRPr="00FE5596">
              <w:rPr>
                <w:b w:val="0"/>
                <w:bCs/>
                <w:sz w:val="18"/>
                <w:szCs w:val="18"/>
                <w:lang w:val="es-ES_tradnl"/>
              </w:rPr>
              <w:t>)</w:t>
            </w:r>
          </w:p>
        </w:tc>
      </w:tr>
      <w:tr w:rsidR="00DA4AF8" w:rsidRPr="00FE5596" w:rsidTr="005C6D8F">
        <w:tc>
          <w:tcPr>
            <w:tcW w:w="1140" w:type="dxa"/>
          </w:tcPr>
          <w:p w:rsidR="00DA4AF8" w:rsidRPr="00FE5596" w:rsidRDefault="00DA4AF8" w:rsidP="005C6D8F">
            <w:pPr>
              <w:spacing w:before="180" w:after="100"/>
              <w:ind w:left="57"/>
              <w:rPr>
                <w:b/>
                <w:bCs/>
                <w:sz w:val="20"/>
                <w:lang w:val="es-ES_tradnl"/>
              </w:rPr>
            </w:pPr>
            <w:r w:rsidRPr="00FE5596">
              <w:rPr>
                <w:b/>
                <w:bCs/>
                <w:sz w:val="20"/>
                <w:lang w:val="es-ES_tradnl"/>
              </w:rPr>
              <w:t>Series</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E5596">
              <w:rPr>
                <w:bCs/>
                <w:sz w:val="20"/>
                <w:lang w:val="es-ES_tradnl"/>
              </w:rPr>
              <w:t>Título</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BO</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Distribución por satélite</w:t>
            </w:r>
          </w:p>
        </w:tc>
      </w:tr>
      <w:tr w:rsidR="00DA4AF8" w:rsidRPr="00D159E0"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BR</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Registro para producción, archivo y reproducción; películas en televisión</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BS</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(sonora)</w:t>
            </w:r>
          </w:p>
        </w:tc>
      </w:tr>
      <w:tr w:rsidR="00DA4AF8" w:rsidRPr="00FE5596" w:rsidTr="005C6D8F">
        <w:tc>
          <w:tcPr>
            <w:tcW w:w="1140" w:type="dxa"/>
            <w:shd w:val="clear" w:color="auto" w:fill="auto"/>
          </w:tcPr>
          <w:p w:rsidR="00DA4AF8" w:rsidRPr="00FE5596" w:rsidRDefault="00DA4AF8" w:rsidP="005C6D8F">
            <w:pPr>
              <w:spacing w:before="30" w:after="30"/>
              <w:ind w:left="57"/>
              <w:jc w:val="left"/>
              <w:rPr>
                <w:b/>
                <w:bCs/>
                <w:sz w:val="20"/>
                <w:lang w:val="es-ES_tradnl"/>
              </w:rPr>
            </w:pPr>
            <w:r w:rsidRPr="00FE5596">
              <w:rPr>
                <w:b/>
                <w:bCs/>
                <w:sz w:val="20"/>
                <w:lang w:val="es-ES_tradnl"/>
              </w:rPr>
              <w:t>BT</w:t>
            </w:r>
          </w:p>
        </w:tc>
        <w:tc>
          <w:tcPr>
            <w:tcW w:w="8220" w:type="dxa"/>
            <w:shd w:val="clear" w:color="auto" w:fill="auto"/>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(televisión)</w:t>
            </w:r>
          </w:p>
        </w:tc>
      </w:tr>
      <w:tr w:rsidR="00DA4AF8" w:rsidRPr="00FE5596" w:rsidTr="005C6D8F">
        <w:tc>
          <w:tcPr>
            <w:tcW w:w="1140" w:type="dxa"/>
            <w:shd w:val="clear" w:color="auto" w:fill="auto"/>
          </w:tcPr>
          <w:p w:rsidR="00DA4AF8" w:rsidRPr="00FE5596" w:rsidRDefault="00DA4AF8" w:rsidP="005C6D8F">
            <w:pPr>
              <w:spacing w:before="30" w:after="30"/>
              <w:ind w:left="57"/>
              <w:jc w:val="left"/>
              <w:rPr>
                <w:b/>
                <w:bCs/>
                <w:sz w:val="20"/>
                <w:lang w:val="es-ES_tradnl"/>
              </w:rPr>
            </w:pPr>
            <w:r w:rsidRPr="00FE5596">
              <w:rPr>
                <w:b/>
                <w:bCs/>
                <w:sz w:val="20"/>
                <w:lang w:val="es-ES_tradnl"/>
              </w:rPr>
              <w:t>F</w:t>
            </w:r>
          </w:p>
        </w:tc>
        <w:tc>
          <w:tcPr>
            <w:tcW w:w="8220" w:type="dxa"/>
            <w:shd w:val="clear" w:color="auto" w:fill="auto"/>
          </w:tcPr>
          <w:p w:rsidR="00DA4AF8" w:rsidRPr="00FE5596" w:rsidRDefault="00DA4AF8" w:rsidP="005C6D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Servicio fijo</w:t>
            </w:r>
          </w:p>
        </w:tc>
      </w:tr>
      <w:tr w:rsidR="00DA4AF8" w:rsidRPr="00D159E0" w:rsidTr="005C6D8F">
        <w:tc>
          <w:tcPr>
            <w:tcW w:w="1140" w:type="dxa"/>
            <w:shd w:val="clear" w:color="auto" w:fill="F3F3F3"/>
          </w:tcPr>
          <w:p w:rsidR="00DA4AF8" w:rsidRPr="00FE5596" w:rsidRDefault="00DA4AF8" w:rsidP="005C6D8F">
            <w:pPr>
              <w:spacing w:before="30" w:after="30"/>
              <w:ind w:left="57"/>
              <w:jc w:val="left"/>
              <w:rPr>
                <w:b/>
                <w:bCs/>
                <w:color w:val="000080"/>
                <w:sz w:val="20"/>
                <w:lang w:val="es-ES_tradnl"/>
              </w:rPr>
            </w:pPr>
            <w:r w:rsidRPr="00FE5596">
              <w:rPr>
                <w:b/>
                <w:bCs/>
                <w:color w:val="000080"/>
                <w:sz w:val="20"/>
                <w:lang w:val="es-ES_tradnl"/>
              </w:rPr>
              <w:t>M</w:t>
            </w:r>
          </w:p>
        </w:tc>
        <w:tc>
          <w:tcPr>
            <w:tcW w:w="8220" w:type="dxa"/>
            <w:shd w:val="clear" w:color="auto" w:fill="F3F3F3"/>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FE5596">
              <w:rPr>
                <w:bCs/>
                <w:color w:val="000080"/>
                <w:sz w:val="20"/>
                <w:lang w:val="es-ES_tradnl"/>
              </w:rPr>
              <w:t xml:space="preserve">Servicios móviles, de </w:t>
            </w:r>
            <w:proofErr w:type="spellStart"/>
            <w:r w:rsidRPr="00FE5596">
              <w:rPr>
                <w:bCs/>
                <w:color w:val="000080"/>
                <w:sz w:val="20"/>
                <w:lang w:val="es-ES_tradnl"/>
              </w:rPr>
              <w:t>radiodeterminación</w:t>
            </w:r>
            <w:proofErr w:type="spellEnd"/>
            <w:r w:rsidRPr="00FE5596">
              <w:rPr>
                <w:bCs/>
                <w:color w:val="000080"/>
                <w:sz w:val="20"/>
                <w:lang w:val="es-ES_tradnl"/>
              </w:rPr>
              <w:t>, de aficionados y otros servicios por satélite conexos</w:t>
            </w:r>
          </w:p>
        </w:tc>
      </w:tr>
      <w:tr w:rsidR="00DA4AF8" w:rsidRPr="00D159E0"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P</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Propagación de las ondas radioeléctricas</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RA</w:t>
            </w:r>
          </w:p>
        </w:tc>
        <w:tc>
          <w:tcPr>
            <w:tcW w:w="8220" w:type="dxa"/>
          </w:tcPr>
          <w:p w:rsidR="00DA4AF8" w:rsidRPr="00FE5596" w:rsidRDefault="00DA4AF8" w:rsidP="005C6D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Radioastronomía</w:t>
            </w:r>
          </w:p>
        </w:tc>
      </w:tr>
      <w:tr w:rsidR="00DA4AF8" w:rsidRPr="00D159E0"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RS</w:t>
            </w:r>
          </w:p>
        </w:tc>
        <w:tc>
          <w:tcPr>
            <w:tcW w:w="8220" w:type="dxa"/>
          </w:tcPr>
          <w:p w:rsidR="00DA4AF8" w:rsidRPr="00FE5596" w:rsidRDefault="00DA4AF8" w:rsidP="005C6D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Sistemas de detección a distancia</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Servicio fijo por satélite</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SA</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Aplicaciones espaciales y meteorología</w:t>
            </w:r>
          </w:p>
        </w:tc>
      </w:tr>
      <w:tr w:rsidR="00DA4AF8" w:rsidRPr="00D159E0"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SF</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Compartición de frecuencias y coordinación entre los sistemas del servicio fijo por satélite y del servicio fijo</w:t>
            </w:r>
          </w:p>
        </w:tc>
      </w:tr>
      <w:tr w:rsidR="00DA4AF8" w:rsidRPr="00FE5596" w:rsidTr="005C6D8F">
        <w:tc>
          <w:tcPr>
            <w:tcW w:w="1140" w:type="dxa"/>
            <w:shd w:val="clear" w:color="auto" w:fill="auto"/>
          </w:tcPr>
          <w:p w:rsidR="00DA4AF8" w:rsidRPr="00FE5596" w:rsidRDefault="00DA4AF8" w:rsidP="005C6D8F">
            <w:pPr>
              <w:spacing w:before="30" w:after="30"/>
              <w:ind w:left="57"/>
              <w:jc w:val="left"/>
              <w:rPr>
                <w:b/>
                <w:bCs/>
                <w:sz w:val="20"/>
                <w:lang w:val="es-ES_tradnl"/>
              </w:rPr>
            </w:pPr>
            <w:r w:rsidRPr="00FE5596">
              <w:rPr>
                <w:b/>
                <w:bCs/>
                <w:sz w:val="20"/>
                <w:lang w:val="es-ES_tradnl"/>
              </w:rPr>
              <w:t>SM</w:t>
            </w:r>
          </w:p>
        </w:tc>
        <w:tc>
          <w:tcPr>
            <w:tcW w:w="8220" w:type="dxa"/>
            <w:shd w:val="clear" w:color="auto" w:fill="auto"/>
          </w:tcPr>
          <w:p w:rsidR="00DA4AF8" w:rsidRPr="00FE5596" w:rsidRDefault="00DA4AF8" w:rsidP="005C6D8F">
            <w:pPr>
              <w:spacing w:before="30" w:after="30"/>
              <w:jc w:val="left"/>
              <w:rPr>
                <w:sz w:val="20"/>
                <w:lang w:val="es-ES_tradnl"/>
              </w:rPr>
            </w:pPr>
            <w:r w:rsidRPr="00FE5596">
              <w:rPr>
                <w:sz w:val="20"/>
                <w:lang w:val="es-ES_tradnl"/>
              </w:rPr>
              <w:t>Gestión del espectro</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SNG</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Periodismo electrónico por satélite</w:t>
            </w:r>
          </w:p>
        </w:tc>
      </w:tr>
      <w:tr w:rsidR="00DA4AF8" w:rsidRPr="00D159E0"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TF</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Emisiones de frecuencias patrón y señales horarias</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V</w:t>
            </w:r>
          </w:p>
        </w:tc>
        <w:tc>
          <w:tcPr>
            <w:tcW w:w="8220" w:type="dxa"/>
          </w:tcPr>
          <w:p w:rsidR="00DA4AF8" w:rsidRPr="00FE5596" w:rsidRDefault="00DA4AF8" w:rsidP="005C6D8F">
            <w:pPr>
              <w:spacing w:before="30" w:after="140"/>
              <w:jc w:val="left"/>
              <w:rPr>
                <w:bCs/>
                <w:sz w:val="20"/>
                <w:lang w:val="es-ES_tradnl"/>
              </w:rPr>
            </w:pPr>
            <w:r w:rsidRPr="00FE5596">
              <w:rPr>
                <w:bCs/>
                <w:sz w:val="20"/>
                <w:lang w:val="es-ES_tradnl"/>
              </w:rPr>
              <w:t>Vocabulario y cuestiones afines</w:t>
            </w:r>
          </w:p>
        </w:tc>
      </w:tr>
    </w:tbl>
    <w:p w:rsidR="00DA4AF8" w:rsidRPr="00FE5596" w:rsidRDefault="00DA4AF8" w:rsidP="00DA4AF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A4AF8" w:rsidRPr="00FE5596" w:rsidTr="005C6D8F">
        <w:tc>
          <w:tcPr>
            <w:tcW w:w="720" w:type="dxa"/>
          </w:tcPr>
          <w:p w:rsidR="00DA4AF8" w:rsidRPr="00FE5596" w:rsidRDefault="00DA4AF8" w:rsidP="005C6D8F">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A4AF8" w:rsidRPr="00D159E0" w:rsidTr="005C6D8F">
        <w:tc>
          <w:tcPr>
            <w:tcW w:w="9360" w:type="dxa"/>
          </w:tcPr>
          <w:p w:rsidR="00DA4AF8" w:rsidRPr="00FE5596" w:rsidRDefault="00DA4AF8" w:rsidP="005C6D8F">
            <w:pPr>
              <w:spacing w:before="92" w:after="92"/>
              <w:jc w:val="left"/>
              <w:rPr>
                <w:i/>
                <w:iCs/>
                <w:sz w:val="20"/>
                <w:lang w:val="es-ES_tradnl"/>
              </w:rPr>
            </w:pPr>
            <w:r w:rsidRPr="00FE5596">
              <w:rPr>
                <w:b/>
                <w:bCs/>
                <w:i/>
                <w:iCs/>
                <w:sz w:val="20"/>
                <w:lang w:val="es-ES_tradnl"/>
              </w:rPr>
              <w:t>Nota</w:t>
            </w:r>
            <w:r w:rsidRPr="00FE5596">
              <w:rPr>
                <w:i/>
                <w:iCs/>
                <w:sz w:val="20"/>
                <w:lang w:val="es-ES_tradnl"/>
              </w:rPr>
              <w:t xml:space="preserve">: Esta Recomendación UIT-R fue aprobada en inglés conforme al procedimiento detallado en la </w:t>
            </w:r>
            <w:r w:rsidRPr="00FE5596">
              <w:rPr>
                <w:i/>
                <w:iCs/>
                <w:sz w:val="20"/>
                <w:lang w:val="es-ES_tradnl"/>
              </w:rPr>
              <w:br/>
              <w:t>Resolución UIT-R 1.</w:t>
            </w:r>
          </w:p>
        </w:tc>
      </w:tr>
    </w:tbl>
    <w:p w:rsidR="00DA4AF8" w:rsidRPr="00FE5596" w:rsidRDefault="00DA4AF8" w:rsidP="00DA4AF8">
      <w:pPr>
        <w:spacing w:before="0"/>
        <w:jc w:val="center"/>
        <w:rPr>
          <w:sz w:val="22"/>
          <w:lang w:val="es-ES_tradnl"/>
        </w:rPr>
      </w:pPr>
    </w:p>
    <w:p w:rsidR="00DA4AF8" w:rsidRPr="00FE5596" w:rsidRDefault="00DA4AF8" w:rsidP="00DA4AF8">
      <w:pPr>
        <w:spacing w:before="60"/>
        <w:jc w:val="right"/>
        <w:rPr>
          <w:i/>
          <w:iCs/>
          <w:sz w:val="20"/>
          <w:lang w:val="es-ES_tradnl"/>
        </w:rPr>
      </w:pPr>
      <w:r w:rsidRPr="00FE5596">
        <w:rPr>
          <w:i/>
          <w:iCs/>
          <w:sz w:val="20"/>
          <w:lang w:val="es-ES_tradnl"/>
        </w:rPr>
        <w:t>Publicación electrónica</w:t>
      </w:r>
    </w:p>
    <w:p w:rsidR="00DA4AF8" w:rsidRPr="00FE5596" w:rsidRDefault="00DA4AF8" w:rsidP="00DA4AF8">
      <w:pPr>
        <w:spacing w:before="0" w:after="40"/>
        <w:jc w:val="right"/>
        <w:rPr>
          <w:sz w:val="20"/>
          <w:lang w:val="es-ES_tradnl"/>
        </w:rPr>
      </w:pPr>
      <w:r w:rsidRPr="00FE5596">
        <w:rPr>
          <w:sz w:val="20"/>
          <w:lang w:val="es-ES_tradnl"/>
        </w:rPr>
        <w:t>Ginebra, 2015</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0"/>
          <w:lang w:val="es-ES_tradnl"/>
        </w:rPr>
      </w:pPr>
      <w:r w:rsidRPr="00FE5596">
        <w:rPr>
          <w:sz w:val="20"/>
          <w:lang w:val="es-ES_tradnl"/>
        </w:rPr>
        <w:sym w:font="Symbol" w:char="F0E3"/>
      </w:r>
      <w:r w:rsidRPr="00FE5596">
        <w:rPr>
          <w:sz w:val="20"/>
          <w:lang w:val="es-ES_tradnl"/>
        </w:rPr>
        <w:t xml:space="preserve"> UIT </w:t>
      </w:r>
      <w:bookmarkStart w:id="2" w:name="iiannee"/>
      <w:bookmarkEnd w:id="2"/>
      <w:r w:rsidRPr="00FE5596">
        <w:rPr>
          <w:sz w:val="20"/>
          <w:lang w:val="es-ES_tradnl"/>
        </w:rPr>
        <w:t>2015</w:t>
      </w:r>
    </w:p>
    <w:p w:rsidR="00DA4AF8" w:rsidRPr="00FE5596" w:rsidRDefault="00DA4AF8" w:rsidP="00DA4AF8">
      <w:pPr>
        <w:spacing w:before="80"/>
        <w:rPr>
          <w:sz w:val="18"/>
          <w:szCs w:val="18"/>
          <w:lang w:val="es-ES_tradnl"/>
        </w:rPr>
      </w:pPr>
      <w:r w:rsidRPr="00FE5596">
        <w:rPr>
          <w:sz w:val="18"/>
          <w:szCs w:val="18"/>
          <w:lang w:val="es-ES_tradnl"/>
        </w:rPr>
        <w:t>Reservados todos los derechos. Ninguna parte de esta publicación puede reproducirse por ningún procedimiento sin previa autorización escrita por parte de la UIT.</w:t>
      </w:r>
    </w:p>
    <w:p w:rsidR="00DA4AF8" w:rsidRPr="00FE5596" w:rsidRDefault="00DA4AF8" w:rsidP="00DA4AF8">
      <w:pPr>
        <w:spacing w:before="160"/>
        <w:rPr>
          <w:i/>
          <w:sz w:val="20"/>
          <w:highlight w:val="yellow"/>
          <w:lang w:val="es-ES_tradnl"/>
        </w:rPr>
        <w:sectPr w:rsidR="00DA4AF8" w:rsidRPr="00FE5596"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DA4AF8" w:rsidRPr="00FE5596" w:rsidRDefault="00DA4AF8" w:rsidP="00DA4AF8">
      <w:pPr>
        <w:pStyle w:val="RecNo"/>
        <w:spacing w:before="0"/>
        <w:rPr>
          <w:lang w:val="es-ES_tradnl"/>
        </w:rPr>
      </w:pPr>
      <w:bookmarkStart w:id="3" w:name="irecnoe"/>
      <w:bookmarkEnd w:id="3"/>
      <w:r w:rsidRPr="00FE5596">
        <w:rPr>
          <w:lang w:val="es-ES_tradnl"/>
        </w:rPr>
        <w:lastRenderedPageBreak/>
        <w:t xml:space="preserve">RECOMENDACIÓN  </w:t>
      </w:r>
      <w:r w:rsidRPr="00FE5596">
        <w:rPr>
          <w:rStyle w:val="href"/>
          <w:lang w:val="es-ES_tradnl"/>
        </w:rPr>
        <w:t>UIT-R  M.</w:t>
      </w:r>
      <w:r>
        <w:rPr>
          <w:rStyle w:val="href"/>
          <w:lang w:val="es-ES_tradnl"/>
        </w:rPr>
        <w:t>628</w:t>
      </w:r>
      <w:r w:rsidRPr="00FE5596">
        <w:rPr>
          <w:rStyle w:val="href"/>
          <w:lang w:val="es-ES_tradnl"/>
        </w:rPr>
        <w:t>-</w:t>
      </w:r>
      <w:r>
        <w:rPr>
          <w:rStyle w:val="href"/>
          <w:lang w:val="es-ES_tradnl"/>
        </w:rPr>
        <w:t>4</w:t>
      </w:r>
      <w:r>
        <w:rPr>
          <w:rStyle w:val="FootnoteReference"/>
          <w:lang w:val="es-ES_tradnl"/>
        </w:rPr>
        <w:footnoteReference w:id="1"/>
      </w:r>
    </w:p>
    <w:p w:rsidR="00DA4AF8" w:rsidRDefault="00DA4AF8" w:rsidP="00D159E0">
      <w:pPr>
        <w:pStyle w:val="Rectitle"/>
        <w:rPr>
          <w:lang w:val="es-ES_tradnl"/>
        </w:rPr>
      </w:pPr>
      <w:r w:rsidRPr="00325F9C">
        <w:rPr>
          <w:lang w:val="es-ES"/>
        </w:rPr>
        <w:t>Características técnicas de los transpondedores</w:t>
      </w:r>
      <w:r w:rsidR="00D159E0">
        <w:rPr>
          <w:lang w:val="es-ES"/>
        </w:rPr>
        <w:t xml:space="preserve"> </w:t>
      </w:r>
      <w:r w:rsidRPr="00325F9C">
        <w:rPr>
          <w:lang w:val="es-ES"/>
        </w:rPr>
        <w:t>de radar</w:t>
      </w:r>
      <w:r w:rsidR="00D159E0">
        <w:rPr>
          <w:lang w:val="es-ES"/>
        </w:rPr>
        <w:br/>
      </w:r>
      <w:r w:rsidRPr="00325F9C">
        <w:rPr>
          <w:lang w:val="es-ES"/>
        </w:rPr>
        <w:t>de búsqueda y salvamento</w:t>
      </w:r>
    </w:p>
    <w:p w:rsidR="00DA4AF8" w:rsidRPr="0042756C" w:rsidRDefault="00DA4AF8" w:rsidP="00DA4AF8">
      <w:pPr>
        <w:pStyle w:val="Recdate"/>
        <w:rPr>
          <w:lang w:val="es-ES_tradnl"/>
        </w:rPr>
      </w:pPr>
      <w:r w:rsidRPr="00325F9C">
        <w:rPr>
          <w:lang w:val="es-ES"/>
        </w:rPr>
        <w:t>(1986-1990-1992-1994-2006-2012)</w:t>
      </w:r>
    </w:p>
    <w:p w:rsidR="00DA4AF8" w:rsidRPr="00FE5596" w:rsidRDefault="00DA4AF8" w:rsidP="00DA4AF8">
      <w:pPr>
        <w:pStyle w:val="HeadingSum"/>
      </w:pPr>
      <w:r w:rsidRPr="00FE5596">
        <w:t>Cometido</w:t>
      </w:r>
    </w:p>
    <w:p w:rsidR="00DA4AF8" w:rsidRPr="00FE5596" w:rsidRDefault="00DA4AF8" w:rsidP="00DA4AF8">
      <w:pPr>
        <w:pStyle w:val="Summary"/>
      </w:pPr>
      <w:r w:rsidRPr="00325F9C">
        <w:rPr>
          <w:lang w:val="es-ES"/>
        </w:rPr>
        <w:t>Esta Recomendación contiene las características técnicas de los transpondedores de radar de búsqueda y salvamento (SART), que se utilizan para localizar en el mar barcos o embarcaciones de salvamento en situación de socorro.</w:t>
      </w:r>
    </w:p>
    <w:p w:rsidR="00DA4AF8" w:rsidRPr="00FE5596" w:rsidRDefault="00DA4AF8" w:rsidP="00DA4AF8">
      <w:pPr>
        <w:pStyle w:val="Summary"/>
      </w:pPr>
      <w:r w:rsidRPr="00325F9C">
        <w:rPr>
          <w:lang w:val="es-ES"/>
        </w:rPr>
        <w:t xml:space="preserve">Los barcos o las embarcaciones de salvamento pueden utilizar SART para indicar que están en situación de socorro. Los radares que funcionan en la banda de frecuencias </w:t>
      </w:r>
      <w:r>
        <w:rPr>
          <w:lang w:val="es-ES"/>
        </w:rPr>
        <w:t xml:space="preserve">de 9 200-9 500 MHz </w:t>
      </w:r>
      <w:r w:rsidRPr="00325F9C">
        <w:rPr>
          <w:lang w:val="es-ES"/>
        </w:rPr>
        <w:t>pueden detectar los SART.</w:t>
      </w:r>
    </w:p>
    <w:p w:rsidR="00DA4AF8" w:rsidRPr="00FE5596" w:rsidRDefault="00DA4AF8" w:rsidP="00DA4AF8">
      <w:pPr>
        <w:pStyle w:val="Normalaftertitle"/>
        <w:rPr>
          <w:lang w:val="es-ES_tradnl"/>
        </w:rPr>
      </w:pPr>
      <w:r w:rsidRPr="00FE5596">
        <w:rPr>
          <w:lang w:val="es-ES_tradnl"/>
        </w:rPr>
        <w:t>La Asamblea de Radiocomunicaciones de la UIT,</w:t>
      </w:r>
    </w:p>
    <w:p w:rsidR="00DA4AF8" w:rsidRPr="00325F9C" w:rsidRDefault="00DA4AF8" w:rsidP="005F19F4">
      <w:pPr>
        <w:pStyle w:val="Call"/>
        <w:rPr>
          <w:lang w:val="es-ES"/>
        </w:rPr>
      </w:pPr>
      <w:r w:rsidRPr="00325F9C">
        <w:rPr>
          <w:lang w:val="es-ES"/>
        </w:rPr>
        <w:t>considerando</w:t>
      </w:r>
    </w:p>
    <w:p w:rsidR="00DA4AF8" w:rsidRPr="00325F9C" w:rsidRDefault="00DA4AF8" w:rsidP="00DA4AF8">
      <w:pPr>
        <w:rPr>
          <w:lang w:val="es-ES"/>
        </w:rPr>
      </w:pPr>
      <w:r w:rsidRPr="005F19F4">
        <w:rPr>
          <w:i/>
          <w:iCs/>
          <w:lang w:val="es-ES"/>
        </w:rPr>
        <w:t>a)</w:t>
      </w:r>
      <w:r w:rsidRPr="00325F9C">
        <w:rPr>
          <w:lang w:val="es-ES"/>
        </w:rPr>
        <w:tab/>
        <w:t xml:space="preserve">que existe la necesidad de localizar a los buques o sus botes salvavidas en peligro en el mar; </w:t>
      </w:r>
    </w:p>
    <w:p w:rsidR="00DA4AF8" w:rsidRPr="00325F9C" w:rsidRDefault="00DA4AF8" w:rsidP="00DA4AF8">
      <w:pPr>
        <w:rPr>
          <w:lang w:val="es-ES"/>
        </w:rPr>
      </w:pPr>
      <w:r w:rsidRPr="005F19F4">
        <w:rPr>
          <w:i/>
          <w:iCs/>
          <w:lang w:val="es-ES"/>
        </w:rPr>
        <w:t>b)</w:t>
      </w:r>
      <w:r w:rsidRPr="00325F9C">
        <w:rPr>
          <w:lang w:val="es-ES"/>
        </w:rPr>
        <w:tab/>
        <w:t>que parte de dicha necesidad puede quedar satisfecha por el Sistema Mundial de Socorro Marítimo;</w:t>
      </w:r>
    </w:p>
    <w:p w:rsidR="00DA4AF8" w:rsidRPr="00325F9C" w:rsidRDefault="00DA4AF8" w:rsidP="00DA4AF8">
      <w:pPr>
        <w:rPr>
          <w:lang w:val="es-ES"/>
        </w:rPr>
      </w:pPr>
      <w:r w:rsidRPr="005F19F4">
        <w:rPr>
          <w:i/>
          <w:iCs/>
          <w:lang w:val="es-ES"/>
        </w:rPr>
        <w:t>c)</w:t>
      </w:r>
      <w:r w:rsidRPr="00325F9C">
        <w:rPr>
          <w:lang w:val="es-ES"/>
        </w:rPr>
        <w:tab/>
        <w:t>que la localización de los buques y botes de salvamento en peligro en el mar mejora si llevan transpondedores de radar a bordo;</w:t>
      </w:r>
    </w:p>
    <w:p w:rsidR="00DA4AF8" w:rsidRPr="00325F9C" w:rsidRDefault="00DA4AF8" w:rsidP="00DA4AF8">
      <w:pPr>
        <w:rPr>
          <w:lang w:val="es-ES"/>
        </w:rPr>
      </w:pPr>
      <w:r w:rsidRPr="005F19F4">
        <w:rPr>
          <w:i/>
          <w:iCs/>
          <w:lang w:val="es-ES"/>
        </w:rPr>
        <w:t>d)</w:t>
      </w:r>
      <w:r w:rsidRPr="00325F9C">
        <w:rPr>
          <w:lang w:val="es-ES"/>
        </w:rPr>
        <w:tab/>
        <w:t>que un sistema de localización es más efectivo si el transpondedor de radar se ajusta a las características técnicas y de funcionamiento acordadas a escala internacional;</w:t>
      </w:r>
    </w:p>
    <w:p w:rsidR="00DA4AF8" w:rsidRPr="00325F9C" w:rsidRDefault="00DA4AF8" w:rsidP="00DA4AF8">
      <w:pPr>
        <w:rPr>
          <w:lang w:val="es-ES"/>
        </w:rPr>
      </w:pPr>
      <w:r w:rsidRPr="005F19F4">
        <w:rPr>
          <w:i/>
          <w:iCs/>
          <w:lang w:val="es-ES"/>
        </w:rPr>
        <w:t>e)</w:t>
      </w:r>
      <w:r w:rsidRPr="00325F9C">
        <w:rPr>
          <w:lang w:val="es-ES"/>
        </w:rPr>
        <w:tab/>
        <w:t>que la Organización Marítima Internacional (OMI) ha adoptado una recomendación sobre normas de comportamiento para los transpondedores de radar de las embarcaciones de salvamento que se utilizan en las operaciones de búsqueda y salvamento;</w:t>
      </w:r>
    </w:p>
    <w:p w:rsidR="00DA4AF8" w:rsidRPr="00325F9C" w:rsidRDefault="00DA4AF8" w:rsidP="005F19F4">
      <w:pPr>
        <w:pStyle w:val="Call"/>
        <w:rPr>
          <w:lang w:val="es-ES"/>
        </w:rPr>
      </w:pPr>
      <w:r w:rsidRPr="00325F9C">
        <w:rPr>
          <w:lang w:val="es-ES"/>
        </w:rPr>
        <w:t>reconociendo</w:t>
      </w:r>
    </w:p>
    <w:p w:rsidR="00DA4AF8" w:rsidRPr="00325F9C" w:rsidRDefault="00DA4AF8" w:rsidP="00DF08AE">
      <w:pPr>
        <w:rPr>
          <w:lang w:val="es-ES"/>
        </w:rPr>
      </w:pPr>
      <w:r w:rsidRPr="00325F9C">
        <w:rPr>
          <w:lang w:val="es-ES"/>
        </w:rPr>
        <w:t>que el Convenio de Seguridad de la Vida Humana en el Mar (SOLAS) exige que se lleve a bordo uno o más transpondedores de radar que funcionen en la banda de frecuencias 9</w:t>
      </w:r>
      <w:r w:rsidR="00DF08AE">
        <w:rPr>
          <w:lang w:val="es-ES"/>
        </w:rPr>
        <w:t> </w:t>
      </w:r>
      <w:r w:rsidRPr="00325F9C">
        <w:rPr>
          <w:lang w:val="es-ES"/>
        </w:rPr>
        <w:t>200-9</w:t>
      </w:r>
      <w:r w:rsidR="00DF08AE">
        <w:rPr>
          <w:lang w:val="es-ES"/>
        </w:rPr>
        <w:t> </w:t>
      </w:r>
      <w:r w:rsidRPr="00325F9C">
        <w:rPr>
          <w:lang w:val="es-ES"/>
        </w:rPr>
        <w:t>500 MHz,</w:t>
      </w:r>
    </w:p>
    <w:p w:rsidR="00DA4AF8" w:rsidRPr="00325F9C" w:rsidRDefault="00DA4AF8" w:rsidP="005F19F4">
      <w:pPr>
        <w:pStyle w:val="Call"/>
        <w:rPr>
          <w:lang w:val="es-ES"/>
        </w:rPr>
      </w:pPr>
      <w:r w:rsidRPr="00325F9C">
        <w:rPr>
          <w:lang w:val="es-ES"/>
        </w:rPr>
        <w:t>recomienda</w:t>
      </w:r>
    </w:p>
    <w:p w:rsidR="00DA4AF8" w:rsidRPr="00325F9C" w:rsidRDefault="00DA4AF8" w:rsidP="00DF08AE">
      <w:pPr>
        <w:rPr>
          <w:lang w:val="es-ES"/>
        </w:rPr>
      </w:pPr>
      <w:r w:rsidRPr="00325F9C">
        <w:rPr>
          <w:b/>
          <w:lang w:val="es-ES"/>
        </w:rPr>
        <w:t>1</w:t>
      </w:r>
      <w:r w:rsidRPr="00325F9C">
        <w:rPr>
          <w:lang w:val="es-ES"/>
        </w:rPr>
        <w:tab/>
        <w:t xml:space="preserve">que las características técnicas de los transpondedores de radar (SART) que funcionan en la gama de frecuencias </w:t>
      </w:r>
      <w:r w:rsidRPr="00DF08AE">
        <w:rPr>
          <w:lang w:val="es-ES_tradnl"/>
        </w:rPr>
        <w:t>9</w:t>
      </w:r>
      <w:r w:rsidR="00DF08AE" w:rsidRPr="00DF08AE">
        <w:rPr>
          <w:lang w:val="es-ES_tradnl"/>
        </w:rPr>
        <w:t> </w:t>
      </w:r>
      <w:r w:rsidRPr="00DF08AE">
        <w:rPr>
          <w:lang w:val="es-ES_tradnl"/>
        </w:rPr>
        <w:t>200</w:t>
      </w:r>
      <w:r w:rsidRPr="00325F9C">
        <w:rPr>
          <w:lang w:val="es-ES"/>
        </w:rPr>
        <w:noBreakHyphen/>
        <w:t>9</w:t>
      </w:r>
      <w:r w:rsidR="00DF08AE">
        <w:rPr>
          <w:lang w:val="es-ES"/>
        </w:rPr>
        <w:t> </w:t>
      </w:r>
      <w:r w:rsidRPr="00325F9C">
        <w:rPr>
          <w:lang w:val="es-ES"/>
        </w:rPr>
        <w:t>500 MHz para búsqueda y salvamento sean las señaladas en el anexo 1;</w:t>
      </w:r>
    </w:p>
    <w:p w:rsidR="00DA4AF8" w:rsidRPr="00325F9C" w:rsidRDefault="00DA4AF8" w:rsidP="00DF08AE">
      <w:pPr>
        <w:rPr>
          <w:lang w:val="es-ES"/>
        </w:rPr>
      </w:pPr>
      <w:r w:rsidRPr="00325F9C">
        <w:rPr>
          <w:b/>
          <w:lang w:val="es-ES"/>
        </w:rPr>
        <w:t>2</w:t>
      </w:r>
      <w:r w:rsidRPr="00325F9C">
        <w:rPr>
          <w:lang w:val="es-ES"/>
        </w:rPr>
        <w:tab/>
        <w:t xml:space="preserve">que la distancia de detección máxima de un transpondedor de radar de búsqueda y salvamento (SART, </w:t>
      </w:r>
      <w:proofErr w:type="spellStart"/>
      <w:r w:rsidRPr="00325F9C">
        <w:rPr>
          <w:i/>
          <w:lang w:val="es-ES"/>
        </w:rPr>
        <w:t>search</w:t>
      </w:r>
      <w:proofErr w:type="spellEnd"/>
      <w:r w:rsidRPr="00325F9C">
        <w:rPr>
          <w:i/>
          <w:lang w:val="es-ES"/>
        </w:rPr>
        <w:t xml:space="preserve"> and </w:t>
      </w:r>
      <w:proofErr w:type="spellStart"/>
      <w:r w:rsidRPr="00325F9C">
        <w:rPr>
          <w:i/>
          <w:lang w:val="es-ES"/>
        </w:rPr>
        <w:t>rescue</w:t>
      </w:r>
      <w:proofErr w:type="spellEnd"/>
      <w:r w:rsidRPr="00325F9C">
        <w:rPr>
          <w:i/>
          <w:lang w:val="es-ES"/>
        </w:rPr>
        <w:t xml:space="preserve"> radar </w:t>
      </w:r>
      <w:proofErr w:type="spellStart"/>
      <w:r w:rsidRPr="00325F9C">
        <w:rPr>
          <w:i/>
          <w:lang w:val="es-ES"/>
        </w:rPr>
        <w:t>transponder</w:t>
      </w:r>
      <w:proofErr w:type="spellEnd"/>
      <w:r w:rsidRPr="00325F9C">
        <w:rPr>
          <w:lang w:val="es-ES"/>
        </w:rPr>
        <w:t>) con las características técnicas descritas en el Anexo 1, y cuyo radar se ajusta a la Resolución correspondiente de la</w:t>
      </w:r>
      <w:r w:rsidR="005F19F4">
        <w:rPr>
          <w:lang w:val="es-ES"/>
        </w:rPr>
        <w:t xml:space="preserve"> </w:t>
      </w:r>
      <w:r w:rsidRPr="00325F9C">
        <w:rPr>
          <w:lang w:val="es-ES"/>
        </w:rPr>
        <w:t>OMI que sea más reciente, se evalúe mediante sus características técnicas medidas y con el método teórico que aparece en el Anexo 2.</w:t>
      </w:r>
    </w:p>
    <w:p w:rsidR="00DA4AF8" w:rsidRPr="00325F9C" w:rsidRDefault="00DA4AF8" w:rsidP="00DA4AF8">
      <w:pPr>
        <w:rPr>
          <w:lang w:val="es-ES"/>
        </w:rPr>
      </w:pPr>
      <w:r w:rsidRPr="00325F9C">
        <w:rPr>
          <w:b/>
          <w:lang w:val="es-ES"/>
        </w:rPr>
        <w:t>3</w:t>
      </w:r>
      <w:r w:rsidRPr="00325F9C">
        <w:rPr>
          <w:lang w:val="es-ES"/>
        </w:rPr>
        <w:tab/>
        <w:t>que las Notas 1 y 2 se consideren como parte de esta Recomendació</w:t>
      </w:r>
      <w:r w:rsidR="003F2B68">
        <w:rPr>
          <w:lang w:val="es-ES"/>
        </w:rPr>
        <w:t>n.</w:t>
      </w:r>
    </w:p>
    <w:p w:rsidR="00DA4AF8" w:rsidRPr="00325F9C" w:rsidRDefault="00DA4AF8" w:rsidP="00DA4AF8">
      <w:pPr>
        <w:rPr>
          <w:lang w:val="es-ES"/>
        </w:rPr>
      </w:pPr>
      <w:r w:rsidRPr="00325F9C">
        <w:rPr>
          <w:lang w:val="es-ES"/>
        </w:rPr>
        <w:lastRenderedPageBreak/>
        <w:t>NOTA 1 – En el Anexo 3 se explican las pérdi</w:t>
      </w:r>
      <w:r w:rsidR="00DF08AE">
        <w:rPr>
          <w:lang w:val="es-ES"/>
        </w:rPr>
        <w:t xml:space="preserve">das de propagación de una señal </w:t>
      </w:r>
      <w:r w:rsidRPr="00325F9C">
        <w:rPr>
          <w:lang w:val="es-ES"/>
        </w:rPr>
        <w:t>SART causadas por una embarcación de salvamento y sus ocupantes.</w:t>
      </w:r>
    </w:p>
    <w:p w:rsidR="00DA4AF8" w:rsidRDefault="00DA4AF8" w:rsidP="00DA4AF8">
      <w:pPr>
        <w:rPr>
          <w:lang w:val="es-ES"/>
        </w:rPr>
      </w:pPr>
      <w:r w:rsidRPr="00325F9C">
        <w:rPr>
          <w:lang w:val="es-ES"/>
        </w:rPr>
        <w:t>NOTA 2 – En el Anexo 4 se describen las características técnicas de los SART con polarización circular.</w:t>
      </w:r>
    </w:p>
    <w:p w:rsidR="003F2B68" w:rsidRDefault="003F2B68" w:rsidP="00DA4AF8">
      <w:pPr>
        <w:rPr>
          <w:lang w:val="es-ES"/>
        </w:rPr>
      </w:pPr>
    </w:p>
    <w:p w:rsidR="003F2B68" w:rsidRDefault="003F2B68" w:rsidP="00DA4AF8">
      <w:pPr>
        <w:rPr>
          <w:lang w:val="es-ES"/>
        </w:rPr>
      </w:pPr>
    </w:p>
    <w:p w:rsidR="003F2B68" w:rsidRDefault="003F2B68" w:rsidP="00DA4AF8">
      <w:pPr>
        <w:rPr>
          <w:lang w:val="es-ES"/>
        </w:rPr>
      </w:pPr>
    </w:p>
    <w:p w:rsidR="003F2B68" w:rsidRPr="00325F9C" w:rsidRDefault="003F2B68" w:rsidP="003F2B68">
      <w:pPr>
        <w:spacing w:before="0"/>
        <w:rPr>
          <w:lang w:val="es-ES"/>
        </w:rPr>
      </w:pPr>
    </w:p>
    <w:p w:rsidR="00DA4AF8" w:rsidRPr="00325F9C" w:rsidRDefault="00DA4AF8" w:rsidP="00672A53">
      <w:pPr>
        <w:pStyle w:val="AnnexNoTitle"/>
        <w:rPr>
          <w:lang w:val="es-ES"/>
        </w:rPr>
      </w:pPr>
      <w:r w:rsidRPr="00325F9C">
        <w:rPr>
          <w:lang w:val="es-ES"/>
        </w:rPr>
        <w:t>Anexo 1</w:t>
      </w:r>
      <w:r w:rsidRPr="00325F9C">
        <w:rPr>
          <w:lang w:val="es-ES"/>
        </w:rPr>
        <w:br/>
      </w:r>
      <w:r w:rsidRPr="00325F9C">
        <w:rPr>
          <w:lang w:val="es-ES"/>
        </w:rPr>
        <w:br/>
        <w:t>Características técnicas de los transpondedores de radar</w:t>
      </w:r>
      <w:r w:rsidR="005F19F4">
        <w:rPr>
          <w:lang w:val="es-ES"/>
        </w:rPr>
        <w:br/>
      </w:r>
      <w:r w:rsidRPr="00325F9C">
        <w:rPr>
          <w:lang w:val="es-ES"/>
        </w:rPr>
        <w:t>de búsqueda y salvamento que funcionan</w:t>
      </w:r>
      <w:r w:rsidR="005F19F4">
        <w:rPr>
          <w:lang w:val="es-ES"/>
        </w:rPr>
        <w:br/>
      </w:r>
      <w:r w:rsidRPr="00325F9C">
        <w:rPr>
          <w:lang w:val="es-ES"/>
        </w:rPr>
        <w:t xml:space="preserve">en la banda de </w:t>
      </w:r>
      <w:r w:rsidRPr="005F19F4">
        <w:rPr>
          <w:bCs/>
          <w:szCs w:val="28"/>
          <w:lang w:val="es-ES_tradnl"/>
        </w:rPr>
        <w:t>9</w:t>
      </w:r>
      <w:r w:rsidR="005F19F4" w:rsidRPr="005F19F4">
        <w:rPr>
          <w:bCs/>
          <w:szCs w:val="28"/>
          <w:lang w:val="es-ES_tradnl"/>
        </w:rPr>
        <w:t> </w:t>
      </w:r>
      <w:r w:rsidRPr="005F19F4">
        <w:rPr>
          <w:bCs/>
          <w:szCs w:val="28"/>
          <w:lang w:val="es-ES_tradnl"/>
        </w:rPr>
        <w:t>200</w:t>
      </w:r>
      <w:r w:rsidRPr="00325F9C">
        <w:rPr>
          <w:lang w:val="es-ES"/>
        </w:rPr>
        <w:t>-9</w:t>
      </w:r>
      <w:r w:rsidRPr="00D159E0">
        <w:rPr>
          <w:lang w:val="es-ES_tradnl"/>
        </w:rPr>
        <w:t> </w:t>
      </w:r>
      <w:r w:rsidRPr="00325F9C">
        <w:rPr>
          <w:lang w:val="es-ES"/>
        </w:rPr>
        <w:t>500 MHz</w:t>
      </w:r>
    </w:p>
    <w:p w:rsidR="00DA4AF8" w:rsidRPr="00325F9C" w:rsidRDefault="00DA4AF8" w:rsidP="00672A53">
      <w:pPr>
        <w:pStyle w:val="Normalaftertitle"/>
        <w:rPr>
          <w:lang w:val="es-ES"/>
        </w:rPr>
      </w:pPr>
      <w:r w:rsidRPr="00325F9C">
        <w:rPr>
          <w:b/>
          <w:lang w:val="es-ES"/>
        </w:rPr>
        <w:t>1</w:t>
      </w:r>
      <w:r w:rsidRPr="00325F9C">
        <w:rPr>
          <w:lang w:val="es-ES"/>
        </w:rPr>
        <w:tab/>
        <w:t xml:space="preserve">Frecuencia: </w:t>
      </w:r>
      <w:r w:rsidRPr="00D159E0">
        <w:rPr>
          <w:lang w:val="es-ES_tradnl"/>
        </w:rPr>
        <w:t>9</w:t>
      </w:r>
      <w:r w:rsidR="005F19F4" w:rsidRPr="00D159E0">
        <w:rPr>
          <w:lang w:val="es-ES_tradnl"/>
        </w:rPr>
        <w:t> </w:t>
      </w:r>
      <w:r w:rsidRPr="00D159E0">
        <w:rPr>
          <w:lang w:val="es-ES_tradnl"/>
        </w:rPr>
        <w:t>200</w:t>
      </w:r>
      <w:r w:rsidRPr="00325F9C">
        <w:rPr>
          <w:lang w:val="es-ES"/>
        </w:rPr>
        <w:t>-</w:t>
      </w:r>
      <w:r w:rsidRPr="00D159E0">
        <w:rPr>
          <w:lang w:val="es-ES_tradnl"/>
        </w:rPr>
        <w:t>9</w:t>
      </w:r>
      <w:r w:rsidR="005F19F4" w:rsidRPr="00D159E0">
        <w:rPr>
          <w:lang w:val="es-ES_tradnl"/>
        </w:rPr>
        <w:t> </w:t>
      </w:r>
      <w:r w:rsidRPr="00D159E0">
        <w:rPr>
          <w:lang w:val="es-ES_tradnl"/>
        </w:rPr>
        <w:t>500</w:t>
      </w:r>
      <w:r w:rsidRPr="00325F9C">
        <w:rPr>
          <w:lang w:val="es-ES"/>
        </w:rPr>
        <w:t xml:space="preserve"> MHz.</w:t>
      </w:r>
    </w:p>
    <w:p w:rsidR="00DA4AF8" w:rsidRPr="00325F9C" w:rsidRDefault="00DA4AF8" w:rsidP="00DA4AF8">
      <w:pPr>
        <w:rPr>
          <w:lang w:val="es-ES"/>
        </w:rPr>
      </w:pPr>
      <w:r w:rsidRPr="00325F9C">
        <w:rPr>
          <w:b/>
          <w:lang w:val="es-ES"/>
        </w:rPr>
        <w:t>2</w:t>
      </w:r>
      <w:r w:rsidRPr="00325F9C">
        <w:rPr>
          <w:lang w:val="es-ES"/>
        </w:rPr>
        <w:tab/>
        <w:t>Polarización: horizontal o circular.</w:t>
      </w:r>
    </w:p>
    <w:p w:rsidR="00DA4AF8" w:rsidRPr="00325F9C" w:rsidRDefault="00DA4AF8" w:rsidP="001D38D0">
      <w:pPr>
        <w:rPr>
          <w:lang w:val="es-ES"/>
        </w:rPr>
      </w:pPr>
      <w:r w:rsidRPr="00325F9C">
        <w:rPr>
          <w:b/>
          <w:lang w:val="es-ES"/>
        </w:rPr>
        <w:t>3</w:t>
      </w:r>
      <w:r w:rsidRPr="00325F9C">
        <w:rPr>
          <w:lang w:val="es-ES"/>
        </w:rPr>
        <w:tab/>
        <w:t xml:space="preserve">Velocidad de barrido: 5 </w:t>
      </w:r>
      <w:r w:rsidR="001D38D0">
        <w:rPr>
          <w:lang w:val="es-ES"/>
        </w:rPr>
        <w:t>µ</w:t>
      </w:r>
      <w:r w:rsidRPr="00325F9C">
        <w:rPr>
          <w:lang w:val="es-ES"/>
        </w:rPr>
        <w:t>s por 200 MHz nominal.</w:t>
      </w:r>
    </w:p>
    <w:p w:rsidR="00DA4AF8" w:rsidRPr="00325F9C" w:rsidRDefault="00DA4AF8" w:rsidP="00DA4AF8">
      <w:pPr>
        <w:rPr>
          <w:lang w:val="es-ES"/>
        </w:rPr>
      </w:pPr>
      <w:r w:rsidRPr="00325F9C">
        <w:rPr>
          <w:b/>
          <w:lang w:val="es-ES"/>
        </w:rPr>
        <w:t>4</w:t>
      </w:r>
      <w:r w:rsidRPr="00325F9C">
        <w:rPr>
          <w:lang w:val="es-ES"/>
        </w:rPr>
        <w:tab/>
        <w:t>La señal de respuesta estará compuesta por 12 barridos.</w:t>
      </w:r>
    </w:p>
    <w:p w:rsidR="00DA4AF8" w:rsidRPr="00325F9C" w:rsidRDefault="00DA4AF8" w:rsidP="005F19F4">
      <w:pPr>
        <w:tabs>
          <w:tab w:val="clear" w:pos="1191"/>
          <w:tab w:val="clear" w:pos="1588"/>
          <w:tab w:val="clear" w:pos="1985"/>
          <w:tab w:val="left" w:pos="2410"/>
          <w:tab w:val="left" w:pos="2665"/>
          <w:tab w:val="left" w:pos="2700"/>
        </w:tabs>
        <w:ind w:left="2700" w:hanging="2700"/>
        <w:jc w:val="left"/>
        <w:rPr>
          <w:lang w:val="es-ES"/>
        </w:rPr>
      </w:pPr>
      <w:r w:rsidRPr="00325F9C">
        <w:rPr>
          <w:b/>
          <w:lang w:val="es-ES"/>
        </w:rPr>
        <w:t>5</w:t>
      </w:r>
      <w:r w:rsidRPr="00325F9C">
        <w:rPr>
          <w:lang w:val="es-ES"/>
        </w:rPr>
        <w:tab/>
        <w:t>Forma de barrido:</w:t>
      </w:r>
      <w:r w:rsidRPr="00325F9C">
        <w:rPr>
          <w:lang w:val="es-ES"/>
        </w:rPr>
        <w:tab/>
        <w:t>diente de sierra,</w:t>
      </w:r>
    </w:p>
    <w:p w:rsidR="00DA4AF8" w:rsidRPr="00325F9C" w:rsidRDefault="00DA4AF8" w:rsidP="001D38D0">
      <w:pPr>
        <w:tabs>
          <w:tab w:val="clear" w:pos="1191"/>
          <w:tab w:val="clear" w:pos="1588"/>
          <w:tab w:val="clear" w:pos="1985"/>
          <w:tab w:val="left" w:pos="2410"/>
          <w:tab w:val="left" w:pos="2665"/>
        </w:tabs>
        <w:spacing w:before="0"/>
        <w:ind w:left="2700" w:hanging="2700"/>
        <w:jc w:val="left"/>
        <w:rPr>
          <w:lang w:val="es-ES"/>
        </w:rPr>
      </w:pPr>
      <w:r w:rsidRPr="00325F9C">
        <w:rPr>
          <w:lang w:val="es-ES"/>
        </w:rPr>
        <w:tab/>
      </w:r>
      <w:r w:rsidRPr="00325F9C">
        <w:rPr>
          <w:lang w:val="es-ES"/>
        </w:rPr>
        <w:tab/>
      </w:r>
      <w:r w:rsidRPr="00325F9C">
        <w:rPr>
          <w:lang w:val="es-ES"/>
        </w:rPr>
        <w:tab/>
        <w:t xml:space="preserve">duración del frente anterior 7,5 </w:t>
      </w:r>
      <w:r w:rsidR="001D38D0">
        <w:rPr>
          <w:lang w:val="es-ES"/>
        </w:rPr>
        <w:t>µ</w:t>
      </w:r>
      <w:r w:rsidRPr="00325F9C">
        <w:rPr>
          <w:lang w:val="es-ES"/>
        </w:rPr>
        <w:t xml:space="preserve">s </w:t>
      </w:r>
      <w:r w:rsidR="001D38D0">
        <w:rPr>
          <w:lang w:val="es-ES"/>
        </w:rPr>
        <w:t>±</w:t>
      </w:r>
      <w:r w:rsidRPr="00325F9C">
        <w:rPr>
          <w:lang w:val="es-ES"/>
        </w:rPr>
        <w:t xml:space="preserve"> 1 </w:t>
      </w:r>
      <w:r w:rsidR="001D38D0">
        <w:rPr>
          <w:lang w:val="es-ES"/>
        </w:rPr>
        <w:t>µ</w:t>
      </w:r>
      <w:r w:rsidRPr="00325F9C">
        <w:rPr>
          <w:lang w:val="es-ES"/>
        </w:rPr>
        <w:t>s,</w:t>
      </w:r>
    </w:p>
    <w:p w:rsidR="00DA4AF8" w:rsidRPr="00325F9C" w:rsidRDefault="00DA4AF8" w:rsidP="001D38D0">
      <w:pPr>
        <w:tabs>
          <w:tab w:val="clear" w:pos="1191"/>
          <w:tab w:val="clear" w:pos="1588"/>
          <w:tab w:val="clear" w:pos="1985"/>
          <w:tab w:val="left" w:pos="2410"/>
          <w:tab w:val="left" w:pos="2665"/>
          <w:tab w:val="left" w:pos="2700"/>
        </w:tabs>
        <w:spacing w:before="0"/>
        <w:ind w:left="2700" w:hanging="2700"/>
        <w:jc w:val="left"/>
        <w:rPr>
          <w:lang w:val="es-ES"/>
        </w:rPr>
      </w:pPr>
      <w:r w:rsidRPr="00325F9C">
        <w:rPr>
          <w:lang w:val="es-ES"/>
        </w:rPr>
        <w:tab/>
      </w:r>
      <w:r w:rsidRPr="00325F9C">
        <w:rPr>
          <w:lang w:val="es-ES"/>
        </w:rPr>
        <w:tab/>
      </w:r>
      <w:r w:rsidRPr="00325F9C">
        <w:rPr>
          <w:lang w:val="es-ES"/>
        </w:rPr>
        <w:tab/>
        <w:t xml:space="preserve">duración del frente posterior 0,4 </w:t>
      </w:r>
      <w:r w:rsidR="001D38D0">
        <w:rPr>
          <w:lang w:val="es-ES"/>
        </w:rPr>
        <w:t>µ</w:t>
      </w:r>
      <w:r w:rsidRPr="00325F9C">
        <w:rPr>
          <w:lang w:val="es-ES"/>
        </w:rPr>
        <w:t xml:space="preserve">s </w:t>
      </w:r>
      <w:r w:rsidR="001D38D0">
        <w:rPr>
          <w:lang w:val="es-ES"/>
        </w:rPr>
        <w:t>±</w:t>
      </w:r>
      <w:r w:rsidRPr="00325F9C">
        <w:rPr>
          <w:lang w:val="es-ES"/>
        </w:rPr>
        <w:t xml:space="preserve"> 0,1 </w:t>
      </w:r>
      <w:r w:rsidR="001D38D0">
        <w:rPr>
          <w:lang w:val="es-ES"/>
        </w:rPr>
        <w:t>µ</w:t>
      </w:r>
      <w:r w:rsidRPr="00325F9C">
        <w:rPr>
          <w:lang w:val="es-ES"/>
        </w:rPr>
        <w:t>s.</w:t>
      </w:r>
    </w:p>
    <w:p w:rsidR="00DA4AF8" w:rsidRPr="00325F9C" w:rsidRDefault="00DA4AF8" w:rsidP="005F19F4">
      <w:pPr>
        <w:pStyle w:val="enumlev3"/>
        <w:tabs>
          <w:tab w:val="left" w:pos="2665"/>
        </w:tabs>
        <w:rPr>
          <w:lang w:val="es-ES"/>
        </w:rPr>
      </w:pPr>
      <w:r w:rsidRPr="00325F9C">
        <w:rPr>
          <w:lang w:val="es-ES"/>
        </w:rPr>
        <w:tab/>
      </w:r>
      <w:r w:rsidRPr="00325F9C">
        <w:rPr>
          <w:lang w:val="es-ES"/>
        </w:rPr>
        <w:tab/>
      </w:r>
      <w:r w:rsidR="005F19F4">
        <w:rPr>
          <w:lang w:val="es-ES"/>
        </w:rPr>
        <w:tab/>
      </w:r>
      <w:r w:rsidRPr="00325F9C">
        <w:rPr>
          <w:lang w:val="es-ES"/>
        </w:rPr>
        <w:t>La respuesta debe comenzar con un frente posterior.</w:t>
      </w:r>
    </w:p>
    <w:p w:rsidR="00DA4AF8" w:rsidRPr="00325F9C" w:rsidRDefault="00DA4AF8" w:rsidP="001D38D0">
      <w:pPr>
        <w:tabs>
          <w:tab w:val="left" w:pos="2269"/>
        </w:tabs>
        <w:rPr>
          <w:lang w:val="es-ES"/>
        </w:rPr>
      </w:pPr>
      <w:r w:rsidRPr="00325F9C">
        <w:rPr>
          <w:b/>
          <w:lang w:val="es-ES"/>
        </w:rPr>
        <w:t>6</w:t>
      </w:r>
      <w:r w:rsidRPr="00325F9C">
        <w:rPr>
          <w:lang w:val="es-ES"/>
        </w:rPr>
        <w:tab/>
        <w:t xml:space="preserve">Emisión de impulsos: 100 </w:t>
      </w:r>
      <w:r w:rsidR="001D38D0">
        <w:rPr>
          <w:lang w:val="es-ES"/>
        </w:rPr>
        <w:t>µ</w:t>
      </w:r>
      <w:r w:rsidRPr="00325F9C">
        <w:rPr>
          <w:lang w:val="es-ES"/>
        </w:rPr>
        <w:t>s, nominal.</w:t>
      </w:r>
    </w:p>
    <w:p w:rsidR="00DA4AF8" w:rsidRPr="00325F9C" w:rsidRDefault="00DA4AF8" w:rsidP="001D38D0">
      <w:pPr>
        <w:tabs>
          <w:tab w:val="left" w:pos="2269"/>
        </w:tabs>
        <w:rPr>
          <w:lang w:val="es-ES"/>
        </w:rPr>
      </w:pPr>
      <w:r w:rsidRPr="00325F9C">
        <w:rPr>
          <w:b/>
          <w:lang w:val="es-ES"/>
        </w:rPr>
        <w:t>7</w:t>
      </w:r>
      <w:r w:rsidRPr="00325F9C">
        <w:rPr>
          <w:lang w:val="es-ES"/>
        </w:rPr>
        <w:tab/>
      </w:r>
      <w:proofErr w:type="spellStart"/>
      <w:r w:rsidRPr="00325F9C">
        <w:rPr>
          <w:lang w:val="es-ES"/>
        </w:rPr>
        <w:t>p.i.r.e</w:t>
      </w:r>
      <w:proofErr w:type="spellEnd"/>
      <w:r w:rsidRPr="00325F9C">
        <w:rPr>
          <w:lang w:val="es-ES"/>
        </w:rPr>
        <w:t xml:space="preserve">.: no inferior a 400 </w:t>
      </w:r>
      <w:proofErr w:type="spellStart"/>
      <w:r w:rsidRPr="00325F9C">
        <w:rPr>
          <w:lang w:val="es-ES"/>
        </w:rPr>
        <w:t>mW</w:t>
      </w:r>
      <w:proofErr w:type="spellEnd"/>
      <w:r w:rsidRPr="00325F9C">
        <w:rPr>
          <w:lang w:val="es-ES"/>
        </w:rPr>
        <w:t xml:space="preserve"> (equivalente a </w:t>
      </w:r>
      <w:r w:rsidR="001D38D0">
        <w:rPr>
          <w:lang w:val="es-ES"/>
        </w:rPr>
        <w:t>+</w:t>
      </w:r>
      <w:r w:rsidRPr="00325F9C">
        <w:rPr>
          <w:lang w:val="es-ES"/>
        </w:rPr>
        <w:t xml:space="preserve">26 </w:t>
      </w:r>
      <w:proofErr w:type="spellStart"/>
      <w:r w:rsidRPr="00325F9C">
        <w:rPr>
          <w:lang w:val="es-ES"/>
        </w:rPr>
        <w:t>dBm</w:t>
      </w:r>
      <w:proofErr w:type="spellEnd"/>
      <w:r w:rsidRPr="00325F9C">
        <w:rPr>
          <w:lang w:val="es-ES"/>
        </w:rPr>
        <w:t>).</w:t>
      </w:r>
    </w:p>
    <w:p w:rsidR="00DA4AF8" w:rsidRPr="00325F9C" w:rsidRDefault="00DA4AF8" w:rsidP="005673B8">
      <w:pPr>
        <w:tabs>
          <w:tab w:val="left" w:pos="2269"/>
          <w:tab w:val="left" w:pos="4140"/>
        </w:tabs>
        <w:ind w:left="4140" w:hanging="4140"/>
        <w:rPr>
          <w:lang w:val="es-ES"/>
        </w:rPr>
      </w:pPr>
      <w:r w:rsidRPr="00325F9C">
        <w:rPr>
          <w:b/>
          <w:lang w:val="es-ES"/>
        </w:rPr>
        <w:t>8</w:t>
      </w:r>
      <w:r w:rsidRPr="00325F9C">
        <w:rPr>
          <w:lang w:val="es-ES"/>
        </w:rPr>
        <w:tab/>
        <w:t>Sensibilidad efectiva del receptor:</w:t>
      </w:r>
      <w:r w:rsidRPr="00325F9C">
        <w:rPr>
          <w:lang w:val="es-ES"/>
        </w:rPr>
        <w:tab/>
        <w:t xml:space="preserve">mejor que –50 </w:t>
      </w:r>
      <w:proofErr w:type="spellStart"/>
      <w:r w:rsidRPr="00325F9C">
        <w:rPr>
          <w:lang w:val="es-ES"/>
        </w:rPr>
        <w:t>dBm</w:t>
      </w:r>
      <w:proofErr w:type="spellEnd"/>
      <w:r w:rsidRPr="00325F9C">
        <w:rPr>
          <w:lang w:val="es-ES"/>
        </w:rPr>
        <w:t xml:space="preserve"> (equivalente a 0,1 </w:t>
      </w:r>
      <w:proofErr w:type="spellStart"/>
      <w:r w:rsidRPr="00325F9C">
        <w:rPr>
          <w:lang w:val="es-ES"/>
        </w:rPr>
        <w:t>mW</w:t>
      </w:r>
      <w:proofErr w:type="spellEnd"/>
      <w:r w:rsidRPr="00325F9C">
        <w:rPr>
          <w:lang w:val="es-ES"/>
        </w:rPr>
        <w:t>/m</w:t>
      </w:r>
      <w:r w:rsidRPr="00325F9C">
        <w:rPr>
          <w:position w:val="6"/>
          <w:sz w:val="16"/>
          <w:lang w:val="es-ES"/>
        </w:rPr>
        <w:t>2</w:t>
      </w:r>
      <w:r w:rsidRPr="00325F9C">
        <w:rPr>
          <w:lang w:val="es-ES"/>
        </w:rPr>
        <w:t>) (véase la Nota</w:t>
      </w:r>
      <w:r w:rsidR="005673B8">
        <w:rPr>
          <w:lang w:val="es-ES"/>
        </w:rPr>
        <w:t> </w:t>
      </w:r>
      <w:r w:rsidRPr="00325F9C">
        <w:rPr>
          <w:lang w:val="es-ES"/>
        </w:rPr>
        <w:t>1).</w:t>
      </w:r>
    </w:p>
    <w:p w:rsidR="00DA4AF8" w:rsidRPr="00325F9C" w:rsidRDefault="00DA4AF8" w:rsidP="005F19F4">
      <w:pPr>
        <w:tabs>
          <w:tab w:val="clear" w:pos="1191"/>
          <w:tab w:val="clear" w:pos="1588"/>
          <w:tab w:val="clear" w:pos="1985"/>
          <w:tab w:val="left" w:pos="3005"/>
          <w:tab w:val="left" w:pos="4139"/>
        </w:tabs>
        <w:ind w:left="4139" w:hanging="4139"/>
        <w:rPr>
          <w:lang w:val="es-ES"/>
        </w:rPr>
      </w:pPr>
      <w:r w:rsidRPr="00325F9C">
        <w:rPr>
          <w:b/>
          <w:lang w:val="es-ES"/>
        </w:rPr>
        <w:t>9</w:t>
      </w:r>
      <w:r w:rsidRPr="00325F9C">
        <w:rPr>
          <w:lang w:val="es-ES"/>
        </w:rPr>
        <w:tab/>
        <w:t>Duración de funcionamiento:</w:t>
      </w:r>
      <w:r w:rsidRPr="00325F9C">
        <w:rPr>
          <w:lang w:val="es-ES"/>
        </w:rPr>
        <w:tab/>
        <w:t>96 h en condición de reserva y, además, tras el periodo de reserva, proporcionar transmisiones de transpondedor durante 8 h cuando sea interrogado ininterrumpidamente con una frecuencia de repetición de impulsos de 1 kHz.</w:t>
      </w:r>
    </w:p>
    <w:p w:rsidR="00DA4AF8" w:rsidRPr="00325F9C" w:rsidRDefault="00DA4AF8" w:rsidP="001D38D0">
      <w:pPr>
        <w:tabs>
          <w:tab w:val="clear" w:pos="1191"/>
          <w:tab w:val="clear" w:pos="1588"/>
          <w:tab w:val="clear" w:pos="1985"/>
          <w:tab w:val="left" w:pos="3175"/>
          <w:tab w:val="left" w:pos="4253"/>
        </w:tabs>
        <w:ind w:left="794" w:hanging="794"/>
        <w:jc w:val="left"/>
        <w:rPr>
          <w:lang w:val="es-ES"/>
        </w:rPr>
      </w:pPr>
      <w:r w:rsidRPr="00325F9C">
        <w:rPr>
          <w:b/>
          <w:lang w:val="es-ES"/>
        </w:rPr>
        <w:t>10</w:t>
      </w:r>
      <w:r w:rsidRPr="00325F9C">
        <w:rPr>
          <w:lang w:val="es-ES"/>
        </w:rPr>
        <w:tab/>
        <w:t>Gama de temperaturas:</w:t>
      </w:r>
      <w:r w:rsidR="005F19F4">
        <w:rPr>
          <w:lang w:val="es-ES"/>
        </w:rPr>
        <w:tab/>
      </w:r>
      <w:r w:rsidRPr="00325F9C">
        <w:rPr>
          <w:lang w:val="es-ES"/>
        </w:rPr>
        <w:t>ambiente:</w:t>
      </w:r>
      <w:r w:rsidRPr="00325F9C">
        <w:rPr>
          <w:lang w:val="es-ES"/>
        </w:rPr>
        <w:tab/>
        <w:t>–20</w:t>
      </w:r>
      <w:r w:rsidR="001D38D0">
        <w:rPr>
          <w:lang w:val="es-ES"/>
        </w:rPr>
        <w:t xml:space="preserve">° </w:t>
      </w:r>
      <w:r w:rsidRPr="00325F9C">
        <w:rPr>
          <w:lang w:val="es-ES"/>
        </w:rPr>
        <w:t xml:space="preserve">C a </w:t>
      </w:r>
      <w:r w:rsidR="001D38D0">
        <w:rPr>
          <w:lang w:val="es-ES"/>
        </w:rPr>
        <w:t>+</w:t>
      </w:r>
      <w:r w:rsidRPr="00325F9C">
        <w:rPr>
          <w:lang w:val="es-ES"/>
        </w:rPr>
        <w:t xml:space="preserve"> 55</w:t>
      </w:r>
      <w:r w:rsidR="001D38D0">
        <w:rPr>
          <w:lang w:val="es-ES"/>
        </w:rPr>
        <w:t>°</w:t>
      </w:r>
      <w:r w:rsidR="001D38D0">
        <w:rPr>
          <w:lang w:val="es-ES"/>
        </w:rPr>
        <w:t xml:space="preserve"> </w:t>
      </w:r>
      <w:r w:rsidRPr="00325F9C">
        <w:rPr>
          <w:lang w:val="es-ES"/>
        </w:rPr>
        <w:t>C,</w:t>
      </w:r>
      <w:r w:rsidRPr="00325F9C">
        <w:rPr>
          <w:lang w:val="es-ES"/>
        </w:rPr>
        <w:br/>
      </w:r>
      <w:r w:rsidR="005F19F4">
        <w:rPr>
          <w:lang w:val="es-ES"/>
        </w:rPr>
        <w:tab/>
      </w:r>
      <w:r w:rsidRPr="00325F9C">
        <w:rPr>
          <w:lang w:val="es-ES"/>
        </w:rPr>
        <w:t>en estiba:</w:t>
      </w:r>
      <w:r w:rsidR="005F19F4">
        <w:rPr>
          <w:lang w:val="es-ES"/>
        </w:rPr>
        <w:tab/>
      </w:r>
      <w:r w:rsidRPr="00325F9C">
        <w:rPr>
          <w:lang w:val="es-ES"/>
        </w:rPr>
        <w:t>–30</w:t>
      </w:r>
      <w:r w:rsidR="001D38D0">
        <w:rPr>
          <w:lang w:val="es-ES"/>
        </w:rPr>
        <w:t>°</w:t>
      </w:r>
      <w:r w:rsidR="001D38D0">
        <w:rPr>
          <w:lang w:val="es-ES"/>
        </w:rPr>
        <w:t xml:space="preserve"> </w:t>
      </w:r>
      <w:r w:rsidRPr="00325F9C">
        <w:rPr>
          <w:lang w:val="es-ES"/>
        </w:rPr>
        <w:t xml:space="preserve">C a </w:t>
      </w:r>
      <w:r w:rsidR="001D38D0">
        <w:rPr>
          <w:lang w:val="es-ES"/>
        </w:rPr>
        <w:t>+</w:t>
      </w:r>
      <w:r w:rsidRPr="00325F9C">
        <w:rPr>
          <w:lang w:val="es-ES"/>
        </w:rPr>
        <w:t xml:space="preserve"> 65</w:t>
      </w:r>
      <w:r w:rsidR="001D38D0">
        <w:rPr>
          <w:lang w:val="es-ES"/>
        </w:rPr>
        <w:t>°</w:t>
      </w:r>
      <w:r w:rsidR="001D38D0">
        <w:rPr>
          <w:lang w:val="es-ES"/>
        </w:rPr>
        <w:t xml:space="preserve"> </w:t>
      </w:r>
      <w:r w:rsidRPr="00325F9C">
        <w:rPr>
          <w:lang w:val="es-ES"/>
        </w:rPr>
        <w:t>C.</w:t>
      </w:r>
    </w:p>
    <w:p w:rsidR="00DA4AF8" w:rsidRPr="00325F9C" w:rsidRDefault="00DA4AF8" w:rsidP="001D38D0">
      <w:pPr>
        <w:tabs>
          <w:tab w:val="left" w:pos="2269"/>
          <w:tab w:val="left" w:pos="2694"/>
        </w:tabs>
        <w:ind w:left="2269" w:hanging="2269"/>
        <w:rPr>
          <w:lang w:val="es-ES"/>
        </w:rPr>
      </w:pPr>
      <w:r w:rsidRPr="00325F9C">
        <w:rPr>
          <w:b/>
          <w:lang w:val="es-ES"/>
        </w:rPr>
        <w:t>11</w:t>
      </w:r>
      <w:r w:rsidRPr="00325F9C">
        <w:rPr>
          <w:lang w:val="es-ES"/>
        </w:rPr>
        <w:tab/>
        <w:t xml:space="preserve">Tiempo de recuperación después de la excitación:  10 </w:t>
      </w:r>
      <w:r w:rsidR="001D38D0">
        <w:rPr>
          <w:lang w:val="es-ES"/>
        </w:rPr>
        <w:t>µ</w:t>
      </w:r>
      <w:r w:rsidRPr="00325F9C">
        <w:rPr>
          <w:lang w:val="es-ES"/>
        </w:rPr>
        <w:t>s o menos.</w:t>
      </w:r>
    </w:p>
    <w:p w:rsidR="00DA4AF8" w:rsidRPr="00325F9C" w:rsidRDefault="00DA4AF8" w:rsidP="001D38D0">
      <w:pPr>
        <w:tabs>
          <w:tab w:val="left" w:pos="2269"/>
          <w:tab w:val="left" w:pos="2694"/>
        </w:tabs>
        <w:ind w:left="2269" w:hanging="2269"/>
        <w:rPr>
          <w:lang w:val="es-ES"/>
        </w:rPr>
      </w:pPr>
      <w:r w:rsidRPr="00325F9C">
        <w:rPr>
          <w:b/>
          <w:lang w:val="es-ES"/>
        </w:rPr>
        <w:t>12</w:t>
      </w:r>
      <w:r w:rsidRPr="00325F9C">
        <w:rPr>
          <w:lang w:val="es-ES"/>
        </w:rPr>
        <w:tab/>
        <w:t xml:space="preserve">Altura efectiva de la antena: </w:t>
      </w:r>
      <w:r w:rsidR="001D38D0">
        <w:rPr>
          <w:lang w:val="es-ES"/>
        </w:rPr>
        <w:t>≥</w:t>
      </w:r>
      <w:r w:rsidR="005F19F4">
        <w:rPr>
          <w:lang w:val="es-ES"/>
        </w:rPr>
        <w:t> </w:t>
      </w:r>
      <w:r w:rsidRPr="00325F9C">
        <w:rPr>
          <w:lang w:val="es-ES"/>
        </w:rPr>
        <w:t>1 m (véase la Nota 2).</w:t>
      </w:r>
    </w:p>
    <w:p w:rsidR="00DA4AF8" w:rsidRPr="00325F9C" w:rsidRDefault="00DA4AF8" w:rsidP="001D38D0">
      <w:pPr>
        <w:tabs>
          <w:tab w:val="left" w:pos="2269"/>
          <w:tab w:val="left" w:pos="2694"/>
          <w:tab w:val="left" w:pos="8647"/>
        </w:tabs>
        <w:ind w:left="8647" w:hanging="8647"/>
        <w:jc w:val="left"/>
        <w:rPr>
          <w:lang w:val="es-ES"/>
        </w:rPr>
      </w:pPr>
      <w:r w:rsidRPr="00325F9C">
        <w:rPr>
          <w:b/>
          <w:lang w:val="es-ES"/>
        </w:rPr>
        <w:t>1</w:t>
      </w:r>
      <w:r w:rsidR="005F19F4">
        <w:rPr>
          <w:b/>
          <w:lang w:val="es-ES"/>
        </w:rPr>
        <w:t>3</w:t>
      </w:r>
      <w:r w:rsidRPr="00325F9C">
        <w:rPr>
          <w:lang w:val="es-ES"/>
        </w:rPr>
        <w:tab/>
        <w:t>Retardo entre la recepción de la señal de radar y el comienzo de la transmisión:</w:t>
      </w:r>
      <w:r w:rsidR="00A16638">
        <w:rPr>
          <w:lang w:val="es-ES"/>
        </w:rPr>
        <w:tab/>
      </w:r>
      <w:r w:rsidRPr="00325F9C">
        <w:rPr>
          <w:lang w:val="es-ES"/>
        </w:rPr>
        <w:t>0,5 </w:t>
      </w:r>
      <w:r w:rsidR="001D38D0">
        <w:rPr>
          <w:lang w:val="es-ES"/>
        </w:rPr>
        <w:t>µ</w:t>
      </w:r>
      <w:r w:rsidRPr="00325F9C">
        <w:rPr>
          <w:lang w:val="es-ES"/>
        </w:rPr>
        <w:t>s o menos.</w:t>
      </w:r>
    </w:p>
    <w:p w:rsidR="00DA4AF8" w:rsidRPr="00325F9C" w:rsidRDefault="00DA4AF8" w:rsidP="001D38D0">
      <w:pPr>
        <w:ind w:left="5040" w:hanging="5040"/>
        <w:rPr>
          <w:lang w:val="es-ES"/>
        </w:rPr>
      </w:pPr>
      <w:r w:rsidRPr="00325F9C">
        <w:rPr>
          <w:b/>
          <w:lang w:val="es-ES"/>
        </w:rPr>
        <w:t>14</w:t>
      </w:r>
      <w:r w:rsidRPr="00325F9C">
        <w:rPr>
          <w:lang w:val="es-ES"/>
        </w:rPr>
        <w:tab/>
        <w:t>Abertura angular en elevación de la antena:</w:t>
      </w:r>
      <w:r w:rsidRPr="00325F9C">
        <w:rPr>
          <w:lang w:val="es-ES"/>
        </w:rPr>
        <w:tab/>
        <w:t xml:space="preserve">como mínimo </w:t>
      </w:r>
      <w:r w:rsidR="001D38D0">
        <w:rPr>
          <w:lang w:val="es-ES"/>
        </w:rPr>
        <w:t>±</w:t>
      </w:r>
      <w:r w:rsidRPr="00325F9C">
        <w:rPr>
          <w:lang w:val="es-ES"/>
        </w:rPr>
        <w:t>12,5</w:t>
      </w:r>
      <w:r w:rsidR="001D38D0">
        <w:rPr>
          <w:lang w:val="es-ES"/>
        </w:rPr>
        <w:t>°</w:t>
      </w:r>
      <w:r w:rsidRPr="00325F9C">
        <w:rPr>
          <w:lang w:val="es-ES"/>
        </w:rPr>
        <w:t xml:space="preserve"> en relación con el plano horizontal de los transpondedores de radar.</w:t>
      </w:r>
    </w:p>
    <w:p w:rsidR="00DA4AF8" w:rsidRPr="00325F9C" w:rsidRDefault="00DA4AF8" w:rsidP="001D38D0">
      <w:pPr>
        <w:ind w:left="5040" w:hanging="5040"/>
        <w:rPr>
          <w:lang w:val="es-ES"/>
        </w:rPr>
      </w:pPr>
      <w:r w:rsidRPr="00325F9C">
        <w:rPr>
          <w:b/>
          <w:lang w:val="es-ES"/>
        </w:rPr>
        <w:t>15</w:t>
      </w:r>
      <w:r w:rsidRPr="00325F9C">
        <w:rPr>
          <w:lang w:val="es-ES"/>
        </w:rPr>
        <w:tab/>
        <w:t>Abertura angular acimutal de la antena:</w:t>
      </w:r>
      <w:r w:rsidR="005F19F4">
        <w:rPr>
          <w:lang w:val="es-ES"/>
        </w:rPr>
        <w:tab/>
      </w:r>
      <w:r w:rsidRPr="00325F9C">
        <w:rPr>
          <w:lang w:val="es-ES"/>
        </w:rPr>
        <w:t xml:space="preserve">omnidireccional con un margen de </w:t>
      </w:r>
      <w:r w:rsidR="005F19F4">
        <w:rPr>
          <w:lang w:val="es-ES"/>
        </w:rPr>
        <w:t xml:space="preserve">variación </w:t>
      </w:r>
      <w:r w:rsidRPr="00325F9C">
        <w:rPr>
          <w:lang w:val="es-ES"/>
        </w:rPr>
        <w:t>de</w:t>
      </w:r>
      <w:r w:rsidR="005F19F4">
        <w:rPr>
          <w:lang w:val="es-ES"/>
        </w:rPr>
        <w:t> </w:t>
      </w:r>
      <w:r w:rsidR="001D38D0">
        <w:rPr>
          <w:lang w:val="es-ES"/>
        </w:rPr>
        <w:t>±</w:t>
      </w:r>
      <w:r w:rsidRPr="00325F9C">
        <w:rPr>
          <w:lang w:val="es-ES"/>
        </w:rPr>
        <w:t> 2 dB.</w:t>
      </w:r>
    </w:p>
    <w:p w:rsidR="00DA4AF8" w:rsidRPr="00325F9C" w:rsidRDefault="00DA4AF8" w:rsidP="003F2B68">
      <w:pPr>
        <w:pStyle w:val="Note"/>
        <w:rPr>
          <w:lang w:val="es-ES"/>
        </w:rPr>
      </w:pPr>
      <w:r w:rsidRPr="00325F9C">
        <w:rPr>
          <w:lang w:val="es-ES"/>
        </w:rPr>
        <w:lastRenderedPageBreak/>
        <w:t>NOTA 1 – La sensibilidad efectiva del receptor comprende la ganancia de la antena.</w:t>
      </w:r>
    </w:p>
    <w:p w:rsidR="00DA4AF8" w:rsidRPr="00325F9C" w:rsidRDefault="00DA4AF8" w:rsidP="00672A53">
      <w:pPr>
        <w:pStyle w:val="Note"/>
        <w:ind w:left="720" w:hanging="720"/>
        <w:rPr>
          <w:lang w:val="es-ES"/>
        </w:rPr>
      </w:pPr>
      <w:r w:rsidRPr="00325F9C">
        <w:rPr>
          <w:lang w:val="es-ES"/>
        </w:rPr>
        <w:t>–</w:t>
      </w:r>
      <w:r w:rsidRPr="00325F9C">
        <w:rPr>
          <w:lang w:val="es-ES"/>
        </w:rPr>
        <w:tab/>
        <w:t>La sensibilidad efectiva del receptor mejor que –50</w:t>
      </w:r>
      <w:r w:rsidR="00672A53">
        <w:rPr>
          <w:lang w:val="es-ES"/>
        </w:rPr>
        <w:t> </w:t>
      </w:r>
      <w:proofErr w:type="spellStart"/>
      <w:r w:rsidRPr="00325F9C">
        <w:rPr>
          <w:lang w:val="es-ES"/>
        </w:rPr>
        <w:t>dBm</w:t>
      </w:r>
      <w:proofErr w:type="spellEnd"/>
      <w:r w:rsidRPr="00325F9C">
        <w:rPr>
          <w:lang w:val="es-ES"/>
        </w:rPr>
        <w:t xml:space="preserve"> se aplica a los impulsos de radar de interrogación (medios y largos) de &gt; 400 </w:t>
      </w:r>
      <w:proofErr w:type="spellStart"/>
      <w:r w:rsidRPr="00325F9C">
        <w:rPr>
          <w:lang w:val="es-ES"/>
        </w:rPr>
        <w:t>ns</w:t>
      </w:r>
      <w:proofErr w:type="spellEnd"/>
      <w:r w:rsidRPr="00325F9C">
        <w:rPr>
          <w:lang w:val="es-ES"/>
        </w:rPr>
        <w:t>.</w:t>
      </w:r>
    </w:p>
    <w:p w:rsidR="00DA4AF8" w:rsidRPr="00325F9C" w:rsidRDefault="00DA4AF8" w:rsidP="00672A53">
      <w:pPr>
        <w:pStyle w:val="Note"/>
        <w:ind w:left="720" w:hanging="720"/>
        <w:rPr>
          <w:lang w:val="es-ES"/>
        </w:rPr>
      </w:pPr>
      <w:r w:rsidRPr="00325F9C">
        <w:rPr>
          <w:lang w:val="es-ES"/>
        </w:rPr>
        <w:t>–</w:t>
      </w:r>
      <w:r w:rsidRPr="00325F9C">
        <w:rPr>
          <w:lang w:val="es-ES"/>
        </w:rPr>
        <w:tab/>
        <w:t>La sensibilidad efectiva del receptor mejor que –37</w:t>
      </w:r>
      <w:r w:rsidR="00672A53">
        <w:rPr>
          <w:lang w:val="es-ES"/>
        </w:rPr>
        <w:t> </w:t>
      </w:r>
      <w:proofErr w:type="spellStart"/>
      <w:r w:rsidRPr="00325F9C">
        <w:rPr>
          <w:lang w:val="es-ES"/>
        </w:rPr>
        <w:t>dBm</w:t>
      </w:r>
      <w:proofErr w:type="spellEnd"/>
      <w:r w:rsidRPr="00325F9C">
        <w:rPr>
          <w:lang w:val="es-ES"/>
        </w:rPr>
        <w:t xml:space="preserve"> se aplica a los impulsos de radar de interrogación (cortos) de </w:t>
      </w:r>
      <w:r w:rsidRPr="00325F9C">
        <w:rPr>
          <w:lang w:val="es-ES"/>
        </w:rPr>
        <w:sym w:font="Symbol" w:char="F0A3"/>
      </w:r>
      <w:r w:rsidRPr="00325F9C">
        <w:rPr>
          <w:lang w:val="es-ES"/>
        </w:rPr>
        <w:t xml:space="preserve"> 100 </w:t>
      </w:r>
      <w:proofErr w:type="spellStart"/>
      <w:r w:rsidRPr="00325F9C">
        <w:rPr>
          <w:lang w:val="es-ES"/>
        </w:rPr>
        <w:t>ns</w:t>
      </w:r>
      <w:proofErr w:type="spellEnd"/>
      <w:r w:rsidRPr="00325F9C">
        <w:rPr>
          <w:lang w:val="es-ES"/>
        </w:rPr>
        <w:t>.</w:t>
      </w:r>
    </w:p>
    <w:p w:rsidR="00DA4AF8" w:rsidRPr="00325F9C" w:rsidRDefault="00DA4AF8" w:rsidP="003F2B68">
      <w:pPr>
        <w:pStyle w:val="Note"/>
        <w:ind w:left="720" w:hanging="720"/>
        <w:rPr>
          <w:lang w:val="es-ES"/>
        </w:rPr>
      </w:pPr>
      <w:r w:rsidRPr="00325F9C">
        <w:rPr>
          <w:lang w:val="es-ES"/>
        </w:rPr>
        <w:t>–</w:t>
      </w:r>
      <w:r w:rsidRPr="00325F9C">
        <w:rPr>
          <w:lang w:val="es-ES"/>
        </w:rPr>
        <w:tab/>
        <w:t xml:space="preserve">El receptor debe funcionar correctamente al estar expuesto al campo (28 dB(W/m2)) radiado por un radar a bordo de un barco que se ajusta a la Resolución </w:t>
      </w:r>
      <w:r w:rsidRPr="00325F9C">
        <w:rPr>
          <w:szCs w:val="22"/>
          <w:lang w:val="es-ES"/>
        </w:rPr>
        <w:t xml:space="preserve">MSC.192(79) </w:t>
      </w:r>
      <w:r w:rsidRPr="00325F9C">
        <w:rPr>
          <w:lang w:val="es-ES"/>
        </w:rPr>
        <w:t>de la OMI situado a cualquier distancia &gt; 20 m.</w:t>
      </w:r>
    </w:p>
    <w:p w:rsidR="00DA4AF8" w:rsidRDefault="00DA4AF8" w:rsidP="003F2B68">
      <w:pPr>
        <w:pStyle w:val="Note"/>
        <w:rPr>
          <w:lang w:val="es-ES"/>
        </w:rPr>
      </w:pPr>
      <w:r w:rsidRPr="00325F9C">
        <w:rPr>
          <w:lang w:val="es-ES"/>
        </w:rPr>
        <w:t>NOTA 2 – Esta altura efectiva de la antena es aplicable al equipo al que se refieren las Disposiciones III/6.2.2 y IV/7.1.3 de las modificaciones de 1988 del Convenio SOLAS de 1974.</w:t>
      </w:r>
    </w:p>
    <w:p w:rsidR="003F2B68" w:rsidRDefault="003F2B68" w:rsidP="003F2B68">
      <w:pPr>
        <w:pStyle w:val="Note"/>
        <w:rPr>
          <w:lang w:val="es-ES"/>
        </w:rPr>
      </w:pPr>
    </w:p>
    <w:p w:rsidR="003F2B68" w:rsidRPr="00325F9C" w:rsidRDefault="003F2B68" w:rsidP="003F2B68">
      <w:pPr>
        <w:pStyle w:val="Note"/>
        <w:rPr>
          <w:lang w:val="es-ES"/>
        </w:rPr>
      </w:pPr>
    </w:p>
    <w:p w:rsidR="00DA4AF8" w:rsidRDefault="003F2B68" w:rsidP="00672A53">
      <w:pPr>
        <w:pStyle w:val="AnnexNoTitle"/>
        <w:rPr>
          <w:lang w:val="es-ES"/>
        </w:rPr>
      </w:pPr>
      <w:r>
        <w:rPr>
          <w:lang w:val="es-ES"/>
        </w:rPr>
        <w:t xml:space="preserve">Anexo </w:t>
      </w:r>
      <w:r w:rsidR="00DA4AF8" w:rsidRPr="00325F9C">
        <w:rPr>
          <w:lang w:val="es-ES"/>
        </w:rPr>
        <w:t>2</w:t>
      </w:r>
    </w:p>
    <w:p w:rsidR="00672A53" w:rsidRPr="00672A53" w:rsidRDefault="00672A53" w:rsidP="001D38D0">
      <w:pPr>
        <w:pStyle w:val="Normalaftertitle"/>
        <w:rPr>
          <w:lang w:val="es-ES"/>
        </w:rPr>
      </w:pPr>
      <w:r w:rsidRPr="00325F9C">
        <w:rPr>
          <w:lang w:val="es-ES"/>
        </w:rPr>
        <w:t>La distancia de detección máxima de un</w:t>
      </w:r>
      <w:r w:rsidR="001D38D0">
        <w:rPr>
          <w:lang w:val="es-ES"/>
        </w:rPr>
        <w:t xml:space="preserve"> </w:t>
      </w:r>
      <w:r w:rsidRPr="00325F9C">
        <w:rPr>
          <w:lang w:val="es-ES"/>
        </w:rPr>
        <w:t xml:space="preserve">SART cuyas </w:t>
      </w:r>
      <w:proofErr w:type="spellStart"/>
      <w:r w:rsidRPr="00325F9C">
        <w:rPr>
          <w:lang w:val="es-ES"/>
        </w:rPr>
        <w:t>p.i.r.e</w:t>
      </w:r>
      <w:proofErr w:type="spellEnd"/>
      <w:r w:rsidRPr="00325F9C">
        <w:rPr>
          <w:lang w:val="es-ES"/>
        </w:rPr>
        <w:t>. y sensibilidad efectiva del receptor están dadas o medidas, cuando se utiliza con un radar que se ajusta a la Resolución </w:t>
      </w:r>
      <w:r w:rsidRPr="00325F9C">
        <w:rPr>
          <w:sz w:val="22"/>
          <w:szCs w:val="22"/>
          <w:lang w:val="es-ES"/>
        </w:rPr>
        <w:t>MSC.192(79)</w:t>
      </w:r>
      <w:r w:rsidRPr="00325F9C">
        <w:rPr>
          <w:lang w:val="es-ES"/>
        </w:rPr>
        <w:t xml:space="preserve"> de la OMI, puede evaluarse mediante la Fig. 1.</w:t>
      </w:r>
    </w:p>
    <w:p w:rsidR="00DA4AF8" w:rsidRPr="00325F9C" w:rsidRDefault="00DA4AF8" w:rsidP="00672A53">
      <w:pPr>
        <w:rPr>
          <w:lang w:val="es-ES"/>
        </w:rPr>
      </w:pPr>
      <w:r w:rsidRPr="00325F9C">
        <w:rPr>
          <w:lang w:val="es-ES"/>
        </w:rPr>
        <w:t>Los parámetros esenciales del radar son:</w:t>
      </w:r>
    </w:p>
    <w:p w:rsidR="00DA4AF8" w:rsidRPr="00325F9C" w:rsidRDefault="00DA4AF8" w:rsidP="00672A53">
      <w:pPr>
        <w:pStyle w:val="enumlev1"/>
        <w:rPr>
          <w:lang w:val="es-ES"/>
        </w:rPr>
      </w:pPr>
      <w:r w:rsidRPr="00325F9C">
        <w:rPr>
          <w:lang w:val="es-ES"/>
        </w:rPr>
        <w:t>–</w:t>
      </w:r>
      <w:r w:rsidRPr="00325F9C">
        <w:rPr>
          <w:lang w:val="es-ES"/>
        </w:rPr>
        <w:tab/>
        <w:t>potencia del transmisor: 25 kW,</w:t>
      </w:r>
    </w:p>
    <w:p w:rsidR="00DA4AF8" w:rsidRPr="00325F9C" w:rsidRDefault="00DA4AF8" w:rsidP="00672A53">
      <w:pPr>
        <w:pStyle w:val="enumlev1"/>
        <w:rPr>
          <w:lang w:val="es-ES"/>
        </w:rPr>
      </w:pPr>
      <w:r w:rsidRPr="00325F9C">
        <w:rPr>
          <w:lang w:val="es-ES"/>
        </w:rPr>
        <w:t>–</w:t>
      </w:r>
      <w:r w:rsidRPr="00325F9C">
        <w:rPr>
          <w:lang w:val="es-ES"/>
        </w:rPr>
        <w:tab/>
        <w:t>ganancia de antena: 30 </w:t>
      </w:r>
      <w:proofErr w:type="spellStart"/>
      <w:r w:rsidRPr="00325F9C">
        <w:rPr>
          <w:lang w:val="es-ES"/>
        </w:rPr>
        <w:t>dBi</w:t>
      </w:r>
      <w:proofErr w:type="spellEnd"/>
      <w:r w:rsidRPr="00325F9C">
        <w:rPr>
          <w:lang w:val="es-ES"/>
        </w:rPr>
        <w:t>,</w:t>
      </w:r>
    </w:p>
    <w:p w:rsidR="00DA4AF8" w:rsidRPr="00325F9C" w:rsidRDefault="00DA4AF8" w:rsidP="00672A53">
      <w:pPr>
        <w:pStyle w:val="enumlev1"/>
        <w:rPr>
          <w:lang w:val="es-ES"/>
        </w:rPr>
      </w:pPr>
      <w:r w:rsidRPr="00325F9C">
        <w:rPr>
          <w:lang w:val="es-ES"/>
        </w:rPr>
        <w:t>–</w:t>
      </w:r>
      <w:r w:rsidRPr="00325F9C">
        <w:rPr>
          <w:lang w:val="es-ES"/>
        </w:rPr>
        <w:tab/>
        <w:t>altura de la antena: 15 m,</w:t>
      </w:r>
    </w:p>
    <w:p w:rsidR="00DA4AF8" w:rsidRPr="00325F9C" w:rsidRDefault="00DA4AF8" w:rsidP="00672A53">
      <w:pPr>
        <w:pStyle w:val="enumlev1"/>
        <w:rPr>
          <w:lang w:val="es-ES"/>
        </w:rPr>
      </w:pPr>
      <w:r w:rsidRPr="00325F9C">
        <w:rPr>
          <w:lang w:val="es-ES"/>
        </w:rPr>
        <w:t>–</w:t>
      </w:r>
      <w:r w:rsidRPr="00325F9C">
        <w:rPr>
          <w:lang w:val="es-ES"/>
        </w:rPr>
        <w:tab/>
        <w:t>sensibilidad del receptor: –94 </w:t>
      </w:r>
      <w:proofErr w:type="spellStart"/>
      <w:r w:rsidRPr="00325F9C">
        <w:rPr>
          <w:lang w:val="es-ES"/>
        </w:rPr>
        <w:t>dBm</w:t>
      </w:r>
      <w:proofErr w:type="spellEnd"/>
      <w:r w:rsidRPr="00325F9C">
        <w:rPr>
          <w:lang w:val="es-ES"/>
        </w:rPr>
        <w:t>.</w:t>
      </w:r>
    </w:p>
    <w:p w:rsidR="00DA4AF8" w:rsidRPr="00325F9C" w:rsidRDefault="00DA4AF8" w:rsidP="001D38D0">
      <w:pPr>
        <w:rPr>
          <w:lang w:val="es-ES"/>
        </w:rPr>
      </w:pPr>
      <w:r w:rsidRPr="00325F9C">
        <w:rPr>
          <w:lang w:val="es-ES"/>
        </w:rPr>
        <w:t>En la Fig. 1 se muestran las curvas de propagación de dispositivos SART de una altura de 0,5 m, 1 m y 1,5</w:t>
      </w:r>
      <w:r w:rsidR="001D38D0">
        <w:rPr>
          <w:lang w:val="es-ES"/>
        </w:rPr>
        <w:t> </w:t>
      </w:r>
      <w:r w:rsidRPr="00325F9C">
        <w:rPr>
          <w:lang w:val="es-ES"/>
        </w:rPr>
        <w:t>m en un mar bastante calmado (altura de las olas: 0,3 m). En aguas más agitadas, el coeficiente de reflexión del mar se reduce y las curvas de propagación se desplazan hacia atrás en dirección de la línea del espacio libre según la refracción atmosférica. Para un SART de una altura de 1</w:t>
      </w:r>
      <w:r w:rsidR="001D38D0">
        <w:rPr>
          <w:lang w:val="es-ES"/>
        </w:rPr>
        <w:t> </w:t>
      </w:r>
      <w:r w:rsidRPr="00325F9C">
        <w:rPr>
          <w:lang w:val="es-ES"/>
        </w:rPr>
        <w:t>m, la distancia de detección máxima e</w:t>
      </w:r>
      <w:r w:rsidR="001D38D0">
        <w:rPr>
          <w:lang w:val="es-ES"/>
        </w:rPr>
        <w:t xml:space="preserve">s de al menos 5 millas náuticas </w:t>
      </w:r>
      <w:r w:rsidRPr="00325F9C">
        <w:rPr>
          <w:lang w:val="es-ES"/>
        </w:rPr>
        <w:t>(MN).</w:t>
      </w:r>
    </w:p>
    <w:p w:rsidR="00DA4AF8" w:rsidRPr="00325F9C" w:rsidRDefault="00DA4AF8" w:rsidP="00DA4AF8">
      <w:pPr>
        <w:rPr>
          <w:lang w:val="es-ES"/>
        </w:rPr>
      </w:pPr>
      <w:r w:rsidRPr="00325F9C">
        <w:rPr>
          <w:lang w:val="es-ES"/>
        </w:rPr>
        <w:t>La Fig. 1 se utilizará así:</w:t>
      </w:r>
    </w:p>
    <w:p w:rsidR="00DA4AF8" w:rsidRPr="00325F9C" w:rsidRDefault="00DA4AF8" w:rsidP="00672A53">
      <w:pPr>
        <w:pStyle w:val="enumlev1"/>
        <w:rPr>
          <w:lang w:val="es-ES"/>
        </w:rPr>
      </w:pPr>
      <w:r w:rsidRPr="00325F9C">
        <w:rPr>
          <w:lang w:val="es-ES"/>
        </w:rPr>
        <w:t>–</w:t>
      </w:r>
      <w:r w:rsidRPr="00325F9C">
        <w:rPr>
          <w:lang w:val="es-ES"/>
        </w:rPr>
        <w:tab/>
        <w:t>se calcula la potencia recibida del radar (</w:t>
      </w:r>
      <w:r w:rsidRPr="00325F9C">
        <w:rPr>
          <w:i/>
          <w:lang w:val="es-ES"/>
        </w:rPr>
        <w:t>P</w:t>
      </w:r>
      <w:r w:rsidRPr="00325F9C">
        <w:rPr>
          <w:i/>
          <w:position w:val="-4"/>
          <w:sz w:val="16"/>
          <w:lang w:val="es-ES"/>
        </w:rPr>
        <w:t>r</w:t>
      </w:r>
      <w:r w:rsidRPr="00325F9C">
        <w:rPr>
          <w:lang w:val="es-ES"/>
        </w:rPr>
        <w:t xml:space="preserve">) a la distancia de 1 </w:t>
      </w:r>
      <w:proofErr w:type="spellStart"/>
      <w:r w:rsidRPr="00325F9C">
        <w:rPr>
          <w:lang w:val="es-ES"/>
        </w:rPr>
        <w:t>mn</w:t>
      </w:r>
      <w:proofErr w:type="spellEnd"/>
      <w:r w:rsidRPr="00325F9C">
        <w:rPr>
          <w:lang w:val="es-ES"/>
        </w:rPr>
        <w:t xml:space="preserve"> mediante la fórmula:</w:t>
      </w:r>
    </w:p>
    <w:p w:rsidR="00672A53" w:rsidRDefault="00DA4AF8" w:rsidP="001D38D0">
      <w:pPr>
        <w:pStyle w:val="Equation"/>
        <w:jc w:val="center"/>
        <w:rPr>
          <w:position w:val="6"/>
          <w:sz w:val="18"/>
          <w:lang w:val="es-ES"/>
        </w:rPr>
      </w:pPr>
      <w:r w:rsidRPr="00325F9C">
        <w:rPr>
          <w:i/>
          <w:lang w:val="es-ES"/>
        </w:rPr>
        <w:t>P</w:t>
      </w:r>
      <w:r w:rsidRPr="001D38D0">
        <w:rPr>
          <w:i/>
          <w:iCs/>
          <w:vertAlign w:val="subscript"/>
        </w:rPr>
        <w:t>r</w:t>
      </w:r>
      <w:r w:rsidRPr="001D38D0">
        <w:rPr>
          <w:lang w:val="es-ES_tradnl"/>
        </w:rPr>
        <w:t xml:space="preserve"> </w:t>
      </w:r>
      <w:r w:rsidR="001D38D0" w:rsidRPr="001D38D0">
        <w:rPr>
          <w:lang w:val="es-ES_tradnl"/>
        </w:rPr>
        <w:t>=</w:t>
      </w:r>
      <w:r w:rsidRPr="00325F9C">
        <w:rPr>
          <w:lang w:val="es-ES"/>
        </w:rPr>
        <w:t xml:space="preserve"> </w:t>
      </w:r>
      <w:proofErr w:type="spellStart"/>
      <w:r w:rsidRPr="00325F9C">
        <w:rPr>
          <w:lang w:val="es-ES"/>
        </w:rPr>
        <w:t>p.i.r.e</w:t>
      </w:r>
      <w:proofErr w:type="spellEnd"/>
      <w:r w:rsidRPr="00325F9C">
        <w:rPr>
          <w:lang w:val="es-ES"/>
        </w:rPr>
        <w:t xml:space="preserve">. del SART </w:t>
      </w:r>
      <w:r w:rsidR="001D38D0" w:rsidRPr="001D38D0">
        <w:rPr>
          <w:lang w:val="es-ES_tradnl"/>
        </w:rPr>
        <w:t>×</w:t>
      </w:r>
      <w:r w:rsidRPr="00325F9C">
        <w:rPr>
          <w:lang w:val="es-ES"/>
        </w:rPr>
        <w:t xml:space="preserve"> ganancia de la antena del radar </w:t>
      </w:r>
      <w:r w:rsidR="001D38D0">
        <w:rPr>
          <w:lang w:val="es-ES"/>
        </w:rPr>
        <w:t>×</w:t>
      </w:r>
      <w:r w:rsidRPr="00325F9C">
        <w:rPr>
          <w:lang w:val="es-ES"/>
        </w:rPr>
        <w:t xml:space="preserve"> (</w:t>
      </w:r>
      <w:r w:rsidR="001D38D0">
        <w:rPr>
          <w:lang w:val="es-ES"/>
        </w:rPr>
        <w:sym w:font="Symbol" w:char="F06C"/>
      </w:r>
      <w:r w:rsidRPr="00325F9C">
        <w:rPr>
          <w:lang w:val="es-ES"/>
        </w:rPr>
        <w:t xml:space="preserve">/4 </w:t>
      </w:r>
      <w:r w:rsidR="001D38D0">
        <w:rPr>
          <w:lang w:val="es-ES"/>
        </w:rPr>
        <w:sym w:font="Symbol" w:char="F070"/>
      </w:r>
      <w:r w:rsidRPr="00325F9C">
        <w:rPr>
          <w:lang w:val="es-ES"/>
        </w:rPr>
        <w:t xml:space="preserve"> </w:t>
      </w:r>
      <w:r w:rsidRPr="00325F9C">
        <w:rPr>
          <w:i/>
          <w:lang w:val="es-ES"/>
        </w:rPr>
        <w:t>R</w:t>
      </w:r>
      <w:r w:rsidRPr="00325F9C">
        <w:rPr>
          <w:lang w:val="es-ES"/>
        </w:rPr>
        <w:t>)</w:t>
      </w:r>
      <w:r w:rsidRPr="00325F9C">
        <w:rPr>
          <w:position w:val="6"/>
          <w:sz w:val="16"/>
          <w:lang w:val="es-ES"/>
        </w:rPr>
        <w:t>2</w:t>
      </w:r>
    </w:p>
    <w:p w:rsidR="00DA4AF8" w:rsidRPr="00325F9C" w:rsidRDefault="00672A53" w:rsidP="001D38D0">
      <w:pPr>
        <w:pStyle w:val="enumlev1"/>
        <w:rPr>
          <w:lang w:val="es-ES"/>
        </w:rPr>
      </w:pPr>
      <w:r>
        <w:rPr>
          <w:lang w:val="es-ES"/>
        </w:rPr>
        <w:tab/>
      </w:r>
      <w:r w:rsidR="00DA4AF8" w:rsidRPr="00325F9C">
        <w:rPr>
          <w:lang w:val="es-ES"/>
        </w:rPr>
        <w:t>siendo</w:t>
      </w:r>
      <w:r>
        <w:rPr>
          <w:lang w:val="es-ES"/>
        </w:rPr>
        <w:t xml:space="preserve"> </w:t>
      </w:r>
      <w:r w:rsidR="00DA4AF8" w:rsidRPr="00325F9C">
        <w:rPr>
          <w:lang w:val="es-ES"/>
        </w:rPr>
        <w:t xml:space="preserve"> </w:t>
      </w:r>
      <w:r w:rsidR="00DA4AF8" w:rsidRPr="00325F9C">
        <w:rPr>
          <w:i/>
          <w:lang w:val="es-ES"/>
        </w:rPr>
        <w:t>P</w:t>
      </w:r>
      <w:r w:rsidR="00DA4AF8" w:rsidRPr="001D38D0">
        <w:rPr>
          <w:i/>
          <w:iCs/>
          <w:vertAlign w:val="subscript"/>
        </w:rPr>
        <w:t>r</w:t>
      </w:r>
      <w:r w:rsidR="00DA4AF8" w:rsidRPr="001D38D0">
        <w:t xml:space="preserve"> </w:t>
      </w:r>
      <w:r w:rsidR="00DA4AF8" w:rsidRPr="00325F9C">
        <w:rPr>
          <w:lang w:val="es-ES"/>
        </w:rPr>
        <w:t>(</w:t>
      </w:r>
      <w:proofErr w:type="spellStart"/>
      <w:r w:rsidR="00DA4AF8" w:rsidRPr="00325F9C">
        <w:rPr>
          <w:lang w:val="es-ES"/>
        </w:rPr>
        <w:t>dBm</w:t>
      </w:r>
      <w:proofErr w:type="spellEnd"/>
      <w:r w:rsidR="00DA4AF8" w:rsidRPr="00325F9C">
        <w:rPr>
          <w:lang w:val="es-ES"/>
        </w:rPr>
        <w:t xml:space="preserve">)  </w:t>
      </w:r>
      <w:r w:rsidR="001D38D0">
        <w:rPr>
          <w:lang w:val="es-ES"/>
        </w:rPr>
        <w:t>=</w:t>
      </w:r>
      <w:r w:rsidR="00DA4AF8" w:rsidRPr="00325F9C">
        <w:rPr>
          <w:lang w:val="es-ES"/>
        </w:rPr>
        <w:t xml:space="preserve">  </w:t>
      </w:r>
      <w:proofErr w:type="spellStart"/>
      <w:r w:rsidR="00DA4AF8" w:rsidRPr="00325F9C">
        <w:rPr>
          <w:lang w:val="es-ES"/>
        </w:rPr>
        <w:t>p.i.r.e</w:t>
      </w:r>
      <w:proofErr w:type="spellEnd"/>
      <w:r w:rsidR="00DA4AF8" w:rsidRPr="00325F9C">
        <w:rPr>
          <w:lang w:val="es-ES"/>
        </w:rPr>
        <w:t>. SART (</w:t>
      </w:r>
      <w:proofErr w:type="spellStart"/>
      <w:r w:rsidR="00DA4AF8" w:rsidRPr="00325F9C">
        <w:rPr>
          <w:lang w:val="es-ES"/>
        </w:rPr>
        <w:t>dBm</w:t>
      </w:r>
      <w:proofErr w:type="spellEnd"/>
      <w:r w:rsidR="00DA4AF8" w:rsidRPr="00325F9C">
        <w:rPr>
          <w:lang w:val="es-ES"/>
        </w:rPr>
        <w:t>) – 87 dB.</w:t>
      </w:r>
    </w:p>
    <w:p w:rsidR="00DA4AF8" w:rsidRPr="00325F9C" w:rsidRDefault="00DA4AF8" w:rsidP="001D38D0">
      <w:pPr>
        <w:pStyle w:val="enumlev1"/>
        <w:rPr>
          <w:lang w:val="es-ES"/>
        </w:rPr>
      </w:pPr>
      <w:r w:rsidRPr="00325F9C">
        <w:rPr>
          <w:lang w:val="es-ES"/>
        </w:rPr>
        <w:t>–</w:t>
      </w:r>
      <w:r w:rsidRPr="00325F9C">
        <w:rPr>
          <w:lang w:val="es-ES"/>
        </w:rPr>
        <w:tab/>
        <w:t>se pone la</w:t>
      </w:r>
      <w:r w:rsidR="001D38D0">
        <w:rPr>
          <w:lang w:val="es-ES"/>
        </w:rPr>
        <w:t xml:space="preserve"> </w:t>
      </w:r>
      <w:r w:rsidRPr="00325F9C">
        <w:rPr>
          <w:i/>
          <w:lang w:val="es-ES"/>
        </w:rPr>
        <w:t>P</w:t>
      </w:r>
      <w:r w:rsidR="001D38D0" w:rsidRPr="001D38D0">
        <w:rPr>
          <w:i/>
          <w:iCs/>
          <w:vertAlign w:val="subscript"/>
          <w:lang w:val="es-ES_tradnl"/>
        </w:rPr>
        <w:t>r</w:t>
      </w:r>
      <w:r w:rsidRPr="00325F9C">
        <w:rPr>
          <w:lang w:val="es-ES"/>
        </w:rPr>
        <w:t xml:space="preserve"> calculada en el punto A de la escala de potencia recibida del radar, y se completa la escala (10 dB por división);</w:t>
      </w:r>
    </w:p>
    <w:p w:rsidR="00DA4AF8" w:rsidRPr="00325F9C" w:rsidRDefault="00DA4AF8" w:rsidP="00672A53">
      <w:pPr>
        <w:pStyle w:val="enumlev1"/>
        <w:rPr>
          <w:lang w:val="es-ES"/>
        </w:rPr>
      </w:pPr>
      <w:r w:rsidRPr="00325F9C">
        <w:rPr>
          <w:lang w:val="es-ES"/>
        </w:rPr>
        <w:t>–</w:t>
      </w:r>
      <w:r w:rsidRPr="00325F9C">
        <w:rPr>
          <w:lang w:val="es-ES"/>
        </w:rPr>
        <w:tab/>
        <w:t xml:space="preserve">se pone la sensibilidad efectiva del receptor (ERS, </w:t>
      </w:r>
      <w:proofErr w:type="spellStart"/>
      <w:r w:rsidRPr="00325F9C">
        <w:rPr>
          <w:i/>
          <w:lang w:val="es-ES"/>
        </w:rPr>
        <w:t>effective</w:t>
      </w:r>
      <w:proofErr w:type="spellEnd"/>
      <w:r w:rsidRPr="00325F9C">
        <w:rPr>
          <w:i/>
          <w:lang w:val="es-ES"/>
        </w:rPr>
        <w:t xml:space="preserve"> receiver </w:t>
      </w:r>
      <w:proofErr w:type="spellStart"/>
      <w:r w:rsidRPr="00325F9C">
        <w:rPr>
          <w:i/>
          <w:lang w:val="es-ES"/>
        </w:rPr>
        <w:t>sensitivity</w:t>
      </w:r>
      <w:proofErr w:type="spellEnd"/>
      <w:r w:rsidRPr="00325F9C">
        <w:rPr>
          <w:lang w:val="es-ES"/>
        </w:rPr>
        <w:t>) en la escala de potencia recibida del transpondedor, y se lee la intersección con la curva de propagación correspondiente a ese nivel para obtener la distancia de detección máxima entre el radar y el SART;</w:t>
      </w:r>
    </w:p>
    <w:p w:rsidR="00DA4AF8" w:rsidRDefault="00672A53" w:rsidP="00672A53">
      <w:pPr>
        <w:pStyle w:val="enumlev1"/>
        <w:rPr>
          <w:lang w:val="es-ES"/>
        </w:rPr>
      </w:pPr>
      <w:r>
        <w:rPr>
          <w:lang w:val="es-ES"/>
        </w:rPr>
        <w:t>–</w:t>
      </w:r>
      <w:r>
        <w:rPr>
          <w:lang w:val="es-ES"/>
        </w:rPr>
        <w:tab/>
        <w:t xml:space="preserve">se toma el nivel de </w:t>
      </w:r>
      <w:r w:rsidR="00DA4AF8" w:rsidRPr="00325F9C">
        <w:rPr>
          <w:lang w:val="es-ES"/>
        </w:rPr>
        <w:t>–94 </w:t>
      </w:r>
      <w:proofErr w:type="spellStart"/>
      <w:r w:rsidR="00DA4AF8" w:rsidRPr="00325F9C">
        <w:rPr>
          <w:lang w:val="es-ES"/>
        </w:rPr>
        <w:t>dBm</w:t>
      </w:r>
      <w:proofErr w:type="spellEnd"/>
      <w:r w:rsidR="00DA4AF8" w:rsidRPr="00325F9C">
        <w:rPr>
          <w:lang w:val="es-ES"/>
        </w:rPr>
        <w:t xml:space="preserve"> de la escala de potencia recibida del radar, y se lee en el punto de intersección con la curva de propagación adecuada en ese nivel para obtener la distancia de detección máxima entre el SART y el radar.</w:t>
      </w:r>
    </w:p>
    <w:p w:rsidR="00C5400F" w:rsidRPr="00325F9C" w:rsidRDefault="00C5400F" w:rsidP="00C5400F">
      <w:pPr>
        <w:rPr>
          <w:lang w:val="es-ES"/>
        </w:rPr>
      </w:pPr>
      <w:r w:rsidRPr="00325F9C">
        <w:rPr>
          <w:lang w:val="es-ES"/>
        </w:rPr>
        <w:t>El valor más pequeño de distancia de detección máxima así obtenido es la evaluación requerida de la distancia de detección máxima del SART, que deberá ser de al menos 5 MN, como lo exige la Resolución A.802(19) de la OMI.</w:t>
      </w:r>
    </w:p>
    <w:p w:rsidR="006634BC" w:rsidRPr="00C5400F" w:rsidRDefault="006634BC" w:rsidP="006634BC">
      <w:pPr>
        <w:pStyle w:val="Blanc"/>
        <w:rPr>
          <w:lang w:val="es-ES_tradnl"/>
        </w:rPr>
      </w:pPr>
    </w:p>
    <w:p w:rsidR="00DA4AF8" w:rsidRPr="00325F9C" w:rsidRDefault="00336F6E" w:rsidP="00336F6E">
      <w:pPr>
        <w:pStyle w:val="Figure"/>
        <w:rPr>
          <w:lang w:val="es-ES"/>
        </w:rPr>
      </w:pPr>
      <w:r w:rsidRPr="00325F9C">
        <w:rPr>
          <w:lang w:val="es-ES"/>
        </w:rPr>
        <w:object w:dxaOrig="5305" w:dyaOrig="6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pt;height:586.35pt" o:ole="">
            <v:imagedata r:id="rId14" o:title=""/>
          </v:shape>
          <o:OLEObject Type="Embed" ProgID="CorelDraw.Graphic.16" ShapeID="_x0000_i1025" DrawAspect="Content" ObjectID="_1495961345" r:id="rId15"/>
        </w:object>
      </w:r>
    </w:p>
    <w:p w:rsidR="00DA4AF8" w:rsidRPr="00325F9C" w:rsidRDefault="00DA4AF8" w:rsidP="00DA4AF8">
      <w:pPr>
        <w:rPr>
          <w:lang w:val="es-ES"/>
        </w:rPr>
      </w:pPr>
    </w:p>
    <w:p w:rsidR="00DA4AF8" w:rsidRPr="00325F9C" w:rsidRDefault="00DA4AF8" w:rsidP="00BD676D">
      <w:pPr>
        <w:pStyle w:val="AnnexNoTitle"/>
        <w:rPr>
          <w:lang w:val="es-ES"/>
        </w:rPr>
      </w:pPr>
      <w:r w:rsidRPr="00325F9C">
        <w:rPr>
          <w:lang w:val="es-ES"/>
        </w:rPr>
        <w:lastRenderedPageBreak/>
        <w:t>Anexo  3</w:t>
      </w:r>
      <w:r w:rsidRPr="00325F9C">
        <w:rPr>
          <w:lang w:val="es-ES"/>
        </w:rPr>
        <w:br/>
      </w:r>
      <w:r w:rsidRPr="00325F9C">
        <w:rPr>
          <w:lang w:val="es-ES"/>
        </w:rPr>
        <w:br/>
        <w:t>Efectos de la altura de la antena y de la obstrucción del trayecto de la señal</w:t>
      </w:r>
      <w:r w:rsidR="00556EE1">
        <w:rPr>
          <w:lang w:val="es-ES"/>
        </w:rPr>
        <w:br/>
      </w:r>
      <w:r w:rsidRPr="00325F9C">
        <w:rPr>
          <w:lang w:val="es-ES"/>
        </w:rPr>
        <w:t>ocasionada por una embarcación de salvamento y sus ocupantes</w:t>
      </w:r>
      <w:r w:rsidRPr="00325F9C">
        <w:rPr>
          <w:lang w:val="es-ES"/>
        </w:rPr>
        <w:br/>
        <w:t>en la distancia de detección del SART</w:t>
      </w:r>
    </w:p>
    <w:p w:rsidR="00DA4AF8" w:rsidRPr="00325F9C" w:rsidRDefault="00DA4AF8" w:rsidP="00BD676D">
      <w:pPr>
        <w:pStyle w:val="Heading1"/>
        <w:rPr>
          <w:lang w:val="es-ES"/>
        </w:rPr>
      </w:pPr>
      <w:r w:rsidRPr="00325F9C">
        <w:rPr>
          <w:lang w:val="es-ES"/>
        </w:rPr>
        <w:t>1</w:t>
      </w:r>
      <w:r w:rsidRPr="00325F9C">
        <w:rPr>
          <w:lang w:val="es-ES"/>
        </w:rPr>
        <w:tab/>
        <w:t>Introducción</w:t>
      </w:r>
    </w:p>
    <w:p w:rsidR="00DA4AF8" w:rsidRPr="00325F9C" w:rsidRDefault="00DA4AF8" w:rsidP="00DA4AF8">
      <w:pPr>
        <w:rPr>
          <w:lang w:val="es-ES"/>
        </w:rPr>
      </w:pPr>
      <w:r w:rsidRPr="00325F9C">
        <w:rPr>
          <w:lang w:val="es-ES"/>
        </w:rPr>
        <w:t>En este Anexo se analizan los efectos sobre el trayecto de propagación de las señales SART, teniendo en cuenta la altura de la antena del SART por encima de la superficie del mar, y también la atenuación causada por los materiales de la embarcación de salvamento y sus ocupantes.</w:t>
      </w:r>
    </w:p>
    <w:p w:rsidR="00DA4AF8" w:rsidRPr="00325F9C" w:rsidRDefault="00DA4AF8" w:rsidP="00BD676D">
      <w:pPr>
        <w:pStyle w:val="Heading1"/>
        <w:rPr>
          <w:lang w:val="es-ES"/>
        </w:rPr>
      </w:pPr>
      <w:r w:rsidRPr="00325F9C">
        <w:rPr>
          <w:lang w:val="es-ES"/>
        </w:rPr>
        <w:t>2</w:t>
      </w:r>
      <w:r w:rsidRPr="00325F9C">
        <w:rPr>
          <w:lang w:val="es-ES"/>
        </w:rPr>
        <w:tab/>
        <w:t>Efecto de la altura de la antena SART sobre la distancia de detección</w:t>
      </w:r>
    </w:p>
    <w:p w:rsidR="00DA4AF8" w:rsidRPr="00325F9C" w:rsidRDefault="00DA4AF8" w:rsidP="00DA4AF8">
      <w:pPr>
        <w:rPr>
          <w:lang w:val="es-ES"/>
        </w:rPr>
      </w:pPr>
      <w:r w:rsidRPr="00325F9C">
        <w:rPr>
          <w:lang w:val="es-ES"/>
        </w:rPr>
        <w:t>Esta Recomendación exige que la altura de la antena SART instalada sea de al menos 1 m por encima de la superficie del mar, para obtener la distancia de detección de 5 millas náuticas (MN) exigida por la Resolución A.802(19) de la OMI. Las pruebas prácticas han confirmado este requisito. Las pruebas efectuadas con una muestra de seis SART de fabricantes diferentes arrojaron distancias de detección entre 8,2 MN y 9,2 MN con una altura de antena de 1 m.</w:t>
      </w:r>
    </w:p>
    <w:p w:rsidR="00DA4AF8" w:rsidRPr="00325F9C" w:rsidRDefault="00DA4AF8" w:rsidP="00DA4AF8">
      <w:pPr>
        <w:rPr>
          <w:lang w:val="es-ES"/>
        </w:rPr>
      </w:pPr>
      <w:r w:rsidRPr="00325F9C">
        <w:rPr>
          <w:b/>
          <w:lang w:val="es-ES"/>
        </w:rPr>
        <w:t>2.1</w:t>
      </w:r>
      <w:r w:rsidRPr="00325F9C">
        <w:rPr>
          <w:lang w:val="es-ES"/>
        </w:rPr>
        <w:tab/>
        <w:t>Las pruebas también han demostrado la importancia de mantener la altura de la antena SART en 1 m al menos. Los resultados siguientes se obtuvieron con un SART en una embarcación de salvamento:</w:t>
      </w:r>
    </w:p>
    <w:p w:rsidR="00DA4AF8" w:rsidRPr="00325F9C" w:rsidRDefault="00DA4AF8" w:rsidP="00BD676D">
      <w:pPr>
        <w:pStyle w:val="enumlev1"/>
        <w:rPr>
          <w:lang w:val="es-ES"/>
        </w:rPr>
      </w:pPr>
      <w:r w:rsidRPr="00325F9C">
        <w:rPr>
          <w:lang w:val="es-ES"/>
        </w:rPr>
        <w:t>–</w:t>
      </w:r>
      <w:r w:rsidRPr="00325F9C">
        <w:rPr>
          <w:lang w:val="es-ES"/>
        </w:rPr>
        <w:tab/>
        <w:t>SART en horizontal sobre el piso:</w:t>
      </w:r>
      <w:r w:rsidRPr="00325F9C">
        <w:rPr>
          <w:lang w:val="es-ES"/>
        </w:rPr>
        <w:tab/>
        <w:t>distancia 1,8 MN</w:t>
      </w:r>
    </w:p>
    <w:p w:rsidR="00DA4AF8" w:rsidRPr="00325F9C" w:rsidRDefault="00DA4AF8" w:rsidP="00BD676D">
      <w:pPr>
        <w:pStyle w:val="enumlev1"/>
        <w:rPr>
          <w:lang w:val="es-ES"/>
        </w:rPr>
      </w:pPr>
      <w:r w:rsidRPr="00325F9C">
        <w:rPr>
          <w:lang w:val="es-ES"/>
        </w:rPr>
        <w:t>–</w:t>
      </w:r>
      <w:r w:rsidRPr="00325F9C">
        <w:rPr>
          <w:lang w:val="es-ES"/>
        </w:rPr>
        <w:tab/>
        <w:t>SART en vertical sobre el piso:</w:t>
      </w:r>
      <w:r w:rsidRPr="00325F9C">
        <w:rPr>
          <w:lang w:val="es-ES"/>
        </w:rPr>
        <w:tab/>
        <w:t>distancia 2,5 MN</w:t>
      </w:r>
    </w:p>
    <w:p w:rsidR="00DA4AF8" w:rsidRPr="00325F9C" w:rsidRDefault="00DA4AF8" w:rsidP="00BD676D">
      <w:pPr>
        <w:pStyle w:val="enumlev1"/>
        <w:rPr>
          <w:lang w:val="es-ES"/>
        </w:rPr>
      </w:pPr>
      <w:r w:rsidRPr="00325F9C">
        <w:rPr>
          <w:lang w:val="es-ES"/>
        </w:rPr>
        <w:t>–</w:t>
      </w:r>
      <w:r w:rsidRPr="00325F9C">
        <w:rPr>
          <w:lang w:val="es-ES"/>
        </w:rPr>
        <w:tab/>
        <w:t>SART flotando en el agua:</w:t>
      </w:r>
      <w:r w:rsidRPr="00325F9C">
        <w:rPr>
          <w:lang w:val="es-ES"/>
        </w:rPr>
        <w:tab/>
      </w:r>
      <w:r w:rsidRPr="00325F9C">
        <w:rPr>
          <w:lang w:val="es-ES"/>
        </w:rPr>
        <w:tab/>
        <w:t>distancia 2,0 MN</w:t>
      </w:r>
    </w:p>
    <w:p w:rsidR="00DA4AF8" w:rsidRPr="00325F9C" w:rsidRDefault="00DA4AF8" w:rsidP="00BD676D">
      <w:pPr>
        <w:pStyle w:val="Heading1"/>
        <w:rPr>
          <w:lang w:val="es-ES"/>
        </w:rPr>
      </w:pPr>
      <w:r w:rsidRPr="00325F9C">
        <w:rPr>
          <w:lang w:val="es-ES"/>
        </w:rPr>
        <w:t>3</w:t>
      </w:r>
      <w:r w:rsidRPr="00325F9C">
        <w:rPr>
          <w:lang w:val="es-ES"/>
        </w:rPr>
        <w:tab/>
        <w:t>Efectos de la embarcación de salvamento sobre la señal SART</w:t>
      </w:r>
    </w:p>
    <w:p w:rsidR="00DA4AF8" w:rsidRPr="00325F9C" w:rsidRDefault="00DA4AF8" w:rsidP="00DA4AF8">
      <w:pPr>
        <w:rPr>
          <w:lang w:val="es-ES"/>
        </w:rPr>
      </w:pPr>
      <w:r w:rsidRPr="00325F9C">
        <w:rPr>
          <w:lang w:val="es-ES"/>
        </w:rPr>
        <w:t>Se han realizado pruebas con un SART instalado en una embarcación de salvamento con una antena de 1 m de altura, para determinar si el cuerpo de la embarcación y sus ocupantes pueden causar una obstrucción.</w:t>
      </w:r>
    </w:p>
    <w:p w:rsidR="00DA4AF8" w:rsidRPr="00325F9C" w:rsidRDefault="00DA4AF8" w:rsidP="00DA4AF8">
      <w:pPr>
        <w:rPr>
          <w:lang w:val="es-ES"/>
        </w:rPr>
      </w:pPr>
      <w:r w:rsidRPr="00325F9C">
        <w:rPr>
          <w:b/>
          <w:lang w:val="es-ES"/>
        </w:rPr>
        <w:t>3.1</w:t>
      </w:r>
      <w:r w:rsidRPr="00325F9C">
        <w:rPr>
          <w:lang w:val="es-ES"/>
        </w:rPr>
        <w:tab/>
        <w:t>En las Figs. 2-4 se ofrecen los resultados de esas pruebas, efectuadas con dos modelos diferentes de bote salvavidas SOLAS para ocho hombres. En cada caso, se colocó el SART en el centro de un dispositivo de rotación en un emplazamiento a campo abierto, excitándole con una señal de radar de impulsos. Cada serie de mediciones se realizó con y sin el bote y los «náufragos» presentes, manteniendo el SART en el centro del dispositivo de rotación.</w:t>
      </w:r>
    </w:p>
    <w:p w:rsidR="00DA4AF8" w:rsidRDefault="00DA4AF8" w:rsidP="00DA4AF8">
      <w:pPr>
        <w:rPr>
          <w:lang w:val="es-ES"/>
        </w:rPr>
      </w:pPr>
      <w:r w:rsidRPr="00325F9C">
        <w:rPr>
          <w:b/>
          <w:lang w:val="es-ES"/>
        </w:rPr>
        <w:t>3.2</w:t>
      </w:r>
      <w:r w:rsidRPr="00325F9C">
        <w:rPr>
          <w:lang w:val="es-ES"/>
        </w:rPr>
        <w:tab/>
        <w:t>La Fig. 2 muestra los resultados obtenidos con un SART instalado en un soporte telescópico adaptado a la antena de la balsa. En este caso, la antena SART estaba al nivel de la barra de soporte del toldo del bote. Uno de los botes tuvo pocas repercusiones en la señal SART, mientras que el otro (que tenía fibras de carbono en la barra del soporte) causó una disminución de la señal a lo largo de un ángulo de unos 30°.</w:t>
      </w:r>
    </w:p>
    <w:p w:rsidR="006634BC" w:rsidRDefault="006634BC" w:rsidP="006634BC">
      <w:pPr>
        <w:pStyle w:val="FigureNo"/>
        <w:rPr>
          <w:lang w:val="es-ES"/>
        </w:rPr>
      </w:pPr>
      <w:r>
        <w:rPr>
          <w:lang w:val="es-ES"/>
        </w:rPr>
        <w:lastRenderedPageBreak/>
        <w:t>FIGURA 2</w:t>
      </w:r>
    </w:p>
    <w:p w:rsidR="006634BC" w:rsidRPr="006634BC" w:rsidRDefault="006634BC" w:rsidP="006634BC">
      <w:pPr>
        <w:pStyle w:val="Figuretitle"/>
        <w:rPr>
          <w:lang w:val="es-ES"/>
        </w:rPr>
      </w:pPr>
      <w:r w:rsidRPr="006634BC">
        <w:rPr>
          <w:lang w:val="es-ES"/>
        </w:rPr>
        <w:t xml:space="preserve">SART </w:t>
      </w:r>
      <w:r>
        <w:rPr>
          <w:lang w:val="es-ES"/>
        </w:rPr>
        <w:t>instalado en un soporte</w:t>
      </w:r>
    </w:p>
    <w:p w:rsidR="00DA4AF8" w:rsidRPr="00325F9C" w:rsidRDefault="006634BC" w:rsidP="00336F6E">
      <w:pPr>
        <w:pStyle w:val="Figure"/>
        <w:rPr>
          <w:lang w:val="es-ES"/>
        </w:rPr>
      </w:pPr>
      <w:r w:rsidRPr="00325F9C">
        <w:rPr>
          <w:lang w:val="es-ES"/>
        </w:rPr>
        <w:object w:dxaOrig="4936" w:dyaOrig="6379">
          <v:shape id="_x0000_i1026" type="#_x0000_t75" style="width:410.75pt;height:531.25pt" o:ole="">
            <v:imagedata r:id="rId16" o:title=""/>
          </v:shape>
          <o:OLEObject Type="Embed" ProgID="CorelDraw.Graphic.16" ShapeID="_x0000_i1026" DrawAspect="Content" ObjectID="_1495961346" r:id="rId17"/>
        </w:object>
      </w:r>
    </w:p>
    <w:p w:rsidR="00DA4AF8" w:rsidRDefault="00DA4AF8" w:rsidP="00DA4AF8">
      <w:pPr>
        <w:spacing w:before="320"/>
        <w:rPr>
          <w:lang w:val="es-ES"/>
        </w:rPr>
      </w:pPr>
      <w:r w:rsidRPr="00325F9C">
        <w:rPr>
          <w:b/>
          <w:lang w:val="es-ES"/>
        </w:rPr>
        <w:t>3.3</w:t>
      </w:r>
      <w:r w:rsidRPr="00325F9C">
        <w:rPr>
          <w:lang w:val="es-ES"/>
        </w:rPr>
        <w:tab/>
        <w:t>La Fig. 3 muestra los resultados obtenidos con los mismos botes, pero con un SART que cuelga de la barra de soporte, por debajo del toldo del bote. Se observó una pérdida de señal más pequeña debida a las barras con carbono, cuando la señal sólo pasaba a través de las secciones verticales. También se observaron reducciones debidas, esta vez, a la presencia de cintas reflectantes por fuera del toldo de los botes. En un bote se produjo una reducción considerable de la señal en un ángulo muy pequeño, ocasionada por la proximidad de una batería de litio colocada en el toldo para alimentar la luz de posición de la balsa.</w:t>
      </w:r>
    </w:p>
    <w:p w:rsidR="006634BC" w:rsidRDefault="006634BC" w:rsidP="006634BC">
      <w:pPr>
        <w:pStyle w:val="FigureNo"/>
        <w:rPr>
          <w:lang w:val="es-ES"/>
        </w:rPr>
      </w:pPr>
      <w:r>
        <w:rPr>
          <w:lang w:val="es-ES"/>
        </w:rPr>
        <w:lastRenderedPageBreak/>
        <w:t>FIGURA 3</w:t>
      </w:r>
    </w:p>
    <w:p w:rsidR="006634BC" w:rsidRPr="006634BC" w:rsidRDefault="006634BC" w:rsidP="006634BC">
      <w:pPr>
        <w:pStyle w:val="Figuretitle"/>
        <w:rPr>
          <w:lang w:val="es-ES"/>
        </w:rPr>
      </w:pPr>
      <w:r w:rsidRPr="006634BC">
        <w:rPr>
          <w:lang w:val="es-ES"/>
        </w:rPr>
        <w:t>SART colgado dentro del bote</w:t>
      </w:r>
    </w:p>
    <w:p w:rsidR="00DA4AF8" w:rsidRPr="00325F9C" w:rsidRDefault="006634BC" w:rsidP="00336F6E">
      <w:pPr>
        <w:pStyle w:val="Figure"/>
        <w:rPr>
          <w:lang w:val="es-ES"/>
        </w:rPr>
      </w:pPr>
      <w:r w:rsidRPr="00325F9C">
        <w:rPr>
          <w:lang w:val="es-ES"/>
        </w:rPr>
        <w:object w:dxaOrig="4936" w:dyaOrig="6373">
          <v:shape id="_x0000_i1027" type="#_x0000_t75" style="width:414pt;height:534pt" o:ole="">
            <v:imagedata r:id="rId18" o:title=""/>
          </v:shape>
          <o:OLEObject Type="Embed" ProgID="CorelDraw.Graphic.16" ShapeID="_x0000_i1027" DrawAspect="Content" ObjectID="_1495961347" r:id="rId19"/>
        </w:object>
      </w:r>
    </w:p>
    <w:p w:rsidR="00DA4AF8" w:rsidRDefault="00DA4AF8" w:rsidP="00C5400F">
      <w:pPr>
        <w:rPr>
          <w:lang w:val="es-ES"/>
        </w:rPr>
      </w:pPr>
      <w:r w:rsidRPr="00325F9C">
        <w:rPr>
          <w:b/>
          <w:lang w:val="es-ES"/>
        </w:rPr>
        <w:t>3.4</w:t>
      </w:r>
      <w:r w:rsidRPr="00325F9C">
        <w:rPr>
          <w:lang w:val="es-ES"/>
        </w:rPr>
        <w:tab/>
        <w:t>La Fig. 4 muestra el efecto de supresión causado por un náufrago que sostiene el</w:t>
      </w:r>
      <w:r w:rsidR="00336F6E">
        <w:rPr>
          <w:lang w:val="es-ES"/>
        </w:rPr>
        <w:t xml:space="preserve"> </w:t>
      </w:r>
      <w:r w:rsidRPr="00325F9C">
        <w:rPr>
          <w:lang w:val="es-ES"/>
        </w:rPr>
        <w:t>SART con el brazo extendido. En este caso, la altura del SART es de 0,5 m.</w:t>
      </w:r>
    </w:p>
    <w:p w:rsidR="006634BC" w:rsidRDefault="006634BC" w:rsidP="006634BC">
      <w:pPr>
        <w:pStyle w:val="FigureNo"/>
        <w:rPr>
          <w:lang w:val="es-ES"/>
        </w:rPr>
      </w:pPr>
      <w:r>
        <w:rPr>
          <w:lang w:val="es-ES"/>
        </w:rPr>
        <w:lastRenderedPageBreak/>
        <w:t>FIGURA 4</w:t>
      </w:r>
    </w:p>
    <w:p w:rsidR="006634BC" w:rsidRPr="006634BC" w:rsidRDefault="006634BC" w:rsidP="006634BC">
      <w:pPr>
        <w:pStyle w:val="Figuretitle"/>
        <w:rPr>
          <w:lang w:val="es-ES"/>
        </w:rPr>
      </w:pPr>
      <w:r w:rsidRPr="006634BC">
        <w:rPr>
          <w:lang w:val="es-ES"/>
        </w:rPr>
        <w:t>SART sostenido en la mano</w:t>
      </w:r>
    </w:p>
    <w:p w:rsidR="00DA4AF8" w:rsidRPr="00325F9C" w:rsidRDefault="006634BC" w:rsidP="006634BC">
      <w:pPr>
        <w:pStyle w:val="Figure"/>
        <w:rPr>
          <w:lang w:val="es-ES"/>
        </w:rPr>
      </w:pPr>
      <w:r w:rsidRPr="00325F9C">
        <w:rPr>
          <w:lang w:val="es-ES"/>
        </w:rPr>
        <w:object w:dxaOrig="4883" w:dyaOrig="5913">
          <v:shape id="_x0000_i1028" type="#_x0000_t75" style="width:410.75pt;height:498.55pt" o:ole="">
            <v:imagedata r:id="rId20" o:title=""/>
          </v:shape>
          <o:OLEObject Type="Embed" ProgID="CorelDraw.Graphic.16" ShapeID="_x0000_i1028" DrawAspect="Content" ObjectID="_1495961348" r:id="rId21"/>
        </w:object>
      </w:r>
    </w:p>
    <w:p w:rsidR="00DA4AF8" w:rsidRPr="00325F9C" w:rsidRDefault="00DA4AF8" w:rsidP="00556EE1">
      <w:pPr>
        <w:spacing w:before="320"/>
        <w:rPr>
          <w:lang w:val="es-ES"/>
        </w:rPr>
      </w:pPr>
      <w:r w:rsidRPr="00325F9C">
        <w:rPr>
          <w:b/>
          <w:lang w:val="es-ES"/>
        </w:rPr>
        <w:t>3.5</w:t>
      </w:r>
      <w:r w:rsidRPr="00325F9C">
        <w:rPr>
          <w:lang w:val="es-ES"/>
        </w:rPr>
        <w:tab/>
        <w:t>En cada figura se ofrecen distancias de detección aproximadas, que se obtienen teóricamente suponiend</w:t>
      </w:r>
      <w:r w:rsidR="00556EE1">
        <w:rPr>
          <w:lang w:val="es-ES"/>
        </w:rPr>
        <w:t xml:space="preserve">o una distancia de detección de </w:t>
      </w:r>
      <w:r w:rsidRPr="00325F9C">
        <w:rPr>
          <w:lang w:val="es-ES"/>
        </w:rPr>
        <w:t>8 MN para una altura de</w:t>
      </w:r>
      <w:r w:rsidR="00556EE1">
        <w:rPr>
          <w:lang w:val="es-ES"/>
        </w:rPr>
        <w:t xml:space="preserve"> SART de </w:t>
      </w:r>
      <w:r w:rsidRPr="00325F9C">
        <w:rPr>
          <w:lang w:val="es-ES"/>
        </w:rPr>
        <w:t>1 m, y 7 MN para una altura de 0,5 m.</w:t>
      </w:r>
    </w:p>
    <w:p w:rsidR="00DA4AF8" w:rsidRPr="00325F9C" w:rsidRDefault="00DA4AF8" w:rsidP="00B566B6">
      <w:pPr>
        <w:rPr>
          <w:lang w:val="es-ES"/>
        </w:rPr>
      </w:pPr>
      <w:r w:rsidRPr="00325F9C">
        <w:rPr>
          <w:b/>
          <w:lang w:val="es-ES"/>
        </w:rPr>
        <w:t>3.6</w:t>
      </w:r>
      <w:r w:rsidRPr="00325F9C">
        <w:rPr>
          <w:lang w:val="es-ES"/>
        </w:rPr>
        <w:tab/>
        <w:t>Como puede verse en las figuras, la mejor calidad de funcionamiento se obtuvo con el</w:t>
      </w:r>
      <w:r w:rsidR="00556EE1">
        <w:rPr>
          <w:lang w:val="es-ES"/>
        </w:rPr>
        <w:t xml:space="preserve"> </w:t>
      </w:r>
      <w:r w:rsidRPr="00325F9C">
        <w:rPr>
          <w:lang w:val="es-ES"/>
        </w:rPr>
        <w:t>SART instalado en una barra, en que la reducción de la distancia de detección ocasionada por el bote fue generalmente no mayor que</w:t>
      </w:r>
      <w:r w:rsidR="00556EE1">
        <w:rPr>
          <w:lang w:val="es-ES"/>
        </w:rPr>
        <w:t xml:space="preserve"> </w:t>
      </w:r>
      <w:r w:rsidRPr="00325F9C">
        <w:rPr>
          <w:lang w:val="es-ES"/>
        </w:rPr>
        <w:t>0,5 MN. En todos los casos, se observó una  menor calidad de funcion</w:t>
      </w:r>
      <w:r w:rsidR="00556EE1">
        <w:rPr>
          <w:lang w:val="es-ES"/>
        </w:rPr>
        <w:t xml:space="preserve">amiento en sectores pequeños de </w:t>
      </w:r>
      <w:r w:rsidRPr="00325F9C">
        <w:rPr>
          <w:lang w:val="es-ES"/>
        </w:rPr>
        <w:t>1,5-2,0 MN, pero en la práctica, con el bote moviéndose en el mar, ello no creará un problema operacional grave. La reducción mostrada en la Fig. 4, ocasionada por una persona, no resultará significativa en la práctica puesto que una persona sentada en una embarcación de salvamento tendrá una altura inferior a</w:t>
      </w:r>
      <w:r w:rsidR="00B566B6">
        <w:rPr>
          <w:lang w:val="es-ES"/>
        </w:rPr>
        <w:t xml:space="preserve"> </w:t>
      </w:r>
      <w:r w:rsidRPr="00325F9C">
        <w:rPr>
          <w:lang w:val="es-ES"/>
        </w:rPr>
        <w:t>1 m.</w:t>
      </w:r>
    </w:p>
    <w:p w:rsidR="00DA4AF8" w:rsidRPr="00325F9C" w:rsidRDefault="00DA4AF8" w:rsidP="00B566B6">
      <w:pPr>
        <w:rPr>
          <w:lang w:val="es-ES"/>
        </w:rPr>
      </w:pPr>
      <w:r w:rsidRPr="00325F9C">
        <w:rPr>
          <w:b/>
          <w:lang w:val="es-ES"/>
        </w:rPr>
        <w:lastRenderedPageBreak/>
        <w:t>3.7</w:t>
      </w:r>
      <w:r w:rsidRPr="00325F9C">
        <w:rPr>
          <w:lang w:val="es-ES"/>
        </w:rPr>
        <w:tab/>
        <w:t>Estos resultados se obtuvieron con una embarcación de salvamento ubicada en tierra en el emplazamiento de prueba. En el Cuadro 1 se ofrecen las pérdidas de propagación para el toldo y la tela de los tubos de aire utilizada en varias embarcaciones de salvamento de fabricantes diferentes. Las dos últimas pruebas se refieren a la pérdida cuando los materiales son salpicados por el agua del mar. Puede observarse que en el caso más desfavorable, la pérdida adicional correspondiente al material mojado fue de</w:t>
      </w:r>
      <w:r w:rsidR="00B566B6">
        <w:rPr>
          <w:lang w:val="es-ES"/>
        </w:rPr>
        <w:t xml:space="preserve"> </w:t>
      </w:r>
      <w:r w:rsidRPr="00325F9C">
        <w:rPr>
          <w:lang w:val="es-ES"/>
        </w:rPr>
        <w:t>3,35 dB, lo que equivale a una reducción de la</w:t>
      </w:r>
      <w:r w:rsidR="00B566B6">
        <w:rPr>
          <w:lang w:val="es-ES"/>
        </w:rPr>
        <w:t xml:space="preserve"> distancia de detección de unas </w:t>
      </w:r>
      <w:r w:rsidRPr="00325F9C">
        <w:rPr>
          <w:lang w:val="es-ES"/>
        </w:rPr>
        <w:t>0,5 MN más.</w:t>
      </w:r>
    </w:p>
    <w:p w:rsidR="00DA4AF8" w:rsidRDefault="00DA4AF8" w:rsidP="00BA0F18">
      <w:pPr>
        <w:pStyle w:val="TableNo"/>
        <w:rPr>
          <w:lang w:val="es-ES"/>
        </w:rPr>
      </w:pPr>
      <w:r w:rsidRPr="00325F9C">
        <w:rPr>
          <w:lang w:val="es-ES"/>
        </w:rPr>
        <w:t>CUADRO 1</w:t>
      </w:r>
    </w:p>
    <w:p w:rsidR="004F3682" w:rsidRPr="004F3682" w:rsidRDefault="004F3682" w:rsidP="004F3682">
      <w:pPr>
        <w:pStyle w:val="Tabletitle"/>
        <w:rPr>
          <w:szCs w:val="24"/>
          <w:lang w:val="es-ES"/>
        </w:rPr>
      </w:pPr>
      <w:r w:rsidRPr="004F3682">
        <w:rPr>
          <w:szCs w:val="24"/>
          <w:lang w:val="es-ES"/>
        </w:rPr>
        <w:t>Pérdida de transmisión a través de la cubierta del bote</w:t>
      </w:r>
      <w:r>
        <w:rPr>
          <w:szCs w:val="24"/>
          <w:lang w:val="es-ES"/>
        </w:rPr>
        <w:t xml:space="preserve"> </w:t>
      </w:r>
      <w:r w:rsidRPr="004F3682">
        <w:rPr>
          <w:szCs w:val="24"/>
          <w:lang w:val="es-ES"/>
        </w:rPr>
        <w:t>(resultados de las mediciones)</w:t>
      </w:r>
    </w:p>
    <w:tbl>
      <w:tblPr>
        <w:tblW w:w="9639" w:type="dxa"/>
        <w:jc w:val="center"/>
        <w:tblLayout w:type="fixed"/>
        <w:tblLook w:val="0000" w:firstRow="0" w:lastRow="0" w:firstColumn="0" w:lastColumn="0" w:noHBand="0" w:noVBand="0"/>
      </w:tblPr>
      <w:tblGrid>
        <w:gridCol w:w="964"/>
        <w:gridCol w:w="2211"/>
        <w:gridCol w:w="964"/>
        <w:gridCol w:w="964"/>
        <w:gridCol w:w="1134"/>
        <w:gridCol w:w="1134"/>
        <w:gridCol w:w="1134"/>
        <w:gridCol w:w="1134"/>
      </w:tblGrid>
      <w:tr w:rsidR="00DA4AF8" w:rsidRPr="00D159E0" w:rsidTr="008F1A53">
        <w:trPr>
          <w:cantSplit/>
          <w:jc w:val="center"/>
        </w:trPr>
        <w:tc>
          <w:tcPr>
            <w:tcW w:w="964" w:type="dxa"/>
            <w:vMerge w:val="restart"/>
            <w:tcBorders>
              <w:top w:val="single" w:sz="6" w:space="0" w:color="auto"/>
              <w:left w:val="single" w:sz="6" w:space="0" w:color="auto"/>
              <w:right w:val="single" w:sz="6" w:space="0" w:color="auto"/>
            </w:tcBorders>
            <w:vAlign w:val="center"/>
          </w:tcPr>
          <w:p w:rsidR="00DA4AF8" w:rsidRPr="00325F9C" w:rsidRDefault="00DA4AF8" w:rsidP="00BA0F18">
            <w:pPr>
              <w:pStyle w:val="Tablehead"/>
              <w:rPr>
                <w:lang w:val="es-ES"/>
              </w:rPr>
            </w:pPr>
            <w:r w:rsidRPr="00325F9C">
              <w:rPr>
                <w:lang w:val="es-ES"/>
              </w:rPr>
              <w:t>Prueba</w:t>
            </w:r>
          </w:p>
        </w:tc>
        <w:tc>
          <w:tcPr>
            <w:tcW w:w="2211" w:type="dxa"/>
            <w:vMerge w:val="restart"/>
            <w:tcBorders>
              <w:top w:val="single" w:sz="6" w:space="0" w:color="auto"/>
              <w:left w:val="single" w:sz="6" w:space="0" w:color="auto"/>
              <w:right w:val="single" w:sz="6" w:space="0" w:color="auto"/>
            </w:tcBorders>
            <w:vAlign w:val="center"/>
          </w:tcPr>
          <w:p w:rsidR="00DA4AF8" w:rsidRPr="00325F9C" w:rsidRDefault="00DA4AF8" w:rsidP="00BA0F18">
            <w:pPr>
              <w:pStyle w:val="Tablehead"/>
              <w:rPr>
                <w:lang w:val="es-ES"/>
              </w:rPr>
            </w:pPr>
            <w:r w:rsidRPr="00325F9C">
              <w:rPr>
                <w:lang w:val="es-ES"/>
              </w:rPr>
              <w:t>Muestra</w:t>
            </w:r>
          </w:p>
        </w:tc>
        <w:tc>
          <w:tcPr>
            <w:tcW w:w="964" w:type="dxa"/>
            <w:vMerge w:val="restart"/>
            <w:tcBorders>
              <w:top w:val="single" w:sz="6" w:space="0" w:color="auto"/>
              <w:left w:val="single" w:sz="6" w:space="0" w:color="auto"/>
              <w:right w:val="single" w:sz="6" w:space="0" w:color="auto"/>
            </w:tcBorders>
            <w:vAlign w:val="center"/>
          </w:tcPr>
          <w:p w:rsidR="00DA4AF8" w:rsidRPr="00325F9C" w:rsidRDefault="00DA4AF8" w:rsidP="00BA0F18">
            <w:pPr>
              <w:pStyle w:val="Tablehead"/>
              <w:rPr>
                <w:lang w:val="es-ES"/>
              </w:rPr>
            </w:pPr>
            <w:r w:rsidRPr="00325F9C">
              <w:rPr>
                <w:lang w:val="es-ES"/>
              </w:rPr>
              <w:t>Grosor</w:t>
            </w:r>
            <w:r w:rsidRPr="00325F9C">
              <w:rPr>
                <w:lang w:val="es-ES"/>
              </w:rPr>
              <w:br/>
              <w:t>(mm)</w:t>
            </w:r>
          </w:p>
        </w:tc>
        <w:tc>
          <w:tcPr>
            <w:tcW w:w="964" w:type="dxa"/>
            <w:vMerge w:val="restart"/>
            <w:tcBorders>
              <w:top w:val="single" w:sz="6" w:space="0" w:color="auto"/>
              <w:left w:val="single" w:sz="6" w:space="0" w:color="auto"/>
              <w:right w:val="single" w:sz="6" w:space="0" w:color="auto"/>
            </w:tcBorders>
            <w:vAlign w:val="center"/>
          </w:tcPr>
          <w:p w:rsidR="00DA4AF8" w:rsidRPr="00325F9C" w:rsidRDefault="00DA4AF8" w:rsidP="00BA0F18">
            <w:pPr>
              <w:pStyle w:val="Tablehead"/>
              <w:rPr>
                <w:lang w:val="es-ES"/>
              </w:rPr>
            </w:pPr>
            <w:r w:rsidRPr="00325F9C">
              <w:rPr>
                <w:lang w:val="es-ES"/>
              </w:rPr>
              <w:t>Peso</w:t>
            </w:r>
            <w:r w:rsidRPr="00325F9C">
              <w:rPr>
                <w:lang w:val="es-ES"/>
              </w:rPr>
              <w:br/>
              <w:t>(kg/m</w:t>
            </w:r>
            <w:r w:rsidRPr="00325F9C">
              <w:rPr>
                <w:vertAlign w:val="superscript"/>
                <w:lang w:val="es-ES"/>
              </w:rPr>
              <w:t>2</w:t>
            </w:r>
            <w:r w:rsidRPr="00325F9C">
              <w:rPr>
                <w:lang w:val="es-ES"/>
              </w:rPr>
              <w:t>)</w:t>
            </w:r>
          </w:p>
        </w:tc>
        <w:tc>
          <w:tcPr>
            <w:tcW w:w="4536" w:type="dxa"/>
            <w:gridSpan w:val="4"/>
            <w:tcBorders>
              <w:top w:val="single" w:sz="6" w:space="0" w:color="auto"/>
              <w:left w:val="single" w:sz="6" w:space="0" w:color="auto"/>
              <w:bottom w:val="single" w:sz="6" w:space="0" w:color="auto"/>
              <w:right w:val="single" w:sz="6" w:space="0" w:color="auto"/>
            </w:tcBorders>
            <w:vAlign w:val="center"/>
          </w:tcPr>
          <w:p w:rsidR="00DA4AF8" w:rsidRPr="00325F9C" w:rsidRDefault="00DA4AF8" w:rsidP="008F1A53">
            <w:pPr>
              <w:pStyle w:val="Tablehead"/>
              <w:rPr>
                <w:lang w:val="es-ES"/>
              </w:rPr>
            </w:pPr>
            <w:r w:rsidRPr="00325F9C">
              <w:rPr>
                <w:lang w:val="es-ES"/>
              </w:rPr>
              <w:t>Pérdida de transmisión y pendiente del toldo</w:t>
            </w:r>
            <w:r w:rsidR="008F1A53">
              <w:rPr>
                <w:lang w:val="es-ES"/>
              </w:rPr>
              <w:br/>
            </w:r>
            <w:r w:rsidRPr="00325F9C">
              <w:rPr>
                <w:lang w:val="es-ES"/>
              </w:rPr>
              <w:t>(dB)</w:t>
            </w:r>
          </w:p>
        </w:tc>
      </w:tr>
      <w:tr w:rsidR="00DA4AF8" w:rsidRPr="00996B64" w:rsidTr="008F1A53">
        <w:trPr>
          <w:cantSplit/>
          <w:jc w:val="center"/>
        </w:trPr>
        <w:tc>
          <w:tcPr>
            <w:tcW w:w="964" w:type="dxa"/>
            <w:vMerge/>
            <w:tcBorders>
              <w:left w:val="single" w:sz="6" w:space="0" w:color="auto"/>
              <w:right w:val="single" w:sz="6" w:space="0" w:color="auto"/>
            </w:tcBorders>
            <w:vAlign w:val="center"/>
          </w:tcPr>
          <w:p w:rsidR="00DA4AF8" w:rsidRPr="00325F9C" w:rsidRDefault="00DA4AF8" w:rsidP="00BA0F18">
            <w:pPr>
              <w:pStyle w:val="Tablehead"/>
              <w:rPr>
                <w:lang w:val="es-ES"/>
              </w:rPr>
            </w:pPr>
          </w:p>
        </w:tc>
        <w:tc>
          <w:tcPr>
            <w:tcW w:w="2211" w:type="dxa"/>
            <w:vMerge/>
            <w:tcBorders>
              <w:left w:val="single" w:sz="6" w:space="0" w:color="auto"/>
              <w:right w:val="single" w:sz="6" w:space="0" w:color="auto"/>
            </w:tcBorders>
            <w:vAlign w:val="center"/>
          </w:tcPr>
          <w:p w:rsidR="00DA4AF8" w:rsidRPr="00325F9C" w:rsidRDefault="00DA4AF8" w:rsidP="00BA0F18">
            <w:pPr>
              <w:pStyle w:val="Tablehead"/>
              <w:jc w:val="left"/>
              <w:rPr>
                <w:lang w:val="es-ES"/>
              </w:rPr>
            </w:pPr>
          </w:p>
        </w:tc>
        <w:tc>
          <w:tcPr>
            <w:tcW w:w="964" w:type="dxa"/>
            <w:vMerge/>
            <w:tcBorders>
              <w:left w:val="single" w:sz="6" w:space="0" w:color="auto"/>
              <w:right w:val="single" w:sz="6" w:space="0" w:color="auto"/>
            </w:tcBorders>
            <w:vAlign w:val="center"/>
          </w:tcPr>
          <w:p w:rsidR="00DA4AF8" w:rsidRPr="00325F9C" w:rsidRDefault="00DA4AF8" w:rsidP="00BA0F18">
            <w:pPr>
              <w:pStyle w:val="Tablehead"/>
              <w:rPr>
                <w:lang w:val="es-ES"/>
              </w:rPr>
            </w:pPr>
          </w:p>
        </w:tc>
        <w:tc>
          <w:tcPr>
            <w:tcW w:w="964" w:type="dxa"/>
            <w:vMerge/>
            <w:tcBorders>
              <w:left w:val="single" w:sz="6" w:space="0" w:color="auto"/>
              <w:right w:val="single" w:sz="6" w:space="0" w:color="auto"/>
            </w:tcBorders>
            <w:vAlign w:val="center"/>
          </w:tcPr>
          <w:p w:rsidR="00DA4AF8" w:rsidRPr="00325F9C" w:rsidRDefault="00DA4AF8" w:rsidP="00BA0F18">
            <w:pPr>
              <w:pStyle w:val="Tablehead"/>
              <w:rPr>
                <w:lang w:val="es-ES"/>
              </w:rPr>
            </w:pPr>
          </w:p>
        </w:tc>
        <w:tc>
          <w:tcPr>
            <w:tcW w:w="4536" w:type="dxa"/>
            <w:gridSpan w:val="4"/>
            <w:tcBorders>
              <w:left w:val="single" w:sz="6" w:space="0" w:color="auto"/>
              <w:bottom w:val="single" w:sz="6" w:space="0" w:color="auto"/>
              <w:right w:val="single" w:sz="6" w:space="0" w:color="auto"/>
            </w:tcBorders>
            <w:vAlign w:val="center"/>
          </w:tcPr>
          <w:p w:rsidR="00DA4AF8" w:rsidRPr="00325F9C" w:rsidRDefault="00DA4AF8" w:rsidP="00BA0F18">
            <w:pPr>
              <w:pStyle w:val="Tablehead"/>
              <w:rPr>
                <w:lang w:val="es-ES"/>
              </w:rPr>
            </w:pPr>
            <w:r w:rsidRPr="00325F9C">
              <w:rPr>
                <w:lang w:val="es-ES"/>
              </w:rPr>
              <w:t>Pendiente</w:t>
            </w:r>
          </w:p>
        </w:tc>
      </w:tr>
      <w:tr w:rsidR="00DA4AF8" w:rsidRPr="00996B64" w:rsidTr="008F1A53">
        <w:trPr>
          <w:cantSplit/>
          <w:jc w:val="center"/>
        </w:trPr>
        <w:tc>
          <w:tcPr>
            <w:tcW w:w="964" w:type="dxa"/>
            <w:vMerge/>
            <w:tcBorders>
              <w:left w:val="single" w:sz="6" w:space="0" w:color="auto"/>
              <w:bottom w:val="single" w:sz="6" w:space="0" w:color="auto"/>
              <w:right w:val="single" w:sz="6" w:space="0" w:color="auto"/>
            </w:tcBorders>
          </w:tcPr>
          <w:p w:rsidR="00DA4AF8" w:rsidRPr="00325F9C" w:rsidRDefault="00DA4AF8" w:rsidP="00BA0F18">
            <w:pPr>
              <w:pStyle w:val="Tablehead"/>
              <w:rPr>
                <w:lang w:val="es-ES"/>
              </w:rPr>
            </w:pPr>
          </w:p>
        </w:tc>
        <w:tc>
          <w:tcPr>
            <w:tcW w:w="2211" w:type="dxa"/>
            <w:vMerge/>
            <w:tcBorders>
              <w:left w:val="single" w:sz="6" w:space="0" w:color="auto"/>
              <w:bottom w:val="single" w:sz="6" w:space="0" w:color="auto"/>
              <w:right w:val="single" w:sz="6" w:space="0" w:color="auto"/>
            </w:tcBorders>
          </w:tcPr>
          <w:p w:rsidR="00DA4AF8" w:rsidRPr="00325F9C" w:rsidRDefault="00DA4AF8" w:rsidP="00BA0F18">
            <w:pPr>
              <w:pStyle w:val="Tablehead"/>
              <w:jc w:val="left"/>
              <w:rPr>
                <w:lang w:val="es-ES"/>
              </w:rPr>
            </w:pPr>
          </w:p>
        </w:tc>
        <w:tc>
          <w:tcPr>
            <w:tcW w:w="964" w:type="dxa"/>
            <w:vMerge/>
            <w:tcBorders>
              <w:left w:val="single" w:sz="6" w:space="0" w:color="auto"/>
              <w:bottom w:val="single" w:sz="6" w:space="0" w:color="auto"/>
              <w:right w:val="single" w:sz="6" w:space="0" w:color="auto"/>
            </w:tcBorders>
          </w:tcPr>
          <w:p w:rsidR="00DA4AF8" w:rsidRPr="00325F9C" w:rsidRDefault="00DA4AF8" w:rsidP="00BA0F18">
            <w:pPr>
              <w:pStyle w:val="Tablehead"/>
              <w:rPr>
                <w:lang w:val="es-ES"/>
              </w:rPr>
            </w:pPr>
          </w:p>
        </w:tc>
        <w:tc>
          <w:tcPr>
            <w:tcW w:w="964" w:type="dxa"/>
            <w:vMerge/>
            <w:tcBorders>
              <w:left w:val="single" w:sz="6" w:space="0" w:color="auto"/>
              <w:bottom w:val="single" w:sz="6" w:space="0" w:color="auto"/>
              <w:right w:val="single" w:sz="6" w:space="0" w:color="auto"/>
            </w:tcBorders>
          </w:tcPr>
          <w:p w:rsidR="00DA4AF8" w:rsidRPr="00325F9C" w:rsidRDefault="00DA4AF8" w:rsidP="00BA0F18">
            <w:pPr>
              <w:pStyle w:val="Tablehead"/>
              <w:rPr>
                <w:lang w:val="es-ES"/>
              </w:rPr>
            </w:pPr>
          </w:p>
        </w:tc>
        <w:tc>
          <w:tcPr>
            <w:tcW w:w="1134" w:type="dxa"/>
            <w:tcBorders>
              <w:left w:val="single" w:sz="6" w:space="0" w:color="auto"/>
              <w:bottom w:val="single" w:sz="6" w:space="0" w:color="auto"/>
              <w:right w:val="single" w:sz="6" w:space="0" w:color="auto"/>
            </w:tcBorders>
          </w:tcPr>
          <w:p w:rsidR="00DA4AF8" w:rsidRPr="00325F9C" w:rsidRDefault="001D38D0" w:rsidP="001D38D0">
            <w:pPr>
              <w:pStyle w:val="Tablehead"/>
              <w:rPr>
                <w:lang w:val="es-ES"/>
              </w:rPr>
            </w:pPr>
            <w:r w:rsidRPr="001D38D0">
              <w:sym w:font="Symbol" w:char="F071"/>
            </w:r>
            <w:r w:rsidR="00DA4AF8" w:rsidRPr="00325F9C">
              <w:rPr>
                <w:lang w:val="es-ES"/>
              </w:rPr>
              <w:t xml:space="preserve"> = 0°</w:t>
            </w:r>
          </w:p>
        </w:tc>
        <w:tc>
          <w:tcPr>
            <w:tcW w:w="1134" w:type="dxa"/>
            <w:tcBorders>
              <w:left w:val="single" w:sz="6" w:space="0" w:color="auto"/>
              <w:bottom w:val="single" w:sz="6" w:space="0" w:color="auto"/>
              <w:right w:val="single" w:sz="6" w:space="0" w:color="auto"/>
            </w:tcBorders>
          </w:tcPr>
          <w:p w:rsidR="00DA4AF8" w:rsidRPr="00325F9C" w:rsidRDefault="001D38D0" w:rsidP="00BA0F18">
            <w:pPr>
              <w:pStyle w:val="Tablehead"/>
              <w:rPr>
                <w:lang w:val="es-ES"/>
              </w:rPr>
            </w:pPr>
            <w:r w:rsidRPr="001D38D0">
              <w:sym w:font="Symbol" w:char="F071"/>
            </w:r>
            <w:r w:rsidR="00DA4AF8" w:rsidRPr="00325F9C">
              <w:rPr>
                <w:lang w:val="es-ES"/>
              </w:rPr>
              <w:t xml:space="preserve"> = 30°</w:t>
            </w:r>
          </w:p>
        </w:tc>
        <w:tc>
          <w:tcPr>
            <w:tcW w:w="1134" w:type="dxa"/>
            <w:tcBorders>
              <w:left w:val="single" w:sz="6" w:space="0" w:color="auto"/>
              <w:bottom w:val="single" w:sz="6" w:space="0" w:color="auto"/>
              <w:right w:val="single" w:sz="6" w:space="0" w:color="auto"/>
            </w:tcBorders>
          </w:tcPr>
          <w:p w:rsidR="00DA4AF8" w:rsidRPr="00325F9C" w:rsidRDefault="001D38D0" w:rsidP="00BA0F18">
            <w:pPr>
              <w:pStyle w:val="Tablehead"/>
              <w:rPr>
                <w:lang w:val="es-ES"/>
              </w:rPr>
            </w:pPr>
            <w:r w:rsidRPr="001D38D0">
              <w:sym w:font="Symbol" w:char="F071"/>
            </w:r>
            <w:r w:rsidR="00DA4AF8" w:rsidRPr="00325F9C">
              <w:rPr>
                <w:lang w:val="es-ES"/>
              </w:rPr>
              <w:t xml:space="preserve"> = 45°</w:t>
            </w:r>
          </w:p>
        </w:tc>
        <w:tc>
          <w:tcPr>
            <w:tcW w:w="1134" w:type="dxa"/>
            <w:tcBorders>
              <w:left w:val="single" w:sz="6" w:space="0" w:color="auto"/>
              <w:bottom w:val="single" w:sz="6" w:space="0" w:color="auto"/>
              <w:right w:val="single" w:sz="6" w:space="0" w:color="auto"/>
            </w:tcBorders>
          </w:tcPr>
          <w:p w:rsidR="00DA4AF8" w:rsidRPr="00325F9C" w:rsidRDefault="001D38D0" w:rsidP="00BA0F18">
            <w:pPr>
              <w:pStyle w:val="Tablehead"/>
              <w:rPr>
                <w:lang w:val="es-ES"/>
              </w:rPr>
            </w:pPr>
            <w:r w:rsidRPr="001D38D0">
              <w:sym w:font="Symbol" w:char="F071"/>
            </w:r>
            <w:r w:rsidR="00DA4AF8" w:rsidRPr="00325F9C">
              <w:rPr>
                <w:lang w:val="es-ES"/>
              </w:rPr>
              <w:t xml:space="preserve"> = 60°</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1</w:t>
            </w:r>
          </w:p>
        </w:tc>
        <w:tc>
          <w:tcPr>
            <w:tcW w:w="2211" w:type="dxa"/>
            <w:tcBorders>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Tela del toldo de</w:t>
            </w:r>
            <w:r w:rsidR="008F1A53">
              <w:rPr>
                <w:lang w:val="es-ES"/>
              </w:rPr>
              <w:t xml:space="preserve"> </w:t>
            </w:r>
            <w:r w:rsidRPr="00325F9C">
              <w:rPr>
                <w:lang w:val="es-ES"/>
              </w:rPr>
              <w:t>la compañía A</w:t>
            </w:r>
          </w:p>
        </w:tc>
        <w:tc>
          <w:tcPr>
            <w:tcW w:w="964" w:type="dxa"/>
            <w:tcBorders>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0,18</w:t>
            </w:r>
          </w:p>
        </w:tc>
        <w:tc>
          <w:tcPr>
            <w:tcW w:w="964" w:type="dxa"/>
            <w:tcBorders>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0,22</w:t>
            </w:r>
          </w:p>
        </w:tc>
        <w:tc>
          <w:tcPr>
            <w:tcW w:w="1134" w:type="dxa"/>
            <w:tcBorders>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w:t>
            </w:r>
          </w:p>
        </w:tc>
        <w:tc>
          <w:tcPr>
            <w:tcW w:w="1134" w:type="dxa"/>
            <w:tcBorders>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–0,1</w:t>
            </w:r>
          </w:p>
        </w:tc>
        <w:tc>
          <w:tcPr>
            <w:tcW w:w="1134" w:type="dxa"/>
            <w:tcBorders>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–0,2</w:t>
            </w:r>
          </w:p>
        </w:tc>
        <w:tc>
          <w:tcPr>
            <w:tcW w:w="1134" w:type="dxa"/>
            <w:tcBorders>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2</w:t>
            </w:r>
          </w:p>
        </w:tc>
        <w:tc>
          <w:tcPr>
            <w:tcW w:w="2211" w:type="dxa"/>
            <w:tcBorders>
              <w:top w:val="single" w:sz="6" w:space="0" w:color="auto"/>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Tela del tubo de aire de</w:t>
            </w:r>
            <w:r w:rsidR="008F1A53">
              <w:rPr>
                <w:lang w:val="es-ES"/>
              </w:rPr>
              <w:t> </w:t>
            </w:r>
            <w:r w:rsidRPr="00325F9C">
              <w:rPr>
                <w:lang w:val="es-ES"/>
              </w:rPr>
              <w:t>la compañía A</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0,53</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0,7</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–0,05</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–0,05</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–0,3</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–0,2</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3</w:t>
            </w:r>
          </w:p>
        </w:tc>
        <w:tc>
          <w:tcPr>
            <w:tcW w:w="2211" w:type="dxa"/>
            <w:tcBorders>
              <w:top w:val="single" w:sz="6" w:space="0" w:color="auto"/>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Tela del toldo de</w:t>
            </w:r>
            <w:r w:rsidR="008F1A53">
              <w:rPr>
                <w:lang w:val="es-ES"/>
              </w:rPr>
              <w:t xml:space="preserve"> </w:t>
            </w:r>
            <w:r w:rsidRPr="00325F9C">
              <w:rPr>
                <w:lang w:val="es-ES"/>
              </w:rPr>
              <w:t>la compañía B</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0,25</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0,27</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–0,1</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–0,15</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–0,05</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4</w:t>
            </w:r>
          </w:p>
        </w:tc>
        <w:tc>
          <w:tcPr>
            <w:tcW w:w="2211" w:type="dxa"/>
            <w:tcBorders>
              <w:top w:val="single" w:sz="6" w:space="0" w:color="auto"/>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Tela del tubo de aire de</w:t>
            </w:r>
            <w:r w:rsidR="008F1A53">
              <w:rPr>
                <w:lang w:val="es-ES"/>
              </w:rPr>
              <w:t> </w:t>
            </w:r>
            <w:r w:rsidRPr="00325F9C">
              <w:rPr>
                <w:lang w:val="es-ES"/>
              </w:rPr>
              <w:t>la compañía B</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0,57</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0,67</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–0,4</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–0,4</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–0,45</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5</w:t>
            </w:r>
          </w:p>
        </w:tc>
        <w:tc>
          <w:tcPr>
            <w:tcW w:w="2211" w:type="dxa"/>
            <w:tcBorders>
              <w:top w:val="single" w:sz="6" w:space="0" w:color="auto"/>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Tela del toldo de</w:t>
            </w:r>
            <w:r w:rsidR="008F1A53">
              <w:rPr>
                <w:lang w:val="es-ES"/>
              </w:rPr>
              <w:t xml:space="preserve"> </w:t>
            </w:r>
            <w:r w:rsidRPr="00325F9C">
              <w:rPr>
                <w:lang w:val="es-ES"/>
              </w:rPr>
              <w:t>la compañía C</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0,26</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0,3</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–0,2</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–0,5</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–0,3</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–0,4</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6</w:t>
            </w:r>
          </w:p>
        </w:tc>
        <w:tc>
          <w:tcPr>
            <w:tcW w:w="2211" w:type="dxa"/>
            <w:tcBorders>
              <w:top w:val="single" w:sz="6" w:space="0" w:color="auto"/>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Tela del tubo de aire de</w:t>
            </w:r>
            <w:r w:rsidR="008F1A53">
              <w:rPr>
                <w:lang w:val="es-ES"/>
              </w:rPr>
              <w:t> </w:t>
            </w:r>
            <w:r w:rsidRPr="00325F9C">
              <w:rPr>
                <w:lang w:val="es-ES"/>
              </w:rPr>
              <w:t>la compañía C</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0,54</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0,67</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–0,6</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–1,4</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–1,9</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–2,4</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7</w:t>
            </w:r>
          </w:p>
        </w:tc>
        <w:tc>
          <w:tcPr>
            <w:tcW w:w="2211" w:type="dxa"/>
            <w:tcBorders>
              <w:top w:val="single" w:sz="6" w:space="0" w:color="auto"/>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 xml:space="preserve">Salpicaduras de agua salada (4,8% </w:t>
            </w:r>
            <w:proofErr w:type="spellStart"/>
            <w:r w:rsidRPr="00325F9C">
              <w:rPr>
                <w:lang w:val="es-ES"/>
              </w:rPr>
              <w:t>NaCl</w:t>
            </w:r>
            <w:proofErr w:type="spellEnd"/>
            <w:r w:rsidRPr="00325F9C">
              <w:rPr>
                <w:lang w:val="es-ES"/>
              </w:rPr>
              <w:t>) por</w:t>
            </w:r>
            <w:r w:rsidR="008F1A53">
              <w:rPr>
                <w:lang w:val="es-ES"/>
              </w:rPr>
              <w:t> </w:t>
            </w:r>
            <w:r w:rsidRPr="00325F9C">
              <w:rPr>
                <w:lang w:val="es-ES"/>
              </w:rPr>
              <w:t>encima de «1»</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–0,35</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–0,55</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–0,95</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–1,1</w:t>
            </w:r>
          </w:p>
        </w:tc>
      </w:tr>
      <w:tr w:rsidR="00DA4AF8" w:rsidRPr="00996B64" w:rsidTr="008F1A53">
        <w:trPr>
          <w:cantSplit/>
          <w:jc w:val="center"/>
        </w:trPr>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8</w:t>
            </w:r>
          </w:p>
        </w:tc>
        <w:tc>
          <w:tcPr>
            <w:tcW w:w="2211" w:type="dxa"/>
            <w:tcBorders>
              <w:top w:val="single" w:sz="6" w:space="0" w:color="auto"/>
              <w:left w:val="single" w:sz="6" w:space="0" w:color="auto"/>
              <w:bottom w:val="single" w:sz="6" w:space="0" w:color="auto"/>
              <w:right w:val="single" w:sz="6" w:space="0" w:color="auto"/>
            </w:tcBorders>
          </w:tcPr>
          <w:p w:rsidR="00DA4AF8" w:rsidRPr="00325F9C" w:rsidRDefault="00DA4AF8" w:rsidP="008F1A53">
            <w:pPr>
              <w:pStyle w:val="Tabletext"/>
              <w:jc w:val="left"/>
              <w:rPr>
                <w:lang w:val="es-ES"/>
              </w:rPr>
            </w:pPr>
            <w:r w:rsidRPr="00325F9C">
              <w:rPr>
                <w:lang w:val="es-ES"/>
              </w:rPr>
              <w:t xml:space="preserve">Salpicaduras de agua salada (4,8% </w:t>
            </w:r>
            <w:proofErr w:type="spellStart"/>
            <w:r w:rsidRPr="00325F9C">
              <w:rPr>
                <w:lang w:val="es-ES"/>
              </w:rPr>
              <w:t>NaCl</w:t>
            </w:r>
            <w:proofErr w:type="spellEnd"/>
            <w:r w:rsidRPr="00325F9C">
              <w:rPr>
                <w:lang w:val="es-ES"/>
              </w:rPr>
              <w:t>) por</w:t>
            </w:r>
            <w:r w:rsidR="008F1A53">
              <w:rPr>
                <w:lang w:val="es-ES"/>
              </w:rPr>
              <w:t> </w:t>
            </w:r>
            <w:r w:rsidRPr="00325F9C">
              <w:rPr>
                <w:lang w:val="es-ES"/>
              </w:rPr>
              <w:t>encima de «3»</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w:t>
            </w:r>
          </w:p>
        </w:tc>
        <w:tc>
          <w:tcPr>
            <w:tcW w:w="96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–1,3</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–1,9</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–2,6</w:t>
            </w:r>
          </w:p>
        </w:tc>
        <w:tc>
          <w:tcPr>
            <w:tcW w:w="1134" w:type="dxa"/>
            <w:tcBorders>
              <w:top w:val="single" w:sz="6" w:space="0" w:color="auto"/>
              <w:left w:val="single" w:sz="6" w:space="0" w:color="auto"/>
              <w:bottom w:val="single" w:sz="6" w:space="0" w:color="auto"/>
              <w:right w:val="single" w:sz="6" w:space="0" w:color="auto"/>
            </w:tcBorders>
          </w:tcPr>
          <w:p w:rsidR="00DA4AF8" w:rsidRPr="00325F9C" w:rsidRDefault="00DA4AF8" w:rsidP="00BA0F18">
            <w:pPr>
              <w:pStyle w:val="Tabletext"/>
              <w:jc w:val="center"/>
              <w:rPr>
                <w:lang w:val="es-ES"/>
              </w:rPr>
            </w:pPr>
            <w:r w:rsidRPr="00325F9C">
              <w:rPr>
                <w:lang w:val="es-ES"/>
              </w:rPr>
              <w:t>–3,4</w:t>
            </w:r>
          </w:p>
        </w:tc>
      </w:tr>
      <w:tr w:rsidR="00DA4AF8" w:rsidRPr="00D159E0" w:rsidTr="008F1A53">
        <w:trPr>
          <w:cantSplit/>
          <w:jc w:val="center"/>
        </w:trPr>
        <w:tc>
          <w:tcPr>
            <w:tcW w:w="9639" w:type="dxa"/>
            <w:gridSpan w:val="8"/>
            <w:tcBorders>
              <w:top w:val="single" w:sz="6" w:space="0" w:color="auto"/>
            </w:tcBorders>
          </w:tcPr>
          <w:p w:rsidR="00DA4AF8" w:rsidRPr="00BA0F18" w:rsidRDefault="00DA4AF8" w:rsidP="001D38D0">
            <w:pPr>
              <w:pStyle w:val="Tablelegend"/>
              <w:ind w:left="-57" w:firstLine="0"/>
              <w:jc w:val="left"/>
              <w:rPr>
                <w:lang w:val="es-ES_tradnl"/>
              </w:rPr>
            </w:pPr>
            <w:r w:rsidRPr="00BA0F18">
              <w:rPr>
                <w:lang w:val="es-ES_tradnl"/>
              </w:rPr>
              <w:t>Frecuencia de las mediciones: 9,4 GHz</w:t>
            </w:r>
            <w:r w:rsidRPr="00BA0F18">
              <w:rPr>
                <w:lang w:val="es-ES_tradnl"/>
              </w:rPr>
              <w:br/>
              <w:t xml:space="preserve">Tamaño de la muestra: 600 </w:t>
            </w:r>
            <w:r w:rsidR="001D38D0">
              <w:rPr>
                <w:lang w:val="es-ES_tradnl"/>
              </w:rPr>
              <w:t>×</w:t>
            </w:r>
            <w:r w:rsidR="00BA0F18" w:rsidRPr="00BA0F18">
              <w:rPr>
                <w:lang w:val="es-ES_tradnl"/>
              </w:rPr>
              <w:t xml:space="preserve"> </w:t>
            </w:r>
            <w:r w:rsidRPr="00BA0F18">
              <w:rPr>
                <w:lang w:val="es-ES_tradnl"/>
              </w:rPr>
              <w:t>800 mm</w:t>
            </w:r>
          </w:p>
        </w:tc>
      </w:tr>
    </w:tbl>
    <w:p w:rsidR="00DA4AF8" w:rsidRPr="00325F9C" w:rsidRDefault="00DA4AF8" w:rsidP="00DA4AF8">
      <w:pPr>
        <w:keepNext/>
        <w:keepLines/>
        <w:spacing w:before="480"/>
        <w:ind w:left="794" w:hanging="794"/>
        <w:outlineLvl w:val="0"/>
        <w:rPr>
          <w:b/>
          <w:lang w:val="es-ES"/>
        </w:rPr>
      </w:pPr>
      <w:r w:rsidRPr="00325F9C">
        <w:rPr>
          <w:b/>
          <w:lang w:val="es-ES"/>
        </w:rPr>
        <w:t>4</w:t>
      </w:r>
      <w:r w:rsidRPr="00325F9C">
        <w:rPr>
          <w:b/>
          <w:lang w:val="es-ES"/>
        </w:rPr>
        <w:tab/>
        <w:t>Conclusiones</w:t>
      </w:r>
    </w:p>
    <w:p w:rsidR="00DA4AF8" w:rsidRPr="00325F9C" w:rsidRDefault="00DA4AF8" w:rsidP="00DA4AF8">
      <w:pPr>
        <w:rPr>
          <w:lang w:val="es-ES"/>
        </w:rPr>
      </w:pPr>
      <w:r w:rsidRPr="00325F9C">
        <w:rPr>
          <w:lang w:val="es-ES"/>
        </w:rPr>
        <w:t>Las pruebas indicaron que los SART instalados correctamente conseguirán la distan</w:t>
      </w:r>
      <w:r w:rsidR="00C82EF5">
        <w:rPr>
          <w:lang w:val="es-ES"/>
        </w:rPr>
        <w:t xml:space="preserve">cia de detección exigida por la </w:t>
      </w:r>
      <w:r w:rsidRPr="00325F9C">
        <w:rPr>
          <w:lang w:val="es-ES"/>
        </w:rPr>
        <w:t>OMI, incluso si se tienen en cuenta los efectos de supresión de la embarcación de salvamento. No es necesario instalar el SART a más de 1 m por encima del nivel del mar, ya que el peso adicional puede causar dificultades a los náufragos al instalar la antena, pero se prevé que en el futuro se conseguirán mejores soportes de antena, que darán una mayor distancia de detección.</w:t>
      </w:r>
    </w:p>
    <w:p w:rsidR="00DA4AF8" w:rsidRPr="00325F9C" w:rsidRDefault="00DA4AF8" w:rsidP="00DA4AF8">
      <w:pPr>
        <w:rPr>
          <w:lang w:val="es-ES"/>
        </w:rPr>
      </w:pPr>
      <w:r w:rsidRPr="00325F9C">
        <w:rPr>
          <w:b/>
          <w:lang w:val="es-ES"/>
        </w:rPr>
        <w:t>4.1</w:t>
      </w:r>
      <w:r w:rsidRPr="00325F9C">
        <w:rPr>
          <w:lang w:val="es-ES"/>
        </w:rPr>
        <w:tab/>
        <w:t>En las pruebas no se tuvo en cuenta el efecto de un reflector de radar sobre la calidad de funcionamiento del</w:t>
      </w:r>
      <w:r w:rsidR="001A1780">
        <w:rPr>
          <w:lang w:val="es-ES"/>
        </w:rPr>
        <w:t xml:space="preserve"> </w:t>
      </w:r>
      <w:r w:rsidRPr="00325F9C">
        <w:rPr>
          <w:lang w:val="es-ES"/>
        </w:rPr>
        <w:t>SART, pero cabe esperar que cause degradaciones considerables en las respuestas del</w:t>
      </w:r>
      <w:r w:rsidR="001A1780">
        <w:rPr>
          <w:lang w:val="es-ES"/>
        </w:rPr>
        <w:t xml:space="preserve"> </w:t>
      </w:r>
      <w:r w:rsidRPr="00325F9C">
        <w:rPr>
          <w:lang w:val="es-ES"/>
        </w:rPr>
        <w:t>SART. Se aconseja a los náufragos no instalar un</w:t>
      </w:r>
      <w:r w:rsidR="001A1780">
        <w:rPr>
          <w:lang w:val="es-ES"/>
        </w:rPr>
        <w:t xml:space="preserve"> </w:t>
      </w:r>
      <w:r w:rsidRPr="00325F9C">
        <w:rPr>
          <w:lang w:val="es-ES"/>
        </w:rPr>
        <w:t>SART y un reflector de radar en la misma embarcación, porque el reflector puede oscurecer el</w:t>
      </w:r>
      <w:r w:rsidR="001A1780">
        <w:rPr>
          <w:lang w:val="es-ES"/>
        </w:rPr>
        <w:t xml:space="preserve"> </w:t>
      </w:r>
      <w:r w:rsidRPr="00325F9C">
        <w:rPr>
          <w:lang w:val="es-ES"/>
        </w:rPr>
        <w:t>SART.</w:t>
      </w:r>
    </w:p>
    <w:p w:rsidR="00DA4AF8" w:rsidRPr="00325F9C" w:rsidRDefault="00DA4AF8" w:rsidP="00B566B6">
      <w:pPr>
        <w:pStyle w:val="AnnexNoTitle"/>
        <w:rPr>
          <w:lang w:val="es-ES" w:eastAsia="ja-JP"/>
        </w:rPr>
      </w:pPr>
      <w:r w:rsidRPr="00325F9C">
        <w:rPr>
          <w:lang w:val="es-ES"/>
        </w:rPr>
        <w:lastRenderedPageBreak/>
        <w:t xml:space="preserve">Anexo </w:t>
      </w:r>
      <w:r w:rsidRPr="00325F9C">
        <w:rPr>
          <w:lang w:val="es-ES" w:eastAsia="ja-JP"/>
        </w:rPr>
        <w:t>4</w:t>
      </w:r>
      <w:r w:rsidRPr="00325F9C">
        <w:rPr>
          <w:u w:val="single"/>
          <w:lang w:val="es-ES"/>
        </w:rPr>
        <w:br/>
      </w:r>
      <w:r w:rsidRPr="00325F9C">
        <w:rPr>
          <w:lang w:val="es-ES"/>
        </w:rPr>
        <w:br/>
        <w:t xml:space="preserve">Resultados de los SART con polarización </w:t>
      </w:r>
      <w:r w:rsidRPr="00325F9C">
        <w:rPr>
          <w:szCs w:val="28"/>
          <w:lang w:val="es-ES"/>
        </w:rPr>
        <w:t>circular</w:t>
      </w:r>
    </w:p>
    <w:p w:rsidR="00DA4AF8" w:rsidRPr="00325F9C" w:rsidRDefault="00DA4AF8" w:rsidP="003F2B68">
      <w:pPr>
        <w:pStyle w:val="Headingb"/>
        <w:rPr>
          <w:i/>
          <w:lang w:val="es-ES" w:eastAsia="ja-JP"/>
        </w:rPr>
      </w:pPr>
      <w:r w:rsidRPr="00325F9C">
        <w:rPr>
          <w:lang w:val="es-ES" w:eastAsia="ja-JP"/>
        </w:rPr>
        <w:t>Introducción</w:t>
      </w:r>
    </w:p>
    <w:p w:rsidR="00DA4AF8" w:rsidRPr="00325F9C" w:rsidRDefault="00DA4AF8" w:rsidP="00DA4AF8">
      <w:pPr>
        <w:rPr>
          <w:lang w:val="es-ES"/>
        </w:rPr>
      </w:pPr>
      <w:r w:rsidRPr="00325F9C">
        <w:rPr>
          <w:lang w:val="es-ES" w:eastAsia="ja-JP"/>
        </w:rPr>
        <w:t>La polarización horizontal se ha utilizado como método de polarización para los SART. Recientemente se han realizado experimentos en Japón que han mostrado que la polarización circular sería adecuada para los SART. A modo de prueba se fabricó un SART utilizando la polarización circular con una antena de hélice y se realizaron experimentos en tanques de agua y en el mar. Los resultados demostraron la superioridad de la polarización circular utilizada con los SART y se llegó a la conclusión de que empleando dicha polarización se podría reducir el tamaño de estos dispositivos.</w:t>
      </w:r>
    </w:p>
    <w:p w:rsidR="00DA4AF8" w:rsidRPr="00325F9C" w:rsidRDefault="00DA4AF8" w:rsidP="00B566B6">
      <w:pPr>
        <w:pStyle w:val="Heading1"/>
        <w:rPr>
          <w:lang w:val="es-ES"/>
        </w:rPr>
      </w:pPr>
      <w:r w:rsidRPr="00325F9C">
        <w:rPr>
          <w:lang w:val="es-ES" w:eastAsia="ja-JP"/>
        </w:rPr>
        <w:t>1</w:t>
      </w:r>
      <w:r w:rsidRPr="00325F9C">
        <w:rPr>
          <w:lang w:val="es-ES"/>
        </w:rPr>
        <w:tab/>
        <w:t>Características de las señales de los SART en las pruebas realizadas en tanques</w:t>
      </w:r>
    </w:p>
    <w:p w:rsidR="00DA4AF8" w:rsidRPr="00325F9C" w:rsidRDefault="00DA4AF8" w:rsidP="00DA4AF8">
      <w:pPr>
        <w:rPr>
          <w:lang w:val="es-ES" w:eastAsia="ja-JP"/>
        </w:rPr>
      </w:pPr>
      <w:r w:rsidRPr="00325F9C">
        <w:rPr>
          <w:lang w:val="es-ES"/>
        </w:rPr>
        <w:t>Las mediciones de la potencia recibida de las señales de los SART y las observaciones de la visibilidad de la señal recibida en el radar PPI se llevaron a cabo en un tanque de agua con olas artificiales instalado en un laboratorio de investigación en Japón. Los resultados mostraron que la polarización circular era superior a la polarización horizontal en los SART.</w:t>
      </w:r>
    </w:p>
    <w:p w:rsidR="00DA4AF8" w:rsidRPr="00325F9C" w:rsidRDefault="00DA4AF8" w:rsidP="00B566B6">
      <w:pPr>
        <w:pStyle w:val="Heading1"/>
        <w:rPr>
          <w:lang w:val="es-ES" w:eastAsia="ja-JP"/>
        </w:rPr>
      </w:pPr>
      <w:r w:rsidRPr="00325F9C">
        <w:rPr>
          <w:lang w:val="es-ES" w:eastAsia="ja-JP"/>
        </w:rPr>
        <w:t>2</w:t>
      </w:r>
      <w:r w:rsidRPr="00325F9C">
        <w:rPr>
          <w:lang w:val="es-ES"/>
        </w:rPr>
        <w:tab/>
      </w:r>
      <w:r w:rsidRPr="00325F9C">
        <w:rPr>
          <w:lang w:val="es-ES" w:eastAsia="ja-JP"/>
        </w:rPr>
        <w:t>Características de las señales de los SART en las pruebas realizadas en el mar</w:t>
      </w:r>
    </w:p>
    <w:p w:rsidR="00DA4AF8" w:rsidRPr="00325F9C" w:rsidRDefault="00DA4AF8" w:rsidP="00DA4AF8">
      <w:pPr>
        <w:rPr>
          <w:lang w:val="es-ES"/>
        </w:rPr>
      </w:pPr>
      <w:r w:rsidRPr="00325F9C">
        <w:rPr>
          <w:lang w:val="es-ES"/>
        </w:rPr>
        <w:t xml:space="preserve">Este experimento, que se realizó en el año 2000 en colaboración con distintos barcos y naves de las autoridades marítimas de Japón, en la bahía de </w:t>
      </w:r>
      <w:proofErr w:type="spellStart"/>
      <w:r w:rsidRPr="00325F9C">
        <w:rPr>
          <w:lang w:val="es-ES"/>
        </w:rPr>
        <w:t>Sagami</w:t>
      </w:r>
      <w:proofErr w:type="spellEnd"/>
      <w:r w:rsidRPr="00325F9C">
        <w:rPr>
          <w:lang w:val="es-ES"/>
        </w:rPr>
        <w:t>, consistió en observar la visibilidad de la señal de los SART recibida en los radares colocados a bordo de barcos y aviones. Asimismo, la potencia recibida de la señal de los SART se midió por medio de un radar colocado en tierra. Se obtuvieron los siguientes resultados:</w:t>
      </w:r>
    </w:p>
    <w:p w:rsidR="00DA4AF8" w:rsidRPr="00325F9C" w:rsidRDefault="001A1780" w:rsidP="00B566B6">
      <w:pPr>
        <w:pStyle w:val="enumlev1"/>
        <w:rPr>
          <w:lang w:val="es-ES"/>
        </w:rPr>
      </w:pPr>
      <w:r>
        <w:rPr>
          <w:lang w:val="es-ES"/>
        </w:rPr>
        <w:t>a)</w:t>
      </w:r>
      <w:r w:rsidR="00DA4AF8" w:rsidRPr="00325F9C">
        <w:rPr>
          <w:lang w:val="es-ES"/>
        </w:rPr>
        <w:tab/>
        <w:t>Con el radar colocado en un avión, la máxima distancia visible de las señales de los SART con polarización circular era de 37</w:t>
      </w:r>
      <w:r w:rsidR="001C30E7">
        <w:rPr>
          <w:lang w:val="es-ES"/>
        </w:rPr>
        <w:t> </w:t>
      </w:r>
      <w:r w:rsidR="00DA4AF8" w:rsidRPr="00325F9C">
        <w:rPr>
          <w:lang w:val="es-ES"/>
        </w:rPr>
        <w:t>MN, mientras que con polarización horizontal era de</w:t>
      </w:r>
      <w:r w:rsidR="001C30E7">
        <w:rPr>
          <w:lang w:val="es-ES"/>
        </w:rPr>
        <w:t xml:space="preserve"> </w:t>
      </w:r>
      <w:r w:rsidR="00DA4AF8" w:rsidRPr="00325F9C">
        <w:rPr>
          <w:lang w:val="es-ES"/>
        </w:rPr>
        <w:t>30 MN. Estas cifras confirman la superioridad de la polarización circular.</w:t>
      </w:r>
    </w:p>
    <w:p w:rsidR="00DA4AF8" w:rsidRPr="00325F9C" w:rsidRDefault="001A1780" w:rsidP="00B566B6">
      <w:pPr>
        <w:pStyle w:val="enumlev1"/>
        <w:rPr>
          <w:lang w:val="es-ES"/>
        </w:rPr>
      </w:pPr>
      <w:r>
        <w:rPr>
          <w:lang w:val="es-ES"/>
        </w:rPr>
        <w:t>b)</w:t>
      </w:r>
      <w:r w:rsidR="00DA4AF8" w:rsidRPr="00325F9C">
        <w:rPr>
          <w:lang w:val="es-ES"/>
        </w:rPr>
        <w:tab/>
        <w:t>Con el radar marino, la máxima distancia visible de las señales de los SART con polarización circular era de 14</w:t>
      </w:r>
      <w:r w:rsidR="001C30E7">
        <w:rPr>
          <w:lang w:val="es-ES"/>
        </w:rPr>
        <w:t> </w:t>
      </w:r>
      <w:r w:rsidR="00DA4AF8" w:rsidRPr="00325F9C">
        <w:rPr>
          <w:lang w:val="es-ES"/>
        </w:rPr>
        <w:t>MN, mientras que con polarización horizontal era de</w:t>
      </w:r>
      <w:r w:rsidR="001C30E7">
        <w:rPr>
          <w:lang w:val="es-ES"/>
        </w:rPr>
        <w:t xml:space="preserve"> </w:t>
      </w:r>
      <w:r w:rsidR="00DA4AF8" w:rsidRPr="00325F9C">
        <w:rPr>
          <w:lang w:val="es-ES"/>
        </w:rPr>
        <w:t>11,5 MN. Estos resultados confirman la superioridad de la polarización circular.</w:t>
      </w:r>
    </w:p>
    <w:p w:rsidR="00DA4AF8" w:rsidRPr="00325F9C" w:rsidRDefault="001A1780" w:rsidP="00C82EF5">
      <w:pPr>
        <w:pStyle w:val="enumlev1"/>
        <w:rPr>
          <w:lang w:val="es-ES" w:eastAsia="ja-JP"/>
        </w:rPr>
      </w:pPr>
      <w:r>
        <w:rPr>
          <w:lang w:val="es-ES"/>
        </w:rPr>
        <w:t>c)</w:t>
      </w:r>
      <w:r w:rsidR="00DA4AF8" w:rsidRPr="00325F9C">
        <w:rPr>
          <w:lang w:val="es-ES"/>
        </w:rPr>
        <w:tab/>
        <w:t>Con el radar marino colocado en tierra, se obtuvo el resultado que muestra la Fig.</w:t>
      </w:r>
      <w:r w:rsidR="00C82EF5">
        <w:rPr>
          <w:lang w:val="es-ES"/>
        </w:rPr>
        <w:t> </w:t>
      </w:r>
      <w:r w:rsidR="00DA4AF8" w:rsidRPr="00325F9C">
        <w:rPr>
          <w:lang w:val="es-ES"/>
        </w:rPr>
        <w:t>5. Los SART con polarización circular se desplazaron por el mar mediante una pequeña nave escolta. Se modificó la distancia entre el radar y los SART. La potencia recibida de los SART fue medida por el radar marino colocado en tierra. En la Fig.</w:t>
      </w:r>
      <w:r w:rsidR="00C82EF5">
        <w:rPr>
          <w:lang w:val="es-ES"/>
        </w:rPr>
        <w:t> </w:t>
      </w:r>
      <w:r w:rsidR="00DA4AF8" w:rsidRPr="00325F9C">
        <w:rPr>
          <w:lang w:val="es-ES"/>
        </w:rPr>
        <w:t>5, los puntos negros muestran las señales de los SART con polarización circular medidas realmente, y las líneas discontinuas muestran el valor teórico de las señales de los SART con polarización horizontal. Los datos medidos siempre superan la curva del valor teórico correspondiente a «SART a radar». La apariencia de las señales de los SART con polarización circular en el radar PPI era más intensa y más clara que la de las señales de los SART con polarización horizontal. Estos resultados confirman la superioridad de la polarización circular, debido a lo siguiente: el campo eléctrico gira y la polarización circular se resuelve en el elemento de polarización horizontal y en el elemento de polarización vertical. La característica de reflexión de la superficie del mar es distinta en ambos elementos de composición. Por consiguiente, la curva de intensidad de recepción varía en función de la distancia cuando interfieren la onda directa y la onda reflejada en la superficie del mar. Este fenómeno pone en evidencia que la distancia detectable de los SART con ondas de polarización circular es un 30% superior, o más, a la de los SART con polarización horizontal.</w:t>
      </w:r>
    </w:p>
    <w:p w:rsidR="00DA4AF8" w:rsidRPr="00325F9C" w:rsidRDefault="00DA4AF8" w:rsidP="006634BC">
      <w:pPr>
        <w:pStyle w:val="FigureNo"/>
        <w:rPr>
          <w:lang w:val="es-ES"/>
        </w:rPr>
      </w:pPr>
      <w:r w:rsidRPr="00325F9C">
        <w:rPr>
          <w:lang w:val="es-ES"/>
        </w:rPr>
        <w:lastRenderedPageBreak/>
        <w:t>FIGURA 5</w:t>
      </w:r>
    </w:p>
    <w:p w:rsidR="00DA4AF8" w:rsidRPr="00325F9C" w:rsidRDefault="00DA4AF8" w:rsidP="006634BC">
      <w:pPr>
        <w:pStyle w:val="Figuretitle"/>
        <w:rPr>
          <w:lang w:val="es-ES"/>
        </w:rPr>
      </w:pPr>
      <w:r w:rsidRPr="00325F9C">
        <w:rPr>
          <w:lang w:val="es-ES"/>
        </w:rPr>
        <w:t>Datos observados de las señales de los SART con polarización circular</w:t>
      </w:r>
      <w:r w:rsidRPr="00325F9C">
        <w:rPr>
          <w:lang w:val="es-ES"/>
        </w:rPr>
        <w:br/>
        <w:t>y valor teórico de la polarización horizontal</w:t>
      </w:r>
    </w:p>
    <w:p w:rsidR="00DA4AF8" w:rsidRPr="00325F9C" w:rsidRDefault="006634BC" w:rsidP="006634BC">
      <w:pPr>
        <w:pStyle w:val="Figure"/>
        <w:rPr>
          <w:lang w:val="es-ES"/>
        </w:rPr>
      </w:pPr>
      <w:r w:rsidRPr="00325F9C">
        <w:rPr>
          <w:lang w:val="es-ES"/>
        </w:rPr>
        <w:object w:dxaOrig="4086" w:dyaOrig="3563">
          <v:shape id="_x0000_i1029" type="#_x0000_t75" style="width:340.35pt;height:296.2pt" o:ole="">
            <v:imagedata r:id="rId22" o:title=""/>
          </v:shape>
          <o:OLEObject Type="Embed" ProgID="CorelDraw.Graphic.16" ShapeID="_x0000_i1029" DrawAspect="Content" ObjectID="_1495961349" r:id="rId23"/>
        </w:object>
      </w:r>
    </w:p>
    <w:p w:rsidR="00DA4AF8" w:rsidRPr="00325F9C" w:rsidRDefault="00DA4AF8" w:rsidP="00DA4AF8">
      <w:pPr>
        <w:spacing w:before="320"/>
        <w:rPr>
          <w:lang w:val="es-ES"/>
        </w:rPr>
      </w:pPr>
      <w:r w:rsidRPr="00325F9C">
        <w:rPr>
          <w:lang w:val="es-ES"/>
        </w:rPr>
        <w:t>Por otra parte, en 2004, se llevaron a cabo mediciones de la potencia recibida de una señal de los SART en malas condiciones meteorológicas utilizando un radar marino de un laboratorio de investigaciones en Japón. Los resultados confirmaron que los SART con polarización circular no eran inferiores a los de polarización horizontal.</w:t>
      </w:r>
    </w:p>
    <w:p w:rsidR="00DA4AF8" w:rsidRDefault="00DA4AF8" w:rsidP="00C82EF5">
      <w:pPr>
        <w:rPr>
          <w:lang w:val="es-ES_tradnl"/>
        </w:rPr>
      </w:pPr>
    </w:p>
    <w:p w:rsidR="00C82EF5" w:rsidRPr="00664C80" w:rsidRDefault="00C82EF5" w:rsidP="00C82EF5">
      <w:pPr>
        <w:spacing w:before="0"/>
        <w:rPr>
          <w:lang w:val="es-ES_tradnl"/>
        </w:rPr>
      </w:pPr>
    </w:p>
    <w:p w:rsidR="00DA4AF8" w:rsidRDefault="00DA4AF8">
      <w:pPr>
        <w:jc w:val="center"/>
      </w:pPr>
      <w:r>
        <w:t>______________</w:t>
      </w:r>
    </w:p>
    <w:p w:rsidR="00A6617B" w:rsidRPr="00DA4AF8" w:rsidRDefault="00A6617B" w:rsidP="00DA4AF8">
      <w:pPr>
        <w:rPr>
          <w:lang w:val="es-ES"/>
        </w:rPr>
      </w:pPr>
    </w:p>
    <w:sectPr w:rsidR="00A6617B" w:rsidRPr="00DA4AF8">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AF8" w:rsidRDefault="00DA4AF8">
      <w:r>
        <w:separator/>
      </w:r>
    </w:p>
  </w:endnote>
  <w:endnote w:type="continuationSeparator" w:id="0">
    <w:p w:rsidR="00DA4AF8" w:rsidRDefault="00DA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AF8" w:rsidRDefault="00DA4AF8">
      <w:r>
        <w:separator/>
      </w:r>
    </w:p>
  </w:footnote>
  <w:footnote w:type="continuationSeparator" w:id="0">
    <w:p w:rsidR="00DA4AF8" w:rsidRDefault="00DA4AF8">
      <w:r>
        <w:continuationSeparator/>
      </w:r>
    </w:p>
  </w:footnote>
  <w:footnote w:id="1">
    <w:p w:rsidR="00DA4AF8" w:rsidRPr="00DA4AF8" w:rsidRDefault="00DA4AF8">
      <w:pPr>
        <w:pStyle w:val="FootnoteText"/>
        <w:rPr>
          <w:lang w:val="es-ES_tradnl"/>
        </w:rPr>
      </w:pPr>
      <w:r>
        <w:rPr>
          <w:rStyle w:val="FootnoteReference"/>
        </w:rPr>
        <w:footnoteRef/>
      </w:r>
      <w:r w:rsidRPr="00DA4AF8">
        <w:rPr>
          <w:lang w:val="es-ES_tradnl"/>
        </w:rPr>
        <w:t xml:space="preserve"> </w:t>
      </w:r>
      <w:r>
        <w:rPr>
          <w:lang w:val="es-ES_tradnl"/>
        </w:rPr>
        <w:tab/>
      </w:r>
      <w:r w:rsidRPr="00EB2267">
        <w:rPr>
          <w:lang w:val="es-ES_tradnl"/>
        </w:rPr>
        <w:t>Se ruega al Director de la Oficina de Radiocomunicaciones que señale esta Recomendación a la atención de la Organización Marítima Internacional (OMI), de la Organización de Aviación Civil Internacional (OACI), de la Comisión Electrónica Internacional (CEI) y de la Asociación Internacional de Señalización Marítima (IALA).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rsidP="00CB1354">
    <w:pPr>
      <w:ind w:right="360" w:firstLine="360"/>
    </w:pPr>
    <w:r>
      <w:rPr>
        <w:noProof/>
        <w:lang w:val="es-ES_tradnl" w:eastAsia="zh-CN"/>
      </w:rPr>
      <w:drawing>
        <wp:anchor distT="0" distB="0" distL="114300" distR="114300" simplePos="0" relativeHeight="251660288" behindDoc="0" locked="0" layoutInCell="1" allowOverlap="1" wp14:anchorId="2147B0D7" wp14:editId="5657F25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9264" behindDoc="1" locked="0" layoutInCell="1" allowOverlap="1" wp14:anchorId="06F98D7D" wp14:editId="2EB5B4A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7462F">
      <w:rPr>
        <w:rStyle w:val="PageNumber"/>
        <w:b/>
        <w:bCs/>
        <w:noProof/>
      </w:rPr>
      <w:t>ii</w:t>
    </w:r>
    <w:r>
      <w:rPr>
        <w:rStyle w:val="PageNumber"/>
        <w:b/>
        <w:bCs/>
      </w:rPr>
      <w:fldChar w:fldCharType="end"/>
    </w:r>
    <w:r>
      <w:tab/>
    </w:r>
    <w:fldSimple w:instr=" DOCPROPERTY &quot;Header&quot; \* MERGEFORMAT ">
      <w:r w:rsidR="0077462F" w:rsidRPr="0077462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7462F">
      <w:rPr>
        <w:b/>
        <w:bCs/>
        <w:noProof/>
      </w:rPr>
      <w:t>UIT-R  M.628-4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r>
      <w:tab/>
    </w:r>
    <w:fldSimple w:instr=" DOCPROPERTY &quot;Header&quot; \* MERGEFORMAT ">
      <w:r w:rsidR="0077462F" w:rsidRPr="0077462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7462F">
      <w:rPr>
        <w:b/>
        <w:bCs/>
        <w:noProof/>
      </w:rPr>
      <w:t>UIT-R  M.628-4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462F">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7462F" w:rsidRPr="0077462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462F">
      <w:rPr>
        <w:b/>
        <w:bCs/>
        <w:noProof/>
      </w:rPr>
      <w:t>UIT-R  M.628-4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77462F" w:rsidRPr="0077462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7462F">
      <w:rPr>
        <w:b/>
        <w:bCs/>
        <w:noProof/>
      </w:rPr>
      <w:t>UIT-R  M.628-4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462F">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1E5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82E8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2B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5ED0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6EF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6076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0210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08D2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2CD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ACF55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F8"/>
    <w:rsid w:val="00191C99"/>
    <w:rsid w:val="001A1780"/>
    <w:rsid w:val="001C30E7"/>
    <w:rsid w:val="001D38D0"/>
    <w:rsid w:val="00217EBF"/>
    <w:rsid w:val="00242AEE"/>
    <w:rsid w:val="002D76C4"/>
    <w:rsid w:val="00336F6E"/>
    <w:rsid w:val="00362242"/>
    <w:rsid w:val="003F2B68"/>
    <w:rsid w:val="004F3682"/>
    <w:rsid w:val="0052529D"/>
    <w:rsid w:val="00556EE1"/>
    <w:rsid w:val="005673B8"/>
    <w:rsid w:val="005F19F4"/>
    <w:rsid w:val="00607D68"/>
    <w:rsid w:val="006634BC"/>
    <w:rsid w:val="00664C80"/>
    <w:rsid w:val="00672A53"/>
    <w:rsid w:val="007468DA"/>
    <w:rsid w:val="00752D86"/>
    <w:rsid w:val="0077462F"/>
    <w:rsid w:val="00797927"/>
    <w:rsid w:val="008F1A53"/>
    <w:rsid w:val="009B344C"/>
    <w:rsid w:val="009E00A8"/>
    <w:rsid w:val="00A16638"/>
    <w:rsid w:val="00A6617B"/>
    <w:rsid w:val="00AB0DC8"/>
    <w:rsid w:val="00AB2827"/>
    <w:rsid w:val="00B44E24"/>
    <w:rsid w:val="00B566B6"/>
    <w:rsid w:val="00BA0F18"/>
    <w:rsid w:val="00BB56C8"/>
    <w:rsid w:val="00BD676D"/>
    <w:rsid w:val="00C5400F"/>
    <w:rsid w:val="00C82EF5"/>
    <w:rsid w:val="00D159E0"/>
    <w:rsid w:val="00DA4AF8"/>
    <w:rsid w:val="00DF08A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BCE0EC4E-46A2-4A96-A8FA-CF93D294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A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A4A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A4AF8"/>
    <w:rPr>
      <w:color w:val="0000FF"/>
      <w:u w:val="single"/>
    </w:rPr>
  </w:style>
  <w:style w:type="character" w:customStyle="1" w:styleId="TableheadChar">
    <w:name w:val="Table_head Char"/>
    <w:basedOn w:val="DefaultParagraphFont"/>
    <w:link w:val="Tablehead"/>
    <w:locked/>
    <w:rsid w:val="00DA4AF8"/>
    <w:rPr>
      <w:b/>
      <w:sz w:val="22"/>
      <w:lang w:val="fr-FR" w:eastAsia="en-US"/>
    </w:rPr>
  </w:style>
  <w:style w:type="character" w:customStyle="1" w:styleId="TabletextChar">
    <w:name w:val="Table_text Char"/>
    <w:basedOn w:val="DefaultParagraphFont"/>
    <w:link w:val="Tabletext"/>
    <w:locked/>
    <w:rsid w:val="00DA4AF8"/>
    <w:rPr>
      <w:sz w:val="22"/>
      <w:lang w:val="fr-FR" w:eastAsia="en-US"/>
    </w:rPr>
  </w:style>
  <w:style w:type="character" w:customStyle="1" w:styleId="Heading1Char">
    <w:name w:val="Heading 1 Char"/>
    <w:basedOn w:val="DefaultParagraphFont"/>
    <w:link w:val="Heading1"/>
    <w:rsid w:val="00DA4AF8"/>
    <w:rPr>
      <w:b/>
      <w:sz w:val="24"/>
      <w:lang w:val="fr-FR" w:eastAsia="en-US"/>
    </w:rPr>
  </w:style>
  <w:style w:type="character" w:customStyle="1" w:styleId="HeaderChar">
    <w:name w:val="Header Char"/>
    <w:basedOn w:val="DefaultParagraphFont"/>
    <w:link w:val="Header"/>
    <w:rsid w:val="00DA4AF8"/>
    <w:rPr>
      <w:sz w:val="24"/>
      <w:lang w:val="fr-FR" w:eastAsia="en-US"/>
    </w:rPr>
  </w:style>
  <w:style w:type="paragraph" w:customStyle="1" w:styleId="Reasons">
    <w:name w:val="Reasons"/>
    <w:basedOn w:val="Normal"/>
    <w:qFormat/>
    <w:rsid w:val="00DA4AF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54E8D-6D90-49C0-8421-B9747618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159</TotalTime>
  <Pages>13</Pages>
  <Words>3552</Words>
  <Characters>16876</Characters>
  <Application>Microsoft Office Word</Application>
  <DocSecurity>0</DocSecurity>
  <Lines>432</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29</cp:revision>
  <cp:lastPrinted>2015-06-16T09:55:00Z</cp:lastPrinted>
  <dcterms:created xsi:type="dcterms:W3CDTF">2015-06-15T14:29:00Z</dcterms:created>
  <dcterms:modified xsi:type="dcterms:W3CDTF">2015-06-16T09:59:00Z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