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52B1" w14:textId="77777777" w:rsidR="00FE79FE" w:rsidRDefault="00FE79FE"/>
    <w:p w14:paraId="1A4AFF22" w14:textId="77777777" w:rsidR="00013002" w:rsidRDefault="00013002" w:rsidP="00DE5556">
      <w:pPr>
        <w:tabs>
          <w:tab w:val="clear" w:pos="794"/>
          <w:tab w:val="clear" w:pos="1191"/>
          <w:tab w:val="clear" w:pos="1588"/>
          <w:tab w:val="clear" w:pos="1985"/>
        </w:tabs>
      </w:pPr>
    </w:p>
    <w:p w14:paraId="4A2A82FC" w14:textId="724CDD76"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EC4D79">
        <w:rPr>
          <w:lang w:val="es-ES"/>
        </w:rPr>
        <w:t>M</w:t>
      </w:r>
      <w:r w:rsidRPr="00F111D6">
        <w:rPr>
          <w:lang w:val="es-ES"/>
        </w:rPr>
        <w:t>.</w:t>
      </w:r>
      <w:r w:rsidR="00146305">
        <w:rPr>
          <w:lang w:val="es-ES"/>
        </w:rPr>
        <w:t>585-10</w:t>
      </w:r>
    </w:p>
    <w:p w14:paraId="5BEFC9E6" w14:textId="28255E1E" w:rsidR="00D5024B" w:rsidRPr="00F111D6" w:rsidRDefault="00D5024B" w:rsidP="00D5024B">
      <w:pPr>
        <w:pStyle w:val="CoverDate"/>
        <w:rPr>
          <w:lang w:val="es-ES"/>
        </w:rPr>
      </w:pPr>
      <w:r w:rsidRPr="00F111D6">
        <w:rPr>
          <w:lang w:val="es-ES"/>
        </w:rPr>
        <w:t>(</w:t>
      </w:r>
      <w:r w:rsidR="00146305">
        <w:rPr>
          <w:lang w:val="es-ES"/>
        </w:rPr>
        <w:t>04</w:t>
      </w:r>
      <w:r w:rsidRPr="00F111D6">
        <w:rPr>
          <w:lang w:val="es-ES"/>
        </w:rPr>
        <w:t>/</w:t>
      </w:r>
      <w:r w:rsidR="00146305">
        <w:rPr>
          <w:lang w:val="es-ES"/>
        </w:rPr>
        <w:t>2026</w:t>
      </w:r>
      <w:r w:rsidRPr="00F111D6">
        <w:rPr>
          <w:lang w:val="es-ES"/>
        </w:rPr>
        <w:t>)</w:t>
      </w:r>
    </w:p>
    <w:p w14:paraId="192159EB"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EC4D79">
        <w:rPr>
          <w:lang w:val="es-ES"/>
        </w:rPr>
        <w:t>M</w:t>
      </w:r>
      <w:r w:rsidR="00D5024B" w:rsidRPr="00F111D6">
        <w:rPr>
          <w:lang w:val="es-ES"/>
        </w:rPr>
        <w:t xml:space="preserve">: </w:t>
      </w:r>
      <w:r w:rsidR="00EC4D79" w:rsidRPr="00EC4D79">
        <w:rPr>
          <w:lang w:val="es-ES"/>
        </w:rPr>
        <w:t>Servicios móviles, de radiodeterminación, de aficionados y otros servicios por satélite conexos</w:t>
      </w:r>
    </w:p>
    <w:p w14:paraId="73154B57" w14:textId="754E16A5" w:rsidR="00146305" w:rsidRPr="00F111D6" w:rsidRDefault="00146305" w:rsidP="00146305">
      <w:pPr>
        <w:pStyle w:val="CoverTitle"/>
        <w:rPr>
          <w:lang w:val="es-ES"/>
        </w:rPr>
      </w:pPr>
      <w:r w:rsidRPr="00146305">
        <w:rPr>
          <w:lang w:val="es-ES"/>
        </w:rPr>
        <w:t>Asignación y uso de identidades</w:t>
      </w:r>
      <w:r w:rsidR="00486144">
        <w:rPr>
          <w:lang w:val="es-ES"/>
        </w:rPr>
        <w:t xml:space="preserve"> </w:t>
      </w:r>
      <w:r w:rsidRPr="00146305">
        <w:rPr>
          <w:lang w:val="es-ES"/>
        </w:rPr>
        <w:t>del</w:t>
      </w:r>
      <w:r w:rsidR="00486144">
        <w:rPr>
          <w:lang w:val="es-ES"/>
        </w:rPr>
        <w:t> </w:t>
      </w:r>
      <w:r w:rsidRPr="00146305">
        <w:rPr>
          <w:lang w:val="es-ES"/>
        </w:rPr>
        <w:t>servicio móvil marítimo</w:t>
      </w:r>
    </w:p>
    <w:p w14:paraId="6B948D1A" w14:textId="77777777" w:rsidR="00A71FE5" w:rsidRPr="00F111D6" w:rsidRDefault="00A71FE5" w:rsidP="005373E0"/>
    <w:p w14:paraId="3CF60480" w14:textId="77777777" w:rsidR="00EE47C4" w:rsidRPr="00F111D6" w:rsidRDefault="00EE47C4" w:rsidP="005373E0">
      <w:pPr>
        <w:sectPr w:rsidR="00EE47C4" w:rsidRPr="00F111D6"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45176543"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6C718C">
        <w:rPr>
          <w:bCs/>
          <w:sz w:val="24"/>
          <w:szCs w:val="24"/>
          <w:lang w:val="es-ES_tradnl"/>
        </w:rPr>
        <w:lastRenderedPageBreak/>
        <w:t>Prólogo</w:t>
      </w:r>
    </w:p>
    <w:p w14:paraId="2D948F1C"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374301DC"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2B70DE86" w14:textId="77777777" w:rsidR="00C43E2C" w:rsidRPr="00021E8A" w:rsidRDefault="00C43E2C" w:rsidP="00C43E2C">
      <w:pPr>
        <w:pStyle w:val="Heading1"/>
        <w:spacing w:before="340"/>
        <w:jc w:val="center"/>
        <w:rPr>
          <w:szCs w:val="24"/>
          <w:lang w:val="es-ES_tradnl"/>
        </w:rPr>
      </w:pPr>
      <w:r w:rsidRPr="007F4B8E">
        <w:rPr>
          <w:lang w:val="es-ES_tradnl"/>
        </w:rPr>
        <w:t>Propiedad intelectual</w:t>
      </w:r>
    </w:p>
    <w:p w14:paraId="7A6A6671" w14:textId="77777777" w:rsidR="00C43E2C" w:rsidRPr="00A745EB" w:rsidRDefault="00C43E2C" w:rsidP="00C43E2C">
      <w:pPr>
        <w:spacing w:before="100"/>
        <w:rPr>
          <w:sz w:val="20"/>
        </w:rPr>
      </w:pPr>
      <w:r w:rsidRPr="00A745EB">
        <w:rPr>
          <w:sz w:val="20"/>
        </w:rPr>
        <w:t>La UIT señala a la atención la posibilidad de que la utilización o aplicación de la presente Recomendación suponga el empleo de un derecho de propiedad intelectual reivindicado. La UIT no adopta ninguna posición en cuanto a la demostración, validez o aplicabilidad de los derechos de propiedad intelectual reivindicados, ya sea por los miembros de la UIT o por terceros ajenos al proceso de elaboración de Recomendaciones.</w:t>
      </w:r>
    </w:p>
    <w:p w14:paraId="5EE90019" w14:textId="77777777" w:rsidR="00C43E2C" w:rsidRPr="00021E8A" w:rsidRDefault="00C43E2C" w:rsidP="00C43E2C">
      <w:pPr>
        <w:spacing w:before="100"/>
        <w:rPr>
          <w:sz w:val="20"/>
          <w:lang w:val="es-ES_tradnl"/>
        </w:rPr>
      </w:pPr>
      <w:r w:rsidRPr="0097249B">
        <w:rPr>
          <w:sz w:val="20"/>
        </w:rPr>
        <w:t xml:space="preserve">En la fecha de aprobación de la presente Recomendación, la UIT ha recibido notificación de propiedad intelectual, protegida por patente, que puede ser necesaria para aplicar esta Recomendación. Sin embargo, se advierte a los implementadores que esto puede no representar la información más reciente y, por lo tanto, se les insta encarecidamente a consultar la información de patentes del UIT-R apropiada disponible en </w:t>
      </w:r>
      <w:hyperlink r:id="rId10" w:history="1">
        <w:r w:rsidRPr="0097249B">
          <w:rPr>
            <w:color w:val="0000FF"/>
            <w:sz w:val="20"/>
            <w:u w:val="single"/>
          </w:rPr>
          <w:t>https://www.itu.int/en/ITU-R/study-groups/Pages/itu-r-patent-information.aspx</w:t>
        </w:r>
      </w:hyperlink>
      <w:r w:rsidRPr="0097249B">
        <w:rPr>
          <w:sz w:val="20"/>
        </w:rPr>
        <w:t>.</w:t>
      </w:r>
    </w:p>
    <w:p w14:paraId="7AF92178" w14:textId="77777777" w:rsidR="00C43E2C" w:rsidRPr="007C36CA" w:rsidRDefault="00C43E2C" w:rsidP="00C43E2C">
      <w:pPr>
        <w:spacing w:before="0"/>
        <w:jc w:val="center"/>
        <w:rPr>
          <w:sz w:val="22"/>
          <w:lang w:val="es-ES_tradnl"/>
        </w:rPr>
      </w:pPr>
      <w:bookmarkStart w:id="1" w:name="irecnoe"/>
      <w:bookmarkEnd w:id="1"/>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C43E2C" w:rsidRPr="00EC4D79" w14:paraId="510CE985" w14:textId="77777777" w:rsidTr="004D7713">
        <w:tc>
          <w:tcPr>
            <w:tcW w:w="9360" w:type="dxa"/>
            <w:gridSpan w:val="2"/>
          </w:tcPr>
          <w:p w14:paraId="4285F6EC" w14:textId="0CB7DE84" w:rsidR="00C43E2C" w:rsidRPr="00021E8A" w:rsidRDefault="00C43E2C" w:rsidP="004D7713">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Series de las Recomendaciones UIT-R</w:t>
            </w:r>
          </w:p>
          <w:p w14:paraId="285E9F2A" w14:textId="77777777" w:rsidR="00C43E2C" w:rsidRPr="00763D08"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1" w:history="1">
              <w:r>
                <w:rPr>
                  <w:rStyle w:val="Hyperlink"/>
                  <w:b w:val="0"/>
                  <w:bCs/>
                  <w:sz w:val="18"/>
                  <w:szCs w:val="18"/>
                  <w:lang w:val="es-ES_tradnl"/>
                </w:rPr>
                <w:t>https://www.itu.int/publ/R-REC/es</w:t>
              </w:r>
            </w:hyperlink>
            <w:r w:rsidRPr="00763D08">
              <w:rPr>
                <w:b w:val="0"/>
                <w:bCs/>
                <w:sz w:val="18"/>
                <w:szCs w:val="18"/>
                <w:lang w:val="es-ES_tradnl"/>
              </w:rPr>
              <w:t>)</w:t>
            </w:r>
          </w:p>
        </w:tc>
      </w:tr>
      <w:tr w:rsidR="00C43E2C" w:rsidRPr="00036EE3" w14:paraId="38063FF1" w14:textId="77777777" w:rsidTr="004D7713">
        <w:tc>
          <w:tcPr>
            <w:tcW w:w="1140" w:type="dxa"/>
            <w:tcBorders>
              <w:bottom w:val="nil"/>
            </w:tcBorders>
            <w:vAlign w:val="bottom"/>
          </w:tcPr>
          <w:p w14:paraId="7767764B" w14:textId="77777777" w:rsidR="00C43E2C" w:rsidRPr="00036EE3" w:rsidRDefault="00C43E2C" w:rsidP="004D7713">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5732196D" w14:textId="77777777" w:rsidR="00C43E2C" w:rsidRPr="00036EE3"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C43E2C" w:rsidRPr="004532F7" w14:paraId="3631459F" w14:textId="77777777" w:rsidTr="004D7713">
        <w:tc>
          <w:tcPr>
            <w:tcW w:w="1140" w:type="dxa"/>
            <w:tcBorders>
              <w:top w:val="nil"/>
              <w:bottom w:val="nil"/>
            </w:tcBorders>
          </w:tcPr>
          <w:p w14:paraId="62CFD61E" w14:textId="77777777" w:rsidR="00C43E2C" w:rsidRPr="004532F7" w:rsidRDefault="00C43E2C" w:rsidP="004D7713">
            <w:pPr>
              <w:spacing w:before="20" w:after="20"/>
              <w:ind w:left="57"/>
              <w:jc w:val="left"/>
              <w:rPr>
                <w:b/>
                <w:bCs/>
                <w:sz w:val="20"/>
                <w:lang w:val="en-US"/>
              </w:rPr>
            </w:pPr>
            <w:r w:rsidRPr="004532F7">
              <w:rPr>
                <w:b/>
                <w:bCs/>
                <w:sz w:val="20"/>
                <w:lang w:val="en-US"/>
              </w:rPr>
              <w:t>BO</w:t>
            </w:r>
          </w:p>
        </w:tc>
        <w:tc>
          <w:tcPr>
            <w:tcW w:w="8220" w:type="dxa"/>
            <w:tcBorders>
              <w:top w:val="nil"/>
              <w:bottom w:val="nil"/>
            </w:tcBorders>
          </w:tcPr>
          <w:p w14:paraId="5A56275F" w14:textId="77777777" w:rsidR="00C43E2C" w:rsidRPr="004532F7"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n-US"/>
              </w:rPr>
            </w:pPr>
            <w:r w:rsidRPr="004532F7">
              <w:rPr>
                <w:b w:val="0"/>
                <w:sz w:val="20"/>
              </w:rPr>
              <w:t>Distribución por satélite</w:t>
            </w:r>
          </w:p>
        </w:tc>
      </w:tr>
      <w:tr w:rsidR="00C43E2C" w:rsidRPr="00EC4D79" w14:paraId="315DADEB" w14:textId="77777777" w:rsidTr="004D7713">
        <w:tc>
          <w:tcPr>
            <w:tcW w:w="1140" w:type="dxa"/>
            <w:tcBorders>
              <w:top w:val="nil"/>
              <w:bottom w:val="nil"/>
            </w:tcBorders>
          </w:tcPr>
          <w:p w14:paraId="1B48C400" w14:textId="77777777" w:rsidR="00C43E2C" w:rsidRPr="006B22C3" w:rsidRDefault="00C43E2C" w:rsidP="004D7713">
            <w:pPr>
              <w:spacing w:before="20" w:after="20"/>
              <w:ind w:left="57"/>
              <w:jc w:val="left"/>
              <w:rPr>
                <w:b/>
                <w:bCs/>
                <w:sz w:val="20"/>
                <w:lang w:val="en-US"/>
              </w:rPr>
            </w:pPr>
            <w:r w:rsidRPr="006B22C3">
              <w:rPr>
                <w:b/>
                <w:bCs/>
                <w:sz w:val="20"/>
                <w:lang w:val="en-US"/>
              </w:rPr>
              <w:t>BR</w:t>
            </w:r>
          </w:p>
        </w:tc>
        <w:tc>
          <w:tcPr>
            <w:tcW w:w="8220" w:type="dxa"/>
            <w:tcBorders>
              <w:top w:val="nil"/>
              <w:bottom w:val="nil"/>
            </w:tcBorders>
          </w:tcPr>
          <w:p w14:paraId="5193E24E" w14:textId="77777777" w:rsidR="00C43E2C" w:rsidRPr="006B22C3"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s-ES_tradnl"/>
              </w:rPr>
            </w:pPr>
            <w:r w:rsidRPr="006B22C3">
              <w:rPr>
                <w:b w:val="0"/>
                <w:sz w:val="20"/>
                <w:lang w:val="es-ES_tradnl"/>
              </w:rPr>
              <w:t>Registro para producción, archivo y reproducción; películas en televisión</w:t>
            </w:r>
          </w:p>
        </w:tc>
      </w:tr>
      <w:tr w:rsidR="00C43E2C" w:rsidRPr="00847DD5" w14:paraId="0F1C52EB" w14:textId="77777777" w:rsidTr="004D7713">
        <w:tc>
          <w:tcPr>
            <w:tcW w:w="1140" w:type="dxa"/>
            <w:tcBorders>
              <w:top w:val="nil"/>
              <w:bottom w:val="nil"/>
            </w:tcBorders>
          </w:tcPr>
          <w:p w14:paraId="71E5D334" w14:textId="77777777" w:rsidR="00C43E2C" w:rsidRPr="00847DD5" w:rsidRDefault="00C43E2C" w:rsidP="004D7713">
            <w:pPr>
              <w:spacing w:before="20" w:after="20"/>
              <w:ind w:left="57"/>
              <w:jc w:val="left"/>
              <w:rPr>
                <w:b/>
                <w:bCs/>
                <w:sz w:val="20"/>
                <w:lang w:val="en-US"/>
              </w:rPr>
            </w:pPr>
            <w:r w:rsidRPr="00847DD5">
              <w:rPr>
                <w:b/>
                <w:bCs/>
                <w:sz w:val="20"/>
                <w:lang w:val="en-US"/>
              </w:rPr>
              <w:t>BS</w:t>
            </w:r>
          </w:p>
        </w:tc>
        <w:tc>
          <w:tcPr>
            <w:tcW w:w="8220" w:type="dxa"/>
            <w:tcBorders>
              <w:top w:val="nil"/>
              <w:bottom w:val="nil"/>
            </w:tcBorders>
          </w:tcPr>
          <w:p w14:paraId="18E472FF" w14:textId="77777777" w:rsidR="00C43E2C" w:rsidRPr="00847DD5"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C43E2C" w:rsidRPr="00ED2695" w14:paraId="3E9384EC" w14:textId="77777777" w:rsidTr="004D7713">
        <w:tc>
          <w:tcPr>
            <w:tcW w:w="1140" w:type="dxa"/>
            <w:tcBorders>
              <w:top w:val="nil"/>
              <w:bottom w:val="nil"/>
            </w:tcBorders>
          </w:tcPr>
          <w:p w14:paraId="4CA5B047" w14:textId="77777777" w:rsidR="00C43E2C" w:rsidRPr="00ED2695" w:rsidRDefault="00C43E2C" w:rsidP="004D7713">
            <w:pPr>
              <w:spacing w:before="20" w:after="20"/>
              <w:ind w:left="57"/>
              <w:jc w:val="left"/>
              <w:rPr>
                <w:b/>
                <w:bCs/>
                <w:sz w:val="20"/>
                <w:lang w:val="en-US"/>
              </w:rPr>
            </w:pPr>
            <w:r w:rsidRPr="00ED2695">
              <w:rPr>
                <w:b/>
                <w:bCs/>
                <w:sz w:val="20"/>
                <w:lang w:val="en-US"/>
              </w:rPr>
              <w:t>BT</w:t>
            </w:r>
          </w:p>
        </w:tc>
        <w:tc>
          <w:tcPr>
            <w:tcW w:w="8220" w:type="dxa"/>
            <w:tcBorders>
              <w:top w:val="nil"/>
              <w:bottom w:val="nil"/>
            </w:tcBorders>
          </w:tcPr>
          <w:p w14:paraId="0B686265" w14:textId="77777777" w:rsidR="00C43E2C" w:rsidRPr="00021E8A"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bCs/>
                <w:sz w:val="20"/>
                <w:lang w:val="en-US"/>
              </w:rPr>
            </w:pPr>
            <w:r w:rsidRPr="00021E8A">
              <w:rPr>
                <w:b w:val="0"/>
                <w:bCs/>
                <w:sz w:val="20"/>
              </w:rPr>
              <w:t>Servicio de radiodifusión (televisión)</w:t>
            </w:r>
          </w:p>
        </w:tc>
      </w:tr>
      <w:tr w:rsidR="00C43E2C" w:rsidRPr="008B56B2" w14:paraId="47B3CC9B" w14:textId="77777777" w:rsidTr="004D7713">
        <w:tc>
          <w:tcPr>
            <w:tcW w:w="1140" w:type="dxa"/>
            <w:tcBorders>
              <w:top w:val="nil"/>
              <w:bottom w:val="nil"/>
            </w:tcBorders>
            <w:shd w:val="clear" w:color="auto" w:fill="FFFFFF" w:themeFill="background1"/>
          </w:tcPr>
          <w:p w14:paraId="3C5F2F78" w14:textId="77777777" w:rsidR="00C43E2C" w:rsidRPr="008B56B2" w:rsidRDefault="00C43E2C" w:rsidP="004D7713">
            <w:pPr>
              <w:spacing w:before="20" w:after="2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2AACF15A" w14:textId="77777777" w:rsidR="00C43E2C" w:rsidRPr="008B56B2" w:rsidRDefault="00C43E2C" w:rsidP="004D771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fr-CH"/>
              </w:rPr>
            </w:pPr>
            <w:r w:rsidRPr="008B56B2">
              <w:rPr>
                <w:sz w:val="20"/>
              </w:rPr>
              <w:t>Servicio fijo</w:t>
            </w:r>
          </w:p>
        </w:tc>
      </w:tr>
      <w:tr w:rsidR="00C43E2C" w:rsidRPr="00EC4D79" w14:paraId="4B26D73B" w14:textId="77777777" w:rsidTr="004D7713">
        <w:tc>
          <w:tcPr>
            <w:tcW w:w="1140" w:type="dxa"/>
            <w:tcBorders>
              <w:top w:val="nil"/>
              <w:bottom w:val="nil"/>
            </w:tcBorders>
            <w:shd w:val="clear" w:color="auto" w:fill="F2F2F2" w:themeFill="background1" w:themeFillShade="F2"/>
          </w:tcPr>
          <w:p w14:paraId="57BD3804" w14:textId="77777777" w:rsidR="00C43E2C" w:rsidRPr="00EC4D79" w:rsidRDefault="00C43E2C" w:rsidP="004D7713">
            <w:pPr>
              <w:spacing w:before="20" w:after="20"/>
              <w:ind w:left="57"/>
              <w:jc w:val="left"/>
              <w:rPr>
                <w:rFonts w:hAnsi="Times New Roman Bold"/>
                <w:b/>
                <w:bCs/>
                <w:color w:val="000080"/>
                <w:sz w:val="20"/>
                <w:lang w:val="en-US"/>
              </w:rPr>
            </w:pPr>
            <w:r w:rsidRPr="00EC4D79">
              <w:rPr>
                <w:rFonts w:hAnsi="Times New Roman Bold"/>
                <w:b/>
                <w:bCs/>
                <w:color w:val="000080"/>
                <w:sz w:val="20"/>
                <w:lang w:val="en-US"/>
              </w:rPr>
              <w:t>M</w:t>
            </w:r>
          </w:p>
        </w:tc>
        <w:tc>
          <w:tcPr>
            <w:tcW w:w="8220" w:type="dxa"/>
            <w:tcBorders>
              <w:top w:val="nil"/>
              <w:bottom w:val="nil"/>
            </w:tcBorders>
            <w:shd w:val="clear" w:color="auto" w:fill="F2F2F2" w:themeFill="background1" w:themeFillShade="F2"/>
          </w:tcPr>
          <w:p w14:paraId="111AC5E7" w14:textId="77777777" w:rsidR="00C43E2C" w:rsidRPr="00EC4D79" w:rsidRDefault="00C43E2C" w:rsidP="004D771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rFonts w:hAnsi="Times New Roman Bold"/>
                <w:bCs/>
                <w:color w:val="000080"/>
                <w:sz w:val="20"/>
                <w:lang w:val="es-ES_tradnl"/>
              </w:rPr>
            </w:pPr>
            <w:r w:rsidRPr="00EC4D79">
              <w:rPr>
                <w:rFonts w:hAnsi="Times New Roman Bold"/>
                <w:bCs/>
                <w:color w:val="000080"/>
                <w:sz w:val="20"/>
                <w:lang w:val="es-ES_tradnl"/>
              </w:rPr>
              <w:t>Servicios m</w:t>
            </w:r>
            <w:r w:rsidRPr="00EC4D79">
              <w:rPr>
                <w:rFonts w:hAnsi="Times New Roman Bold"/>
                <w:bCs/>
                <w:color w:val="000080"/>
                <w:sz w:val="20"/>
                <w:lang w:val="es-ES_tradnl"/>
              </w:rPr>
              <w:t>ó</w:t>
            </w:r>
            <w:r w:rsidRPr="00EC4D79">
              <w:rPr>
                <w:rFonts w:hAnsi="Times New Roman Bold"/>
                <w:bCs/>
                <w:color w:val="000080"/>
                <w:sz w:val="20"/>
                <w:lang w:val="es-ES_tradnl"/>
              </w:rPr>
              <w:t>viles, de radiodeterminaci</w:t>
            </w:r>
            <w:r w:rsidRPr="00EC4D79">
              <w:rPr>
                <w:rFonts w:hAnsi="Times New Roman Bold"/>
                <w:bCs/>
                <w:color w:val="000080"/>
                <w:sz w:val="20"/>
                <w:lang w:val="es-ES_tradnl"/>
              </w:rPr>
              <w:t>ó</w:t>
            </w:r>
            <w:r w:rsidRPr="00EC4D79">
              <w:rPr>
                <w:rFonts w:hAnsi="Times New Roman Bold"/>
                <w:bCs/>
                <w:color w:val="000080"/>
                <w:sz w:val="20"/>
                <w:lang w:val="es-ES_tradnl"/>
              </w:rPr>
              <w:t>n, de aficionados y otros servicios por sat</w:t>
            </w:r>
            <w:r w:rsidRPr="00EC4D79">
              <w:rPr>
                <w:rFonts w:hAnsi="Times New Roman Bold"/>
                <w:bCs/>
                <w:color w:val="000080"/>
                <w:sz w:val="20"/>
                <w:lang w:val="es-ES_tradnl"/>
              </w:rPr>
              <w:t>é</w:t>
            </w:r>
            <w:r w:rsidRPr="00EC4D79">
              <w:rPr>
                <w:rFonts w:hAnsi="Times New Roman Bold"/>
                <w:bCs/>
                <w:color w:val="000080"/>
                <w:sz w:val="20"/>
                <w:lang w:val="es-ES_tradnl"/>
              </w:rPr>
              <w:t>lite conexos</w:t>
            </w:r>
          </w:p>
        </w:tc>
      </w:tr>
      <w:tr w:rsidR="00C43E2C" w:rsidRPr="00EC4D79" w14:paraId="18A2E15D" w14:textId="77777777" w:rsidTr="004D7713">
        <w:tc>
          <w:tcPr>
            <w:tcW w:w="1140" w:type="dxa"/>
            <w:tcBorders>
              <w:top w:val="nil"/>
              <w:bottom w:val="nil"/>
            </w:tcBorders>
          </w:tcPr>
          <w:p w14:paraId="2C1BC1A2" w14:textId="77777777" w:rsidR="00C43E2C" w:rsidRPr="00F95576" w:rsidRDefault="00C43E2C" w:rsidP="004D7713">
            <w:pPr>
              <w:spacing w:before="20" w:after="20"/>
              <w:ind w:left="57"/>
              <w:jc w:val="left"/>
              <w:rPr>
                <w:b/>
                <w:bCs/>
                <w:sz w:val="20"/>
                <w:lang w:val="fr-CH"/>
              </w:rPr>
            </w:pPr>
            <w:r w:rsidRPr="00F95576">
              <w:rPr>
                <w:b/>
                <w:bCs/>
                <w:sz w:val="20"/>
                <w:lang w:val="fr-CH"/>
              </w:rPr>
              <w:t>P</w:t>
            </w:r>
          </w:p>
        </w:tc>
        <w:tc>
          <w:tcPr>
            <w:tcW w:w="8220" w:type="dxa"/>
            <w:tcBorders>
              <w:top w:val="nil"/>
              <w:bottom w:val="nil"/>
            </w:tcBorders>
          </w:tcPr>
          <w:p w14:paraId="3FE03D77" w14:textId="77777777" w:rsidR="00C43E2C" w:rsidRPr="00F95576" w:rsidRDefault="00C43E2C" w:rsidP="004D7713">
            <w:pPr>
              <w:spacing w:before="20" w:after="20"/>
              <w:jc w:val="left"/>
              <w:rPr>
                <w:sz w:val="20"/>
                <w:lang w:val="es-ES_tradnl"/>
              </w:rPr>
            </w:pPr>
            <w:r w:rsidRPr="00F95576">
              <w:rPr>
                <w:sz w:val="20"/>
                <w:lang w:val="es-ES_tradnl"/>
              </w:rPr>
              <w:t>Propagación de las ondas radioeléctricas</w:t>
            </w:r>
          </w:p>
        </w:tc>
      </w:tr>
      <w:tr w:rsidR="00C43E2C" w:rsidRPr="00DE71F7" w14:paraId="11F65D19" w14:textId="77777777" w:rsidTr="004D7713">
        <w:tc>
          <w:tcPr>
            <w:tcW w:w="1140" w:type="dxa"/>
            <w:tcBorders>
              <w:top w:val="nil"/>
              <w:bottom w:val="nil"/>
            </w:tcBorders>
          </w:tcPr>
          <w:p w14:paraId="3BAC6C2D" w14:textId="77777777" w:rsidR="00C43E2C" w:rsidRPr="00DE71F7" w:rsidRDefault="00C43E2C" w:rsidP="004D7713">
            <w:pPr>
              <w:spacing w:before="20" w:after="20"/>
              <w:ind w:left="57"/>
              <w:jc w:val="left"/>
              <w:rPr>
                <w:b/>
                <w:bCs/>
                <w:sz w:val="20"/>
                <w:lang w:val="en-US"/>
              </w:rPr>
            </w:pPr>
            <w:r w:rsidRPr="00DE71F7">
              <w:rPr>
                <w:b/>
                <w:bCs/>
                <w:sz w:val="20"/>
                <w:lang w:val="en-US"/>
              </w:rPr>
              <w:t>RA</w:t>
            </w:r>
          </w:p>
        </w:tc>
        <w:tc>
          <w:tcPr>
            <w:tcW w:w="8220" w:type="dxa"/>
            <w:tcBorders>
              <w:top w:val="nil"/>
              <w:bottom w:val="nil"/>
            </w:tcBorders>
          </w:tcPr>
          <w:p w14:paraId="60BEC772" w14:textId="77777777" w:rsidR="00C43E2C" w:rsidRPr="00DE71F7" w:rsidRDefault="00C43E2C" w:rsidP="004D771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en-US"/>
              </w:rPr>
            </w:pPr>
            <w:r w:rsidRPr="00DE71F7">
              <w:rPr>
                <w:sz w:val="20"/>
              </w:rPr>
              <w:t>Radioastronomía</w:t>
            </w:r>
          </w:p>
        </w:tc>
      </w:tr>
      <w:tr w:rsidR="00C43E2C" w:rsidRPr="00EC4D79" w14:paraId="1AAFD529" w14:textId="77777777" w:rsidTr="004D7713">
        <w:tc>
          <w:tcPr>
            <w:tcW w:w="1140" w:type="dxa"/>
            <w:tcBorders>
              <w:top w:val="nil"/>
              <w:bottom w:val="nil"/>
            </w:tcBorders>
          </w:tcPr>
          <w:p w14:paraId="335E4526" w14:textId="77777777" w:rsidR="00C43E2C" w:rsidRPr="00D12388" w:rsidRDefault="00C43E2C" w:rsidP="004D7713">
            <w:pPr>
              <w:spacing w:before="20" w:after="20"/>
              <w:ind w:left="57"/>
              <w:jc w:val="left"/>
              <w:rPr>
                <w:b/>
                <w:bCs/>
                <w:sz w:val="20"/>
                <w:lang w:val="en-US"/>
              </w:rPr>
            </w:pPr>
            <w:r w:rsidRPr="00D12388">
              <w:rPr>
                <w:b/>
                <w:bCs/>
                <w:sz w:val="20"/>
                <w:lang w:val="en-US"/>
              </w:rPr>
              <w:t>RS</w:t>
            </w:r>
          </w:p>
        </w:tc>
        <w:tc>
          <w:tcPr>
            <w:tcW w:w="8220" w:type="dxa"/>
            <w:tcBorders>
              <w:top w:val="nil"/>
              <w:bottom w:val="nil"/>
            </w:tcBorders>
          </w:tcPr>
          <w:p w14:paraId="428F9E11" w14:textId="77777777" w:rsidR="00C43E2C" w:rsidRPr="00D12388" w:rsidRDefault="00C43E2C" w:rsidP="004D771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es-ES_tradnl"/>
              </w:rPr>
            </w:pPr>
            <w:r w:rsidRPr="00D12388">
              <w:rPr>
                <w:sz w:val="20"/>
                <w:lang w:val="es-ES_tradnl"/>
              </w:rPr>
              <w:t>Sistemas de detección a distancia</w:t>
            </w:r>
          </w:p>
        </w:tc>
      </w:tr>
      <w:tr w:rsidR="00C43E2C" w:rsidRPr="00025336" w14:paraId="1CA9906B" w14:textId="77777777" w:rsidTr="004D7713">
        <w:tc>
          <w:tcPr>
            <w:tcW w:w="1140" w:type="dxa"/>
            <w:tcBorders>
              <w:top w:val="nil"/>
              <w:bottom w:val="nil"/>
            </w:tcBorders>
          </w:tcPr>
          <w:p w14:paraId="66913758" w14:textId="77777777" w:rsidR="00C43E2C" w:rsidRPr="00025336" w:rsidRDefault="00C43E2C" w:rsidP="004D7713">
            <w:pPr>
              <w:spacing w:before="20" w:after="20"/>
              <w:ind w:left="57"/>
              <w:jc w:val="left"/>
              <w:rPr>
                <w:b/>
                <w:bCs/>
                <w:sz w:val="20"/>
                <w:lang w:val="en-US"/>
              </w:rPr>
            </w:pPr>
            <w:r w:rsidRPr="00025336">
              <w:rPr>
                <w:b/>
                <w:bCs/>
                <w:sz w:val="20"/>
                <w:lang w:val="en-US"/>
              </w:rPr>
              <w:t>S</w:t>
            </w:r>
          </w:p>
        </w:tc>
        <w:tc>
          <w:tcPr>
            <w:tcW w:w="8220" w:type="dxa"/>
            <w:tcBorders>
              <w:top w:val="nil"/>
              <w:bottom w:val="nil"/>
            </w:tcBorders>
          </w:tcPr>
          <w:p w14:paraId="6C0526AC" w14:textId="77777777" w:rsidR="00C43E2C" w:rsidRPr="00025336" w:rsidRDefault="00C43E2C" w:rsidP="004D7713">
            <w:pPr>
              <w:spacing w:before="20" w:after="20"/>
              <w:jc w:val="left"/>
              <w:rPr>
                <w:sz w:val="20"/>
                <w:lang w:val="en-US"/>
              </w:rPr>
            </w:pPr>
            <w:r w:rsidRPr="00025336">
              <w:rPr>
                <w:sz w:val="20"/>
              </w:rPr>
              <w:t>Servicio fijo por satélite</w:t>
            </w:r>
          </w:p>
        </w:tc>
      </w:tr>
      <w:tr w:rsidR="00C43E2C" w:rsidRPr="00EC4D79" w14:paraId="4F459B43" w14:textId="77777777" w:rsidTr="004D7713">
        <w:tc>
          <w:tcPr>
            <w:tcW w:w="1140" w:type="dxa"/>
            <w:tcBorders>
              <w:top w:val="nil"/>
              <w:bottom w:val="nil"/>
            </w:tcBorders>
            <w:shd w:val="clear" w:color="auto" w:fill="FFFFFF" w:themeFill="background1"/>
          </w:tcPr>
          <w:p w14:paraId="30161D22" w14:textId="77777777" w:rsidR="00C43E2C" w:rsidRPr="00EC4D79" w:rsidRDefault="00C43E2C" w:rsidP="004D7713">
            <w:pPr>
              <w:spacing w:before="20" w:after="20"/>
              <w:ind w:left="57"/>
              <w:jc w:val="left"/>
              <w:rPr>
                <w:b/>
                <w:bCs/>
                <w:sz w:val="20"/>
                <w:lang w:val="en-US"/>
              </w:rPr>
            </w:pPr>
            <w:r w:rsidRPr="00EC4D79">
              <w:rPr>
                <w:b/>
                <w:bCs/>
                <w:sz w:val="20"/>
                <w:lang w:val="en-US"/>
              </w:rPr>
              <w:t>SA</w:t>
            </w:r>
          </w:p>
        </w:tc>
        <w:tc>
          <w:tcPr>
            <w:tcW w:w="8220" w:type="dxa"/>
            <w:tcBorders>
              <w:top w:val="nil"/>
              <w:bottom w:val="nil"/>
            </w:tcBorders>
            <w:shd w:val="clear" w:color="auto" w:fill="FFFFFF" w:themeFill="background1"/>
          </w:tcPr>
          <w:p w14:paraId="5B686709" w14:textId="77777777" w:rsidR="00C43E2C" w:rsidRPr="00EC4D79" w:rsidRDefault="00C43E2C" w:rsidP="004D7713">
            <w:pPr>
              <w:spacing w:before="20" w:after="20"/>
              <w:jc w:val="left"/>
              <w:rPr>
                <w:sz w:val="20"/>
                <w:lang w:val="en-US"/>
              </w:rPr>
            </w:pPr>
            <w:r w:rsidRPr="00EC4D79">
              <w:rPr>
                <w:sz w:val="20"/>
              </w:rPr>
              <w:t>Aplicaciones espaciales y meteorología</w:t>
            </w:r>
          </w:p>
        </w:tc>
      </w:tr>
      <w:tr w:rsidR="00C43E2C" w:rsidRPr="00EC4D79" w14:paraId="69CF4A71" w14:textId="77777777" w:rsidTr="004D7713">
        <w:tc>
          <w:tcPr>
            <w:tcW w:w="1140" w:type="dxa"/>
            <w:tcBorders>
              <w:top w:val="nil"/>
            </w:tcBorders>
          </w:tcPr>
          <w:p w14:paraId="3C622EC2" w14:textId="77777777" w:rsidR="00C43E2C" w:rsidRPr="00036EE3" w:rsidRDefault="00C43E2C" w:rsidP="004D7713">
            <w:pPr>
              <w:spacing w:before="20" w:after="20"/>
              <w:ind w:left="57"/>
              <w:jc w:val="left"/>
              <w:rPr>
                <w:b/>
                <w:bCs/>
                <w:sz w:val="20"/>
                <w:lang w:val="en-US"/>
              </w:rPr>
            </w:pPr>
            <w:r w:rsidRPr="00036EE3">
              <w:rPr>
                <w:b/>
                <w:bCs/>
                <w:sz w:val="20"/>
                <w:lang w:val="en-US"/>
              </w:rPr>
              <w:t>SF</w:t>
            </w:r>
          </w:p>
        </w:tc>
        <w:tc>
          <w:tcPr>
            <w:tcW w:w="8220" w:type="dxa"/>
            <w:tcBorders>
              <w:top w:val="nil"/>
            </w:tcBorders>
          </w:tcPr>
          <w:p w14:paraId="1DA8A504" w14:textId="77777777" w:rsidR="00C43E2C" w:rsidRPr="00021E8A" w:rsidRDefault="00C43E2C" w:rsidP="004D7713">
            <w:pPr>
              <w:spacing w:before="20" w:after="2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C43E2C" w:rsidRPr="00036EE3" w14:paraId="298DB31D" w14:textId="77777777" w:rsidTr="004D7713">
        <w:tc>
          <w:tcPr>
            <w:tcW w:w="1140" w:type="dxa"/>
          </w:tcPr>
          <w:p w14:paraId="5067AF89" w14:textId="77777777" w:rsidR="00C43E2C" w:rsidRPr="001240BC" w:rsidRDefault="00C43E2C" w:rsidP="004D7713">
            <w:pPr>
              <w:spacing w:before="20" w:after="20"/>
              <w:ind w:left="57"/>
              <w:jc w:val="left"/>
              <w:rPr>
                <w:b/>
                <w:bCs/>
                <w:sz w:val="20"/>
                <w:lang w:val="en-US"/>
              </w:rPr>
            </w:pPr>
            <w:r w:rsidRPr="001240BC">
              <w:rPr>
                <w:b/>
                <w:bCs/>
                <w:sz w:val="20"/>
                <w:lang w:val="en-US"/>
              </w:rPr>
              <w:t>SM</w:t>
            </w:r>
          </w:p>
        </w:tc>
        <w:tc>
          <w:tcPr>
            <w:tcW w:w="8220" w:type="dxa"/>
          </w:tcPr>
          <w:p w14:paraId="34C5F67C" w14:textId="77777777" w:rsidR="00C43E2C" w:rsidRPr="001240BC" w:rsidRDefault="00C43E2C" w:rsidP="004D7713">
            <w:pPr>
              <w:spacing w:before="20" w:after="20"/>
              <w:jc w:val="left"/>
              <w:rPr>
                <w:sz w:val="20"/>
                <w:lang w:val="en-US"/>
              </w:rPr>
            </w:pPr>
            <w:r w:rsidRPr="001240BC">
              <w:rPr>
                <w:sz w:val="20"/>
              </w:rPr>
              <w:t>Gestión del espectro</w:t>
            </w:r>
          </w:p>
        </w:tc>
      </w:tr>
      <w:tr w:rsidR="00C43E2C" w:rsidRPr="00036EE3" w14:paraId="0290CE49" w14:textId="77777777" w:rsidTr="004D7713">
        <w:tc>
          <w:tcPr>
            <w:tcW w:w="1140" w:type="dxa"/>
          </w:tcPr>
          <w:p w14:paraId="3C1D1EA0" w14:textId="77777777" w:rsidR="00C43E2C" w:rsidRPr="00036EE3" w:rsidRDefault="00C43E2C" w:rsidP="004D7713">
            <w:pPr>
              <w:spacing w:before="20" w:after="20"/>
              <w:ind w:left="57"/>
              <w:jc w:val="left"/>
              <w:rPr>
                <w:b/>
                <w:bCs/>
                <w:sz w:val="20"/>
                <w:lang w:val="en-US"/>
              </w:rPr>
            </w:pPr>
            <w:r w:rsidRPr="00036EE3">
              <w:rPr>
                <w:b/>
                <w:bCs/>
                <w:sz w:val="20"/>
                <w:lang w:val="en-US"/>
              </w:rPr>
              <w:t>SNG</w:t>
            </w:r>
          </w:p>
        </w:tc>
        <w:tc>
          <w:tcPr>
            <w:tcW w:w="8220" w:type="dxa"/>
          </w:tcPr>
          <w:p w14:paraId="442CB7B7" w14:textId="77777777" w:rsidR="00C43E2C" w:rsidRPr="00021E8A" w:rsidRDefault="00C43E2C" w:rsidP="004D7713">
            <w:pPr>
              <w:spacing w:before="20" w:after="20"/>
              <w:jc w:val="left"/>
              <w:rPr>
                <w:bCs/>
                <w:sz w:val="20"/>
                <w:lang w:val="en-US"/>
              </w:rPr>
            </w:pPr>
            <w:r w:rsidRPr="00021E8A">
              <w:rPr>
                <w:bCs/>
                <w:sz w:val="20"/>
              </w:rPr>
              <w:t>Periodismo electrónico por satélite</w:t>
            </w:r>
          </w:p>
        </w:tc>
      </w:tr>
      <w:tr w:rsidR="00C43E2C" w:rsidRPr="00EC4D79" w14:paraId="63315C46" w14:textId="77777777" w:rsidTr="004D7713">
        <w:tc>
          <w:tcPr>
            <w:tcW w:w="1140" w:type="dxa"/>
          </w:tcPr>
          <w:p w14:paraId="08468217" w14:textId="77777777" w:rsidR="00C43E2C" w:rsidRPr="00036EE3" w:rsidRDefault="00C43E2C" w:rsidP="004D7713">
            <w:pPr>
              <w:spacing w:before="20" w:after="20"/>
              <w:ind w:left="57"/>
              <w:jc w:val="left"/>
              <w:rPr>
                <w:b/>
                <w:bCs/>
                <w:sz w:val="20"/>
                <w:lang w:val="en-US"/>
              </w:rPr>
            </w:pPr>
            <w:r w:rsidRPr="00036EE3">
              <w:rPr>
                <w:b/>
                <w:bCs/>
                <w:sz w:val="20"/>
                <w:lang w:val="en-US"/>
              </w:rPr>
              <w:t>TF</w:t>
            </w:r>
          </w:p>
        </w:tc>
        <w:tc>
          <w:tcPr>
            <w:tcW w:w="8220" w:type="dxa"/>
          </w:tcPr>
          <w:p w14:paraId="13F96F59" w14:textId="77777777" w:rsidR="00C43E2C" w:rsidRPr="00021E8A" w:rsidRDefault="00C43E2C" w:rsidP="004D7713">
            <w:pPr>
              <w:spacing w:before="20" w:after="20"/>
              <w:jc w:val="left"/>
              <w:rPr>
                <w:bCs/>
                <w:sz w:val="20"/>
                <w:lang w:val="es-ES_tradnl"/>
              </w:rPr>
            </w:pPr>
            <w:r w:rsidRPr="00021E8A">
              <w:rPr>
                <w:bCs/>
                <w:sz w:val="20"/>
                <w:lang w:val="es-ES_tradnl"/>
              </w:rPr>
              <w:t>Emisiones de frecuencias patrón y señales horarias</w:t>
            </w:r>
          </w:p>
        </w:tc>
      </w:tr>
      <w:tr w:rsidR="00C43E2C" w:rsidRPr="00036EE3" w14:paraId="2F8A6580" w14:textId="77777777" w:rsidTr="004D7713">
        <w:tc>
          <w:tcPr>
            <w:tcW w:w="1140" w:type="dxa"/>
          </w:tcPr>
          <w:p w14:paraId="77ADC7CC" w14:textId="77777777" w:rsidR="00C43E2C" w:rsidRPr="00036EE3" w:rsidRDefault="00C43E2C" w:rsidP="004D7713">
            <w:pPr>
              <w:spacing w:before="20" w:after="20"/>
              <w:ind w:left="57"/>
              <w:jc w:val="left"/>
              <w:rPr>
                <w:b/>
                <w:bCs/>
                <w:sz w:val="20"/>
                <w:lang w:val="en-US"/>
              </w:rPr>
            </w:pPr>
            <w:r w:rsidRPr="00036EE3">
              <w:rPr>
                <w:b/>
                <w:bCs/>
                <w:sz w:val="20"/>
                <w:lang w:val="en-US"/>
              </w:rPr>
              <w:t>V</w:t>
            </w:r>
          </w:p>
        </w:tc>
        <w:tc>
          <w:tcPr>
            <w:tcW w:w="8220" w:type="dxa"/>
          </w:tcPr>
          <w:p w14:paraId="60D6E7E0" w14:textId="77777777" w:rsidR="00C43E2C" w:rsidRPr="00021E8A" w:rsidRDefault="00C43E2C" w:rsidP="004D7713">
            <w:pPr>
              <w:spacing w:before="20" w:after="20"/>
              <w:jc w:val="left"/>
              <w:rPr>
                <w:bCs/>
                <w:sz w:val="20"/>
                <w:lang w:val="en-US"/>
              </w:rPr>
            </w:pPr>
            <w:r w:rsidRPr="00021E8A">
              <w:rPr>
                <w:bCs/>
                <w:sz w:val="20"/>
              </w:rPr>
              <w:t>Vocabulario y cuestiones afines</w:t>
            </w:r>
          </w:p>
        </w:tc>
      </w:tr>
    </w:tbl>
    <w:p w14:paraId="6B64B344" w14:textId="77777777" w:rsidR="00C43E2C" w:rsidRPr="00036EE3" w:rsidRDefault="00C43E2C" w:rsidP="00C43E2C">
      <w:pPr>
        <w:spacing w:before="0" w:after="140"/>
        <w:jc w:val="center"/>
        <w:rPr>
          <w:sz w:val="20"/>
          <w:lang w:val="en-US"/>
        </w:rPr>
      </w:pPr>
    </w:p>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C43E2C" w:rsidRPr="00EC4D79" w14:paraId="1B60CC1E" w14:textId="77777777" w:rsidTr="004D7713">
        <w:tc>
          <w:tcPr>
            <w:tcW w:w="9609" w:type="dxa"/>
          </w:tcPr>
          <w:p w14:paraId="113E3AC2" w14:textId="77777777" w:rsidR="00C43E2C" w:rsidRPr="00F111D6" w:rsidRDefault="00C43E2C" w:rsidP="004D7713">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Pr="00F111D6">
              <w:rPr>
                <w:rFonts w:ascii="Times New Roman" w:hAnsi="Times New Roman" w:cs="Times New Roman"/>
                <w:i/>
                <w:iCs/>
                <w:sz w:val="20"/>
                <w:lang w:val="es-ES_tradnl"/>
              </w:rPr>
              <w:noBreakHyphen/>
              <w:t>R 1.</w:t>
            </w:r>
          </w:p>
        </w:tc>
      </w:tr>
    </w:tbl>
    <w:p w14:paraId="6B8351BE" w14:textId="77777777" w:rsidR="00C43E2C" w:rsidRPr="00763D08" w:rsidRDefault="00C43E2C" w:rsidP="00C43E2C">
      <w:pPr>
        <w:spacing w:before="0"/>
        <w:jc w:val="center"/>
        <w:rPr>
          <w:sz w:val="22"/>
          <w:lang w:val="es-ES_tradnl"/>
        </w:rPr>
      </w:pPr>
    </w:p>
    <w:p w14:paraId="27E3E4BB" w14:textId="77777777" w:rsidR="00C43E2C" w:rsidRPr="00763D08" w:rsidRDefault="00C43E2C" w:rsidP="00C43E2C">
      <w:pPr>
        <w:spacing w:before="60"/>
        <w:jc w:val="right"/>
        <w:rPr>
          <w:i/>
          <w:iCs/>
          <w:sz w:val="20"/>
          <w:lang w:val="es-ES_tradnl"/>
        </w:rPr>
      </w:pPr>
      <w:r w:rsidRPr="00763D08">
        <w:rPr>
          <w:i/>
          <w:iCs/>
          <w:sz w:val="20"/>
          <w:lang w:val="es-ES_tradnl"/>
        </w:rPr>
        <w:t>Publicación electrónica</w:t>
      </w:r>
    </w:p>
    <w:p w14:paraId="6CCA9367" w14:textId="77777777" w:rsidR="00C43E2C" w:rsidRPr="00763D08" w:rsidRDefault="00C43E2C" w:rsidP="00C43E2C">
      <w:pPr>
        <w:spacing w:before="0" w:after="40"/>
        <w:jc w:val="right"/>
        <w:rPr>
          <w:sz w:val="20"/>
          <w:lang w:val="es-ES_tradnl"/>
        </w:rPr>
      </w:pPr>
      <w:r w:rsidRPr="00763D08">
        <w:rPr>
          <w:sz w:val="20"/>
          <w:lang w:val="es-ES_tradnl"/>
        </w:rPr>
        <w:t>Ginebra, 20</w:t>
      </w:r>
      <w:r>
        <w:rPr>
          <w:sz w:val="20"/>
          <w:lang w:val="es-ES_tradnl"/>
        </w:rPr>
        <w:t>26</w:t>
      </w:r>
    </w:p>
    <w:p w14:paraId="3285BC79" w14:textId="77777777" w:rsidR="00C43E2C" w:rsidRPr="00763D08" w:rsidRDefault="00C43E2C" w:rsidP="00C43E2C">
      <w:pPr>
        <w:spacing w:before="0" w:after="120"/>
        <w:jc w:val="center"/>
        <w:rPr>
          <w:sz w:val="22"/>
          <w:lang w:val="es-ES_tradnl"/>
        </w:rPr>
      </w:pPr>
    </w:p>
    <w:p w14:paraId="4F9C30B8" w14:textId="77777777" w:rsidR="00C43E2C" w:rsidRPr="00763D08" w:rsidRDefault="00C43E2C" w:rsidP="00C43E2C">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2" w:name="iiannee"/>
      <w:bookmarkEnd w:id="2"/>
      <w:r w:rsidRPr="00763D08">
        <w:rPr>
          <w:sz w:val="20"/>
          <w:lang w:val="es-ES_tradnl"/>
        </w:rPr>
        <w:t>20</w:t>
      </w:r>
      <w:r>
        <w:rPr>
          <w:sz w:val="20"/>
          <w:lang w:val="es-ES_tradnl"/>
        </w:rPr>
        <w:t>26</w:t>
      </w:r>
    </w:p>
    <w:p w14:paraId="3605D69D" w14:textId="77777777" w:rsidR="00C43E2C" w:rsidRPr="00F111D6" w:rsidRDefault="00C43E2C" w:rsidP="00C43E2C">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190721B9" w14:textId="77777777" w:rsidR="00C43E2C" w:rsidRPr="00F111D6" w:rsidRDefault="00C43E2C" w:rsidP="00C43E2C">
      <w:pPr>
        <w:spacing w:before="160"/>
        <w:rPr>
          <w:i/>
          <w:sz w:val="20"/>
        </w:rPr>
        <w:sectPr w:rsidR="00C43E2C" w:rsidRPr="00F111D6" w:rsidSect="00C43E2C">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2E1A9374" w14:textId="77777777" w:rsidR="00146305" w:rsidRPr="00520450" w:rsidRDefault="00146305" w:rsidP="00C43E2C">
      <w:pPr>
        <w:pStyle w:val="RecNo"/>
      </w:pPr>
      <w:r w:rsidRPr="00C43E2C">
        <w:lastRenderedPageBreak/>
        <w:t>RECOMENDACIÓN</w:t>
      </w:r>
      <w:r w:rsidRPr="00520450">
        <w:t xml:space="preserve">  </w:t>
      </w:r>
      <w:r w:rsidRPr="00520450">
        <w:rPr>
          <w:rStyle w:val="href"/>
        </w:rPr>
        <w:t>UIT-R  M.585-10</w:t>
      </w:r>
    </w:p>
    <w:p w14:paraId="4C979F4F" w14:textId="77777777" w:rsidR="00146305" w:rsidRPr="00520450" w:rsidRDefault="00146305" w:rsidP="00146305">
      <w:pPr>
        <w:pStyle w:val="Rectitle"/>
      </w:pPr>
      <w:r w:rsidRPr="00520450">
        <w:t>Asignación y uso de identidades del servicio móvil marítimo</w:t>
      </w:r>
    </w:p>
    <w:p w14:paraId="6FC76F31" w14:textId="77777777" w:rsidR="00146305" w:rsidRPr="00520450" w:rsidRDefault="00146305" w:rsidP="00146305">
      <w:pPr>
        <w:pStyle w:val="Recdate"/>
      </w:pPr>
      <w:r w:rsidRPr="00520450">
        <w:t>(1982-1986-1990-2003-2007-2009-2012-2015-2019-2022-2026)</w:t>
      </w:r>
    </w:p>
    <w:p w14:paraId="51018E4E" w14:textId="77777777" w:rsidR="00146305" w:rsidRPr="00520450" w:rsidRDefault="00146305" w:rsidP="00486144">
      <w:pPr>
        <w:pStyle w:val="HeadingSum"/>
      </w:pPr>
      <w:r w:rsidRPr="00520450">
        <w:t>Cometido</w:t>
      </w:r>
    </w:p>
    <w:p w14:paraId="43BD2891" w14:textId="499942EC" w:rsidR="00146305" w:rsidRPr="00520450" w:rsidRDefault="00146305" w:rsidP="00486144">
      <w:pPr>
        <w:pStyle w:val="Summary"/>
      </w:pPr>
      <w:r w:rsidRPr="00520450">
        <w:t>Esta Recomendación presenta a las administraciones directrices para la asignación y conservación de recursos de identidad para el servicio móvil marítimo. En esta Recomendación se describen las limitaciones que restringen las asignaciones a los barcos que utilizan servicios por satélite del Sistema Mundial de Socorro y Seguridad Marítimos (SMSSM).</w:t>
      </w:r>
    </w:p>
    <w:p w14:paraId="4ACA2189" w14:textId="23EA3D90" w:rsidR="00146305" w:rsidRPr="00520450" w:rsidRDefault="00146305" w:rsidP="00486144">
      <w:pPr>
        <w:pStyle w:val="Summary"/>
      </w:pPr>
      <w:r w:rsidRPr="00520450">
        <w:t>El Anexo 1 describe formatos para las identidades del servicio móvil marítimo (MMSI) de estaciones de barco, estaciones costeras, aeronaves que participan en operaciones de búsqueda y salvamento y demás comunicaciones de seguridad, dispositivos de ayuda a la navegación del sistema de identificación automática (SIA) y embarcaciones que pertenecen a un barco base.</w:t>
      </w:r>
    </w:p>
    <w:p w14:paraId="47755CF6" w14:textId="60C31C46" w:rsidR="00146305" w:rsidRPr="00520450" w:rsidRDefault="00146305" w:rsidP="00486144">
      <w:pPr>
        <w:pStyle w:val="Summary"/>
      </w:pPr>
      <w:r w:rsidRPr="00520450">
        <w:t>El Anexo 2 describe formatos para la identificación de otros dispositivos marítimos, como transceptores portátiles de ondas métricas con llamada selectiva digital (LLSD) y receptor de sistema mundial de navegación por satélite integral (SMNS), transmisor de búsqueda y salvamento SIA (SIA</w:t>
      </w:r>
      <w:r>
        <w:noBreakHyphen/>
      </w:r>
      <w:r w:rsidRPr="00520450">
        <w:t>SART), hombre al agua (MOB), radiobaliza de localización de siniestros (RLS) provista de SIA (RLS-SIA) y dispositivos radioeléctricos marinos autónomos (AMRD).</w:t>
      </w:r>
    </w:p>
    <w:p w14:paraId="7C7C1B2F" w14:textId="77777777" w:rsidR="00146305" w:rsidRPr="00520450" w:rsidRDefault="00146305" w:rsidP="00486144">
      <w:pPr>
        <w:pStyle w:val="Summary"/>
      </w:pPr>
      <w:r w:rsidRPr="00520450">
        <w:t>El Anexo 3 proporciona a las administraciones directrices específicas relativas a la asignación, gestión y conservación de recursos de identidad para el servicio móvil marítimo. Estas directrices muestran además a las administraciones distintos métodos para reutilizar asignaciones de la MMSI y dispositivos que utilizan una identidad marítima de formato libre.</w:t>
      </w:r>
    </w:p>
    <w:p w14:paraId="402BE7C4" w14:textId="77777777" w:rsidR="00146305" w:rsidRPr="00520450" w:rsidRDefault="00146305" w:rsidP="00486144">
      <w:pPr>
        <w:pStyle w:val="Headingb"/>
        <w:spacing w:before="480"/>
      </w:pPr>
      <w:r w:rsidRPr="00520450">
        <w:t xml:space="preserve">Palabras </w:t>
      </w:r>
      <w:r w:rsidRPr="00146305">
        <w:t>clave</w:t>
      </w:r>
    </w:p>
    <w:p w14:paraId="6F671042" w14:textId="77777777" w:rsidR="00146305" w:rsidRPr="00520450" w:rsidRDefault="00146305" w:rsidP="00146305">
      <w:r w:rsidRPr="00520450">
        <w:t>Identidades, MMSI, servicio móvil marítimo</w:t>
      </w:r>
    </w:p>
    <w:p w14:paraId="5FE7ADCF" w14:textId="77777777" w:rsidR="00146305" w:rsidRPr="00520450" w:rsidRDefault="00146305" w:rsidP="00146305">
      <w:pPr>
        <w:pStyle w:val="Headingb"/>
      </w:pPr>
      <w:r w:rsidRPr="00520450">
        <w:t>Lista de abreviaturas/glosario</w:t>
      </w:r>
    </w:p>
    <w:p w14:paraId="5603C586" w14:textId="54841DDB" w:rsidR="00146305" w:rsidRPr="00520450" w:rsidRDefault="00146305" w:rsidP="00486144">
      <w:pPr>
        <w:tabs>
          <w:tab w:val="clear" w:pos="794"/>
          <w:tab w:val="clear" w:pos="1191"/>
          <w:tab w:val="clear" w:pos="1588"/>
          <w:tab w:val="clear" w:pos="1985"/>
          <w:tab w:val="left" w:pos="1418"/>
          <w:tab w:val="left" w:pos="1560"/>
          <w:tab w:val="left" w:pos="2127"/>
        </w:tabs>
      </w:pPr>
      <w:r w:rsidRPr="00520450">
        <w:t>AaN</w:t>
      </w:r>
      <w:r w:rsidRPr="00520450">
        <w:tab/>
        <w:t>Ayudas a la navegación</w:t>
      </w:r>
    </w:p>
    <w:p w14:paraId="69BD9206" w14:textId="41DA6A43" w:rsidR="00146305" w:rsidRPr="00520450" w:rsidRDefault="00146305" w:rsidP="00486144">
      <w:pPr>
        <w:tabs>
          <w:tab w:val="clear" w:pos="794"/>
          <w:tab w:val="clear" w:pos="1191"/>
          <w:tab w:val="clear" w:pos="1588"/>
          <w:tab w:val="clear" w:pos="1985"/>
          <w:tab w:val="left" w:pos="1418"/>
          <w:tab w:val="left" w:pos="1560"/>
          <w:tab w:val="left" w:pos="2127"/>
        </w:tabs>
      </w:pPr>
      <w:r w:rsidRPr="00520450">
        <w:t>AMRD</w:t>
      </w:r>
      <w:r w:rsidRPr="00520450">
        <w:tab/>
        <w:t>Dispositivos radioeléctricos marinos autónomos (</w:t>
      </w:r>
      <w:r w:rsidR="00486144" w:rsidRPr="00520450">
        <w:rPr>
          <w:i/>
          <w:iCs/>
        </w:rPr>
        <w:t xml:space="preserve">autonomous </w:t>
      </w:r>
      <w:r w:rsidRPr="00520450">
        <w:rPr>
          <w:i/>
          <w:iCs/>
        </w:rPr>
        <w:t>maritime radio devices</w:t>
      </w:r>
      <w:r w:rsidRPr="00520450">
        <w:t>)</w:t>
      </w:r>
    </w:p>
    <w:p w14:paraId="2897E30C" w14:textId="6C8A26CF" w:rsidR="00146305" w:rsidRPr="00520450" w:rsidRDefault="00146305" w:rsidP="00486144">
      <w:pPr>
        <w:tabs>
          <w:tab w:val="clear" w:pos="794"/>
          <w:tab w:val="clear" w:pos="1191"/>
          <w:tab w:val="clear" w:pos="1588"/>
          <w:tab w:val="clear" w:pos="1985"/>
          <w:tab w:val="left" w:pos="1418"/>
          <w:tab w:val="left" w:pos="1560"/>
          <w:tab w:val="left" w:pos="2127"/>
        </w:tabs>
      </w:pPr>
      <w:r w:rsidRPr="00520450">
        <w:t>CCS</w:t>
      </w:r>
      <w:r w:rsidRPr="00520450">
        <w:tab/>
        <w:t>Centro coordinador de salvamento</w:t>
      </w:r>
    </w:p>
    <w:p w14:paraId="65EE084B" w14:textId="6A6BC413" w:rsidR="00146305" w:rsidRPr="00520450" w:rsidRDefault="00146305" w:rsidP="00486144">
      <w:pPr>
        <w:tabs>
          <w:tab w:val="clear" w:pos="794"/>
          <w:tab w:val="clear" w:pos="1191"/>
          <w:tab w:val="clear" w:pos="1588"/>
          <w:tab w:val="clear" w:pos="1985"/>
          <w:tab w:val="left" w:pos="1418"/>
          <w:tab w:val="left" w:pos="1560"/>
          <w:tab w:val="left" w:pos="2127"/>
        </w:tabs>
        <w:ind w:left="1418" w:hanging="1418"/>
      </w:pPr>
      <w:r w:rsidRPr="00520450">
        <w:t>IALA</w:t>
      </w:r>
      <w:r w:rsidR="00486144">
        <w:tab/>
      </w:r>
      <w:r w:rsidRPr="00520450">
        <w:t>Organización Internacional de Ayudas a la Navegación Marítima</w:t>
      </w:r>
      <w:r w:rsidR="00486144">
        <w:t xml:space="preserve"> (</w:t>
      </w:r>
      <w:r w:rsidR="00486144" w:rsidRPr="00486144">
        <w:rPr>
          <w:rFonts w:eastAsia="SimSun"/>
          <w:i/>
          <w:iCs/>
        </w:rPr>
        <w:t xml:space="preserve">International </w:t>
      </w:r>
      <w:r w:rsidR="00486144" w:rsidRPr="00486144">
        <w:rPr>
          <w:rFonts w:eastAsia="SimSun" w:hint="eastAsia"/>
          <w:i/>
          <w:iCs/>
          <w:lang w:eastAsia="zh-CN"/>
        </w:rPr>
        <w:t>Organization for</w:t>
      </w:r>
      <w:r w:rsidR="00486144" w:rsidRPr="00486144">
        <w:rPr>
          <w:rFonts w:eastAsia="SimSun"/>
          <w:i/>
          <w:iCs/>
        </w:rPr>
        <w:t xml:space="preserve"> Marine Aids to Navigation</w:t>
      </w:r>
      <w:r w:rsidR="00486144">
        <w:rPr>
          <w:rFonts w:eastAsia="SimSun"/>
        </w:rPr>
        <w:t>)</w:t>
      </w:r>
    </w:p>
    <w:p w14:paraId="77C10347" w14:textId="7FABCF46" w:rsidR="00146305" w:rsidRPr="00520450" w:rsidRDefault="00146305" w:rsidP="00486144">
      <w:pPr>
        <w:tabs>
          <w:tab w:val="clear" w:pos="794"/>
          <w:tab w:val="clear" w:pos="1191"/>
          <w:tab w:val="clear" w:pos="1588"/>
          <w:tab w:val="clear" w:pos="1985"/>
          <w:tab w:val="left" w:pos="1418"/>
          <w:tab w:val="left" w:pos="1560"/>
          <w:tab w:val="left" w:pos="2127"/>
        </w:tabs>
      </w:pPr>
      <w:r w:rsidRPr="00520450">
        <w:t>LLSD</w:t>
      </w:r>
      <w:r w:rsidRPr="00520450">
        <w:tab/>
        <w:t>Llamada selectiva digital</w:t>
      </w:r>
    </w:p>
    <w:p w14:paraId="42A7B96C" w14:textId="1B8188C9" w:rsidR="00146305" w:rsidRPr="00520450" w:rsidRDefault="00146305" w:rsidP="00486144">
      <w:pPr>
        <w:tabs>
          <w:tab w:val="clear" w:pos="794"/>
          <w:tab w:val="clear" w:pos="1191"/>
          <w:tab w:val="clear" w:pos="1588"/>
          <w:tab w:val="clear" w:pos="1985"/>
          <w:tab w:val="left" w:pos="1418"/>
          <w:tab w:val="left" w:pos="1560"/>
          <w:tab w:val="left" w:pos="2127"/>
        </w:tabs>
        <w:ind w:left="1418" w:hanging="1418"/>
      </w:pPr>
      <w:r w:rsidRPr="00520450">
        <w:t>MARS</w:t>
      </w:r>
      <w:r w:rsidR="00486144">
        <w:tab/>
      </w:r>
      <w:r w:rsidRPr="00520450">
        <w:t>Sistema de acceso y consulta del servicio móvil marítimo (</w:t>
      </w:r>
      <w:r w:rsidR="00486144" w:rsidRPr="00520450">
        <w:rPr>
          <w:i/>
          <w:iCs/>
        </w:rPr>
        <w:t xml:space="preserve">maritime </w:t>
      </w:r>
      <w:r w:rsidRPr="00520450">
        <w:rPr>
          <w:i/>
          <w:iCs/>
        </w:rPr>
        <w:t xml:space="preserve">mobile Access and </w:t>
      </w:r>
      <w:r w:rsidR="00486144" w:rsidRPr="00520450">
        <w:rPr>
          <w:i/>
          <w:iCs/>
        </w:rPr>
        <w:t xml:space="preserve">retrieval </w:t>
      </w:r>
      <w:r w:rsidRPr="00520450">
        <w:rPr>
          <w:i/>
          <w:iCs/>
        </w:rPr>
        <w:t>System</w:t>
      </w:r>
      <w:r w:rsidRPr="00520450">
        <w:t>)</w:t>
      </w:r>
    </w:p>
    <w:p w14:paraId="37813D2D" w14:textId="0BB54F53" w:rsidR="00146305" w:rsidRPr="00520450" w:rsidRDefault="00146305" w:rsidP="00486144">
      <w:pPr>
        <w:tabs>
          <w:tab w:val="clear" w:pos="794"/>
          <w:tab w:val="clear" w:pos="1191"/>
          <w:tab w:val="clear" w:pos="1588"/>
          <w:tab w:val="clear" w:pos="1985"/>
          <w:tab w:val="left" w:pos="1418"/>
          <w:tab w:val="left" w:pos="1560"/>
          <w:tab w:val="left" w:pos="2127"/>
        </w:tabs>
      </w:pPr>
      <w:r w:rsidRPr="00520450">
        <w:t>MID</w:t>
      </w:r>
      <w:r w:rsidRPr="00520450">
        <w:tab/>
        <w:t>Cifra de identificación marítima (</w:t>
      </w:r>
      <w:r w:rsidR="00486144" w:rsidRPr="00520450">
        <w:rPr>
          <w:i/>
          <w:iCs/>
        </w:rPr>
        <w:t xml:space="preserve">maritime </w:t>
      </w:r>
      <w:r w:rsidRPr="00520450">
        <w:rPr>
          <w:i/>
          <w:iCs/>
        </w:rPr>
        <w:t>identity digit)</w:t>
      </w:r>
    </w:p>
    <w:p w14:paraId="7414B220" w14:textId="57B571A2" w:rsidR="00146305" w:rsidRPr="00520450" w:rsidRDefault="00146305" w:rsidP="00486144">
      <w:pPr>
        <w:tabs>
          <w:tab w:val="clear" w:pos="794"/>
          <w:tab w:val="clear" w:pos="1191"/>
          <w:tab w:val="clear" w:pos="1588"/>
          <w:tab w:val="clear" w:pos="1985"/>
          <w:tab w:val="left" w:pos="1418"/>
          <w:tab w:val="left" w:pos="1560"/>
          <w:tab w:val="left" w:pos="2127"/>
        </w:tabs>
      </w:pPr>
      <w:r w:rsidRPr="00520450">
        <w:t>MMSI</w:t>
      </w:r>
      <w:r w:rsidRPr="00520450">
        <w:tab/>
        <w:t>Identidad del servicio móvil marítimo (</w:t>
      </w:r>
      <w:r w:rsidR="00486144" w:rsidRPr="00520450">
        <w:rPr>
          <w:i/>
          <w:iCs/>
        </w:rPr>
        <w:t xml:space="preserve">maritime </w:t>
      </w:r>
      <w:r w:rsidRPr="00520450">
        <w:rPr>
          <w:i/>
          <w:iCs/>
        </w:rPr>
        <w:t>mobile service identity</w:t>
      </w:r>
      <w:r w:rsidRPr="00520450">
        <w:t>)</w:t>
      </w:r>
    </w:p>
    <w:p w14:paraId="59025A1A" w14:textId="2B4F8DF3" w:rsidR="00146305" w:rsidRPr="00520450" w:rsidRDefault="00146305" w:rsidP="00486144">
      <w:pPr>
        <w:tabs>
          <w:tab w:val="clear" w:pos="794"/>
          <w:tab w:val="clear" w:pos="1191"/>
          <w:tab w:val="clear" w:pos="1588"/>
          <w:tab w:val="clear" w:pos="1985"/>
          <w:tab w:val="left" w:pos="1418"/>
          <w:tab w:val="left" w:pos="1560"/>
          <w:tab w:val="left" w:pos="2127"/>
        </w:tabs>
      </w:pPr>
      <w:r w:rsidRPr="00520450">
        <w:t>MOB</w:t>
      </w:r>
      <w:r w:rsidRPr="00520450">
        <w:tab/>
        <w:t>Hombre al agua (</w:t>
      </w:r>
      <w:r w:rsidRPr="00520450">
        <w:rPr>
          <w:i/>
          <w:iCs/>
        </w:rPr>
        <w:t>man overboard</w:t>
      </w:r>
      <w:r w:rsidRPr="00520450">
        <w:t>)</w:t>
      </w:r>
    </w:p>
    <w:p w14:paraId="4A47879D" w14:textId="39664DC6" w:rsidR="00146305" w:rsidRPr="00520450" w:rsidRDefault="00146305" w:rsidP="00486144">
      <w:pPr>
        <w:tabs>
          <w:tab w:val="clear" w:pos="794"/>
          <w:tab w:val="clear" w:pos="1191"/>
          <w:tab w:val="clear" w:pos="1588"/>
          <w:tab w:val="clear" w:pos="1985"/>
          <w:tab w:val="left" w:pos="1418"/>
          <w:tab w:val="left" w:pos="1560"/>
          <w:tab w:val="left" w:pos="2127"/>
        </w:tabs>
      </w:pPr>
      <w:r w:rsidRPr="00520450">
        <w:t>RLS</w:t>
      </w:r>
      <w:r w:rsidRPr="00520450">
        <w:tab/>
        <w:t>Radiobaliza de localización de siniestros</w:t>
      </w:r>
    </w:p>
    <w:p w14:paraId="352A68A7" w14:textId="77777777" w:rsidR="00146305" w:rsidRPr="00520450" w:rsidRDefault="00146305" w:rsidP="00486144">
      <w:pPr>
        <w:tabs>
          <w:tab w:val="clear" w:pos="794"/>
          <w:tab w:val="clear" w:pos="1191"/>
          <w:tab w:val="clear" w:pos="1588"/>
          <w:tab w:val="clear" w:pos="1985"/>
          <w:tab w:val="left" w:pos="1418"/>
          <w:tab w:val="left" w:pos="1560"/>
          <w:tab w:val="left" w:pos="2127"/>
        </w:tabs>
      </w:pPr>
      <w:r w:rsidRPr="00520450">
        <w:t>RLS-SIA</w:t>
      </w:r>
      <w:r w:rsidRPr="00520450">
        <w:tab/>
        <w:t>Radiobaliza de localización de siniestros provista de SIA</w:t>
      </w:r>
    </w:p>
    <w:p w14:paraId="36FDA79C" w14:textId="60366B59" w:rsidR="00146305" w:rsidRPr="00520450" w:rsidRDefault="00146305" w:rsidP="00486144">
      <w:pPr>
        <w:tabs>
          <w:tab w:val="clear" w:pos="794"/>
          <w:tab w:val="clear" w:pos="1191"/>
          <w:tab w:val="clear" w:pos="1588"/>
          <w:tab w:val="clear" w:pos="1985"/>
          <w:tab w:val="left" w:pos="1418"/>
          <w:tab w:val="left" w:pos="1560"/>
          <w:tab w:val="left" w:pos="2127"/>
        </w:tabs>
      </w:pPr>
      <w:r w:rsidRPr="00520450">
        <w:t>SAR</w:t>
      </w:r>
      <w:r w:rsidRPr="00520450">
        <w:tab/>
        <w:t>Búsqueda y salvamento (</w:t>
      </w:r>
      <w:r w:rsidR="00486144" w:rsidRPr="00520450">
        <w:rPr>
          <w:i/>
          <w:iCs/>
        </w:rPr>
        <w:t xml:space="preserve">search </w:t>
      </w:r>
      <w:r w:rsidRPr="00520450">
        <w:rPr>
          <w:i/>
          <w:iCs/>
        </w:rPr>
        <w:t>and rescue</w:t>
      </w:r>
      <w:r w:rsidRPr="00520450">
        <w:t>)</w:t>
      </w:r>
    </w:p>
    <w:p w14:paraId="3C13D673" w14:textId="270EF394" w:rsidR="00146305" w:rsidRPr="00520450" w:rsidRDefault="00146305" w:rsidP="00486144">
      <w:pPr>
        <w:tabs>
          <w:tab w:val="clear" w:pos="794"/>
          <w:tab w:val="clear" w:pos="1191"/>
          <w:tab w:val="clear" w:pos="1588"/>
          <w:tab w:val="clear" w:pos="1985"/>
          <w:tab w:val="left" w:pos="1418"/>
          <w:tab w:val="left" w:pos="1560"/>
          <w:tab w:val="left" w:pos="2127"/>
        </w:tabs>
      </w:pPr>
      <w:r w:rsidRPr="00520450">
        <w:lastRenderedPageBreak/>
        <w:t>SIA</w:t>
      </w:r>
      <w:r w:rsidRPr="00520450">
        <w:tab/>
        <w:t>Sistema de identificación automática</w:t>
      </w:r>
    </w:p>
    <w:p w14:paraId="6016DE41" w14:textId="77777777" w:rsidR="00146305" w:rsidRPr="00520450" w:rsidRDefault="00146305" w:rsidP="00486144">
      <w:pPr>
        <w:tabs>
          <w:tab w:val="clear" w:pos="794"/>
          <w:tab w:val="clear" w:pos="1191"/>
          <w:tab w:val="clear" w:pos="1588"/>
          <w:tab w:val="clear" w:pos="1985"/>
          <w:tab w:val="left" w:pos="1418"/>
          <w:tab w:val="left" w:pos="1560"/>
          <w:tab w:val="left" w:pos="2127"/>
        </w:tabs>
      </w:pPr>
      <w:r w:rsidRPr="00520450">
        <w:t>SIA-SART</w:t>
      </w:r>
      <w:r w:rsidRPr="00520450">
        <w:tab/>
        <w:t>Transmisor de búsqueda y salvamento SIA (</w:t>
      </w:r>
      <w:r w:rsidRPr="00520450">
        <w:rPr>
          <w:i/>
          <w:iCs/>
        </w:rPr>
        <w:t>AIS search and rescue transmitter</w:t>
      </w:r>
      <w:r w:rsidRPr="00520450">
        <w:t>)</w:t>
      </w:r>
    </w:p>
    <w:p w14:paraId="685953B4" w14:textId="77777777" w:rsidR="00146305" w:rsidRPr="00520450" w:rsidRDefault="00146305" w:rsidP="00486144">
      <w:pPr>
        <w:tabs>
          <w:tab w:val="clear" w:pos="794"/>
          <w:tab w:val="clear" w:pos="1191"/>
          <w:tab w:val="clear" w:pos="1588"/>
          <w:tab w:val="clear" w:pos="1985"/>
          <w:tab w:val="left" w:pos="1418"/>
          <w:tab w:val="left" w:pos="1560"/>
          <w:tab w:val="left" w:pos="2127"/>
        </w:tabs>
      </w:pPr>
      <w:r w:rsidRPr="00520450">
        <w:t>SMM</w:t>
      </w:r>
      <w:r w:rsidRPr="00520450">
        <w:tab/>
        <w:t>Servicio móvil marítimo</w:t>
      </w:r>
    </w:p>
    <w:p w14:paraId="45ED1667" w14:textId="69429494" w:rsidR="00146305" w:rsidRPr="00520450" w:rsidRDefault="00146305" w:rsidP="00486144">
      <w:pPr>
        <w:tabs>
          <w:tab w:val="clear" w:pos="794"/>
          <w:tab w:val="clear" w:pos="1191"/>
          <w:tab w:val="clear" w:pos="1588"/>
          <w:tab w:val="clear" w:pos="1985"/>
          <w:tab w:val="left" w:pos="1418"/>
          <w:tab w:val="left" w:pos="1560"/>
          <w:tab w:val="left" w:pos="2127"/>
        </w:tabs>
      </w:pPr>
      <w:r w:rsidRPr="00520450">
        <w:t>SMNS</w:t>
      </w:r>
      <w:r w:rsidRPr="00520450">
        <w:tab/>
        <w:t>Sistema mundial de navegación por satélite</w:t>
      </w:r>
    </w:p>
    <w:p w14:paraId="33814A7B" w14:textId="77777777" w:rsidR="00146305" w:rsidRPr="00520450" w:rsidRDefault="00146305" w:rsidP="00486144">
      <w:pPr>
        <w:tabs>
          <w:tab w:val="clear" w:pos="794"/>
          <w:tab w:val="clear" w:pos="1191"/>
          <w:tab w:val="clear" w:pos="1588"/>
          <w:tab w:val="clear" w:pos="1985"/>
          <w:tab w:val="left" w:pos="1418"/>
          <w:tab w:val="left" w:pos="1560"/>
          <w:tab w:val="left" w:pos="2127"/>
        </w:tabs>
      </w:pPr>
      <w:r w:rsidRPr="00520450">
        <w:t>SMSSM</w:t>
      </w:r>
      <w:r w:rsidRPr="00520450">
        <w:tab/>
        <w:t>Sistema mundial de socorro y seguridad marítimos</w:t>
      </w:r>
    </w:p>
    <w:p w14:paraId="02131B17" w14:textId="77777777" w:rsidR="00146305" w:rsidRPr="00520450" w:rsidRDefault="00146305" w:rsidP="00486144">
      <w:pPr>
        <w:tabs>
          <w:tab w:val="clear" w:pos="794"/>
          <w:tab w:val="clear" w:pos="1191"/>
          <w:tab w:val="clear" w:pos="1588"/>
          <w:tab w:val="clear" w:pos="1985"/>
          <w:tab w:val="left" w:pos="1418"/>
          <w:tab w:val="left" w:pos="1560"/>
          <w:tab w:val="left" w:pos="2127"/>
        </w:tabs>
        <w:rPr>
          <w:rFonts w:ascii="Times" w:hAnsi="Times"/>
          <w:bCs/>
        </w:rPr>
      </w:pPr>
      <w:r w:rsidRPr="00520450">
        <w:t>VDL</w:t>
      </w:r>
      <w:r w:rsidRPr="00520450">
        <w:tab/>
        <w:t>Enlace de datos de VHF (</w:t>
      </w:r>
      <w:r w:rsidRPr="00520450">
        <w:rPr>
          <w:i/>
          <w:iCs/>
        </w:rPr>
        <w:t>VHF data link</w:t>
      </w:r>
      <w:r w:rsidRPr="00520450">
        <w:t>)</w:t>
      </w:r>
    </w:p>
    <w:p w14:paraId="320302FE" w14:textId="77777777" w:rsidR="00146305" w:rsidRPr="00520450" w:rsidRDefault="00146305" w:rsidP="00146305">
      <w:pPr>
        <w:pStyle w:val="Headingb"/>
      </w:pPr>
      <w:r w:rsidRPr="00520450">
        <w:t>Recomendaciones, Informes y Resoluciones del UIT-R conexas</w:t>
      </w:r>
    </w:p>
    <w:p w14:paraId="3896A89C" w14:textId="15E134A3" w:rsidR="00146305" w:rsidRPr="00520450" w:rsidRDefault="00146305" w:rsidP="00486144">
      <w:pPr>
        <w:pStyle w:val="Reftext"/>
      </w:pPr>
      <w:r w:rsidRPr="00486144">
        <w:t xml:space="preserve">Resolución </w:t>
      </w:r>
      <w:r w:rsidRPr="00520450">
        <w:rPr>
          <w:b/>
          <w:bCs/>
        </w:rPr>
        <w:t>344 (Rev.CMR-19)</w:t>
      </w:r>
      <w:r w:rsidRPr="00520450">
        <w:t xml:space="preserve"> </w:t>
      </w:r>
      <w:r w:rsidR="000378E6">
        <w:t>–</w:t>
      </w:r>
      <w:r w:rsidRPr="00520450">
        <w:t xml:space="preserve"> Gestión del recurso de numeración de identidades marítimas</w:t>
      </w:r>
    </w:p>
    <w:p w14:paraId="06CF4D74" w14:textId="25F6ED70" w:rsidR="00146305" w:rsidRPr="00520450" w:rsidRDefault="00146305" w:rsidP="00146305">
      <w:pPr>
        <w:pStyle w:val="Reftext"/>
        <w:rPr>
          <w:bCs/>
          <w:szCs w:val="24"/>
        </w:rPr>
      </w:pPr>
      <w:r w:rsidRPr="00520450">
        <w:t xml:space="preserve">Recomendación </w:t>
      </w:r>
      <w:hyperlink r:id="rId14" w:history="1">
        <w:r w:rsidRPr="00520450">
          <w:t>UIT-R M.493 – Sistema de llamada selectiva digital para el servicio móvil marítimo</w:t>
        </w:r>
      </w:hyperlink>
    </w:p>
    <w:p w14:paraId="59DB1A61" w14:textId="77777777" w:rsidR="00146305" w:rsidRPr="00520450" w:rsidRDefault="00146305" w:rsidP="00146305">
      <w:pPr>
        <w:pStyle w:val="Reftext"/>
        <w:rPr>
          <w:bCs/>
          <w:szCs w:val="24"/>
        </w:rPr>
      </w:pPr>
      <w:r w:rsidRPr="00520450">
        <w:t xml:space="preserve">Recomendación </w:t>
      </w:r>
      <w:hyperlink r:id="rId15" w:history="1">
        <w:r w:rsidRPr="00520450">
          <w:t>UIT-R M.1080 – Mejora del sistema de llamada selectiva digital en las instalaciones con múltiples equipos</w:t>
        </w:r>
      </w:hyperlink>
    </w:p>
    <w:p w14:paraId="458FE0C4" w14:textId="1FC272F7" w:rsidR="00146305" w:rsidRPr="00520450" w:rsidRDefault="00146305" w:rsidP="00146305">
      <w:pPr>
        <w:pStyle w:val="Reftext"/>
      </w:pPr>
      <w:r w:rsidRPr="00520450">
        <w:t xml:space="preserve">Recomendación </w:t>
      </w:r>
      <w:hyperlink r:id="rId16" w:history="1">
        <w:r w:rsidRPr="00520450">
          <w:t>UIT-R M.1371 – Características técnicas de un sistema de identificación automático mediante acceso múltiple por división en el tiempo en la banda de frecuencias de ondas métricas del servicio móvil marítimo</w:t>
        </w:r>
      </w:hyperlink>
    </w:p>
    <w:p w14:paraId="3BAE9DC3" w14:textId="4FF2EF70" w:rsidR="00146305" w:rsidRPr="00520450" w:rsidRDefault="00146305" w:rsidP="00146305">
      <w:pPr>
        <w:pStyle w:val="Reftext"/>
      </w:pPr>
      <w:r w:rsidRPr="00520450">
        <w:t>Recomendación</w:t>
      </w:r>
      <w:r w:rsidR="00486144">
        <w:t> </w:t>
      </w:r>
      <w:r w:rsidRPr="00520450">
        <w:t>UIT-R</w:t>
      </w:r>
      <w:r w:rsidR="00486144">
        <w:t> </w:t>
      </w:r>
      <w:hyperlink r:id="rId17" w:history="1">
        <w:r w:rsidRPr="00520450">
          <w:t>M.2135</w:t>
        </w:r>
        <w:r w:rsidR="00486144">
          <w:t> </w:t>
        </w:r>
        <w:r w:rsidRPr="00520450">
          <w:t>–</w:t>
        </w:r>
        <w:r w:rsidR="00486144">
          <w:t> </w:t>
        </w:r>
        <w:r w:rsidRPr="00520450">
          <w:t>Características técnicas de los dispositivos autónomos de radiocomunicaciones marítimas que funcionan en la banda de frecuencias 156-162,05 MHz</w:t>
        </w:r>
      </w:hyperlink>
    </w:p>
    <w:p w14:paraId="2270E4A0" w14:textId="77F2389E" w:rsidR="00146305" w:rsidRPr="00520450" w:rsidRDefault="00146305" w:rsidP="00486144">
      <w:pPr>
        <w:pStyle w:val="Reftext"/>
      </w:pPr>
      <w:r w:rsidRPr="00520450">
        <w:t xml:space="preserve">Informe </w:t>
      </w:r>
      <w:hyperlink r:id="rId18" w:history="1">
        <w:r w:rsidRPr="00520450">
          <w:t>UIT-R M.2285 – Sistemas y dispositivos marítimos de localización de sobrevivientes (sistemas «hombre al agua») – Visión general de los sistemas y su modo de funcionamiento</w:t>
        </w:r>
      </w:hyperlink>
    </w:p>
    <w:p w14:paraId="5FFF8D96" w14:textId="5435006A" w:rsidR="00146305" w:rsidRPr="00520450" w:rsidRDefault="00146305" w:rsidP="00146305">
      <w:pPr>
        <w:pStyle w:val="Reftext"/>
        <w:rPr>
          <w:bCs/>
          <w:szCs w:val="24"/>
        </w:rPr>
      </w:pPr>
      <w:r w:rsidRPr="00520450">
        <w:t xml:space="preserve">Recomendación </w:t>
      </w:r>
      <w:hyperlink r:id="rId19" w:history="1">
        <w:r w:rsidRPr="00520450">
          <w:t>UIT-T E.217 (02/19) – Comunicaciones marítimas – Identidad de estación de barco</w:t>
        </w:r>
      </w:hyperlink>
    </w:p>
    <w:p w14:paraId="69E7ADEC" w14:textId="77777777" w:rsidR="00146305" w:rsidRPr="00520450" w:rsidRDefault="00146305" w:rsidP="00146305">
      <w:pPr>
        <w:pStyle w:val="Normalaftertitle"/>
      </w:pPr>
      <w:r w:rsidRPr="00520450">
        <w:t>La Asamblea de Radiocomunicaciones de la UIT,</w:t>
      </w:r>
    </w:p>
    <w:p w14:paraId="78082F4A" w14:textId="77777777" w:rsidR="00146305" w:rsidRPr="00520450" w:rsidRDefault="00146305" w:rsidP="00146305">
      <w:pPr>
        <w:pStyle w:val="Call"/>
      </w:pPr>
      <w:r w:rsidRPr="00520450">
        <w:t>considerando</w:t>
      </w:r>
    </w:p>
    <w:p w14:paraId="6D0B340C" w14:textId="77777777" w:rsidR="00146305" w:rsidRPr="00520450" w:rsidRDefault="00146305" w:rsidP="00146305">
      <w:r w:rsidRPr="00520450">
        <w:rPr>
          <w:i/>
          <w:iCs/>
        </w:rPr>
        <w:t>a)</w:t>
      </w:r>
      <w:r w:rsidRPr="00520450">
        <w:tab/>
        <w:t>que debe haber identidades estructuradas a efectos de seguridad y telecomunicaciones en el servicio móvil marítimo (SMM);</w:t>
      </w:r>
    </w:p>
    <w:p w14:paraId="61D8AE76" w14:textId="77777777" w:rsidR="00146305" w:rsidRPr="00520450" w:rsidRDefault="00146305" w:rsidP="00146305">
      <w:r w:rsidRPr="00520450">
        <w:rPr>
          <w:i/>
          <w:iCs/>
        </w:rPr>
        <w:t>b)</w:t>
      </w:r>
      <w:r w:rsidRPr="00520450">
        <w:tab/>
        <w:t>que el identificador marítimo en el SMM se basa en una estructura de 9 cifras;</w:t>
      </w:r>
    </w:p>
    <w:p w14:paraId="50A9D9AE" w14:textId="77777777" w:rsidR="00146305" w:rsidRPr="00520450" w:rsidRDefault="00146305" w:rsidP="00146305">
      <w:r w:rsidRPr="00520450">
        <w:rPr>
          <w:i/>
          <w:iCs/>
        </w:rPr>
        <w:t>c)</w:t>
      </w:r>
      <w:r w:rsidRPr="00520450">
        <w:tab/>
        <w:t>que la identidad del servicio móvil marítimo (MMSI) es un tipo de identificador de 9 cifras;</w:t>
      </w:r>
    </w:p>
    <w:p w14:paraId="1F10C8DF" w14:textId="77777777" w:rsidR="00146305" w:rsidRPr="00520450" w:rsidRDefault="00146305" w:rsidP="00146305">
      <w:r w:rsidRPr="00520450">
        <w:rPr>
          <w:i/>
          <w:iCs/>
        </w:rPr>
        <w:t>d)</w:t>
      </w:r>
      <w:r w:rsidRPr="00520450">
        <w:tab/>
        <w:t>que las identidades designadas para dispositivos con fines especiales se componen de un segundo tipo de identificador de 9 cifras</w:t>
      </w:r>
      <w:r w:rsidRPr="00520450">
        <w:rPr>
          <w:rStyle w:val="FootnoteReference"/>
        </w:rPr>
        <w:footnoteReference w:id="1"/>
      </w:r>
      <w:r w:rsidRPr="00520450">
        <w:t>;</w:t>
      </w:r>
    </w:p>
    <w:p w14:paraId="61F6D2A0" w14:textId="77777777" w:rsidR="00146305" w:rsidRPr="00520450" w:rsidRDefault="00146305" w:rsidP="00146305">
      <w:r w:rsidRPr="00520450">
        <w:rPr>
          <w:i/>
          <w:iCs/>
        </w:rPr>
        <w:t>e)</w:t>
      </w:r>
      <w:r w:rsidRPr="00520450">
        <w:tab/>
        <w:t>que la MMSI debe ser la identidad única asignada a las estaciones que se indican en el Anexo 1 a la presente Recomendación;</w:t>
      </w:r>
    </w:p>
    <w:p w14:paraId="54FB2621" w14:textId="77777777" w:rsidR="00146305" w:rsidRPr="00520450" w:rsidRDefault="00146305" w:rsidP="00146305">
      <w:r w:rsidRPr="00520450">
        <w:rPr>
          <w:i/>
          <w:iCs/>
        </w:rPr>
        <w:t>f)</w:t>
      </w:r>
      <w:r w:rsidRPr="00520450">
        <w:tab/>
        <w:t>que las identidades utilizadas para otros dispositivos marítimos con fines especiales que se indican en el Anexo 2 a la presente Recomendación no son necesariamente únicas y no son asignaciones a la MMSI;</w:t>
      </w:r>
    </w:p>
    <w:p w14:paraId="41F2B04E" w14:textId="77777777" w:rsidR="00146305" w:rsidRPr="00520450" w:rsidRDefault="00146305" w:rsidP="00146305">
      <w:r w:rsidRPr="00520450">
        <w:rPr>
          <w:i/>
        </w:rPr>
        <w:t>g)</w:t>
      </w:r>
      <w:r w:rsidRPr="00520450">
        <w:tab/>
        <w:t>que todas las identidades marítimas han de poder utilizarse con sistemas de radiocomunicaciones automatizados;</w:t>
      </w:r>
    </w:p>
    <w:p w14:paraId="166284E4" w14:textId="21499228" w:rsidR="00146305" w:rsidRPr="00520450" w:rsidRDefault="00146305" w:rsidP="00486144">
      <w:pPr>
        <w:keepNext/>
        <w:keepLines/>
      </w:pPr>
      <w:r w:rsidRPr="00520450">
        <w:rPr>
          <w:i/>
        </w:rPr>
        <w:lastRenderedPageBreak/>
        <w:t>h)</w:t>
      </w:r>
      <w:r w:rsidRPr="00520450">
        <w:tab/>
        <w:t>que las identidades que se asignen a las estaciones de barco, las estaciones costeras, las aeronaves que participan en operaciones de búsqueda y salvamento y demás comunicaciones de seguridad, los dispositivos de ayuda a la navegación y las embarcaciones que pertenecen a un barco de base y las que se utilicen para las llamadas a grupos de barcos deben ser de naturaleza análoga;</w:t>
      </w:r>
    </w:p>
    <w:p w14:paraId="5C90EF86" w14:textId="77777777" w:rsidR="00146305" w:rsidRPr="00520450" w:rsidRDefault="00146305" w:rsidP="00146305">
      <w:r w:rsidRPr="00520450">
        <w:rPr>
          <w:i/>
        </w:rPr>
        <w:t>i)</w:t>
      </w:r>
      <w:r w:rsidRPr="00520450">
        <w:tab/>
        <w:t>que es posible utilizar la MMSI para establecer llamadas telefónicas a barcos encaminadas por las redes públicas conmutadas a una estación costera apropiada;</w:t>
      </w:r>
    </w:p>
    <w:p w14:paraId="3F41D992" w14:textId="77777777" w:rsidR="00146305" w:rsidRPr="00520450" w:rsidRDefault="00146305" w:rsidP="00146305">
      <w:r w:rsidRPr="00520450">
        <w:rPr>
          <w:i/>
        </w:rPr>
        <w:t>j)</w:t>
      </w:r>
      <w:r w:rsidRPr="00520450">
        <w:rPr>
          <w:i/>
          <w:iCs/>
        </w:rPr>
        <w:tab/>
      </w:r>
      <w:r w:rsidRPr="00520450">
        <w:t>que los sistemas móviles por satélite permiten que la comunidad marítima participe en los sistemas de telecomunicaciones de correspondencia pública internacional, o bien que interfuncione con ellos, de forma totalmente automática, si se emplea el esquema de identidades, de nombres y de direcciones;</w:t>
      </w:r>
    </w:p>
    <w:p w14:paraId="5C449379" w14:textId="77777777" w:rsidR="00146305" w:rsidRPr="00520450" w:rsidRDefault="00146305" w:rsidP="00146305">
      <w:r w:rsidRPr="00520450">
        <w:rPr>
          <w:i/>
        </w:rPr>
        <w:t>k)</w:t>
      </w:r>
      <w:r w:rsidRPr="00520450">
        <w:rPr>
          <w:i/>
          <w:iCs/>
        </w:rPr>
        <w:tab/>
      </w:r>
      <w:r w:rsidRPr="00520450">
        <w:t>que el esquema de numeración especificado para las generaciones existentes de los sistemas móviles por satélite del sistema mundial de socorro y seguridad marítimos (SMSSM) sea compatible con el servicio de correspondencia pública internacional,</w:t>
      </w:r>
    </w:p>
    <w:p w14:paraId="4DDA7634" w14:textId="77777777" w:rsidR="00146305" w:rsidRPr="00520450" w:rsidRDefault="00146305" w:rsidP="00146305">
      <w:pPr>
        <w:pStyle w:val="Call"/>
      </w:pPr>
      <w:r w:rsidRPr="00520450">
        <w:t>recomienda</w:t>
      </w:r>
    </w:p>
    <w:p w14:paraId="50F57C49" w14:textId="18467347" w:rsidR="00146305" w:rsidRPr="00A73519" w:rsidRDefault="00146305" w:rsidP="00146305">
      <w:pPr>
        <w:rPr>
          <w:bCs/>
        </w:rPr>
      </w:pPr>
      <w:r w:rsidRPr="00A73519">
        <w:rPr>
          <w:bCs/>
        </w:rPr>
        <w:t>1</w:t>
      </w:r>
      <w:r w:rsidRPr="00A73519">
        <w:rPr>
          <w:bCs/>
        </w:rPr>
        <w:tab/>
        <w:t>que a los barcos que cumplen lo dispuesto en las enmiendas al Convenio internacional para la seguridad de la vida humana en el mar (1974) y a otros barcos equipados con sistemas automáticos de radiocomunicación, incluidos los sistemas de identificación automática (SIA), la llamada selectiva digital (LLSD), o con dispositivos de alerta del SMSSM se les asigne MMSI de barco de conformidad con el Anexo 1</w:t>
      </w:r>
      <w:r w:rsidR="00032EAB">
        <w:rPr>
          <w:bCs/>
        </w:rPr>
        <w:t xml:space="preserve"> </w:t>
      </w:r>
      <w:r w:rsidRPr="00A73519">
        <w:rPr>
          <w:bCs/>
        </w:rPr>
        <w:t>a esta Recomendación;</w:t>
      </w:r>
    </w:p>
    <w:p w14:paraId="74ADDCB9" w14:textId="77777777" w:rsidR="00146305" w:rsidRPr="00A73519" w:rsidRDefault="00146305" w:rsidP="00146305">
      <w:pPr>
        <w:rPr>
          <w:bCs/>
        </w:rPr>
      </w:pPr>
      <w:r w:rsidRPr="00A73519">
        <w:rPr>
          <w:bCs/>
        </w:rPr>
        <w:t>2</w:t>
      </w:r>
      <w:r w:rsidRPr="00A73519">
        <w:rPr>
          <w:bCs/>
        </w:rPr>
        <w:tab/>
        <w:t>que las identidades marítimas empleadas para otros dispositivos marítimos con fines especiales se asignen de conformidad con lo que se especifica en el Anexo 2;</w:t>
      </w:r>
    </w:p>
    <w:p w14:paraId="4CF9AE1A" w14:textId="719B458A" w:rsidR="00146305" w:rsidRPr="008B32DB" w:rsidRDefault="00146305" w:rsidP="00146305">
      <w:pPr>
        <w:keepNext/>
        <w:keepLines/>
        <w:rPr>
          <w:bCs/>
        </w:rPr>
      </w:pPr>
      <w:r w:rsidRPr="00A73519">
        <w:rPr>
          <w:bCs/>
        </w:rPr>
        <w:t>3</w:t>
      </w:r>
      <w:r w:rsidRPr="00A73519">
        <w:rPr>
          <w:bCs/>
        </w:rPr>
        <w:tab/>
        <w:t xml:space="preserve">que las estaciones de barco, incluidos los transceptores portátiles de ondas métricas con LLSD y el receptor de sistema mundial de navegación por satélite integral (SMNS), las costeras y las aeronaves que participan en operaciones de búsqueda y salvamento que utilizan equipos de llamada </w:t>
      </w:r>
      <w:r w:rsidRPr="008B32DB">
        <w:rPr>
          <w:bCs/>
        </w:rPr>
        <w:t xml:space="preserve">selectiva digital conforme con la Recomendación </w:t>
      </w:r>
      <w:hyperlink r:id="rId20" w:history="1">
        <w:r w:rsidRPr="008B32DB">
          <w:rPr>
            <w:rStyle w:val="Hyperlink"/>
            <w:bCs/>
            <w:color w:val="auto"/>
            <w:u w:val="none"/>
          </w:rPr>
          <w:t>UIT-R M.493</w:t>
        </w:r>
      </w:hyperlink>
      <w:r w:rsidRPr="008B32DB">
        <w:rPr>
          <w:bCs/>
        </w:rPr>
        <w:t xml:space="preserve"> utilicen sus identidades numéricas </w:t>
      </w:r>
      <w:r w:rsidRPr="00A73519">
        <w:rPr>
          <w:bCs/>
        </w:rPr>
        <w:t xml:space="preserve">de 9 cifras transmitiéndolas como una dirección/autoidentificación de 10 cifras normalmente mediante la adición de una cifra 0 al final de la identidad (véase también la Recomendación </w:t>
      </w:r>
      <w:hyperlink r:id="rId21" w:history="1">
        <w:r w:rsidRPr="008B32DB">
          <w:rPr>
            <w:rStyle w:val="Hyperlink"/>
            <w:bCs/>
            <w:color w:val="auto"/>
            <w:u w:val="none"/>
          </w:rPr>
          <w:t>UIT</w:t>
        </w:r>
        <w:r w:rsidR="008B32DB" w:rsidRPr="008B32DB">
          <w:rPr>
            <w:rStyle w:val="Hyperlink"/>
            <w:bCs/>
            <w:color w:val="auto"/>
            <w:u w:val="none"/>
          </w:rPr>
          <w:noBreakHyphen/>
        </w:r>
        <w:r w:rsidRPr="008B32DB">
          <w:rPr>
            <w:rStyle w:val="Hyperlink"/>
            <w:bCs/>
            <w:color w:val="auto"/>
            <w:u w:val="none"/>
          </w:rPr>
          <w:t>R</w:t>
        </w:r>
        <w:r w:rsidR="008B32DB" w:rsidRPr="008B32DB">
          <w:rPr>
            <w:rStyle w:val="Hyperlink"/>
            <w:bCs/>
            <w:color w:val="auto"/>
            <w:u w:val="none"/>
          </w:rPr>
          <w:t> </w:t>
        </w:r>
        <w:r w:rsidRPr="008B32DB">
          <w:rPr>
            <w:rStyle w:val="Hyperlink"/>
            <w:bCs/>
            <w:color w:val="auto"/>
            <w:u w:val="none"/>
          </w:rPr>
          <w:t>M.1080</w:t>
        </w:r>
      </w:hyperlink>
      <w:r w:rsidRPr="008B32DB">
        <w:rPr>
          <w:bCs/>
        </w:rPr>
        <w:t>);</w:t>
      </w:r>
    </w:p>
    <w:p w14:paraId="2198EFE4" w14:textId="6E4A34DF" w:rsidR="00146305" w:rsidRPr="008B32DB" w:rsidRDefault="00146305" w:rsidP="00146305">
      <w:pPr>
        <w:rPr>
          <w:bCs/>
        </w:rPr>
      </w:pPr>
      <w:r w:rsidRPr="00A73519">
        <w:rPr>
          <w:bCs/>
        </w:rPr>
        <w:t>4</w:t>
      </w:r>
      <w:r w:rsidRPr="00A73519">
        <w:rPr>
          <w:bCs/>
        </w:rPr>
        <w:tab/>
        <w:t xml:space="preserve">que las estaciones de barco, las estaciones costeras y las estaciones distintas a las de barco que emplean equipos SIA utilicen sus identidades numéricas de 9 cifras y 12 caracteres de </w:t>
      </w:r>
      <w:r w:rsidRPr="008B32DB">
        <w:rPr>
          <w:bCs/>
        </w:rPr>
        <w:t xml:space="preserve">conformidad con la Recomendación </w:t>
      </w:r>
      <w:hyperlink r:id="rId22" w:history="1">
        <w:r w:rsidRPr="008B32DB">
          <w:rPr>
            <w:rStyle w:val="Hyperlink"/>
            <w:bCs/>
            <w:color w:val="auto"/>
            <w:u w:val="none"/>
          </w:rPr>
          <w:t>UIT-R M.1371</w:t>
        </w:r>
      </w:hyperlink>
      <w:r w:rsidRPr="008B32DB">
        <w:rPr>
          <w:bCs/>
        </w:rPr>
        <w:t>;</w:t>
      </w:r>
    </w:p>
    <w:p w14:paraId="0337CC82" w14:textId="77777777" w:rsidR="00146305" w:rsidRPr="00A73519" w:rsidRDefault="00146305" w:rsidP="00146305">
      <w:pPr>
        <w:rPr>
          <w:bCs/>
        </w:rPr>
      </w:pPr>
      <w:r w:rsidRPr="00A73519">
        <w:rPr>
          <w:bCs/>
        </w:rPr>
        <w:t>5</w:t>
      </w:r>
      <w:r w:rsidRPr="00A73519">
        <w:rPr>
          <w:bCs/>
        </w:rPr>
        <w:tab/>
        <w:t>que para garantizar la compatibilidad con el Sistema Mundial de Socorro y Seguridad Marítimos, los correspondientes proveedores de servicios de telecomunicaciones, pongan a disposición de todas las entidades autorizadas los números, nombres y direcciones de las estaciones terrenas de barco que participan en los servicios de telecomunicaciones internacionales;</w:t>
      </w:r>
    </w:p>
    <w:p w14:paraId="0EAD4011" w14:textId="77777777" w:rsidR="00146305" w:rsidRDefault="00146305" w:rsidP="00146305">
      <w:r w:rsidRPr="00A73519">
        <w:rPr>
          <w:bCs/>
        </w:rPr>
        <w:t>6</w:t>
      </w:r>
      <w:r w:rsidRPr="00520450">
        <w:tab/>
        <w:t>que se consulten las orientaciones dadas en el Anexo 3 con relación a la asignación, gestión y conservación de identidades del servicio móvil marítimo.</w:t>
      </w:r>
    </w:p>
    <w:p w14:paraId="58440AFB" w14:textId="77777777" w:rsidR="00C43E2C" w:rsidRDefault="00C43E2C" w:rsidP="00486144"/>
    <w:p w14:paraId="6A081707" w14:textId="77777777" w:rsidR="00C43E2C" w:rsidRPr="00520450" w:rsidRDefault="00C43E2C" w:rsidP="00486144"/>
    <w:p w14:paraId="76963DAF" w14:textId="77777777" w:rsidR="00146305" w:rsidRPr="00520450" w:rsidRDefault="00146305" w:rsidP="00146305">
      <w:pPr>
        <w:pStyle w:val="AnnexNoTitle"/>
      </w:pPr>
      <w:r w:rsidRPr="00520450">
        <w:lastRenderedPageBreak/>
        <w:t>Anexo 1</w:t>
      </w:r>
      <w:r w:rsidRPr="00520450">
        <w:br/>
      </w:r>
      <w:r w:rsidRPr="00520450">
        <w:br/>
        <w:t>Identidades del servicio móvil marítimo</w:t>
      </w:r>
    </w:p>
    <w:p w14:paraId="5455443F" w14:textId="77777777" w:rsidR="00146305" w:rsidRPr="00520450" w:rsidRDefault="00146305" w:rsidP="00146305">
      <w:pPr>
        <w:pStyle w:val="Section1"/>
        <w:rPr>
          <w:szCs w:val="28"/>
          <w:lang w:val="es-ES"/>
        </w:rPr>
      </w:pPr>
      <w:r w:rsidRPr="00520450">
        <w:rPr>
          <w:szCs w:val="28"/>
          <w:lang w:val="es-ES"/>
        </w:rPr>
        <w:t>Sección 1</w:t>
      </w:r>
      <w:r w:rsidRPr="00520450">
        <w:rPr>
          <w:szCs w:val="28"/>
          <w:lang w:val="es-ES"/>
        </w:rPr>
        <w:br/>
      </w:r>
      <w:r w:rsidRPr="00520450">
        <w:rPr>
          <w:szCs w:val="28"/>
          <w:lang w:val="es-ES"/>
        </w:rPr>
        <w:br/>
        <w:t>Asignación de identidades a estaciones de barco</w:t>
      </w:r>
    </w:p>
    <w:p w14:paraId="66280B50" w14:textId="77777777" w:rsidR="00146305" w:rsidRPr="00520450" w:rsidRDefault="00146305" w:rsidP="00146305">
      <w:pPr>
        <w:pStyle w:val="Normalaftertitle"/>
      </w:pPr>
      <w:r w:rsidRPr="00520450">
        <w:rPr>
          <w:b/>
          <w:bCs/>
        </w:rPr>
        <w:t>1</w:t>
      </w:r>
      <w:r w:rsidRPr="00520450">
        <w:tab/>
        <w:t xml:space="preserve">A los barcos que participen en los servicios radioeléctricos marítimos mencionados en el </w:t>
      </w:r>
      <w:r w:rsidRPr="00520450">
        <w:rPr>
          <w:i/>
          <w:iCs/>
        </w:rPr>
        <w:t>recomienda </w:t>
      </w:r>
      <w:r w:rsidRPr="00520450">
        <w:t>1 de la parte dispositiva se les asignará una identidad de estación de barco única de 9 cifras, con el formato M</w:t>
      </w:r>
      <w:r w:rsidRPr="00520450">
        <w:rPr>
          <w:vertAlign w:val="subscript"/>
        </w:rPr>
        <w:t>1</w:t>
      </w:r>
      <w:r w:rsidRPr="00520450">
        <w:t>I</w:t>
      </w:r>
      <w:r w:rsidRPr="00520450">
        <w:rPr>
          <w:vertAlign w:val="subscript"/>
        </w:rPr>
        <w:t>2</w:t>
      </w:r>
      <w:r w:rsidRPr="00520450">
        <w:t>D</w:t>
      </w:r>
      <w:r w:rsidRPr="00520450">
        <w:rPr>
          <w:vertAlign w:val="subscript"/>
        </w:rPr>
        <w:t>3</w:t>
      </w:r>
      <w:r w:rsidRPr="00520450">
        <w:t>X</w:t>
      </w:r>
      <w:r w:rsidRPr="00520450">
        <w:rPr>
          <w:vertAlign w:val="subscript"/>
        </w:rPr>
        <w:t>4</w:t>
      </w:r>
      <w:r w:rsidRPr="00520450">
        <w:t>X</w:t>
      </w:r>
      <w:r w:rsidRPr="00520450">
        <w:rPr>
          <w:vertAlign w:val="subscript"/>
        </w:rPr>
        <w:t>5</w:t>
      </w:r>
      <w:r w:rsidRPr="00520450">
        <w:t>X</w:t>
      </w:r>
      <w:r w:rsidRPr="00520450">
        <w:rPr>
          <w:vertAlign w:val="subscript"/>
        </w:rPr>
        <w:t>6</w:t>
      </w:r>
      <w:r w:rsidRPr="00520450">
        <w:t>X</w:t>
      </w:r>
      <w:r w:rsidRPr="00520450">
        <w:rPr>
          <w:vertAlign w:val="subscript"/>
        </w:rPr>
        <w:t>7</w:t>
      </w:r>
      <w:r w:rsidRPr="00520450">
        <w:t>X</w:t>
      </w:r>
      <w:r w:rsidRPr="00520450">
        <w:rPr>
          <w:vertAlign w:val="subscript"/>
        </w:rPr>
        <w:t>8</w:t>
      </w:r>
      <w:r w:rsidRPr="00520450">
        <w:t>X</w:t>
      </w:r>
      <w:r w:rsidRPr="00520450">
        <w:rPr>
          <w:vertAlign w:val="subscript"/>
        </w:rPr>
        <w:t>9</w:t>
      </w:r>
      <w:r w:rsidRPr="00520450">
        <w:t>, cuyas tres primeras cifras representan las cifras de identificación marítima (MID) y X es un número de 0 a 9. Las MID indican la administración de que depende la estación de barco así identificada.</w:t>
      </w:r>
    </w:p>
    <w:p w14:paraId="2946E184" w14:textId="77777777" w:rsidR="00146305" w:rsidRPr="00520450" w:rsidRDefault="00146305" w:rsidP="00146305">
      <w:r w:rsidRPr="00520450">
        <w:rPr>
          <w:b/>
          <w:bCs/>
        </w:rPr>
        <w:t>2</w:t>
      </w:r>
      <w:r w:rsidRPr="00520450">
        <w:tab/>
        <w:t>En algunas redes télex y/o telefónicas nacionales pueden existir restricciones en cuanto al número máximo de cifras que es posible transmitir para la identificación de estaciones de barco.</w:t>
      </w:r>
    </w:p>
    <w:p w14:paraId="1F465C8C" w14:textId="77777777" w:rsidR="00146305" w:rsidRPr="00520450" w:rsidRDefault="00146305" w:rsidP="00146305">
      <w:r w:rsidRPr="00520450">
        <w:rPr>
          <w:b/>
          <w:bCs/>
        </w:rPr>
        <w:t>3</w:t>
      </w:r>
      <w:r w:rsidRPr="00520450">
        <w:tab/>
        <w:t>El número máximo de cifras que podía transmitirse por la red nacional de muchos países como identidad de una estación de barco era 6. Las cifras transmitidas por la red que representan la identidad de la estación de barco se denominan «número de estación de barco» en el presente texto y en las Recomendaciones UIT</w:t>
      </w:r>
      <w:r w:rsidRPr="00520450">
        <w:noBreakHyphen/>
        <w:t>R pertinentes.</w:t>
      </w:r>
    </w:p>
    <w:p w14:paraId="6959274C" w14:textId="77777777" w:rsidR="00146305" w:rsidRPr="00520450" w:rsidRDefault="00146305" w:rsidP="00146305">
      <w:pPr>
        <w:keepNext/>
        <w:keepLines/>
      </w:pPr>
      <w:r w:rsidRPr="00520450">
        <w:rPr>
          <w:b/>
        </w:rPr>
        <w:t>4</w:t>
      </w:r>
      <w:r w:rsidRPr="00520450">
        <w:tab/>
        <w:t>El formato de las identidades de llamada a grupos de estaciones de barco para llamar simultáneamente a más de un barco es el siguiente:</w:t>
      </w:r>
    </w:p>
    <w:p w14:paraId="1C45708B" w14:textId="77777777" w:rsidR="00146305" w:rsidRPr="00520450" w:rsidRDefault="00146305" w:rsidP="00146305">
      <w:pPr>
        <w:tabs>
          <w:tab w:val="center" w:pos="4820"/>
          <w:tab w:val="right" w:pos="9639"/>
        </w:tabs>
        <w:jc w:val="center"/>
      </w:pPr>
      <w:r w:rsidRPr="00520450">
        <w:t>0</w:t>
      </w:r>
      <w:r w:rsidRPr="00520450">
        <w:rPr>
          <w:vertAlign w:val="subscript"/>
        </w:rPr>
        <w:t>1</w:t>
      </w:r>
      <w:r w:rsidRPr="00520450">
        <w:t>M</w:t>
      </w:r>
      <w:r w:rsidRPr="00520450">
        <w:rPr>
          <w:vertAlign w:val="subscript"/>
        </w:rPr>
        <w:t>2</w:t>
      </w:r>
      <w:r w:rsidRPr="00520450">
        <w:t>I</w:t>
      </w:r>
      <w:r w:rsidRPr="00520450">
        <w:rPr>
          <w:vertAlign w:val="subscript"/>
        </w:rPr>
        <w:t>3</w:t>
      </w:r>
      <w:r w:rsidRPr="00520450">
        <w:t>D</w:t>
      </w:r>
      <w:r w:rsidRPr="00520450">
        <w:rPr>
          <w:vertAlign w:val="subscript"/>
        </w:rPr>
        <w:t>4</w:t>
      </w:r>
      <w:r w:rsidRPr="00520450">
        <w:t>X</w:t>
      </w:r>
      <w:r w:rsidRPr="00520450">
        <w:rPr>
          <w:vertAlign w:val="subscript"/>
        </w:rPr>
        <w:t>5</w:t>
      </w:r>
      <w:r w:rsidRPr="00520450">
        <w:t>X</w:t>
      </w:r>
      <w:r w:rsidRPr="00520450">
        <w:rPr>
          <w:vertAlign w:val="subscript"/>
        </w:rPr>
        <w:t>6</w:t>
      </w:r>
      <w:r w:rsidRPr="00520450">
        <w:t>X</w:t>
      </w:r>
      <w:r w:rsidRPr="00520450">
        <w:rPr>
          <w:vertAlign w:val="subscript"/>
        </w:rPr>
        <w:t>7</w:t>
      </w:r>
      <w:r w:rsidRPr="00520450">
        <w:t>X</w:t>
      </w:r>
      <w:r w:rsidRPr="00520450">
        <w:rPr>
          <w:vertAlign w:val="subscript"/>
        </w:rPr>
        <w:t>8</w:t>
      </w:r>
      <w:r w:rsidRPr="00520450">
        <w:t>X</w:t>
      </w:r>
      <w:r w:rsidRPr="00520450">
        <w:rPr>
          <w:vertAlign w:val="subscript"/>
        </w:rPr>
        <w:t>9</w:t>
      </w:r>
    </w:p>
    <w:p w14:paraId="2EFB477C" w14:textId="77777777" w:rsidR="00146305" w:rsidRPr="00520450" w:rsidRDefault="00146305" w:rsidP="00146305">
      <w:r w:rsidRPr="00520450">
        <w:t>siendo cero la primera cifra y X un número de 0 a 9. Las MID representan el territorio o zona geográfica de la administración que asigna la identidad de llamada al grupo de estaciones de barco y, por consiguiente, se puede llamar a flotas constituidas por barcos de varias nacionalidades.</w:t>
      </w:r>
    </w:p>
    <w:p w14:paraId="78F2225B" w14:textId="77777777" w:rsidR="00146305" w:rsidRDefault="00146305" w:rsidP="00146305">
      <w:r w:rsidRPr="00520450">
        <w:rPr>
          <w:b/>
        </w:rPr>
        <w:t>5</w:t>
      </w:r>
      <w:r w:rsidRPr="00520450">
        <w:tab/>
        <w:t>Con la evolución de los sistemas mundiales de comunicaciones móviles por satélite, las estaciones terrenas de barcos pueden participar en los servicios de telecomunicación de correspondencia pública internacional. A las estaciones terrenas de barcos que disponen de esta funcionalidad se les pueden asignar números de telecomunicaciones internacionales que no tienen correspondencia directa con la MMSI de la estación de barco. El organismo autorizado para asignar los números, nombres y direcciones asociados con esas estaciones terrenas de barcos debe mantener un registro de las relaciones de interferencia con la MMSI; por ejemplo, en una base de datos apropiada. A efectos del SMSSM los detalles de esas relaciones se deben poner a disposición de entidades autorizadas tales como el centro coordinador de salvamento (CCS), pero no limitadas a los mismos. La disponibilidad debe ser automática, las 24 h del día durante los 365 días del año.</w:t>
      </w:r>
    </w:p>
    <w:p w14:paraId="395749B8" w14:textId="77777777" w:rsidR="00486144" w:rsidRDefault="00486144" w:rsidP="00146305"/>
    <w:p w14:paraId="7DBFB56F" w14:textId="77777777" w:rsidR="00146305" w:rsidRPr="00520450" w:rsidRDefault="00146305" w:rsidP="0055711A">
      <w:pPr>
        <w:pStyle w:val="Section1"/>
        <w:keepNext w:val="0"/>
        <w:keepLines w:val="0"/>
        <w:rPr>
          <w:lang w:val="es-ES"/>
        </w:rPr>
      </w:pPr>
      <w:r w:rsidRPr="00520450">
        <w:rPr>
          <w:szCs w:val="28"/>
          <w:lang w:val="es-ES"/>
        </w:rPr>
        <w:t>Sección</w:t>
      </w:r>
      <w:r w:rsidRPr="00520450">
        <w:rPr>
          <w:lang w:val="es-ES"/>
        </w:rPr>
        <w:t xml:space="preserve"> 2</w:t>
      </w:r>
      <w:r w:rsidRPr="00520450">
        <w:rPr>
          <w:lang w:val="es-ES"/>
        </w:rPr>
        <w:br/>
      </w:r>
      <w:r w:rsidRPr="00520450">
        <w:rPr>
          <w:lang w:val="es-ES"/>
        </w:rPr>
        <w:br/>
        <w:t xml:space="preserve">Asignación de </w:t>
      </w:r>
      <w:r w:rsidRPr="00520450">
        <w:rPr>
          <w:szCs w:val="28"/>
          <w:lang w:val="es-ES"/>
        </w:rPr>
        <w:t>identidades</w:t>
      </w:r>
      <w:r w:rsidRPr="00520450">
        <w:rPr>
          <w:lang w:val="es-ES"/>
        </w:rPr>
        <w:t xml:space="preserve"> a estaciones costeras</w:t>
      </w:r>
    </w:p>
    <w:p w14:paraId="3EA05571" w14:textId="6D9FBE2D" w:rsidR="00146305" w:rsidRPr="00520450" w:rsidRDefault="00146305" w:rsidP="0055711A">
      <w:pPr>
        <w:pStyle w:val="Normalaftertitle"/>
      </w:pPr>
      <w:r w:rsidRPr="00520450">
        <w:rPr>
          <w:b/>
          <w:bCs/>
        </w:rPr>
        <w:t>1</w:t>
      </w:r>
      <w:r w:rsidRPr="00520450">
        <w:tab/>
      </w:r>
      <w:r w:rsidR="00032EAB">
        <w:t>A l</w:t>
      </w:r>
      <w:r w:rsidRPr="00520450">
        <w:t xml:space="preserve">as estaciones costeras y otras estaciones en tierra que participen en los servicios de radiocomunicaciones marítimas mencionados en el </w:t>
      </w:r>
      <w:r w:rsidRPr="00520450">
        <w:rPr>
          <w:i/>
          <w:iCs/>
        </w:rPr>
        <w:t>recomienda</w:t>
      </w:r>
      <w:r w:rsidRPr="00520450">
        <w:t> 3 de la parte dispositiva se les asignará una identidad de estación costera única de 9 cifras, con el formato 0</w:t>
      </w:r>
      <w:r w:rsidRPr="00520450">
        <w:rPr>
          <w:position w:val="-4"/>
          <w:sz w:val="16"/>
        </w:rPr>
        <w:t>1</w:t>
      </w:r>
      <w:r w:rsidRPr="00520450">
        <w:t>0</w:t>
      </w:r>
      <w:r w:rsidRPr="00520450">
        <w:rPr>
          <w:position w:val="-4"/>
          <w:sz w:val="16"/>
        </w:rPr>
        <w:t>2</w:t>
      </w:r>
      <w:r w:rsidRPr="00520450">
        <w:t>M</w:t>
      </w:r>
      <w:r w:rsidRPr="00520450">
        <w:rPr>
          <w:position w:val="-4"/>
          <w:sz w:val="16"/>
        </w:rPr>
        <w:t>3</w:t>
      </w:r>
      <w:r w:rsidRPr="00520450">
        <w:t>I</w:t>
      </w:r>
      <w:r w:rsidRPr="00520450">
        <w:rPr>
          <w:position w:val="-4"/>
          <w:sz w:val="16"/>
        </w:rPr>
        <w:t>4</w:t>
      </w:r>
      <w:r w:rsidRPr="00520450">
        <w:t>D</w:t>
      </w:r>
      <w:r w:rsidRPr="00520450">
        <w:rPr>
          <w:position w:val="-4"/>
          <w:sz w:val="16"/>
        </w:rPr>
        <w:t>5</w:t>
      </w:r>
      <w:r w:rsidRPr="00520450">
        <w:t>X</w:t>
      </w:r>
      <w:r w:rsidRPr="00520450">
        <w:rPr>
          <w:position w:val="-4"/>
          <w:sz w:val="16"/>
        </w:rPr>
        <w:t>6</w:t>
      </w:r>
      <w:r w:rsidRPr="00520450">
        <w:t>X</w:t>
      </w:r>
      <w:r w:rsidRPr="00520450">
        <w:rPr>
          <w:position w:val="-4"/>
          <w:sz w:val="16"/>
        </w:rPr>
        <w:t>7</w:t>
      </w:r>
      <w:r w:rsidRPr="00520450">
        <w:t>X</w:t>
      </w:r>
      <w:r w:rsidRPr="00520450">
        <w:rPr>
          <w:position w:val="-4"/>
          <w:sz w:val="16"/>
        </w:rPr>
        <w:t>8</w:t>
      </w:r>
      <w:r w:rsidRPr="00520450">
        <w:t>X</w:t>
      </w:r>
      <w:r w:rsidRPr="00520450">
        <w:rPr>
          <w:position w:val="-4"/>
          <w:sz w:val="16"/>
        </w:rPr>
        <w:t xml:space="preserve">9 </w:t>
      </w:r>
      <w:r w:rsidRPr="00520450">
        <w:t xml:space="preserve">cuyas cifras 3, 4 y 5 representan las cifras de identificación marítima (MID) y X es un número de 0 a 9. </w:t>
      </w:r>
      <w:r w:rsidRPr="00520450">
        <w:rPr>
          <w:color w:val="000000"/>
        </w:rPr>
        <w:t>Las MID denotan la administración de que depende la estación costera o la estación terrena costera</w:t>
      </w:r>
      <w:r w:rsidRPr="00520450">
        <w:t>.</w:t>
      </w:r>
    </w:p>
    <w:p w14:paraId="27FA9C1B" w14:textId="77777777" w:rsidR="00146305" w:rsidRPr="00520450" w:rsidRDefault="00146305" w:rsidP="00146305">
      <w:r w:rsidRPr="00520450">
        <w:rPr>
          <w:b/>
          <w:bCs/>
        </w:rPr>
        <w:lastRenderedPageBreak/>
        <w:t>2</w:t>
      </w:r>
      <w:r w:rsidRPr="00520450">
        <w:tab/>
        <w:t>Dado que el número de estaciones costeras disminuye en muchos países, es posible que las administraciones estimen conveniente asignar las MMSI con el formato anterior a estaciones portuarias, estaciones de practicaje y otras estaciones que participan en los servicios marítimos. Las estaciones interesadas deben encontrarse en tierra o en una isla para poder emplear el formato 00MIDXXXX.</w:t>
      </w:r>
    </w:p>
    <w:p w14:paraId="5443794C" w14:textId="77777777" w:rsidR="00146305" w:rsidRPr="00520450" w:rsidRDefault="00146305" w:rsidP="00146305">
      <w:r w:rsidRPr="00520450">
        <w:rPr>
          <w:b/>
          <w:bCs/>
        </w:rPr>
        <w:t>3</w:t>
      </w:r>
      <w:r w:rsidRPr="00520450">
        <w:tab/>
        <w:t>La administración puede utilizar la sexta cifra para diferenciar ciertos usos específicos de esta clase de MMSI, como se muestra en el siguiente ejemplo:</w:t>
      </w:r>
    </w:p>
    <w:p w14:paraId="3B912902" w14:textId="77777777" w:rsidR="00146305" w:rsidRPr="00520450" w:rsidRDefault="00146305" w:rsidP="00146305">
      <w:pPr>
        <w:pStyle w:val="enumlev1"/>
      </w:pPr>
      <w:r w:rsidRPr="00520450">
        <w:t>a)</w:t>
      </w:r>
      <w:r w:rsidRPr="00520450">
        <w:tab/>
        <w:t>00MID1XXX</w:t>
      </w:r>
      <w:r w:rsidRPr="00520450">
        <w:tab/>
      </w:r>
      <w:r w:rsidRPr="00520450">
        <w:tab/>
        <w:t>Estaciones costeras</w:t>
      </w:r>
    </w:p>
    <w:p w14:paraId="4ADF07BE" w14:textId="77777777" w:rsidR="00146305" w:rsidRPr="00520450" w:rsidRDefault="00146305" w:rsidP="00146305">
      <w:pPr>
        <w:pStyle w:val="enumlev1"/>
      </w:pPr>
      <w:r w:rsidRPr="00520450">
        <w:t>b)</w:t>
      </w:r>
      <w:r w:rsidRPr="00520450">
        <w:tab/>
        <w:t>00MID2XXX</w:t>
      </w:r>
      <w:r w:rsidRPr="00520450">
        <w:tab/>
        <w:t xml:space="preserve"> </w:t>
      </w:r>
      <w:r w:rsidRPr="00520450">
        <w:tab/>
        <w:t>Estaciones portuarias (estaciones de radiocomunicaciones portuarias)</w:t>
      </w:r>
    </w:p>
    <w:p w14:paraId="6938F1F1" w14:textId="77777777" w:rsidR="00146305" w:rsidRPr="00520450" w:rsidRDefault="00146305" w:rsidP="00146305">
      <w:pPr>
        <w:pStyle w:val="enumlev1"/>
      </w:pPr>
      <w:r w:rsidRPr="00520450">
        <w:t>c)</w:t>
      </w:r>
      <w:r w:rsidRPr="00520450">
        <w:tab/>
        <w:t>00MID3XXX</w:t>
      </w:r>
      <w:r w:rsidRPr="00520450">
        <w:tab/>
      </w:r>
      <w:r w:rsidRPr="00520450">
        <w:tab/>
        <w:t>Estaciones de prácticas</w:t>
      </w:r>
    </w:p>
    <w:p w14:paraId="48A6964C" w14:textId="77777777" w:rsidR="00146305" w:rsidRPr="00520450" w:rsidRDefault="00146305" w:rsidP="00146305">
      <w:pPr>
        <w:pStyle w:val="enumlev1"/>
      </w:pPr>
      <w:r w:rsidRPr="00520450">
        <w:t>d)</w:t>
      </w:r>
      <w:r w:rsidRPr="00520450">
        <w:tab/>
        <w:t>00MID4XXX</w:t>
      </w:r>
      <w:r w:rsidRPr="00520450">
        <w:tab/>
      </w:r>
      <w:r w:rsidRPr="00520450">
        <w:tab/>
        <w:t>Estaciones repetidoras del SIA</w:t>
      </w:r>
    </w:p>
    <w:p w14:paraId="39E0C317" w14:textId="6B4EAB17" w:rsidR="00146305" w:rsidRPr="00520450" w:rsidRDefault="00146305" w:rsidP="00146305">
      <w:pPr>
        <w:pStyle w:val="enumlev1"/>
      </w:pPr>
      <w:r w:rsidRPr="00520450">
        <w:t>e)</w:t>
      </w:r>
      <w:r w:rsidRPr="00520450">
        <w:tab/>
        <w:t>00MID5XXX</w:t>
      </w:r>
      <w:r w:rsidRPr="00520450">
        <w:tab/>
      </w:r>
      <w:r w:rsidRPr="00520450">
        <w:tab/>
        <w:t xml:space="preserve">Estaciones de base </w:t>
      </w:r>
      <w:r w:rsidR="00F14995">
        <w:t>SIA</w:t>
      </w:r>
      <w:r w:rsidRPr="00520450">
        <w:t xml:space="preserve"> (estaciones de control VDL)</w:t>
      </w:r>
    </w:p>
    <w:p w14:paraId="7EA92F41" w14:textId="55A6C55F" w:rsidR="00146305" w:rsidRPr="00520450" w:rsidRDefault="00146305" w:rsidP="00146305">
      <w:r w:rsidRPr="00520450">
        <w:rPr>
          <w:b/>
          <w:bCs/>
        </w:rPr>
        <w:t>4</w:t>
      </w:r>
      <w:r w:rsidRPr="00520450">
        <w:tab/>
        <w:t>Con este formato se obtiene un plan constituido por bloques de 999 números para cada categoría de estación, aunque este método es optativo y debe considerarse únicamente como un ejemplo. Existen muchas otras posibilidades en caso de que la administración desee incrementar el plan.</w:t>
      </w:r>
    </w:p>
    <w:p w14:paraId="3B86D204" w14:textId="2977A5D5" w:rsidR="00146305" w:rsidRPr="00520450" w:rsidRDefault="00146305" w:rsidP="00146305">
      <w:pPr>
        <w:rPr>
          <w:color w:val="000000"/>
        </w:rPr>
      </w:pPr>
      <w:r w:rsidRPr="00520450">
        <w:rPr>
          <w:b/>
        </w:rPr>
        <w:t>5</w:t>
      </w:r>
      <w:r w:rsidRPr="00520450">
        <w:tab/>
        <w:t xml:space="preserve">Las identidades de llamada a grupos de estaciones costeras para llamar simultáneamente a varias estaciones costeras </w:t>
      </w:r>
      <w:r w:rsidR="00160686">
        <w:t>son</w:t>
      </w:r>
      <w:r w:rsidRPr="00520450">
        <w:t xml:space="preserve"> un subconjunto de las identidades de estaciones costeras, y su formato es el siguiente</w:t>
      </w:r>
      <w:r w:rsidRPr="00520450">
        <w:rPr>
          <w:color w:val="000000"/>
        </w:rPr>
        <w:t>:</w:t>
      </w:r>
    </w:p>
    <w:p w14:paraId="472FA074" w14:textId="77777777" w:rsidR="008B32DB" w:rsidRPr="00E07014" w:rsidRDefault="008B32DB" w:rsidP="008B32DB">
      <w:pPr>
        <w:pStyle w:val="Equation"/>
        <w:rPr>
          <w:color w:val="000000"/>
        </w:rPr>
      </w:pPr>
      <w:r>
        <w:tab/>
      </w:r>
      <w:r>
        <w:tab/>
      </w:r>
      <w:r w:rsidRPr="00E07014">
        <w:t>0</w:t>
      </w:r>
      <w:r w:rsidRPr="00E07014">
        <w:rPr>
          <w:vertAlign w:val="subscript"/>
        </w:rPr>
        <w:t>1</w:t>
      </w:r>
      <w:r w:rsidRPr="00E07014">
        <w:t>0</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p>
    <w:p w14:paraId="60314C17" w14:textId="77777777" w:rsidR="00146305" w:rsidRPr="00520450" w:rsidRDefault="00146305" w:rsidP="00146305">
      <w:r w:rsidRPr="00520450">
        <w:t>siendo cero las dos primeras cifras y X es un número de 0 a 9. Las MID representan el territorio o zona geográfica de la administración que asigna la identidad de llamada al grupo de estaciones costeras. La identidad puede asignarse a estaciones de una administración que están ubicadas en una sola región geográfica según lo indicado en las correspondientes Recomendaciones UIT</w:t>
      </w:r>
      <w:r w:rsidRPr="00520450">
        <w:noBreakHyphen/>
        <w:t>T.</w:t>
      </w:r>
    </w:p>
    <w:p w14:paraId="5E4104D1" w14:textId="77777777" w:rsidR="00146305" w:rsidRPr="00520450" w:rsidRDefault="00146305" w:rsidP="00146305">
      <w:r w:rsidRPr="00520450">
        <w:rPr>
          <w:b/>
          <w:bCs/>
        </w:rPr>
        <w:t>6</w:t>
      </w:r>
      <w:r w:rsidRPr="00520450">
        <w:tab/>
        <w:t>La combinación 0</w:t>
      </w:r>
      <w:r w:rsidRPr="00520450">
        <w:rPr>
          <w:vertAlign w:val="subscript"/>
        </w:rPr>
        <w:t>1</w:t>
      </w:r>
      <w:r w:rsidRPr="00520450">
        <w:t>0</w:t>
      </w:r>
      <w:r w:rsidRPr="00520450">
        <w:rPr>
          <w:vertAlign w:val="subscript"/>
        </w:rPr>
        <w:t>2</w:t>
      </w:r>
      <w:r w:rsidRPr="00520450">
        <w:t>M</w:t>
      </w:r>
      <w:r w:rsidRPr="00520450">
        <w:rPr>
          <w:vertAlign w:val="subscript"/>
        </w:rPr>
        <w:t>3</w:t>
      </w:r>
      <w:r w:rsidRPr="00520450">
        <w:t>I</w:t>
      </w:r>
      <w:r w:rsidRPr="00520450">
        <w:rPr>
          <w:vertAlign w:val="subscript"/>
        </w:rPr>
        <w:t>4</w:t>
      </w:r>
      <w:r w:rsidRPr="00520450">
        <w:t>D</w:t>
      </w:r>
      <w:r w:rsidRPr="00520450">
        <w:rPr>
          <w:vertAlign w:val="subscript"/>
        </w:rPr>
        <w:t>5</w:t>
      </w:r>
      <w:r w:rsidRPr="00520450">
        <w:t>0</w:t>
      </w:r>
      <w:r w:rsidRPr="00520450">
        <w:rPr>
          <w:vertAlign w:val="subscript"/>
        </w:rPr>
        <w:t>6</w:t>
      </w:r>
      <w:r w:rsidRPr="00520450">
        <w:t>0</w:t>
      </w:r>
      <w:r w:rsidRPr="00520450">
        <w:rPr>
          <w:vertAlign w:val="subscript"/>
        </w:rPr>
        <w:t>7</w:t>
      </w:r>
      <w:r w:rsidRPr="00520450">
        <w:t>0</w:t>
      </w:r>
      <w:r w:rsidRPr="00520450">
        <w:rPr>
          <w:vertAlign w:val="subscript"/>
        </w:rPr>
        <w:t>8</w:t>
      </w:r>
      <w:r w:rsidRPr="00520450">
        <w:t>0</w:t>
      </w:r>
      <w:r w:rsidRPr="00520450">
        <w:rPr>
          <w:vertAlign w:val="subscript"/>
        </w:rPr>
        <w:t>9</w:t>
      </w:r>
      <w:r w:rsidRPr="00520450">
        <w:t xml:space="preserve"> debe estar reservada para la identidad de grupo de estaciones costeras, la cual debe abarcar todas las estaciones 00MIDXXXX de la administración. La administración puede ampliar más este uso mediante identidades de llamada a grupos adicionales, por ejemplo, 00MID1111.</w:t>
      </w:r>
    </w:p>
    <w:p w14:paraId="7F62A66E" w14:textId="5C8D66CB" w:rsidR="00146305" w:rsidRPr="00520450" w:rsidRDefault="00146305" w:rsidP="00146305">
      <w:r w:rsidRPr="00520450">
        <w:rPr>
          <w:b/>
          <w:bCs/>
        </w:rPr>
        <w:t>7</w:t>
      </w:r>
      <w:r w:rsidRPr="00520450">
        <w:tab/>
        <w:t>A los efectos del SMSSM, la información relativa a estas asignaciones MMSI se debe poner a disposición de las entidades autorizadas, tales como el CCS. La disponibilidad debe ser automática</w:t>
      </w:r>
      <w:r w:rsidRPr="00520450">
        <w:rPr>
          <w:bCs/>
        </w:rPr>
        <w:t>, las 24 h del día durante los 365 días del año</w:t>
      </w:r>
      <w:r w:rsidRPr="00520450">
        <w:t>.</w:t>
      </w:r>
    </w:p>
    <w:p w14:paraId="0697C85E" w14:textId="77777777" w:rsidR="00146305" w:rsidRDefault="00146305" w:rsidP="00146305">
      <w:r w:rsidRPr="00520450">
        <w:rPr>
          <w:b/>
          <w:bCs/>
        </w:rPr>
        <w:t>8</w:t>
      </w:r>
      <w:r w:rsidRPr="00520450">
        <w:tab/>
        <w:t>La combinación 0</w:t>
      </w:r>
      <w:r w:rsidRPr="00520450">
        <w:rPr>
          <w:vertAlign w:val="subscript"/>
        </w:rPr>
        <w:t>1</w:t>
      </w:r>
      <w:r w:rsidRPr="00520450">
        <w:t>0</w:t>
      </w:r>
      <w:r w:rsidRPr="00520450">
        <w:rPr>
          <w:vertAlign w:val="subscript"/>
        </w:rPr>
        <w:t>2</w:t>
      </w:r>
      <w:r w:rsidRPr="00520450">
        <w:t>9</w:t>
      </w:r>
      <w:r w:rsidRPr="00520450">
        <w:rPr>
          <w:vertAlign w:val="subscript"/>
        </w:rPr>
        <w:t>3</w:t>
      </w:r>
      <w:r w:rsidRPr="00520450">
        <w:t>9</w:t>
      </w:r>
      <w:r w:rsidRPr="00520450">
        <w:rPr>
          <w:vertAlign w:val="subscript"/>
        </w:rPr>
        <w:t>4</w:t>
      </w:r>
      <w:r w:rsidRPr="00520450">
        <w:t>9</w:t>
      </w:r>
      <w:r w:rsidRPr="00520450">
        <w:rPr>
          <w:vertAlign w:val="subscript"/>
        </w:rPr>
        <w:t>5</w:t>
      </w:r>
      <w:r w:rsidRPr="00520450">
        <w:t>0</w:t>
      </w:r>
      <w:r w:rsidRPr="00520450">
        <w:rPr>
          <w:vertAlign w:val="subscript"/>
        </w:rPr>
        <w:t>6</w:t>
      </w:r>
      <w:r w:rsidRPr="00520450">
        <w:t>0</w:t>
      </w:r>
      <w:r w:rsidRPr="00520450">
        <w:rPr>
          <w:vertAlign w:val="subscript"/>
        </w:rPr>
        <w:t>7</w:t>
      </w:r>
      <w:r w:rsidRPr="00520450">
        <w:t>0</w:t>
      </w:r>
      <w:r w:rsidRPr="00520450">
        <w:rPr>
          <w:vertAlign w:val="subscript"/>
        </w:rPr>
        <w:t>8</w:t>
      </w:r>
      <w:r w:rsidRPr="00520450">
        <w:t>0</w:t>
      </w:r>
      <w:r w:rsidRPr="00520450">
        <w:rPr>
          <w:vertAlign w:val="subscript"/>
        </w:rPr>
        <w:t>9</w:t>
      </w:r>
      <w:r w:rsidRPr="00520450">
        <w:t xml:space="preserve"> está reservada para la identidad de todas las estaciones costeras, la cual debe abarcar todas las estaciones 00XXXXXXX en ondas métricas. Esto no es aplicable a las estaciones costeras en ondas hectométricas y decamétricas.</w:t>
      </w:r>
    </w:p>
    <w:p w14:paraId="7DFA1A03" w14:textId="77777777" w:rsidR="00486144" w:rsidRDefault="00486144" w:rsidP="00146305"/>
    <w:p w14:paraId="64023C58" w14:textId="77777777" w:rsidR="00146305" w:rsidRPr="00520450" w:rsidRDefault="00146305" w:rsidP="00146305">
      <w:pPr>
        <w:pStyle w:val="Section1"/>
        <w:rPr>
          <w:lang w:val="es-ES"/>
        </w:rPr>
      </w:pPr>
      <w:r w:rsidRPr="00520450">
        <w:rPr>
          <w:szCs w:val="28"/>
          <w:lang w:val="es-ES"/>
        </w:rPr>
        <w:t>Sección</w:t>
      </w:r>
      <w:r w:rsidRPr="00520450">
        <w:rPr>
          <w:lang w:val="es-ES"/>
        </w:rPr>
        <w:t xml:space="preserve"> 3</w:t>
      </w:r>
      <w:r w:rsidRPr="00520450">
        <w:rPr>
          <w:lang w:val="es-ES"/>
        </w:rPr>
        <w:br/>
      </w:r>
      <w:r w:rsidRPr="00520450">
        <w:rPr>
          <w:lang w:val="es-ES"/>
        </w:rPr>
        <w:br/>
      </w:r>
      <w:r w:rsidRPr="00520450">
        <w:rPr>
          <w:szCs w:val="28"/>
          <w:lang w:val="es-ES"/>
        </w:rPr>
        <w:t>Asignación</w:t>
      </w:r>
      <w:r w:rsidRPr="00520450">
        <w:rPr>
          <w:lang w:val="es-ES"/>
        </w:rPr>
        <w:t xml:space="preserve"> de </w:t>
      </w:r>
      <w:r w:rsidRPr="00520450">
        <w:rPr>
          <w:szCs w:val="28"/>
          <w:lang w:val="es-ES"/>
        </w:rPr>
        <w:t>identidades</w:t>
      </w:r>
      <w:r w:rsidRPr="00520450">
        <w:rPr>
          <w:lang w:val="es-ES"/>
        </w:rPr>
        <w:t xml:space="preserve"> a aeronaves</w:t>
      </w:r>
    </w:p>
    <w:p w14:paraId="44D1E372" w14:textId="77777777" w:rsidR="00146305" w:rsidRPr="00520450" w:rsidRDefault="00146305" w:rsidP="00146305">
      <w:pPr>
        <w:pStyle w:val="Normalaftertitle"/>
      </w:pPr>
      <w:r w:rsidRPr="00520450">
        <w:rPr>
          <w:b/>
          <w:bCs/>
        </w:rPr>
        <w:t>1</w:t>
      </w:r>
      <w:r w:rsidRPr="00520450">
        <w:rPr>
          <w:sz w:val="28"/>
          <w:szCs w:val="28"/>
        </w:rPr>
        <w:tab/>
      </w:r>
      <w:r w:rsidRPr="00520450">
        <w:t>Cuando se necesite que una aeronave utilice las identidades del servicio móvil marítimo (MMSI) para comunicaciones relativas a operaciones de búsqueda y salvamento y demás comunicaciones de seguridad con estaciones del SMM, la administración responsable le asignará una identidad de aeronave única de 9 cifras, con el formato 1</w:t>
      </w:r>
      <w:r w:rsidRPr="00520450">
        <w:rPr>
          <w:position w:val="-4"/>
          <w:sz w:val="16"/>
        </w:rPr>
        <w:t>1</w:t>
      </w:r>
      <w:r w:rsidRPr="00520450">
        <w:t>1</w:t>
      </w:r>
      <w:r w:rsidRPr="00520450">
        <w:rPr>
          <w:position w:val="-4"/>
          <w:sz w:val="16"/>
        </w:rPr>
        <w:t>2</w:t>
      </w:r>
      <w:r w:rsidRPr="00520450">
        <w:t>1</w:t>
      </w:r>
      <w:r w:rsidRPr="00520450">
        <w:rPr>
          <w:position w:val="-4"/>
          <w:sz w:val="16"/>
        </w:rPr>
        <w:t>3</w:t>
      </w:r>
      <w:r w:rsidRPr="00520450">
        <w:t>M</w:t>
      </w:r>
      <w:r w:rsidRPr="00520450">
        <w:rPr>
          <w:position w:val="-4"/>
          <w:sz w:val="16"/>
        </w:rPr>
        <w:t>4</w:t>
      </w:r>
      <w:r w:rsidRPr="00520450">
        <w:t>I</w:t>
      </w:r>
      <w:r w:rsidRPr="00520450">
        <w:rPr>
          <w:position w:val="-4"/>
          <w:sz w:val="16"/>
        </w:rPr>
        <w:t>5</w:t>
      </w:r>
      <w:r w:rsidRPr="00520450">
        <w:t>D</w:t>
      </w:r>
      <w:r w:rsidRPr="00520450">
        <w:rPr>
          <w:position w:val="-4"/>
          <w:sz w:val="16"/>
        </w:rPr>
        <w:t>6</w:t>
      </w:r>
      <w:r w:rsidRPr="00520450">
        <w:t>X</w:t>
      </w:r>
      <w:r w:rsidRPr="00520450">
        <w:rPr>
          <w:position w:val="-4"/>
          <w:sz w:val="16"/>
        </w:rPr>
        <w:t>7</w:t>
      </w:r>
      <w:r w:rsidRPr="00520450">
        <w:t>X</w:t>
      </w:r>
      <w:r w:rsidRPr="00520450">
        <w:rPr>
          <w:position w:val="-4"/>
          <w:sz w:val="16"/>
        </w:rPr>
        <w:t>8</w:t>
      </w:r>
      <w:r w:rsidRPr="00520450">
        <w:t>X</w:t>
      </w:r>
      <w:r w:rsidRPr="00520450">
        <w:rPr>
          <w:position w:val="-4"/>
          <w:sz w:val="16"/>
        </w:rPr>
        <w:t>9</w:t>
      </w:r>
      <w:r w:rsidRPr="00520450">
        <w:t xml:space="preserve">, cuyas cifras 4, 5 y 6 </w:t>
      </w:r>
      <w:r w:rsidRPr="00520450">
        <w:lastRenderedPageBreak/>
        <w:t>representan las MID y X es un número de 0 a 9. Las MID denotan la administración de que depende la identidad de llamada a aeronave.</w:t>
      </w:r>
    </w:p>
    <w:p w14:paraId="430F6055" w14:textId="77777777" w:rsidR="00146305" w:rsidRPr="00520450" w:rsidRDefault="00146305" w:rsidP="00146305">
      <w:r w:rsidRPr="00520450">
        <w:rPr>
          <w:b/>
          <w:bCs/>
        </w:rPr>
        <w:t>2</w:t>
      </w:r>
      <w:r w:rsidRPr="00520450">
        <w:tab/>
        <w:t>Este formato permite identificar 999 aeronaves por MID. En caso de que necesite más de 999 aeronaves de búsqueda y salvamento (SAR), la administración puede utilizar un indicativo de país adicional (MID) que le haya asignado la UIT.</w:t>
      </w:r>
    </w:p>
    <w:p w14:paraId="3FEF8781" w14:textId="77777777" w:rsidR="00146305" w:rsidRPr="00520450" w:rsidRDefault="00146305" w:rsidP="00146305">
      <w:r w:rsidRPr="00520450">
        <w:rPr>
          <w:b/>
          <w:bCs/>
        </w:rPr>
        <w:t>3</w:t>
      </w:r>
      <w:r w:rsidRPr="00520450">
        <w:tab/>
        <w:t>La administración puede utilizar la séptima cifra para diferenciar ciertos usos específicos de esta clase de MMSI, como se muestra en el siguiente ejemplo:</w:t>
      </w:r>
    </w:p>
    <w:p w14:paraId="632E258B" w14:textId="77777777" w:rsidR="00146305" w:rsidRPr="00520450" w:rsidRDefault="00146305" w:rsidP="00146305">
      <w:pPr>
        <w:pStyle w:val="enumlev1"/>
      </w:pPr>
      <w:r w:rsidRPr="00520450">
        <w:t>a)</w:t>
      </w:r>
      <w:r w:rsidRPr="00520450">
        <w:tab/>
        <w:t>111MID1XX</w:t>
      </w:r>
      <w:r w:rsidRPr="00520450">
        <w:tab/>
      </w:r>
      <w:r w:rsidRPr="00520450">
        <w:tab/>
        <w:t>Aviones</w:t>
      </w:r>
    </w:p>
    <w:p w14:paraId="7C6342D9" w14:textId="35609EF9" w:rsidR="00146305" w:rsidRPr="00520450" w:rsidRDefault="00146305" w:rsidP="00146305">
      <w:pPr>
        <w:pStyle w:val="enumlev1"/>
      </w:pPr>
      <w:r w:rsidRPr="00520450">
        <w:t>b)</w:t>
      </w:r>
      <w:r w:rsidRPr="00520450">
        <w:tab/>
        <w:t xml:space="preserve">111MID5XX </w:t>
      </w:r>
      <w:r w:rsidR="009A144E">
        <w:tab/>
      </w:r>
      <w:r w:rsidRPr="00520450">
        <w:tab/>
        <w:t>Helicópteros</w:t>
      </w:r>
    </w:p>
    <w:p w14:paraId="07087A9E" w14:textId="586850EE" w:rsidR="00146305" w:rsidRPr="00520450" w:rsidRDefault="00146305" w:rsidP="00146305">
      <w:r w:rsidRPr="00520450">
        <w:rPr>
          <w:b/>
          <w:bCs/>
        </w:rPr>
        <w:t>4</w:t>
      </w:r>
      <w:r w:rsidRPr="00520450">
        <w:tab/>
        <w:t>Con este formato se obtienen bloques de 99 números para cada categoría de estación, aunque este método es optativo.</w:t>
      </w:r>
    </w:p>
    <w:p w14:paraId="6B54B592" w14:textId="77777777" w:rsidR="00146305" w:rsidRPr="00520450" w:rsidRDefault="00146305" w:rsidP="00146305">
      <w:r w:rsidRPr="00520450">
        <w:rPr>
          <w:b/>
          <w:bCs/>
        </w:rPr>
        <w:t>5</w:t>
      </w:r>
      <w:r w:rsidRPr="00520450">
        <w:tab/>
        <w:t>La combinación 1</w:t>
      </w:r>
      <w:r w:rsidRPr="00520450">
        <w:rPr>
          <w:vertAlign w:val="subscript"/>
        </w:rPr>
        <w:t>1</w:t>
      </w:r>
      <w:r w:rsidRPr="00520450">
        <w:t>1</w:t>
      </w:r>
      <w:r w:rsidRPr="00520450">
        <w:rPr>
          <w:vertAlign w:val="subscript"/>
        </w:rPr>
        <w:t>2</w:t>
      </w:r>
      <w:r w:rsidRPr="00520450">
        <w:t>1</w:t>
      </w:r>
      <w:r w:rsidRPr="00520450">
        <w:rPr>
          <w:vertAlign w:val="subscript"/>
        </w:rPr>
        <w:t>3</w:t>
      </w:r>
      <w:r w:rsidRPr="00520450">
        <w:t>M</w:t>
      </w:r>
      <w:r w:rsidRPr="00520450">
        <w:rPr>
          <w:vertAlign w:val="subscript"/>
        </w:rPr>
        <w:t>4</w:t>
      </w:r>
      <w:r w:rsidRPr="00520450">
        <w:t>I</w:t>
      </w:r>
      <w:r w:rsidRPr="00520450">
        <w:rPr>
          <w:vertAlign w:val="subscript"/>
        </w:rPr>
        <w:t>5</w:t>
      </w:r>
      <w:r w:rsidRPr="00520450">
        <w:t>D</w:t>
      </w:r>
      <w:r w:rsidRPr="00520450">
        <w:rPr>
          <w:vertAlign w:val="subscript"/>
        </w:rPr>
        <w:t>6</w:t>
      </w:r>
      <w:r w:rsidRPr="00520450">
        <w:t>0</w:t>
      </w:r>
      <w:r w:rsidRPr="00520450">
        <w:rPr>
          <w:vertAlign w:val="subscript"/>
        </w:rPr>
        <w:t>7</w:t>
      </w:r>
      <w:r w:rsidRPr="00520450">
        <w:t>0</w:t>
      </w:r>
      <w:r w:rsidRPr="00520450">
        <w:rPr>
          <w:vertAlign w:val="subscript"/>
        </w:rPr>
        <w:t>8</w:t>
      </w:r>
      <w:r w:rsidRPr="00520450">
        <w:t>0</w:t>
      </w:r>
      <w:r w:rsidRPr="00520450">
        <w:rPr>
          <w:vertAlign w:val="subscript"/>
        </w:rPr>
        <w:t>9</w:t>
      </w:r>
      <w:r w:rsidRPr="00520450">
        <w:t xml:space="preserve"> debe estar reservada para la identidad de grupo de aeronaves, la cual debe abarcar todas las estaciones 111MIDXXX de la administración. La administración puede ampliar más este uso mediante identidades de llamada a grupos adicionales, por ejemplo 111MID111.</w:t>
      </w:r>
    </w:p>
    <w:p w14:paraId="2BC68865" w14:textId="6C61187E" w:rsidR="00146305" w:rsidRPr="00520450" w:rsidRDefault="00146305" w:rsidP="00146305">
      <w:r w:rsidRPr="00520450">
        <w:rPr>
          <w:b/>
          <w:bCs/>
        </w:rPr>
        <w:t>6</w:t>
      </w:r>
      <w:r w:rsidRPr="00520450">
        <w:tab/>
        <w:t>A los efectos de búsqueda y salvamento, la información relativa a estas asignaciones MMSI se debe poner a disposición de las entidades autorizadas, tales como el CCS. La disponibilidad debe ser automática</w:t>
      </w:r>
      <w:r w:rsidRPr="00520450">
        <w:rPr>
          <w:bCs/>
        </w:rPr>
        <w:t>, las 24 h del día durante los 365 días del año</w:t>
      </w:r>
      <w:r w:rsidRPr="00520450">
        <w:t>.</w:t>
      </w:r>
    </w:p>
    <w:p w14:paraId="7A6B42F6" w14:textId="77777777" w:rsidR="00146305" w:rsidRPr="00520450" w:rsidRDefault="00146305" w:rsidP="00146305">
      <w:r w:rsidRPr="00520450">
        <w:rPr>
          <w:b/>
          <w:bCs/>
        </w:rPr>
        <w:t>7</w:t>
      </w:r>
      <w:r w:rsidRPr="00520450">
        <w:tab/>
        <w:t xml:space="preserve">Las MMSI asignadas a aeronaves deben figurar también en la base de datos del sistema de acceso y consulta del servicio móvil marítimo (MARS) de la UIT (véase el número </w:t>
      </w:r>
      <w:r w:rsidRPr="00520450">
        <w:rPr>
          <w:b/>
          <w:bCs/>
        </w:rPr>
        <w:t>20.16</w:t>
      </w:r>
      <w:r w:rsidRPr="00520450">
        <w:t xml:space="preserve"> del RR).</w:t>
      </w:r>
    </w:p>
    <w:p w14:paraId="6B9D94C9" w14:textId="77777777" w:rsidR="00146305" w:rsidRPr="00520450" w:rsidRDefault="00146305" w:rsidP="00146305"/>
    <w:p w14:paraId="1761D73C" w14:textId="77777777" w:rsidR="00146305" w:rsidRPr="00520450" w:rsidRDefault="00146305" w:rsidP="00146305">
      <w:pPr>
        <w:pStyle w:val="Section1"/>
        <w:rPr>
          <w:bCs/>
          <w:lang w:val="es-ES"/>
        </w:rPr>
      </w:pPr>
      <w:r w:rsidRPr="00520450">
        <w:rPr>
          <w:szCs w:val="28"/>
          <w:lang w:val="es-ES"/>
        </w:rPr>
        <w:t>Sección</w:t>
      </w:r>
      <w:r w:rsidRPr="00520450">
        <w:rPr>
          <w:lang w:val="es-ES"/>
        </w:rPr>
        <w:t xml:space="preserve"> 4</w:t>
      </w:r>
      <w:r w:rsidRPr="00520450">
        <w:rPr>
          <w:lang w:val="es-ES"/>
        </w:rPr>
        <w:br/>
      </w:r>
      <w:r w:rsidRPr="00520450">
        <w:rPr>
          <w:lang w:val="es-ES"/>
        </w:rPr>
        <w:br/>
        <w:t xml:space="preserve">Asignación de identidades a </w:t>
      </w:r>
      <w:r w:rsidRPr="00520450">
        <w:rPr>
          <w:szCs w:val="28"/>
          <w:lang w:val="es-ES"/>
        </w:rPr>
        <w:t>dispositivos</w:t>
      </w:r>
      <w:r w:rsidRPr="00520450">
        <w:rPr>
          <w:lang w:val="es-ES"/>
        </w:rPr>
        <w:t xml:space="preserve"> de ayuda a la navegación</w:t>
      </w:r>
      <w:r w:rsidRPr="00520450">
        <w:rPr>
          <w:lang w:val="es-ES"/>
        </w:rPr>
        <w:br/>
        <w:t>con sistemas de identificación automática</w:t>
      </w:r>
    </w:p>
    <w:p w14:paraId="1F8AE826" w14:textId="77777777" w:rsidR="00146305" w:rsidRPr="00520450" w:rsidRDefault="00146305" w:rsidP="00146305">
      <w:pPr>
        <w:pStyle w:val="Normalaftertitle"/>
      </w:pPr>
      <w:r w:rsidRPr="00520450">
        <w:rPr>
          <w:b/>
        </w:rPr>
        <w:t>1</w:t>
      </w:r>
      <w:r w:rsidRPr="00520450">
        <w:tab/>
        <w:t>Cuando una estación de ayuda a la navegación en el mar requiera un mecanismo de identificación automática, la administración responsable le asignará un número único de 9 cifras, con el formato 9</w:t>
      </w:r>
      <w:r w:rsidRPr="00520450">
        <w:rPr>
          <w:position w:val="-4"/>
          <w:sz w:val="16"/>
        </w:rPr>
        <w:t>1</w:t>
      </w:r>
      <w:r w:rsidRPr="00520450">
        <w:t>9</w:t>
      </w:r>
      <w:r w:rsidRPr="00520450">
        <w:rPr>
          <w:position w:val="-4"/>
          <w:sz w:val="16"/>
        </w:rPr>
        <w:t>2</w:t>
      </w:r>
      <w:r w:rsidRPr="00520450">
        <w:t>M</w:t>
      </w:r>
      <w:r w:rsidRPr="00520450">
        <w:rPr>
          <w:position w:val="-4"/>
          <w:sz w:val="16"/>
        </w:rPr>
        <w:t>3</w:t>
      </w:r>
      <w:r w:rsidRPr="00520450">
        <w:t>I</w:t>
      </w:r>
      <w:r w:rsidRPr="00520450">
        <w:rPr>
          <w:position w:val="-4"/>
          <w:sz w:val="16"/>
        </w:rPr>
        <w:t>4</w:t>
      </w:r>
      <w:r w:rsidRPr="00520450">
        <w:t>D</w:t>
      </w:r>
      <w:r w:rsidRPr="00520450">
        <w:rPr>
          <w:position w:val="-4"/>
          <w:sz w:val="16"/>
        </w:rPr>
        <w:t>5</w:t>
      </w:r>
      <w:r w:rsidRPr="00520450">
        <w:t>X</w:t>
      </w:r>
      <w:r w:rsidRPr="00520450">
        <w:rPr>
          <w:position w:val="-4"/>
          <w:sz w:val="16"/>
        </w:rPr>
        <w:t>6</w:t>
      </w:r>
      <w:r w:rsidRPr="00520450">
        <w:t>X</w:t>
      </w:r>
      <w:r w:rsidRPr="00520450">
        <w:rPr>
          <w:position w:val="-4"/>
          <w:sz w:val="16"/>
        </w:rPr>
        <w:t>7</w:t>
      </w:r>
      <w:r w:rsidRPr="00520450">
        <w:t>X</w:t>
      </w:r>
      <w:r w:rsidRPr="00520450">
        <w:rPr>
          <w:position w:val="-4"/>
          <w:sz w:val="16"/>
        </w:rPr>
        <w:t>8</w:t>
      </w:r>
      <w:r w:rsidRPr="00520450">
        <w:t>X</w:t>
      </w:r>
      <w:r w:rsidRPr="00520450">
        <w:rPr>
          <w:position w:val="-4"/>
          <w:sz w:val="16"/>
        </w:rPr>
        <w:t>9</w:t>
      </w:r>
      <w:r w:rsidRPr="00520450">
        <w:t>, cuyas cifras 3, 4 y 5 representan las MID y X es un número de 0 a 9. Las MID denotan la administración de que depende la identidad de llamada para ayuda a la navegación.</w:t>
      </w:r>
    </w:p>
    <w:p w14:paraId="2EF8BAFE" w14:textId="77777777" w:rsidR="00146305" w:rsidRPr="00520450" w:rsidRDefault="00146305" w:rsidP="00146305">
      <w:r w:rsidRPr="00520450">
        <w:rPr>
          <w:b/>
          <w:bCs/>
        </w:rPr>
        <w:t>2</w:t>
      </w:r>
      <w:r w:rsidRPr="00520450">
        <w:tab/>
        <w:t>Este formato se aplica a todos los tipos de dispositivos de ayuda a la navegación indicados en la versión más reciente de la Recomendación UIT-R M.1371, véase el Mensaje 21 del SIA «Tipo de ayudas a la navegación» y el cuadro asociado a este parámetro. Este formato se utiliza en todas las estaciones SIA para transmitir mensajes referentes a los dispositivos de ayudas a la navegación. Cuando una estación de base SIA ocupa el mismo lugar que una estación de dispositivos de ayuda a la navegación con SIA, a los mensajes relativos al funcionamiento de la estación de base debe asignárseles un número de identificación en el formato señalado en el Anexo 2.</w:t>
      </w:r>
    </w:p>
    <w:p w14:paraId="172A7D2A" w14:textId="77777777" w:rsidR="00146305" w:rsidRPr="00520450" w:rsidRDefault="00146305" w:rsidP="00146305">
      <w:r w:rsidRPr="00520450">
        <w:rPr>
          <w:b/>
          <w:bCs/>
        </w:rPr>
        <w:t>3</w:t>
      </w:r>
      <w:r w:rsidRPr="00520450">
        <w:tab/>
        <w:t>El formato precitado permite identificar 10 000 dispositivos de ayuda a la navegación por MID. En caso de que necesite más de 10 000, la administración puede utilizar un indicativo de país adicional (MID) que le haya asignado la UIT, lo que le resulta en 10 000 identidades más.</w:t>
      </w:r>
    </w:p>
    <w:p w14:paraId="54107465" w14:textId="01CEB91E" w:rsidR="00146305" w:rsidRPr="00520450" w:rsidRDefault="00146305" w:rsidP="00146305">
      <w:pPr>
        <w:rPr>
          <w:highlight w:val="yellow"/>
        </w:rPr>
      </w:pPr>
      <w:r w:rsidRPr="00520450">
        <w:rPr>
          <w:b/>
          <w:bCs/>
        </w:rPr>
        <w:t>4</w:t>
      </w:r>
      <w:r w:rsidRPr="00520450">
        <w:tab/>
        <w:t xml:space="preserve">Los tipos de dispositivos de ayuda a la navegación con SIA son identificados por la información proporcionada por el Mensaje 21 del SIA </w:t>
      </w:r>
      <w:r w:rsidR="000378E6">
        <w:t>«</w:t>
      </w:r>
      <w:r w:rsidRPr="00520450">
        <w:t>Informe de ayudas a la navegación</w:t>
      </w:r>
      <w:r w:rsidR="000378E6">
        <w:t>»</w:t>
      </w:r>
      <w:r w:rsidRPr="00520450">
        <w:t xml:space="preserve"> y el Mensaje 28 del SIA </w:t>
      </w:r>
      <w:r w:rsidR="000378E6">
        <w:t>«</w:t>
      </w:r>
      <w:r w:rsidRPr="00520450">
        <w:t>Ayudas a la navegación</w:t>
      </w:r>
      <w:r w:rsidR="000378E6">
        <w:t>»</w:t>
      </w:r>
      <w:r w:rsidRPr="00520450">
        <w:t xml:space="preserve"> (mensaje de un solo intervalo).</w:t>
      </w:r>
    </w:p>
    <w:p w14:paraId="164E331E" w14:textId="77777777" w:rsidR="00146305" w:rsidRPr="00520450" w:rsidRDefault="00146305" w:rsidP="00146305">
      <w:r w:rsidRPr="00520450">
        <w:rPr>
          <w:b/>
          <w:bCs/>
        </w:rPr>
        <w:lastRenderedPageBreak/>
        <w:t>5</w:t>
      </w:r>
      <w:r w:rsidRPr="00520450">
        <w:tab/>
        <w:t>Las administraciones pueden opcionalmente utilizar la sexta cifra para diferenciar ciertos usos específicos de esta clase de MMSI, como se muestra en el siguiente ejemplo:</w:t>
      </w:r>
    </w:p>
    <w:p w14:paraId="510BB301" w14:textId="77777777" w:rsidR="00146305" w:rsidRPr="00520450" w:rsidRDefault="00146305" w:rsidP="00146305">
      <w:pPr>
        <w:pStyle w:val="enumlev1"/>
      </w:pPr>
      <w:r w:rsidRPr="00520450">
        <w:t>a)</w:t>
      </w:r>
      <w:r w:rsidRPr="00520450">
        <w:tab/>
        <w:t>99MID1XXX</w:t>
      </w:r>
      <w:r w:rsidRPr="00520450">
        <w:tab/>
      </w:r>
      <w:r w:rsidRPr="00520450">
        <w:tab/>
        <w:t>Dispositivo físico de ayuda a la navegación con SIA</w:t>
      </w:r>
    </w:p>
    <w:p w14:paraId="48DF148A" w14:textId="77777777" w:rsidR="00146305" w:rsidRPr="00520450" w:rsidRDefault="00146305" w:rsidP="00146305">
      <w:pPr>
        <w:pStyle w:val="enumlev1"/>
        <w:ind w:left="1871" w:hanging="1871"/>
      </w:pPr>
      <w:r w:rsidRPr="00520450">
        <w:t>b)</w:t>
      </w:r>
      <w:r w:rsidRPr="00520450">
        <w:tab/>
        <w:t>99MID6XXX</w:t>
      </w:r>
      <w:r w:rsidRPr="00520450">
        <w:tab/>
      </w:r>
      <w:r w:rsidRPr="00520450">
        <w:tab/>
        <w:t>Dispositivo virtual de ayuda a la navegación con SIA</w:t>
      </w:r>
    </w:p>
    <w:p w14:paraId="3123D08B" w14:textId="77777777" w:rsidR="00146305" w:rsidRPr="00520450" w:rsidRDefault="00146305" w:rsidP="00146305">
      <w:pPr>
        <w:pStyle w:val="enumlev1"/>
        <w:ind w:left="1871" w:hanging="1871"/>
      </w:pPr>
      <w:r w:rsidRPr="00520450">
        <w:t>c)</w:t>
      </w:r>
      <w:r w:rsidRPr="00520450">
        <w:tab/>
        <w:t>99MID8XXX</w:t>
      </w:r>
      <w:r w:rsidRPr="00520450">
        <w:tab/>
      </w:r>
      <w:r w:rsidRPr="00520450">
        <w:tab/>
        <w:t>AaN móvil</w:t>
      </w:r>
    </w:p>
    <w:p w14:paraId="4604393D" w14:textId="77777777" w:rsidR="00146305" w:rsidRPr="00520450" w:rsidRDefault="00146305" w:rsidP="00146305">
      <w:r w:rsidRPr="00520450">
        <w:rPr>
          <w:b/>
          <w:bCs/>
        </w:rPr>
        <w:t>6</w:t>
      </w:r>
      <w:r w:rsidRPr="00520450">
        <w:tab/>
        <w:t>Con este formato se obtienen bloques de 999 números para cada categoría de estación, aunque este método es optativo y debe considerarse como un ejemplo.</w:t>
      </w:r>
    </w:p>
    <w:p w14:paraId="2B14C3B6" w14:textId="77777777" w:rsidR="00146305" w:rsidRPr="00520450" w:rsidRDefault="00146305" w:rsidP="00146305">
      <w:r w:rsidRPr="00520450">
        <w:rPr>
          <w:b/>
          <w:bCs/>
        </w:rPr>
        <w:t>7</w:t>
      </w:r>
      <w:r w:rsidRPr="00520450">
        <w:tab/>
        <w:t>Además de utilizar la sexta cifra para diferenciar dispositivos de ayuda a la navegación específicos según se ha indicado antes, puede utilizarse la séptima cifra a escala nacional para definir las zonas en las que se encuentran estos sistemas o tipos de sistemas, a discreción de la administración del caso.</w:t>
      </w:r>
    </w:p>
    <w:p w14:paraId="56A4DBD5" w14:textId="73DF1DAF" w:rsidR="00146305" w:rsidRPr="00520450" w:rsidRDefault="00146305" w:rsidP="00146305">
      <w:r w:rsidRPr="00520450">
        <w:rPr>
          <w:b/>
          <w:bCs/>
        </w:rPr>
        <w:t>8</w:t>
      </w:r>
      <w:r w:rsidRPr="00520450">
        <w:tab/>
        <w:t>La información relativa a estas asignaciones MMSI se debe poner a disposición de las entidades autorizadas, tales como la Organización Internacional de Ayudas a la Navegación Marítima (IALA) y las autoridades nacionales competentes.</w:t>
      </w:r>
    </w:p>
    <w:p w14:paraId="0D92557F" w14:textId="77777777" w:rsidR="00146305" w:rsidRDefault="00146305" w:rsidP="00146305">
      <w:r w:rsidRPr="00520450">
        <w:rPr>
          <w:b/>
        </w:rPr>
        <w:t>9</w:t>
      </w:r>
      <w:r w:rsidRPr="00520450">
        <w:tab/>
        <w:t xml:space="preserve">Las MMSI asignadas a dispositivos de ayuda a la navegación deben figurar también en la base de datos MARS de la UIT (véase el número </w:t>
      </w:r>
      <w:r w:rsidRPr="00520450">
        <w:rPr>
          <w:b/>
          <w:bCs/>
        </w:rPr>
        <w:t>20.16</w:t>
      </w:r>
      <w:r w:rsidRPr="00520450">
        <w:t xml:space="preserve"> del RR).</w:t>
      </w:r>
    </w:p>
    <w:p w14:paraId="7AF6811C" w14:textId="77777777" w:rsidR="00486144" w:rsidRPr="00520450" w:rsidRDefault="00486144" w:rsidP="00146305"/>
    <w:p w14:paraId="41E697D1" w14:textId="77777777" w:rsidR="00146305" w:rsidRPr="00520450" w:rsidRDefault="00146305" w:rsidP="00146305">
      <w:pPr>
        <w:pStyle w:val="Section1"/>
        <w:rPr>
          <w:szCs w:val="28"/>
          <w:lang w:val="es-ES"/>
        </w:rPr>
      </w:pPr>
      <w:r w:rsidRPr="00520450">
        <w:rPr>
          <w:szCs w:val="28"/>
          <w:lang w:val="es-ES"/>
        </w:rPr>
        <w:t>Sección 5</w:t>
      </w:r>
      <w:r w:rsidRPr="00520450">
        <w:rPr>
          <w:szCs w:val="28"/>
          <w:lang w:val="es-ES"/>
        </w:rPr>
        <w:br/>
      </w:r>
      <w:r w:rsidRPr="00520450">
        <w:rPr>
          <w:szCs w:val="28"/>
          <w:highlight w:val="yellow"/>
          <w:lang w:val="es-ES"/>
        </w:rPr>
        <w:br/>
      </w:r>
      <w:r w:rsidRPr="00520450">
        <w:rPr>
          <w:szCs w:val="28"/>
          <w:lang w:val="es-ES"/>
        </w:rPr>
        <w:t xml:space="preserve">Asignación de identidades a embarcaciones </w:t>
      </w:r>
      <w:r w:rsidRPr="00520450">
        <w:rPr>
          <w:szCs w:val="28"/>
          <w:lang w:val="es-ES"/>
        </w:rPr>
        <w:br/>
        <w:t>pertenecientes a un barco de base</w:t>
      </w:r>
    </w:p>
    <w:p w14:paraId="465B0CFC" w14:textId="77777777" w:rsidR="00146305" w:rsidRPr="00520450" w:rsidRDefault="00146305" w:rsidP="00146305">
      <w:pPr>
        <w:pStyle w:val="Normalaftertitle"/>
      </w:pPr>
      <w:r w:rsidRPr="00520450">
        <w:rPr>
          <w:b/>
          <w:bCs/>
        </w:rPr>
        <w:t>1</w:t>
      </w:r>
      <w:r w:rsidRPr="00520450">
        <w:tab/>
        <w:t>Las embarcaciones asociadas a un barco de base necesitan una identificación única. A estas embarcaciones que participan en el SMM se les asignará un número único de 9 cifras, con el formato 9</w:t>
      </w:r>
      <w:r w:rsidRPr="00520450">
        <w:rPr>
          <w:vertAlign w:val="subscript"/>
        </w:rPr>
        <w:t>1</w:t>
      </w:r>
      <w:r w:rsidRPr="00520450">
        <w:t>8</w:t>
      </w:r>
      <w:r w:rsidRPr="00520450">
        <w:rPr>
          <w:vertAlign w:val="subscript"/>
        </w:rPr>
        <w:t>2</w:t>
      </w:r>
      <w:r w:rsidRPr="00520450">
        <w:t>M</w:t>
      </w:r>
      <w:r w:rsidRPr="00520450">
        <w:rPr>
          <w:vertAlign w:val="subscript"/>
        </w:rPr>
        <w:t>3</w:t>
      </w:r>
      <w:r w:rsidRPr="00520450">
        <w:t>I</w:t>
      </w:r>
      <w:r w:rsidRPr="00520450">
        <w:rPr>
          <w:vertAlign w:val="subscript"/>
        </w:rPr>
        <w:t>4</w:t>
      </w:r>
      <w:r w:rsidRPr="00520450">
        <w:t>D</w:t>
      </w:r>
      <w:r w:rsidRPr="00520450">
        <w:rPr>
          <w:vertAlign w:val="subscript"/>
        </w:rPr>
        <w:t>5</w:t>
      </w:r>
      <w:r w:rsidRPr="00520450">
        <w:t>X</w:t>
      </w:r>
      <w:r w:rsidRPr="00520450">
        <w:rPr>
          <w:vertAlign w:val="subscript"/>
        </w:rPr>
        <w:t>6</w:t>
      </w:r>
      <w:r w:rsidRPr="00520450">
        <w:t>X</w:t>
      </w:r>
      <w:r w:rsidRPr="00520450">
        <w:rPr>
          <w:vertAlign w:val="subscript"/>
        </w:rPr>
        <w:t>7</w:t>
      </w:r>
      <w:r w:rsidRPr="00520450">
        <w:t>X</w:t>
      </w:r>
      <w:r w:rsidRPr="00520450">
        <w:rPr>
          <w:vertAlign w:val="subscript"/>
        </w:rPr>
        <w:t>8</w:t>
      </w:r>
      <w:r w:rsidRPr="00520450">
        <w:t>X</w:t>
      </w:r>
      <w:r w:rsidRPr="00520450">
        <w:rPr>
          <w:vertAlign w:val="subscript"/>
        </w:rPr>
        <w:t>9</w:t>
      </w:r>
      <w:r w:rsidRPr="00520450">
        <w:t>, cuyas cifras 3, 4 y 5 representan las MID y X es un número de 0 a 9. Las MID denotan la administración de que depende la identidad a la embarcación perteneciente a un barco de base.</w:t>
      </w:r>
    </w:p>
    <w:p w14:paraId="2E0DF424" w14:textId="77777777" w:rsidR="00146305" w:rsidRPr="00520450" w:rsidRDefault="00146305" w:rsidP="00146305">
      <w:r w:rsidRPr="00520450">
        <w:rPr>
          <w:b/>
          <w:bCs/>
        </w:rPr>
        <w:t>2</w:t>
      </w:r>
      <w:r w:rsidRPr="00520450">
        <w:tab/>
        <w:t>Este formato de numeración sólo es válido en embarcaciones pertenecientes a un barco de base, incluidas las radiobalizas de localización de siniestros (RLS) de primera y segunda generación</w:t>
      </w:r>
      <w:r w:rsidRPr="00520450">
        <w:rPr>
          <w:rStyle w:val="FootnoteReference"/>
        </w:rPr>
        <w:footnoteReference w:id="2"/>
      </w:r>
      <w:r w:rsidRPr="00520450">
        <w:t>. La embarcación puede transportar varios dispositivos que se identificarían mediante la MMSI asignada a la embarcación. Estos dispositivos pueden estar a bordo de botes, esquifes, balsas salvavidas u otras embarcaciones pertenecientes a un barco base. Este formato de enumeración no debe aplicarse a los SIA-SART.</w:t>
      </w:r>
    </w:p>
    <w:p w14:paraId="685BE5B0" w14:textId="77777777" w:rsidR="00146305" w:rsidRPr="00520450" w:rsidRDefault="00146305" w:rsidP="00146305">
      <w:r w:rsidRPr="00520450">
        <w:rPr>
          <w:b/>
          <w:bCs/>
        </w:rPr>
        <w:t>3</w:t>
      </w:r>
      <w:r w:rsidRPr="00520450">
        <w:tab/>
        <w:t>A cada embarcación perteneciente a un barco de base se le asignará una MMSI única, que deberá registrarse por separado vinculándola a la MMSI del barco de base.</w:t>
      </w:r>
    </w:p>
    <w:p w14:paraId="28877E42" w14:textId="77777777" w:rsidR="00146305" w:rsidRPr="00520450" w:rsidRDefault="00146305" w:rsidP="00146305">
      <w:r w:rsidRPr="00520450">
        <w:rPr>
          <w:b/>
          <w:bCs/>
        </w:rPr>
        <w:t>4</w:t>
      </w:r>
      <w:r w:rsidRPr="00520450">
        <w:tab/>
        <w:t>Este formato permite identificar 10 000 embarcaciones pertenecientes a un barco de base por cada MID. En caso de que necesite más de 10 000, la administración puede utilizar un indicativo de país adicional (MID) que le haya asignado la UIT, con lo que se obtienen 10 000 identidades más.</w:t>
      </w:r>
    </w:p>
    <w:p w14:paraId="4B518789" w14:textId="4F61CB19" w:rsidR="000378E6" w:rsidRDefault="00146305" w:rsidP="000378E6">
      <w:r w:rsidRPr="00520450">
        <w:rPr>
          <w:b/>
          <w:bCs/>
        </w:rPr>
        <w:t>5</w:t>
      </w:r>
      <w:r w:rsidRPr="00520450">
        <w:tab/>
        <w:t xml:space="preserve">Las MMSI asignadas a las embarcaciones pertenecientes a un barco de base deben figurar también en la base de datos MARS de la UIT (véase el número </w:t>
      </w:r>
      <w:r w:rsidRPr="00520450">
        <w:rPr>
          <w:b/>
          <w:bCs/>
        </w:rPr>
        <w:t>20.16</w:t>
      </w:r>
      <w:r w:rsidRPr="00520450">
        <w:t xml:space="preserve"> del RR).</w:t>
      </w:r>
    </w:p>
    <w:p w14:paraId="3532780C" w14:textId="77777777" w:rsidR="00486144" w:rsidRDefault="00486144" w:rsidP="000378E6"/>
    <w:p w14:paraId="2EF8D9B2" w14:textId="77777777" w:rsidR="00146305" w:rsidRPr="00520450" w:rsidRDefault="00146305" w:rsidP="00146305">
      <w:pPr>
        <w:pStyle w:val="AnnexNoTitle"/>
      </w:pPr>
      <w:r w:rsidRPr="00520450">
        <w:lastRenderedPageBreak/>
        <w:t>Anexo 2</w:t>
      </w:r>
      <w:r w:rsidRPr="00520450">
        <w:rPr>
          <w:caps/>
        </w:rPr>
        <w:br/>
      </w:r>
      <w:r w:rsidRPr="00520450">
        <w:rPr>
          <w:caps/>
        </w:rPr>
        <w:br/>
      </w:r>
      <w:r w:rsidRPr="00520450">
        <w:rPr>
          <w:bCs/>
        </w:rPr>
        <w:t>Identidades marítimas utilizadas para otros dispositivos marítimos</w:t>
      </w:r>
      <w:r w:rsidRPr="00520450">
        <w:rPr>
          <w:bCs/>
        </w:rPr>
        <w:br/>
        <w:t>con fines especiales</w:t>
      </w:r>
    </w:p>
    <w:p w14:paraId="1BC43E49" w14:textId="4EEA8E43" w:rsidR="00146305" w:rsidRPr="00520450" w:rsidRDefault="00146305" w:rsidP="00146305">
      <w:pPr>
        <w:pStyle w:val="Normalaftertitle"/>
      </w:pPr>
      <w:r w:rsidRPr="00520450">
        <w:t>Estas identidades utilizan recursos de numeración MID, pero poseen unos usos especiales que se definen en cada una de las secciones que siguen.</w:t>
      </w:r>
    </w:p>
    <w:p w14:paraId="658850CC" w14:textId="77777777" w:rsidR="00146305" w:rsidRPr="00520450" w:rsidRDefault="00146305" w:rsidP="00146305">
      <w:pPr>
        <w:pStyle w:val="Section1"/>
        <w:rPr>
          <w:lang w:val="es-ES"/>
        </w:rPr>
      </w:pPr>
      <w:r w:rsidRPr="00520450">
        <w:rPr>
          <w:szCs w:val="28"/>
          <w:lang w:val="es-ES"/>
        </w:rPr>
        <w:t>Sección</w:t>
      </w:r>
      <w:r w:rsidRPr="00520450">
        <w:rPr>
          <w:lang w:val="es-ES"/>
        </w:rPr>
        <w:t xml:space="preserve"> 1</w:t>
      </w:r>
      <w:r w:rsidRPr="00520450">
        <w:rPr>
          <w:lang w:val="es-ES"/>
        </w:rPr>
        <w:br/>
      </w:r>
      <w:r w:rsidRPr="00520450">
        <w:rPr>
          <w:lang w:val="es-ES"/>
        </w:rPr>
        <w:br/>
        <w:t>Asignación de identidades para transceptores portátiles de ondas métricas</w:t>
      </w:r>
      <w:r w:rsidRPr="00520450">
        <w:rPr>
          <w:lang w:val="es-ES"/>
        </w:rPr>
        <w:br/>
        <w:t>con llamada selectiva digital y receptor de sistema mundial</w:t>
      </w:r>
      <w:r w:rsidRPr="00520450">
        <w:rPr>
          <w:lang w:val="es-ES"/>
        </w:rPr>
        <w:br/>
        <w:t>de navegación por satélite integral</w:t>
      </w:r>
    </w:p>
    <w:p w14:paraId="39909E0B" w14:textId="77777777" w:rsidR="00146305" w:rsidRPr="00520450" w:rsidRDefault="00146305" w:rsidP="00146305">
      <w:pPr>
        <w:pStyle w:val="Normalaftertitle"/>
      </w:pPr>
      <w:r w:rsidRPr="00520450">
        <w:rPr>
          <w:b/>
          <w:bCs/>
        </w:rPr>
        <w:t>1</w:t>
      </w:r>
      <w:r w:rsidRPr="00520450">
        <w:tab/>
        <w:t>Un transceptor portátil de ondas métricas con LLSD y receptor de SMNS integral puede requerir una única identificación que muestre que la capacidad de la batería y la zona de cobertura de dicho dispositivo están restringidas. Esto puede proporcionar información adicional en una situación de emergencia.</w:t>
      </w:r>
    </w:p>
    <w:p w14:paraId="7C0BD01A" w14:textId="77777777" w:rsidR="00146305" w:rsidRPr="00520450" w:rsidRDefault="00146305" w:rsidP="00146305">
      <w:pPr>
        <w:spacing w:after="120"/>
        <w:rPr>
          <w:szCs w:val="24"/>
        </w:rPr>
      </w:pPr>
      <w:r w:rsidRPr="00520450">
        <w:rPr>
          <w:b/>
          <w:bCs/>
        </w:rPr>
        <w:t>2</w:t>
      </w:r>
      <w:r w:rsidRPr="00520450">
        <w:tab/>
        <w:t>El transceptor portátil de ondas métricas con LLSD y receptor de SMNS integral debe usarse exclusivamente en el servicio móvil marítimo.</w:t>
      </w:r>
    </w:p>
    <w:p w14:paraId="6C3B79EB" w14:textId="77777777" w:rsidR="00146305" w:rsidRPr="00520450" w:rsidRDefault="00146305" w:rsidP="00146305">
      <w:r w:rsidRPr="00520450">
        <w:rPr>
          <w:b/>
          <w:bCs/>
        </w:rPr>
        <w:t>3</w:t>
      </w:r>
      <w:r w:rsidRPr="00520450">
        <w:tab/>
        <w:t>A un transceptor portátil de ondas métricas con LLSD y receptor de SMNS integral que funcione en el servicio móvil marítimo debe asignársele un único número de nueve cifras con el formato 8</w:t>
      </w:r>
      <w:r w:rsidRPr="00520450">
        <w:rPr>
          <w:vertAlign w:val="subscript"/>
        </w:rPr>
        <w:t>1</w:t>
      </w:r>
      <w:r w:rsidRPr="00520450">
        <w:t>M</w:t>
      </w:r>
      <w:r w:rsidRPr="00520450">
        <w:rPr>
          <w:vertAlign w:val="subscript"/>
        </w:rPr>
        <w:t>2</w:t>
      </w:r>
      <w:r w:rsidRPr="00520450">
        <w:t>I</w:t>
      </w:r>
      <w:r w:rsidRPr="00520450">
        <w:rPr>
          <w:vertAlign w:val="subscript"/>
        </w:rPr>
        <w:t>3</w:t>
      </w:r>
      <w:r w:rsidRPr="00520450">
        <w:t>D</w:t>
      </w:r>
      <w:r w:rsidRPr="00520450">
        <w:rPr>
          <w:vertAlign w:val="subscript"/>
        </w:rPr>
        <w:t>4</w:t>
      </w:r>
      <w:r w:rsidRPr="00520450">
        <w:t>X</w:t>
      </w:r>
      <w:r w:rsidRPr="00520450">
        <w:rPr>
          <w:vertAlign w:val="subscript"/>
        </w:rPr>
        <w:t>5</w:t>
      </w:r>
      <w:r w:rsidRPr="00520450">
        <w:t>X</w:t>
      </w:r>
      <w:r w:rsidRPr="00520450">
        <w:rPr>
          <w:vertAlign w:val="subscript"/>
        </w:rPr>
        <w:t>6</w:t>
      </w:r>
      <w:r w:rsidRPr="00520450">
        <w:t>X</w:t>
      </w:r>
      <w:r w:rsidRPr="00520450">
        <w:rPr>
          <w:vertAlign w:val="subscript"/>
        </w:rPr>
        <w:t>7</w:t>
      </w:r>
      <w:r w:rsidRPr="00520450">
        <w:t>X</w:t>
      </w:r>
      <w:r w:rsidRPr="00520450">
        <w:rPr>
          <w:vertAlign w:val="subscript"/>
        </w:rPr>
        <w:t>8</w:t>
      </w:r>
      <w:r w:rsidRPr="00520450">
        <w:t>X</w:t>
      </w:r>
      <w:r w:rsidRPr="00520450">
        <w:rPr>
          <w:vertAlign w:val="subscript"/>
        </w:rPr>
        <w:t>9</w:t>
      </w:r>
      <w:r w:rsidRPr="00520450">
        <w:t>, donde los dígitos 2, 3 y 4 representan las MID y X es cualquier cifra de 0 a 9. MID representa la administración que asigna la identidad al transceptor portátil.</w:t>
      </w:r>
    </w:p>
    <w:p w14:paraId="7AA9C731" w14:textId="77777777" w:rsidR="0055711A" w:rsidRPr="00E07014" w:rsidRDefault="0055711A" w:rsidP="0055711A">
      <w:pPr>
        <w:pStyle w:val="Equation"/>
      </w:pPr>
      <w:r w:rsidRPr="00E07014">
        <w:tab/>
      </w:r>
      <w:r w:rsidRPr="00E07014">
        <w:tab/>
        <w:t>8</w:t>
      </w:r>
      <w:r w:rsidRPr="00E07014">
        <w:rPr>
          <w:rFonts w:ascii="Times New Roman Bold" w:hAnsi="Times New Roman Bold"/>
          <w:vertAlign w:val="subscript"/>
        </w:rPr>
        <w:t>1</w:t>
      </w:r>
      <w:r w:rsidRPr="00E07014">
        <w:t>M</w:t>
      </w:r>
      <w:r w:rsidRPr="00E07014">
        <w:rPr>
          <w:rFonts w:ascii="Times New Roman Bold" w:hAnsi="Times New Roman Bold"/>
          <w:vertAlign w:val="subscript"/>
        </w:rPr>
        <w:t>2</w:t>
      </w:r>
      <w:r w:rsidRPr="00E07014">
        <w:t>I</w:t>
      </w:r>
      <w:r w:rsidRPr="00E07014">
        <w:rPr>
          <w:rFonts w:ascii="Times New Roman Bold" w:hAnsi="Times New Roman Bold"/>
          <w:vertAlign w:val="subscript"/>
        </w:rPr>
        <w:t>3</w:t>
      </w:r>
      <w:r w:rsidRPr="00E07014">
        <w:t>D</w:t>
      </w:r>
      <w:r w:rsidRPr="00E07014">
        <w:rPr>
          <w:rFonts w:ascii="Times New Roman Bold" w:hAnsi="Times New Roman Bold"/>
          <w:vertAlign w:val="subscript"/>
        </w:rPr>
        <w:t>4</w:t>
      </w:r>
      <w:r w:rsidRPr="00E07014">
        <w:t>X</w:t>
      </w:r>
      <w:r w:rsidRPr="00E07014">
        <w:rPr>
          <w:rFonts w:ascii="Times New Roman Bold" w:hAnsi="Times New Roman Bold"/>
          <w:vertAlign w:val="subscript"/>
        </w:rPr>
        <w:t>5</w:t>
      </w:r>
      <w:r w:rsidRPr="00E07014">
        <w:t>X</w:t>
      </w:r>
      <w:r w:rsidRPr="00E07014">
        <w:rPr>
          <w:rFonts w:ascii="Times New Roman Bold" w:hAnsi="Times New Roman Bold"/>
          <w:vertAlign w:val="subscript"/>
        </w:rPr>
        <w:t>6</w:t>
      </w:r>
      <w:r w:rsidRPr="00E07014">
        <w:t>X</w:t>
      </w:r>
      <w:r w:rsidRPr="00E07014">
        <w:rPr>
          <w:rFonts w:ascii="Times New Roman Bold" w:hAnsi="Times New Roman Bold"/>
          <w:vertAlign w:val="subscript"/>
        </w:rPr>
        <w:t>7</w:t>
      </w:r>
      <w:r w:rsidRPr="00E07014">
        <w:t>X</w:t>
      </w:r>
      <w:r w:rsidRPr="00E07014">
        <w:rPr>
          <w:rFonts w:ascii="Times New Roman Bold" w:hAnsi="Times New Roman Bold"/>
          <w:vertAlign w:val="subscript"/>
        </w:rPr>
        <w:t>8</w:t>
      </w:r>
      <w:r w:rsidRPr="00E07014">
        <w:t>X</w:t>
      </w:r>
      <w:r w:rsidRPr="00E07014">
        <w:rPr>
          <w:rFonts w:ascii="Times New Roman Bold" w:hAnsi="Times New Roman Bold"/>
          <w:vertAlign w:val="subscript"/>
        </w:rPr>
        <w:t>9</w:t>
      </w:r>
    </w:p>
    <w:p w14:paraId="690B8324" w14:textId="77777777" w:rsidR="00146305" w:rsidRPr="00520450" w:rsidRDefault="00146305" w:rsidP="00146305">
      <w:r w:rsidRPr="00520450">
        <w:rPr>
          <w:b/>
          <w:bCs/>
        </w:rPr>
        <w:t>4</w:t>
      </w:r>
      <w:r w:rsidRPr="00520450">
        <w:tab/>
        <w:t>Compete a la administración interesada fijar el procedimiento y los criterios para la asignación y el registro de estas identidades.</w:t>
      </w:r>
    </w:p>
    <w:p w14:paraId="79B2FD8D" w14:textId="77777777" w:rsidR="00146305" w:rsidRPr="00520450" w:rsidRDefault="00146305" w:rsidP="00146305">
      <w:r w:rsidRPr="00520450">
        <w:rPr>
          <w:b/>
          <w:bCs/>
        </w:rPr>
        <w:t>5</w:t>
      </w:r>
      <w:r w:rsidRPr="00520450">
        <w:tab/>
        <w:t>Deben observarse unos procedimientos mínimos en el registro de esta identidad:</w:t>
      </w:r>
    </w:p>
    <w:p w14:paraId="62B605A1" w14:textId="77777777" w:rsidR="00146305" w:rsidRPr="00520450" w:rsidRDefault="00146305" w:rsidP="00146305">
      <w:pPr>
        <w:pStyle w:val="enumlev1"/>
      </w:pPr>
      <w:r w:rsidRPr="00520450">
        <w:t>a)</w:t>
      </w:r>
      <w:r w:rsidRPr="00520450">
        <w:tab/>
        <w:t>todas las identidades de esta categoría deben registrarse ante la autoridad nacional interesada, y el CCS o el CCSM deben poder acceder a los datos en todo momento. En sistemas con prioridad de socorro automática, esta información debe transmitirse automáticamente a un CCS;</w:t>
      </w:r>
    </w:p>
    <w:p w14:paraId="7C02D19E" w14:textId="77777777" w:rsidR="00146305" w:rsidRPr="00520450" w:rsidRDefault="00146305" w:rsidP="00146305">
      <w:pPr>
        <w:pStyle w:val="enumlev1"/>
      </w:pPr>
      <w:r w:rsidRPr="00520450">
        <w:t>b)</w:t>
      </w:r>
      <w:r w:rsidRPr="00520450">
        <w:tab/>
        <w:t>la reutilización de esta identidad debe seguir las orientaciones del Anexo 3 a la presente Recomendación.</w:t>
      </w:r>
    </w:p>
    <w:p w14:paraId="13309C54" w14:textId="77777777" w:rsidR="00146305" w:rsidRPr="00520450" w:rsidRDefault="00146305" w:rsidP="00146305">
      <w:r w:rsidRPr="00520450">
        <w:rPr>
          <w:b/>
          <w:bCs/>
        </w:rPr>
        <w:t>6</w:t>
      </w:r>
      <w:r w:rsidRPr="00520450">
        <w:tab/>
        <w:t>La administración puede utilizar la quinta cifra para diferenciar entre los usuarios de la identidad marítima. No obstante, este método es optativo y solamente para uso nacional.</w:t>
      </w:r>
    </w:p>
    <w:p w14:paraId="4AE9F4CB" w14:textId="77777777" w:rsidR="00146305" w:rsidRDefault="00146305" w:rsidP="00146305"/>
    <w:p w14:paraId="0C60E505" w14:textId="77777777" w:rsidR="00146305" w:rsidRPr="00520450" w:rsidRDefault="00146305" w:rsidP="00146305">
      <w:pPr>
        <w:pStyle w:val="Section1"/>
        <w:rPr>
          <w:u w:val="single"/>
          <w:lang w:val="es-ES"/>
        </w:rPr>
      </w:pPr>
      <w:r w:rsidRPr="00520450">
        <w:rPr>
          <w:szCs w:val="28"/>
          <w:lang w:val="es-ES"/>
        </w:rPr>
        <w:t>Sección</w:t>
      </w:r>
      <w:r w:rsidRPr="00520450">
        <w:rPr>
          <w:lang w:val="es-ES"/>
        </w:rPr>
        <w:t xml:space="preserve"> 2</w:t>
      </w:r>
      <w:r w:rsidRPr="00520450">
        <w:rPr>
          <w:lang w:val="es-ES"/>
        </w:rPr>
        <w:br/>
      </w:r>
      <w:r w:rsidRPr="00520450">
        <w:rPr>
          <w:lang w:val="es-ES"/>
        </w:rPr>
        <w:br/>
        <w:t>Dispositivos que utilizan una identidad marítima de formato libre</w:t>
      </w:r>
    </w:p>
    <w:p w14:paraId="7C3E990D" w14:textId="7F1A7821" w:rsidR="00146305" w:rsidRPr="00520450" w:rsidRDefault="00146305" w:rsidP="000378E6">
      <w:pPr>
        <w:pStyle w:val="Normalaftertitle"/>
        <w:rPr>
          <w:lang w:eastAsia="zh-CN"/>
        </w:rPr>
      </w:pPr>
      <w:r w:rsidRPr="00520450">
        <w:rPr>
          <w:lang w:eastAsia="zh-CN"/>
        </w:rPr>
        <w:t xml:space="preserve">Estos dispositivos deben utilizar identidades de 9 cifras con los prefijos de 3 cifras: 970 para indicar el SIA-SART, 972 para </w:t>
      </w:r>
      <w:r w:rsidRPr="00520450">
        <w:t>indicar</w:t>
      </w:r>
      <w:r w:rsidRPr="00520450">
        <w:rPr>
          <w:lang w:eastAsia="zh-CN"/>
        </w:rPr>
        <w:t xml:space="preserve"> el dispositivo </w:t>
      </w:r>
      <w:r w:rsidRPr="00520450">
        <w:t xml:space="preserve">de hombre al agua (MOB), 974 para indicar el sistema de radiobalizas de localización de siniestros (RLS-SIA) y 979 para los dispositivos </w:t>
      </w:r>
      <w:r w:rsidR="00070306" w:rsidRPr="00070306">
        <w:rPr>
          <w:lang w:eastAsia="zh-CN"/>
        </w:rPr>
        <w:t>AMRD</w:t>
      </w:r>
      <w:r w:rsidRPr="00520450">
        <w:t xml:space="preserve"> del Grupo</w:t>
      </w:r>
      <w:r w:rsidR="000378E6">
        <w:t> </w:t>
      </w:r>
      <w:r w:rsidRPr="00520450">
        <w:t>B.</w:t>
      </w:r>
    </w:p>
    <w:p w14:paraId="08827652" w14:textId="00C42541" w:rsidR="00146305" w:rsidRPr="00520450" w:rsidRDefault="00146305" w:rsidP="000378E6">
      <w:pPr>
        <w:rPr>
          <w:lang w:eastAsia="zh-CN"/>
        </w:rPr>
      </w:pPr>
      <w:r w:rsidRPr="00520450">
        <w:rPr>
          <w:lang w:eastAsia="zh-CN"/>
        </w:rPr>
        <w:lastRenderedPageBreak/>
        <w:t xml:space="preserve">Estos dispositivos, salvo los </w:t>
      </w:r>
      <w:r w:rsidR="00070306">
        <w:rPr>
          <w:lang w:eastAsia="zh-CN"/>
        </w:rPr>
        <w:t>AMRD</w:t>
      </w:r>
      <w:r w:rsidRPr="00520450">
        <w:rPr>
          <w:lang w:eastAsia="zh-CN"/>
        </w:rPr>
        <w:t xml:space="preserve"> del Grupo B, también deben utilizar la información complementaria de identificación del dispositivo MPP para crear la identidad de 12 caracteres, como se describe en la Sección 2, párrafo 4.</w:t>
      </w:r>
    </w:p>
    <w:p w14:paraId="1001DF2A" w14:textId="58AB2E63" w:rsidR="00146305" w:rsidRPr="0055711A" w:rsidRDefault="00146305" w:rsidP="00146305">
      <w:r w:rsidRPr="0055711A">
        <w:rPr>
          <w:lang w:eastAsia="zh-CN"/>
        </w:rPr>
        <w:t xml:space="preserve">Tanto las 9 cifras como la MPP deben transmitirse de conformidad con la Recomendación </w:t>
      </w:r>
      <w:hyperlink r:id="rId23" w:history="1">
        <w:r w:rsidRPr="0055711A">
          <w:rPr>
            <w:rStyle w:val="Hyperlink"/>
            <w:color w:val="auto"/>
            <w:u w:val="none"/>
            <w:lang w:eastAsia="zh-CN"/>
          </w:rPr>
          <w:t>UIT</w:t>
        </w:r>
        <w:r w:rsidR="0055711A" w:rsidRPr="0055711A">
          <w:rPr>
            <w:rStyle w:val="Hyperlink"/>
            <w:color w:val="auto"/>
            <w:u w:val="none"/>
          </w:rPr>
          <w:noBreakHyphen/>
        </w:r>
        <w:r w:rsidRPr="0055711A">
          <w:rPr>
            <w:rStyle w:val="Hyperlink"/>
            <w:color w:val="auto"/>
            <w:u w:val="none"/>
          </w:rPr>
          <w:t>R</w:t>
        </w:r>
        <w:r w:rsidR="0055711A" w:rsidRPr="0055711A">
          <w:rPr>
            <w:rStyle w:val="Hyperlink"/>
            <w:color w:val="auto"/>
            <w:u w:val="none"/>
          </w:rPr>
          <w:t> </w:t>
        </w:r>
        <w:r w:rsidRPr="0055711A">
          <w:rPr>
            <w:rStyle w:val="Hyperlink"/>
            <w:color w:val="auto"/>
            <w:u w:val="none"/>
          </w:rPr>
          <w:t>M.1371</w:t>
        </w:r>
      </w:hyperlink>
      <w:r w:rsidRPr="0055711A">
        <w:rPr>
          <w:lang w:eastAsia="zh-CN"/>
        </w:rPr>
        <w:t>.</w:t>
      </w:r>
    </w:p>
    <w:p w14:paraId="32DB0AA7" w14:textId="77777777" w:rsidR="00146305" w:rsidRPr="00520450" w:rsidRDefault="00146305" w:rsidP="00146305">
      <w:pPr>
        <w:pStyle w:val="Heading1"/>
      </w:pPr>
      <w:r w:rsidRPr="00520450">
        <w:t>1</w:t>
      </w:r>
      <w:r w:rsidRPr="00520450">
        <w:tab/>
        <w:t>Sistema de identificación automática – transmisor de búsqueda y salvamento</w:t>
      </w:r>
      <w:r>
        <w:rPr>
          <w:rStyle w:val="FootnoteReference"/>
        </w:rPr>
        <w:footnoteReference w:id="3"/>
      </w:r>
    </w:p>
    <w:p w14:paraId="18346B95" w14:textId="77777777" w:rsidR="00146305" w:rsidRPr="00520450" w:rsidRDefault="00146305" w:rsidP="00146305">
      <w:r w:rsidRPr="00520450">
        <w:t>El SIA-SART debe utilizar una identidad:</w:t>
      </w:r>
    </w:p>
    <w:p w14:paraId="681045E6" w14:textId="77777777" w:rsidR="0055711A" w:rsidRPr="00E07014" w:rsidRDefault="0055711A" w:rsidP="0055711A">
      <w:pPr>
        <w:pStyle w:val="Equation"/>
        <w:rPr>
          <w:vertAlign w:val="subscript"/>
        </w:rPr>
      </w:pPr>
      <w:r>
        <w:tab/>
      </w:r>
      <w:r>
        <w:tab/>
      </w:r>
      <w:r w:rsidRPr="00E07014">
        <w:t>9</w:t>
      </w:r>
      <w:r w:rsidRPr="00E07014">
        <w:rPr>
          <w:vertAlign w:val="subscript"/>
        </w:rPr>
        <w:t>1</w:t>
      </w:r>
      <w:r w:rsidRPr="00E07014">
        <w:t>7</w:t>
      </w:r>
      <w:r w:rsidRPr="00E07014">
        <w:rPr>
          <w:vertAlign w:val="subscript"/>
        </w:rPr>
        <w:t>2</w:t>
      </w:r>
      <w:r w:rsidRPr="00E07014">
        <w:t>0</w:t>
      </w:r>
      <w:r w:rsidRPr="00E07014">
        <w:rPr>
          <w:vertAlign w:val="subscript"/>
        </w:rPr>
        <w:t>3</w:t>
      </w:r>
      <w:r w:rsidRPr="00E07014">
        <w:t>X</w:t>
      </w:r>
      <w:r w:rsidRPr="00E07014">
        <w:rPr>
          <w:vertAlign w:val="subscript"/>
        </w:rPr>
        <w:t>4</w:t>
      </w:r>
      <w:r w:rsidRPr="00E07014">
        <w:t>X</w:t>
      </w:r>
      <w:r w:rsidRPr="00E07014">
        <w:rPr>
          <w:vertAlign w:val="subscript"/>
        </w:rPr>
        <w:t>5</w:t>
      </w:r>
      <w:r w:rsidRPr="00E07014">
        <w:t>Y</w:t>
      </w:r>
      <w:r w:rsidRPr="00E07014">
        <w:rPr>
          <w:vertAlign w:val="subscript"/>
        </w:rPr>
        <w:t>6</w:t>
      </w:r>
      <w:r w:rsidRPr="00E07014">
        <w:t>Y</w:t>
      </w:r>
      <w:r w:rsidRPr="00E07014">
        <w:rPr>
          <w:vertAlign w:val="subscript"/>
        </w:rPr>
        <w:t>7</w:t>
      </w:r>
      <w:r w:rsidRPr="00E07014">
        <w:t>Y</w:t>
      </w:r>
      <w:r w:rsidRPr="00E07014">
        <w:rPr>
          <w:vertAlign w:val="subscript"/>
        </w:rPr>
        <w:t>8</w:t>
      </w:r>
      <w:r w:rsidRPr="00E07014">
        <w:t>Y</w:t>
      </w:r>
      <w:r w:rsidRPr="00E07014">
        <w:rPr>
          <w:vertAlign w:val="subscript"/>
        </w:rPr>
        <w:t>9</w:t>
      </w:r>
    </w:p>
    <w:p w14:paraId="0D177A19" w14:textId="77777777" w:rsidR="00146305" w:rsidRPr="00520450" w:rsidRDefault="00146305" w:rsidP="00146305">
      <w:r w:rsidRPr="00520450">
        <w:t xml:space="preserve">(donde </w:t>
      </w:r>
      <w:r w:rsidRPr="00520450">
        <w:rPr>
          <w:bCs/>
        </w:rPr>
        <w:t>X</w:t>
      </w:r>
      <w:r w:rsidRPr="00520450">
        <w:rPr>
          <w:rFonts w:ascii="Times New Roman Bold" w:hAnsi="Times New Roman Bold"/>
          <w:bCs/>
          <w:vertAlign w:val="subscript"/>
        </w:rPr>
        <w:t>4</w:t>
      </w:r>
      <w:r w:rsidRPr="00520450">
        <w:rPr>
          <w:bCs/>
        </w:rPr>
        <w:t>X</w:t>
      </w:r>
      <w:r w:rsidRPr="00520450">
        <w:rPr>
          <w:rFonts w:ascii="Times New Roman Bold" w:hAnsi="Times New Roman Bold"/>
          <w:bCs/>
          <w:vertAlign w:val="subscript"/>
        </w:rPr>
        <w:t>5</w:t>
      </w:r>
      <w:r w:rsidRPr="00520450">
        <w:rPr>
          <w:lang w:eastAsia="ja-JP"/>
        </w:rPr>
        <w:t> </w:t>
      </w:r>
      <w:r w:rsidRPr="00520450">
        <w:t xml:space="preserve">= identificador del fabricante, de 01 a 99; </w:t>
      </w:r>
      <w:r w:rsidRPr="00520450">
        <w:rPr>
          <w:bCs/>
        </w:rPr>
        <w:t>Y</w:t>
      </w:r>
      <w:r w:rsidRPr="00520450">
        <w:rPr>
          <w:rFonts w:ascii="Times New Roman Bold" w:hAnsi="Times New Roman Bold"/>
          <w:bCs/>
          <w:vertAlign w:val="subscript"/>
        </w:rPr>
        <w:t>6</w:t>
      </w:r>
      <w:r w:rsidRPr="00520450">
        <w:rPr>
          <w:bCs/>
        </w:rPr>
        <w:t>Y</w:t>
      </w:r>
      <w:r w:rsidRPr="00520450">
        <w:rPr>
          <w:rFonts w:ascii="Times New Roman Bold" w:hAnsi="Times New Roman Bold"/>
          <w:bCs/>
          <w:vertAlign w:val="subscript"/>
        </w:rPr>
        <w:t>7</w:t>
      </w:r>
      <w:r w:rsidRPr="00520450">
        <w:rPr>
          <w:bCs/>
        </w:rPr>
        <w:t>Y</w:t>
      </w:r>
      <w:r w:rsidRPr="00520450">
        <w:rPr>
          <w:rFonts w:ascii="Times New Roman Bold" w:hAnsi="Times New Roman Bold"/>
          <w:bCs/>
          <w:vertAlign w:val="subscript"/>
        </w:rPr>
        <w:t>8</w:t>
      </w:r>
      <w:r w:rsidRPr="00520450">
        <w:rPr>
          <w:bCs/>
        </w:rPr>
        <w:t>Y</w:t>
      </w:r>
      <w:r w:rsidRPr="00520450">
        <w:rPr>
          <w:rFonts w:ascii="Times New Roman Bold" w:hAnsi="Times New Roman Bold"/>
          <w:bCs/>
          <w:vertAlign w:val="subscript"/>
        </w:rPr>
        <w:t>9</w:t>
      </w:r>
      <w:r w:rsidRPr="00520450">
        <w:rPr>
          <w:lang w:eastAsia="ja-JP"/>
        </w:rPr>
        <w:t> </w:t>
      </w:r>
      <w:r w:rsidRPr="00520450">
        <w:t>= número de secuencia de 0000 a 9999. Al llegar a 9999, el fabricante debe reiniciar la numeración de la secuencia en 0000. ID del fabricante «00» se utiliza para fines de prueba.)</w:t>
      </w:r>
    </w:p>
    <w:p w14:paraId="58B3B9EB" w14:textId="77777777" w:rsidR="00146305" w:rsidRPr="00520450" w:rsidRDefault="00146305" w:rsidP="00146305">
      <w:pPr>
        <w:pStyle w:val="Heading1"/>
      </w:pPr>
      <w:r w:rsidRPr="00520450">
        <w:t>2</w:t>
      </w:r>
      <w:r w:rsidRPr="00520450">
        <w:tab/>
        <w:t>Hombre al agua</w:t>
      </w:r>
    </w:p>
    <w:p w14:paraId="01F045FD" w14:textId="1C4209DD" w:rsidR="00146305" w:rsidRPr="00520450" w:rsidRDefault="00146305" w:rsidP="00146305">
      <w:pPr>
        <w:rPr>
          <w:lang w:eastAsia="ja-JP"/>
        </w:rPr>
      </w:pPr>
      <w:r w:rsidRPr="00520450">
        <w:t xml:space="preserve">Los dispositivos MOB clasificados como AMRD del Grupo A con arreglo a la versión más reciente de la </w:t>
      </w:r>
      <w:r w:rsidRPr="00486144">
        <w:t xml:space="preserve">Recomendación </w:t>
      </w:r>
      <w:hyperlink r:id="rId24" w:history="1">
        <w:r w:rsidRPr="00486144">
          <w:rPr>
            <w:rStyle w:val="Hyperlink"/>
            <w:color w:val="auto"/>
            <w:u w:val="none"/>
          </w:rPr>
          <w:t>UIT-R M.2135</w:t>
        </w:r>
      </w:hyperlink>
      <w:r w:rsidRPr="00486144">
        <w:t xml:space="preserve"> deberían utilizar </w:t>
      </w:r>
      <w:r w:rsidRPr="00520450">
        <w:t>una identidad:</w:t>
      </w:r>
    </w:p>
    <w:p w14:paraId="646B298C" w14:textId="77777777" w:rsidR="0055711A" w:rsidRPr="00E07014" w:rsidRDefault="0055711A" w:rsidP="0055711A">
      <w:pPr>
        <w:pStyle w:val="Equation"/>
      </w:pPr>
      <w:r>
        <w:tab/>
      </w:r>
      <w:r>
        <w:tab/>
      </w:r>
      <w:r w:rsidRPr="00E07014">
        <w:t>9</w:t>
      </w:r>
      <w:r w:rsidRPr="00E07014">
        <w:rPr>
          <w:rFonts w:ascii="Times New Roman Bold" w:hAnsi="Times New Roman Bold"/>
          <w:vertAlign w:val="subscript"/>
        </w:rPr>
        <w:t>1</w:t>
      </w:r>
      <w:r w:rsidRPr="00E07014">
        <w:t>7</w:t>
      </w:r>
      <w:r w:rsidRPr="00E07014">
        <w:rPr>
          <w:rFonts w:ascii="Times New Roman Bold" w:hAnsi="Times New Roman Bold"/>
          <w:vertAlign w:val="subscript"/>
        </w:rPr>
        <w:t>2</w:t>
      </w:r>
      <w:r w:rsidRPr="00E07014">
        <w:t>2</w:t>
      </w:r>
      <w:r w:rsidRPr="00E07014">
        <w:rPr>
          <w:rFonts w:ascii="Times New Roman Bold" w:hAnsi="Times New Roman Bold"/>
          <w:vertAlign w:val="subscript"/>
        </w:rPr>
        <w:t>3</w:t>
      </w:r>
      <w:r w:rsidRPr="00E07014">
        <w:t>X</w:t>
      </w:r>
      <w:r w:rsidRPr="00E07014">
        <w:rPr>
          <w:rFonts w:ascii="Times New Roman Bold" w:hAnsi="Times New Roman Bold"/>
          <w:vertAlign w:val="subscript"/>
        </w:rPr>
        <w:t>4</w:t>
      </w:r>
      <w:r w:rsidRPr="00E07014">
        <w:t>X</w:t>
      </w:r>
      <w:r w:rsidRPr="00E07014">
        <w:rPr>
          <w:rFonts w:ascii="Times New Roman Bold" w:hAnsi="Times New Roman Bold"/>
          <w:vertAlign w:val="subscript"/>
        </w:rPr>
        <w:t>5</w:t>
      </w:r>
      <w:r w:rsidRPr="00E07014">
        <w:t>Y</w:t>
      </w:r>
      <w:r w:rsidRPr="00E07014">
        <w:rPr>
          <w:rFonts w:ascii="Times New Roman Bold" w:hAnsi="Times New Roman Bold"/>
          <w:vertAlign w:val="subscript"/>
        </w:rPr>
        <w:t>6</w:t>
      </w:r>
      <w:r w:rsidRPr="00E07014">
        <w:t>Y</w:t>
      </w:r>
      <w:r w:rsidRPr="00E07014">
        <w:rPr>
          <w:rFonts w:ascii="Times New Roman Bold" w:hAnsi="Times New Roman Bold"/>
          <w:vertAlign w:val="subscript"/>
        </w:rPr>
        <w:t>7</w:t>
      </w:r>
      <w:r w:rsidRPr="00E07014">
        <w:t>Y</w:t>
      </w:r>
      <w:r w:rsidRPr="00E07014">
        <w:rPr>
          <w:rFonts w:ascii="Times New Roman Bold" w:hAnsi="Times New Roman Bold"/>
          <w:vertAlign w:val="subscript"/>
        </w:rPr>
        <w:t>8</w:t>
      </w:r>
      <w:r w:rsidRPr="00E07014">
        <w:t>Y</w:t>
      </w:r>
      <w:r w:rsidRPr="00E07014">
        <w:rPr>
          <w:rFonts w:ascii="Times New Roman Bold" w:hAnsi="Times New Roman Bold"/>
          <w:vertAlign w:val="subscript"/>
        </w:rPr>
        <w:t>9</w:t>
      </w:r>
    </w:p>
    <w:p w14:paraId="7355F11F" w14:textId="77777777" w:rsidR="00146305" w:rsidRPr="00520450" w:rsidRDefault="00146305" w:rsidP="00146305">
      <w:r w:rsidRPr="00520450">
        <w:t xml:space="preserve">(donde </w:t>
      </w:r>
      <w:r w:rsidRPr="00520450">
        <w:rPr>
          <w:bCs/>
        </w:rPr>
        <w:t>X</w:t>
      </w:r>
      <w:r w:rsidRPr="00520450">
        <w:rPr>
          <w:rFonts w:ascii="Times New Roman Bold" w:hAnsi="Times New Roman Bold"/>
          <w:bCs/>
          <w:vertAlign w:val="subscript"/>
        </w:rPr>
        <w:t>4</w:t>
      </w:r>
      <w:r w:rsidRPr="00520450">
        <w:rPr>
          <w:bCs/>
        </w:rPr>
        <w:t>X</w:t>
      </w:r>
      <w:r w:rsidRPr="00520450">
        <w:rPr>
          <w:rFonts w:ascii="Times New Roman Bold" w:hAnsi="Times New Roman Bold"/>
          <w:bCs/>
          <w:vertAlign w:val="subscript"/>
        </w:rPr>
        <w:t>5</w:t>
      </w:r>
      <w:r w:rsidRPr="00520450">
        <w:rPr>
          <w:lang w:eastAsia="ja-JP"/>
        </w:rPr>
        <w:t> </w:t>
      </w:r>
      <w:r w:rsidRPr="00520450">
        <w:t xml:space="preserve">= identificador del fabricante, de 01 a 99; </w:t>
      </w:r>
      <w:r w:rsidRPr="00520450">
        <w:rPr>
          <w:bCs/>
        </w:rPr>
        <w:t>Y</w:t>
      </w:r>
      <w:r w:rsidRPr="00520450">
        <w:rPr>
          <w:rFonts w:ascii="Times New Roman Bold" w:hAnsi="Times New Roman Bold"/>
          <w:bCs/>
          <w:vertAlign w:val="subscript"/>
        </w:rPr>
        <w:t>6</w:t>
      </w:r>
      <w:r w:rsidRPr="00520450">
        <w:rPr>
          <w:bCs/>
        </w:rPr>
        <w:t>Y</w:t>
      </w:r>
      <w:r w:rsidRPr="00520450">
        <w:rPr>
          <w:rFonts w:ascii="Times New Roman Bold" w:hAnsi="Times New Roman Bold"/>
          <w:bCs/>
          <w:vertAlign w:val="subscript"/>
        </w:rPr>
        <w:t>7</w:t>
      </w:r>
      <w:r w:rsidRPr="00520450">
        <w:rPr>
          <w:bCs/>
        </w:rPr>
        <w:t>Y</w:t>
      </w:r>
      <w:r w:rsidRPr="00520450">
        <w:rPr>
          <w:rFonts w:ascii="Times New Roman Bold" w:hAnsi="Times New Roman Bold"/>
          <w:bCs/>
          <w:vertAlign w:val="subscript"/>
        </w:rPr>
        <w:t>8</w:t>
      </w:r>
      <w:r w:rsidRPr="00520450">
        <w:rPr>
          <w:bCs/>
        </w:rPr>
        <w:t>Y</w:t>
      </w:r>
      <w:r w:rsidRPr="00520450">
        <w:rPr>
          <w:rFonts w:ascii="Times New Roman Bold" w:hAnsi="Times New Roman Bold"/>
          <w:bCs/>
          <w:vertAlign w:val="subscript"/>
        </w:rPr>
        <w:t>9</w:t>
      </w:r>
      <w:r w:rsidRPr="00520450">
        <w:rPr>
          <w:lang w:eastAsia="ja-JP"/>
        </w:rPr>
        <w:t> </w:t>
      </w:r>
      <w:r w:rsidRPr="00520450">
        <w:t>= número de secuencia, de 0000 a 9999. Al llegar a 9999, el fabricante debe reiniciar la numeración de la secuencia en 0000. ID del fabricante «00» se utiliza para fines de prueba.)</w:t>
      </w:r>
    </w:p>
    <w:p w14:paraId="43102CD8" w14:textId="77777777" w:rsidR="00146305" w:rsidRPr="00520450" w:rsidRDefault="00146305" w:rsidP="0055711A">
      <w:pPr>
        <w:pStyle w:val="Heading1"/>
        <w:keepNext w:val="0"/>
        <w:keepLines w:val="0"/>
      </w:pPr>
      <w:r w:rsidRPr="00520450">
        <w:t>3</w:t>
      </w:r>
      <w:r w:rsidRPr="00520450">
        <w:tab/>
        <w:t>Radiobaliza de localización de siniestros con sistema de identificación automática</w:t>
      </w:r>
    </w:p>
    <w:p w14:paraId="5E953A9A" w14:textId="77777777" w:rsidR="00146305" w:rsidRPr="00520450" w:rsidRDefault="00146305" w:rsidP="0055711A">
      <w:r w:rsidRPr="00520450">
        <w:t>La función de localización del SIA integrada en la RLS-SIA debería utilizar una identidad:</w:t>
      </w:r>
    </w:p>
    <w:p w14:paraId="5E29D1B6" w14:textId="77777777" w:rsidR="0055711A" w:rsidRPr="00E07014" w:rsidRDefault="0055711A" w:rsidP="0055711A">
      <w:pPr>
        <w:pStyle w:val="Equation"/>
      </w:pPr>
      <w:r>
        <w:tab/>
      </w:r>
      <w:r>
        <w:tab/>
      </w:r>
      <w:r w:rsidRPr="00E07014">
        <w:t>9</w:t>
      </w:r>
      <w:r w:rsidRPr="00E07014">
        <w:rPr>
          <w:rFonts w:ascii="Times New Roman Bold" w:hAnsi="Times New Roman Bold"/>
          <w:vertAlign w:val="subscript"/>
        </w:rPr>
        <w:t>1</w:t>
      </w:r>
      <w:r w:rsidRPr="00E07014">
        <w:t>7</w:t>
      </w:r>
      <w:r w:rsidRPr="00E07014">
        <w:rPr>
          <w:rFonts w:ascii="Times New Roman Bold" w:hAnsi="Times New Roman Bold"/>
          <w:vertAlign w:val="subscript"/>
        </w:rPr>
        <w:t>2</w:t>
      </w:r>
      <w:r w:rsidRPr="00E07014">
        <w:t>4</w:t>
      </w:r>
      <w:r w:rsidRPr="00E07014">
        <w:rPr>
          <w:rFonts w:ascii="Times New Roman Bold" w:hAnsi="Times New Roman Bold"/>
          <w:vertAlign w:val="subscript"/>
        </w:rPr>
        <w:t>3</w:t>
      </w:r>
      <w:r w:rsidRPr="00E07014">
        <w:t>X</w:t>
      </w:r>
      <w:r w:rsidRPr="00E07014">
        <w:rPr>
          <w:rFonts w:ascii="Times New Roman Bold" w:hAnsi="Times New Roman Bold"/>
          <w:vertAlign w:val="subscript"/>
        </w:rPr>
        <w:t>4</w:t>
      </w:r>
      <w:r w:rsidRPr="00E07014">
        <w:t>X</w:t>
      </w:r>
      <w:r w:rsidRPr="00E07014">
        <w:rPr>
          <w:rFonts w:ascii="Times New Roman Bold" w:hAnsi="Times New Roman Bold"/>
          <w:vertAlign w:val="subscript"/>
        </w:rPr>
        <w:t>5</w:t>
      </w:r>
      <w:r w:rsidRPr="00E07014">
        <w:t>Y</w:t>
      </w:r>
      <w:r w:rsidRPr="00E07014">
        <w:rPr>
          <w:rFonts w:ascii="Times New Roman Bold" w:hAnsi="Times New Roman Bold"/>
          <w:vertAlign w:val="subscript"/>
        </w:rPr>
        <w:t>6</w:t>
      </w:r>
      <w:r w:rsidRPr="00E07014">
        <w:t>Y</w:t>
      </w:r>
      <w:r w:rsidRPr="00E07014">
        <w:rPr>
          <w:rFonts w:ascii="Times New Roman Bold" w:hAnsi="Times New Roman Bold"/>
          <w:vertAlign w:val="subscript"/>
        </w:rPr>
        <w:t>7</w:t>
      </w:r>
      <w:r w:rsidRPr="00E07014">
        <w:t>Y</w:t>
      </w:r>
      <w:r w:rsidRPr="00E07014">
        <w:rPr>
          <w:rFonts w:ascii="Times New Roman Bold" w:hAnsi="Times New Roman Bold"/>
          <w:vertAlign w:val="subscript"/>
        </w:rPr>
        <w:t>8</w:t>
      </w:r>
      <w:r w:rsidRPr="00E07014">
        <w:t>Y</w:t>
      </w:r>
      <w:r w:rsidRPr="00E07014">
        <w:rPr>
          <w:rFonts w:ascii="Times New Roman Bold" w:hAnsi="Times New Roman Bold"/>
          <w:vertAlign w:val="subscript"/>
        </w:rPr>
        <w:t>9</w:t>
      </w:r>
    </w:p>
    <w:p w14:paraId="261C4A2D" w14:textId="77777777" w:rsidR="00146305" w:rsidRPr="00520450" w:rsidRDefault="00146305" w:rsidP="00146305">
      <w:r w:rsidRPr="00520450">
        <w:t xml:space="preserve">(donde </w:t>
      </w:r>
      <w:r w:rsidRPr="00520450">
        <w:rPr>
          <w:bCs/>
        </w:rPr>
        <w:t>X</w:t>
      </w:r>
      <w:r w:rsidRPr="00520450">
        <w:rPr>
          <w:rFonts w:ascii="Times New Roman Bold" w:hAnsi="Times New Roman Bold"/>
          <w:bCs/>
          <w:vertAlign w:val="subscript"/>
        </w:rPr>
        <w:t>4</w:t>
      </w:r>
      <w:r w:rsidRPr="00520450">
        <w:rPr>
          <w:bCs/>
        </w:rPr>
        <w:t>X</w:t>
      </w:r>
      <w:r w:rsidRPr="00520450">
        <w:rPr>
          <w:rFonts w:ascii="Times New Roman Bold" w:hAnsi="Times New Roman Bold"/>
          <w:bCs/>
          <w:vertAlign w:val="subscript"/>
        </w:rPr>
        <w:t>5</w:t>
      </w:r>
      <w:r w:rsidRPr="00520450">
        <w:rPr>
          <w:lang w:eastAsia="ja-JP"/>
        </w:rPr>
        <w:t> </w:t>
      </w:r>
      <w:r w:rsidRPr="00520450">
        <w:t xml:space="preserve">= identificador del fabricante, de 01 a 99; </w:t>
      </w:r>
      <w:r w:rsidRPr="00520450">
        <w:rPr>
          <w:bCs/>
        </w:rPr>
        <w:t>Y</w:t>
      </w:r>
      <w:r w:rsidRPr="00520450">
        <w:rPr>
          <w:rFonts w:ascii="Times New Roman Bold" w:hAnsi="Times New Roman Bold"/>
          <w:bCs/>
          <w:vertAlign w:val="subscript"/>
        </w:rPr>
        <w:t>6</w:t>
      </w:r>
      <w:r w:rsidRPr="00520450">
        <w:rPr>
          <w:bCs/>
        </w:rPr>
        <w:t>Y</w:t>
      </w:r>
      <w:r w:rsidRPr="00520450">
        <w:rPr>
          <w:rFonts w:ascii="Times New Roman Bold" w:hAnsi="Times New Roman Bold"/>
          <w:bCs/>
          <w:vertAlign w:val="subscript"/>
        </w:rPr>
        <w:t>7</w:t>
      </w:r>
      <w:r w:rsidRPr="00520450">
        <w:rPr>
          <w:bCs/>
        </w:rPr>
        <w:t>Y</w:t>
      </w:r>
      <w:r w:rsidRPr="00520450">
        <w:rPr>
          <w:rFonts w:ascii="Times New Roman Bold" w:hAnsi="Times New Roman Bold"/>
          <w:bCs/>
          <w:vertAlign w:val="subscript"/>
        </w:rPr>
        <w:t>8</w:t>
      </w:r>
      <w:r w:rsidRPr="00520450">
        <w:rPr>
          <w:bCs/>
        </w:rPr>
        <w:t>Y</w:t>
      </w:r>
      <w:r w:rsidRPr="00520450">
        <w:rPr>
          <w:rFonts w:ascii="Times New Roman Bold" w:hAnsi="Times New Roman Bold"/>
          <w:bCs/>
          <w:vertAlign w:val="subscript"/>
        </w:rPr>
        <w:t>9</w:t>
      </w:r>
      <w:r w:rsidRPr="00520450">
        <w:rPr>
          <w:lang w:eastAsia="ja-JP"/>
        </w:rPr>
        <w:t> </w:t>
      </w:r>
      <w:r w:rsidRPr="00520450">
        <w:t>= número de secuencia, de 0000 a 9999. Al llegar a 9999, el fabricante debe reiniciar la numeración de la secuencia en 0000. ID del fabricante «00» se utiliza para fines de prueba.)</w:t>
      </w:r>
    </w:p>
    <w:p w14:paraId="26567731" w14:textId="77777777" w:rsidR="00146305" w:rsidRPr="00520450" w:rsidRDefault="00146305" w:rsidP="00146305">
      <w:r w:rsidRPr="00520450">
        <w:t xml:space="preserve">La identidad marítima de la RLS-SIA </w:t>
      </w:r>
      <w:r w:rsidRPr="00520450">
        <w:rPr>
          <w:lang w:eastAsia="zh-CN"/>
        </w:rPr>
        <w:t>(974XXYYYY)</w:t>
      </w:r>
      <w:r w:rsidRPr="00520450">
        <w:t xml:space="preserve"> no indica la MMSI del barco sino la identidad de la función de localización de la RLS-SIA.</w:t>
      </w:r>
    </w:p>
    <w:p w14:paraId="5E2765C8" w14:textId="77777777" w:rsidR="00146305" w:rsidRPr="00520450" w:rsidRDefault="00146305" w:rsidP="00146305">
      <w:pPr>
        <w:pStyle w:val="Heading1"/>
        <w:rPr>
          <w:szCs w:val="24"/>
          <w:lang w:eastAsia="zh-CN"/>
        </w:rPr>
      </w:pPr>
      <w:r w:rsidRPr="00520450">
        <w:rPr>
          <w:bCs/>
          <w:szCs w:val="24"/>
          <w:lang w:eastAsia="zh-CN"/>
        </w:rPr>
        <w:t>4</w:t>
      </w:r>
      <w:r w:rsidRPr="00520450">
        <w:rPr>
          <w:szCs w:val="24"/>
          <w:lang w:eastAsia="zh-CN"/>
        </w:rPr>
        <w:tab/>
      </w:r>
      <w:r w:rsidRPr="000378E6">
        <w:t>Información</w:t>
      </w:r>
      <w:r w:rsidRPr="00520450">
        <w:rPr>
          <w:szCs w:val="24"/>
          <w:lang w:eastAsia="zh-CN"/>
        </w:rPr>
        <w:t xml:space="preserve"> complementaria de identificación del dispositivo</w:t>
      </w:r>
    </w:p>
    <w:p w14:paraId="28789D16" w14:textId="77777777" w:rsidR="00146305" w:rsidRPr="00520450" w:rsidRDefault="00146305" w:rsidP="00146305">
      <w:pPr>
        <w:rPr>
          <w:lang w:eastAsia="zh-CN"/>
        </w:rPr>
      </w:pPr>
      <w:r w:rsidRPr="00520450">
        <w:rPr>
          <w:lang w:eastAsia="zh-CN"/>
        </w:rPr>
        <w:t>La información complementaria de identificación del dispositivo es la MPP, donde M corresponde al sufijo de identificación complementaria del fabricante en caracteres alfanuméricos y PP corresponde al prefijo numérico secuencial complementario en caracteres alfanuméricos.</w:t>
      </w:r>
    </w:p>
    <w:p w14:paraId="362F14AF" w14:textId="74C46EDC" w:rsidR="00146305" w:rsidRDefault="00146305" w:rsidP="00146305">
      <w:pPr>
        <w:rPr>
          <w:lang w:eastAsia="zh-CN"/>
        </w:rPr>
      </w:pPr>
      <w:r w:rsidRPr="00520450">
        <w:rPr>
          <w:lang w:eastAsia="zh-CN"/>
        </w:rPr>
        <w:t>La M</w:t>
      </w:r>
      <w:r w:rsidR="00250C24">
        <w:rPr>
          <w:lang w:eastAsia="zh-CN"/>
        </w:rPr>
        <w:t>P</w:t>
      </w:r>
      <w:r w:rsidRPr="00520450">
        <w:rPr>
          <w:lang w:eastAsia="zh-CN"/>
        </w:rPr>
        <w:t>P debe utilizarse junto con la identidad de 9 cifras 97TXXYYYY definida anteriormente en los §§ 1 a 3 para crear una identidad única de 12 caracteres con el siguiente formato:</w:t>
      </w:r>
    </w:p>
    <w:p w14:paraId="5C1F5167" w14:textId="77777777" w:rsidR="0055711A" w:rsidRPr="00F052E3" w:rsidRDefault="0055711A" w:rsidP="0055711A">
      <w:pPr>
        <w:pStyle w:val="Equation"/>
        <w:rPr>
          <w:lang w:val="en-US" w:eastAsia="zh-CN"/>
        </w:rPr>
      </w:pPr>
      <w:r>
        <w:rPr>
          <w:lang w:val="en-US" w:eastAsia="zh-CN"/>
        </w:rPr>
        <w:tab/>
      </w:r>
      <w:r>
        <w:rPr>
          <w:lang w:val="en-US" w:eastAsia="zh-CN"/>
        </w:rPr>
        <w:tab/>
      </w:r>
      <w:r w:rsidRPr="00F052E3">
        <w:rPr>
          <w:lang w:val="en-US" w:eastAsia="zh-CN"/>
        </w:rPr>
        <w:t>9</w:t>
      </w:r>
      <w:r w:rsidRPr="00F052E3">
        <w:rPr>
          <w:vertAlign w:val="subscript"/>
          <w:lang w:val="en-US" w:eastAsia="zh-CN"/>
        </w:rPr>
        <w:t>1</w:t>
      </w:r>
      <w:r w:rsidRPr="00F052E3">
        <w:rPr>
          <w:lang w:val="en-US" w:eastAsia="zh-CN"/>
        </w:rPr>
        <w:t>7</w:t>
      </w:r>
      <w:r w:rsidRPr="00F052E3">
        <w:rPr>
          <w:vertAlign w:val="subscript"/>
          <w:lang w:val="en-US" w:eastAsia="zh-CN"/>
        </w:rPr>
        <w:t>2</w:t>
      </w:r>
      <w:r w:rsidRPr="00F052E3">
        <w:rPr>
          <w:lang w:val="en-US" w:eastAsia="zh-CN"/>
        </w:rPr>
        <w:t>T</w:t>
      </w:r>
      <w:r w:rsidRPr="00F052E3">
        <w:rPr>
          <w:vertAlign w:val="subscript"/>
          <w:lang w:val="en-US" w:eastAsia="zh-CN"/>
        </w:rPr>
        <w:t>3</w:t>
      </w:r>
      <w:r w:rsidRPr="00F052E3">
        <w:rPr>
          <w:lang w:val="en-US" w:eastAsia="zh-CN"/>
        </w:rPr>
        <w:t>X</w:t>
      </w:r>
      <w:r w:rsidRPr="00F052E3">
        <w:rPr>
          <w:vertAlign w:val="subscript"/>
          <w:lang w:val="en-US" w:eastAsia="zh-CN"/>
        </w:rPr>
        <w:t>4</w:t>
      </w:r>
      <w:r w:rsidRPr="00F052E3">
        <w:rPr>
          <w:lang w:val="en-US" w:eastAsia="zh-CN"/>
        </w:rPr>
        <w:t>X</w:t>
      </w:r>
      <w:r w:rsidRPr="00F052E3">
        <w:rPr>
          <w:vertAlign w:val="subscript"/>
          <w:lang w:val="en-US" w:eastAsia="zh-CN"/>
        </w:rPr>
        <w:t>5</w:t>
      </w:r>
      <w:r w:rsidRPr="00F052E3">
        <w:rPr>
          <w:lang w:val="en-US" w:eastAsia="zh-CN"/>
        </w:rPr>
        <w:t>M</w:t>
      </w:r>
      <w:r w:rsidRPr="00F052E3">
        <w:rPr>
          <w:vertAlign w:val="subscript"/>
          <w:lang w:val="en-US" w:eastAsia="zh-CN"/>
        </w:rPr>
        <w:t>6</w:t>
      </w:r>
      <w:r w:rsidRPr="00F052E3">
        <w:rPr>
          <w:lang w:val="en-US" w:eastAsia="zh-CN"/>
        </w:rPr>
        <w:t>P</w:t>
      </w:r>
      <w:r w:rsidRPr="00F052E3">
        <w:rPr>
          <w:vertAlign w:val="subscript"/>
          <w:lang w:val="en-US" w:eastAsia="zh-CN"/>
        </w:rPr>
        <w:t>7</w:t>
      </w:r>
      <w:r w:rsidRPr="00F052E3">
        <w:rPr>
          <w:lang w:val="en-US" w:eastAsia="zh-CN"/>
        </w:rPr>
        <w:t>P</w:t>
      </w:r>
      <w:r w:rsidRPr="00F052E3">
        <w:rPr>
          <w:vertAlign w:val="subscript"/>
          <w:lang w:val="en-US" w:eastAsia="zh-CN"/>
        </w:rPr>
        <w:t>8</w:t>
      </w:r>
      <w:r w:rsidRPr="00F052E3">
        <w:rPr>
          <w:lang w:val="en-US" w:eastAsia="zh-CN"/>
        </w:rPr>
        <w:t>Y</w:t>
      </w:r>
      <w:r w:rsidRPr="00F052E3">
        <w:rPr>
          <w:vertAlign w:val="subscript"/>
          <w:lang w:val="en-US" w:eastAsia="zh-CN"/>
        </w:rPr>
        <w:t>9</w:t>
      </w:r>
      <w:r w:rsidRPr="00F052E3">
        <w:rPr>
          <w:lang w:val="en-US" w:eastAsia="zh-CN"/>
        </w:rPr>
        <w:t>Y</w:t>
      </w:r>
      <w:r w:rsidRPr="00F052E3">
        <w:rPr>
          <w:vertAlign w:val="subscript"/>
          <w:lang w:val="en-US" w:eastAsia="zh-CN"/>
        </w:rPr>
        <w:t>10</w:t>
      </w:r>
      <w:r w:rsidRPr="00F052E3">
        <w:rPr>
          <w:lang w:val="en-US" w:eastAsia="zh-CN"/>
        </w:rPr>
        <w:t>Y</w:t>
      </w:r>
      <w:r w:rsidRPr="00F052E3">
        <w:rPr>
          <w:vertAlign w:val="subscript"/>
          <w:lang w:val="en-US" w:eastAsia="zh-CN"/>
        </w:rPr>
        <w:t>11</w:t>
      </w:r>
      <w:r w:rsidRPr="00F052E3">
        <w:rPr>
          <w:lang w:val="en-US" w:eastAsia="zh-CN"/>
        </w:rPr>
        <w:t>Y</w:t>
      </w:r>
      <w:r w:rsidRPr="00F052E3">
        <w:rPr>
          <w:vertAlign w:val="subscript"/>
          <w:lang w:val="en-US" w:eastAsia="zh-CN"/>
        </w:rPr>
        <w:t>12</w:t>
      </w:r>
    </w:p>
    <w:p w14:paraId="7A603744" w14:textId="4E5AC287" w:rsidR="00146305" w:rsidRPr="00520450" w:rsidRDefault="00146305" w:rsidP="00146305">
      <w:pPr>
        <w:rPr>
          <w:lang w:eastAsia="zh-CN"/>
        </w:rPr>
      </w:pPr>
      <w:r w:rsidRPr="00520450">
        <w:rPr>
          <w:lang w:eastAsia="zh-CN"/>
        </w:rPr>
        <w:lastRenderedPageBreak/>
        <w:t>Donde T</w:t>
      </w:r>
      <w:r w:rsidRPr="00520450">
        <w:rPr>
          <w:vertAlign w:val="subscript"/>
          <w:lang w:eastAsia="zh-CN"/>
        </w:rPr>
        <w:t>3 </w:t>
      </w:r>
      <w:r w:rsidRPr="00520450">
        <w:rPr>
          <w:lang w:eastAsia="zh-CN"/>
        </w:rPr>
        <w:t xml:space="preserve">= tipo de dispositivo (0 indica el </w:t>
      </w:r>
      <w:r w:rsidRPr="00520450">
        <w:t>SIA-SART</w:t>
      </w:r>
      <w:r w:rsidRPr="00520450">
        <w:rPr>
          <w:lang w:eastAsia="zh-CN"/>
        </w:rPr>
        <w:t xml:space="preserve">, 2 indica el </w:t>
      </w:r>
      <w:r w:rsidR="00F14995" w:rsidRPr="00F14995">
        <w:rPr>
          <w:lang w:eastAsia="zh-CN"/>
        </w:rPr>
        <w:t>MOB-SIA</w:t>
      </w:r>
      <w:r w:rsidRPr="00520450">
        <w:rPr>
          <w:lang w:eastAsia="zh-CN"/>
        </w:rPr>
        <w:t xml:space="preserve"> y 4 indica la </w:t>
      </w:r>
      <w:r w:rsidRPr="00520450">
        <w:t>RLS-SIA</w:t>
      </w:r>
      <w:r w:rsidRPr="00520450">
        <w:rPr>
          <w:lang w:eastAsia="zh-CN"/>
        </w:rPr>
        <w:t>); X</w:t>
      </w:r>
      <w:r w:rsidRPr="00520450">
        <w:rPr>
          <w:vertAlign w:val="subscript"/>
          <w:lang w:eastAsia="zh-CN"/>
        </w:rPr>
        <w:t>4</w:t>
      </w:r>
      <w:r w:rsidRPr="00520450">
        <w:rPr>
          <w:lang w:eastAsia="zh-CN"/>
        </w:rPr>
        <w:t>X</w:t>
      </w:r>
      <w:r w:rsidRPr="00520450">
        <w:rPr>
          <w:vertAlign w:val="subscript"/>
          <w:lang w:eastAsia="zh-CN"/>
        </w:rPr>
        <w:t>5</w:t>
      </w:r>
      <w:r w:rsidRPr="00520450">
        <w:rPr>
          <w:lang w:eastAsia="zh-CN"/>
        </w:rPr>
        <w:t> = identificador del fabricante (01 a 99); M</w:t>
      </w:r>
      <w:r w:rsidRPr="00520450">
        <w:rPr>
          <w:vertAlign w:val="subscript"/>
          <w:lang w:eastAsia="zh-CN"/>
        </w:rPr>
        <w:t>6</w:t>
      </w:r>
      <w:r w:rsidRPr="00520450">
        <w:rPr>
          <w:lang w:eastAsia="zh-CN"/>
        </w:rPr>
        <w:t> = sufijo de identificación complementario del fabricante en caracteres alfanuméricos; P</w:t>
      </w:r>
      <w:r w:rsidRPr="00520450">
        <w:rPr>
          <w:vertAlign w:val="subscript"/>
          <w:lang w:eastAsia="zh-CN"/>
        </w:rPr>
        <w:t>7</w:t>
      </w:r>
      <w:r w:rsidRPr="00520450">
        <w:rPr>
          <w:lang w:eastAsia="zh-CN"/>
        </w:rPr>
        <w:t>P</w:t>
      </w:r>
      <w:r w:rsidRPr="00520450">
        <w:rPr>
          <w:vertAlign w:val="subscript"/>
          <w:lang w:eastAsia="zh-CN"/>
        </w:rPr>
        <w:t>8</w:t>
      </w:r>
      <w:r w:rsidRPr="00520450">
        <w:rPr>
          <w:lang w:eastAsia="zh-CN"/>
        </w:rPr>
        <w:t> = prefijo numérico secuencial complementario en caracteres alfanuméricos; Y</w:t>
      </w:r>
      <w:r w:rsidRPr="00520450">
        <w:rPr>
          <w:vertAlign w:val="subscript"/>
          <w:lang w:eastAsia="zh-CN"/>
        </w:rPr>
        <w:t>9</w:t>
      </w:r>
      <w:r w:rsidRPr="00520450">
        <w:rPr>
          <w:lang w:eastAsia="zh-CN"/>
        </w:rPr>
        <w:t>Y</w:t>
      </w:r>
      <w:r w:rsidRPr="00520450">
        <w:rPr>
          <w:vertAlign w:val="subscript"/>
          <w:lang w:eastAsia="zh-CN"/>
        </w:rPr>
        <w:t>10</w:t>
      </w:r>
      <w:r w:rsidRPr="00520450">
        <w:rPr>
          <w:lang w:eastAsia="zh-CN"/>
        </w:rPr>
        <w:t>Y</w:t>
      </w:r>
      <w:r w:rsidRPr="00520450">
        <w:rPr>
          <w:vertAlign w:val="subscript"/>
          <w:lang w:eastAsia="zh-CN"/>
        </w:rPr>
        <w:t>11</w:t>
      </w:r>
      <w:r w:rsidRPr="00520450">
        <w:rPr>
          <w:lang w:eastAsia="zh-CN"/>
        </w:rPr>
        <w:t>Y</w:t>
      </w:r>
      <w:r w:rsidRPr="00520450">
        <w:rPr>
          <w:vertAlign w:val="subscript"/>
          <w:lang w:eastAsia="zh-CN"/>
        </w:rPr>
        <w:t>12</w:t>
      </w:r>
      <w:r w:rsidRPr="00520450">
        <w:rPr>
          <w:lang w:eastAsia="zh-CN"/>
        </w:rPr>
        <w:t> = el número de secuencia de 0000 a 9999.</w:t>
      </w:r>
    </w:p>
    <w:p w14:paraId="583536FE" w14:textId="77777777" w:rsidR="00146305" w:rsidRPr="00520450" w:rsidRDefault="00146305" w:rsidP="000378E6">
      <w:pPr>
        <w:pStyle w:val="Heading1"/>
      </w:pPr>
      <w:r w:rsidRPr="00520450">
        <w:t>5</w:t>
      </w:r>
      <w:r w:rsidRPr="00520450">
        <w:tab/>
        <w:t xml:space="preserve">Dispositivos </w:t>
      </w:r>
      <w:r w:rsidRPr="000378E6">
        <w:t>radioeléctricos</w:t>
      </w:r>
      <w:r w:rsidRPr="00520450">
        <w:t xml:space="preserve"> marinos autónomos</w:t>
      </w:r>
      <w:r>
        <w:rPr>
          <w:rStyle w:val="FootnoteReference"/>
          <w:bCs/>
        </w:rPr>
        <w:footnoteReference w:id="4"/>
      </w:r>
    </w:p>
    <w:p w14:paraId="0C8BA1E4" w14:textId="77777777" w:rsidR="00146305" w:rsidRPr="00520450" w:rsidRDefault="00146305" w:rsidP="00146305">
      <w:pPr>
        <w:pStyle w:val="Heading2"/>
      </w:pPr>
      <w:r w:rsidRPr="00520450">
        <w:rPr>
          <w:bCs/>
        </w:rPr>
        <w:t>5.1</w:t>
      </w:r>
      <w:r w:rsidRPr="00520450">
        <w:tab/>
      </w:r>
      <w:r w:rsidRPr="00520450">
        <w:rPr>
          <w:bCs/>
        </w:rPr>
        <w:t>Dispositivos radioeléctricos marinos autónomos del Grupo A</w:t>
      </w:r>
    </w:p>
    <w:p w14:paraId="63CE65B8" w14:textId="77777777" w:rsidR="00146305" w:rsidRPr="00520450" w:rsidRDefault="00146305" w:rsidP="00146305">
      <w:r w:rsidRPr="00520450">
        <w:t>Los AMRD del Grupo A, de conformidad con la versión más reciente de la Recomendación UIT-R M.2135, identificados como MOB (Clase M de DSC) deberían utilizar el esquema de numeración descrito en el § 2 del Anexo 2.</w:t>
      </w:r>
    </w:p>
    <w:p w14:paraId="00211F09" w14:textId="77777777" w:rsidR="00146305" w:rsidRPr="00520450" w:rsidRDefault="00146305" w:rsidP="00146305">
      <w:r w:rsidRPr="00520450">
        <w:t>Los AMRD del Grupo A, de conformidad con la versión más reciente de la Recomendación UIT-R M.2135, identificados como AaN móvil deberían utilizar el esquema de numeración descrito en el § 4 del Anexo 1.</w:t>
      </w:r>
    </w:p>
    <w:p w14:paraId="11B051EC" w14:textId="77777777" w:rsidR="00146305" w:rsidRPr="00520450" w:rsidRDefault="00146305" w:rsidP="00146305">
      <w:pPr>
        <w:pStyle w:val="Heading2"/>
      </w:pPr>
      <w:r w:rsidRPr="00520450">
        <w:rPr>
          <w:bCs/>
        </w:rPr>
        <w:t>5.2</w:t>
      </w:r>
      <w:r w:rsidRPr="00520450">
        <w:tab/>
      </w:r>
      <w:r w:rsidRPr="00520450">
        <w:rPr>
          <w:bCs/>
        </w:rPr>
        <w:t>Dispositivos radioeléctricos marinos autónomos del Grupo B</w:t>
      </w:r>
    </w:p>
    <w:p w14:paraId="34438050" w14:textId="77777777" w:rsidR="00146305" w:rsidRPr="00520450" w:rsidRDefault="00146305" w:rsidP="00146305">
      <w:r w:rsidRPr="00520450">
        <w:t>Los AMRD del Grupo B basados en la tecnología SIA deberían utilizar la identidad conforme a la versión más reciente de la Recomendación UIT-R M.2135:</w:t>
      </w:r>
    </w:p>
    <w:p w14:paraId="499573B1" w14:textId="77777777" w:rsidR="0055711A" w:rsidRPr="00E07014" w:rsidRDefault="0055711A" w:rsidP="0055711A">
      <w:pPr>
        <w:pStyle w:val="Equation"/>
        <w:rPr>
          <w:vertAlign w:val="subscript"/>
        </w:rPr>
      </w:pPr>
      <w:r>
        <w:tab/>
      </w:r>
      <w:r>
        <w:tab/>
      </w:r>
      <w:r w:rsidRPr="00E07014">
        <w:t>9</w:t>
      </w:r>
      <w:r w:rsidRPr="00E07014">
        <w:rPr>
          <w:vertAlign w:val="subscript"/>
        </w:rPr>
        <w:t>1</w:t>
      </w:r>
      <w:r w:rsidRPr="00E07014">
        <w:t>7</w:t>
      </w:r>
      <w:r w:rsidRPr="00E07014">
        <w:rPr>
          <w:vertAlign w:val="subscript"/>
        </w:rPr>
        <w:t>2</w:t>
      </w:r>
      <w:r w:rsidRPr="00E07014">
        <w:t>9</w:t>
      </w:r>
      <w:r w:rsidRPr="00E07014">
        <w:rPr>
          <w:vertAlign w:val="subscript"/>
        </w:rPr>
        <w:t>3</w:t>
      </w:r>
      <w:r w:rsidRPr="00E07014">
        <w:t>Y</w:t>
      </w:r>
      <w:r w:rsidRPr="00E07014">
        <w:rPr>
          <w:vertAlign w:val="subscript"/>
        </w:rPr>
        <w:t>4</w:t>
      </w:r>
      <w:r w:rsidRPr="00E07014">
        <w:t>Y</w:t>
      </w:r>
      <w:r w:rsidRPr="00E07014">
        <w:rPr>
          <w:vertAlign w:val="subscript"/>
        </w:rPr>
        <w:t>5</w:t>
      </w:r>
      <w:r w:rsidRPr="00E07014">
        <w:t>Y</w:t>
      </w:r>
      <w:r w:rsidRPr="00E07014">
        <w:rPr>
          <w:vertAlign w:val="subscript"/>
        </w:rPr>
        <w:t>6</w:t>
      </w:r>
      <w:r w:rsidRPr="00E07014">
        <w:t>Y</w:t>
      </w:r>
      <w:r w:rsidRPr="00E07014">
        <w:rPr>
          <w:vertAlign w:val="subscript"/>
        </w:rPr>
        <w:t>7</w:t>
      </w:r>
      <w:r w:rsidRPr="00E07014">
        <w:t>Y</w:t>
      </w:r>
      <w:r w:rsidRPr="00E07014">
        <w:rPr>
          <w:vertAlign w:val="subscript"/>
        </w:rPr>
        <w:t>8</w:t>
      </w:r>
      <w:r w:rsidRPr="00E07014">
        <w:t>Y</w:t>
      </w:r>
      <w:r w:rsidRPr="00E07014">
        <w:rPr>
          <w:vertAlign w:val="subscript"/>
        </w:rPr>
        <w:t>9</w:t>
      </w:r>
    </w:p>
    <w:p w14:paraId="7D25476E" w14:textId="77777777" w:rsidR="00146305" w:rsidRPr="00520450" w:rsidRDefault="00146305" w:rsidP="00146305">
      <w:pPr>
        <w:tabs>
          <w:tab w:val="center" w:pos="4820"/>
          <w:tab w:val="right" w:pos="9639"/>
        </w:tabs>
      </w:pPr>
      <w:r w:rsidRPr="00520450">
        <w:t>Las identidades AMRD del Grupo B deberían limitarse a MID 979. La identificación adicional a nivel de cada equipo debería lograrse mediante la información adicional transmitida, tal como se define en la versión más reciente de la Recomendación UIT-R M.2135. La duplicación de números para los dispositivos AMRD del Grupo B es aceptable.</w:t>
      </w:r>
    </w:p>
    <w:p w14:paraId="1A3230D6" w14:textId="77777777" w:rsidR="00146305" w:rsidRDefault="00146305" w:rsidP="00146305">
      <w:r w:rsidRPr="00520450">
        <w:t>(Y</w:t>
      </w:r>
      <w:r w:rsidRPr="00520450">
        <w:rPr>
          <w:vertAlign w:val="subscript"/>
        </w:rPr>
        <w:t>4</w:t>
      </w:r>
      <w:r w:rsidRPr="00520450">
        <w:t>Y</w:t>
      </w:r>
      <w:r w:rsidRPr="00520450">
        <w:rPr>
          <w:vertAlign w:val="subscript"/>
        </w:rPr>
        <w:t>5</w:t>
      </w:r>
      <w:r w:rsidRPr="00520450">
        <w:t>Y</w:t>
      </w:r>
      <w:r w:rsidRPr="00520450">
        <w:rPr>
          <w:vertAlign w:val="subscript"/>
        </w:rPr>
        <w:t>6</w:t>
      </w:r>
      <w:r w:rsidRPr="00520450">
        <w:t>Y</w:t>
      </w:r>
      <w:r w:rsidRPr="00520450">
        <w:rPr>
          <w:vertAlign w:val="subscript"/>
        </w:rPr>
        <w:t>7</w:t>
      </w:r>
      <w:r w:rsidRPr="00520450">
        <w:t>Y</w:t>
      </w:r>
      <w:r w:rsidRPr="00520450">
        <w:rPr>
          <w:vertAlign w:val="subscript"/>
        </w:rPr>
        <w:t>8</w:t>
      </w:r>
      <w:r w:rsidRPr="00520450">
        <w:t>Y</w:t>
      </w:r>
      <w:r w:rsidRPr="00520450">
        <w:rPr>
          <w:vertAlign w:val="subscript"/>
        </w:rPr>
        <w:t>9</w:t>
      </w:r>
      <w:r w:rsidRPr="00520450">
        <w:t xml:space="preserve"> = un número pseudoaleatorio, que ha de determinar el fabricante utilizando una permutación aleatoria de los enteros de 0 a 999999 sin reutilizar un número hasta que se hayan utilizado todos los números. Muchos paquetes de programas informáticos numéricos han incorporado métodos para permutaciones aleatorias. Otra opción es el algoritmo sencillo y adecuado denominado Fisher-Yates-Shuffle. El algoritmo debería alimentarse con un número aleatorio, como una indicación de tiempo, un número secuencial, o alguna combinación de estos, para reducir la posibilidad de que dos o más fabricantes generen la misma secuencia de números.)</w:t>
      </w:r>
    </w:p>
    <w:p w14:paraId="21A05307" w14:textId="77777777" w:rsidR="00486144" w:rsidRDefault="00486144" w:rsidP="00146305"/>
    <w:p w14:paraId="1FF40807" w14:textId="77777777" w:rsidR="00486144" w:rsidRPr="00520450" w:rsidRDefault="00486144" w:rsidP="00146305"/>
    <w:p w14:paraId="12884E8C" w14:textId="77777777" w:rsidR="00146305" w:rsidRPr="00520450" w:rsidRDefault="00146305" w:rsidP="00146305">
      <w:pPr>
        <w:pStyle w:val="AnnexNoTitle"/>
      </w:pPr>
      <w:r w:rsidRPr="00520450">
        <w:lastRenderedPageBreak/>
        <w:t>Anexo 3</w:t>
      </w:r>
      <w:r w:rsidRPr="00520450">
        <w:rPr>
          <w:caps/>
        </w:rPr>
        <w:br/>
      </w:r>
      <w:r w:rsidRPr="00520450">
        <w:rPr>
          <w:caps/>
        </w:rPr>
        <w:br/>
      </w:r>
      <w:r w:rsidRPr="00520450">
        <w:t>Asignación, gestión y conservación de identidades marítimas</w:t>
      </w:r>
    </w:p>
    <w:p w14:paraId="123A0B4E" w14:textId="77777777" w:rsidR="00146305" w:rsidRPr="00520450" w:rsidRDefault="00146305" w:rsidP="00146305">
      <w:pPr>
        <w:pStyle w:val="Section1"/>
        <w:rPr>
          <w:lang w:val="es-ES"/>
        </w:rPr>
      </w:pPr>
      <w:r w:rsidRPr="00520450">
        <w:rPr>
          <w:szCs w:val="28"/>
          <w:lang w:val="es-ES"/>
        </w:rPr>
        <w:t>Sección</w:t>
      </w:r>
      <w:r w:rsidRPr="00520450">
        <w:rPr>
          <w:lang w:val="es-ES"/>
        </w:rPr>
        <w:t xml:space="preserve"> 1</w:t>
      </w:r>
      <w:r w:rsidRPr="00520450">
        <w:rPr>
          <w:lang w:val="es-ES"/>
        </w:rPr>
        <w:br/>
      </w:r>
      <w:r w:rsidRPr="00520450">
        <w:rPr>
          <w:lang w:val="es-ES"/>
        </w:rPr>
        <w:br/>
        <w:t>Identidades del servicio móvil marítimo</w:t>
      </w:r>
    </w:p>
    <w:p w14:paraId="57D07CE3" w14:textId="77777777" w:rsidR="00146305" w:rsidRPr="00520450" w:rsidRDefault="00146305" w:rsidP="00146305">
      <w:pPr>
        <w:pStyle w:val="Normalaftertitle"/>
      </w:pPr>
      <w:r w:rsidRPr="00520450">
        <w:t>Las administraciones han de emplear las siguientes medidas para gestionar el recurso limitado de las MMSI a fin de evitar el agotamiento de las MID y de las series de MMSI correspondientes:</w:t>
      </w:r>
    </w:p>
    <w:p w14:paraId="7453EA3A" w14:textId="77777777" w:rsidR="00146305" w:rsidRPr="00520450" w:rsidRDefault="00146305" w:rsidP="00146305">
      <w:pPr>
        <w:pStyle w:val="enumlev1"/>
        <w:rPr>
          <w:bCs/>
        </w:rPr>
      </w:pPr>
      <w:r w:rsidRPr="00520450">
        <w:rPr>
          <w:iCs/>
        </w:rPr>
        <w:t>a)</w:t>
      </w:r>
      <w:r w:rsidRPr="00520450">
        <w:tab/>
        <w:t>aplicar procedimientos nacionales eficaces para la asignación y registro de las MMSI;</w:t>
      </w:r>
    </w:p>
    <w:p w14:paraId="524DA423" w14:textId="77777777" w:rsidR="00146305" w:rsidRPr="00520450" w:rsidRDefault="00146305" w:rsidP="00146305">
      <w:pPr>
        <w:pStyle w:val="enumlev1"/>
        <w:rPr>
          <w:bCs/>
        </w:rPr>
      </w:pPr>
      <w:r w:rsidRPr="00520450">
        <w:rPr>
          <w:iCs/>
        </w:rPr>
        <w:t>b)</w:t>
      </w:r>
      <w:r w:rsidRPr="00520450">
        <w:tab/>
        <w:t xml:space="preserve">proporcionar periódicamente a la Oficina de Radiocomunicaciones las actualizaciones de los números asignados de conformidad con el número </w:t>
      </w:r>
      <w:r w:rsidRPr="00520450">
        <w:rPr>
          <w:b/>
          <w:bCs/>
        </w:rPr>
        <w:t>20.16</w:t>
      </w:r>
      <w:r w:rsidRPr="00520450">
        <w:t xml:space="preserve"> del RR;</w:t>
      </w:r>
    </w:p>
    <w:p w14:paraId="079EB04E" w14:textId="77777777" w:rsidR="00146305" w:rsidRPr="00520450" w:rsidRDefault="00146305" w:rsidP="00146305">
      <w:pPr>
        <w:pStyle w:val="enumlev1"/>
        <w:rPr>
          <w:bCs/>
        </w:rPr>
      </w:pPr>
      <w:r w:rsidRPr="00520450">
        <w:rPr>
          <w:iCs/>
        </w:rPr>
        <w:t>c)</w:t>
      </w:r>
      <w:r w:rsidRPr="00520450">
        <w:tab/>
        <w:t>garantizar que cuando los barcos cambien la bandera de registro de una administración por la de otra, se reasignen, de la forma precisa, todos los medios de identificación asignados a la estación de barco, incluidas las MMSI y se notifiquen las modificaciones a la Oficina de Radiocomunicaciones tan pronto como sea posible (véase el número </w:t>
      </w:r>
      <w:r w:rsidRPr="00520450">
        <w:rPr>
          <w:b/>
          <w:bCs/>
        </w:rPr>
        <w:t>20.16</w:t>
      </w:r>
      <w:r w:rsidRPr="00520450">
        <w:t xml:space="preserve"> del RR);</w:t>
      </w:r>
    </w:p>
    <w:p w14:paraId="6DDE4ECA" w14:textId="77777777" w:rsidR="00146305" w:rsidRDefault="00146305" w:rsidP="00146305">
      <w:pPr>
        <w:pStyle w:val="enumlev1"/>
        <w:rPr>
          <w:iCs/>
        </w:rPr>
      </w:pPr>
      <w:r w:rsidRPr="00520450">
        <w:rPr>
          <w:iCs/>
        </w:rPr>
        <w:t>d)</w:t>
      </w:r>
      <w:r w:rsidRPr="00520450">
        <w:rPr>
          <w:iCs/>
        </w:rPr>
        <w:tab/>
        <w:t>puede estudiarse la reutilización de una asignación MMSI cuando ésta no haya figurado en dos ediciones sucesivas de la Lista V del servicio de publicaciones de la UIT o después de un periodo de dos años, escogiéndose la opción que sea mayor.</w:t>
      </w:r>
    </w:p>
    <w:p w14:paraId="0142C44C" w14:textId="77777777" w:rsidR="00486144" w:rsidRDefault="00486144" w:rsidP="00146305">
      <w:pPr>
        <w:pStyle w:val="enumlev1"/>
        <w:rPr>
          <w:iCs/>
        </w:rPr>
      </w:pPr>
    </w:p>
    <w:p w14:paraId="04818CE7" w14:textId="77777777" w:rsidR="00146305" w:rsidRPr="00520450" w:rsidRDefault="00146305" w:rsidP="00146305">
      <w:pPr>
        <w:pStyle w:val="Section1"/>
        <w:rPr>
          <w:lang w:val="es-ES"/>
        </w:rPr>
      </w:pPr>
      <w:r w:rsidRPr="00520450">
        <w:rPr>
          <w:szCs w:val="28"/>
          <w:lang w:val="es-ES"/>
        </w:rPr>
        <w:t>Sección</w:t>
      </w:r>
      <w:r w:rsidRPr="00520450">
        <w:rPr>
          <w:lang w:val="es-ES"/>
        </w:rPr>
        <w:t xml:space="preserve"> 2</w:t>
      </w:r>
      <w:r w:rsidRPr="00520450">
        <w:rPr>
          <w:lang w:val="es-ES"/>
        </w:rPr>
        <w:br/>
      </w:r>
      <w:r w:rsidRPr="00520450">
        <w:rPr>
          <w:lang w:val="es-ES"/>
        </w:rPr>
        <w:br/>
      </w:r>
      <w:r w:rsidRPr="00520450">
        <w:rPr>
          <w:bCs/>
          <w:lang w:val="es-ES"/>
        </w:rPr>
        <w:t>Identidades marítimas para transceptor portátil de ondas métricas</w:t>
      </w:r>
      <w:r w:rsidRPr="00520450">
        <w:rPr>
          <w:bCs/>
          <w:lang w:val="es-ES"/>
        </w:rPr>
        <w:br/>
        <w:t>con llamada selectiva digital y receptores de sistema mundial</w:t>
      </w:r>
      <w:r w:rsidRPr="00520450">
        <w:rPr>
          <w:bCs/>
          <w:lang w:val="es-ES"/>
        </w:rPr>
        <w:br/>
        <w:t>de navegación por satélite integrales</w:t>
      </w:r>
    </w:p>
    <w:p w14:paraId="79073495" w14:textId="77777777" w:rsidR="00146305" w:rsidRPr="00520450" w:rsidRDefault="00146305" w:rsidP="00146305">
      <w:pPr>
        <w:pStyle w:val="Normalaftertitle"/>
      </w:pPr>
      <w:r w:rsidRPr="00520450">
        <w:t>Al asignar identidades marítimas a transceptores portátiles de ondas métricas con LLSD y receptor de SMNS integral, las administraciones han de emplear todas las medidas a su alcance para gestionar de manera eficaz el recurso limitado de identidad.</w:t>
      </w:r>
    </w:p>
    <w:p w14:paraId="247940F3" w14:textId="77777777" w:rsidR="00146305" w:rsidRPr="00520450" w:rsidRDefault="00146305" w:rsidP="0055711A">
      <w:pPr>
        <w:pStyle w:val="enumlev1"/>
      </w:pPr>
      <w:r w:rsidRPr="00520450">
        <w:t>a)</w:t>
      </w:r>
      <w:r w:rsidRPr="00520450">
        <w:tab/>
        <w:t>El esquema de formato de la Sección 1 del Anexo 2, utilizado para asignar identidades al transceptor de ondas métricas, admite 100 000 transceptores de ondas métricas por MID. Cuando la administración afectada haya asignado identidades a 100 000 transceptores de ondas métricas con LLSD y receptor de SMNS integral, podrá utilizar un indicativo de país adicional (MID), si la UIT ya lo ha asignado, lo que le permitirá asignar 100 000 nuevas identidades.</w:t>
      </w:r>
    </w:p>
    <w:p w14:paraId="5ABD77D4" w14:textId="1ADF2A93" w:rsidR="00146305" w:rsidRDefault="00146305" w:rsidP="00146305">
      <w:pPr>
        <w:pStyle w:val="enumlev1"/>
      </w:pPr>
      <w:r w:rsidRPr="00520450">
        <w:t>b)</w:t>
      </w:r>
      <w:r w:rsidRPr="00520450">
        <w:tab/>
        <w:t>Cuando una administración determine que necesita la atribución adicional de una MID porque ha agotado más del 80</w:t>
      </w:r>
      <w:r w:rsidR="009A144E">
        <w:t> </w:t>
      </w:r>
      <w:r w:rsidRPr="00520450">
        <w:t>% de su recurso de MID atribuido, debe solicitar oficialmente por escrito al Director de la Oficina de Radiocomunicaciones la atribución de una MID adicional.</w:t>
      </w:r>
    </w:p>
    <w:p w14:paraId="745ED14B" w14:textId="77777777" w:rsidR="00486144" w:rsidRDefault="00486144" w:rsidP="00146305">
      <w:pPr>
        <w:pStyle w:val="enumlev1"/>
      </w:pPr>
    </w:p>
    <w:p w14:paraId="31AAD9C8" w14:textId="77777777" w:rsidR="00146305" w:rsidRPr="00486144" w:rsidRDefault="00146305" w:rsidP="00486144">
      <w:pPr>
        <w:pStyle w:val="Section1"/>
        <w:rPr>
          <w:szCs w:val="28"/>
          <w:lang w:val="es-ES"/>
        </w:rPr>
      </w:pPr>
      <w:r w:rsidRPr="00486144">
        <w:rPr>
          <w:szCs w:val="28"/>
          <w:lang w:val="es-ES"/>
        </w:rPr>
        <w:lastRenderedPageBreak/>
        <w:t xml:space="preserve">Sección 3 </w:t>
      </w:r>
      <w:r w:rsidRPr="00486144">
        <w:rPr>
          <w:szCs w:val="28"/>
          <w:lang w:val="es-ES"/>
        </w:rPr>
        <w:br/>
      </w:r>
      <w:r w:rsidRPr="00486144">
        <w:rPr>
          <w:szCs w:val="28"/>
          <w:lang w:val="es-ES"/>
        </w:rPr>
        <w:br/>
        <w:t>Dispositivos que utilizan una identidad marítima de formato libre</w:t>
      </w:r>
    </w:p>
    <w:p w14:paraId="0271985D" w14:textId="77777777" w:rsidR="00146305" w:rsidRPr="00520450" w:rsidRDefault="00146305" w:rsidP="00486144">
      <w:pPr>
        <w:pStyle w:val="Normalaftertitle"/>
      </w:pPr>
      <w:r w:rsidRPr="00520450">
        <w:t>La entidad responsable de la asignación de los ID de fabricante de dos cifras (X</w:t>
      </w:r>
      <w:r w:rsidRPr="00520450">
        <w:rPr>
          <w:vertAlign w:val="subscript"/>
        </w:rPr>
        <w:t>4</w:t>
      </w:r>
      <w:r w:rsidRPr="00520450">
        <w:t>X</w:t>
      </w:r>
      <w:r w:rsidRPr="00520450">
        <w:rPr>
          <w:vertAlign w:val="subscript"/>
        </w:rPr>
        <w:t>5</w:t>
      </w:r>
      <w:r w:rsidRPr="00520450">
        <w:t xml:space="preserve"> = 01 a 99) y el sufijo de identificación complementario del fabricante (M</w:t>
      </w:r>
      <w:r w:rsidRPr="00520450">
        <w:rPr>
          <w:vertAlign w:val="subscript"/>
        </w:rPr>
        <w:t>6</w:t>
      </w:r>
      <w:r w:rsidRPr="00520450">
        <w:t>) que se utilizan para formar identidades numéricas de formato libre marítimas para los dispositivos enumerados en la sección 2 del Anexo 2, debería emplear las siguientes medidas para gestionar eficazmente este recurso de identidad limitado:</w:t>
      </w:r>
      <w:bookmarkStart w:id="3" w:name="_Hlk52523002"/>
      <w:bookmarkEnd w:id="3"/>
    </w:p>
    <w:p w14:paraId="5AEEDEEE" w14:textId="674A3E66" w:rsidR="00146305" w:rsidRPr="00520450" w:rsidRDefault="00146305" w:rsidP="00146305">
      <w:pPr>
        <w:pStyle w:val="enumlev1"/>
      </w:pPr>
      <w:bookmarkStart w:id="4" w:name="_Hlk52790307"/>
      <w:r w:rsidRPr="00520450">
        <w:t>a)</w:t>
      </w:r>
      <w:r w:rsidRPr="00520450">
        <w:tab/>
        <w:t>no asignar más de un ID a un fabricante;</w:t>
      </w:r>
    </w:p>
    <w:p w14:paraId="18EB44AE" w14:textId="77777777" w:rsidR="00146305" w:rsidRPr="00520450" w:rsidRDefault="00146305" w:rsidP="00146305">
      <w:pPr>
        <w:pStyle w:val="enumlev1"/>
      </w:pPr>
      <w:r w:rsidRPr="00520450">
        <w:t>b)</w:t>
      </w:r>
      <w:r w:rsidRPr="00520450">
        <w:tab/>
        <w:t>tomar todas las medidas posibles para asegurar que los ID y sufijos de fabricante no utilizados se devuelvan a la entidad responsable y se reasignen según proceda;</w:t>
      </w:r>
    </w:p>
    <w:p w14:paraId="14B68721" w14:textId="77777777" w:rsidR="00146305" w:rsidRPr="00520450" w:rsidRDefault="00146305" w:rsidP="00146305">
      <w:pPr>
        <w:pStyle w:val="enumlev1"/>
      </w:pPr>
      <w:r w:rsidRPr="00520450">
        <w:t>c)</w:t>
      </w:r>
      <w:r w:rsidRPr="00520450">
        <w:tab/>
        <w:t>proporcionar anualmente al Grupo de Trabajo del UIT-R pertinente actualizaciones relativas a la utilización de las identidades de fabricante, al uso de sufijos de cada identificador de fabricante, los números restantes de identificadores de fabricante no utilizados y a los números restantes de sufijos de cada identificador de fabricante no utilizados;</w:t>
      </w:r>
    </w:p>
    <w:p w14:paraId="73567C13" w14:textId="1E777202" w:rsidR="00B874C6" w:rsidRPr="00F17CED" w:rsidRDefault="00146305" w:rsidP="00146305">
      <w:pPr>
        <w:pStyle w:val="enumlev1"/>
      </w:pPr>
      <w:r w:rsidRPr="00520450">
        <w:t>d)</w:t>
      </w:r>
      <w:r w:rsidRPr="00520450">
        <w:tab/>
        <w:t>notificar inmediatamente a la Oficina de Radiocomunicaciones de cualquier cambio en las asignaciones de ID de fabricante y sufijos de cada ID de fabricante para publicación en la página web MARS de la UIT.</w:t>
      </w:r>
      <w:bookmarkEnd w:id="4"/>
    </w:p>
    <w:p w14:paraId="146FCA82" w14:textId="77777777" w:rsidR="00146305" w:rsidRDefault="00146305" w:rsidP="00C43E2C"/>
    <w:p w14:paraId="09392281" w14:textId="77777777" w:rsidR="00C43E2C" w:rsidRDefault="00C43E2C" w:rsidP="00C43E2C">
      <w:pPr>
        <w:pStyle w:val="Line"/>
      </w:pPr>
    </w:p>
    <w:sectPr w:rsidR="00C43E2C" w:rsidSect="007565CC">
      <w:footerReference w:type="default" r:id="rId2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3FE6" w14:textId="77777777" w:rsidR="00CD56AA" w:rsidRDefault="00CD56AA">
      <w:r>
        <w:separator/>
      </w:r>
    </w:p>
  </w:endnote>
  <w:endnote w:type="continuationSeparator" w:id="0">
    <w:p w14:paraId="0517A274" w14:textId="77777777" w:rsidR="00CD56AA" w:rsidRDefault="00CD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90D6" w14:textId="77777777" w:rsidR="00301DB3" w:rsidRDefault="00301DB3">
    <w:pPr>
      <w:pStyle w:val="Footer"/>
    </w:pPr>
    <w:r>
      <w:drawing>
        <wp:anchor distT="0" distB="0" distL="0" distR="0" simplePos="0" relativeHeight="251656192" behindDoc="0" locked="0" layoutInCell="1" allowOverlap="1" wp14:anchorId="4261BB2F" wp14:editId="3BA354D8">
          <wp:simplePos x="0" y="0"/>
          <wp:positionH relativeFrom="page">
            <wp:posOffset>6346209</wp:posOffset>
          </wp:positionH>
          <wp:positionV relativeFrom="page">
            <wp:posOffset>9501505</wp:posOffset>
          </wp:positionV>
          <wp:extent cx="738000" cy="813600"/>
          <wp:effectExtent l="0" t="0" r="0" b="0"/>
          <wp:wrapNone/>
          <wp:docPr id="1" name="image1.png" descr="Logo de la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de la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A63B"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0CA2" w14:textId="77777777" w:rsidR="00CD56AA" w:rsidRDefault="00CD56AA">
      <w:r>
        <w:separator/>
      </w:r>
    </w:p>
  </w:footnote>
  <w:footnote w:type="continuationSeparator" w:id="0">
    <w:p w14:paraId="50FC24F0" w14:textId="77777777" w:rsidR="00CD56AA" w:rsidRDefault="00CD56AA">
      <w:r>
        <w:continuationSeparator/>
      </w:r>
    </w:p>
  </w:footnote>
  <w:footnote w:id="1">
    <w:p w14:paraId="6EF6EFA3" w14:textId="244EC222" w:rsidR="00146305" w:rsidRPr="000D0FBA" w:rsidRDefault="00146305" w:rsidP="00146305">
      <w:pPr>
        <w:pStyle w:val="FootnoteText"/>
      </w:pPr>
      <w:r>
        <w:rPr>
          <w:rStyle w:val="FootnoteReference"/>
        </w:rPr>
        <w:footnoteRef/>
      </w:r>
      <w:r>
        <w:tab/>
      </w:r>
      <w:r w:rsidRPr="000D0FBA">
        <w:t xml:space="preserve">Los dispositivos que utilizan una identidad </w:t>
      </w:r>
      <w:r>
        <w:t>marítima</w:t>
      </w:r>
      <w:r w:rsidRPr="000D0FBA">
        <w:t xml:space="preserve"> de formato libre</w:t>
      </w:r>
      <w:r>
        <w:t xml:space="preserve"> podrían utilizar el identificador de 12</w:t>
      </w:r>
      <w:r w:rsidR="00486144">
        <w:t> </w:t>
      </w:r>
      <w:r>
        <w:t>caracteres (véase la Subsección 4 de la Sección 2 del Anexo 2 para más información al respecto).</w:t>
      </w:r>
    </w:p>
  </w:footnote>
  <w:footnote w:id="2">
    <w:p w14:paraId="12542C6A" w14:textId="2565F1FA" w:rsidR="00146305" w:rsidRPr="0055711A" w:rsidRDefault="00146305" w:rsidP="00146305">
      <w:pPr>
        <w:pStyle w:val="FootnoteText"/>
      </w:pPr>
      <w:r>
        <w:rPr>
          <w:rStyle w:val="FootnoteReference"/>
        </w:rPr>
        <w:footnoteRef/>
      </w:r>
      <w:r>
        <w:tab/>
        <w:t xml:space="preserve">Las balizas de primera generación y las balizas de segunda generación se definen en la versión más reciente </w:t>
      </w:r>
      <w:r w:rsidRPr="0055711A">
        <w:t xml:space="preserve">de la Recomendación </w:t>
      </w:r>
      <w:hyperlink r:id="rId1" w:history="1">
        <w:r w:rsidRPr="0055711A">
          <w:rPr>
            <w:rStyle w:val="Hyperlink"/>
            <w:color w:val="auto"/>
            <w:u w:val="none"/>
          </w:rPr>
          <w:t>UIT-R M.633</w:t>
        </w:r>
      </w:hyperlink>
      <w:r w:rsidRPr="0055711A">
        <w:t>.</w:t>
      </w:r>
    </w:p>
  </w:footnote>
  <w:footnote w:id="3">
    <w:p w14:paraId="42389D13" w14:textId="77777777" w:rsidR="00146305" w:rsidRPr="009B2750" w:rsidRDefault="00146305" w:rsidP="00146305">
      <w:pPr>
        <w:pStyle w:val="FootnoteText"/>
      </w:pPr>
      <w:r>
        <w:rPr>
          <w:rStyle w:val="FootnoteReference"/>
        </w:rPr>
        <w:footnoteRef/>
      </w:r>
      <w:r w:rsidRPr="009B2750">
        <w:t xml:space="preserve"> </w:t>
      </w:r>
      <w:r>
        <w:tab/>
      </w:r>
      <w:r w:rsidRPr="009B2750">
        <w:t>El formato de numeración del SIA-SART debería ser distinto de otros múltiples dispositivos a bordo que se identificarían mediante la MMSI asignada a la embarcación. Estos dispositivos pueden estar a bordo de botes, esquifes, balsas salvavidas u otras embarcaciones pertenecientes a un barco de base</w:t>
      </w:r>
      <w:r>
        <w:t>.</w:t>
      </w:r>
    </w:p>
  </w:footnote>
  <w:footnote w:id="4">
    <w:p w14:paraId="10EEAF15" w14:textId="31441E60" w:rsidR="00146305" w:rsidRPr="00FB3511" w:rsidRDefault="00146305" w:rsidP="00146305">
      <w:pPr>
        <w:pStyle w:val="FootnoteText"/>
      </w:pPr>
      <w:r>
        <w:rPr>
          <w:rStyle w:val="FootnoteReference"/>
        </w:rPr>
        <w:footnoteRef/>
      </w:r>
      <w:r>
        <w:tab/>
        <w:t>Los AMRD del Grupo A deberían funcionar en el canal 70 (DSC), en SIA 1 y en SIA 2.</w:t>
      </w:r>
    </w:p>
    <w:p w14:paraId="2FBF6F8D" w14:textId="77777777" w:rsidR="00146305" w:rsidRPr="009B2750" w:rsidRDefault="00146305" w:rsidP="00146305">
      <w:pPr>
        <w:pStyle w:val="FootnoteText"/>
      </w:pPr>
      <w:r>
        <w:tab/>
        <w:t>Los AMRD del Grupo B deberían funcionar en el canal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112A"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60B6D7B6" w14:textId="77777777" w:rsidTr="0019307B">
      <w:tc>
        <w:tcPr>
          <w:tcW w:w="4634" w:type="dxa"/>
          <w:vAlign w:val="center"/>
        </w:tcPr>
        <w:p w14:paraId="702E8A75"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48295BA"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0E31405B" w14:textId="77777777" w:rsidTr="0019307B">
      <w:tc>
        <w:tcPr>
          <w:tcW w:w="4634" w:type="dxa"/>
          <w:vAlign w:val="center"/>
        </w:tcPr>
        <w:p w14:paraId="617E4478"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4415AA40"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127E9424"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BA516C0" wp14:editId="27669546">
          <wp:simplePos x="0" y="0"/>
          <wp:positionH relativeFrom="column">
            <wp:posOffset>-252095</wp:posOffset>
          </wp:positionH>
          <wp:positionV relativeFrom="paragraph">
            <wp:posOffset>-562165</wp:posOffset>
          </wp:positionV>
          <wp:extent cx="1781299" cy="383901"/>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57969E2" wp14:editId="3DDFD992">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155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D05DB95"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FAA810B" wp14:editId="1CBA360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67957"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422" w14:textId="491CFD5B" w:rsidR="00C43E2C" w:rsidRPr="00D72623" w:rsidRDefault="00C43E2C"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BF4194">
      <w:rPr>
        <w:b/>
        <w:bCs/>
        <w:noProof/>
        <w:lang w:val="en-US"/>
      </w:rPr>
      <w:t>UIT-R  M.585-10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BDAE" w14:textId="769720AC" w:rsidR="00C43E2C" w:rsidRDefault="00C43E2C">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BF4194">
      <w:rPr>
        <w:b/>
        <w:bCs/>
        <w:noProof/>
      </w:rPr>
      <w:t>UIT-R  M.585-10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A"/>
    <w:rsid w:val="00013002"/>
    <w:rsid w:val="000246E0"/>
    <w:rsid w:val="00032EAB"/>
    <w:rsid w:val="00036EE3"/>
    <w:rsid w:val="000378E6"/>
    <w:rsid w:val="00070306"/>
    <w:rsid w:val="00072484"/>
    <w:rsid w:val="00090709"/>
    <w:rsid w:val="00095530"/>
    <w:rsid w:val="00096612"/>
    <w:rsid w:val="000A4A32"/>
    <w:rsid w:val="000B1B2B"/>
    <w:rsid w:val="000B7683"/>
    <w:rsid w:val="000D0677"/>
    <w:rsid w:val="000E0548"/>
    <w:rsid w:val="000E6A6E"/>
    <w:rsid w:val="00102934"/>
    <w:rsid w:val="00120C75"/>
    <w:rsid w:val="00146305"/>
    <w:rsid w:val="00147110"/>
    <w:rsid w:val="001511A6"/>
    <w:rsid w:val="00160686"/>
    <w:rsid w:val="00171C4D"/>
    <w:rsid w:val="0017562F"/>
    <w:rsid w:val="0019307B"/>
    <w:rsid w:val="001B0927"/>
    <w:rsid w:val="001B164E"/>
    <w:rsid w:val="001B7886"/>
    <w:rsid w:val="001C4108"/>
    <w:rsid w:val="001F38BB"/>
    <w:rsid w:val="002058CE"/>
    <w:rsid w:val="002165F1"/>
    <w:rsid w:val="00233211"/>
    <w:rsid w:val="00250C24"/>
    <w:rsid w:val="00260B24"/>
    <w:rsid w:val="0027411A"/>
    <w:rsid w:val="00276D21"/>
    <w:rsid w:val="00282DCF"/>
    <w:rsid w:val="00296D7F"/>
    <w:rsid w:val="002970F3"/>
    <w:rsid w:val="002A5D45"/>
    <w:rsid w:val="002B3CF6"/>
    <w:rsid w:val="002B3E59"/>
    <w:rsid w:val="002C2EDD"/>
    <w:rsid w:val="002C768A"/>
    <w:rsid w:val="002D0BD7"/>
    <w:rsid w:val="002D318A"/>
    <w:rsid w:val="002D76C4"/>
    <w:rsid w:val="002F5199"/>
    <w:rsid w:val="00301DB3"/>
    <w:rsid w:val="00305119"/>
    <w:rsid w:val="003157F1"/>
    <w:rsid w:val="00346EC2"/>
    <w:rsid w:val="00356B5D"/>
    <w:rsid w:val="00357707"/>
    <w:rsid w:val="0036627C"/>
    <w:rsid w:val="003E5516"/>
    <w:rsid w:val="003F4B75"/>
    <w:rsid w:val="00410651"/>
    <w:rsid w:val="00420DFD"/>
    <w:rsid w:val="00425BC7"/>
    <w:rsid w:val="00437A76"/>
    <w:rsid w:val="004604B2"/>
    <w:rsid w:val="00470E28"/>
    <w:rsid w:val="0047379B"/>
    <w:rsid w:val="00474170"/>
    <w:rsid w:val="00477729"/>
    <w:rsid w:val="004842E2"/>
    <w:rsid w:val="00486144"/>
    <w:rsid w:val="00486EB3"/>
    <w:rsid w:val="004934C5"/>
    <w:rsid w:val="004A6FEB"/>
    <w:rsid w:val="004E61FF"/>
    <w:rsid w:val="0050449C"/>
    <w:rsid w:val="0052056E"/>
    <w:rsid w:val="005373E0"/>
    <w:rsid w:val="00556548"/>
    <w:rsid w:val="0055711A"/>
    <w:rsid w:val="00571B1C"/>
    <w:rsid w:val="00576D47"/>
    <w:rsid w:val="00586EF8"/>
    <w:rsid w:val="005B0371"/>
    <w:rsid w:val="005B49AB"/>
    <w:rsid w:val="005B50E7"/>
    <w:rsid w:val="005C4BAB"/>
    <w:rsid w:val="005E12A5"/>
    <w:rsid w:val="005E69F0"/>
    <w:rsid w:val="005E7B4F"/>
    <w:rsid w:val="005F003B"/>
    <w:rsid w:val="005F2E73"/>
    <w:rsid w:val="005F40E1"/>
    <w:rsid w:val="00601882"/>
    <w:rsid w:val="00607D68"/>
    <w:rsid w:val="00613212"/>
    <w:rsid w:val="006149B1"/>
    <w:rsid w:val="00640332"/>
    <w:rsid w:val="00674231"/>
    <w:rsid w:val="00680D2B"/>
    <w:rsid w:val="00681B32"/>
    <w:rsid w:val="0069322D"/>
    <w:rsid w:val="00697887"/>
    <w:rsid w:val="006B1D2B"/>
    <w:rsid w:val="006B1E05"/>
    <w:rsid w:val="006C37D5"/>
    <w:rsid w:val="006E1131"/>
    <w:rsid w:val="006E2037"/>
    <w:rsid w:val="006E6199"/>
    <w:rsid w:val="006F536F"/>
    <w:rsid w:val="00712870"/>
    <w:rsid w:val="00714AC0"/>
    <w:rsid w:val="0074147D"/>
    <w:rsid w:val="00743D85"/>
    <w:rsid w:val="00744F8B"/>
    <w:rsid w:val="00747D6E"/>
    <w:rsid w:val="00753CF4"/>
    <w:rsid w:val="007565CC"/>
    <w:rsid w:val="007624B1"/>
    <w:rsid w:val="00763B9A"/>
    <w:rsid w:val="007A0BC8"/>
    <w:rsid w:val="007A6AA8"/>
    <w:rsid w:val="007B1357"/>
    <w:rsid w:val="007B20EE"/>
    <w:rsid w:val="007B3343"/>
    <w:rsid w:val="008310C9"/>
    <w:rsid w:val="008335F0"/>
    <w:rsid w:val="00834306"/>
    <w:rsid w:val="00841046"/>
    <w:rsid w:val="00853CC5"/>
    <w:rsid w:val="00865B09"/>
    <w:rsid w:val="00877E6E"/>
    <w:rsid w:val="008B083A"/>
    <w:rsid w:val="008B32DB"/>
    <w:rsid w:val="008B56B2"/>
    <w:rsid w:val="008C684A"/>
    <w:rsid w:val="008C7848"/>
    <w:rsid w:val="00906589"/>
    <w:rsid w:val="00906AD6"/>
    <w:rsid w:val="00917AF2"/>
    <w:rsid w:val="0092418A"/>
    <w:rsid w:val="00934ED7"/>
    <w:rsid w:val="00940D16"/>
    <w:rsid w:val="009543C3"/>
    <w:rsid w:val="00966E1B"/>
    <w:rsid w:val="00972F51"/>
    <w:rsid w:val="00984A02"/>
    <w:rsid w:val="009947C0"/>
    <w:rsid w:val="009A144E"/>
    <w:rsid w:val="009A4039"/>
    <w:rsid w:val="009A41F9"/>
    <w:rsid w:val="009D4BBD"/>
    <w:rsid w:val="009F2D2C"/>
    <w:rsid w:val="009F2D88"/>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405C"/>
    <w:rsid w:val="00AC015D"/>
    <w:rsid w:val="00AD3B25"/>
    <w:rsid w:val="00AE698D"/>
    <w:rsid w:val="00AF0286"/>
    <w:rsid w:val="00AF5326"/>
    <w:rsid w:val="00B019A2"/>
    <w:rsid w:val="00B0286E"/>
    <w:rsid w:val="00B033C8"/>
    <w:rsid w:val="00B111CE"/>
    <w:rsid w:val="00B33425"/>
    <w:rsid w:val="00B42334"/>
    <w:rsid w:val="00B44E24"/>
    <w:rsid w:val="00B54ECC"/>
    <w:rsid w:val="00B60AC0"/>
    <w:rsid w:val="00B714F3"/>
    <w:rsid w:val="00B75A52"/>
    <w:rsid w:val="00B874C6"/>
    <w:rsid w:val="00B87B6B"/>
    <w:rsid w:val="00B9169E"/>
    <w:rsid w:val="00B96572"/>
    <w:rsid w:val="00BB7886"/>
    <w:rsid w:val="00BC5D77"/>
    <w:rsid w:val="00BD4283"/>
    <w:rsid w:val="00BE04D6"/>
    <w:rsid w:val="00BF4194"/>
    <w:rsid w:val="00BF487A"/>
    <w:rsid w:val="00BF5544"/>
    <w:rsid w:val="00C15F3E"/>
    <w:rsid w:val="00C43E2C"/>
    <w:rsid w:val="00C46BD9"/>
    <w:rsid w:val="00C55258"/>
    <w:rsid w:val="00C73560"/>
    <w:rsid w:val="00C84DB7"/>
    <w:rsid w:val="00C87A35"/>
    <w:rsid w:val="00CB0F14"/>
    <w:rsid w:val="00CD56AA"/>
    <w:rsid w:val="00CD659B"/>
    <w:rsid w:val="00CE0A43"/>
    <w:rsid w:val="00CF130D"/>
    <w:rsid w:val="00D00118"/>
    <w:rsid w:val="00D0483A"/>
    <w:rsid w:val="00D16749"/>
    <w:rsid w:val="00D5024B"/>
    <w:rsid w:val="00D61962"/>
    <w:rsid w:val="00D72623"/>
    <w:rsid w:val="00D83556"/>
    <w:rsid w:val="00DE5556"/>
    <w:rsid w:val="00DF4176"/>
    <w:rsid w:val="00DF7667"/>
    <w:rsid w:val="00E0095C"/>
    <w:rsid w:val="00E17240"/>
    <w:rsid w:val="00E222BE"/>
    <w:rsid w:val="00E74595"/>
    <w:rsid w:val="00E77485"/>
    <w:rsid w:val="00EA78D1"/>
    <w:rsid w:val="00EB1CB6"/>
    <w:rsid w:val="00EB7C57"/>
    <w:rsid w:val="00EC4D79"/>
    <w:rsid w:val="00ED2695"/>
    <w:rsid w:val="00ED3CA8"/>
    <w:rsid w:val="00EE04BA"/>
    <w:rsid w:val="00EE47C4"/>
    <w:rsid w:val="00EF2D52"/>
    <w:rsid w:val="00F111D6"/>
    <w:rsid w:val="00F14995"/>
    <w:rsid w:val="00F17CED"/>
    <w:rsid w:val="00F30C9B"/>
    <w:rsid w:val="00F354B1"/>
    <w:rsid w:val="00F354D7"/>
    <w:rsid w:val="00F62728"/>
    <w:rsid w:val="00F6343F"/>
    <w:rsid w:val="00F72776"/>
    <w:rsid w:val="00F77360"/>
    <w:rsid w:val="00F92A40"/>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5290CFE4"/>
  <w15:docId w15:val="{DC5C8CE2-46C8-4706-B34F-7B2FB3D9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36F"/>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486144"/>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BF4194"/>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486144"/>
    <w:pPr>
      <w:spacing w:before="240"/>
    </w:pPr>
    <w:rPr>
      <w:sz w:val="22"/>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A93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link w:val="SummaryZchn"/>
    <w:autoRedefine/>
    <w:rsid w:val="00486144"/>
    <w:rPr>
      <w:sz w:val="22"/>
      <w:lang w:val="es-ES_tradnl"/>
    </w:rPr>
  </w:style>
  <w:style w:type="character" w:styleId="Hyperlink">
    <w:name w:val="Hyperlink"/>
    <w:aliases w:val="CEO_Hyperlink,超级链接,ECC Hyperlink"/>
    <w:basedOn w:val="DefaultParagraphFont"/>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F4194"/>
    <w:pPr>
      <w:widowControl w:val="0"/>
      <w:tabs>
        <w:tab w:val="clear" w:pos="794"/>
        <w:tab w:val="clear" w:pos="1191"/>
        <w:tab w:val="clear" w:pos="1588"/>
        <w:tab w:val="clear" w:pos="1985"/>
      </w:tabs>
      <w:overflowPunct/>
      <w:adjustRightInd/>
      <w:spacing w:before="338" w:line="245" w:lineRule="auto"/>
      <w:ind w:left="284" w:right="1004"/>
      <w:jc w:val="left"/>
      <w:textAlignment w:val="auto"/>
      <w:outlineLvl w:val="0"/>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146305"/>
    <w:rPr>
      <w:b/>
      <w:sz w:val="24"/>
      <w:lang w:val="es-ES" w:eastAsia="en-US"/>
    </w:rPr>
  </w:style>
  <w:style w:type="character" w:customStyle="1" w:styleId="Heading2Char">
    <w:name w:val="Heading 2 Char"/>
    <w:basedOn w:val="DefaultParagraphFont"/>
    <w:link w:val="Heading2"/>
    <w:rsid w:val="00146305"/>
    <w:rPr>
      <w:b/>
      <w:sz w:val="24"/>
      <w:lang w:val="es-E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146305"/>
    <w:rPr>
      <w:sz w:val="22"/>
      <w:lang w:val="es-ES" w:eastAsia="en-US"/>
    </w:rPr>
  </w:style>
  <w:style w:type="paragraph" w:customStyle="1" w:styleId="Section1">
    <w:name w:val="Section_1"/>
    <w:basedOn w:val="Normal"/>
    <w:rsid w:val="00090709"/>
    <w:pPr>
      <w:keepNext/>
      <w:keepLines/>
      <w:tabs>
        <w:tab w:val="clear" w:pos="794"/>
        <w:tab w:val="clear" w:pos="1191"/>
        <w:tab w:val="clear" w:pos="1588"/>
        <w:tab w:val="clear" w:pos="1985"/>
        <w:tab w:val="center" w:pos="4820"/>
      </w:tabs>
      <w:spacing w:before="360"/>
      <w:jc w:val="center"/>
      <w:outlineLvl w:val="0"/>
    </w:pPr>
    <w:rPr>
      <w:b/>
      <w:lang w:val="es-ES_tradnl"/>
    </w:rPr>
  </w:style>
  <w:style w:type="character" w:customStyle="1" w:styleId="enumlev1Char">
    <w:name w:val="enumlev1 Char"/>
    <w:link w:val="enumlev1"/>
    <w:locked/>
    <w:rsid w:val="00146305"/>
    <w:rPr>
      <w:sz w:val="24"/>
      <w:lang w:val="es-ES" w:eastAsia="en-US"/>
    </w:rPr>
  </w:style>
  <w:style w:type="character" w:customStyle="1" w:styleId="SummaryZchn">
    <w:name w:val="Summary Zchn"/>
    <w:basedOn w:val="DefaultParagraphFont"/>
    <w:link w:val="Summary"/>
    <w:rsid w:val="00486144"/>
    <w:rPr>
      <w:sz w:val="22"/>
      <w:lang w:val="es-ES_tradnl" w:eastAsia="en-US"/>
    </w:rPr>
  </w:style>
  <w:style w:type="character" w:customStyle="1" w:styleId="NormalaftertitleChar">
    <w:name w:val="Normal_after_title Char"/>
    <w:basedOn w:val="DefaultParagraphFont"/>
    <w:link w:val="Normalaftertitle"/>
    <w:locked/>
    <w:rsid w:val="00146305"/>
    <w:rPr>
      <w:sz w:val="24"/>
      <w:lang w:val="es-ES" w:eastAsia="en-US"/>
    </w:rPr>
  </w:style>
  <w:style w:type="paragraph" w:customStyle="1" w:styleId="Reasons">
    <w:name w:val="Reasons"/>
    <w:basedOn w:val="Normal"/>
    <w:qFormat/>
    <w:rsid w:val="00146305"/>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FollowedHyperlink">
    <w:name w:val="FollowedHyperlink"/>
    <w:basedOn w:val="DefaultParagraphFont"/>
    <w:semiHidden/>
    <w:unhideWhenUsed/>
    <w:rsid w:val="00146305"/>
    <w:rPr>
      <w:color w:val="800080" w:themeColor="followedHyperlink"/>
      <w:u w:val="single"/>
    </w:rPr>
  </w:style>
  <w:style w:type="paragraph" w:styleId="Revision">
    <w:name w:val="Revision"/>
    <w:hidden/>
    <w:uiPriority w:val="99"/>
    <w:semiHidden/>
    <w:rsid w:val="00F62728"/>
    <w:rPr>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pub/R-REP-M.228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tu.int/rec/R-REC-M.1080/es"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M.2135/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tu.int/rec/R-REC-M.1371/es" TargetMode="External"/><Relationship Id="rId20" Type="http://schemas.openxmlformats.org/officeDocument/2006/relationships/hyperlink" Target="https://www.itu.int/rec/R-REC-M.493/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s" TargetMode="External"/><Relationship Id="rId24" Type="http://schemas.openxmlformats.org/officeDocument/2006/relationships/hyperlink" Target="https://www.itu.int/rec/R-REC-M.2135/es" TargetMode="External"/><Relationship Id="rId5" Type="http://schemas.openxmlformats.org/officeDocument/2006/relationships/footnotes" Target="footnotes.xml"/><Relationship Id="rId15" Type="http://schemas.openxmlformats.org/officeDocument/2006/relationships/hyperlink" Target="https://www.itu.int/rec/R-REC-M.1080/en" TargetMode="External"/><Relationship Id="rId23" Type="http://schemas.openxmlformats.org/officeDocument/2006/relationships/hyperlink" Target="https://www.itu.int/rec/R-REC-M.1371/es" TargetMode="External"/><Relationship Id="rId10" Type="http://schemas.openxmlformats.org/officeDocument/2006/relationships/hyperlink" Target="https://www.itu.int/en/ITU-R/study-groups/Pages/itu-r-patent-information.aspx" TargetMode="External"/><Relationship Id="rId19" Type="http://schemas.openxmlformats.org/officeDocument/2006/relationships/hyperlink" Target="https://www.itu.int/rec/T-REC-E.217/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M.493/es" TargetMode="External"/><Relationship Id="rId22" Type="http://schemas.openxmlformats.org/officeDocument/2006/relationships/hyperlink" Target="https://www.itu.int/rec/R-REC-M.1371/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M.633/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S\2026-ITU-R_REC_M_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2026-ITU-R_REC_M_S.docx</Template>
  <TotalTime>75</TotalTime>
  <Pages>14</Pages>
  <Words>5210</Words>
  <Characters>28605</Characters>
  <Application>Microsoft Office Word</Application>
  <DocSecurity>0</DocSecurity>
  <Lines>529</Lines>
  <Paragraphs>268</Paragraphs>
  <ScaleCrop>false</ScaleCrop>
  <HeadingPairs>
    <vt:vector size="2" baseType="variant">
      <vt:variant>
        <vt:lpstr>Title</vt:lpstr>
      </vt:variant>
      <vt:variant>
        <vt:i4>1</vt:i4>
      </vt:variant>
    </vt:vector>
  </HeadingPairs>
  <TitlesOfParts>
    <vt:vector size="1" baseType="lpstr">
      <vt:lpstr>RECOMENDACIÓN  UIT-R  M.585-10 - Asignación y uso de identidades del servicio móvil marítimo</vt:lpstr>
    </vt:vector>
  </TitlesOfParts>
  <Manager/>
  <Company>UIT</Company>
  <LinksUpToDate>false</LinksUpToDate>
  <CharactersWithSpaces>33547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M.585-10 (04/2026) - Asignación y uso de identidades del servicio móvil marítimo</dc:title>
  <dc:subject>Serie M: Servicios móviles, de radiodeterminación, de aficionados y otros servicios por satélite conexos</dc:subject>
  <dc:creator>Oficina de Radiocomunicaciones del UIT (BR)</dc:creator>
  <cp:keywords>Identidades, MMSI, servicio móvil marítimo</cp:keywords>
  <dc:description/>
  <cp:lastModifiedBy>Saez Grau, Ricardo</cp:lastModifiedBy>
  <cp:revision>21</cp:revision>
  <cp:lastPrinted>2023-03-17T15:41:00Z</cp:lastPrinted>
  <dcterms:created xsi:type="dcterms:W3CDTF">2026-05-29T11:23:00Z</dcterms:created>
  <dcterms:modified xsi:type="dcterms:W3CDTF">2026-05-29T13:54:00Z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29 May 2026</vt:lpwstr>
  </property>
</Properties>
</file>