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0004" w14:textId="77777777" w:rsidR="00FE79FE" w:rsidRDefault="00FE79FE"/>
    <w:p w14:paraId="13B9A1D3" w14:textId="77777777" w:rsidR="00013002" w:rsidRDefault="00013002" w:rsidP="00DE5556">
      <w:pPr>
        <w:tabs>
          <w:tab w:val="clear" w:pos="794"/>
          <w:tab w:val="clear" w:pos="1191"/>
          <w:tab w:val="clear" w:pos="1588"/>
          <w:tab w:val="clear" w:pos="1985"/>
        </w:tabs>
      </w:pPr>
    </w:p>
    <w:p w14:paraId="5381E59B" w14:textId="3E9DA543" w:rsidR="00D5024B" w:rsidRPr="00F111D6" w:rsidRDefault="00D5024B" w:rsidP="00D5024B">
      <w:pPr>
        <w:pStyle w:val="CoverNumber"/>
        <w:rPr>
          <w:lang w:val="es-ES"/>
        </w:rPr>
      </w:pPr>
      <w:r w:rsidRPr="00F111D6">
        <w:rPr>
          <w:lang w:val="es-ES"/>
        </w:rPr>
        <w:t>Recom</w:t>
      </w:r>
      <w:r w:rsidR="0069322D" w:rsidRPr="00F111D6">
        <w:rPr>
          <w:lang w:val="es-ES"/>
        </w:rPr>
        <w:t>e</w:t>
      </w:r>
      <w:r w:rsidRPr="00F111D6">
        <w:rPr>
          <w:lang w:val="es-ES"/>
        </w:rPr>
        <w:t>nda</w:t>
      </w:r>
      <w:r w:rsidR="0069322D" w:rsidRPr="00F111D6">
        <w:rPr>
          <w:lang w:val="es-ES"/>
        </w:rPr>
        <w:t>c</w:t>
      </w:r>
      <w:r w:rsidRPr="00F111D6">
        <w:rPr>
          <w:lang w:val="es-ES"/>
        </w:rPr>
        <w:t>i</w:t>
      </w:r>
      <w:r w:rsidR="0069322D" w:rsidRPr="00F111D6">
        <w:rPr>
          <w:lang w:val="es-ES"/>
        </w:rPr>
        <w:t>ó</w:t>
      </w:r>
      <w:r w:rsidRPr="00F111D6">
        <w:rPr>
          <w:lang w:val="es-ES"/>
        </w:rPr>
        <w:t xml:space="preserve">n </w:t>
      </w:r>
      <w:r w:rsidR="007624B1" w:rsidRPr="00F111D6">
        <w:rPr>
          <w:lang w:val="es-ES"/>
        </w:rPr>
        <w:t>U</w:t>
      </w:r>
      <w:r w:rsidRPr="00F111D6">
        <w:rPr>
          <w:lang w:val="es-ES"/>
        </w:rPr>
        <w:t xml:space="preserve">IT-R </w:t>
      </w:r>
      <w:r w:rsidR="00EC4D79">
        <w:rPr>
          <w:lang w:val="es-ES"/>
        </w:rPr>
        <w:t>M</w:t>
      </w:r>
      <w:r w:rsidRPr="00F111D6">
        <w:rPr>
          <w:lang w:val="es-ES"/>
        </w:rPr>
        <w:t>.</w:t>
      </w:r>
      <w:r w:rsidR="002E206E">
        <w:rPr>
          <w:lang w:val="es-ES"/>
        </w:rPr>
        <w:t>2164-0</w:t>
      </w:r>
    </w:p>
    <w:p w14:paraId="39524FDD" w14:textId="38585D8E" w:rsidR="00D5024B" w:rsidRPr="00F111D6" w:rsidRDefault="00D5024B" w:rsidP="00D5024B">
      <w:pPr>
        <w:pStyle w:val="CoverDate"/>
        <w:rPr>
          <w:lang w:val="es-ES"/>
        </w:rPr>
      </w:pPr>
      <w:r w:rsidRPr="00F111D6">
        <w:rPr>
          <w:lang w:val="es-ES"/>
        </w:rPr>
        <w:t>(</w:t>
      </w:r>
      <w:r w:rsidR="002E206E">
        <w:rPr>
          <w:lang w:val="es-ES"/>
        </w:rPr>
        <w:t>11</w:t>
      </w:r>
      <w:r w:rsidRPr="00F111D6">
        <w:rPr>
          <w:lang w:val="es-ES"/>
        </w:rPr>
        <w:t>/</w:t>
      </w:r>
      <w:r w:rsidR="002E206E">
        <w:rPr>
          <w:lang w:val="es-ES"/>
        </w:rPr>
        <w:t>2023</w:t>
      </w:r>
      <w:r w:rsidRPr="00F111D6">
        <w:rPr>
          <w:lang w:val="es-ES"/>
        </w:rPr>
        <w:t>)</w:t>
      </w:r>
    </w:p>
    <w:p w14:paraId="25CEA1FC" w14:textId="77777777" w:rsidR="00D5024B" w:rsidRPr="00F111D6" w:rsidRDefault="00A25EE2" w:rsidP="00D5024B">
      <w:pPr>
        <w:pStyle w:val="CoverSeries"/>
        <w:rPr>
          <w:lang w:val="es-ES"/>
        </w:rPr>
      </w:pPr>
      <w:r w:rsidRPr="00F111D6">
        <w:rPr>
          <w:lang w:val="es-ES"/>
        </w:rPr>
        <w:t>S</w:t>
      </w:r>
      <w:r w:rsidR="0069322D" w:rsidRPr="00F111D6">
        <w:rPr>
          <w:lang w:val="es-ES"/>
        </w:rPr>
        <w:t>e</w:t>
      </w:r>
      <w:r w:rsidRPr="00F111D6">
        <w:rPr>
          <w:lang w:val="es-ES"/>
        </w:rPr>
        <w:t xml:space="preserve">rie </w:t>
      </w:r>
      <w:r w:rsidR="00EC4D79">
        <w:rPr>
          <w:lang w:val="es-ES"/>
        </w:rPr>
        <w:t>M</w:t>
      </w:r>
      <w:r w:rsidR="00D5024B" w:rsidRPr="00F111D6">
        <w:rPr>
          <w:lang w:val="es-ES"/>
        </w:rPr>
        <w:t xml:space="preserve">: </w:t>
      </w:r>
      <w:r w:rsidR="00EC4D79" w:rsidRPr="00EC4D79">
        <w:rPr>
          <w:lang w:val="es-ES"/>
        </w:rPr>
        <w:t>Servicios móviles, de radiodeterminación, de aficionados y otros servicios por satélite conexos</w:t>
      </w:r>
    </w:p>
    <w:p w14:paraId="03290C14" w14:textId="3BA34CC4" w:rsidR="00D5024B" w:rsidRPr="00F111D6" w:rsidRDefault="002E206E" w:rsidP="00D5024B">
      <w:pPr>
        <w:pStyle w:val="CoverTitle"/>
        <w:rPr>
          <w:lang w:val="es-ES"/>
        </w:rPr>
      </w:pPr>
      <w:r w:rsidRPr="002E206E">
        <w:rPr>
          <w:lang w:val="es-ES"/>
        </w:rPr>
        <w:t>Orientación sobre medidas técnicas y operativas para la utilización de la banda de frecuencias 1 240-1 300 MHz por los servicios de aficionados y aficionados por satélite con el fin de proteger el servicio de radionavegación por satélite (espacio</w:t>
      </w:r>
      <w:r>
        <w:rPr>
          <w:lang w:val="es-ES"/>
        </w:rPr>
        <w:t>-</w:t>
      </w:r>
      <w:r w:rsidRPr="002E206E">
        <w:rPr>
          <w:lang w:val="es-ES"/>
        </w:rPr>
        <w:t>Tierra)</w:t>
      </w:r>
    </w:p>
    <w:p w14:paraId="01E95A7E" w14:textId="77777777" w:rsidR="00A71FE5" w:rsidRPr="00F111D6" w:rsidRDefault="00A71FE5" w:rsidP="005373E0"/>
    <w:p w14:paraId="704157CE" w14:textId="77777777" w:rsidR="00EE47C4" w:rsidRPr="00F111D6" w:rsidRDefault="00EE47C4" w:rsidP="005373E0">
      <w:pPr>
        <w:sectPr w:rsidR="00EE47C4" w:rsidRPr="00F111D6" w:rsidSect="0027411A">
          <w:headerReference w:type="even" r:id="rId7"/>
          <w:headerReference w:type="default" r:id="rId8"/>
          <w:footerReference w:type="default" r:id="rId9"/>
          <w:pgSz w:w="11907" w:h="16840" w:code="9"/>
          <w:pgMar w:top="1089" w:right="1089" w:bottom="284" w:left="1089" w:header="737" w:footer="284" w:gutter="0"/>
          <w:pgNumType w:start="1"/>
          <w:cols w:space="720"/>
          <w:docGrid w:linePitch="326"/>
        </w:sectPr>
      </w:pPr>
    </w:p>
    <w:p w14:paraId="15D27759" w14:textId="77777777" w:rsidR="0069322D" w:rsidRPr="006C718C" w:rsidRDefault="0069322D" w:rsidP="0069322D">
      <w:pPr>
        <w:pStyle w:val="Tablehead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left" w:pos="794"/>
          <w:tab w:val="left" w:pos="1191"/>
          <w:tab w:val="left" w:pos="1588"/>
        </w:tabs>
        <w:spacing w:before="0" w:after="0"/>
        <w:rPr>
          <w:bCs/>
          <w:sz w:val="24"/>
          <w:szCs w:val="24"/>
          <w:lang w:val="es-ES_tradnl"/>
        </w:rPr>
      </w:pPr>
      <w:bookmarkStart w:id="0" w:name="c2tope"/>
      <w:bookmarkEnd w:id="0"/>
      <w:r w:rsidRPr="006C718C">
        <w:rPr>
          <w:bCs/>
          <w:sz w:val="24"/>
          <w:szCs w:val="24"/>
          <w:lang w:val="es-ES_tradnl"/>
        </w:rPr>
        <w:lastRenderedPageBreak/>
        <w:t>Prólogo</w:t>
      </w:r>
    </w:p>
    <w:p w14:paraId="46393EF7" w14:textId="77777777" w:rsidR="0069322D" w:rsidRPr="006C718C" w:rsidRDefault="0069322D" w:rsidP="0069322D">
      <w:pPr>
        <w:spacing w:before="180"/>
        <w:rPr>
          <w:sz w:val="20"/>
          <w:lang w:val="es-ES_tradnl"/>
        </w:rPr>
      </w:pPr>
      <w:r w:rsidRPr="006C718C">
        <w:rPr>
          <w:sz w:val="20"/>
          <w:lang w:val="es-ES_tradnl"/>
        </w:rPr>
        <w:t>El Sector de Radiocomunicaciones tiene como cometido garantizar la utilizaci</w:t>
      </w:r>
      <w:r>
        <w:rPr>
          <w:sz w:val="20"/>
          <w:lang w:val="es-ES_tradnl"/>
        </w:rPr>
        <w:t>ón racional, equitativa, eficaz y económica del espectro de frecuencias radioeléctricas por todos los servicios de radiocomunicaciones, incluidos los servicios por satélite, y realizar, sin limitación de gamas de frecuencias, estudios que sirvan de base para la adopción de las Recomendaciones UIT-R.</w:t>
      </w:r>
    </w:p>
    <w:p w14:paraId="1D3154F6" w14:textId="77777777" w:rsidR="0069322D" w:rsidRPr="006C718C" w:rsidRDefault="0069322D" w:rsidP="0069322D">
      <w:pPr>
        <w:rPr>
          <w:sz w:val="20"/>
          <w:lang w:val="es-ES_tradnl"/>
        </w:rPr>
      </w:pPr>
      <w:r w:rsidRPr="006C718C">
        <w:rPr>
          <w:sz w:val="20"/>
          <w:lang w:val="es-ES_tradnl"/>
        </w:rPr>
        <w:t>Las Conferencias Mundiales y Regionales de Radiocomunicaciones y las Asambleas de Radiocomunicaciones, c</w:t>
      </w:r>
      <w:r>
        <w:rPr>
          <w:sz w:val="20"/>
          <w:lang w:val="es-ES_tradnl"/>
        </w:rPr>
        <w:t>on la colaboración de las Comisiones de Estudio, cumplen las funciones reglamentarias y políticas del Sector de Radiocomunicaciones.</w:t>
      </w:r>
    </w:p>
    <w:p w14:paraId="089522EF" w14:textId="77777777" w:rsidR="0069322D" w:rsidRPr="00021E8A" w:rsidRDefault="0069322D" w:rsidP="0069322D">
      <w:pPr>
        <w:pStyle w:val="Heading1"/>
        <w:spacing w:before="340"/>
        <w:jc w:val="center"/>
        <w:rPr>
          <w:szCs w:val="24"/>
          <w:lang w:val="es-ES_tradnl"/>
        </w:rPr>
      </w:pPr>
      <w:r w:rsidRPr="007C36CA">
        <w:rPr>
          <w:lang w:val="es-ES_tradnl"/>
        </w:rPr>
        <w:t>Política sobre Derechos de Propiedad Intelectual</w:t>
      </w:r>
      <w:r w:rsidRPr="00021E8A">
        <w:rPr>
          <w:szCs w:val="24"/>
          <w:lang w:val="es-ES_tradnl"/>
        </w:rPr>
        <w:t xml:space="preserve"> (IPR)</w:t>
      </w:r>
    </w:p>
    <w:p w14:paraId="5C69DBD3" w14:textId="77777777" w:rsidR="0069322D" w:rsidRPr="00021E8A" w:rsidRDefault="0069322D" w:rsidP="0069322D">
      <w:pPr>
        <w:spacing w:before="180"/>
        <w:rPr>
          <w:sz w:val="20"/>
          <w:lang w:val="es-ES_tradnl"/>
        </w:rPr>
      </w:pPr>
      <w:r w:rsidRPr="00021E8A">
        <w:rPr>
          <w:sz w:val="20"/>
          <w:lang w:val="es-ES_tradnl"/>
        </w:rPr>
        <w:t>La política del UIT</w:t>
      </w:r>
      <w:r w:rsidRPr="00021E8A">
        <w:rPr>
          <w:sz w:val="20"/>
          <w:lang w:val="es-ES_tradnl"/>
        </w:rPr>
        <w:noBreakHyphen/>
        <w:t>R sobre Derechos de Propiedad Intelectual se describe en la Política Común de Patentes UIT</w:t>
      </w:r>
      <w:r w:rsidRPr="00021E8A">
        <w:rPr>
          <w:sz w:val="20"/>
          <w:lang w:val="es-ES_tradnl"/>
        </w:rPr>
        <w:noBreakHyphen/>
        <w:t>T/UIT</w:t>
      </w:r>
      <w:r w:rsidRPr="00021E8A">
        <w:rPr>
          <w:sz w:val="20"/>
          <w:lang w:val="es-ES_tradnl"/>
        </w:rPr>
        <w:noBreakHyphen/>
        <w:t>R/ISO/CEI a la que se hace referencia en la Resolución UIT</w:t>
      </w:r>
      <w:r w:rsidRPr="00021E8A">
        <w:rPr>
          <w:sz w:val="20"/>
          <w:lang w:val="es-ES_tradnl"/>
        </w:rPr>
        <w:noBreakHyphen/>
        <w:t xml:space="preserve">R 1. Los formularios que deben utilizarse en la declaración sobre patentes y utilización de patentes por los titulares de las mismas figuran en la dirección web </w:t>
      </w:r>
      <w:hyperlink r:id="rId10" w:history="1">
        <w:r w:rsidRPr="00021E8A">
          <w:rPr>
            <w:rStyle w:val="Hyperlink"/>
            <w:sz w:val="20"/>
            <w:lang w:val="es-ES_tradnl"/>
          </w:rPr>
          <w:t>http://www.itu.int/ITU-R/go/patents/es</w:t>
        </w:r>
      </w:hyperlink>
      <w:r w:rsidRPr="00021E8A">
        <w:rPr>
          <w:sz w:val="20"/>
          <w:lang w:val="es-ES_tradnl"/>
        </w:rPr>
        <w:t>, donde también aparecen las Directrices para la implementación de la Política Común de Patentes UIT</w:t>
      </w:r>
      <w:r w:rsidRPr="00021E8A">
        <w:rPr>
          <w:sz w:val="20"/>
          <w:lang w:val="es-ES_tradnl"/>
        </w:rPr>
        <w:noBreakHyphen/>
        <w:t>T/UIT</w:t>
      </w:r>
      <w:r w:rsidRPr="00021E8A">
        <w:rPr>
          <w:sz w:val="20"/>
          <w:lang w:val="es-ES_tradnl"/>
        </w:rPr>
        <w:noBreakHyphen/>
        <w:t>R/ISO/CEI y la base de datos sobre información de patentes del UIT</w:t>
      </w:r>
      <w:r w:rsidRPr="00021E8A">
        <w:rPr>
          <w:sz w:val="20"/>
          <w:lang w:val="es-ES_tradnl"/>
        </w:rPr>
        <w:noBreakHyphen/>
        <w:t>R sobre este asunto.</w:t>
      </w:r>
    </w:p>
    <w:p w14:paraId="642325E9" w14:textId="77777777" w:rsidR="0069322D" w:rsidRPr="007C36CA" w:rsidRDefault="0069322D" w:rsidP="0069322D">
      <w:pPr>
        <w:spacing w:before="0"/>
        <w:jc w:val="center"/>
        <w:rPr>
          <w:sz w:val="22"/>
          <w:lang w:val="es-ES_tradnl"/>
        </w:rPr>
      </w:pPr>
    </w:p>
    <w:p w14:paraId="337249F1" w14:textId="77777777" w:rsidR="0069322D" w:rsidRPr="007C36CA" w:rsidRDefault="0069322D" w:rsidP="0069322D">
      <w:pPr>
        <w:spacing w:before="0"/>
        <w:jc w:val="center"/>
        <w:rPr>
          <w:sz w:val="22"/>
          <w:lang w:val="es-ES_tradnl"/>
        </w:rPr>
      </w:pPr>
    </w:p>
    <w:tbl>
      <w:tblPr>
        <w:tblW w:w="5000" w:type="pct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Look w:val="0000" w:firstRow="0" w:lastRow="0" w:firstColumn="0" w:lastColumn="0" w:noHBand="0" w:noVBand="0"/>
      </w:tblPr>
      <w:tblGrid>
        <w:gridCol w:w="1170"/>
        <w:gridCol w:w="8439"/>
      </w:tblGrid>
      <w:tr w:rsidR="0069322D" w:rsidRPr="00EC4D79" w14:paraId="7AC6AE60" w14:textId="77777777" w:rsidTr="0069322D">
        <w:tc>
          <w:tcPr>
            <w:tcW w:w="9360" w:type="dxa"/>
            <w:gridSpan w:val="2"/>
          </w:tcPr>
          <w:p w14:paraId="428B646A" w14:textId="77777777" w:rsidR="0069322D" w:rsidRPr="00021E8A" w:rsidRDefault="0069322D" w:rsidP="000B4BD9">
            <w:pPr>
              <w:pStyle w:val="Chaptitle"/>
              <w:keepLines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140"/>
              <w:textAlignment w:val="auto"/>
              <w:rPr>
                <w:sz w:val="22"/>
                <w:szCs w:val="22"/>
                <w:lang w:val="es-ES_tradnl"/>
              </w:rPr>
            </w:pPr>
            <w:r w:rsidRPr="00021E8A">
              <w:rPr>
                <w:sz w:val="22"/>
                <w:szCs w:val="22"/>
                <w:lang w:val="es-ES_tradnl"/>
              </w:rPr>
              <w:t xml:space="preserve">Series de las Recomendaciones UIT-R </w:t>
            </w:r>
          </w:p>
          <w:p w14:paraId="78980362" w14:textId="77777777" w:rsidR="0069322D" w:rsidRPr="00763D08" w:rsidRDefault="0069322D" w:rsidP="000B4BD9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120" w:after="60"/>
              <w:rPr>
                <w:bCs/>
                <w:sz w:val="18"/>
                <w:szCs w:val="18"/>
                <w:lang w:val="es-ES_tradnl"/>
              </w:rPr>
            </w:pPr>
            <w:r w:rsidRPr="00763D08">
              <w:rPr>
                <w:b w:val="0"/>
                <w:sz w:val="18"/>
                <w:szCs w:val="18"/>
                <w:lang w:val="es-ES_tradnl"/>
              </w:rPr>
              <w:t xml:space="preserve">(También disponible en línea en </w:t>
            </w:r>
            <w:hyperlink r:id="rId11" w:history="1">
              <w:r w:rsidR="00B96572">
                <w:rPr>
                  <w:rStyle w:val="Hyperlink"/>
                  <w:b w:val="0"/>
                  <w:bCs/>
                  <w:sz w:val="18"/>
                  <w:szCs w:val="18"/>
                  <w:lang w:val="es-ES_tradnl"/>
                </w:rPr>
                <w:t>https://www.itu.int/publ/R-REC/es</w:t>
              </w:r>
            </w:hyperlink>
            <w:r w:rsidRPr="00763D08">
              <w:rPr>
                <w:b w:val="0"/>
                <w:bCs/>
                <w:sz w:val="18"/>
                <w:szCs w:val="18"/>
                <w:lang w:val="es-ES_tradnl"/>
              </w:rPr>
              <w:t>)</w:t>
            </w:r>
          </w:p>
        </w:tc>
      </w:tr>
      <w:tr w:rsidR="0069322D" w:rsidRPr="00036EE3" w14:paraId="46453548" w14:textId="77777777" w:rsidTr="00B96572">
        <w:tc>
          <w:tcPr>
            <w:tcW w:w="1140" w:type="dxa"/>
            <w:tcBorders>
              <w:bottom w:val="nil"/>
            </w:tcBorders>
            <w:vAlign w:val="bottom"/>
          </w:tcPr>
          <w:p w14:paraId="331C88BE" w14:textId="77777777" w:rsidR="0069322D" w:rsidRPr="00036EE3" w:rsidRDefault="0069322D" w:rsidP="00B96572">
            <w:pPr>
              <w:spacing w:before="180" w:after="10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036EE3">
              <w:rPr>
                <w:b/>
                <w:bCs/>
                <w:sz w:val="20"/>
                <w:lang w:val="en-US"/>
              </w:rPr>
              <w:t>Series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14:paraId="68B6C234" w14:textId="77777777" w:rsidR="0069322D" w:rsidRPr="00036EE3" w:rsidRDefault="0069322D" w:rsidP="00B96572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120" w:after="10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Título</w:t>
            </w:r>
          </w:p>
        </w:tc>
      </w:tr>
      <w:tr w:rsidR="0069322D" w:rsidRPr="004532F7" w14:paraId="2E643A49" w14:textId="77777777" w:rsidTr="0069322D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6819F6AD" w14:textId="77777777" w:rsidR="0069322D" w:rsidRPr="004532F7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4532F7">
              <w:rPr>
                <w:b/>
                <w:bCs/>
                <w:sz w:val="20"/>
                <w:lang w:val="en-US"/>
              </w:rPr>
              <w:t>BO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47193DCA" w14:textId="77777777" w:rsidR="0069322D" w:rsidRPr="004532F7" w:rsidRDefault="0069322D" w:rsidP="000B4BD9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en-US"/>
              </w:rPr>
            </w:pPr>
            <w:r w:rsidRPr="004532F7">
              <w:rPr>
                <w:b w:val="0"/>
                <w:sz w:val="20"/>
              </w:rPr>
              <w:t>Distribución por satélite</w:t>
            </w:r>
          </w:p>
        </w:tc>
      </w:tr>
      <w:tr w:rsidR="0069322D" w:rsidRPr="00EC4D79" w14:paraId="6417E6FF" w14:textId="77777777" w:rsidTr="0069322D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561CDC6F" w14:textId="77777777" w:rsidR="0069322D" w:rsidRPr="006B22C3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6B22C3">
              <w:rPr>
                <w:b/>
                <w:bCs/>
                <w:sz w:val="20"/>
                <w:lang w:val="en-US"/>
              </w:rPr>
              <w:t>BR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2C4166F7" w14:textId="77777777" w:rsidR="0069322D" w:rsidRPr="006B22C3" w:rsidRDefault="0069322D" w:rsidP="000B4BD9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es-ES_tradnl"/>
              </w:rPr>
            </w:pPr>
            <w:r w:rsidRPr="006B22C3">
              <w:rPr>
                <w:b w:val="0"/>
                <w:sz w:val="20"/>
                <w:lang w:val="es-ES_tradnl"/>
              </w:rPr>
              <w:t>Registro para producción, archivo y reproducción; películas en televisión</w:t>
            </w:r>
          </w:p>
        </w:tc>
      </w:tr>
      <w:tr w:rsidR="0069322D" w:rsidRPr="00847DD5" w14:paraId="32D5C916" w14:textId="77777777" w:rsidTr="0069322D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0405B99B" w14:textId="77777777" w:rsidR="0069322D" w:rsidRPr="00847DD5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847DD5">
              <w:rPr>
                <w:b/>
                <w:bCs/>
                <w:sz w:val="20"/>
                <w:lang w:val="en-US"/>
              </w:rPr>
              <w:t>BS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6AAE112D" w14:textId="77777777" w:rsidR="0069322D" w:rsidRPr="00847DD5" w:rsidRDefault="0069322D" w:rsidP="000B4BD9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en-US"/>
              </w:rPr>
            </w:pPr>
            <w:r w:rsidRPr="00021E8A">
              <w:rPr>
                <w:b w:val="0"/>
                <w:bCs/>
                <w:sz w:val="20"/>
              </w:rPr>
              <w:t xml:space="preserve">Servicio de radiodifusión </w:t>
            </w:r>
            <w:r>
              <w:rPr>
                <w:b w:val="0"/>
                <w:bCs/>
                <w:sz w:val="20"/>
              </w:rPr>
              <w:t>(</w:t>
            </w:r>
            <w:r w:rsidRPr="00021E8A">
              <w:rPr>
                <w:b w:val="0"/>
                <w:bCs/>
                <w:sz w:val="20"/>
              </w:rPr>
              <w:t>sonora</w:t>
            </w:r>
            <w:r>
              <w:rPr>
                <w:b w:val="0"/>
                <w:bCs/>
                <w:sz w:val="20"/>
              </w:rPr>
              <w:t>)</w:t>
            </w:r>
          </w:p>
        </w:tc>
      </w:tr>
      <w:tr w:rsidR="0069322D" w:rsidRPr="00ED2695" w14:paraId="4877E015" w14:textId="77777777" w:rsidTr="008B56B2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4E900D62" w14:textId="77777777" w:rsidR="0069322D" w:rsidRPr="00ED2695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ED2695">
              <w:rPr>
                <w:b/>
                <w:bCs/>
                <w:sz w:val="20"/>
                <w:lang w:val="en-US"/>
              </w:rPr>
              <w:t>BT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075E51E1" w14:textId="77777777" w:rsidR="0069322D" w:rsidRPr="00021E8A" w:rsidRDefault="0069322D" w:rsidP="000B4BD9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bCs/>
                <w:sz w:val="20"/>
                <w:lang w:val="en-US"/>
              </w:rPr>
            </w:pPr>
            <w:r w:rsidRPr="00021E8A">
              <w:rPr>
                <w:b w:val="0"/>
                <w:bCs/>
                <w:sz w:val="20"/>
              </w:rPr>
              <w:t>Servicio de radiodifusión (televisión)</w:t>
            </w:r>
          </w:p>
        </w:tc>
      </w:tr>
      <w:tr w:rsidR="008B56B2" w:rsidRPr="008B56B2" w14:paraId="051151F8" w14:textId="77777777" w:rsidTr="00EC4D79">
        <w:tc>
          <w:tcPr>
            <w:tcW w:w="114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9DC5A13" w14:textId="77777777" w:rsidR="0069322D" w:rsidRPr="008B56B2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fr-CH"/>
              </w:rPr>
            </w:pPr>
            <w:r w:rsidRPr="008B56B2">
              <w:rPr>
                <w:b/>
                <w:bCs/>
                <w:sz w:val="20"/>
                <w:lang w:val="fr-CH"/>
              </w:rPr>
              <w:t>F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5785993" w14:textId="77777777" w:rsidR="0069322D" w:rsidRPr="008B56B2" w:rsidRDefault="0069322D" w:rsidP="000B4BD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rPr>
                <w:sz w:val="20"/>
                <w:lang w:val="fr-CH"/>
              </w:rPr>
            </w:pPr>
            <w:r w:rsidRPr="008B56B2">
              <w:rPr>
                <w:sz w:val="20"/>
              </w:rPr>
              <w:t>Servicio fijo</w:t>
            </w:r>
          </w:p>
        </w:tc>
      </w:tr>
      <w:tr w:rsidR="00EC4D79" w:rsidRPr="00EC4D79" w14:paraId="4349A5D6" w14:textId="77777777" w:rsidTr="00EC4D79">
        <w:tc>
          <w:tcPr>
            <w:tcW w:w="1140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4824A59" w14:textId="77777777" w:rsidR="0069322D" w:rsidRPr="00EC4D79" w:rsidRDefault="0069322D" w:rsidP="000B4BD9">
            <w:pPr>
              <w:spacing w:before="30" w:after="30"/>
              <w:ind w:left="57"/>
              <w:jc w:val="left"/>
              <w:rPr>
                <w:rFonts w:hAnsi="Times New Roman Bold"/>
                <w:b/>
                <w:bCs/>
                <w:color w:val="000080"/>
                <w:sz w:val="20"/>
                <w:lang w:val="en-US"/>
              </w:rPr>
            </w:pPr>
            <w:r w:rsidRPr="00EC4D79">
              <w:rPr>
                <w:rFonts w:hAnsi="Times New Roman Bold"/>
                <w:b/>
                <w:bCs/>
                <w:color w:val="000080"/>
                <w:sz w:val="20"/>
                <w:lang w:val="en-US"/>
              </w:rPr>
              <w:t>M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56AF51A" w14:textId="77777777" w:rsidR="0069322D" w:rsidRPr="00EC4D79" w:rsidRDefault="0069322D" w:rsidP="000B4BD9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rFonts w:hAnsi="Times New Roman Bold"/>
                <w:bCs/>
                <w:color w:val="000080"/>
                <w:sz w:val="20"/>
                <w:lang w:val="es-ES_tradnl"/>
              </w:rPr>
            </w:pPr>
            <w:r w:rsidRPr="00EC4D79">
              <w:rPr>
                <w:rFonts w:hAnsi="Times New Roman Bold"/>
                <w:bCs/>
                <w:color w:val="000080"/>
                <w:sz w:val="20"/>
                <w:lang w:val="es-ES_tradnl"/>
              </w:rPr>
              <w:t>Servicios m</w:t>
            </w:r>
            <w:r w:rsidRPr="00EC4D79">
              <w:rPr>
                <w:rFonts w:hAnsi="Times New Roman Bold"/>
                <w:bCs/>
                <w:color w:val="000080"/>
                <w:sz w:val="20"/>
                <w:lang w:val="es-ES_tradnl"/>
              </w:rPr>
              <w:t>ó</w:t>
            </w:r>
            <w:r w:rsidRPr="00EC4D79">
              <w:rPr>
                <w:rFonts w:hAnsi="Times New Roman Bold"/>
                <w:bCs/>
                <w:color w:val="000080"/>
                <w:sz w:val="20"/>
                <w:lang w:val="es-ES_tradnl"/>
              </w:rPr>
              <w:t>viles, de radiodeterminaci</w:t>
            </w:r>
            <w:r w:rsidRPr="00EC4D79">
              <w:rPr>
                <w:rFonts w:hAnsi="Times New Roman Bold"/>
                <w:bCs/>
                <w:color w:val="000080"/>
                <w:sz w:val="20"/>
                <w:lang w:val="es-ES_tradnl"/>
              </w:rPr>
              <w:t>ó</w:t>
            </w:r>
            <w:r w:rsidRPr="00EC4D79">
              <w:rPr>
                <w:rFonts w:hAnsi="Times New Roman Bold"/>
                <w:bCs/>
                <w:color w:val="000080"/>
                <w:sz w:val="20"/>
                <w:lang w:val="es-ES_tradnl"/>
              </w:rPr>
              <w:t>n, de aficionados y otros servicios por sat</w:t>
            </w:r>
            <w:r w:rsidRPr="00EC4D79">
              <w:rPr>
                <w:rFonts w:hAnsi="Times New Roman Bold"/>
                <w:bCs/>
                <w:color w:val="000080"/>
                <w:sz w:val="20"/>
                <w:lang w:val="es-ES_tradnl"/>
              </w:rPr>
              <w:t>é</w:t>
            </w:r>
            <w:r w:rsidRPr="00EC4D79">
              <w:rPr>
                <w:rFonts w:hAnsi="Times New Roman Bold"/>
                <w:bCs/>
                <w:color w:val="000080"/>
                <w:sz w:val="20"/>
                <w:lang w:val="es-ES_tradnl"/>
              </w:rPr>
              <w:t>lite conexos</w:t>
            </w:r>
          </w:p>
        </w:tc>
      </w:tr>
      <w:tr w:rsidR="0069322D" w:rsidRPr="00EC4D79" w14:paraId="20C76D74" w14:textId="77777777" w:rsidTr="0069322D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7B6BCFD7" w14:textId="77777777" w:rsidR="0069322D" w:rsidRPr="00F95576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fr-CH"/>
              </w:rPr>
            </w:pPr>
            <w:r w:rsidRPr="00F95576">
              <w:rPr>
                <w:b/>
                <w:bCs/>
                <w:sz w:val="20"/>
                <w:lang w:val="fr-CH"/>
              </w:rPr>
              <w:t>P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721167C9" w14:textId="77777777" w:rsidR="0069322D" w:rsidRPr="00F95576" w:rsidRDefault="0069322D" w:rsidP="000B4BD9">
            <w:pPr>
              <w:spacing w:before="30" w:after="30"/>
              <w:jc w:val="left"/>
              <w:rPr>
                <w:sz w:val="20"/>
                <w:lang w:val="es-ES_tradnl"/>
              </w:rPr>
            </w:pPr>
            <w:r w:rsidRPr="00F95576">
              <w:rPr>
                <w:sz w:val="20"/>
                <w:lang w:val="es-ES_tradnl"/>
              </w:rPr>
              <w:t>Propagación de las ondas radioeléctricas</w:t>
            </w:r>
          </w:p>
        </w:tc>
      </w:tr>
      <w:tr w:rsidR="0069322D" w:rsidRPr="00DE71F7" w14:paraId="72D892BD" w14:textId="77777777" w:rsidTr="0069322D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1DBEB01E" w14:textId="77777777" w:rsidR="0069322D" w:rsidRPr="00DE71F7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DE71F7">
              <w:rPr>
                <w:b/>
                <w:bCs/>
                <w:sz w:val="20"/>
                <w:lang w:val="en-US"/>
              </w:rPr>
              <w:t>RA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3777327C" w14:textId="77777777" w:rsidR="0069322D" w:rsidRPr="00DE71F7" w:rsidRDefault="0069322D" w:rsidP="000B4BD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rPr>
                <w:sz w:val="20"/>
                <w:lang w:val="en-US"/>
              </w:rPr>
            </w:pPr>
            <w:r w:rsidRPr="00DE71F7">
              <w:rPr>
                <w:sz w:val="20"/>
              </w:rPr>
              <w:t>Radioastronomía</w:t>
            </w:r>
          </w:p>
        </w:tc>
      </w:tr>
      <w:tr w:rsidR="0069322D" w:rsidRPr="00EC4D79" w14:paraId="6480DF7B" w14:textId="77777777" w:rsidTr="0069322D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798258BD" w14:textId="77777777" w:rsidR="0069322D" w:rsidRPr="00D12388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D12388">
              <w:rPr>
                <w:b/>
                <w:bCs/>
                <w:sz w:val="20"/>
                <w:lang w:val="en-US"/>
              </w:rPr>
              <w:t>RS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18934313" w14:textId="77777777" w:rsidR="0069322D" w:rsidRPr="00D12388" w:rsidRDefault="0069322D" w:rsidP="000B4BD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rPr>
                <w:sz w:val="20"/>
                <w:lang w:val="es-ES_tradnl"/>
              </w:rPr>
            </w:pPr>
            <w:r w:rsidRPr="00D12388">
              <w:rPr>
                <w:sz w:val="20"/>
                <w:lang w:val="es-ES_tradnl"/>
              </w:rPr>
              <w:t>Sistemas de detección a distancia</w:t>
            </w:r>
          </w:p>
        </w:tc>
      </w:tr>
      <w:tr w:rsidR="0069322D" w:rsidRPr="00025336" w14:paraId="47C829F3" w14:textId="77777777" w:rsidTr="00EC4D79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3F0A58A3" w14:textId="77777777" w:rsidR="0069322D" w:rsidRPr="00025336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025336">
              <w:rPr>
                <w:b/>
                <w:bCs/>
                <w:sz w:val="20"/>
                <w:lang w:val="en-US"/>
              </w:rPr>
              <w:t>S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0AF72EB9" w14:textId="77777777" w:rsidR="0069322D" w:rsidRPr="00025336" w:rsidRDefault="0069322D" w:rsidP="000B4BD9">
            <w:pPr>
              <w:spacing w:before="30" w:after="30"/>
              <w:jc w:val="left"/>
              <w:rPr>
                <w:sz w:val="20"/>
                <w:lang w:val="en-US"/>
              </w:rPr>
            </w:pPr>
            <w:r w:rsidRPr="00025336">
              <w:rPr>
                <w:sz w:val="20"/>
              </w:rPr>
              <w:t>Servicio fijo por satélite</w:t>
            </w:r>
          </w:p>
        </w:tc>
      </w:tr>
      <w:tr w:rsidR="00EC4D79" w:rsidRPr="00EC4D79" w14:paraId="225604B0" w14:textId="77777777" w:rsidTr="00EC4D79">
        <w:tc>
          <w:tcPr>
            <w:tcW w:w="114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4FE38B3" w14:textId="77777777" w:rsidR="0069322D" w:rsidRPr="00EC4D79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EC4D79">
              <w:rPr>
                <w:b/>
                <w:bCs/>
                <w:sz w:val="20"/>
                <w:lang w:val="en-US"/>
              </w:rPr>
              <w:t>SA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7D21AAD" w14:textId="77777777" w:rsidR="0069322D" w:rsidRPr="00EC4D79" w:rsidRDefault="0069322D" w:rsidP="000B4BD9">
            <w:pPr>
              <w:spacing w:before="30" w:after="30"/>
              <w:jc w:val="left"/>
              <w:rPr>
                <w:sz w:val="20"/>
                <w:lang w:val="en-US"/>
              </w:rPr>
            </w:pPr>
            <w:r w:rsidRPr="00EC4D79">
              <w:rPr>
                <w:sz w:val="20"/>
              </w:rPr>
              <w:t>Aplicaciones espaciales y meteorología</w:t>
            </w:r>
          </w:p>
        </w:tc>
      </w:tr>
      <w:tr w:rsidR="0069322D" w:rsidRPr="00EC4D79" w14:paraId="66546A51" w14:textId="77777777" w:rsidTr="0069322D">
        <w:tc>
          <w:tcPr>
            <w:tcW w:w="1140" w:type="dxa"/>
            <w:tcBorders>
              <w:top w:val="nil"/>
            </w:tcBorders>
          </w:tcPr>
          <w:p w14:paraId="58FEA35C" w14:textId="77777777" w:rsidR="0069322D" w:rsidRPr="00036EE3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036EE3">
              <w:rPr>
                <w:b/>
                <w:bCs/>
                <w:sz w:val="20"/>
                <w:lang w:val="en-US"/>
              </w:rPr>
              <w:t>SF</w:t>
            </w:r>
          </w:p>
        </w:tc>
        <w:tc>
          <w:tcPr>
            <w:tcW w:w="8220" w:type="dxa"/>
            <w:tcBorders>
              <w:top w:val="nil"/>
            </w:tcBorders>
          </w:tcPr>
          <w:p w14:paraId="3BCDEEF1" w14:textId="77777777" w:rsidR="0069322D" w:rsidRPr="00021E8A" w:rsidRDefault="0069322D" w:rsidP="000B4BD9">
            <w:pPr>
              <w:spacing w:before="30" w:after="30"/>
              <w:jc w:val="left"/>
              <w:rPr>
                <w:bCs/>
                <w:sz w:val="20"/>
                <w:lang w:val="es-ES_tradnl"/>
              </w:rPr>
            </w:pPr>
            <w:r w:rsidRPr="00021E8A">
              <w:rPr>
                <w:bCs/>
                <w:sz w:val="20"/>
                <w:lang w:val="es-ES_tradnl"/>
              </w:rPr>
              <w:t>Compartición de frecuencias y coordinación entre los sistemas del servicio fijo por satélite y del servicio fijo</w:t>
            </w:r>
          </w:p>
        </w:tc>
      </w:tr>
      <w:tr w:rsidR="0069322D" w:rsidRPr="00036EE3" w14:paraId="1D7CA63E" w14:textId="77777777" w:rsidTr="0069322D">
        <w:tc>
          <w:tcPr>
            <w:tcW w:w="1140" w:type="dxa"/>
            <w:shd w:val="clear" w:color="auto" w:fill="auto"/>
          </w:tcPr>
          <w:p w14:paraId="4F7F8C4D" w14:textId="77777777" w:rsidR="0069322D" w:rsidRPr="001240BC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1240BC">
              <w:rPr>
                <w:b/>
                <w:bCs/>
                <w:sz w:val="20"/>
                <w:lang w:val="en-US"/>
              </w:rPr>
              <w:t>SM</w:t>
            </w:r>
          </w:p>
        </w:tc>
        <w:tc>
          <w:tcPr>
            <w:tcW w:w="8220" w:type="dxa"/>
            <w:shd w:val="clear" w:color="auto" w:fill="auto"/>
          </w:tcPr>
          <w:p w14:paraId="6B364EDF" w14:textId="77777777" w:rsidR="0069322D" w:rsidRPr="001240BC" w:rsidRDefault="0069322D" w:rsidP="000B4BD9">
            <w:pPr>
              <w:spacing w:before="30" w:after="30"/>
              <w:jc w:val="left"/>
              <w:rPr>
                <w:sz w:val="20"/>
                <w:lang w:val="en-US"/>
              </w:rPr>
            </w:pPr>
            <w:r w:rsidRPr="001240BC">
              <w:rPr>
                <w:sz w:val="20"/>
              </w:rPr>
              <w:t>Gestión del espectro</w:t>
            </w:r>
          </w:p>
        </w:tc>
      </w:tr>
      <w:tr w:rsidR="0069322D" w:rsidRPr="00036EE3" w14:paraId="7FDA9A91" w14:textId="77777777" w:rsidTr="0069322D">
        <w:tc>
          <w:tcPr>
            <w:tcW w:w="1140" w:type="dxa"/>
          </w:tcPr>
          <w:p w14:paraId="52025B49" w14:textId="77777777" w:rsidR="0069322D" w:rsidRPr="00036EE3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036EE3">
              <w:rPr>
                <w:b/>
                <w:bCs/>
                <w:sz w:val="20"/>
                <w:lang w:val="en-US"/>
              </w:rPr>
              <w:t>SNG</w:t>
            </w:r>
          </w:p>
        </w:tc>
        <w:tc>
          <w:tcPr>
            <w:tcW w:w="8220" w:type="dxa"/>
          </w:tcPr>
          <w:p w14:paraId="3F74D34A" w14:textId="77777777" w:rsidR="0069322D" w:rsidRPr="00021E8A" w:rsidRDefault="0069322D" w:rsidP="000B4BD9">
            <w:pPr>
              <w:spacing w:before="30" w:after="30"/>
              <w:jc w:val="left"/>
              <w:rPr>
                <w:bCs/>
                <w:sz w:val="20"/>
                <w:lang w:val="en-US"/>
              </w:rPr>
            </w:pPr>
            <w:r w:rsidRPr="00021E8A">
              <w:rPr>
                <w:bCs/>
                <w:sz w:val="20"/>
              </w:rPr>
              <w:t>Periodismo electrónico por satélite</w:t>
            </w:r>
          </w:p>
        </w:tc>
      </w:tr>
      <w:tr w:rsidR="0069322D" w:rsidRPr="00EC4D79" w14:paraId="52C9A1EB" w14:textId="77777777" w:rsidTr="0069322D">
        <w:tc>
          <w:tcPr>
            <w:tcW w:w="1140" w:type="dxa"/>
          </w:tcPr>
          <w:p w14:paraId="0068A0F8" w14:textId="77777777" w:rsidR="0069322D" w:rsidRPr="00036EE3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036EE3">
              <w:rPr>
                <w:b/>
                <w:bCs/>
                <w:sz w:val="20"/>
                <w:lang w:val="en-US"/>
              </w:rPr>
              <w:t>TF</w:t>
            </w:r>
          </w:p>
        </w:tc>
        <w:tc>
          <w:tcPr>
            <w:tcW w:w="8220" w:type="dxa"/>
          </w:tcPr>
          <w:p w14:paraId="48F3F9F9" w14:textId="77777777" w:rsidR="0069322D" w:rsidRPr="00021E8A" w:rsidRDefault="0069322D" w:rsidP="000B4BD9">
            <w:pPr>
              <w:spacing w:before="30" w:after="30"/>
              <w:jc w:val="left"/>
              <w:rPr>
                <w:bCs/>
                <w:sz w:val="20"/>
                <w:lang w:val="es-ES_tradnl"/>
              </w:rPr>
            </w:pPr>
            <w:r w:rsidRPr="00021E8A">
              <w:rPr>
                <w:bCs/>
                <w:sz w:val="20"/>
                <w:lang w:val="es-ES_tradnl"/>
              </w:rPr>
              <w:t>Emisiones de frecuencias patrón y señales horarias</w:t>
            </w:r>
          </w:p>
        </w:tc>
      </w:tr>
      <w:tr w:rsidR="0069322D" w:rsidRPr="00036EE3" w14:paraId="7C731A2F" w14:textId="77777777" w:rsidTr="0069322D">
        <w:tc>
          <w:tcPr>
            <w:tcW w:w="1140" w:type="dxa"/>
          </w:tcPr>
          <w:p w14:paraId="1C55A225" w14:textId="77777777" w:rsidR="0069322D" w:rsidRPr="00036EE3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036EE3">
              <w:rPr>
                <w:b/>
                <w:bCs/>
                <w:sz w:val="20"/>
                <w:lang w:val="en-US"/>
              </w:rPr>
              <w:t>V</w:t>
            </w:r>
          </w:p>
        </w:tc>
        <w:tc>
          <w:tcPr>
            <w:tcW w:w="8220" w:type="dxa"/>
          </w:tcPr>
          <w:p w14:paraId="1C3A1CE4" w14:textId="77777777" w:rsidR="0069322D" w:rsidRPr="00021E8A" w:rsidRDefault="0069322D" w:rsidP="000B4BD9">
            <w:pPr>
              <w:spacing w:before="30" w:after="140"/>
              <w:jc w:val="left"/>
              <w:rPr>
                <w:bCs/>
                <w:sz w:val="20"/>
                <w:lang w:val="en-US"/>
              </w:rPr>
            </w:pPr>
            <w:r w:rsidRPr="00021E8A">
              <w:rPr>
                <w:bCs/>
                <w:sz w:val="20"/>
              </w:rPr>
              <w:t>Vocabulario y cuestiones afines</w:t>
            </w:r>
          </w:p>
        </w:tc>
      </w:tr>
    </w:tbl>
    <w:p w14:paraId="66C08897" w14:textId="77777777" w:rsidR="0069322D" w:rsidRPr="00036EE3" w:rsidRDefault="0069322D" w:rsidP="0069322D">
      <w:pPr>
        <w:spacing w:before="0" w:after="140"/>
        <w:jc w:val="center"/>
        <w:rPr>
          <w:sz w:val="20"/>
          <w:lang w:val="en-US"/>
        </w:rPr>
      </w:pPr>
    </w:p>
    <w:tbl>
      <w:tblPr>
        <w:tblpPr w:leftFromText="180" w:rightFromText="180" w:vertAnchor="text" w:tblpX="-5771" w:tblpY="-4031"/>
        <w:tblW w:w="0" w:type="auto"/>
        <w:tblLook w:val="0000" w:firstRow="0" w:lastRow="0" w:firstColumn="0" w:lastColumn="0" w:noHBand="0" w:noVBand="0"/>
      </w:tblPr>
      <w:tblGrid>
        <w:gridCol w:w="720"/>
      </w:tblGrid>
      <w:tr w:rsidR="0069322D" w14:paraId="05FB89DB" w14:textId="77777777" w:rsidTr="000B4BD9">
        <w:tc>
          <w:tcPr>
            <w:tcW w:w="720" w:type="dxa"/>
          </w:tcPr>
          <w:p w14:paraId="0344EB17" w14:textId="77777777" w:rsidR="0069322D" w:rsidRDefault="0069322D" w:rsidP="000B4BD9">
            <w:pPr>
              <w:spacing w:before="0"/>
              <w:jc w:val="center"/>
              <w:rPr>
                <w:sz w:val="22"/>
                <w:lang w:val="en-US"/>
              </w:rPr>
            </w:pPr>
          </w:p>
        </w:tc>
      </w:tr>
    </w:tbl>
    <w:tbl>
      <w:tblPr>
        <w:tblStyle w:val="TableGrid"/>
        <w:tblW w:w="5000" w:type="pct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09"/>
      </w:tblGrid>
      <w:tr w:rsidR="0069322D" w:rsidRPr="00EC4D79" w14:paraId="59B9E6C7" w14:textId="77777777" w:rsidTr="00B96572">
        <w:tc>
          <w:tcPr>
            <w:tcW w:w="9360" w:type="dxa"/>
          </w:tcPr>
          <w:p w14:paraId="1DE44864" w14:textId="77777777" w:rsidR="0069322D" w:rsidRPr="00F111D6" w:rsidRDefault="0069322D" w:rsidP="00B96572">
            <w:pPr>
              <w:spacing w:before="92" w:after="92"/>
              <w:rPr>
                <w:rFonts w:ascii="Times New Roman" w:hAnsi="Times New Roman" w:cs="Times New Roman"/>
                <w:i/>
                <w:iCs/>
                <w:sz w:val="20"/>
                <w:lang w:val="es-ES_tradnl"/>
              </w:rPr>
            </w:pPr>
            <w:r w:rsidRPr="00F111D6"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val="es-ES_tradnl"/>
              </w:rPr>
              <w:t>Nota</w:t>
            </w:r>
            <w:r w:rsidRPr="00F111D6">
              <w:rPr>
                <w:rFonts w:ascii="Times New Roman" w:hAnsi="Times New Roman" w:cs="Times New Roman"/>
                <w:i/>
                <w:iCs/>
                <w:sz w:val="20"/>
                <w:lang w:val="es-ES_tradnl"/>
              </w:rPr>
              <w:t>: Esta Recomendación UIT-R fue aprobada en inglés conforme al procedimiento detallado en la Resolución UIT</w:t>
            </w:r>
            <w:r w:rsidR="00B96572" w:rsidRPr="00F111D6">
              <w:rPr>
                <w:rFonts w:ascii="Times New Roman" w:hAnsi="Times New Roman" w:cs="Times New Roman"/>
                <w:i/>
                <w:iCs/>
                <w:sz w:val="20"/>
                <w:lang w:val="es-ES_tradnl"/>
              </w:rPr>
              <w:noBreakHyphen/>
            </w:r>
            <w:r w:rsidRPr="00F111D6">
              <w:rPr>
                <w:rFonts w:ascii="Times New Roman" w:hAnsi="Times New Roman" w:cs="Times New Roman"/>
                <w:i/>
                <w:iCs/>
                <w:sz w:val="20"/>
                <w:lang w:val="es-ES_tradnl"/>
              </w:rPr>
              <w:t>R</w:t>
            </w:r>
            <w:r w:rsidR="00B96572" w:rsidRPr="00F111D6">
              <w:rPr>
                <w:rFonts w:ascii="Times New Roman" w:hAnsi="Times New Roman" w:cs="Times New Roman"/>
                <w:i/>
                <w:iCs/>
                <w:sz w:val="20"/>
                <w:lang w:val="es-ES_tradnl"/>
              </w:rPr>
              <w:t> </w:t>
            </w:r>
            <w:r w:rsidRPr="00F111D6">
              <w:rPr>
                <w:rFonts w:ascii="Times New Roman" w:hAnsi="Times New Roman" w:cs="Times New Roman"/>
                <w:i/>
                <w:iCs/>
                <w:sz w:val="20"/>
                <w:lang w:val="es-ES_tradnl"/>
              </w:rPr>
              <w:t>1.</w:t>
            </w:r>
          </w:p>
        </w:tc>
      </w:tr>
    </w:tbl>
    <w:p w14:paraId="4BD755AB" w14:textId="77777777" w:rsidR="0069322D" w:rsidRPr="00763D08" w:rsidRDefault="0069322D" w:rsidP="0069322D">
      <w:pPr>
        <w:spacing w:before="0"/>
        <w:jc w:val="center"/>
        <w:rPr>
          <w:sz w:val="22"/>
          <w:lang w:val="es-ES_tradnl"/>
        </w:rPr>
      </w:pPr>
    </w:p>
    <w:p w14:paraId="1EFE5C89" w14:textId="77777777" w:rsidR="0069322D" w:rsidRPr="00763D08" w:rsidRDefault="0069322D" w:rsidP="0069322D">
      <w:pPr>
        <w:spacing w:before="60"/>
        <w:jc w:val="right"/>
        <w:rPr>
          <w:i/>
          <w:iCs/>
          <w:sz w:val="20"/>
          <w:lang w:val="es-ES_tradnl"/>
        </w:rPr>
      </w:pPr>
      <w:r w:rsidRPr="00763D08">
        <w:rPr>
          <w:i/>
          <w:iCs/>
          <w:sz w:val="20"/>
          <w:lang w:val="es-ES_tradnl"/>
        </w:rPr>
        <w:t>Publicación electrónica</w:t>
      </w:r>
    </w:p>
    <w:p w14:paraId="1F30BE53" w14:textId="77777777" w:rsidR="0069322D" w:rsidRPr="00763D08" w:rsidRDefault="0069322D" w:rsidP="0069322D">
      <w:pPr>
        <w:spacing w:before="0" w:after="40"/>
        <w:jc w:val="right"/>
        <w:rPr>
          <w:sz w:val="20"/>
          <w:lang w:val="es-ES_tradnl"/>
        </w:rPr>
      </w:pPr>
      <w:r w:rsidRPr="00763D08">
        <w:rPr>
          <w:sz w:val="20"/>
          <w:lang w:val="es-ES_tradnl"/>
        </w:rPr>
        <w:t>Ginebra, 20</w:t>
      </w:r>
      <w:r w:rsidR="00B96572">
        <w:rPr>
          <w:sz w:val="20"/>
          <w:lang w:val="es-ES_tradnl"/>
        </w:rPr>
        <w:t>23</w:t>
      </w:r>
    </w:p>
    <w:p w14:paraId="2C0245BA" w14:textId="77777777" w:rsidR="0069322D" w:rsidRPr="00763D08" w:rsidRDefault="0069322D" w:rsidP="0069322D">
      <w:pPr>
        <w:spacing w:before="0" w:after="120"/>
        <w:jc w:val="center"/>
        <w:rPr>
          <w:sz w:val="22"/>
          <w:lang w:val="es-ES_tradnl"/>
        </w:rPr>
      </w:pPr>
    </w:p>
    <w:p w14:paraId="6E39C6A9" w14:textId="77777777" w:rsidR="0069322D" w:rsidRPr="00763D08" w:rsidRDefault="0069322D" w:rsidP="0069322D">
      <w:pPr>
        <w:spacing w:before="0"/>
        <w:jc w:val="center"/>
        <w:rPr>
          <w:sz w:val="20"/>
          <w:lang w:val="es-ES_tradnl"/>
        </w:rPr>
      </w:pPr>
      <w:r w:rsidRPr="00470E28">
        <w:rPr>
          <w:sz w:val="20"/>
          <w:lang w:val="en-US"/>
        </w:rPr>
        <w:sym w:font="Symbol" w:char="F0E3"/>
      </w:r>
      <w:r w:rsidRPr="00763D08">
        <w:rPr>
          <w:sz w:val="20"/>
          <w:lang w:val="es-ES_tradnl"/>
        </w:rPr>
        <w:t xml:space="preserve"> UIT </w:t>
      </w:r>
      <w:bookmarkStart w:id="1" w:name="iiannee"/>
      <w:bookmarkEnd w:id="1"/>
      <w:r w:rsidRPr="00763D08">
        <w:rPr>
          <w:sz w:val="20"/>
          <w:lang w:val="es-ES_tradnl"/>
        </w:rPr>
        <w:t>20</w:t>
      </w:r>
      <w:r w:rsidR="00B96572">
        <w:rPr>
          <w:sz w:val="20"/>
          <w:lang w:val="es-ES_tradnl"/>
        </w:rPr>
        <w:t>23</w:t>
      </w:r>
    </w:p>
    <w:p w14:paraId="39873649" w14:textId="77777777" w:rsidR="00D5024B" w:rsidRPr="00F111D6" w:rsidRDefault="0069322D" w:rsidP="0069322D">
      <w:pPr>
        <w:rPr>
          <w:sz w:val="18"/>
          <w:szCs w:val="18"/>
        </w:rPr>
      </w:pPr>
      <w:r w:rsidRPr="00763D08">
        <w:rPr>
          <w:sz w:val="18"/>
          <w:szCs w:val="18"/>
          <w:lang w:val="es-ES_tradnl"/>
        </w:rPr>
        <w:t xml:space="preserve">Reservados todos los derechos. </w:t>
      </w:r>
      <w:r w:rsidRPr="006C718C">
        <w:rPr>
          <w:sz w:val="18"/>
          <w:szCs w:val="18"/>
          <w:lang w:val="es-ES_tradnl"/>
        </w:rPr>
        <w:t>Ninguna parte de esta publicación puede reproducirse por ningún procedimiento sin previa autorizaci</w:t>
      </w:r>
      <w:r>
        <w:rPr>
          <w:sz w:val="18"/>
          <w:szCs w:val="18"/>
          <w:lang w:val="es-ES_tradnl"/>
        </w:rPr>
        <w:t>ón escrita por parte de la UIT</w:t>
      </w:r>
      <w:r w:rsidRPr="006C718C">
        <w:rPr>
          <w:sz w:val="18"/>
          <w:szCs w:val="18"/>
          <w:lang w:val="es-ES_tradnl"/>
        </w:rPr>
        <w:t>.</w:t>
      </w:r>
    </w:p>
    <w:p w14:paraId="133A4FC9" w14:textId="77777777" w:rsidR="007565CC" w:rsidRPr="00F111D6" w:rsidRDefault="007565CC" w:rsidP="00A971A1">
      <w:pPr>
        <w:spacing w:before="160"/>
        <w:rPr>
          <w:i/>
          <w:sz w:val="20"/>
        </w:rPr>
        <w:sectPr w:rsidR="007565CC" w:rsidRPr="00F111D6" w:rsidSect="002058CE">
          <w:headerReference w:type="even" r:id="rId12"/>
          <w:headerReference w:type="default" r:id="rId13"/>
          <w:pgSz w:w="11907" w:h="16834" w:code="9"/>
          <w:pgMar w:top="1418" w:right="1134" w:bottom="1134" w:left="1134" w:header="720" w:footer="482" w:gutter="0"/>
          <w:paperSrc w:first="15" w:other="15"/>
          <w:pgNumType w:fmt="lowerRoman" w:start="2"/>
          <w:cols w:space="720"/>
        </w:sectPr>
      </w:pPr>
    </w:p>
    <w:p w14:paraId="3F138D83" w14:textId="12792967" w:rsidR="00B874C6" w:rsidRPr="00F17CED" w:rsidRDefault="00F17CED" w:rsidP="00A936CB">
      <w:pPr>
        <w:pStyle w:val="RecNo"/>
        <w:spacing w:before="0"/>
      </w:pPr>
      <w:bookmarkStart w:id="2" w:name="irecnoe"/>
      <w:bookmarkEnd w:id="2"/>
      <w:r w:rsidRPr="00F17CED">
        <w:lastRenderedPageBreak/>
        <w:t>RECOMENDACIÓN</w:t>
      </w:r>
      <w:r w:rsidR="00B874C6" w:rsidRPr="00F17CED">
        <w:t xml:space="preserve">  </w:t>
      </w:r>
      <w:r w:rsidR="00A25EE2" w:rsidRPr="00F17CED">
        <w:rPr>
          <w:rStyle w:val="href"/>
        </w:rPr>
        <w:t>UI</w:t>
      </w:r>
      <w:r w:rsidR="00B874C6" w:rsidRPr="00F17CED">
        <w:rPr>
          <w:rStyle w:val="href"/>
        </w:rPr>
        <w:t xml:space="preserve">T-R  </w:t>
      </w:r>
      <w:r w:rsidR="00EC4D79">
        <w:rPr>
          <w:rStyle w:val="href"/>
        </w:rPr>
        <w:t>M</w:t>
      </w:r>
      <w:r w:rsidR="00B874C6" w:rsidRPr="00F17CED">
        <w:rPr>
          <w:rStyle w:val="href"/>
        </w:rPr>
        <w:t>.</w:t>
      </w:r>
      <w:r w:rsidR="002E206E">
        <w:rPr>
          <w:rStyle w:val="href"/>
        </w:rPr>
        <w:t>2164-0</w:t>
      </w:r>
      <w:r w:rsidR="002E206E" w:rsidRPr="002E206E">
        <w:rPr>
          <w:rStyle w:val="FootnoteReference"/>
          <w:lang w:val="es-ES_tradnl" w:eastAsia="zh-CN"/>
        </w:rPr>
        <w:footnoteReference w:customMarkFollows="1" w:id="1"/>
        <w:t>*</w:t>
      </w:r>
    </w:p>
    <w:p w14:paraId="75FE09D1" w14:textId="77777777" w:rsidR="00AD098C" w:rsidRPr="005D5C22" w:rsidRDefault="00AD098C" w:rsidP="00DE7ECC">
      <w:pPr>
        <w:pStyle w:val="Rectitle"/>
      </w:pPr>
      <w:r w:rsidRPr="005D5C22">
        <w:t>Orientación sobre medidas técnicas y operativas para la utilización de la</w:t>
      </w:r>
      <w:r w:rsidRPr="005D5C22">
        <w:br/>
        <w:t>banda de frecuencias 1 240-1 300 MHz por los servicios de aficionados y aficionados por satélite con el fin de proteger el servicio</w:t>
      </w:r>
      <w:r w:rsidRPr="005D5C22">
        <w:br/>
        <w:t>de radionavegación por satélite (espacio</w:t>
      </w:r>
      <w:r w:rsidRPr="005D5C22">
        <w:noBreakHyphen/>
        <w:t>Tierra)</w:t>
      </w:r>
    </w:p>
    <w:p w14:paraId="2DCB9F72" w14:textId="77777777" w:rsidR="00AD098C" w:rsidRPr="005D5C22" w:rsidRDefault="00AD098C" w:rsidP="00DE7ECC">
      <w:pPr>
        <w:pStyle w:val="Recdate"/>
      </w:pPr>
      <w:r w:rsidRPr="005D5C22">
        <w:t>(2023)</w:t>
      </w:r>
    </w:p>
    <w:p w14:paraId="77B0B074" w14:textId="77777777" w:rsidR="00AD098C" w:rsidRPr="00AD098C" w:rsidRDefault="00AD098C" w:rsidP="00AD098C">
      <w:pPr>
        <w:pStyle w:val="HeadingSum"/>
      </w:pPr>
      <w:r w:rsidRPr="00AD098C">
        <w:t>Alcance</w:t>
      </w:r>
    </w:p>
    <w:p w14:paraId="506E3C63" w14:textId="3F9646D6" w:rsidR="00AD098C" w:rsidRPr="00AD098C" w:rsidRDefault="00AD098C" w:rsidP="00AD098C">
      <w:pPr>
        <w:pStyle w:val="Summary"/>
      </w:pPr>
      <w:r w:rsidRPr="00AD098C">
        <w:t xml:space="preserve">Esta Recomendación proporciona orientación sobre las medidas técnicas y operativas para las administraciones que autorizan las estaciones que operan en los servicios de aficionados y aficionados por satélite para proteger el servicio de radionavegación por satélite </w:t>
      </w:r>
      <w:r w:rsidRPr="00AD098C">
        <w:rPr>
          <w:color w:val="000000"/>
        </w:rPr>
        <w:t>(espacio</w:t>
      </w:r>
      <w:r w:rsidRPr="00AD098C">
        <w:rPr>
          <w:color w:val="000000"/>
        </w:rPr>
        <w:noBreakHyphen/>
        <w:t xml:space="preserve">Tierra) </w:t>
      </w:r>
      <w:r w:rsidRPr="00AD098C">
        <w:t>en la banda de frecuencias 1 240-1 300 MHz. Las</w:t>
      </w:r>
      <w:r>
        <w:t> </w:t>
      </w:r>
      <w:r w:rsidRPr="00AD098C">
        <w:t>medidas pertinentes figuran en el Anexo a la presente Recomendación.</w:t>
      </w:r>
    </w:p>
    <w:p w14:paraId="300F91AF" w14:textId="77777777" w:rsidR="00AD098C" w:rsidRPr="005D5C22" w:rsidRDefault="00AD098C" w:rsidP="00231CF6">
      <w:pPr>
        <w:pStyle w:val="Headingb"/>
      </w:pPr>
      <w:r w:rsidRPr="005D5C22">
        <w:t>Palabras clave</w:t>
      </w:r>
    </w:p>
    <w:p w14:paraId="6054B9BE" w14:textId="77777777" w:rsidR="00AD098C" w:rsidRPr="005D5C22" w:rsidRDefault="00AD098C" w:rsidP="000328C5">
      <w:r w:rsidRPr="005D5C22">
        <w:t>Servicio de radionavegación por satélite (SRNS), servicio de aficionados, servicio de aficionados por satélite</w:t>
      </w:r>
    </w:p>
    <w:p w14:paraId="2D669FB1" w14:textId="77777777" w:rsidR="00AD098C" w:rsidRPr="005D5C22" w:rsidRDefault="00AD098C" w:rsidP="000838AC">
      <w:pPr>
        <w:pStyle w:val="Headingb"/>
      </w:pPr>
      <w:r w:rsidRPr="005D5C22">
        <w:t>Recomendaciones, Informes y Manuales relacionados de la UIT</w:t>
      </w:r>
    </w:p>
    <w:p w14:paraId="550911D5" w14:textId="64BCACF1" w:rsidR="00AD098C" w:rsidRPr="00AD098C" w:rsidRDefault="00AD098C" w:rsidP="00AD098C">
      <w:pPr>
        <w:pStyle w:val="Reftext"/>
      </w:pPr>
      <w:r w:rsidRPr="00AD098C">
        <w:t xml:space="preserve">Recomendación </w:t>
      </w:r>
      <w:hyperlink r:id="rId14" w:history="1">
        <w:r w:rsidRPr="00AD098C">
          <w:t>UIT-R M.1732</w:t>
        </w:r>
      </w:hyperlink>
      <w:r w:rsidRPr="00AD098C">
        <w:t xml:space="preserve"> – Características de los sistemas que funcionan en los servicios de aficionados y aficionados por satélite para su uso en estudios de compartición</w:t>
      </w:r>
    </w:p>
    <w:p w14:paraId="57FDEBA0" w14:textId="4F1FA7E5" w:rsidR="00AD098C" w:rsidRPr="00AD098C" w:rsidRDefault="00AD098C" w:rsidP="00AD098C">
      <w:pPr>
        <w:pStyle w:val="Reftext"/>
      </w:pPr>
      <w:r w:rsidRPr="00AD098C">
        <w:t xml:space="preserve">Recomendación </w:t>
      </w:r>
      <w:hyperlink r:id="rId15" w:history="1">
        <w:r w:rsidRPr="00AD098C">
          <w:t>UIT-R M.1787-4</w:t>
        </w:r>
      </w:hyperlink>
      <w:r w:rsidRPr="00AD098C">
        <w:t xml:space="preserve"> – Descripción de los sistemas y redes en el SRNS (espacio-Tierra y espacio</w:t>
      </w:r>
      <w:r>
        <w:noBreakHyphen/>
      </w:r>
      <w:r w:rsidRPr="00AD098C">
        <w:t>espacio) y características técnicas de las estaciones espaciales transmisoras que operan en las bandas 1 164-1 215 MHz, 1 215-1 300 MHz y 1 559-1 610 MHz</w:t>
      </w:r>
    </w:p>
    <w:p w14:paraId="43452B65" w14:textId="29E0AEB6" w:rsidR="00AD098C" w:rsidRPr="00AD098C" w:rsidRDefault="00AD098C" w:rsidP="00AD098C">
      <w:pPr>
        <w:pStyle w:val="Reftext"/>
      </w:pPr>
      <w:r w:rsidRPr="00AD098C">
        <w:t xml:space="preserve">Recomendación </w:t>
      </w:r>
      <w:hyperlink r:id="rId16" w:history="1">
        <w:r w:rsidRPr="00AD098C">
          <w:t>UIT-R M.1902</w:t>
        </w:r>
      </w:hyperlink>
      <w:r w:rsidRPr="00AD098C">
        <w:t xml:space="preserve"> – Características y criterios de protección para las estaciones terrenas receptoras en el servicio de radionavegación por satélite (espacio-Tierra) que operan en la banda 1 215-1 300 MHz</w:t>
      </w:r>
    </w:p>
    <w:p w14:paraId="4F9EAC77" w14:textId="1C4EA2DF" w:rsidR="00AD098C" w:rsidRPr="00AD098C" w:rsidRDefault="00AD098C" w:rsidP="00AD098C">
      <w:pPr>
        <w:pStyle w:val="Reftext"/>
      </w:pPr>
      <w:r w:rsidRPr="00AD098C">
        <w:t xml:space="preserve">Recomendación </w:t>
      </w:r>
      <w:hyperlink r:id="rId17" w:history="1">
        <w:r w:rsidRPr="00AD098C">
          <w:t>UIT-R M.2030</w:t>
        </w:r>
      </w:hyperlink>
      <w:r w:rsidRPr="00AD098C">
        <w:t xml:space="preserve"> – Método de evaluación para la interferencia pulsada de fuentes de radio relevantes que no estén en el SRNS hacia los sistemas y redes del SRNS que operan en las bandas de frecuencias 1 164-1 215 MHz, 1 215</w:t>
      </w:r>
      <w:r w:rsidRPr="00AD098C">
        <w:noBreakHyphen/>
        <w:t>1 300 MHz y 1 559-1 610 MHz</w:t>
      </w:r>
    </w:p>
    <w:p w14:paraId="154B24DA" w14:textId="2361B726" w:rsidR="00AD098C" w:rsidRPr="00AD098C" w:rsidRDefault="00AD098C" w:rsidP="00AD098C">
      <w:pPr>
        <w:pStyle w:val="Reftext"/>
      </w:pPr>
      <w:r w:rsidRPr="00AD098C">
        <w:t xml:space="preserve">Informe </w:t>
      </w:r>
      <w:hyperlink r:id="rId18" w:history="1">
        <w:r w:rsidRPr="00AD098C">
          <w:t>UIT-R M.2513-0</w:t>
        </w:r>
      </w:hyperlink>
      <w:r w:rsidRPr="00AD098C">
        <w:t xml:space="preserve"> – Estudios relativos a la protección del servicio primario SRNS (espacio</w:t>
      </w:r>
      <w:r w:rsidRPr="00AD098C">
        <w:noBreakHyphen/>
        <w:t>Tierra) por los servicios secundarios de aficionados y aficionados por satélite en la banda de frecuencias 1 240</w:t>
      </w:r>
      <w:r>
        <w:noBreakHyphen/>
      </w:r>
      <w:r w:rsidRPr="00AD098C">
        <w:t>1 300 MHz</w:t>
      </w:r>
    </w:p>
    <w:p w14:paraId="7ED18DF1" w14:textId="55F93981" w:rsidR="00AD098C" w:rsidRPr="00AD098C" w:rsidRDefault="00AD098C" w:rsidP="00AD098C">
      <w:pPr>
        <w:pStyle w:val="Reftext"/>
      </w:pPr>
      <w:r w:rsidRPr="00AD098C">
        <w:t xml:space="preserve">Informe </w:t>
      </w:r>
      <w:hyperlink r:id="rId19" w:history="1">
        <w:r w:rsidRPr="00AD098C">
          <w:t>UIT-R M.2532-0</w:t>
        </w:r>
      </w:hyperlink>
      <w:r w:rsidRPr="00AD098C">
        <w:t xml:space="preserve"> – Características y uso de los servicios de aficionados y aficionados por satélite en la banda de frecuencias 1 240-1 300 MHz</w:t>
      </w:r>
    </w:p>
    <w:p w14:paraId="483F5315" w14:textId="2E8BB4B3" w:rsidR="00AD098C" w:rsidRPr="00AD098C" w:rsidRDefault="00AD098C" w:rsidP="00AD098C">
      <w:pPr>
        <w:pStyle w:val="Reftext"/>
      </w:pPr>
      <w:r w:rsidRPr="00AD098C">
        <w:t xml:space="preserve">Informe </w:t>
      </w:r>
      <w:hyperlink r:id="rId20" w:history="1">
        <w:r w:rsidRPr="00AD098C">
          <w:t>UIT-R M.2458-0</w:t>
        </w:r>
      </w:hyperlink>
      <w:r w:rsidRPr="00AD098C">
        <w:t xml:space="preserve"> – Aplicaciones del SRNS en las bandas de frecuencias 1 164-1 215 MHz, 1 215</w:t>
      </w:r>
      <w:r>
        <w:noBreakHyphen/>
      </w:r>
      <w:r w:rsidRPr="00AD098C">
        <w:t>1 300 MHz y 1 559</w:t>
      </w:r>
      <w:r w:rsidRPr="00AD098C">
        <w:noBreakHyphen/>
        <w:t>1 610 MHz</w:t>
      </w:r>
    </w:p>
    <w:p w14:paraId="40632246" w14:textId="60867677" w:rsidR="00AD098C" w:rsidRPr="00AD098C" w:rsidRDefault="00AD098C" w:rsidP="00AD098C">
      <w:pPr>
        <w:pStyle w:val="Reftext"/>
      </w:pPr>
      <w:r w:rsidRPr="00AD098C">
        <w:t xml:space="preserve">Manual </w:t>
      </w:r>
      <w:hyperlink r:id="rId21" w:history="1">
        <w:r w:rsidRPr="00AD098C">
          <w:t>UIT-R 52</w:t>
        </w:r>
      </w:hyperlink>
      <w:r w:rsidRPr="00AD098C">
        <w:t xml:space="preserve"> – Servicios de aficionados y aficionados por satélite</w:t>
      </w:r>
    </w:p>
    <w:p w14:paraId="3626A282" w14:textId="77777777" w:rsidR="00AD098C" w:rsidRPr="005D5C22" w:rsidRDefault="00AD098C" w:rsidP="00AD098C">
      <w:pPr>
        <w:pStyle w:val="Normalaftertitle"/>
      </w:pPr>
      <w:r w:rsidRPr="005D5C22">
        <w:t>La Asamblea de Radiocomunicaciones de la UIT,</w:t>
      </w:r>
    </w:p>
    <w:p w14:paraId="03352F38" w14:textId="77777777" w:rsidR="00AD098C" w:rsidRPr="005D5C22" w:rsidRDefault="00AD098C" w:rsidP="00231CF6">
      <w:pPr>
        <w:pStyle w:val="Call"/>
      </w:pPr>
      <w:r w:rsidRPr="005D5C22">
        <w:t>considerando</w:t>
      </w:r>
    </w:p>
    <w:p w14:paraId="2A613097" w14:textId="77777777" w:rsidR="00AD098C" w:rsidRPr="005D5C22" w:rsidRDefault="00AD098C" w:rsidP="000328C5">
      <w:r w:rsidRPr="005D5C22">
        <w:rPr>
          <w:i/>
          <w:iCs/>
        </w:rPr>
        <w:t>a)</w:t>
      </w:r>
      <w:r w:rsidRPr="005D5C22">
        <w:tab/>
        <w:t>que la Unión Internacional de Radioaficionados (IARU) desarrolla, mantiene y publica planes detallados sobre bandas para el funcionamiento y desarrollo de los servicios de aficionados y aficionados por satélite en las tres Regiones;</w:t>
      </w:r>
    </w:p>
    <w:p w14:paraId="6D91E201" w14:textId="265C013A" w:rsidR="00AD098C" w:rsidRPr="00AD098C" w:rsidRDefault="00AD098C" w:rsidP="000328C5">
      <w:r w:rsidRPr="00AD098C">
        <w:rPr>
          <w:i/>
          <w:iCs/>
        </w:rPr>
        <w:lastRenderedPageBreak/>
        <w:t>b)</w:t>
      </w:r>
      <w:r w:rsidRPr="00AD098C">
        <w:rPr>
          <w:i/>
        </w:rPr>
        <w:tab/>
      </w:r>
      <w:r w:rsidRPr="00AD098C">
        <w:t xml:space="preserve">que el Informe </w:t>
      </w:r>
      <w:hyperlink r:id="rId22" w:history="1">
        <w:r w:rsidRPr="00AD098C">
          <w:t>UIT-R</w:t>
        </w:r>
        <w:r>
          <w:t> </w:t>
        </w:r>
        <w:r w:rsidRPr="00AD098C">
          <w:t>M.2532</w:t>
        </w:r>
      </w:hyperlink>
      <w:r w:rsidRPr="00AD098C">
        <w:t xml:space="preserve"> proporciona información sobre las aplicaciones y características operativas de la utilización de la banda </w:t>
      </w:r>
      <w:r w:rsidRPr="00AD098C">
        <w:rPr>
          <w:bCs/>
        </w:rPr>
        <w:t>1 240-1 300 MHz por los servicios de aficionados y aficionados por satélite;</w:t>
      </w:r>
    </w:p>
    <w:p w14:paraId="10982658" w14:textId="77777777" w:rsidR="00AD098C" w:rsidRPr="00AD098C" w:rsidRDefault="00AD098C" w:rsidP="000328C5">
      <w:r w:rsidRPr="00AD098C">
        <w:rPr>
          <w:i/>
          <w:iCs/>
        </w:rPr>
        <w:t>c)</w:t>
      </w:r>
      <w:r w:rsidRPr="00AD098C">
        <w:tab/>
      </w:r>
      <w:r w:rsidRPr="00AD098C">
        <w:rPr>
          <w:bCs/>
        </w:rPr>
        <w:t xml:space="preserve">que el Informe </w:t>
      </w:r>
      <w:hyperlink r:id="rId23" w:history="1">
        <w:r w:rsidRPr="00AD098C">
          <w:t>UIT-R M.2513</w:t>
        </w:r>
      </w:hyperlink>
      <w:r w:rsidRPr="00AD098C">
        <w:t xml:space="preserve"> proporciona estudios y mediciones sobre las transmisiones de los servicios de aficionados y aficionados por satélite y su potencial para causar interferencia perjudicial al servicio de radionavegación por satélite (SRNS) (espacio-Tierra) que, bajo ciertas condiciones, pueden exceder los criterios de protección dados en la Recomendación </w:t>
      </w:r>
      <w:hyperlink r:id="rId24" w:history="1">
        <w:r w:rsidRPr="00AD098C">
          <w:t>UIT-R M.1902</w:t>
        </w:r>
      </w:hyperlink>
      <w:r w:rsidRPr="00AD098C">
        <w:t>;</w:t>
      </w:r>
    </w:p>
    <w:p w14:paraId="3803B9B0" w14:textId="4B73CE6A" w:rsidR="00AD098C" w:rsidRPr="005D5C22" w:rsidRDefault="00AD098C" w:rsidP="000328C5">
      <w:r w:rsidRPr="00AD098C">
        <w:rPr>
          <w:i/>
          <w:iCs/>
        </w:rPr>
        <w:t>d)</w:t>
      </w:r>
      <w:r w:rsidRPr="00AD098C">
        <w:tab/>
        <w:t xml:space="preserve">que la Recomendación </w:t>
      </w:r>
      <w:hyperlink r:id="rId25" w:history="1">
        <w:r w:rsidRPr="00AD098C">
          <w:t>UIT-R</w:t>
        </w:r>
        <w:r>
          <w:t> </w:t>
        </w:r>
        <w:r w:rsidRPr="00AD098C">
          <w:t>M.1902</w:t>
        </w:r>
      </w:hyperlink>
      <w:r w:rsidRPr="00AD098C">
        <w:t xml:space="preserve"> proporciona las características y los criterios de </w:t>
      </w:r>
      <w:r w:rsidRPr="005D5C22">
        <w:t>protección para los receptores del SRNS (espacio-Tierra) que operan en la banda 1 215</w:t>
      </w:r>
      <w:r w:rsidRPr="005D5C22">
        <w:noBreakHyphen/>
        <w:t>1 300 MHz;</w:t>
      </w:r>
    </w:p>
    <w:p w14:paraId="01F765DD" w14:textId="77777777" w:rsidR="00AD098C" w:rsidRPr="005D5C22" w:rsidRDefault="00AD098C" w:rsidP="000328C5">
      <w:r w:rsidRPr="005D5C22">
        <w:rPr>
          <w:i/>
          <w:iCs/>
        </w:rPr>
        <w:t>e)</w:t>
      </w:r>
      <w:r w:rsidRPr="005D5C22">
        <w:tab/>
        <w:t>que los sistemas del SRNS que utilizan la banda de frecuencias 1 240-1 300 MHz ya sea están operativos o se volverán operativos en todo el mundo, con el objetivo de apoyar una amplia gama de nuevas aplicaciones de posicionamiento por satélite;</w:t>
      </w:r>
    </w:p>
    <w:p w14:paraId="0B0B895C" w14:textId="77777777" w:rsidR="00AD098C" w:rsidRPr="005D5C22" w:rsidRDefault="00AD098C" w:rsidP="000328C5">
      <w:r w:rsidRPr="005D5C22">
        <w:rPr>
          <w:i/>
          <w:iCs/>
        </w:rPr>
        <w:t>f)</w:t>
      </w:r>
      <w:r w:rsidRPr="005D5C22">
        <w:tab/>
        <w:t>que las administraciones que deseen aplicar la presente Recomendación pueden necesitar un periodo de transición para introducir los cambios necesarios en sus autorizaciones nacionales a los servicios de aficionados y aficionados por satélite;</w:t>
      </w:r>
    </w:p>
    <w:p w14:paraId="54A13922" w14:textId="77777777" w:rsidR="00AD098C" w:rsidRPr="005D5C22" w:rsidRDefault="00AD098C" w:rsidP="000328C5">
      <w:r w:rsidRPr="005D5C22">
        <w:rPr>
          <w:i/>
          <w:iCs/>
        </w:rPr>
        <w:t>g)</w:t>
      </w:r>
      <w:r w:rsidRPr="005D5C22">
        <w:tab/>
        <w:t xml:space="preserve">que, teniendo en cuenta los </w:t>
      </w:r>
      <w:r w:rsidRPr="005D5C22">
        <w:rPr>
          <w:i/>
          <w:iCs/>
        </w:rPr>
        <w:t>reconociendo</w:t>
      </w:r>
      <w:r w:rsidRPr="005D5C22">
        <w:t xml:space="preserve"> </w:t>
      </w:r>
      <w:r w:rsidRPr="005D5C22">
        <w:rPr>
          <w:i/>
          <w:iCs/>
        </w:rPr>
        <w:t>a)</w:t>
      </w:r>
      <w:r w:rsidRPr="005D5C22">
        <w:t xml:space="preserve">, </w:t>
      </w:r>
      <w:r w:rsidRPr="005D5C22">
        <w:rPr>
          <w:i/>
          <w:iCs/>
        </w:rPr>
        <w:t>b)</w:t>
      </w:r>
      <w:r w:rsidRPr="005D5C22">
        <w:t xml:space="preserve"> y </w:t>
      </w:r>
      <w:r w:rsidRPr="005D5C22">
        <w:rPr>
          <w:i/>
          <w:iCs/>
        </w:rPr>
        <w:t>c)</w:t>
      </w:r>
      <w:r w:rsidRPr="005D5C22">
        <w:t xml:space="preserve"> </w:t>
      </w:r>
      <w:r w:rsidRPr="005D5C22">
        <w:rPr>
          <w:i/>
          <w:iCs/>
        </w:rPr>
        <w:t>infra</w:t>
      </w:r>
      <w:r w:rsidRPr="005D5C22">
        <w:t>, algunas administraciones consideran que las buenas prácticas de gestión del espectro y las medidas técnicas y operativas existentes pueden ser suficientes para garantizar la protección del SRNS,</w:t>
      </w:r>
    </w:p>
    <w:p w14:paraId="4819AC5A" w14:textId="77777777" w:rsidR="00AD098C" w:rsidRPr="005D5C22" w:rsidRDefault="00AD098C" w:rsidP="00231CF6">
      <w:pPr>
        <w:pStyle w:val="Call"/>
      </w:pPr>
      <w:r w:rsidRPr="005D5C22">
        <w:t>reconociendo</w:t>
      </w:r>
    </w:p>
    <w:p w14:paraId="1BF5CF8A" w14:textId="77777777" w:rsidR="00AD098C" w:rsidRPr="005D5C22" w:rsidRDefault="00AD098C" w:rsidP="000328C5">
      <w:pPr>
        <w:rPr>
          <w:i/>
        </w:rPr>
      </w:pPr>
      <w:r w:rsidRPr="005D5C22">
        <w:rPr>
          <w:i/>
          <w:iCs/>
        </w:rPr>
        <w:t>a)</w:t>
      </w:r>
      <w:r w:rsidRPr="005D5C22">
        <w:tab/>
        <w:t>que la banda de frecuencias 1 240-1 300 MHz está atribuida al SRNS (espacio-Tierra) y (espacio-espacio) a título primario;</w:t>
      </w:r>
    </w:p>
    <w:p w14:paraId="4027A89D" w14:textId="77777777" w:rsidR="00AD098C" w:rsidRPr="005D5C22" w:rsidRDefault="00AD098C" w:rsidP="000328C5">
      <w:r w:rsidRPr="005D5C22">
        <w:rPr>
          <w:i/>
          <w:iCs/>
        </w:rPr>
        <w:t>b)</w:t>
      </w:r>
      <w:r w:rsidRPr="005D5C22">
        <w:tab/>
        <w:t>que la banda de frecuencias de 1 240-1 300 MHz también está atribuida a título secundario a los servicios de aficionados;</w:t>
      </w:r>
    </w:p>
    <w:p w14:paraId="4C7C73D0" w14:textId="77777777" w:rsidR="00AD098C" w:rsidRPr="005D5C22" w:rsidRDefault="00AD098C" w:rsidP="000328C5">
      <w:r w:rsidRPr="005D5C22">
        <w:rPr>
          <w:i/>
          <w:iCs/>
        </w:rPr>
        <w:t>c)</w:t>
      </w:r>
      <w:r w:rsidRPr="005D5C22">
        <w:tab/>
        <w:t>que el servicio de aficionados por satélite (Tierra-espacio) puede operar en la banda de frecuencias 1 260-1 270 MHz con arreglo a lo dispuesto en el número </w:t>
      </w:r>
      <w:r w:rsidRPr="005D5C22">
        <w:rPr>
          <w:b/>
          <w:bCs/>
        </w:rPr>
        <w:t>5.282</w:t>
      </w:r>
      <w:r w:rsidRPr="005D5C22">
        <w:t xml:space="preserve"> del RR;</w:t>
      </w:r>
    </w:p>
    <w:p w14:paraId="5D73D82A" w14:textId="77777777" w:rsidR="00AD098C" w:rsidRPr="005D5C22" w:rsidRDefault="00AD098C" w:rsidP="000328C5">
      <w:r w:rsidRPr="005D5C22">
        <w:rPr>
          <w:i/>
          <w:iCs/>
        </w:rPr>
        <w:t>d)</w:t>
      </w:r>
      <w:r w:rsidRPr="005D5C22">
        <w:tab/>
        <w:t>que la banda de frecuencias 1 240</w:t>
      </w:r>
      <w:r w:rsidRPr="005D5C22">
        <w:noBreakHyphen/>
        <w:t>1 300 MHz también está atribuida en todo el mundo al servicio de exploración de la Tierra por satélite (activo), al servicio de radiolocalización (se aplica el número </w:t>
      </w:r>
      <w:r w:rsidRPr="005D5C22">
        <w:rPr>
          <w:b/>
          <w:bCs/>
        </w:rPr>
        <w:t>5.329</w:t>
      </w:r>
      <w:r w:rsidRPr="005D5C22">
        <w:t xml:space="preserve"> del RR) y al servicio de investigación espacial (activo) a título primario;</w:t>
      </w:r>
    </w:p>
    <w:p w14:paraId="4038A8C9" w14:textId="77777777" w:rsidR="00AD098C" w:rsidRPr="005D5C22" w:rsidRDefault="00AD098C" w:rsidP="000328C5">
      <w:pPr>
        <w:rPr>
          <w:spacing w:val="-4"/>
        </w:rPr>
      </w:pPr>
      <w:r w:rsidRPr="005D5C22">
        <w:rPr>
          <w:i/>
          <w:iCs/>
        </w:rPr>
        <w:t>e)</w:t>
      </w:r>
      <w:r w:rsidRPr="005D5C22">
        <w:rPr>
          <w:i/>
          <w:iCs/>
        </w:rPr>
        <w:tab/>
      </w:r>
      <w:r w:rsidRPr="005D5C22">
        <w:t>que los servicios adicionales también están atribuidos a título primario en algunos países bajo los números </w:t>
      </w:r>
      <w:r w:rsidRPr="005D5C22">
        <w:rPr>
          <w:b/>
          <w:bCs/>
        </w:rPr>
        <w:t>5.330</w:t>
      </w:r>
      <w:r w:rsidRPr="005D5C22">
        <w:t xml:space="preserve"> (servicios fijos y móviles) y </w:t>
      </w:r>
      <w:r w:rsidRPr="005D5C22">
        <w:rPr>
          <w:b/>
          <w:bCs/>
        </w:rPr>
        <w:t>5.331</w:t>
      </w:r>
      <w:r w:rsidRPr="005D5C22">
        <w:t xml:space="preserve"> (servicio de radionavegación) del RR dentro de la banda de frecuencias 1 215-1 300 MHz;</w:t>
      </w:r>
    </w:p>
    <w:p w14:paraId="58B00594" w14:textId="77777777" w:rsidR="00AD098C" w:rsidRPr="005D5C22" w:rsidRDefault="00AD098C" w:rsidP="000328C5">
      <w:r w:rsidRPr="005D5C22">
        <w:rPr>
          <w:i/>
          <w:iCs/>
        </w:rPr>
        <w:t>f)</w:t>
      </w:r>
      <w:r w:rsidRPr="005D5C22">
        <w:tab/>
        <w:t>que los servicios de aficionados y aficionados por satélite desarrollan continuamente su uso de la banda de frecuencias 1 240-1 300 MHz de conformidad con los números </w:t>
      </w:r>
      <w:r w:rsidRPr="005D5C22">
        <w:rPr>
          <w:b/>
          <w:bCs/>
        </w:rPr>
        <w:t>1.56</w:t>
      </w:r>
      <w:r w:rsidRPr="005D5C22">
        <w:t xml:space="preserve"> y </w:t>
      </w:r>
      <w:r w:rsidRPr="005D5C22">
        <w:rPr>
          <w:b/>
          <w:bCs/>
        </w:rPr>
        <w:t>1.57</w:t>
      </w:r>
      <w:r w:rsidRPr="005D5C22">
        <w:t xml:space="preserve"> del RR;</w:t>
      </w:r>
    </w:p>
    <w:p w14:paraId="73D2E171" w14:textId="77777777" w:rsidR="00AD098C" w:rsidRPr="005D5C22" w:rsidRDefault="00AD098C" w:rsidP="000328C5">
      <w:r w:rsidRPr="005D5C22">
        <w:rPr>
          <w:i/>
          <w:iCs/>
        </w:rPr>
        <w:t>g)</w:t>
      </w:r>
      <w:r w:rsidRPr="005D5C22">
        <w:tab/>
        <w:t>que la potencia máxima de las estaciones de aficionados es fijada por las administraciones interesadas según lo estipulado en el número </w:t>
      </w:r>
      <w:r w:rsidRPr="005D5C22">
        <w:rPr>
          <w:b/>
          <w:bCs/>
        </w:rPr>
        <w:t>25.7</w:t>
      </w:r>
      <w:r w:rsidRPr="005D5C22">
        <w:t xml:space="preserve"> del RR;</w:t>
      </w:r>
    </w:p>
    <w:p w14:paraId="7C1FB4B7" w14:textId="77777777" w:rsidR="00AD098C" w:rsidRPr="005D5C22" w:rsidRDefault="00AD098C" w:rsidP="000328C5">
      <w:pPr>
        <w:rPr>
          <w:i/>
          <w:iCs/>
        </w:rPr>
      </w:pPr>
      <w:r w:rsidRPr="005D5C22">
        <w:rPr>
          <w:i/>
          <w:iCs/>
        </w:rPr>
        <w:t>h)</w:t>
      </w:r>
      <w:r w:rsidRPr="005D5C22">
        <w:tab/>
        <w:t>que las administraciones que conceden licencias a las estaciones de los servicios de aficionados y aficionados por satélite y que asignan las frecuencias pertinentes, son responsables de que dichas estaciones cumplan con las disposiciones pertinentes del RR, especialmente la protección de los servicios primarios en otras administraciones afectadas;</w:t>
      </w:r>
    </w:p>
    <w:p w14:paraId="6764DCAB" w14:textId="2400EEFC" w:rsidR="00AD098C" w:rsidRPr="005D5C22" w:rsidRDefault="00AD098C" w:rsidP="000328C5">
      <w:pPr>
        <w:rPr>
          <w:i/>
          <w:iCs/>
        </w:rPr>
      </w:pPr>
      <w:r w:rsidRPr="005D5C22">
        <w:rPr>
          <w:i/>
          <w:iCs/>
        </w:rPr>
        <w:t>i)</w:t>
      </w:r>
      <w:r w:rsidRPr="005D5C22">
        <w:rPr>
          <w:i/>
          <w:iCs/>
        </w:rPr>
        <w:tab/>
      </w:r>
      <w:r w:rsidRPr="005D5C22">
        <w:t>que en caso de interferencia perjudicial para los receptores del SRNS por los transmisores de aficionados y aficionados por satélite, las obligaciones y procedimientos de las administraciones para resolver dichos casos de interferencia perjudicial se estipulan en las disposiciones del Artículo </w:t>
      </w:r>
      <w:r w:rsidRPr="005D5C22">
        <w:rPr>
          <w:b/>
          <w:bCs/>
        </w:rPr>
        <w:t>15</w:t>
      </w:r>
      <w:r w:rsidRPr="005D5C22">
        <w:t xml:space="preserve"> de</w:t>
      </w:r>
      <w:r>
        <w:t>l </w:t>
      </w:r>
      <w:r w:rsidRPr="005D5C22">
        <w:t>RR,</w:t>
      </w:r>
    </w:p>
    <w:p w14:paraId="237286A2" w14:textId="77777777" w:rsidR="00AD098C" w:rsidRPr="005D5C22" w:rsidRDefault="00AD098C" w:rsidP="00231CF6">
      <w:pPr>
        <w:pStyle w:val="Call"/>
      </w:pPr>
      <w:r w:rsidRPr="005D5C22">
        <w:lastRenderedPageBreak/>
        <w:t>observando</w:t>
      </w:r>
    </w:p>
    <w:p w14:paraId="7BA3A7A6" w14:textId="77777777" w:rsidR="00AD098C" w:rsidRPr="005D5C22" w:rsidRDefault="00AD098C" w:rsidP="000328C5">
      <w:pPr>
        <w:rPr>
          <w:i/>
          <w:iCs/>
        </w:rPr>
      </w:pPr>
      <w:r w:rsidRPr="005D5C22">
        <w:t xml:space="preserve">que, teniendo en cuenta los </w:t>
      </w:r>
      <w:r w:rsidRPr="005D5C22">
        <w:rPr>
          <w:i/>
          <w:iCs/>
        </w:rPr>
        <w:t>reconociendo</w:t>
      </w:r>
      <w:r w:rsidRPr="005D5C22">
        <w:t xml:space="preserve"> </w:t>
      </w:r>
      <w:r w:rsidRPr="005D5C22">
        <w:rPr>
          <w:i/>
          <w:iCs/>
        </w:rPr>
        <w:t>a)</w:t>
      </w:r>
      <w:r w:rsidRPr="005D5C22">
        <w:t xml:space="preserve">, </w:t>
      </w:r>
      <w:r w:rsidRPr="005D5C22">
        <w:rPr>
          <w:i/>
          <w:iCs/>
        </w:rPr>
        <w:t>b)</w:t>
      </w:r>
      <w:r w:rsidRPr="005D5C22">
        <w:t xml:space="preserve">, </w:t>
      </w:r>
      <w:r w:rsidRPr="005D5C22">
        <w:rPr>
          <w:i/>
          <w:iCs/>
        </w:rPr>
        <w:t>c)</w:t>
      </w:r>
      <w:r w:rsidRPr="005D5C22">
        <w:t xml:space="preserve">, </w:t>
      </w:r>
      <w:r w:rsidRPr="005D5C22">
        <w:rPr>
          <w:i/>
          <w:iCs/>
        </w:rPr>
        <w:t>h)</w:t>
      </w:r>
      <w:r w:rsidRPr="005D5C22">
        <w:t xml:space="preserve"> e </w:t>
      </w:r>
      <w:r w:rsidRPr="005D5C22">
        <w:rPr>
          <w:i/>
          <w:iCs/>
        </w:rPr>
        <w:t>i)</w:t>
      </w:r>
      <w:r w:rsidRPr="005D5C22">
        <w:t xml:space="preserve"> </w:t>
      </w:r>
      <w:r w:rsidRPr="005D5C22">
        <w:rPr>
          <w:i/>
          <w:iCs/>
        </w:rPr>
        <w:t>supra</w:t>
      </w:r>
      <w:r w:rsidRPr="005D5C22">
        <w:t>, algunas administraciones consideran que pueden necesitarse medidas adicionales a las del Anexo de la presente Recomendación para garantizar la protección del SRNS,</w:t>
      </w:r>
    </w:p>
    <w:p w14:paraId="5063915A" w14:textId="77777777" w:rsidR="00AD098C" w:rsidRPr="005D5C22" w:rsidRDefault="00AD098C" w:rsidP="00231CF6">
      <w:pPr>
        <w:pStyle w:val="Call"/>
      </w:pPr>
      <w:r w:rsidRPr="005D5C22">
        <w:t>recomienda</w:t>
      </w:r>
    </w:p>
    <w:p w14:paraId="16CC01E4" w14:textId="7B8F1C1A" w:rsidR="00AD098C" w:rsidRDefault="00AD098C" w:rsidP="000328C5">
      <w:r w:rsidRPr="005D5C22">
        <w:t>que las administraciones que deseen permitir o continuar la explotación de los servicios de aficionados y aficionados por satélite en todo su territorio, en la totalidad o en parte de la banda de frecuencias 1 240-1 300 MHz, podrían utilizar como orientación las medidas técnicas y operativas</w:t>
      </w:r>
      <w:r w:rsidRPr="005D5C22">
        <w:rPr>
          <w:sz w:val="22"/>
          <w:szCs w:val="18"/>
        </w:rPr>
        <w:t xml:space="preserve"> </w:t>
      </w:r>
      <w:r w:rsidRPr="005D5C22">
        <w:t>descritas en el Anexo con el fin de proteger el SRNS (espacio-Tierra).</w:t>
      </w:r>
    </w:p>
    <w:p w14:paraId="3C36097B" w14:textId="30F96DF4" w:rsidR="00AD098C" w:rsidRDefault="00AD098C" w:rsidP="000328C5"/>
    <w:p w14:paraId="6BFC086C" w14:textId="77777777" w:rsidR="00AD098C" w:rsidRPr="005D5C22" w:rsidRDefault="00AD098C" w:rsidP="000328C5"/>
    <w:p w14:paraId="384870D1" w14:textId="70417BA7" w:rsidR="00AD098C" w:rsidRPr="005D5C22" w:rsidRDefault="00AD098C" w:rsidP="00AD098C">
      <w:pPr>
        <w:pStyle w:val="AnnexNoTitle"/>
      </w:pPr>
      <w:r w:rsidRPr="005D5C22">
        <w:t>Anexo</w:t>
      </w:r>
      <w:r>
        <w:br/>
      </w:r>
      <w:r>
        <w:br/>
      </w:r>
      <w:r w:rsidRPr="005D5C22">
        <w:t xml:space="preserve">Orientación sobre las medidas técnicas y operativas para la utilización de la banda de frecuencias 1 240-1 300 MHz por el servicio de aficionados y aficionados por satélite con el fin de proteger el servicio de </w:t>
      </w:r>
      <w:r w:rsidRPr="005D5C22">
        <w:br/>
        <w:t>radionavegación por satélite (espacio-Tierra)</w:t>
      </w:r>
    </w:p>
    <w:p w14:paraId="4E1CCE6D" w14:textId="77777777" w:rsidR="00AD098C" w:rsidRPr="005D5C22" w:rsidRDefault="00AD098C" w:rsidP="00AD098C">
      <w:pPr>
        <w:pStyle w:val="Normalaftertitle"/>
        <w:rPr>
          <w:szCs w:val="24"/>
        </w:rPr>
      </w:pPr>
      <w:r w:rsidRPr="005D5C22">
        <w:t xml:space="preserve">Habida cuenta de los </w:t>
      </w:r>
      <w:r w:rsidRPr="005D5C22">
        <w:rPr>
          <w:i/>
          <w:iCs/>
        </w:rPr>
        <w:t xml:space="preserve">reconociendo b) </w:t>
      </w:r>
      <w:r w:rsidRPr="005D5C22">
        <w:t xml:space="preserve">y </w:t>
      </w:r>
      <w:r w:rsidRPr="005D5C22">
        <w:rPr>
          <w:i/>
          <w:iCs/>
        </w:rPr>
        <w:t>c)</w:t>
      </w:r>
      <w:r w:rsidRPr="005D5C22">
        <w:t xml:space="preserve">, este Anexo proporciona medidas técnicas y operativas para que sean utilizadas como guía por las administraciones que deseen permitir o continuar la explotación de los servicios de aficionados y aficionados por satélite en todo su territorio, en la totalidad o en parte de la banda de frecuencias 1 240-1 300 MHz, con el fin de proteger el SRNS, </w:t>
      </w:r>
      <w:r w:rsidRPr="005D5C22">
        <w:rPr>
          <w:szCs w:val="24"/>
        </w:rPr>
        <w:t>al tiempo que reconoce que las administraciones pueden implementar otras medidas en función de sus circunstancias nacionales.</w:t>
      </w:r>
    </w:p>
    <w:p w14:paraId="422816E5" w14:textId="4058C94F" w:rsidR="00AD098C" w:rsidRPr="005D5C22" w:rsidRDefault="00AD098C" w:rsidP="009C6F1F">
      <w:pPr>
        <w:pStyle w:val="enumlev1"/>
      </w:pPr>
      <w:r w:rsidRPr="005D5C22">
        <w:t>1)</w:t>
      </w:r>
      <w:r w:rsidRPr="005D5C22">
        <w:tab/>
        <w:t xml:space="preserve">Para aplicaciones de banda estrecha (ancho de banda </w:t>
      </w:r>
      <w:r w:rsidRPr="00E56005">
        <w:t>≤</w:t>
      </w:r>
      <w:r w:rsidRPr="005D5C22">
        <w:t xml:space="preserve"> 150 kHz) del servicio de aficionados:</w:t>
      </w:r>
    </w:p>
    <w:p w14:paraId="17032D3B" w14:textId="77777777" w:rsidR="00AD098C" w:rsidRPr="005D5C22" w:rsidRDefault="00AD098C" w:rsidP="00930BA3">
      <w:pPr>
        <w:pStyle w:val="enumlev2"/>
        <w:rPr>
          <w:rFonts w:eastAsia="Batang"/>
          <w:i/>
          <w:iCs/>
        </w:rPr>
      </w:pPr>
      <w:r w:rsidRPr="005D5C22">
        <w:rPr>
          <w:rFonts w:eastAsia="Batang"/>
        </w:rPr>
        <w:t>a)</w:t>
      </w:r>
      <w:r w:rsidRPr="005D5C22">
        <w:rPr>
          <w:rFonts w:eastAsia="Batang"/>
        </w:rPr>
        <w:tab/>
        <w:t>1 240-1 255,76 MHz:</w:t>
      </w:r>
    </w:p>
    <w:p w14:paraId="6FEAE255" w14:textId="78430B4D" w:rsidR="00AD098C" w:rsidRPr="005D5C22" w:rsidRDefault="00AD098C" w:rsidP="00231CF6">
      <w:pPr>
        <w:pStyle w:val="enumlev2"/>
        <w:rPr>
          <w:rFonts w:eastAsia="MS Mincho"/>
        </w:rPr>
      </w:pPr>
      <w:r>
        <w:tab/>
      </w:r>
      <w:r w:rsidRPr="005D5C22">
        <w:t>Valores máximos de p.i.r.e.</w:t>
      </w:r>
      <w:r w:rsidRPr="005D5C22">
        <w:rPr>
          <w:rFonts w:eastAsia="Batang"/>
          <w:position w:val="6"/>
          <w:sz w:val="18"/>
          <w:lang w:bidi="ru-RU"/>
        </w:rPr>
        <w:footnoteReference w:customMarkFollows="1" w:id="2"/>
        <w:t>2</w:t>
      </w:r>
      <w:r w:rsidRPr="005D5C22">
        <w:rPr>
          <w:rFonts w:eastAsia="MS Mincho"/>
        </w:rPr>
        <w:t>:</w:t>
      </w:r>
    </w:p>
    <w:p w14:paraId="0BC2D47F" w14:textId="5D253885" w:rsidR="00AD098C" w:rsidRPr="00E56005" w:rsidRDefault="00AD098C" w:rsidP="00AD098C">
      <w:pPr>
        <w:pStyle w:val="enumlev2"/>
        <w:tabs>
          <w:tab w:val="left" w:pos="5954"/>
          <w:tab w:val="right" w:pos="6999"/>
          <w:tab w:val="left" w:pos="7088"/>
        </w:tabs>
        <w:rPr>
          <w:i/>
          <w:iCs/>
          <w:spacing w:val="-4"/>
        </w:rPr>
      </w:pPr>
      <w:r w:rsidRPr="00E56005">
        <w:rPr>
          <w:rFonts w:eastAsia="Batang"/>
          <w:lang w:bidi="ru-RU"/>
        </w:rPr>
        <w:tab/>
        <w:t>−39</w:t>
      </w:r>
      <w:r>
        <w:rPr>
          <w:rFonts w:eastAsia="Batang"/>
          <w:lang w:bidi="ru-RU"/>
        </w:rPr>
        <w:t>,</w:t>
      </w:r>
      <w:r w:rsidRPr="00E56005">
        <w:rPr>
          <w:rFonts w:eastAsia="Batang"/>
          <w:lang w:bidi="ru-RU"/>
        </w:rPr>
        <w:t xml:space="preserve">0 dBW </w:t>
      </w:r>
      <w:r>
        <w:rPr>
          <w:rFonts w:eastAsia="Batang"/>
          <w:lang w:bidi="ru-RU"/>
        </w:rPr>
        <w:t>e</w:t>
      </w:r>
      <w:r w:rsidRPr="00E56005">
        <w:rPr>
          <w:rFonts w:eastAsia="Batang"/>
          <w:lang w:bidi="ru-RU"/>
        </w:rPr>
        <w:t>n (150 kHz)</w:t>
      </w:r>
      <w:r w:rsidRPr="00E56005">
        <w:rPr>
          <w:rFonts w:eastAsia="Batang"/>
          <w:lang w:bidi="ru-RU"/>
        </w:rPr>
        <w:tab/>
      </w:r>
      <w:r w:rsidRPr="005D5C22">
        <w:rPr>
          <w:rFonts w:eastAsia="Batang"/>
          <w:lang w:bidi="ru-RU"/>
        </w:rPr>
        <w:t>para</w:t>
      </w:r>
      <w:r w:rsidRPr="00E56005">
        <w:rPr>
          <w:rFonts w:eastAsia="Batang"/>
          <w:lang w:bidi="ru-RU"/>
        </w:rPr>
        <w:tab/>
        <w:t>−90</w:t>
      </w:r>
      <w:r w:rsidRPr="00E56005">
        <w:rPr>
          <w:rFonts w:eastAsia="Batang"/>
          <w:lang w:bidi="ru-RU"/>
        </w:rPr>
        <w:sym w:font="Symbol" w:char="F0B0"/>
      </w:r>
      <w:r w:rsidRPr="00E56005">
        <w:rPr>
          <w:rFonts w:eastAsia="Batang"/>
        </w:rPr>
        <w:t xml:space="preserve"> </w:t>
      </w:r>
      <w:r w:rsidRPr="00E56005">
        <w:rPr>
          <w:rFonts w:eastAsia="Batang"/>
        </w:rPr>
        <w:tab/>
      </w:r>
      <w:r w:rsidRPr="00E56005">
        <w:rPr>
          <w:rFonts w:eastAsia="Batang"/>
          <w:lang w:bidi="ru-RU"/>
        </w:rPr>
        <w:sym w:font="Symbol" w:char="F0A3"/>
      </w:r>
      <w:r w:rsidRPr="00E56005">
        <w:rPr>
          <w:rFonts w:eastAsia="Batang"/>
          <w:lang w:bidi="ru-RU"/>
        </w:rPr>
        <w:t xml:space="preserve"> </w:t>
      </w:r>
      <w:r w:rsidRPr="00E56005">
        <w:rPr>
          <w:rFonts w:eastAsia="Batang"/>
          <w:lang w:bidi="ru-RU"/>
        </w:rPr>
        <w:sym w:font="Symbol" w:char="F071"/>
      </w:r>
      <w:r w:rsidRPr="00E56005">
        <w:rPr>
          <w:rFonts w:eastAsia="Batang"/>
          <w:lang w:bidi="ru-RU"/>
        </w:rPr>
        <w:t xml:space="preserve"> &lt; 0°</w:t>
      </w:r>
    </w:p>
    <w:p w14:paraId="4C5EBAF7" w14:textId="52F1CA87" w:rsidR="00AD098C" w:rsidRPr="00E56005" w:rsidRDefault="00AD098C" w:rsidP="00AD098C">
      <w:pPr>
        <w:pStyle w:val="enumlev2"/>
        <w:tabs>
          <w:tab w:val="left" w:pos="5954"/>
          <w:tab w:val="right" w:pos="6999"/>
          <w:tab w:val="left" w:pos="7088"/>
        </w:tabs>
        <w:rPr>
          <w:rFonts w:eastAsia="Batang"/>
          <w:lang w:eastAsia="ko-KR"/>
        </w:rPr>
      </w:pPr>
      <w:r w:rsidRPr="00E56005">
        <w:rPr>
          <w:rFonts w:eastAsia="Batang"/>
          <w:lang w:bidi="ru-RU"/>
        </w:rPr>
        <w:tab/>
        <w:t>−39</w:t>
      </w:r>
      <w:r>
        <w:rPr>
          <w:rFonts w:eastAsia="Batang"/>
          <w:lang w:bidi="ru-RU"/>
        </w:rPr>
        <w:t>,</w:t>
      </w:r>
      <w:r w:rsidRPr="00E56005">
        <w:rPr>
          <w:rFonts w:eastAsia="Batang"/>
          <w:lang w:bidi="ru-RU"/>
        </w:rPr>
        <w:t xml:space="preserve">0 dBW </w:t>
      </w:r>
      <w:r>
        <w:rPr>
          <w:rFonts w:eastAsia="Batang"/>
          <w:lang w:bidi="ru-RU"/>
        </w:rPr>
        <w:t>e</w:t>
      </w:r>
      <w:r w:rsidRPr="00E56005">
        <w:rPr>
          <w:rFonts w:eastAsia="Batang"/>
          <w:lang w:bidi="ru-RU"/>
        </w:rPr>
        <w:t>n (150 kHz)</w:t>
      </w:r>
      <w:r w:rsidRPr="00E56005">
        <w:rPr>
          <w:rFonts w:eastAsia="Batang"/>
          <w:lang w:bidi="ru-RU"/>
        </w:rPr>
        <w:tab/>
      </w:r>
      <w:r w:rsidRPr="005D5C22">
        <w:rPr>
          <w:rFonts w:eastAsia="Batang"/>
          <w:lang w:bidi="ru-RU"/>
        </w:rPr>
        <w:t>para</w:t>
      </w:r>
      <w:r w:rsidRPr="00E56005">
        <w:rPr>
          <w:rFonts w:eastAsia="Batang"/>
          <w:lang w:bidi="ru-RU"/>
        </w:rPr>
        <w:tab/>
        <w:t>0</w:t>
      </w:r>
      <w:r w:rsidRPr="00E56005">
        <w:rPr>
          <w:rFonts w:eastAsia="Batang"/>
          <w:lang w:bidi="ru-RU"/>
        </w:rPr>
        <w:sym w:font="Symbol" w:char="F0B0"/>
      </w:r>
      <w:r w:rsidRPr="00E56005">
        <w:rPr>
          <w:rFonts w:eastAsia="Batang"/>
          <w:lang w:bidi="ru-RU"/>
        </w:rPr>
        <w:tab/>
      </w:r>
      <w:r w:rsidRPr="00E56005">
        <w:rPr>
          <w:rFonts w:eastAsia="Batang"/>
          <w:lang w:bidi="ru-RU"/>
        </w:rPr>
        <w:sym w:font="Symbol" w:char="F0A3"/>
      </w:r>
      <w:r w:rsidRPr="00E56005">
        <w:rPr>
          <w:rFonts w:eastAsia="Batang"/>
          <w:lang w:bidi="ru-RU"/>
        </w:rPr>
        <w:t xml:space="preserve"> </w:t>
      </w:r>
      <w:r w:rsidRPr="00E56005">
        <w:rPr>
          <w:rFonts w:eastAsia="Batang"/>
          <w:lang w:bidi="ru-RU"/>
        </w:rPr>
        <w:sym w:font="Symbol" w:char="F071"/>
      </w:r>
      <w:r w:rsidRPr="00E56005">
        <w:rPr>
          <w:rFonts w:eastAsia="Batang"/>
          <w:lang w:bidi="ru-RU"/>
        </w:rPr>
        <w:t xml:space="preserve"> &lt; 5°</w:t>
      </w:r>
    </w:p>
    <w:p w14:paraId="693783B9" w14:textId="424646DA" w:rsidR="00AD098C" w:rsidRPr="00E56005" w:rsidRDefault="00AD098C" w:rsidP="00AD098C">
      <w:pPr>
        <w:pStyle w:val="enumlev2"/>
        <w:tabs>
          <w:tab w:val="left" w:pos="5954"/>
          <w:tab w:val="right" w:pos="6999"/>
          <w:tab w:val="left" w:pos="7088"/>
        </w:tabs>
        <w:rPr>
          <w:rFonts w:eastAsia="Batang"/>
          <w:lang w:eastAsia="ko-KR"/>
        </w:rPr>
      </w:pPr>
      <w:r w:rsidRPr="00E56005">
        <w:rPr>
          <w:rFonts w:eastAsia="Batang"/>
          <w:lang w:bidi="ru-RU"/>
        </w:rPr>
        <w:tab/>
        <w:t>−39</w:t>
      </w:r>
      <w:r>
        <w:rPr>
          <w:rFonts w:eastAsia="Batang"/>
          <w:lang w:bidi="ru-RU"/>
        </w:rPr>
        <w:t>,</w:t>
      </w:r>
      <w:r w:rsidRPr="00E56005">
        <w:rPr>
          <w:rFonts w:eastAsia="Batang"/>
          <w:lang w:bidi="ru-RU"/>
        </w:rPr>
        <w:t>0 −1</w:t>
      </w:r>
      <w:r>
        <w:rPr>
          <w:rFonts w:eastAsia="Batang"/>
          <w:lang w:bidi="ru-RU"/>
        </w:rPr>
        <w:t>,</w:t>
      </w:r>
      <w:r w:rsidRPr="00E56005">
        <w:rPr>
          <w:rFonts w:eastAsia="Batang"/>
          <w:lang w:bidi="ru-RU"/>
        </w:rPr>
        <w:t>05 (</w:t>
      </w:r>
      <w:r w:rsidRPr="00E56005">
        <w:rPr>
          <w:rFonts w:eastAsia="Batang"/>
          <w:lang w:bidi="ru-RU"/>
        </w:rPr>
        <w:sym w:font="Symbol" w:char="F071"/>
      </w:r>
      <w:r w:rsidRPr="00E56005">
        <w:rPr>
          <w:rFonts w:eastAsia="Batang"/>
          <w:lang w:bidi="ru-RU"/>
        </w:rPr>
        <w:t xml:space="preserve"> – 5) dBW </w:t>
      </w:r>
      <w:r>
        <w:rPr>
          <w:rFonts w:eastAsia="Batang"/>
          <w:lang w:bidi="ru-RU"/>
        </w:rPr>
        <w:t>e</w:t>
      </w:r>
      <w:r w:rsidRPr="00E56005">
        <w:rPr>
          <w:rFonts w:eastAsia="Batang"/>
          <w:lang w:bidi="ru-RU"/>
        </w:rPr>
        <w:t>n (150 kHz)</w:t>
      </w:r>
      <w:r w:rsidRPr="00E56005">
        <w:rPr>
          <w:rFonts w:eastAsia="Batang"/>
          <w:lang w:bidi="ru-RU"/>
        </w:rPr>
        <w:tab/>
      </w:r>
      <w:r w:rsidRPr="005D5C22">
        <w:rPr>
          <w:rFonts w:eastAsia="Batang"/>
          <w:lang w:bidi="ru-RU"/>
        </w:rPr>
        <w:t>para</w:t>
      </w:r>
      <w:r w:rsidRPr="00E56005">
        <w:rPr>
          <w:rFonts w:eastAsia="Batang"/>
          <w:lang w:bidi="ru-RU"/>
        </w:rPr>
        <w:tab/>
        <w:t>5</w:t>
      </w:r>
      <w:r w:rsidRPr="00E56005">
        <w:rPr>
          <w:rFonts w:eastAsia="Batang"/>
          <w:lang w:bidi="ru-RU"/>
        </w:rPr>
        <w:sym w:font="Symbol" w:char="F0B0"/>
      </w:r>
      <w:r w:rsidRPr="00E56005">
        <w:rPr>
          <w:rFonts w:eastAsia="Batang"/>
          <w:lang w:bidi="ru-RU"/>
        </w:rPr>
        <w:tab/>
      </w:r>
      <w:r w:rsidRPr="00E56005">
        <w:rPr>
          <w:rFonts w:eastAsia="Batang"/>
          <w:lang w:bidi="ru-RU"/>
        </w:rPr>
        <w:sym w:font="Symbol" w:char="F0A3"/>
      </w:r>
      <w:r w:rsidRPr="00E56005">
        <w:rPr>
          <w:rFonts w:eastAsia="Batang"/>
          <w:lang w:bidi="ru-RU"/>
        </w:rPr>
        <w:t xml:space="preserve"> </w:t>
      </w:r>
      <w:r w:rsidRPr="00E56005">
        <w:rPr>
          <w:rFonts w:eastAsia="Batang"/>
          <w:lang w:bidi="ru-RU"/>
        </w:rPr>
        <w:sym w:font="Symbol" w:char="F071"/>
      </w:r>
      <w:r w:rsidRPr="00E56005">
        <w:rPr>
          <w:rFonts w:eastAsia="Batang"/>
          <w:lang w:bidi="ru-RU"/>
        </w:rPr>
        <w:t xml:space="preserve"> &lt; 25°</w:t>
      </w:r>
    </w:p>
    <w:p w14:paraId="11C542ED" w14:textId="143A68BD" w:rsidR="00AD098C" w:rsidRPr="00E56005" w:rsidRDefault="00AD098C" w:rsidP="00AD098C">
      <w:pPr>
        <w:pStyle w:val="enumlev2"/>
        <w:tabs>
          <w:tab w:val="left" w:pos="5954"/>
          <w:tab w:val="right" w:pos="6999"/>
          <w:tab w:val="left" w:pos="7088"/>
        </w:tabs>
        <w:rPr>
          <w:rFonts w:eastAsia="Batang"/>
          <w:lang w:bidi="ru-RU"/>
        </w:rPr>
      </w:pPr>
      <w:r w:rsidRPr="00E56005">
        <w:rPr>
          <w:rFonts w:eastAsia="Batang"/>
          <w:lang w:bidi="ru-RU"/>
        </w:rPr>
        <w:tab/>
        <w:t xml:space="preserve">−60 dBW </w:t>
      </w:r>
      <w:r>
        <w:rPr>
          <w:rFonts w:eastAsia="Batang"/>
          <w:lang w:bidi="ru-RU"/>
        </w:rPr>
        <w:t>e</w:t>
      </w:r>
      <w:r w:rsidRPr="00E56005">
        <w:rPr>
          <w:rFonts w:eastAsia="Batang"/>
          <w:lang w:bidi="ru-RU"/>
        </w:rPr>
        <w:t>n (150 kHz)</w:t>
      </w:r>
      <w:r w:rsidRPr="00E56005">
        <w:rPr>
          <w:rFonts w:eastAsia="Batang"/>
          <w:lang w:bidi="ru-RU"/>
        </w:rPr>
        <w:tab/>
      </w:r>
      <w:r w:rsidRPr="005D5C22">
        <w:rPr>
          <w:rFonts w:eastAsia="Batang"/>
          <w:lang w:bidi="ru-RU"/>
        </w:rPr>
        <w:t>para</w:t>
      </w:r>
      <w:r w:rsidRPr="00E56005">
        <w:rPr>
          <w:rFonts w:eastAsia="Batang"/>
          <w:lang w:bidi="ru-RU"/>
        </w:rPr>
        <w:tab/>
        <w:t>25°</w:t>
      </w:r>
      <w:r w:rsidRPr="00E56005">
        <w:rPr>
          <w:rFonts w:eastAsia="Batang"/>
          <w:lang w:bidi="ru-RU"/>
        </w:rPr>
        <w:tab/>
      </w:r>
      <w:r w:rsidRPr="00E56005">
        <w:rPr>
          <w:rFonts w:eastAsia="Batang"/>
          <w:lang w:bidi="ru-RU"/>
        </w:rPr>
        <w:sym w:font="Symbol" w:char="F0A3"/>
      </w:r>
      <w:r w:rsidRPr="00E56005">
        <w:rPr>
          <w:rFonts w:eastAsia="Batang"/>
          <w:lang w:bidi="ru-RU"/>
        </w:rPr>
        <w:t xml:space="preserve"> </w:t>
      </w:r>
      <w:r w:rsidRPr="00E56005">
        <w:rPr>
          <w:rFonts w:eastAsia="Batang"/>
          <w:lang w:bidi="ru-RU"/>
        </w:rPr>
        <w:sym w:font="Symbol" w:char="F071"/>
      </w:r>
      <w:r w:rsidRPr="00E56005">
        <w:rPr>
          <w:rFonts w:eastAsia="Batang"/>
          <w:lang w:bidi="ru-RU"/>
        </w:rPr>
        <w:t xml:space="preserve"> &lt; 90°,</w:t>
      </w:r>
    </w:p>
    <w:p w14:paraId="1D76E2E2" w14:textId="21819580" w:rsidR="00AD098C" w:rsidRPr="005D5C22" w:rsidRDefault="00290CDD" w:rsidP="00231CF6">
      <w:pPr>
        <w:pStyle w:val="enumlev2"/>
        <w:rPr>
          <w:rFonts w:eastAsia="Batang"/>
          <w:lang w:eastAsia="ko-KR"/>
        </w:rPr>
      </w:pPr>
      <w:r>
        <w:rPr>
          <w:rFonts w:eastAsia="Batang"/>
          <w:lang w:bidi="ru-RU"/>
        </w:rPr>
        <w:tab/>
      </w:r>
      <w:r w:rsidR="00AD098C" w:rsidRPr="005D5C22">
        <w:rPr>
          <w:rFonts w:eastAsia="Batang"/>
          <w:lang w:bidi="ru-RU"/>
        </w:rPr>
        <w:t xml:space="preserve">siendo </w:t>
      </w:r>
      <w:r w:rsidR="00AD098C" w:rsidRPr="005D5C22">
        <w:rPr>
          <w:rFonts w:eastAsia="Batang"/>
          <w:lang w:bidi="ru-RU"/>
        </w:rPr>
        <w:sym w:font="Symbol" w:char="F071"/>
      </w:r>
      <w:r w:rsidR="00AD098C" w:rsidRPr="00E56005">
        <w:rPr>
          <w:rFonts w:eastAsia="Batang"/>
          <w:lang w:bidi="ru-RU"/>
        </w:rPr>
        <w:t xml:space="preserve"> = </w:t>
      </w:r>
      <w:r w:rsidR="00AD098C" w:rsidRPr="005D5C22">
        <w:rPr>
          <w:rFonts w:eastAsia="Batang"/>
          <w:lang w:bidi="ru-RU"/>
        </w:rPr>
        <w:t>el ángulo de elevación de la antena de la estación de aficionados,</w:t>
      </w:r>
    </w:p>
    <w:p w14:paraId="74EAAE1F" w14:textId="298A05DE" w:rsidR="00AD098C" w:rsidRPr="005D5C22" w:rsidRDefault="00AD098C" w:rsidP="00911F53">
      <w:pPr>
        <w:pStyle w:val="enumlev2"/>
        <w:rPr>
          <w:rFonts w:eastAsia="SimSun"/>
          <w:highlight w:val="yellow"/>
          <w:lang w:eastAsia="zh-CN" w:bidi="ru-RU"/>
        </w:rPr>
      </w:pPr>
      <w:r w:rsidRPr="005D5C22">
        <w:rPr>
          <w:rFonts w:eastAsia="Batang"/>
          <w:lang w:bidi="ru-RU"/>
        </w:rPr>
        <w:t>b)</w:t>
      </w:r>
      <w:r w:rsidRPr="005D5C22">
        <w:rPr>
          <w:rFonts w:eastAsia="Batang"/>
          <w:lang w:bidi="ru-RU"/>
        </w:rPr>
        <w:tab/>
        <w:t>1 255,76-1 256,52 MHz:</w:t>
      </w:r>
      <w:r w:rsidRPr="005D5C22">
        <w:t xml:space="preserve"> </w:t>
      </w:r>
      <w:r w:rsidRPr="005D5C22">
        <w:rPr>
          <w:rFonts w:eastAsia="Batang"/>
          <w:lang w:bidi="ru-RU"/>
        </w:rPr>
        <w:t>Valor máximo de p.i.r.e.</w:t>
      </w:r>
      <w:r w:rsidRPr="005D5C22">
        <w:rPr>
          <w:rFonts w:eastAsia="Batang"/>
          <w:vertAlign w:val="superscript"/>
          <w:lang w:bidi="ru-RU"/>
        </w:rPr>
        <w:t>2</w:t>
      </w:r>
      <w:r w:rsidRPr="00AD098C">
        <w:rPr>
          <w:rFonts w:eastAsia="SimSun"/>
          <w:lang w:eastAsia="zh-CN" w:bidi="ru-RU"/>
        </w:rPr>
        <w:t xml:space="preserve"> </w:t>
      </w:r>
      <w:r w:rsidRPr="005D5C22">
        <w:rPr>
          <w:rFonts w:eastAsia="SimSun"/>
          <w:lang w:eastAsia="zh-CN" w:bidi="ru-RU"/>
        </w:rPr>
        <w:t>= 24 dBW,</w:t>
      </w:r>
    </w:p>
    <w:p w14:paraId="6A26DA0A" w14:textId="77777777" w:rsidR="00AD098C" w:rsidRPr="005D5C22" w:rsidRDefault="00AD098C" w:rsidP="00911F53">
      <w:pPr>
        <w:pStyle w:val="enumlev3"/>
        <w:rPr>
          <w:rFonts w:eastAsia="Batang"/>
          <w:lang w:eastAsia="ko-KR"/>
        </w:rPr>
      </w:pPr>
      <w:bookmarkStart w:id="3" w:name="_Hlk151026224"/>
      <w:r w:rsidRPr="005D5C22">
        <w:rPr>
          <w:rFonts w:eastAsia="SimSun"/>
          <w:lang w:eastAsia="zh-CN" w:bidi="ru-RU"/>
        </w:rPr>
        <w:tab/>
        <w:t>•</w:t>
      </w:r>
      <w:r w:rsidRPr="005D5C22">
        <w:rPr>
          <w:rFonts w:eastAsia="SimSun"/>
          <w:lang w:eastAsia="zh-CN" w:bidi="ru-RU"/>
        </w:rPr>
        <w:tab/>
        <w:t xml:space="preserve">las </w:t>
      </w:r>
      <w:r w:rsidRPr="005D5C22">
        <w:rPr>
          <w:rFonts w:eastAsia="Batang"/>
          <w:lang w:bidi="ru-RU"/>
        </w:rPr>
        <w:t>emisiones</w:t>
      </w:r>
      <w:r w:rsidRPr="005D5C22">
        <w:rPr>
          <w:rFonts w:eastAsia="SimSun"/>
          <w:lang w:eastAsia="zh-CN" w:bidi="ru-RU"/>
        </w:rPr>
        <w:t xml:space="preserve"> fuera de banda por debajo de 1 255,76 MHz</w:t>
      </w:r>
      <w:r w:rsidRPr="005D5C22">
        <w:t xml:space="preserve"> </w:t>
      </w:r>
      <w:r w:rsidRPr="005D5C22">
        <w:rPr>
          <w:rFonts w:eastAsia="SimSun"/>
          <w:lang w:eastAsia="zh-CN" w:bidi="ru-RU"/>
        </w:rPr>
        <w:t>deben ajustarse a lo dispuesto en el punto 1a) anterior.</w:t>
      </w:r>
      <w:bookmarkEnd w:id="3"/>
    </w:p>
    <w:p w14:paraId="6F87985B" w14:textId="77777777" w:rsidR="00AD098C" w:rsidRPr="005D5C22" w:rsidRDefault="00AD098C" w:rsidP="00264B9A">
      <w:pPr>
        <w:pStyle w:val="enumlev2"/>
        <w:rPr>
          <w:rFonts w:eastAsia="Batang"/>
          <w:lang w:bidi="ru-RU"/>
        </w:rPr>
      </w:pPr>
      <w:r w:rsidRPr="005D5C22">
        <w:rPr>
          <w:rFonts w:eastAsia="Batang"/>
          <w:lang w:bidi="ru-RU"/>
        </w:rPr>
        <w:t>c)</w:t>
      </w:r>
      <w:r w:rsidRPr="005D5C22">
        <w:rPr>
          <w:rFonts w:eastAsia="Batang"/>
          <w:lang w:bidi="ru-RU"/>
        </w:rPr>
        <w:tab/>
        <w:t>1 256,52-1 258 MHz: Valor máximo de p.i.r.e.</w:t>
      </w:r>
      <w:r w:rsidRPr="005D5C22">
        <w:rPr>
          <w:rFonts w:eastAsia="Batang"/>
          <w:vertAlign w:val="superscript"/>
          <w:lang w:bidi="ru-RU"/>
        </w:rPr>
        <w:t>2</w:t>
      </w:r>
      <w:r w:rsidRPr="005D5C22">
        <w:rPr>
          <w:rFonts w:eastAsia="Batang"/>
          <w:lang w:bidi="ru-RU"/>
        </w:rPr>
        <w:t> = 21 dBW</w:t>
      </w:r>
    </w:p>
    <w:p w14:paraId="3FECDC63" w14:textId="77777777" w:rsidR="00AD098C" w:rsidRPr="005D5C22" w:rsidRDefault="00AD098C" w:rsidP="00911F53">
      <w:pPr>
        <w:pStyle w:val="enumlev2"/>
        <w:rPr>
          <w:rFonts w:eastAsia="Batang"/>
          <w:lang w:bidi="ru-RU"/>
        </w:rPr>
      </w:pPr>
      <w:r w:rsidRPr="005D5C22">
        <w:rPr>
          <w:rFonts w:eastAsia="Batang"/>
          <w:lang w:bidi="ru-RU"/>
        </w:rPr>
        <w:t>d)</w:t>
      </w:r>
      <w:r w:rsidRPr="005D5C22">
        <w:rPr>
          <w:rFonts w:eastAsia="Batang"/>
          <w:lang w:bidi="ru-RU"/>
        </w:rPr>
        <w:tab/>
        <w:t>1 258-1 296 MHz: Valor máximo de p.i.r.e.</w:t>
      </w:r>
      <w:r w:rsidRPr="005D5C22">
        <w:rPr>
          <w:rStyle w:val="FootnoteReference"/>
          <w:rFonts w:eastAsia="Batang"/>
        </w:rPr>
        <w:t>2</w:t>
      </w:r>
      <w:r w:rsidRPr="005D5C22">
        <w:rPr>
          <w:rFonts w:eastAsia="Batang"/>
          <w:lang w:bidi="ru-RU"/>
        </w:rPr>
        <w:t> = −17 dBW</w:t>
      </w:r>
    </w:p>
    <w:p w14:paraId="7CCF8938" w14:textId="77777777" w:rsidR="00AD098C" w:rsidRPr="005D5C22" w:rsidRDefault="00AD098C" w:rsidP="00231CF6">
      <w:pPr>
        <w:pStyle w:val="enumlev2"/>
        <w:rPr>
          <w:rFonts w:eastAsia="Batang"/>
          <w:lang w:bidi="ru-RU"/>
        </w:rPr>
      </w:pPr>
      <w:r w:rsidRPr="005D5C22">
        <w:rPr>
          <w:rFonts w:eastAsia="Batang"/>
          <w:lang w:bidi="ru-RU"/>
        </w:rPr>
        <w:lastRenderedPageBreak/>
        <w:t>e)</w:t>
      </w:r>
      <w:r w:rsidRPr="005D5C22">
        <w:rPr>
          <w:rFonts w:eastAsia="Batang"/>
          <w:lang w:bidi="ru-RU"/>
        </w:rPr>
        <w:tab/>
        <w:t xml:space="preserve">1 296-1 298 MHz: </w:t>
      </w:r>
      <w:bookmarkStart w:id="4" w:name="_Ref146793410"/>
      <w:r w:rsidRPr="005D5C22">
        <w:t>Potencia máxima del transmisor</w:t>
      </w:r>
      <w:bookmarkEnd w:id="4"/>
      <w:r w:rsidRPr="005D5C22">
        <w:rPr>
          <w:rFonts w:eastAsia="Batang"/>
          <w:position w:val="6"/>
          <w:sz w:val="18"/>
          <w:lang w:bidi="ru-RU"/>
        </w:rPr>
        <w:footnoteReference w:customMarkFollows="1" w:id="3"/>
        <w:t>3</w:t>
      </w:r>
      <w:r w:rsidRPr="005D5C22">
        <w:rPr>
          <w:rFonts w:eastAsia="Batang"/>
          <w:lang w:bidi="ru-RU"/>
        </w:rPr>
        <w:t> = 17 dBW</w:t>
      </w:r>
    </w:p>
    <w:p w14:paraId="40D01F95" w14:textId="29994945" w:rsidR="00AD098C" w:rsidRPr="005D5C22" w:rsidRDefault="00AD098C" w:rsidP="00231CF6">
      <w:pPr>
        <w:pStyle w:val="enumlev2"/>
      </w:pPr>
      <w:r w:rsidRPr="005D5C22">
        <w:rPr>
          <w:rFonts w:eastAsia="Batang"/>
          <w:lang w:bidi="ru-RU"/>
        </w:rPr>
        <w:t>f)</w:t>
      </w:r>
      <w:r w:rsidRPr="005D5C22">
        <w:rPr>
          <w:rFonts w:eastAsia="Batang"/>
          <w:lang w:bidi="ru-RU"/>
        </w:rPr>
        <w:tab/>
        <w:t xml:space="preserve">1 298-1 300 MHz: </w:t>
      </w:r>
      <w:r w:rsidRPr="005D5C22">
        <w:t>Potencia máxima del transmisor</w:t>
      </w:r>
      <w:r w:rsidR="0019325D" w:rsidRPr="0019325D">
        <w:rPr>
          <w:rFonts w:eastAsia="Batang"/>
          <w:position w:val="6"/>
          <w:sz w:val="18"/>
          <w:lang w:bidi="ru-RU"/>
        </w:rPr>
        <w:t>3</w:t>
      </w:r>
      <w:r w:rsidRPr="005D5C22">
        <w:rPr>
          <w:rFonts w:eastAsia="Batang"/>
          <w:lang w:bidi="ru-RU"/>
        </w:rPr>
        <w:t> = 22 dBW</w:t>
      </w:r>
    </w:p>
    <w:p w14:paraId="0B5862E3" w14:textId="77777777" w:rsidR="00AD098C" w:rsidRPr="005D5C22" w:rsidRDefault="00AD098C" w:rsidP="00911F53">
      <w:pPr>
        <w:pStyle w:val="enumlev3"/>
      </w:pPr>
      <w:r w:rsidRPr="005D5C22">
        <w:t>•</w:t>
      </w:r>
      <w:r w:rsidRPr="005D5C22">
        <w:tab/>
        <w:t>Para aplicaciones de banda estrecha Tierra-Luna-Tierra del servicio de aficionados con el empleo de una antena simétrica de alto rendimiento (por ejemplo: ganancia del eje de puntería de al menos 30 dBi) que apunte al menos 15 grados por encima de la horizontal:</w:t>
      </w:r>
    </w:p>
    <w:p w14:paraId="58D64414" w14:textId="702900EA" w:rsidR="00AD098C" w:rsidRPr="005D5C22" w:rsidRDefault="00AD098C" w:rsidP="00231CF6">
      <w:pPr>
        <w:pStyle w:val="enumlev3"/>
      </w:pPr>
      <w:r w:rsidRPr="005D5C22">
        <w:tab/>
      </w:r>
      <w:r w:rsidRPr="005D5C22">
        <w:tab/>
        <w:t>a)</w:t>
      </w:r>
      <w:r w:rsidRPr="005D5C22">
        <w:tab/>
        <w:t>1 298-1 300 MHz: Potencia máxima del transmisor</w:t>
      </w:r>
      <w:r w:rsidR="0019325D" w:rsidRPr="0019325D">
        <w:rPr>
          <w:rFonts w:eastAsia="Batang"/>
          <w:position w:val="6"/>
          <w:sz w:val="18"/>
          <w:lang w:bidi="ru-RU"/>
        </w:rPr>
        <w:t>3</w:t>
      </w:r>
      <w:r w:rsidRPr="005D5C22">
        <w:t> = 27 dBW</w:t>
      </w:r>
    </w:p>
    <w:p w14:paraId="2EFE9426" w14:textId="4C737B60" w:rsidR="00AD098C" w:rsidRPr="005D5C22" w:rsidRDefault="00AD098C" w:rsidP="00D64693">
      <w:pPr>
        <w:pStyle w:val="enumlev1"/>
        <w:rPr>
          <w:spacing w:val="-4"/>
        </w:rPr>
      </w:pPr>
      <w:r w:rsidRPr="005D5C22">
        <w:t>2)</w:t>
      </w:r>
      <w:r w:rsidRPr="005D5C22">
        <w:tab/>
        <w:t>Para aplicaciones de banda estrecha que funcionen en el servicio de aficionados por satélite (Tierra-espacio) (ancho de banda</w:t>
      </w:r>
      <w:r w:rsidR="00290CDD">
        <w:t> </w:t>
      </w:r>
      <w:r w:rsidR="00290CDD" w:rsidRPr="00E56005">
        <w:t>≤</w:t>
      </w:r>
      <w:r w:rsidR="00290CDD">
        <w:t> </w:t>
      </w:r>
      <w:r w:rsidRPr="005D5C22">
        <w:t>150 kHz):</w:t>
      </w:r>
    </w:p>
    <w:p w14:paraId="77864A52" w14:textId="77777777" w:rsidR="00AD098C" w:rsidRPr="005D5C22" w:rsidRDefault="00AD098C" w:rsidP="00631D12">
      <w:pPr>
        <w:pStyle w:val="enumlev2"/>
      </w:pPr>
      <w:r w:rsidRPr="005D5C22">
        <w:t>a)</w:t>
      </w:r>
      <w:r w:rsidRPr="005D5C22">
        <w:tab/>
        <w:t xml:space="preserve">1 260-1 262 MHz: </w:t>
      </w:r>
    </w:p>
    <w:p w14:paraId="75DE27CB" w14:textId="36850816" w:rsidR="00AD098C" w:rsidRPr="005D5C22" w:rsidRDefault="00AD098C" w:rsidP="009E049C">
      <w:pPr>
        <w:pStyle w:val="enumlev2"/>
      </w:pPr>
      <w:r w:rsidRPr="005D5C22">
        <w:tab/>
        <w:t>Valor máximo de p.i.r.e.</w:t>
      </w:r>
      <w:r w:rsidRPr="005D5C22">
        <w:rPr>
          <w:vertAlign w:val="superscript"/>
        </w:rPr>
        <w:t>2</w:t>
      </w:r>
      <w:r w:rsidR="00290CDD" w:rsidRPr="00290CDD">
        <w:t>:</w:t>
      </w:r>
    </w:p>
    <w:p w14:paraId="35FE771D" w14:textId="127005AE" w:rsidR="00290CDD" w:rsidRPr="00E56005" w:rsidRDefault="00290CDD" w:rsidP="00290CDD">
      <w:pPr>
        <w:pStyle w:val="enumlev2"/>
        <w:keepNext/>
        <w:tabs>
          <w:tab w:val="left" w:pos="5954"/>
          <w:tab w:val="right" w:pos="6999"/>
          <w:tab w:val="left" w:pos="7088"/>
        </w:tabs>
        <w:rPr>
          <w:rFonts w:eastAsia="Batang"/>
          <w:lang w:bidi="ru-RU"/>
        </w:rPr>
      </w:pPr>
      <w:r w:rsidRPr="00E56005">
        <w:rPr>
          <w:rFonts w:eastAsia="Batang"/>
          <w:lang w:bidi="ru-RU"/>
        </w:rPr>
        <w:tab/>
        <w:t>−3 dBW</w:t>
      </w:r>
      <w:r w:rsidRPr="00E56005">
        <w:rPr>
          <w:rFonts w:eastAsia="Batang"/>
          <w:lang w:bidi="ru-RU"/>
        </w:rPr>
        <w:tab/>
      </w:r>
      <w:r>
        <w:rPr>
          <w:rFonts w:eastAsia="Batang"/>
          <w:lang w:bidi="ru-RU"/>
        </w:rPr>
        <w:t>para</w:t>
      </w:r>
      <w:r w:rsidRPr="00E56005">
        <w:rPr>
          <w:rFonts w:eastAsia="Batang"/>
          <w:lang w:bidi="ru-RU"/>
        </w:rPr>
        <w:tab/>
        <w:t>0°</w:t>
      </w:r>
      <w:r w:rsidRPr="00E56005">
        <w:rPr>
          <w:rFonts w:eastAsia="Batang"/>
          <w:lang w:bidi="ru-RU"/>
        </w:rPr>
        <w:tab/>
      </w:r>
      <w:r w:rsidRPr="00E56005">
        <w:rPr>
          <w:rFonts w:eastAsia="Batang"/>
          <w:lang w:bidi="ru-RU"/>
        </w:rPr>
        <w:sym w:font="Symbol" w:char="F0A3"/>
      </w:r>
      <w:r w:rsidRPr="00E56005">
        <w:rPr>
          <w:rFonts w:eastAsia="Batang"/>
          <w:lang w:bidi="ru-RU"/>
        </w:rPr>
        <w:t xml:space="preserve"> </w:t>
      </w:r>
      <w:r w:rsidRPr="00E56005">
        <w:rPr>
          <w:rFonts w:eastAsia="Batang"/>
          <w:lang w:bidi="ru-RU"/>
        </w:rPr>
        <w:sym w:font="Symbol" w:char="F071"/>
      </w:r>
      <w:r w:rsidRPr="00E56005">
        <w:rPr>
          <w:rFonts w:eastAsia="Batang"/>
          <w:lang w:bidi="ru-RU"/>
        </w:rPr>
        <w:t xml:space="preserve"> &lt; 15°</w:t>
      </w:r>
    </w:p>
    <w:p w14:paraId="7E2C7131" w14:textId="0C2DE7EA" w:rsidR="00290CDD" w:rsidRPr="00E56005" w:rsidRDefault="00290CDD" w:rsidP="00290CDD">
      <w:pPr>
        <w:pStyle w:val="enumlev2"/>
        <w:keepNext/>
        <w:tabs>
          <w:tab w:val="left" w:pos="5954"/>
          <w:tab w:val="right" w:pos="6999"/>
          <w:tab w:val="left" w:pos="7088"/>
        </w:tabs>
        <w:rPr>
          <w:rFonts w:eastAsia="Batang"/>
          <w:lang w:bidi="ru-RU"/>
        </w:rPr>
      </w:pPr>
      <w:r w:rsidRPr="00E56005">
        <w:rPr>
          <w:rFonts w:eastAsia="Batang"/>
          <w:lang w:bidi="ru-RU"/>
        </w:rPr>
        <w:tab/>
        <w:t>17 dBW</w:t>
      </w:r>
      <w:r w:rsidRPr="00E56005">
        <w:rPr>
          <w:rFonts w:eastAsia="Batang"/>
          <w:lang w:bidi="ru-RU"/>
        </w:rPr>
        <w:tab/>
      </w:r>
      <w:r>
        <w:rPr>
          <w:rFonts w:eastAsia="Batang"/>
          <w:lang w:bidi="ru-RU"/>
        </w:rPr>
        <w:t>para</w:t>
      </w:r>
      <w:r w:rsidRPr="00E56005">
        <w:rPr>
          <w:rFonts w:eastAsia="Batang"/>
          <w:lang w:bidi="ru-RU"/>
        </w:rPr>
        <w:tab/>
        <w:t>15°</w:t>
      </w:r>
      <w:r w:rsidRPr="00E56005">
        <w:rPr>
          <w:rFonts w:eastAsia="Batang"/>
          <w:lang w:bidi="ru-RU"/>
        </w:rPr>
        <w:tab/>
      </w:r>
      <w:r w:rsidRPr="00E56005">
        <w:rPr>
          <w:rFonts w:eastAsia="Batang"/>
          <w:lang w:bidi="ru-RU"/>
        </w:rPr>
        <w:sym w:font="Symbol" w:char="F0A3"/>
      </w:r>
      <w:r w:rsidRPr="00E56005">
        <w:rPr>
          <w:rFonts w:eastAsia="Batang"/>
          <w:lang w:bidi="ru-RU"/>
        </w:rPr>
        <w:t xml:space="preserve"> </w:t>
      </w:r>
      <w:r w:rsidRPr="00E56005">
        <w:rPr>
          <w:rFonts w:eastAsia="Batang"/>
          <w:lang w:bidi="ru-RU"/>
        </w:rPr>
        <w:sym w:font="Symbol" w:char="F071"/>
      </w:r>
      <w:r w:rsidRPr="00E56005">
        <w:rPr>
          <w:rFonts w:eastAsia="Batang"/>
          <w:lang w:bidi="ru-RU"/>
        </w:rPr>
        <w:t xml:space="preserve"> &lt; 55°</w:t>
      </w:r>
    </w:p>
    <w:p w14:paraId="09FF66F4" w14:textId="2CC9035E" w:rsidR="00290CDD" w:rsidRPr="00E56005" w:rsidRDefault="00290CDD" w:rsidP="00290CDD">
      <w:pPr>
        <w:pStyle w:val="enumlev2"/>
        <w:tabs>
          <w:tab w:val="left" w:pos="5954"/>
          <w:tab w:val="right" w:pos="6999"/>
          <w:tab w:val="left" w:pos="7088"/>
        </w:tabs>
        <w:rPr>
          <w:rFonts w:eastAsia="Batang"/>
          <w:lang w:bidi="ru-RU"/>
        </w:rPr>
      </w:pPr>
      <w:r w:rsidRPr="00E56005">
        <w:rPr>
          <w:rFonts w:eastAsia="Batang"/>
          <w:lang w:bidi="ru-RU"/>
        </w:rPr>
        <w:tab/>
        <w:t>26</w:t>
      </w:r>
      <w:r>
        <w:rPr>
          <w:rFonts w:eastAsia="Batang"/>
          <w:lang w:bidi="ru-RU"/>
        </w:rPr>
        <w:t>,</w:t>
      </w:r>
      <w:r w:rsidRPr="00E56005">
        <w:rPr>
          <w:rFonts w:eastAsia="Batang"/>
          <w:lang w:bidi="ru-RU"/>
        </w:rPr>
        <w:t>8 dBW</w:t>
      </w:r>
      <w:r w:rsidRPr="00E56005">
        <w:rPr>
          <w:rFonts w:eastAsia="Batang"/>
          <w:lang w:bidi="ru-RU"/>
        </w:rPr>
        <w:tab/>
      </w:r>
      <w:r>
        <w:rPr>
          <w:rFonts w:eastAsia="Batang"/>
          <w:lang w:bidi="ru-RU"/>
        </w:rPr>
        <w:t>para</w:t>
      </w:r>
      <w:r w:rsidRPr="00E56005">
        <w:rPr>
          <w:rFonts w:eastAsia="Batang"/>
          <w:lang w:bidi="ru-RU"/>
        </w:rPr>
        <w:tab/>
        <w:t>55°</w:t>
      </w:r>
      <w:r w:rsidRPr="00E56005">
        <w:rPr>
          <w:rFonts w:eastAsia="Batang"/>
          <w:lang w:bidi="ru-RU"/>
        </w:rPr>
        <w:tab/>
      </w:r>
      <w:r w:rsidRPr="00E56005">
        <w:rPr>
          <w:rFonts w:eastAsia="Batang"/>
          <w:lang w:bidi="ru-RU"/>
        </w:rPr>
        <w:sym w:font="Symbol" w:char="F0A3"/>
      </w:r>
      <w:r w:rsidRPr="00E56005">
        <w:rPr>
          <w:rFonts w:eastAsia="Batang"/>
          <w:lang w:bidi="ru-RU"/>
        </w:rPr>
        <w:t xml:space="preserve"> </w:t>
      </w:r>
      <w:r w:rsidRPr="00E56005">
        <w:rPr>
          <w:rFonts w:eastAsia="Batang"/>
          <w:lang w:bidi="ru-RU"/>
        </w:rPr>
        <w:sym w:font="Symbol" w:char="F071"/>
      </w:r>
      <w:r w:rsidRPr="00E56005">
        <w:rPr>
          <w:rFonts w:eastAsia="Batang"/>
          <w:lang w:bidi="ru-RU"/>
        </w:rPr>
        <w:t xml:space="preserve"> &lt; 90°</w:t>
      </w:r>
    </w:p>
    <w:p w14:paraId="0B8D0880" w14:textId="5AE56B0C" w:rsidR="00AD098C" w:rsidRPr="005D5C22" w:rsidRDefault="00290CDD" w:rsidP="00290CDD">
      <w:pPr>
        <w:pStyle w:val="enumlev2"/>
        <w:rPr>
          <w:rFonts w:eastAsia="Batang"/>
          <w:lang w:eastAsia="ko-KR"/>
        </w:rPr>
      </w:pPr>
      <w:r>
        <w:tab/>
      </w:r>
      <w:r w:rsidR="00AD098C" w:rsidRPr="00290CDD">
        <w:t>siendo</w:t>
      </w:r>
      <w:r w:rsidR="00AD098C" w:rsidRPr="005D5C22">
        <w:rPr>
          <w:rFonts w:eastAsia="Batang"/>
          <w:lang w:bidi="ru-RU"/>
        </w:rPr>
        <w:t xml:space="preserve"> </w:t>
      </w:r>
      <w:r w:rsidR="00AD098C" w:rsidRPr="005D5C22">
        <w:rPr>
          <w:rFonts w:eastAsia="Batang"/>
          <w:lang w:bidi="ru-RU"/>
        </w:rPr>
        <w:sym w:font="Symbol" w:char="F071"/>
      </w:r>
      <w:r w:rsidR="00382961" w:rsidRPr="00E56005">
        <w:rPr>
          <w:rFonts w:eastAsia="Batang"/>
          <w:lang w:bidi="ru-RU"/>
        </w:rPr>
        <w:t xml:space="preserve"> = </w:t>
      </w:r>
      <w:r w:rsidR="00AD098C" w:rsidRPr="005D5C22">
        <w:rPr>
          <w:rFonts w:eastAsia="Batang"/>
          <w:lang w:bidi="ru-RU"/>
        </w:rPr>
        <w:t>el ángulo de elevación de la antena de la estación de aficionados,</w:t>
      </w:r>
    </w:p>
    <w:p w14:paraId="3C8BBBF7" w14:textId="77777777" w:rsidR="00AD098C" w:rsidRPr="005D5C22" w:rsidRDefault="00AD098C" w:rsidP="0057410D">
      <w:pPr>
        <w:pStyle w:val="enumlev2"/>
      </w:pPr>
      <w:r w:rsidRPr="005D5C22">
        <w:t>b)</w:t>
      </w:r>
      <w:r w:rsidRPr="005D5C22">
        <w:tab/>
        <w:t>1 262-1 270 MHz: Valor</w:t>
      </w:r>
      <w:r w:rsidRPr="005D5C22">
        <w:rPr>
          <w:rFonts w:eastAsia="Batang"/>
          <w:lang w:bidi="ru-RU"/>
        </w:rPr>
        <w:t xml:space="preserve"> máximo de p.i.r.e.</w:t>
      </w:r>
      <w:r w:rsidRPr="005D5C22">
        <w:rPr>
          <w:rFonts w:eastAsia="Batang"/>
          <w:vertAlign w:val="superscript"/>
          <w:lang w:bidi="ru-RU"/>
        </w:rPr>
        <w:t>2</w:t>
      </w:r>
      <w:r w:rsidRPr="005D5C22">
        <w:t xml:space="preserve"> = </w:t>
      </w:r>
      <w:r w:rsidRPr="005D5C22">
        <w:rPr>
          <w:rFonts w:eastAsia="Batang"/>
          <w:lang w:bidi="ru-RU"/>
        </w:rPr>
        <w:t>−</w:t>
      </w:r>
      <w:r w:rsidRPr="005D5C22">
        <w:t>17 dBW</w:t>
      </w:r>
    </w:p>
    <w:p w14:paraId="57B6C5AD" w14:textId="752C481C" w:rsidR="00AD098C" w:rsidRPr="005D5C22" w:rsidRDefault="00AD098C" w:rsidP="00D64693">
      <w:pPr>
        <w:pStyle w:val="enumlev1"/>
      </w:pPr>
      <w:r w:rsidRPr="005D5C22">
        <w:t>3)</w:t>
      </w:r>
      <w:r w:rsidRPr="005D5C22">
        <w:tab/>
        <w:t>Para aplicaciones de banda ancha (ancho de banda</w:t>
      </w:r>
      <w:r w:rsidR="00290CDD">
        <w:t> </w:t>
      </w:r>
      <w:r w:rsidRPr="005D5C22">
        <w:t>&gt;</w:t>
      </w:r>
      <w:r w:rsidR="00290CDD">
        <w:t> </w:t>
      </w:r>
      <w:r w:rsidRPr="005D5C22">
        <w:t>150 kHz), incluida la televisión de aficionados (TVA), del servicio de aficionados:</w:t>
      </w:r>
    </w:p>
    <w:p w14:paraId="19CA5A9D" w14:textId="214B9215" w:rsidR="00AD098C" w:rsidRPr="005D5C22" w:rsidRDefault="00AD098C" w:rsidP="009E049C">
      <w:pPr>
        <w:pStyle w:val="enumlev2"/>
        <w:rPr>
          <w:rFonts w:eastAsia="Batang"/>
          <w:lang w:bidi="ru-RU"/>
        </w:rPr>
      </w:pPr>
      <w:r w:rsidRPr="005D5C22">
        <w:t>a)</w:t>
      </w:r>
      <w:r w:rsidRPr="005D5C22">
        <w:tab/>
        <w:t>1 240-1 255,76 MHz</w:t>
      </w:r>
      <w:r w:rsidRPr="005D5C22">
        <w:rPr>
          <w:rFonts w:eastAsia="Batang"/>
          <w:lang w:bidi="ru-RU"/>
        </w:rPr>
        <w:t>:</w:t>
      </w:r>
    </w:p>
    <w:p w14:paraId="0302E792" w14:textId="41CF1A4F" w:rsidR="00AD098C" w:rsidRPr="005D5C22" w:rsidRDefault="00382961" w:rsidP="009E049C">
      <w:pPr>
        <w:pStyle w:val="enumlev2"/>
        <w:rPr>
          <w:spacing w:val="-4"/>
        </w:rPr>
      </w:pPr>
      <w:r>
        <w:rPr>
          <w:rFonts w:eastAsia="Batang"/>
          <w:lang w:bidi="ru-RU"/>
        </w:rPr>
        <w:tab/>
      </w:r>
      <w:r w:rsidR="00AD098C" w:rsidRPr="005D5C22">
        <w:rPr>
          <w:rFonts w:eastAsia="Batang"/>
          <w:lang w:bidi="ru-RU"/>
        </w:rPr>
        <w:t>Valor máximo de p.i.r.e</w:t>
      </w:r>
      <w:r>
        <w:rPr>
          <w:rFonts w:eastAsia="Batang"/>
          <w:lang w:bidi="ru-RU"/>
        </w:rPr>
        <w:t>.</w:t>
      </w:r>
      <w:r w:rsidRPr="005D5C22">
        <w:rPr>
          <w:vertAlign w:val="superscript"/>
        </w:rPr>
        <w:t>2</w:t>
      </w:r>
      <w:r w:rsidR="00AD098C" w:rsidRPr="005D5C22">
        <w:rPr>
          <w:spacing w:val="-4"/>
        </w:rPr>
        <w:t>:</w:t>
      </w:r>
    </w:p>
    <w:p w14:paraId="2A0D5F5A" w14:textId="22359EE9" w:rsidR="00382961" w:rsidRPr="00E56005" w:rsidRDefault="00382961" w:rsidP="00382961">
      <w:pPr>
        <w:pStyle w:val="enumlev2"/>
        <w:keepNext/>
        <w:tabs>
          <w:tab w:val="left" w:pos="5954"/>
          <w:tab w:val="right" w:pos="6999"/>
          <w:tab w:val="left" w:pos="7088"/>
        </w:tabs>
        <w:rPr>
          <w:i/>
          <w:iCs/>
          <w:spacing w:val="-4"/>
        </w:rPr>
      </w:pPr>
      <w:r w:rsidRPr="00E56005">
        <w:rPr>
          <w:rFonts w:eastAsia="Batang"/>
          <w:lang w:bidi="ru-RU"/>
        </w:rPr>
        <w:tab/>
        <w:t>−39</w:t>
      </w:r>
      <w:r>
        <w:rPr>
          <w:rFonts w:eastAsia="Batang"/>
          <w:lang w:bidi="ru-RU"/>
        </w:rPr>
        <w:t>,</w:t>
      </w:r>
      <w:r w:rsidRPr="00E56005">
        <w:rPr>
          <w:rFonts w:eastAsia="Batang"/>
          <w:lang w:bidi="ru-RU"/>
        </w:rPr>
        <w:t xml:space="preserve">0 dBW </w:t>
      </w:r>
      <w:r>
        <w:rPr>
          <w:rFonts w:eastAsia="Batang"/>
          <w:lang w:bidi="ru-RU"/>
        </w:rPr>
        <w:t>e</w:t>
      </w:r>
      <w:r w:rsidRPr="00E56005">
        <w:rPr>
          <w:rFonts w:eastAsia="Batang"/>
          <w:lang w:bidi="ru-RU"/>
        </w:rPr>
        <w:t>n (150 kHz)</w:t>
      </w:r>
      <w:r w:rsidRPr="00E56005">
        <w:rPr>
          <w:rFonts w:eastAsia="Batang"/>
          <w:lang w:bidi="ru-RU"/>
        </w:rPr>
        <w:tab/>
      </w:r>
      <w:r>
        <w:rPr>
          <w:rFonts w:eastAsia="Batang"/>
          <w:lang w:bidi="ru-RU"/>
        </w:rPr>
        <w:t>para</w:t>
      </w:r>
      <w:r w:rsidRPr="00E56005">
        <w:rPr>
          <w:rFonts w:eastAsia="Batang"/>
          <w:lang w:bidi="ru-RU"/>
        </w:rPr>
        <w:tab/>
        <w:t>−90</w:t>
      </w:r>
      <w:r w:rsidRPr="00E56005">
        <w:rPr>
          <w:rFonts w:eastAsia="Batang"/>
          <w:lang w:bidi="ru-RU"/>
        </w:rPr>
        <w:sym w:font="Symbol" w:char="F0B0"/>
      </w:r>
      <w:r w:rsidRPr="00E56005">
        <w:rPr>
          <w:rFonts w:eastAsia="Batang"/>
          <w:lang w:bidi="ru-RU"/>
        </w:rPr>
        <w:tab/>
      </w:r>
      <w:r w:rsidRPr="00E56005">
        <w:rPr>
          <w:rFonts w:eastAsia="Batang"/>
          <w:lang w:bidi="ru-RU"/>
        </w:rPr>
        <w:sym w:font="Symbol" w:char="F0A3"/>
      </w:r>
      <w:r w:rsidRPr="00E56005">
        <w:rPr>
          <w:rFonts w:eastAsia="Batang"/>
          <w:lang w:bidi="ru-RU"/>
        </w:rPr>
        <w:t xml:space="preserve"> </w:t>
      </w:r>
      <w:r w:rsidRPr="00E56005">
        <w:rPr>
          <w:rFonts w:eastAsia="Batang"/>
          <w:lang w:bidi="ru-RU"/>
        </w:rPr>
        <w:sym w:font="Symbol" w:char="F071"/>
      </w:r>
      <w:r w:rsidRPr="00E56005">
        <w:rPr>
          <w:rFonts w:eastAsia="Batang"/>
          <w:lang w:bidi="ru-RU"/>
        </w:rPr>
        <w:t xml:space="preserve"> &lt; 0°</w:t>
      </w:r>
    </w:p>
    <w:p w14:paraId="5E0FC4DA" w14:textId="14459882" w:rsidR="00382961" w:rsidRPr="00E56005" w:rsidRDefault="00382961" w:rsidP="00382961">
      <w:pPr>
        <w:pStyle w:val="enumlev2"/>
        <w:keepNext/>
        <w:tabs>
          <w:tab w:val="left" w:pos="5954"/>
          <w:tab w:val="right" w:pos="6999"/>
          <w:tab w:val="left" w:pos="7088"/>
        </w:tabs>
        <w:rPr>
          <w:rFonts w:eastAsia="Batang"/>
          <w:lang w:eastAsia="ko-KR"/>
        </w:rPr>
      </w:pPr>
      <w:r w:rsidRPr="00E56005">
        <w:rPr>
          <w:rFonts w:eastAsia="Batang"/>
          <w:lang w:bidi="ru-RU"/>
        </w:rPr>
        <w:tab/>
        <w:t>−39</w:t>
      </w:r>
      <w:r>
        <w:rPr>
          <w:rFonts w:eastAsia="Batang"/>
          <w:lang w:bidi="ru-RU"/>
        </w:rPr>
        <w:t>,</w:t>
      </w:r>
      <w:r w:rsidRPr="00E56005">
        <w:rPr>
          <w:rFonts w:eastAsia="Batang"/>
          <w:lang w:bidi="ru-RU"/>
        </w:rPr>
        <w:t xml:space="preserve">0 dBW </w:t>
      </w:r>
      <w:r>
        <w:rPr>
          <w:rFonts w:eastAsia="Batang"/>
          <w:lang w:bidi="ru-RU"/>
        </w:rPr>
        <w:t>e</w:t>
      </w:r>
      <w:r w:rsidRPr="00E56005">
        <w:rPr>
          <w:rFonts w:eastAsia="Batang"/>
          <w:lang w:bidi="ru-RU"/>
        </w:rPr>
        <w:t>n (150 kHz)</w:t>
      </w:r>
      <w:r w:rsidRPr="00E56005">
        <w:rPr>
          <w:rFonts w:eastAsia="Batang"/>
          <w:lang w:bidi="ru-RU"/>
        </w:rPr>
        <w:tab/>
      </w:r>
      <w:r>
        <w:rPr>
          <w:rFonts w:eastAsia="Batang"/>
          <w:lang w:bidi="ru-RU"/>
        </w:rPr>
        <w:t>para</w:t>
      </w:r>
      <w:r w:rsidRPr="00E56005">
        <w:rPr>
          <w:rFonts w:eastAsia="Batang"/>
          <w:lang w:bidi="ru-RU"/>
        </w:rPr>
        <w:tab/>
        <w:t>0</w:t>
      </w:r>
      <w:r w:rsidRPr="00E56005">
        <w:rPr>
          <w:rFonts w:eastAsia="Batang"/>
          <w:lang w:bidi="ru-RU"/>
        </w:rPr>
        <w:sym w:font="Symbol" w:char="F0B0"/>
      </w:r>
      <w:r w:rsidRPr="00E56005">
        <w:rPr>
          <w:rFonts w:eastAsia="Batang"/>
          <w:lang w:bidi="ru-RU"/>
        </w:rPr>
        <w:tab/>
      </w:r>
      <w:r w:rsidRPr="00E56005">
        <w:rPr>
          <w:rFonts w:eastAsia="Batang"/>
          <w:lang w:bidi="ru-RU"/>
        </w:rPr>
        <w:sym w:font="Symbol" w:char="F0A3"/>
      </w:r>
      <w:r w:rsidRPr="00E56005">
        <w:rPr>
          <w:rFonts w:eastAsia="Batang"/>
          <w:lang w:bidi="ru-RU"/>
        </w:rPr>
        <w:t xml:space="preserve"> </w:t>
      </w:r>
      <w:r w:rsidRPr="00E56005">
        <w:rPr>
          <w:rFonts w:eastAsia="Batang"/>
          <w:lang w:bidi="ru-RU"/>
        </w:rPr>
        <w:sym w:font="Symbol" w:char="F071"/>
      </w:r>
      <w:r w:rsidRPr="00E56005">
        <w:rPr>
          <w:rFonts w:eastAsia="Batang"/>
          <w:lang w:bidi="ru-RU"/>
        </w:rPr>
        <w:t xml:space="preserve"> &lt; 5°</w:t>
      </w:r>
    </w:p>
    <w:p w14:paraId="1DFFD223" w14:textId="753C6795" w:rsidR="00382961" w:rsidRPr="00E56005" w:rsidRDefault="00382961" w:rsidP="00382961">
      <w:pPr>
        <w:pStyle w:val="enumlev2"/>
        <w:keepNext/>
        <w:tabs>
          <w:tab w:val="left" w:pos="5954"/>
          <w:tab w:val="right" w:pos="6999"/>
          <w:tab w:val="left" w:pos="7088"/>
        </w:tabs>
        <w:rPr>
          <w:rFonts w:eastAsia="Batang"/>
          <w:lang w:eastAsia="ko-KR"/>
        </w:rPr>
      </w:pPr>
      <w:r w:rsidRPr="00E56005">
        <w:rPr>
          <w:rFonts w:eastAsia="Batang"/>
          <w:lang w:bidi="ru-RU"/>
        </w:rPr>
        <w:tab/>
        <w:t>−39</w:t>
      </w:r>
      <w:r>
        <w:rPr>
          <w:rFonts w:eastAsia="Batang"/>
          <w:lang w:bidi="ru-RU"/>
        </w:rPr>
        <w:t>,</w:t>
      </w:r>
      <w:r w:rsidRPr="00E56005">
        <w:rPr>
          <w:rFonts w:eastAsia="Batang"/>
          <w:lang w:bidi="ru-RU"/>
        </w:rPr>
        <w:t>0 − 1</w:t>
      </w:r>
      <w:r>
        <w:rPr>
          <w:rFonts w:eastAsia="Batang"/>
          <w:lang w:bidi="ru-RU"/>
        </w:rPr>
        <w:t>,</w:t>
      </w:r>
      <w:r w:rsidRPr="00E56005">
        <w:rPr>
          <w:rFonts w:eastAsia="Batang"/>
          <w:lang w:bidi="ru-RU"/>
        </w:rPr>
        <w:t>05 (</w:t>
      </w:r>
      <w:r w:rsidRPr="00E56005">
        <w:rPr>
          <w:rFonts w:eastAsia="Batang"/>
          <w:lang w:bidi="ru-RU"/>
        </w:rPr>
        <w:sym w:font="Symbol" w:char="F071"/>
      </w:r>
      <w:r w:rsidRPr="00E56005">
        <w:rPr>
          <w:rFonts w:eastAsia="Batang"/>
          <w:lang w:bidi="ru-RU"/>
        </w:rPr>
        <w:t> – 5) dBW </w:t>
      </w:r>
      <w:r>
        <w:rPr>
          <w:rFonts w:eastAsia="Batang"/>
          <w:lang w:bidi="ru-RU"/>
        </w:rPr>
        <w:t>e</w:t>
      </w:r>
      <w:r w:rsidRPr="00E56005">
        <w:rPr>
          <w:rFonts w:eastAsia="Batang"/>
          <w:lang w:bidi="ru-RU"/>
        </w:rPr>
        <w:t>n (150 kHz)</w:t>
      </w:r>
      <w:r w:rsidRPr="00E56005">
        <w:rPr>
          <w:rFonts w:eastAsia="Batang"/>
          <w:lang w:bidi="ru-RU"/>
        </w:rPr>
        <w:tab/>
      </w:r>
      <w:r>
        <w:rPr>
          <w:rFonts w:eastAsia="Batang"/>
          <w:lang w:bidi="ru-RU"/>
        </w:rPr>
        <w:t>para</w:t>
      </w:r>
      <w:r w:rsidRPr="00E56005">
        <w:rPr>
          <w:rFonts w:eastAsia="Batang"/>
          <w:lang w:bidi="ru-RU"/>
        </w:rPr>
        <w:tab/>
        <w:t>5</w:t>
      </w:r>
      <w:r w:rsidRPr="00E56005">
        <w:rPr>
          <w:rFonts w:eastAsia="Batang"/>
          <w:lang w:bidi="ru-RU"/>
        </w:rPr>
        <w:sym w:font="Symbol" w:char="F0B0"/>
      </w:r>
      <w:r w:rsidRPr="00E56005">
        <w:rPr>
          <w:rFonts w:eastAsia="Batang"/>
          <w:lang w:bidi="ru-RU"/>
        </w:rPr>
        <w:tab/>
      </w:r>
      <w:r w:rsidRPr="00E56005">
        <w:rPr>
          <w:rFonts w:eastAsia="Batang"/>
          <w:lang w:bidi="ru-RU"/>
        </w:rPr>
        <w:sym w:font="Symbol" w:char="F0A3"/>
      </w:r>
      <w:r w:rsidRPr="00E56005">
        <w:rPr>
          <w:rFonts w:eastAsia="Batang"/>
          <w:lang w:bidi="ru-RU"/>
        </w:rPr>
        <w:t xml:space="preserve"> </w:t>
      </w:r>
      <w:r w:rsidRPr="00E56005">
        <w:rPr>
          <w:rFonts w:eastAsia="Batang"/>
          <w:lang w:bidi="ru-RU"/>
        </w:rPr>
        <w:sym w:font="Symbol" w:char="F071"/>
      </w:r>
      <w:r w:rsidRPr="00E56005">
        <w:rPr>
          <w:rFonts w:eastAsia="Batang"/>
          <w:lang w:bidi="ru-RU"/>
        </w:rPr>
        <w:t xml:space="preserve"> &lt; 25°</w:t>
      </w:r>
    </w:p>
    <w:p w14:paraId="7A2D549D" w14:textId="13F9A82D" w:rsidR="00382961" w:rsidRPr="00E56005" w:rsidRDefault="00382961" w:rsidP="00382961">
      <w:pPr>
        <w:pStyle w:val="enumlev2"/>
        <w:keepNext/>
        <w:tabs>
          <w:tab w:val="left" w:pos="5954"/>
          <w:tab w:val="right" w:pos="6999"/>
          <w:tab w:val="left" w:pos="7088"/>
        </w:tabs>
        <w:rPr>
          <w:rFonts w:eastAsia="Batang"/>
          <w:lang w:bidi="ru-RU"/>
        </w:rPr>
      </w:pPr>
      <w:r w:rsidRPr="00E56005">
        <w:rPr>
          <w:rFonts w:eastAsia="Batang"/>
          <w:lang w:bidi="ru-RU"/>
        </w:rPr>
        <w:tab/>
        <w:t xml:space="preserve">−60 dBW </w:t>
      </w:r>
      <w:r>
        <w:rPr>
          <w:rFonts w:eastAsia="Batang"/>
          <w:lang w:bidi="ru-RU"/>
        </w:rPr>
        <w:t>e</w:t>
      </w:r>
      <w:r w:rsidRPr="00E56005">
        <w:rPr>
          <w:rFonts w:eastAsia="Batang"/>
          <w:lang w:bidi="ru-RU"/>
        </w:rPr>
        <w:t>n (150 kHz)</w:t>
      </w:r>
      <w:r w:rsidRPr="00E56005">
        <w:rPr>
          <w:rFonts w:eastAsia="Batang"/>
          <w:lang w:bidi="ru-RU"/>
        </w:rPr>
        <w:tab/>
      </w:r>
      <w:r>
        <w:rPr>
          <w:rFonts w:eastAsia="Batang"/>
          <w:lang w:bidi="ru-RU"/>
        </w:rPr>
        <w:t>para</w:t>
      </w:r>
      <w:r w:rsidRPr="00E56005">
        <w:rPr>
          <w:rFonts w:eastAsia="Batang"/>
          <w:lang w:bidi="ru-RU"/>
        </w:rPr>
        <w:tab/>
        <w:t>25°</w:t>
      </w:r>
      <w:r w:rsidRPr="00E56005">
        <w:rPr>
          <w:rFonts w:eastAsia="Batang"/>
          <w:lang w:bidi="ru-RU"/>
        </w:rPr>
        <w:tab/>
      </w:r>
      <w:r w:rsidRPr="00E56005">
        <w:rPr>
          <w:rFonts w:eastAsia="Batang"/>
          <w:lang w:bidi="ru-RU"/>
        </w:rPr>
        <w:sym w:font="Symbol" w:char="F0A3"/>
      </w:r>
      <w:r w:rsidRPr="00E56005">
        <w:rPr>
          <w:rFonts w:eastAsia="Batang"/>
          <w:lang w:bidi="ru-RU"/>
        </w:rPr>
        <w:t xml:space="preserve"> </w:t>
      </w:r>
      <w:r w:rsidRPr="00E56005">
        <w:rPr>
          <w:rFonts w:eastAsia="Batang"/>
          <w:lang w:bidi="ru-RU"/>
        </w:rPr>
        <w:sym w:font="Symbol" w:char="F071"/>
      </w:r>
      <w:r w:rsidRPr="00E56005">
        <w:rPr>
          <w:rFonts w:eastAsia="Batang"/>
          <w:lang w:bidi="ru-RU"/>
        </w:rPr>
        <w:t xml:space="preserve"> &lt; 90°,</w:t>
      </w:r>
    </w:p>
    <w:p w14:paraId="64E1BAC2" w14:textId="2E54BCB4" w:rsidR="00AD098C" w:rsidRPr="005D5C22" w:rsidRDefault="00382961" w:rsidP="000B50D5">
      <w:pPr>
        <w:pStyle w:val="enumlev2"/>
        <w:rPr>
          <w:rFonts w:eastAsia="Batang"/>
          <w:lang w:eastAsia="ko-KR"/>
        </w:rPr>
      </w:pPr>
      <w:r>
        <w:rPr>
          <w:rFonts w:eastAsia="Batang"/>
          <w:lang w:bidi="ru-RU"/>
        </w:rPr>
        <w:tab/>
      </w:r>
      <w:r w:rsidR="00AD098C" w:rsidRPr="005D5C22">
        <w:rPr>
          <w:rFonts w:eastAsia="Batang"/>
          <w:lang w:bidi="ru-RU"/>
        </w:rPr>
        <w:t xml:space="preserve">siendo </w:t>
      </w:r>
      <w:r w:rsidR="00AD098C" w:rsidRPr="005D5C22">
        <w:rPr>
          <w:rFonts w:eastAsia="Batang"/>
          <w:lang w:bidi="ru-RU"/>
        </w:rPr>
        <w:sym w:font="Symbol" w:char="F071"/>
      </w:r>
      <w:r w:rsidRPr="00E56005">
        <w:rPr>
          <w:rFonts w:eastAsia="Batang"/>
          <w:lang w:bidi="ru-RU"/>
        </w:rPr>
        <w:t xml:space="preserve"> = </w:t>
      </w:r>
      <w:r w:rsidR="00AD098C" w:rsidRPr="005D5C22">
        <w:rPr>
          <w:rFonts w:eastAsia="Batang"/>
          <w:lang w:bidi="ru-RU"/>
        </w:rPr>
        <w:t>el ángulo de elevación de la antena de la estación de aficionados,</w:t>
      </w:r>
    </w:p>
    <w:p w14:paraId="42C69EFC" w14:textId="441EAE33" w:rsidR="00AD098C" w:rsidRPr="005D5C22" w:rsidRDefault="00AD098C" w:rsidP="004A2812">
      <w:pPr>
        <w:pStyle w:val="enumlev2"/>
        <w:rPr>
          <w:rFonts w:eastAsia="Batang"/>
          <w:lang w:bidi="ru-RU"/>
        </w:rPr>
      </w:pPr>
      <w:r w:rsidRPr="005D5C22">
        <w:rPr>
          <w:rFonts w:eastAsia="Batang"/>
          <w:lang w:bidi="ru-RU"/>
        </w:rPr>
        <w:t>b)</w:t>
      </w:r>
      <w:r w:rsidRPr="005D5C22">
        <w:rPr>
          <w:rFonts w:eastAsia="Batang"/>
          <w:lang w:bidi="ru-RU"/>
        </w:rPr>
        <w:tab/>
        <w:t>1 255,76-1 256,52 MHz: Valor máximo de p.i.r.e.</w:t>
      </w:r>
      <w:r w:rsidRPr="005D5C22">
        <w:rPr>
          <w:rFonts w:eastAsia="Batang"/>
          <w:vertAlign w:val="superscript"/>
          <w:lang w:bidi="ru-RU"/>
        </w:rPr>
        <w:t xml:space="preserve">2 </w:t>
      </w:r>
      <w:r w:rsidRPr="005D5C22">
        <w:rPr>
          <w:rFonts w:eastAsia="Batang"/>
          <w:lang w:bidi="ru-RU"/>
        </w:rPr>
        <w:t>= 24 dBW/150 kHz</w:t>
      </w:r>
      <w:r w:rsidR="00382961">
        <w:rPr>
          <w:rFonts w:eastAsia="Batang"/>
          <w:lang w:bidi="ru-RU"/>
        </w:rPr>
        <w:t>,</w:t>
      </w:r>
    </w:p>
    <w:p w14:paraId="58CE02B6" w14:textId="77777777" w:rsidR="00AD098C" w:rsidRPr="005D5C22" w:rsidRDefault="00AD098C" w:rsidP="000B50D5">
      <w:pPr>
        <w:pStyle w:val="enumlev3"/>
        <w:rPr>
          <w:rFonts w:eastAsia="Batang"/>
          <w:lang w:eastAsia="ko-KR"/>
        </w:rPr>
      </w:pPr>
      <w:r w:rsidRPr="005D5C22">
        <w:rPr>
          <w:rFonts w:eastAsia="SimSun"/>
          <w:lang w:eastAsia="zh-CN" w:bidi="ru-RU"/>
        </w:rPr>
        <w:t>•</w:t>
      </w:r>
      <w:r w:rsidRPr="005D5C22">
        <w:rPr>
          <w:rFonts w:eastAsia="SimSun"/>
          <w:lang w:eastAsia="zh-CN" w:bidi="ru-RU"/>
        </w:rPr>
        <w:tab/>
        <w:t xml:space="preserve">las </w:t>
      </w:r>
      <w:r w:rsidRPr="005D5C22">
        <w:rPr>
          <w:rFonts w:eastAsia="Batang"/>
          <w:lang w:bidi="ru-RU"/>
        </w:rPr>
        <w:t>emisiones</w:t>
      </w:r>
      <w:r w:rsidRPr="005D5C22">
        <w:rPr>
          <w:rFonts w:eastAsia="SimSun"/>
          <w:lang w:eastAsia="zh-CN" w:bidi="ru-RU"/>
        </w:rPr>
        <w:t xml:space="preserve"> fuera de banda por debajo de 1 255,76 MHz</w:t>
      </w:r>
      <w:r w:rsidRPr="005D5C22">
        <w:t xml:space="preserve"> </w:t>
      </w:r>
      <w:r w:rsidRPr="005D5C22">
        <w:rPr>
          <w:rFonts w:eastAsia="SimSun"/>
          <w:lang w:eastAsia="zh-CN" w:bidi="ru-RU"/>
        </w:rPr>
        <w:t>deben ajustarse a lo dispuesto en el punto 3a) anterior.</w:t>
      </w:r>
    </w:p>
    <w:p w14:paraId="724ADFCC" w14:textId="7CFA8DD9" w:rsidR="00AD098C" w:rsidRPr="005D5C22" w:rsidRDefault="00AD098C" w:rsidP="004A2812">
      <w:pPr>
        <w:pStyle w:val="enumlev2"/>
        <w:rPr>
          <w:rFonts w:eastAsia="Batang"/>
          <w:lang w:bidi="ru-RU"/>
        </w:rPr>
      </w:pPr>
      <w:r w:rsidRPr="005D5C22">
        <w:rPr>
          <w:rFonts w:eastAsia="Batang"/>
          <w:lang w:bidi="ru-RU"/>
        </w:rPr>
        <w:t>c)</w:t>
      </w:r>
      <w:r w:rsidRPr="005D5C22">
        <w:rPr>
          <w:rFonts w:eastAsia="Batang"/>
          <w:lang w:bidi="ru-RU"/>
        </w:rPr>
        <w:tab/>
        <w:t>1 256,52-1 258 MHz: Valor máximo de p.i.r.e.</w:t>
      </w:r>
      <w:r w:rsidRPr="005D5C22">
        <w:rPr>
          <w:rFonts w:eastAsia="Batang"/>
          <w:vertAlign w:val="superscript"/>
          <w:lang w:bidi="ru-RU"/>
        </w:rPr>
        <w:t>2</w:t>
      </w:r>
      <w:r w:rsidRPr="005D5C22">
        <w:rPr>
          <w:rFonts w:eastAsia="Batang"/>
          <w:lang w:bidi="ru-RU"/>
        </w:rPr>
        <w:t xml:space="preserve"> = 21 dBW/150 kHz</w:t>
      </w:r>
    </w:p>
    <w:p w14:paraId="3D789397" w14:textId="0A03C3AF" w:rsidR="00AD098C" w:rsidRPr="005D5C22" w:rsidRDefault="00AD098C" w:rsidP="000B50D5">
      <w:pPr>
        <w:pStyle w:val="enumlev2"/>
      </w:pPr>
      <w:r w:rsidRPr="005D5C22">
        <w:t>d)</w:t>
      </w:r>
      <w:r w:rsidRPr="005D5C22">
        <w:tab/>
        <w:t xml:space="preserve">1 258-1 300 MHz: </w:t>
      </w:r>
      <w:r w:rsidRPr="005D5C22">
        <w:rPr>
          <w:rFonts w:eastAsia="Batang"/>
          <w:lang w:bidi="ru-RU"/>
        </w:rPr>
        <w:t>Valor máximo de p.i.r.e</w:t>
      </w:r>
      <w:r w:rsidR="00382961">
        <w:rPr>
          <w:rFonts w:eastAsia="Batang"/>
          <w:lang w:bidi="ru-RU"/>
        </w:rPr>
        <w:t>.</w:t>
      </w:r>
      <w:r w:rsidRPr="005D5C22">
        <w:rPr>
          <w:rFonts w:eastAsia="Batang"/>
          <w:vertAlign w:val="superscript"/>
          <w:lang w:bidi="ru-RU"/>
        </w:rPr>
        <w:t>2</w:t>
      </w:r>
      <w:r w:rsidRPr="005D5C22">
        <w:t xml:space="preserve"> = </w:t>
      </w:r>
      <w:r w:rsidRPr="005D5C22">
        <w:rPr>
          <w:rFonts w:eastAsia="Batang"/>
          <w:lang w:bidi="ru-RU"/>
        </w:rPr>
        <w:t>−</w:t>
      </w:r>
      <w:r w:rsidRPr="005D5C22">
        <w:t>17 dBW/1 MHz</w:t>
      </w:r>
    </w:p>
    <w:p w14:paraId="55C2D2B5" w14:textId="77777777" w:rsidR="00AD098C" w:rsidRPr="005D5C22" w:rsidRDefault="00AD098C" w:rsidP="00D64693">
      <w:pPr>
        <w:pStyle w:val="enumlev1"/>
      </w:pPr>
      <w:r w:rsidRPr="005D5C22">
        <w:t>4)</w:t>
      </w:r>
      <w:r w:rsidRPr="005D5C22">
        <w:tab/>
        <w:t>Cuando las antenas de las estaciones de aficionados y aficionados por satélite se instalen a grandes alturas en comparación con los valores representativos contenidos en el Informe UIT</w:t>
      </w:r>
      <w:r w:rsidRPr="005D5C22">
        <w:noBreakHyphen/>
        <w:t>R M.2513-0 (la altura de antena representativa por encima del suelo es de 25 m), las administraciones podrían tener que considerar la adopción de restricciones o limitaciones adicionales a las enumeradas en los puntos 1) a 3), en particular para los casos de la categoría de estaciones de aficionados denominadas «instalaciones permanentes», como repetidores y balizas de propagación.</w:t>
      </w:r>
    </w:p>
    <w:p w14:paraId="2E1A5534" w14:textId="3FDC4D14" w:rsidR="00AD098C" w:rsidRPr="005D5C22" w:rsidRDefault="00AD098C" w:rsidP="00382961">
      <w:pPr>
        <w:pStyle w:val="enumlev1"/>
        <w:keepNext/>
        <w:keepLines/>
      </w:pPr>
      <w:r w:rsidRPr="005D5C22">
        <w:lastRenderedPageBreak/>
        <w:t>5)</w:t>
      </w:r>
      <w:r w:rsidRPr="005D5C22">
        <w:tab/>
        <w:t>Además de lo dispuesto en el punto 2) anterior, en caso de que aumente la utilización actual de la banda de frecuencias 1</w:t>
      </w:r>
      <w:r w:rsidR="00382961">
        <w:t> </w:t>
      </w:r>
      <w:r w:rsidRPr="005D5C22">
        <w:t>260-1</w:t>
      </w:r>
      <w:r w:rsidR="00382961">
        <w:t> </w:t>
      </w:r>
      <w:r w:rsidRPr="005D5C22">
        <w:t>270</w:t>
      </w:r>
      <w:r w:rsidR="00382961">
        <w:t> </w:t>
      </w:r>
      <w:r w:rsidRPr="005D5C22">
        <w:t>MHz por los satélites de aficionados, las Administraciones podrán considerar la posibilidad de aplicar una limitación al ciclo de trabajo de las operaciones pertinentes de los satélites de aficionados.</w:t>
      </w:r>
    </w:p>
    <w:p w14:paraId="43437180" w14:textId="77777777" w:rsidR="00AD098C" w:rsidRPr="005D5C22" w:rsidRDefault="00AD098C" w:rsidP="00062756">
      <w:pPr>
        <w:pStyle w:val="enumlev1"/>
      </w:pPr>
      <w:r w:rsidRPr="005D5C22">
        <w:t>6)</w:t>
      </w:r>
      <w:r w:rsidRPr="005D5C22">
        <w:tab/>
        <w:t>En la gama de frecuencias 1 240-1 256 MHz:</w:t>
      </w:r>
    </w:p>
    <w:p w14:paraId="0D660B87" w14:textId="77777777" w:rsidR="00AD098C" w:rsidRPr="005D5C22" w:rsidRDefault="00AD098C" w:rsidP="00062756">
      <w:pPr>
        <w:pStyle w:val="enumlev2"/>
      </w:pPr>
      <w:r w:rsidRPr="005D5C22">
        <w:t>•</w:t>
      </w:r>
      <w:r w:rsidRPr="005D5C22">
        <w:tab/>
        <w:t>Las administraciones deberían considerar la posibilidad de celebrar acuerdos bilaterales o multilaterales, que abarquen las transmisiones de aficionados cerca de aeropuertos próximos a zonas fronterizas de países vecinos que utilicen receptores aeronáuticos del SRNS en la gama de frecuencias antes mencionada.</w:t>
      </w:r>
    </w:p>
    <w:p w14:paraId="1ED4ED39" w14:textId="77777777" w:rsidR="00AD098C" w:rsidRPr="005D5C22" w:rsidRDefault="00AD098C" w:rsidP="00062756">
      <w:pPr>
        <w:pStyle w:val="enumlev2"/>
        <w:keepNext/>
        <w:keepLines/>
      </w:pPr>
      <w:r w:rsidRPr="005D5C22">
        <w:t>•</w:t>
      </w:r>
      <w:r w:rsidRPr="005D5C22">
        <w:tab/>
        <w:t>Las administraciones deberían tener en cuenta la ubicación de las estaciones de aficionados para evitar que el lóbulo principal de la antena de la estación apunte en dirección a aeropuertos, o zonas próximas a aeropuertos, de países que utilicen receptores aeronáuticos del SRNS en la gama de frecuencias antes mencionada.</w:t>
      </w:r>
    </w:p>
    <w:p w14:paraId="2E6C94C7" w14:textId="77777777" w:rsidR="00B874C6" w:rsidRPr="00F17CED" w:rsidRDefault="00B874C6" w:rsidP="00B874C6"/>
    <w:p w14:paraId="169468F1" w14:textId="77777777" w:rsidR="00B874C6" w:rsidRPr="00F17CED" w:rsidRDefault="00B874C6" w:rsidP="00B874C6">
      <w:pPr>
        <w:pStyle w:val="Line"/>
        <w:rPr>
          <w:lang w:val="es-ES"/>
        </w:rPr>
      </w:pPr>
    </w:p>
    <w:sectPr w:rsidR="00B874C6" w:rsidRPr="00F17CED" w:rsidSect="007565CC">
      <w:footerReference w:type="default" r:id="rId26"/>
      <w:pgSz w:w="11907" w:h="16834" w:code="9"/>
      <w:pgMar w:top="1418" w:right="1134" w:bottom="1134" w:left="1134" w:header="720" w:footer="4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A576" w14:textId="77777777" w:rsidR="00612FDF" w:rsidRDefault="00612FDF">
      <w:r>
        <w:separator/>
      </w:r>
    </w:p>
  </w:endnote>
  <w:endnote w:type="continuationSeparator" w:id="0">
    <w:p w14:paraId="5FD705A6" w14:textId="77777777" w:rsidR="00612FDF" w:rsidRDefault="0061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Medium">
    <w:altName w:val="Calibri"/>
    <w:panose1 w:val="020B0604020202020204"/>
    <w:charset w:val="00"/>
    <w:family w:val="swiss"/>
    <w:notTrueType/>
    <w:pitch w:val="variable"/>
    <w:sig w:usb0="800000AF" w:usb1="5000204A" w:usb2="00000000" w:usb3="00000000" w:csb0="00000093" w:csb1="00000000"/>
  </w:font>
  <w:font w:name="AvenirNext LT Pro Regular">
    <w:altName w:val="Calibri"/>
    <w:panose1 w:val="020B0504020202020204"/>
    <w:charset w:val="00"/>
    <w:family w:val="swiss"/>
    <w:notTrueType/>
    <w:pitch w:val="variable"/>
    <w:sig w:usb0="800000AF" w:usb1="5000204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B71C" w14:textId="77777777" w:rsidR="00301DB3" w:rsidRDefault="00301DB3">
    <w:pPr>
      <w:pStyle w:val="Footer"/>
    </w:pPr>
    <w:r>
      <w:drawing>
        <wp:anchor distT="0" distB="0" distL="0" distR="0" simplePos="0" relativeHeight="251656192" behindDoc="0" locked="0" layoutInCell="1" allowOverlap="1" wp14:anchorId="46DB89FE" wp14:editId="6F49AA04">
          <wp:simplePos x="0" y="0"/>
          <wp:positionH relativeFrom="page">
            <wp:posOffset>6346209</wp:posOffset>
          </wp:positionH>
          <wp:positionV relativeFrom="page">
            <wp:posOffset>9501505</wp:posOffset>
          </wp:positionV>
          <wp:extent cx="738000" cy="813600"/>
          <wp:effectExtent l="0" t="0" r="0" b="0"/>
          <wp:wrapNone/>
          <wp:docPr id="1" name="image1.png" descr="International Telecommunication Un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nternational Telecommunication Unio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80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0AB9" w14:textId="77777777" w:rsidR="00C15F3E" w:rsidRDefault="00C15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A670" w14:textId="77777777" w:rsidR="00612FDF" w:rsidRDefault="00612FDF">
      <w:r>
        <w:separator/>
      </w:r>
    </w:p>
  </w:footnote>
  <w:footnote w:type="continuationSeparator" w:id="0">
    <w:p w14:paraId="0615E8CD" w14:textId="77777777" w:rsidR="00612FDF" w:rsidRDefault="00612FDF">
      <w:r>
        <w:continuationSeparator/>
      </w:r>
    </w:p>
  </w:footnote>
  <w:footnote w:id="1">
    <w:p w14:paraId="4D361156" w14:textId="77777777" w:rsidR="002E206E" w:rsidRPr="000838AC" w:rsidRDefault="002E206E" w:rsidP="002E206E">
      <w:pPr>
        <w:pStyle w:val="FootnoteText"/>
      </w:pPr>
      <w:r>
        <w:rPr>
          <w:rStyle w:val="FootnoteReference"/>
        </w:rPr>
        <w:t>*</w:t>
      </w:r>
      <w:r>
        <w:tab/>
        <w:t>Esta Recomendación debe señalarse a la atención de la Unión Internacional de Radioaficionados (IARU).</w:t>
      </w:r>
    </w:p>
  </w:footnote>
  <w:footnote w:id="2">
    <w:p w14:paraId="3D538663" w14:textId="77777777" w:rsidR="00AD098C" w:rsidRPr="0057410D" w:rsidRDefault="00AD098C" w:rsidP="0057410D">
      <w:pPr>
        <w:pStyle w:val="FootnoteText"/>
      </w:pPr>
      <w:r w:rsidRPr="0057410D">
        <w:rPr>
          <w:rStyle w:val="FootnoteReference"/>
        </w:rPr>
        <w:t>2</w:t>
      </w:r>
      <w:r w:rsidRPr="0057410D">
        <w:tab/>
        <w:t>Siendo la p.i.r.e. la potencia radiada de la estación de aficionado.</w:t>
      </w:r>
    </w:p>
  </w:footnote>
  <w:footnote w:id="3">
    <w:p w14:paraId="48575DCE" w14:textId="77777777" w:rsidR="00AD098C" w:rsidRPr="0057410D" w:rsidRDefault="00AD098C" w:rsidP="0057410D">
      <w:pPr>
        <w:pStyle w:val="FootnoteText"/>
      </w:pPr>
      <w:r w:rsidRPr="0057410D">
        <w:rPr>
          <w:rStyle w:val="FootnoteReference"/>
        </w:rPr>
        <w:t>3</w:t>
      </w:r>
      <w:r w:rsidRPr="0057410D">
        <w:tab/>
        <w:t>Siendo la potencia máxima o bien la potencia en la cresta de la envolvente, o bien la potencia de la portadora (según proceda), transmitida por el transmisor a la antena de la estación de aficionado.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0187" w14:textId="77777777" w:rsidR="001B164E" w:rsidRDefault="001B164E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5"/>
      <w:gridCol w:w="5915"/>
    </w:tblGrid>
    <w:tr w:rsidR="005B0371" w:rsidRPr="00A239D1" w14:paraId="642656E0" w14:textId="77777777" w:rsidTr="0019307B">
      <w:tc>
        <w:tcPr>
          <w:tcW w:w="4634" w:type="dxa"/>
          <w:vAlign w:val="center"/>
        </w:tcPr>
        <w:p w14:paraId="376DC72D" w14:textId="77777777" w:rsidR="00EE47C4" w:rsidRPr="005B0371" w:rsidRDefault="00425BC7" w:rsidP="00B9169E">
          <w:pPr>
            <w:pStyle w:val="Header"/>
            <w:jc w:val="left"/>
            <w:rPr>
              <w:rFonts w:ascii="Arial Black" w:hAnsi="Arial Black" w:cs="Arial"/>
              <w:color w:val="FFFFFF" w:themeColor="background1"/>
              <w:sz w:val="32"/>
              <w:szCs w:val="32"/>
            </w:rPr>
          </w:pPr>
          <w:r w:rsidRPr="005B0371">
            <w:rPr>
              <w:rFonts w:ascii="Arial Black" w:hAnsi="Arial Black" w:cs="Arial"/>
              <w:color w:val="FFFFFF" w:themeColor="background1"/>
              <w:sz w:val="32"/>
              <w:szCs w:val="32"/>
            </w:rPr>
            <w:t xml:space="preserve"> </w:t>
          </w:r>
        </w:p>
      </w:tc>
      <w:tc>
        <w:tcPr>
          <w:tcW w:w="5998" w:type="dxa"/>
          <w:vAlign w:val="center"/>
        </w:tcPr>
        <w:p w14:paraId="097EE510" w14:textId="77777777" w:rsidR="00EE47C4" w:rsidRPr="00260B24" w:rsidRDefault="00EE47C4" w:rsidP="00744F8B">
          <w:pPr>
            <w:pStyle w:val="Header"/>
            <w:jc w:val="right"/>
            <w:rPr>
              <w:rFonts w:asciiTheme="minorBidi" w:hAnsiTheme="minorBidi"/>
              <w:b/>
              <w:spacing w:val="4"/>
              <w:szCs w:val="24"/>
            </w:rPr>
          </w:pPr>
          <w:r w:rsidRPr="00260B24">
            <w:rPr>
              <w:rFonts w:asciiTheme="minorBidi" w:hAnsiTheme="minorBidi"/>
              <w:b/>
              <w:spacing w:val="4"/>
              <w:szCs w:val="24"/>
            </w:rPr>
            <w:t>Uni</w:t>
          </w:r>
          <w:r w:rsidR="006B1E05">
            <w:rPr>
              <w:rFonts w:asciiTheme="minorBidi" w:hAnsiTheme="minorBidi"/>
              <w:b/>
              <w:spacing w:val="4"/>
              <w:szCs w:val="24"/>
            </w:rPr>
            <w:t>ó</w:t>
          </w:r>
          <w:r w:rsidRPr="00260B24">
            <w:rPr>
              <w:rFonts w:asciiTheme="minorBidi" w:hAnsiTheme="minorBidi"/>
              <w:b/>
              <w:spacing w:val="4"/>
              <w:szCs w:val="24"/>
            </w:rPr>
            <w:t>n</w:t>
          </w:r>
          <w:r w:rsidR="00A25EE2">
            <w:rPr>
              <w:rFonts w:asciiTheme="minorBidi" w:hAnsiTheme="minorBidi"/>
              <w:b/>
              <w:spacing w:val="4"/>
              <w:szCs w:val="24"/>
            </w:rPr>
            <w:t xml:space="preserve"> </w:t>
          </w:r>
          <w:r w:rsidR="006B1E05">
            <w:rPr>
              <w:rFonts w:asciiTheme="minorBidi" w:hAnsiTheme="minorBidi"/>
              <w:b/>
              <w:spacing w:val="4"/>
              <w:szCs w:val="24"/>
            </w:rPr>
            <w:t>I</w:t>
          </w:r>
          <w:r w:rsidR="00A25EE2" w:rsidRPr="00260B24">
            <w:rPr>
              <w:rFonts w:asciiTheme="minorBidi" w:hAnsiTheme="minorBidi"/>
              <w:b/>
              <w:spacing w:val="4"/>
              <w:szCs w:val="24"/>
            </w:rPr>
            <w:t>nterna</w:t>
          </w:r>
          <w:r w:rsidR="0069322D">
            <w:rPr>
              <w:rFonts w:asciiTheme="minorBidi" w:hAnsiTheme="minorBidi"/>
              <w:b/>
              <w:spacing w:val="4"/>
              <w:szCs w:val="24"/>
            </w:rPr>
            <w:t>c</w:t>
          </w:r>
          <w:r w:rsidR="00A25EE2" w:rsidRPr="00260B24">
            <w:rPr>
              <w:rFonts w:asciiTheme="minorBidi" w:hAnsiTheme="minorBidi"/>
              <w:b/>
              <w:spacing w:val="4"/>
              <w:szCs w:val="24"/>
            </w:rPr>
            <w:t xml:space="preserve">ional </w:t>
          </w:r>
          <w:r w:rsidR="00A25EE2">
            <w:rPr>
              <w:rFonts w:asciiTheme="minorBidi" w:hAnsiTheme="minorBidi"/>
              <w:b/>
              <w:spacing w:val="4"/>
              <w:szCs w:val="24"/>
            </w:rPr>
            <w:t xml:space="preserve">de </w:t>
          </w:r>
          <w:r w:rsidR="0069322D">
            <w:rPr>
              <w:rFonts w:asciiTheme="minorBidi" w:hAnsiTheme="minorBidi"/>
              <w:b/>
              <w:spacing w:val="4"/>
              <w:szCs w:val="24"/>
            </w:rPr>
            <w:t>Te</w:t>
          </w:r>
          <w:r w:rsidR="00A25EE2" w:rsidRPr="00260B24">
            <w:rPr>
              <w:rFonts w:asciiTheme="minorBidi" w:hAnsiTheme="minorBidi"/>
              <w:b/>
              <w:spacing w:val="4"/>
              <w:szCs w:val="24"/>
            </w:rPr>
            <w:t>l</w:t>
          </w:r>
          <w:r w:rsidR="0069322D">
            <w:rPr>
              <w:rFonts w:asciiTheme="minorBidi" w:hAnsiTheme="minorBidi"/>
              <w:b/>
              <w:spacing w:val="4"/>
              <w:szCs w:val="24"/>
            </w:rPr>
            <w:t>e</w:t>
          </w:r>
          <w:r w:rsidR="00A25EE2" w:rsidRPr="00260B24">
            <w:rPr>
              <w:rFonts w:asciiTheme="minorBidi" w:hAnsiTheme="minorBidi"/>
              <w:b/>
              <w:spacing w:val="4"/>
              <w:szCs w:val="24"/>
            </w:rPr>
            <w:t>comunica</w:t>
          </w:r>
          <w:r w:rsidR="0069322D">
            <w:rPr>
              <w:rFonts w:asciiTheme="minorBidi" w:hAnsiTheme="minorBidi"/>
              <w:b/>
              <w:spacing w:val="4"/>
              <w:szCs w:val="24"/>
            </w:rPr>
            <w:t>c</w:t>
          </w:r>
          <w:r w:rsidR="00A25EE2" w:rsidRPr="00260B24">
            <w:rPr>
              <w:rFonts w:asciiTheme="minorBidi" w:hAnsiTheme="minorBidi"/>
              <w:b/>
              <w:spacing w:val="4"/>
              <w:szCs w:val="24"/>
            </w:rPr>
            <w:t>ion</w:t>
          </w:r>
          <w:r w:rsidR="0069322D">
            <w:rPr>
              <w:rFonts w:asciiTheme="minorBidi" w:hAnsiTheme="minorBidi"/>
              <w:b/>
              <w:spacing w:val="4"/>
              <w:szCs w:val="24"/>
            </w:rPr>
            <w:t>e</w:t>
          </w:r>
          <w:r w:rsidR="00A25EE2">
            <w:rPr>
              <w:rFonts w:asciiTheme="minorBidi" w:hAnsiTheme="minorBidi"/>
              <w:b/>
              <w:spacing w:val="4"/>
              <w:szCs w:val="24"/>
            </w:rPr>
            <w:t>s</w:t>
          </w:r>
        </w:p>
      </w:tc>
    </w:tr>
    <w:tr w:rsidR="005B0371" w:rsidRPr="00A239D1" w14:paraId="1209211D" w14:textId="77777777" w:rsidTr="0019307B">
      <w:tc>
        <w:tcPr>
          <w:tcW w:w="4634" w:type="dxa"/>
          <w:vAlign w:val="center"/>
        </w:tcPr>
        <w:p w14:paraId="2DDFB4D4" w14:textId="77777777" w:rsidR="00EE47C4" w:rsidRPr="00260B24" w:rsidRDefault="00EE47C4" w:rsidP="00744F8B">
          <w:pPr>
            <w:pStyle w:val="Header"/>
            <w:jc w:val="left"/>
            <w:rPr>
              <w:rFonts w:asciiTheme="minorBidi" w:hAnsiTheme="minorBidi"/>
              <w:spacing w:val="4"/>
              <w:sz w:val="21"/>
              <w:szCs w:val="21"/>
            </w:rPr>
          </w:pPr>
          <w:r w:rsidRPr="00260B24">
            <w:rPr>
              <w:rFonts w:asciiTheme="minorBidi" w:hAnsiTheme="minorBidi"/>
              <w:spacing w:val="4"/>
              <w:szCs w:val="24"/>
            </w:rPr>
            <w:t>Recom</w:t>
          </w:r>
          <w:r w:rsidR="0069322D">
            <w:rPr>
              <w:rFonts w:asciiTheme="minorBidi" w:hAnsiTheme="minorBidi"/>
              <w:spacing w:val="4"/>
              <w:szCs w:val="24"/>
            </w:rPr>
            <w:t>e</w:t>
          </w:r>
          <w:r w:rsidRPr="00260B24">
            <w:rPr>
              <w:rFonts w:asciiTheme="minorBidi" w:hAnsiTheme="minorBidi"/>
              <w:spacing w:val="4"/>
              <w:szCs w:val="24"/>
            </w:rPr>
            <w:t>nda</w:t>
          </w:r>
          <w:r w:rsidR="0069322D">
            <w:rPr>
              <w:rFonts w:asciiTheme="minorBidi" w:hAnsiTheme="minorBidi"/>
              <w:spacing w:val="4"/>
              <w:szCs w:val="24"/>
            </w:rPr>
            <w:t>c</w:t>
          </w:r>
          <w:r w:rsidRPr="00260B24">
            <w:rPr>
              <w:rFonts w:asciiTheme="minorBidi" w:hAnsiTheme="minorBidi"/>
              <w:spacing w:val="4"/>
              <w:szCs w:val="24"/>
            </w:rPr>
            <w:t>i</w:t>
          </w:r>
          <w:r w:rsidR="0069322D">
            <w:rPr>
              <w:rFonts w:asciiTheme="minorBidi" w:hAnsiTheme="minorBidi"/>
              <w:spacing w:val="4"/>
              <w:szCs w:val="24"/>
            </w:rPr>
            <w:t>o</w:t>
          </w:r>
          <w:r w:rsidRPr="00260B24">
            <w:rPr>
              <w:rFonts w:asciiTheme="minorBidi" w:hAnsiTheme="minorBidi"/>
              <w:spacing w:val="4"/>
              <w:szCs w:val="24"/>
            </w:rPr>
            <w:t>n</w:t>
          </w:r>
          <w:r w:rsidR="0069322D">
            <w:rPr>
              <w:rFonts w:asciiTheme="minorBidi" w:hAnsiTheme="minorBidi"/>
              <w:spacing w:val="4"/>
              <w:szCs w:val="24"/>
            </w:rPr>
            <w:t>e</w:t>
          </w:r>
          <w:r w:rsidR="004A6FEB" w:rsidRPr="00260B24">
            <w:rPr>
              <w:rFonts w:asciiTheme="minorBidi" w:hAnsiTheme="minorBidi"/>
              <w:spacing w:val="4"/>
              <w:szCs w:val="24"/>
            </w:rPr>
            <w:t>s</w:t>
          </w:r>
        </w:p>
      </w:tc>
      <w:tc>
        <w:tcPr>
          <w:tcW w:w="5998" w:type="dxa"/>
          <w:vAlign w:val="center"/>
        </w:tcPr>
        <w:p w14:paraId="7A29009B" w14:textId="77777777" w:rsidR="00EE47C4" w:rsidRPr="00260B24" w:rsidRDefault="00A25EE2" w:rsidP="00744F8B">
          <w:pPr>
            <w:pStyle w:val="Header"/>
            <w:jc w:val="right"/>
            <w:rPr>
              <w:rFonts w:asciiTheme="minorBidi" w:hAnsiTheme="minorBidi"/>
              <w:spacing w:val="4"/>
              <w:szCs w:val="24"/>
            </w:rPr>
          </w:pPr>
          <w:r>
            <w:rPr>
              <w:rFonts w:asciiTheme="minorBidi" w:hAnsiTheme="minorBidi"/>
              <w:spacing w:val="4"/>
              <w:szCs w:val="24"/>
            </w:rPr>
            <w:t>Sect</w:t>
          </w:r>
          <w:r w:rsidR="0069322D">
            <w:rPr>
              <w:rFonts w:asciiTheme="minorBidi" w:hAnsiTheme="minorBidi"/>
              <w:spacing w:val="4"/>
              <w:szCs w:val="24"/>
            </w:rPr>
            <w:t>o</w:t>
          </w:r>
          <w:r>
            <w:rPr>
              <w:rFonts w:asciiTheme="minorBidi" w:hAnsiTheme="minorBidi"/>
              <w:spacing w:val="4"/>
              <w:szCs w:val="24"/>
            </w:rPr>
            <w:t xml:space="preserve">r de </w:t>
          </w:r>
          <w:r w:rsidR="00EE47C4" w:rsidRPr="00260B24">
            <w:rPr>
              <w:rFonts w:asciiTheme="minorBidi" w:hAnsiTheme="minorBidi"/>
              <w:spacing w:val="4"/>
              <w:szCs w:val="24"/>
            </w:rPr>
            <w:t>Radiocomunica</w:t>
          </w:r>
          <w:r w:rsidR="0069322D">
            <w:rPr>
              <w:rFonts w:asciiTheme="minorBidi" w:hAnsiTheme="minorBidi"/>
              <w:spacing w:val="4"/>
              <w:szCs w:val="24"/>
            </w:rPr>
            <w:t>c</w:t>
          </w:r>
          <w:r w:rsidR="00EE47C4" w:rsidRPr="00260B24">
            <w:rPr>
              <w:rFonts w:asciiTheme="minorBidi" w:hAnsiTheme="minorBidi"/>
              <w:spacing w:val="4"/>
              <w:szCs w:val="24"/>
            </w:rPr>
            <w:t>ion</w:t>
          </w:r>
          <w:r w:rsidR="0069322D">
            <w:rPr>
              <w:rFonts w:asciiTheme="minorBidi" w:hAnsiTheme="minorBidi"/>
              <w:spacing w:val="4"/>
              <w:szCs w:val="24"/>
            </w:rPr>
            <w:t>e</w:t>
          </w:r>
          <w:r>
            <w:rPr>
              <w:rFonts w:asciiTheme="minorBidi" w:hAnsiTheme="minorBidi"/>
              <w:spacing w:val="4"/>
              <w:szCs w:val="24"/>
            </w:rPr>
            <w:t>s</w:t>
          </w:r>
        </w:p>
      </w:tc>
    </w:tr>
  </w:tbl>
  <w:p w14:paraId="0348111B" w14:textId="77777777" w:rsidR="00EE47C4" w:rsidRDefault="0069322D" w:rsidP="004A6FEB">
    <w:pPr>
      <w:pStyle w:val="Header"/>
    </w:pPr>
    <w:r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7D0CD65C" wp14:editId="70887019">
          <wp:simplePos x="0" y="0"/>
          <wp:positionH relativeFrom="column">
            <wp:posOffset>-252095</wp:posOffset>
          </wp:positionH>
          <wp:positionV relativeFrom="paragraph">
            <wp:posOffset>-562165</wp:posOffset>
          </wp:positionV>
          <wp:extent cx="1781299" cy="383901"/>
          <wp:effectExtent l="0" t="0" r="0" b="0"/>
          <wp:wrapNone/>
          <wp:docPr id="7" name="Picture 7" descr="ITU Publicacion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TU Publicacion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299" cy="383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7D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415669" wp14:editId="0E9CC035">
              <wp:simplePos x="0" y="0"/>
              <wp:positionH relativeFrom="column">
                <wp:posOffset>-106045</wp:posOffset>
              </wp:positionH>
              <wp:positionV relativeFrom="paragraph">
                <wp:posOffset>164465</wp:posOffset>
              </wp:positionV>
              <wp:extent cx="301625" cy="172085"/>
              <wp:effectExtent l="17780" t="12065" r="23495" b="1587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301625" cy="17208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F8F8F8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C9DB5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1026" type="#_x0000_t5" style="position:absolute;margin-left:-8.35pt;margin-top:12.95pt;width:23.75pt;height:13.5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" fillcolor="white [3212]" strokecolor="#f8f8f8"/>
          </w:pict>
        </mc:Fallback>
      </mc:AlternateContent>
    </w:r>
  </w:p>
  <w:p w14:paraId="7EC4FBCA" w14:textId="77777777" w:rsidR="004A6FEB" w:rsidRDefault="00A507D4" w:rsidP="004A6FEB">
    <w:pPr>
      <w:pStyle w:val="Header"/>
      <w:ind w:right="360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865E5D" wp14:editId="73DED698">
              <wp:simplePos x="0" y="0"/>
              <wp:positionH relativeFrom="page">
                <wp:posOffset>0</wp:posOffset>
              </wp:positionH>
              <wp:positionV relativeFrom="page">
                <wp:posOffset>1196340</wp:posOffset>
              </wp:positionV>
              <wp:extent cx="7560310" cy="236220"/>
              <wp:effectExtent l="9525" t="5715" r="12065" b="5715"/>
              <wp:wrapNone/>
              <wp:docPr id="2" name="docshapegroup6" descr="Header separator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36220"/>
                        <a:chOff x="0" y="1884"/>
                        <a:chExt cx="11906" cy="372"/>
                      </a:xfrm>
                    </wpg:grpSpPr>
                    <wps:wsp>
                      <wps:cNvPr id="3" name="docshape7" descr="Header separator line"/>
                      <wps:cNvSpPr>
                        <a:spLocks noChangeArrowheads="1"/>
                      </wps:cNvSpPr>
                      <wps:spPr bwMode="auto">
                        <a:xfrm>
                          <a:off x="0" y="1944"/>
                          <a:ext cx="11906" cy="312"/>
                        </a:xfrm>
                        <a:prstGeom prst="rect">
                          <a:avLst/>
                        </a:prstGeom>
                        <a:solidFill>
                          <a:srgbClr val="009CD6"/>
                        </a:solidFill>
                        <a:ln w="9525">
                          <a:solidFill>
                            <a:srgbClr val="009CD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8" descr="Header separator line"/>
                      <wps:cNvSpPr>
                        <a:spLocks/>
                      </wps:cNvSpPr>
                      <wps:spPr bwMode="auto">
                        <a:xfrm>
                          <a:off x="1109" y="1884"/>
                          <a:ext cx="627" cy="314"/>
                        </a:xfrm>
                        <a:custGeom>
                          <a:avLst/>
                          <a:gdLst>
                            <a:gd name="T0" fmla="+- 0 1736 1109"/>
                            <a:gd name="T1" fmla="*/ T0 w 627"/>
                            <a:gd name="T2" fmla="+- 0 1884 1884"/>
                            <a:gd name="T3" fmla="*/ 1884 h 314"/>
                            <a:gd name="T4" fmla="+- 0 1109 1109"/>
                            <a:gd name="T5" fmla="*/ T4 w 627"/>
                            <a:gd name="T6" fmla="+- 0 1884 1884"/>
                            <a:gd name="T7" fmla="*/ 1884 h 314"/>
                            <a:gd name="T8" fmla="+- 0 1423 1109"/>
                            <a:gd name="T9" fmla="*/ T8 w 627"/>
                            <a:gd name="T10" fmla="+- 0 2197 1884"/>
                            <a:gd name="T11" fmla="*/ 2197 h 314"/>
                            <a:gd name="T12" fmla="+- 0 1736 1109"/>
                            <a:gd name="T13" fmla="*/ T12 w 627"/>
                            <a:gd name="T14" fmla="+- 0 1884 1884"/>
                            <a:gd name="T15" fmla="*/ 188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27" h="314">
                              <a:moveTo>
                                <a:pt x="627" y="0"/>
                              </a:moveTo>
                              <a:lnTo>
                                <a:pt x="0" y="0"/>
                              </a:lnTo>
                              <a:lnTo>
                                <a:pt x="314" y="313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CD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A765F5" id="docshapegroup6" o:spid="_x0000_s1026" alt="Header separator line" style="position:absolute;margin-left:0;margin-top:94.2pt;width:595.3pt;height:18.6pt;z-index:251659264;mso-position-horizontal-relative:page;mso-position-vertical-relative:page" coordorigin=",1884" coordsize="1190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">
              <v:rect id="docshape7" o:spid="_x0000_s1027" alt="Header separator line" style="position:absolute;top:1944;width:1190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" fillcolor="#009cd6" strokecolor="#009cd6"/>
              <v:shape id="docshape8" o:spid="_x0000_s1028" alt="Header separator line" style="position:absolute;left:1109;top:18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" path="m627,l,,314,313,627,xe" fillcolor="white [3212]" stroked="f" strokecolor="#009cd6">
                <v:path arrowok="t" o:connecttype="custom" o:connectlocs="627,1884;0,1884;314,2197;627,1884" o:connectangles="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BE3BB" w14:textId="280D9D3B" w:rsidR="001B164E" w:rsidRPr="00D72623" w:rsidRDefault="00D72623" w:rsidP="00D72623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 w:rsidRPr="00F111D6">
      <w:rPr>
        <w:rStyle w:val="PageNumber"/>
        <w:b/>
        <w:bCs/>
        <w:lang w:val="en-GB"/>
      </w:rPr>
      <w:t>ii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b/>
        <w:bCs/>
        <w:lang w:val="en-US"/>
      </w:rPr>
      <w:fldChar w:fldCharType="begin"/>
    </w:r>
    <w:r>
      <w:rPr>
        <w:b/>
        <w:bCs/>
        <w:lang w:val="en-US"/>
      </w:rPr>
      <w:instrText xml:space="preserve"> DOCPROPERTY "Header" \* MERGEFORMAT </w:instrText>
    </w:r>
    <w:r>
      <w:rPr>
        <w:b/>
        <w:bCs/>
        <w:lang w:val="en-US"/>
      </w:rPr>
      <w:fldChar w:fldCharType="separate"/>
    </w:r>
    <w:r w:rsidR="001B62AF">
      <w:rPr>
        <w:b/>
        <w:bCs/>
        <w:lang w:val="en-US"/>
      </w:rPr>
      <w:t xml:space="preserve">Rec. </w:t>
    </w:r>
    <w:r>
      <w:rPr>
        <w:b/>
        <w:bCs/>
        <w:lang w:val="en-US"/>
      </w:rPr>
      <w:fldChar w:fldCharType="end"/>
    </w:r>
    <w:r w:rsidRPr="00F111D6">
      <w:rPr>
        <w:b/>
        <w:bCs/>
        <w:lang w:val="en-GB"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 w:rsidR="001B62AF">
      <w:rPr>
        <w:b/>
        <w:bCs/>
        <w:noProof/>
        <w:lang w:val="en-US"/>
      </w:rPr>
      <w:t>UIT-R  M.2164-0</w:t>
    </w:r>
    <w:r>
      <w:rPr>
        <w:b/>
        <w:bCs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1DA95" w14:textId="49B8C50E" w:rsidR="001B164E" w:rsidRDefault="001B164E">
    <w:pPr>
      <w:pStyle w:val="Header"/>
    </w:pPr>
    <w:r>
      <w:tab/>
    </w:r>
    <w:r w:rsidR="00C84DB7">
      <w:rPr>
        <w:b/>
        <w:bCs/>
      </w:rPr>
      <w:fldChar w:fldCharType="begin"/>
    </w:r>
    <w:r w:rsidR="00C84DB7">
      <w:rPr>
        <w:b/>
        <w:bCs/>
      </w:rPr>
      <w:instrText xml:space="preserve"> DOCPROPERTY "Header" \* MERGEFORMAT </w:instrText>
    </w:r>
    <w:r w:rsidR="00C84DB7">
      <w:rPr>
        <w:b/>
        <w:bCs/>
      </w:rPr>
      <w:fldChar w:fldCharType="separate"/>
    </w:r>
    <w:r w:rsidR="001B62AF">
      <w:rPr>
        <w:b/>
        <w:bCs/>
      </w:rPr>
      <w:t xml:space="preserve">Rec. </w:t>
    </w:r>
    <w:r w:rsidR="00C84DB7">
      <w:rPr>
        <w:b/>
        <w:bCs/>
      </w:rPr>
      <w:fldChar w:fldCharType="end"/>
    </w:r>
    <w:r>
      <w:rPr>
        <w:b/>
        <w:bCs/>
      </w:rPr>
      <w:t xml:space="preserve"> </w:t>
    </w:r>
    <w:r w:rsidR="006C37D5">
      <w:rPr>
        <w:b/>
        <w:bCs/>
      </w:rPr>
      <w:fldChar w:fldCharType="begin"/>
    </w:r>
    <w:r>
      <w:rPr>
        <w:b/>
        <w:bCs/>
      </w:rPr>
      <w:instrText>styleref href</w:instrText>
    </w:r>
    <w:r w:rsidR="006C37D5">
      <w:rPr>
        <w:b/>
        <w:bCs/>
      </w:rPr>
      <w:fldChar w:fldCharType="separate"/>
    </w:r>
    <w:r w:rsidR="001B62AF">
      <w:rPr>
        <w:b/>
        <w:bCs/>
        <w:noProof/>
      </w:rPr>
      <w:t>UIT-R  M.2164-0</w:t>
    </w:r>
    <w:r w:rsidR="006C37D5">
      <w:rPr>
        <w:b/>
        <w:bCs/>
      </w:rPr>
      <w:fldChar w:fldCharType="end"/>
    </w:r>
    <w:r>
      <w:tab/>
    </w:r>
    <w:r w:rsidR="006C37D5"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 w:rsidR="006C37D5">
      <w:rPr>
        <w:rStyle w:val="PageNumber"/>
        <w:b/>
        <w:bCs/>
      </w:rPr>
      <w:fldChar w:fldCharType="separate"/>
    </w:r>
    <w:r w:rsidR="00C84DB7">
      <w:rPr>
        <w:rStyle w:val="PageNumber"/>
        <w:b/>
        <w:bCs/>
        <w:noProof/>
      </w:rPr>
      <w:t>1</w:t>
    </w:r>
    <w:r w:rsidR="006C37D5">
      <w:rPr>
        <w:rStyle w:val="PageNumber"/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E0741"/>
    <w:multiLevelType w:val="hybridMultilevel"/>
    <w:tmpl w:val="73506790"/>
    <w:lvl w:ilvl="0" w:tplc="9FA02DF4">
      <w:numFmt w:val="bullet"/>
      <w:lvlText w:val="–"/>
      <w:lvlJc w:val="left"/>
      <w:pPr>
        <w:tabs>
          <w:tab w:val="num" w:pos="795"/>
        </w:tabs>
        <w:ind w:left="795" w:hanging="79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5482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SpellingErrors/>
  <w:hideGrammaticalErrors/>
  <w:activeWritingStyle w:appName="MSWord" w:lang="en-US" w:vendorID="64" w:dllVersion="5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s-ES_tradnl" w:vendorID="64" w:dllVersion="6" w:nlCheck="1" w:checkStyle="1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>
      <o:colormru v:ext="edit" colors="#d62a47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DF"/>
    <w:rsid w:val="00013002"/>
    <w:rsid w:val="000246E0"/>
    <w:rsid w:val="00036EE3"/>
    <w:rsid w:val="00072484"/>
    <w:rsid w:val="00095530"/>
    <w:rsid w:val="00096612"/>
    <w:rsid w:val="000A4A32"/>
    <w:rsid w:val="000B1B2B"/>
    <w:rsid w:val="000B7683"/>
    <w:rsid w:val="000D0677"/>
    <w:rsid w:val="000E0548"/>
    <w:rsid w:val="000E6A6E"/>
    <w:rsid w:val="00102934"/>
    <w:rsid w:val="00120C75"/>
    <w:rsid w:val="00147110"/>
    <w:rsid w:val="001511A6"/>
    <w:rsid w:val="00171C4D"/>
    <w:rsid w:val="0017562F"/>
    <w:rsid w:val="0019307B"/>
    <w:rsid w:val="0019325D"/>
    <w:rsid w:val="001B0927"/>
    <w:rsid w:val="001B164E"/>
    <w:rsid w:val="001B62AF"/>
    <w:rsid w:val="001B7886"/>
    <w:rsid w:val="001C4108"/>
    <w:rsid w:val="001F38BB"/>
    <w:rsid w:val="002058CE"/>
    <w:rsid w:val="002165F1"/>
    <w:rsid w:val="00233211"/>
    <w:rsid w:val="00260B24"/>
    <w:rsid w:val="0027411A"/>
    <w:rsid w:val="00276D21"/>
    <w:rsid w:val="00282DCF"/>
    <w:rsid w:val="00290CDD"/>
    <w:rsid w:val="002958B5"/>
    <w:rsid w:val="00296D7F"/>
    <w:rsid w:val="002A5D45"/>
    <w:rsid w:val="002B3CF6"/>
    <w:rsid w:val="002B3E59"/>
    <w:rsid w:val="002C768A"/>
    <w:rsid w:val="002D0BD7"/>
    <w:rsid w:val="002D76C4"/>
    <w:rsid w:val="002E206E"/>
    <w:rsid w:val="002F5199"/>
    <w:rsid w:val="00301DB3"/>
    <w:rsid w:val="00305119"/>
    <w:rsid w:val="00312E58"/>
    <w:rsid w:val="003157F1"/>
    <w:rsid w:val="00346EC2"/>
    <w:rsid w:val="00356B5D"/>
    <w:rsid w:val="00357707"/>
    <w:rsid w:val="0036627C"/>
    <w:rsid w:val="00382961"/>
    <w:rsid w:val="003E5516"/>
    <w:rsid w:val="003F4B75"/>
    <w:rsid w:val="003F691C"/>
    <w:rsid w:val="00410651"/>
    <w:rsid w:val="00420DFD"/>
    <w:rsid w:val="00425BC7"/>
    <w:rsid w:val="00437A76"/>
    <w:rsid w:val="004604B2"/>
    <w:rsid w:val="00470E28"/>
    <w:rsid w:val="0047379B"/>
    <w:rsid w:val="00474170"/>
    <w:rsid w:val="00477729"/>
    <w:rsid w:val="004842E2"/>
    <w:rsid w:val="00486EB3"/>
    <w:rsid w:val="004934C5"/>
    <w:rsid w:val="004A6FEB"/>
    <w:rsid w:val="004E61FF"/>
    <w:rsid w:val="0053519A"/>
    <w:rsid w:val="005373E0"/>
    <w:rsid w:val="00556548"/>
    <w:rsid w:val="00571B1C"/>
    <w:rsid w:val="00576D47"/>
    <w:rsid w:val="00586EF8"/>
    <w:rsid w:val="005B0371"/>
    <w:rsid w:val="005B49AB"/>
    <w:rsid w:val="005B50E7"/>
    <w:rsid w:val="005C4BAB"/>
    <w:rsid w:val="005E12A5"/>
    <w:rsid w:val="005E69F0"/>
    <w:rsid w:val="005E7B4F"/>
    <w:rsid w:val="005F003B"/>
    <w:rsid w:val="005F2E73"/>
    <w:rsid w:val="00601882"/>
    <w:rsid w:val="00607D68"/>
    <w:rsid w:val="00612FDF"/>
    <w:rsid w:val="00613212"/>
    <w:rsid w:val="006149B1"/>
    <w:rsid w:val="00640332"/>
    <w:rsid w:val="00680D2B"/>
    <w:rsid w:val="00681B32"/>
    <w:rsid w:val="0069322D"/>
    <w:rsid w:val="00697887"/>
    <w:rsid w:val="006B1D2B"/>
    <w:rsid w:val="006B1E05"/>
    <w:rsid w:val="006C37D5"/>
    <w:rsid w:val="006E1131"/>
    <w:rsid w:val="006E2037"/>
    <w:rsid w:val="006E6199"/>
    <w:rsid w:val="006F536F"/>
    <w:rsid w:val="00712870"/>
    <w:rsid w:val="00714AC0"/>
    <w:rsid w:val="0074147D"/>
    <w:rsid w:val="00743D85"/>
    <w:rsid w:val="00744F8B"/>
    <w:rsid w:val="00747D6E"/>
    <w:rsid w:val="00753CF4"/>
    <w:rsid w:val="007565CC"/>
    <w:rsid w:val="007624B1"/>
    <w:rsid w:val="00763B9A"/>
    <w:rsid w:val="007A0BC8"/>
    <w:rsid w:val="007A6AA8"/>
    <w:rsid w:val="007B1357"/>
    <w:rsid w:val="007B3343"/>
    <w:rsid w:val="008310C9"/>
    <w:rsid w:val="008335F0"/>
    <w:rsid w:val="00834306"/>
    <w:rsid w:val="00841046"/>
    <w:rsid w:val="00853CC5"/>
    <w:rsid w:val="00877E6E"/>
    <w:rsid w:val="008B083A"/>
    <w:rsid w:val="008B56B2"/>
    <w:rsid w:val="008C7848"/>
    <w:rsid w:val="00903C05"/>
    <w:rsid w:val="00906589"/>
    <w:rsid w:val="00906AD6"/>
    <w:rsid w:val="00917AF2"/>
    <w:rsid w:val="0092418A"/>
    <w:rsid w:val="00934ED7"/>
    <w:rsid w:val="00940D16"/>
    <w:rsid w:val="009543C3"/>
    <w:rsid w:val="00966E1B"/>
    <w:rsid w:val="00972F51"/>
    <w:rsid w:val="00984A02"/>
    <w:rsid w:val="009947C0"/>
    <w:rsid w:val="009A1FDD"/>
    <w:rsid w:val="009A4039"/>
    <w:rsid w:val="009A41F9"/>
    <w:rsid w:val="009D4BBD"/>
    <w:rsid w:val="009F2D2C"/>
    <w:rsid w:val="009F2D88"/>
    <w:rsid w:val="009F5580"/>
    <w:rsid w:val="00A03C0E"/>
    <w:rsid w:val="00A16BE1"/>
    <w:rsid w:val="00A239D1"/>
    <w:rsid w:val="00A25EE2"/>
    <w:rsid w:val="00A300C7"/>
    <w:rsid w:val="00A31928"/>
    <w:rsid w:val="00A35B27"/>
    <w:rsid w:val="00A507D4"/>
    <w:rsid w:val="00A5147A"/>
    <w:rsid w:val="00A62A14"/>
    <w:rsid w:val="00A6617B"/>
    <w:rsid w:val="00A71FE5"/>
    <w:rsid w:val="00A7534B"/>
    <w:rsid w:val="00A76007"/>
    <w:rsid w:val="00A86DD2"/>
    <w:rsid w:val="00A936CB"/>
    <w:rsid w:val="00A971A1"/>
    <w:rsid w:val="00AA3AD8"/>
    <w:rsid w:val="00AB0DC8"/>
    <w:rsid w:val="00AB405C"/>
    <w:rsid w:val="00AC015D"/>
    <w:rsid w:val="00AD098C"/>
    <w:rsid w:val="00AE698D"/>
    <w:rsid w:val="00AF0286"/>
    <w:rsid w:val="00AF5326"/>
    <w:rsid w:val="00B019A2"/>
    <w:rsid w:val="00B0286E"/>
    <w:rsid w:val="00B033C8"/>
    <w:rsid w:val="00B111CE"/>
    <w:rsid w:val="00B33425"/>
    <w:rsid w:val="00B42334"/>
    <w:rsid w:val="00B44E24"/>
    <w:rsid w:val="00B54ECC"/>
    <w:rsid w:val="00B60AC0"/>
    <w:rsid w:val="00B714F3"/>
    <w:rsid w:val="00B75A52"/>
    <w:rsid w:val="00B874C6"/>
    <w:rsid w:val="00B87B6B"/>
    <w:rsid w:val="00B9169E"/>
    <w:rsid w:val="00B96572"/>
    <w:rsid w:val="00BB7886"/>
    <w:rsid w:val="00BC5D77"/>
    <w:rsid w:val="00BD4283"/>
    <w:rsid w:val="00BF487A"/>
    <w:rsid w:val="00BF5544"/>
    <w:rsid w:val="00C15F3E"/>
    <w:rsid w:val="00C46BD9"/>
    <w:rsid w:val="00C55258"/>
    <w:rsid w:val="00C73560"/>
    <w:rsid w:val="00C84DB7"/>
    <w:rsid w:val="00C87A35"/>
    <w:rsid w:val="00CB0F14"/>
    <w:rsid w:val="00CD659B"/>
    <w:rsid w:val="00CE0A43"/>
    <w:rsid w:val="00CF130D"/>
    <w:rsid w:val="00D00118"/>
    <w:rsid w:val="00D0483A"/>
    <w:rsid w:val="00D16749"/>
    <w:rsid w:val="00D5024B"/>
    <w:rsid w:val="00D61962"/>
    <w:rsid w:val="00D72623"/>
    <w:rsid w:val="00D83556"/>
    <w:rsid w:val="00DE5556"/>
    <w:rsid w:val="00DE707A"/>
    <w:rsid w:val="00DF4176"/>
    <w:rsid w:val="00E0095C"/>
    <w:rsid w:val="00E17240"/>
    <w:rsid w:val="00E222BE"/>
    <w:rsid w:val="00E74595"/>
    <w:rsid w:val="00E77485"/>
    <w:rsid w:val="00EB1CB6"/>
    <w:rsid w:val="00EB7C57"/>
    <w:rsid w:val="00EC4D79"/>
    <w:rsid w:val="00ED2695"/>
    <w:rsid w:val="00ED3CA8"/>
    <w:rsid w:val="00EE04BA"/>
    <w:rsid w:val="00EE47C4"/>
    <w:rsid w:val="00EF2D52"/>
    <w:rsid w:val="00F111D6"/>
    <w:rsid w:val="00F17CED"/>
    <w:rsid w:val="00F30C9B"/>
    <w:rsid w:val="00F354B1"/>
    <w:rsid w:val="00F354D7"/>
    <w:rsid w:val="00F6343F"/>
    <w:rsid w:val="00F72776"/>
    <w:rsid w:val="00F77360"/>
    <w:rsid w:val="00F92A40"/>
    <w:rsid w:val="00FB0E4E"/>
    <w:rsid w:val="00FE79FE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62a47,#f8f8f8"/>
    </o:shapedefaults>
    <o:shapelayout v:ext="edit">
      <o:idmap v:ext="edit" data="2"/>
    </o:shapelayout>
  </w:shapeDefaults>
  <w:decimalSymbol w:val=","/>
  <w:listSeparator w:val=";"/>
  <w14:docId w14:val="09E6533B"/>
  <w15:docId w15:val="{73025D1B-43EB-4786-8585-70DE4574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536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  <w:lang w:val="es-ES" w:eastAsia="en-US"/>
    </w:rPr>
  </w:style>
  <w:style w:type="paragraph" w:styleId="Heading1">
    <w:name w:val="heading 1"/>
    <w:basedOn w:val="Normal"/>
    <w:next w:val="Normal"/>
    <w:qFormat/>
    <w:rsid w:val="00A936CB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A936CB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A936CB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A936CB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A936CB"/>
    <w:pPr>
      <w:outlineLvl w:val="4"/>
    </w:pPr>
  </w:style>
  <w:style w:type="paragraph" w:styleId="Heading6">
    <w:name w:val="heading 6"/>
    <w:basedOn w:val="Heading4"/>
    <w:next w:val="Normal"/>
    <w:qFormat/>
    <w:rsid w:val="00A936CB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A936CB"/>
    <w:pPr>
      <w:outlineLvl w:val="6"/>
    </w:pPr>
  </w:style>
  <w:style w:type="paragraph" w:styleId="Heading8">
    <w:name w:val="heading 8"/>
    <w:basedOn w:val="Heading6"/>
    <w:next w:val="Normal"/>
    <w:qFormat/>
    <w:rsid w:val="00A936CB"/>
    <w:pPr>
      <w:outlineLvl w:val="7"/>
    </w:pPr>
  </w:style>
  <w:style w:type="paragraph" w:styleId="Heading9">
    <w:name w:val="heading 9"/>
    <w:basedOn w:val="Heading6"/>
    <w:next w:val="Normal"/>
    <w:qFormat/>
    <w:rsid w:val="00A936CB"/>
    <w:pPr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36CB"/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</w:style>
  <w:style w:type="paragraph" w:styleId="Footer">
    <w:name w:val="footer"/>
    <w:basedOn w:val="Normal"/>
    <w:rsid w:val="00A936CB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noProof/>
      <w:sz w:val="18"/>
    </w:rPr>
  </w:style>
  <w:style w:type="character" w:styleId="PageNumber">
    <w:name w:val="page number"/>
    <w:basedOn w:val="DefaultParagraphFont"/>
    <w:rsid w:val="00A936CB"/>
  </w:style>
  <w:style w:type="paragraph" w:customStyle="1" w:styleId="Headingb">
    <w:name w:val="Heading_b"/>
    <w:basedOn w:val="Heading3"/>
    <w:next w:val="Normal"/>
    <w:rsid w:val="00A936CB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A936CB"/>
    <w:pPr>
      <w:spacing w:before="160"/>
      <w:ind w:left="0" w:firstLine="0"/>
    </w:pPr>
    <w:rPr>
      <w:b w:val="0"/>
      <w:i/>
    </w:rPr>
  </w:style>
  <w:style w:type="character" w:customStyle="1" w:styleId="href">
    <w:name w:val="href"/>
    <w:basedOn w:val="DefaultParagraphFont"/>
    <w:rsid w:val="00A936CB"/>
  </w:style>
  <w:style w:type="paragraph" w:customStyle="1" w:styleId="AnnexNoTitle">
    <w:name w:val="Annex_NoTitle"/>
    <w:basedOn w:val="Normal"/>
    <w:next w:val="Normalaftertitle"/>
    <w:rsid w:val="00A936CB"/>
    <w:pPr>
      <w:keepNext/>
      <w:keepLines/>
      <w:spacing w:before="480" w:after="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A936CB"/>
    <w:pPr>
      <w:spacing w:before="320"/>
    </w:pPr>
  </w:style>
  <w:style w:type="paragraph" w:customStyle="1" w:styleId="enumlev2">
    <w:name w:val="enumlev2"/>
    <w:basedOn w:val="enumlev1"/>
    <w:qFormat/>
    <w:rsid w:val="00A936CB"/>
    <w:pPr>
      <w:ind w:left="1191" w:hanging="397"/>
    </w:pPr>
  </w:style>
  <w:style w:type="paragraph" w:customStyle="1" w:styleId="enumlev1">
    <w:name w:val="enumlev1"/>
    <w:basedOn w:val="Normal"/>
    <w:link w:val="enumlev1Char"/>
    <w:qFormat/>
    <w:rsid w:val="00A936CB"/>
    <w:pPr>
      <w:spacing w:before="80"/>
      <w:ind w:left="794" w:hanging="794"/>
    </w:pPr>
  </w:style>
  <w:style w:type="paragraph" w:customStyle="1" w:styleId="enumlev3">
    <w:name w:val="enumlev3"/>
    <w:basedOn w:val="enumlev2"/>
    <w:rsid w:val="00A936CB"/>
    <w:pPr>
      <w:ind w:left="1588"/>
    </w:pPr>
  </w:style>
  <w:style w:type="paragraph" w:customStyle="1" w:styleId="Note">
    <w:name w:val="Note"/>
    <w:basedOn w:val="Normal"/>
    <w:rsid w:val="00A936CB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2"/>
    </w:rPr>
  </w:style>
  <w:style w:type="paragraph" w:customStyle="1" w:styleId="RecNo">
    <w:name w:val="Rec_No"/>
    <w:basedOn w:val="Normal"/>
    <w:next w:val="Rectitle"/>
    <w:rsid w:val="00A936C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8"/>
    </w:rPr>
  </w:style>
  <w:style w:type="paragraph" w:customStyle="1" w:styleId="Rectitle">
    <w:name w:val="Rec_title"/>
    <w:basedOn w:val="Normal"/>
    <w:next w:val="Recref"/>
    <w:rsid w:val="00A936CB"/>
    <w:pPr>
      <w:keepNext/>
      <w:keepLines/>
      <w:spacing w:before="24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A936CB"/>
    <w:pPr>
      <w:jc w:val="center"/>
    </w:pPr>
  </w:style>
  <w:style w:type="paragraph" w:customStyle="1" w:styleId="Recdate">
    <w:name w:val="Rec_date"/>
    <w:basedOn w:val="Recref"/>
    <w:next w:val="Normalaftertitle"/>
    <w:rsid w:val="00A936CB"/>
    <w:pPr>
      <w:jc w:val="right"/>
    </w:pPr>
  </w:style>
  <w:style w:type="paragraph" w:customStyle="1" w:styleId="HeadingSum">
    <w:name w:val="Heading_Sum"/>
    <w:basedOn w:val="Headingb"/>
    <w:next w:val="Normal"/>
    <w:autoRedefine/>
    <w:rsid w:val="00AD098C"/>
    <w:pPr>
      <w:spacing w:before="240"/>
    </w:pPr>
    <w:rPr>
      <w:sz w:val="22"/>
      <w:szCs w:val="22"/>
      <w:lang w:val="es-ES_tradnl"/>
    </w:rPr>
  </w:style>
  <w:style w:type="paragraph" w:customStyle="1" w:styleId="AppendixNoTitle">
    <w:name w:val="Appendix_NoTitle"/>
    <w:basedOn w:val="AnnexNoTitle"/>
    <w:next w:val="Normal"/>
    <w:rsid w:val="00A936CB"/>
  </w:style>
  <w:style w:type="paragraph" w:customStyle="1" w:styleId="Tablefin">
    <w:name w:val="Table_fin"/>
    <w:basedOn w:val="Normal"/>
    <w:next w:val="Normal"/>
    <w:rsid w:val="00A936CB"/>
    <w:pPr>
      <w:spacing w:before="0"/>
    </w:pPr>
    <w:rPr>
      <w:sz w:val="20"/>
      <w:lang w:val="en-GB"/>
    </w:rPr>
  </w:style>
  <w:style w:type="paragraph" w:customStyle="1" w:styleId="Tablehead">
    <w:name w:val="Table_head"/>
    <w:basedOn w:val="Normal"/>
    <w:next w:val="Normal"/>
    <w:rsid w:val="00A936C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A936C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2"/>
    </w:rPr>
  </w:style>
  <w:style w:type="paragraph" w:customStyle="1" w:styleId="TableNo">
    <w:name w:val="Table_No"/>
    <w:basedOn w:val="Normal"/>
    <w:next w:val="Normal"/>
    <w:rsid w:val="00A936CB"/>
    <w:pPr>
      <w:keepNext/>
      <w:spacing w:before="360" w:after="120"/>
      <w:jc w:val="center"/>
    </w:pPr>
  </w:style>
  <w:style w:type="paragraph" w:customStyle="1" w:styleId="Tabletext">
    <w:name w:val="Table_text"/>
    <w:basedOn w:val="Normal"/>
    <w:rsid w:val="00A936C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Equation">
    <w:name w:val="Equation"/>
    <w:basedOn w:val="Normal"/>
    <w:rsid w:val="00A936C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A936CB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  <w:rPr>
      <w:lang w:val="en-US"/>
    </w:rPr>
  </w:style>
  <w:style w:type="paragraph" w:styleId="NormalIndent">
    <w:name w:val="Normal Indent"/>
    <w:basedOn w:val="Normal"/>
    <w:rsid w:val="00A936CB"/>
    <w:pPr>
      <w:ind w:left="794"/>
    </w:pPr>
  </w:style>
  <w:style w:type="paragraph" w:customStyle="1" w:styleId="Figurelegend">
    <w:name w:val="Figure_legend"/>
    <w:basedOn w:val="Normal"/>
    <w:rsid w:val="00A936C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A936CB"/>
    <w:pPr>
      <w:keepNext/>
      <w:keepLines/>
      <w:spacing w:before="480" w:after="80"/>
      <w:jc w:val="center"/>
    </w:pPr>
    <w:rPr>
      <w:caps/>
      <w:sz w:val="18"/>
    </w:rPr>
  </w:style>
  <w:style w:type="paragraph" w:customStyle="1" w:styleId="Figuretitle">
    <w:name w:val="Figure_title"/>
    <w:basedOn w:val="Normal"/>
    <w:next w:val="Figure"/>
    <w:rsid w:val="00A936CB"/>
    <w:pPr>
      <w:keepNext/>
      <w:spacing w:before="0" w:after="120"/>
      <w:jc w:val="center"/>
    </w:pPr>
    <w:rPr>
      <w:rFonts w:ascii="Times New Roman Bold" w:hAnsi="Times New Roman Bold"/>
      <w:b/>
      <w:sz w:val="18"/>
    </w:rPr>
  </w:style>
  <w:style w:type="paragraph" w:customStyle="1" w:styleId="Figure">
    <w:name w:val="Figure"/>
    <w:basedOn w:val="FigureNo"/>
    <w:next w:val="Normal"/>
    <w:rsid w:val="00A936CB"/>
    <w:pPr>
      <w:keepNext w:val="0"/>
      <w:spacing w:before="0" w:after="240"/>
    </w:pPr>
  </w:style>
  <w:style w:type="paragraph" w:customStyle="1" w:styleId="tocpart">
    <w:name w:val="tocpart"/>
    <w:basedOn w:val="Normal"/>
    <w:rsid w:val="00A936CB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</w:pPr>
  </w:style>
  <w:style w:type="paragraph" w:customStyle="1" w:styleId="ArtNo">
    <w:name w:val="Art_No"/>
    <w:basedOn w:val="Normal"/>
    <w:next w:val="Normal"/>
    <w:rsid w:val="00A936CB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aftertitle"/>
    <w:rsid w:val="00A936CB"/>
    <w:pPr>
      <w:keepNext/>
      <w:keepLines/>
      <w:spacing w:before="240"/>
      <w:jc w:val="center"/>
    </w:pPr>
    <w:rPr>
      <w:b/>
      <w:sz w:val="28"/>
    </w:rPr>
  </w:style>
  <w:style w:type="paragraph" w:customStyle="1" w:styleId="Blanc">
    <w:name w:val="Blanc"/>
    <w:basedOn w:val="Normal"/>
    <w:next w:val="Tabletext"/>
    <w:rsid w:val="00A936C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  <w:lang w:val="en-GB"/>
    </w:rPr>
  </w:style>
  <w:style w:type="paragraph" w:customStyle="1" w:styleId="ASN1">
    <w:name w:val="ASN.1"/>
    <w:basedOn w:val="Normal"/>
    <w:next w:val="Normal"/>
    <w:rsid w:val="00A936C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A936CB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A936CB"/>
    <w:rPr>
      <w:b/>
    </w:rPr>
  </w:style>
  <w:style w:type="paragraph" w:customStyle="1" w:styleId="Chaptitle">
    <w:name w:val="Chap_title"/>
    <w:basedOn w:val="Arttitle"/>
    <w:next w:val="Normalaftertitle"/>
    <w:rsid w:val="00A936CB"/>
  </w:style>
  <w:style w:type="character" w:styleId="FootnoteReference">
    <w:name w:val="footnote reference"/>
    <w:aliases w:val="Footnote Reference/,Appel note de bas de p,Footnote symbol,Style 13,Style 12,(NECG) Footnote Reference,Style 124,Appel note de bas de p + 11 pt,Italic,Appel note de bas de p1,Appel note de bas de p2,Appel note de bas de p3,o"/>
    <w:basedOn w:val="DefaultParagraphFont"/>
    <w:qFormat/>
    <w:rsid w:val="00A936CB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DNV"/>
    <w:basedOn w:val="Normal"/>
    <w:link w:val="FootnoteTextChar"/>
    <w:qFormat/>
    <w:rsid w:val="00A936CB"/>
    <w:pPr>
      <w:keepLines/>
      <w:tabs>
        <w:tab w:val="left" w:pos="255"/>
      </w:tabs>
      <w:ind w:left="255" w:hanging="255"/>
    </w:pPr>
    <w:rPr>
      <w:sz w:val="22"/>
    </w:rPr>
  </w:style>
  <w:style w:type="paragraph" w:styleId="Index1">
    <w:name w:val="index 1"/>
    <w:basedOn w:val="Normal"/>
    <w:next w:val="Normal"/>
    <w:semiHidden/>
    <w:rsid w:val="00A936CB"/>
  </w:style>
  <w:style w:type="paragraph" w:styleId="Index2">
    <w:name w:val="index 2"/>
    <w:basedOn w:val="Normal"/>
    <w:next w:val="Normal"/>
    <w:semiHidden/>
    <w:rsid w:val="00A936CB"/>
    <w:pPr>
      <w:ind w:left="283"/>
    </w:pPr>
  </w:style>
  <w:style w:type="paragraph" w:styleId="Index3">
    <w:name w:val="index 3"/>
    <w:basedOn w:val="Normal"/>
    <w:next w:val="Normal"/>
    <w:semiHidden/>
    <w:rsid w:val="00A936CB"/>
    <w:pPr>
      <w:ind w:left="566"/>
    </w:pPr>
  </w:style>
  <w:style w:type="paragraph" w:styleId="IndexHeading">
    <w:name w:val="index heading"/>
    <w:basedOn w:val="Normal"/>
    <w:next w:val="Index1"/>
    <w:semiHidden/>
    <w:rsid w:val="00A936CB"/>
  </w:style>
  <w:style w:type="paragraph" w:customStyle="1" w:styleId="Line">
    <w:name w:val="Line"/>
    <w:basedOn w:val="Normal"/>
    <w:next w:val="Normal"/>
    <w:rsid w:val="00A936CB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sz w:val="20"/>
      <w:lang w:val="en-GB"/>
    </w:rPr>
  </w:style>
  <w:style w:type="paragraph" w:customStyle="1" w:styleId="toctemp">
    <w:name w:val="toctemp"/>
    <w:basedOn w:val="Normal"/>
    <w:rsid w:val="00A936CB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</w:pPr>
  </w:style>
  <w:style w:type="paragraph" w:customStyle="1" w:styleId="PartNo">
    <w:name w:val="Part_No"/>
    <w:basedOn w:val="Normal"/>
    <w:next w:val="Normal"/>
    <w:rsid w:val="00A936CB"/>
  </w:style>
  <w:style w:type="paragraph" w:customStyle="1" w:styleId="Partref">
    <w:name w:val="Part_ref"/>
    <w:basedOn w:val="Normal"/>
    <w:next w:val="Normal"/>
    <w:rsid w:val="00A936CB"/>
    <w:pPr>
      <w:keepNext/>
      <w:keepLines/>
      <w:spacing w:after="280"/>
      <w:jc w:val="center"/>
    </w:pPr>
  </w:style>
  <w:style w:type="paragraph" w:customStyle="1" w:styleId="Parttitle">
    <w:name w:val="Part_title"/>
    <w:basedOn w:val="Normal"/>
    <w:next w:val="Normalaftertitle"/>
    <w:rsid w:val="00A936C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8"/>
    </w:rPr>
  </w:style>
  <w:style w:type="paragraph" w:customStyle="1" w:styleId="Questiondate">
    <w:name w:val="Question_date"/>
    <w:basedOn w:val="Recdate"/>
    <w:next w:val="Normalaftertitle"/>
    <w:rsid w:val="00A936CB"/>
  </w:style>
  <w:style w:type="paragraph" w:customStyle="1" w:styleId="QuestionNo">
    <w:name w:val="Question_No"/>
    <w:basedOn w:val="RecNo"/>
    <w:next w:val="Normal"/>
    <w:rsid w:val="00A936CB"/>
  </w:style>
  <w:style w:type="paragraph" w:customStyle="1" w:styleId="Questionref">
    <w:name w:val="Question_ref"/>
    <w:basedOn w:val="Recref"/>
    <w:next w:val="Questiondate"/>
    <w:rsid w:val="00A936CB"/>
  </w:style>
  <w:style w:type="paragraph" w:customStyle="1" w:styleId="Questiontitle">
    <w:name w:val="Question_title"/>
    <w:basedOn w:val="Normal"/>
    <w:next w:val="Questionref"/>
    <w:rsid w:val="00A936CB"/>
  </w:style>
  <w:style w:type="paragraph" w:customStyle="1" w:styleId="Reftext">
    <w:name w:val="Ref_text"/>
    <w:basedOn w:val="Normal"/>
    <w:rsid w:val="00A936CB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A936CB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"/>
    <w:rsid w:val="00A936CB"/>
  </w:style>
  <w:style w:type="paragraph" w:customStyle="1" w:styleId="RepNo">
    <w:name w:val="Rep_No"/>
    <w:basedOn w:val="RecNo"/>
    <w:next w:val="Reptitle"/>
    <w:rsid w:val="00A936CB"/>
  </w:style>
  <w:style w:type="paragraph" w:customStyle="1" w:styleId="Reptitle">
    <w:name w:val="Rep_title"/>
    <w:basedOn w:val="Rectitle"/>
    <w:next w:val="Repref"/>
    <w:rsid w:val="00A936CB"/>
  </w:style>
  <w:style w:type="paragraph" w:customStyle="1" w:styleId="Repref">
    <w:name w:val="Rep_ref"/>
    <w:basedOn w:val="Recref"/>
    <w:next w:val="Repdate"/>
    <w:rsid w:val="00A936CB"/>
  </w:style>
  <w:style w:type="paragraph" w:customStyle="1" w:styleId="Resdate">
    <w:name w:val="Res_date"/>
    <w:basedOn w:val="Recdate"/>
    <w:next w:val="Normalaftertitle"/>
    <w:rsid w:val="00A936CB"/>
  </w:style>
  <w:style w:type="paragraph" w:customStyle="1" w:styleId="ResNo">
    <w:name w:val="Res_No"/>
    <w:basedOn w:val="RecNo"/>
    <w:next w:val="Restitle"/>
    <w:rsid w:val="00A936CB"/>
  </w:style>
  <w:style w:type="paragraph" w:customStyle="1" w:styleId="Restitle">
    <w:name w:val="Res_title"/>
    <w:basedOn w:val="Normal"/>
    <w:next w:val="Resref"/>
    <w:rsid w:val="00A936CB"/>
    <w:pPr>
      <w:spacing w:before="240"/>
      <w:jc w:val="center"/>
    </w:pPr>
    <w:rPr>
      <w:b/>
      <w:sz w:val="28"/>
    </w:rPr>
  </w:style>
  <w:style w:type="paragraph" w:customStyle="1" w:styleId="Resref">
    <w:name w:val="Res_ref"/>
    <w:basedOn w:val="Recref"/>
    <w:next w:val="Resdate"/>
    <w:rsid w:val="00A936CB"/>
  </w:style>
  <w:style w:type="paragraph" w:customStyle="1" w:styleId="SectionNo">
    <w:name w:val="Section_No"/>
    <w:basedOn w:val="Normal"/>
    <w:next w:val="Normal"/>
    <w:rsid w:val="00A936CB"/>
  </w:style>
  <w:style w:type="paragraph" w:customStyle="1" w:styleId="Sectiontitle">
    <w:name w:val="Section_title"/>
    <w:basedOn w:val="Normal"/>
    <w:next w:val="Normalaftertitle"/>
    <w:rsid w:val="00A936C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8"/>
    </w:rPr>
  </w:style>
  <w:style w:type="paragraph" w:customStyle="1" w:styleId="toc0">
    <w:name w:val="toc 0"/>
    <w:basedOn w:val="Normal"/>
    <w:next w:val="TOC1"/>
    <w:rsid w:val="00A936CB"/>
    <w:pPr>
      <w:tabs>
        <w:tab w:val="clear" w:pos="794"/>
        <w:tab w:val="clear" w:pos="1191"/>
        <w:tab w:val="clear" w:pos="1588"/>
        <w:tab w:val="clear" w:pos="1985"/>
        <w:tab w:val="right" w:pos="9611"/>
      </w:tabs>
    </w:pPr>
    <w:rPr>
      <w:i/>
    </w:rPr>
  </w:style>
  <w:style w:type="paragraph" w:styleId="TOC1">
    <w:name w:val="toc 1"/>
    <w:basedOn w:val="Normal"/>
    <w:semiHidden/>
    <w:rsid w:val="00A936CB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8789"/>
        <w:tab w:val="right" w:pos="9611"/>
      </w:tabs>
      <w:spacing w:before="240"/>
      <w:ind w:left="567" w:right="851" w:hanging="567"/>
    </w:pPr>
    <w:rPr>
      <w:lang w:val="en-US"/>
    </w:rPr>
  </w:style>
  <w:style w:type="paragraph" w:styleId="TOC2">
    <w:name w:val="toc 2"/>
    <w:basedOn w:val="TOC1"/>
    <w:semiHidden/>
    <w:rsid w:val="00A936CB"/>
    <w:pPr>
      <w:tabs>
        <w:tab w:val="clear" w:pos="567"/>
        <w:tab w:val="left" w:pos="1276"/>
      </w:tabs>
      <w:spacing w:before="160"/>
      <w:ind w:left="1276" w:hanging="709"/>
    </w:pPr>
  </w:style>
  <w:style w:type="paragraph" w:styleId="TOC3">
    <w:name w:val="toc 3"/>
    <w:basedOn w:val="TOC2"/>
    <w:semiHidden/>
    <w:rsid w:val="00A936CB"/>
    <w:pPr>
      <w:tabs>
        <w:tab w:val="clear" w:pos="1276"/>
        <w:tab w:val="left" w:pos="2155"/>
      </w:tabs>
      <w:ind w:left="2155" w:hanging="879"/>
    </w:pPr>
  </w:style>
  <w:style w:type="paragraph" w:styleId="TOC4">
    <w:name w:val="toc 4"/>
    <w:basedOn w:val="TOC3"/>
    <w:semiHidden/>
    <w:rsid w:val="00A936CB"/>
    <w:pPr>
      <w:tabs>
        <w:tab w:val="left" w:pos="3261"/>
      </w:tabs>
      <w:spacing w:before="80"/>
      <w:ind w:left="3261" w:hanging="993"/>
    </w:pPr>
  </w:style>
  <w:style w:type="paragraph" w:styleId="TOC5">
    <w:name w:val="toc 5"/>
    <w:basedOn w:val="TOC4"/>
    <w:semiHidden/>
    <w:rsid w:val="00A936CB"/>
  </w:style>
  <w:style w:type="paragraph" w:styleId="TOC6">
    <w:name w:val="toc 6"/>
    <w:basedOn w:val="TOC4"/>
    <w:semiHidden/>
    <w:rsid w:val="00A936CB"/>
  </w:style>
  <w:style w:type="paragraph" w:styleId="TOC7">
    <w:name w:val="toc 7"/>
    <w:basedOn w:val="TOC4"/>
    <w:semiHidden/>
    <w:rsid w:val="00A936CB"/>
  </w:style>
  <w:style w:type="paragraph" w:styleId="TOC8">
    <w:name w:val="toc 8"/>
    <w:basedOn w:val="TOC4"/>
    <w:semiHidden/>
    <w:rsid w:val="00A936CB"/>
  </w:style>
  <w:style w:type="paragraph" w:customStyle="1" w:styleId="Annexref">
    <w:name w:val="Annex_ref"/>
    <w:basedOn w:val="Normal"/>
    <w:next w:val="Normalaftertitle"/>
    <w:rsid w:val="00A93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Normalaftertitle"/>
    <w:rsid w:val="00A936CB"/>
  </w:style>
  <w:style w:type="paragraph" w:customStyle="1" w:styleId="Tabletitle">
    <w:name w:val="Table_title"/>
    <w:basedOn w:val="Normal"/>
    <w:next w:val="Tablehead"/>
    <w:rsid w:val="00A936CB"/>
    <w:pPr>
      <w:keepNext/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autoRedefine/>
    <w:rsid w:val="00AD098C"/>
    <w:pPr>
      <w:spacing w:after="480"/>
    </w:pPr>
    <w:rPr>
      <w:sz w:val="22"/>
      <w:szCs w:val="22"/>
      <w:lang w:val="es-ES_tradnl"/>
    </w:rPr>
  </w:style>
  <w:style w:type="character" w:styleId="Hyperlink">
    <w:name w:val="Hyperlink"/>
    <w:basedOn w:val="DefaultParagraphFont"/>
    <w:rsid w:val="00934ED7"/>
    <w:rPr>
      <w:color w:val="0000FF"/>
      <w:u w:val="single"/>
    </w:rPr>
  </w:style>
  <w:style w:type="paragraph" w:customStyle="1" w:styleId="TableLegendNote">
    <w:name w:val="Table_Legend_Note"/>
    <w:basedOn w:val="Tablelegend"/>
    <w:next w:val="Tablelegend"/>
    <w:rsid w:val="00A936CB"/>
    <w:pPr>
      <w:ind w:left="-85" w:firstLine="0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E47C4"/>
    <w:rPr>
      <w:sz w:val="24"/>
      <w:lang w:val="fr-FR" w:eastAsia="en-US"/>
    </w:rPr>
  </w:style>
  <w:style w:type="table" w:styleId="TableGrid">
    <w:name w:val="Table Grid"/>
    <w:basedOn w:val="TableNormal"/>
    <w:rsid w:val="00EE47C4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B083A"/>
    <w:rPr>
      <w:color w:val="605E5C"/>
      <w:shd w:val="clear" w:color="auto" w:fill="E1DFDD"/>
    </w:rPr>
  </w:style>
  <w:style w:type="paragraph" w:customStyle="1" w:styleId="CoverNumber">
    <w:name w:val="Cover Number"/>
    <w:basedOn w:val="Normal"/>
    <w:qFormat/>
    <w:rsid w:val="00B4233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93"/>
      <w:ind w:left="284"/>
      <w:jc w:val="left"/>
      <w:textAlignment w:val="auto"/>
      <w:outlineLvl w:val="0"/>
    </w:pPr>
    <w:rPr>
      <w:rFonts w:ascii="Arial" w:eastAsia="AvenirNext LT Pro Medium" w:hAnsi="Arial" w:cs="AvenirNext LT Pro Medium"/>
      <w:b/>
      <w:bCs/>
      <w:spacing w:val="-10"/>
      <w:sz w:val="44"/>
      <w:szCs w:val="52"/>
      <w:lang w:val="en-US"/>
    </w:rPr>
  </w:style>
  <w:style w:type="paragraph" w:customStyle="1" w:styleId="CoverDate">
    <w:name w:val="Cover Date"/>
    <w:basedOn w:val="Normal"/>
    <w:qFormat/>
    <w:rsid w:val="00260B2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126"/>
      <w:ind w:left="284"/>
      <w:jc w:val="left"/>
      <w:textAlignment w:val="auto"/>
    </w:pPr>
    <w:rPr>
      <w:rFonts w:ascii="Arial" w:eastAsia="AvenirNext LT Pro Regular" w:hAnsi="Arial" w:cs="AvenirNext LT Pro Regular"/>
      <w:b/>
      <w:spacing w:val="-2"/>
      <w:sz w:val="36"/>
      <w:szCs w:val="22"/>
      <w:lang w:val="en-US"/>
    </w:rPr>
  </w:style>
  <w:style w:type="paragraph" w:customStyle="1" w:styleId="CoverSeries">
    <w:name w:val="Cover Series"/>
    <w:basedOn w:val="Normal"/>
    <w:qFormat/>
    <w:rsid w:val="00B4233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241" w:line="244" w:lineRule="auto"/>
      <w:ind w:left="284"/>
      <w:jc w:val="left"/>
      <w:textAlignment w:val="auto"/>
    </w:pPr>
    <w:rPr>
      <w:rFonts w:ascii="Arial" w:eastAsia="AvenirNext LT Pro Regular" w:hAnsi="Arial" w:cs="AvenirNext LT Pro Regular"/>
      <w:bCs/>
      <w:color w:val="1A1A1A"/>
      <w:spacing w:val="-4"/>
      <w:sz w:val="40"/>
      <w:szCs w:val="48"/>
      <w:lang w:val="en-US"/>
    </w:rPr>
  </w:style>
  <w:style w:type="paragraph" w:customStyle="1" w:styleId="CoverTitle">
    <w:name w:val="Cover Title"/>
    <w:basedOn w:val="Normal"/>
    <w:qFormat/>
    <w:rsid w:val="00B4233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338" w:line="244" w:lineRule="auto"/>
      <w:ind w:left="284" w:right="1002"/>
      <w:jc w:val="left"/>
      <w:textAlignment w:val="auto"/>
    </w:pPr>
    <w:rPr>
      <w:rFonts w:ascii="Arial" w:eastAsia="AvenirNext LT Pro Regular" w:hAnsi="Arial" w:cs="AvenirNext LT Pro Regular"/>
      <w:b/>
      <w:bCs/>
      <w:sz w:val="44"/>
      <w:szCs w:val="48"/>
      <w:lang w:val="en-US"/>
    </w:rPr>
  </w:style>
  <w:style w:type="paragraph" w:customStyle="1" w:styleId="AnnexNo">
    <w:name w:val="Annex_No"/>
    <w:basedOn w:val="Normal"/>
    <w:next w:val="Normal"/>
    <w:rsid w:val="00AD098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  <w:lang w:val="es-ES_tradnl"/>
    </w:rPr>
  </w:style>
  <w:style w:type="paragraph" w:customStyle="1" w:styleId="Annextitle">
    <w:name w:val="Annex_title"/>
    <w:basedOn w:val="Normal"/>
    <w:next w:val="Normal"/>
    <w:rsid w:val="00AD098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  <w:lang w:val="es-ES_tradnl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,DNV Char"/>
    <w:basedOn w:val="DefaultParagraphFont"/>
    <w:link w:val="FootnoteText"/>
    <w:qFormat/>
    <w:rsid w:val="00AD098C"/>
    <w:rPr>
      <w:sz w:val="22"/>
      <w:lang w:val="es-ES" w:eastAsia="en-US"/>
    </w:rPr>
  </w:style>
  <w:style w:type="paragraph" w:customStyle="1" w:styleId="Normalaftertitle0">
    <w:name w:val="Normal after title"/>
    <w:basedOn w:val="Normal"/>
    <w:next w:val="Normal"/>
    <w:rsid w:val="00AD098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  <w:jc w:val="left"/>
    </w:pPr>
    <w:rPr>
      <w:lang w:val="es-ES_tradnl"/>
    </w:rPr>
  </w:style>
  <w:style w:type="paragraph" w:customStyle="1" w:styleId="Reasons">
    <w:name w:val="Reasons"/>
    <w:basedOn w:val="Normal"/>
    <w:rsid w:val="00AD098C"/>
    <w:pPr>
      <w:tabs>
        <w:tab w:val="clear" w:pos="794"/>
        <w:tab w:val="clear" w:pos="1191"/>
        <w:tab w:val="left" w:pos="1134"/>
      </w:tabs>
      <w:jc w:val="left"/>
    </w:pPr>
    <w:rPr>
      <w:lang w:val="es-ES_tradnl"/>
    </w:rPr>
  </w:style>
  <w:style w:type="character" w:customStyle="1" w:styleId="enumlev1Char">
    <w:name w:val="enumlev1 Char"/>
    <w:basedOn w:val="DefaultParagraphFont"/>
    <w:link w:val="enumlev1"/>
    <w:qFormat/>
    <w:locked/>
    <w:rsid w:val="00AD098C"/>
    <w:rPr>
      <w:sz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yperlink" Target="https://www.itu.int/pub/R-REP-M.2513/es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itu.int/pub/R-HDB-52/es" TargetMode="Externa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yperlink" Target="https://www.itu.int/rec/R-REC-M.2030/es" TargetMode="External"/><Relationship Id="rId25" Type="http://schemas.openxmlformats.org/officeDocument/2006/relationships/hyperlink" Target="https://www.itu.int/rec/R-REC-M.1902/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rec/R-REC-M.1902/es" TargetMode="External"/><Relationship Id="rId20" Type="http://schemas.openxmlformats.org/officeDocument/2006/relationships/hyperlink" Target="https://www.itu.int/pub/R-REP-M.2458/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publ/R-REC/es" TargetMode="External"/><Relationship Id="rId24" Type="http://schemas.openxmlformats.org/officeDocument/2006/relationships/hyperlink" Target="https://www.itu.int/rec/R-REC-M.1902/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rec/R-REC-M.1787/es" TargetMode="External"/><Relationship Id="rId23" Type="http://schemas.openxmlformats.org/officeDocument/2006/relationships/hyperlink" Target="https://www.itu.int/pub/R-REP-M.2513/e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itu.int/ITU-R/go/patents/es" TargetMode="External"/><Relationship Id="rId19" Type="http://schemas.openxmlformats.org/officeDocument/2006/relationships/hyperlink" Target="https://www.itu.int/pub/R-REP-M.2532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itu.int/rec/R-REC-M.1732/es" TargetMode="External"/><Relationship Id="rId22" Type="http://schemas.openxmlformats.org/officeDocument/2006/relationships/hyperlink" Target="https://www.itu.int/pub/R-REP-M.2532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ez\Desktop\BR%20REC\RecS\2023-ITU-R_REC_M_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2023-ITU-R_REC_M_S.dotx</Template>
  <TotalTime>78</TotalTime>
  <Pages>7</Pages>
  <Words>2260</Words>
  <Characters>12831</Characters>
  <Application>Microsoft Office Word</Application>
  <DocSecurity>0</DocSecurity>
  <Lines>267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RECOMENDACIÓN  UIT-R  M.2164-0* - Orientación sobre medidas técnicas y operativas para la utilización de la banda de frecuencias 1 240-1 300 MHz por los servicios de aficionados y aficionados por satélite con el fin de proteger el servicio de radionavegac</vt:lpstr>
    </vt:vector>
  </TitlesOfParts>
  <Manager/>
  <Company>ITU</Company>
  <LinksUpToDate>false</LinksUpToDate>
  <CharactersWithSpaces>14926</CharactersWithSpaces>
  <SharedDoc>false</SharedDoc>
  <HLinks>
    <vt:vector size="12" baseType="variant">
      <vt:variant>
        <vt:i4>1966164</vt:i4>
      </vt:variant>
      <vt:variant>
        <vt:i4>3</vt:i4>
      </vt:variant>
      <vt:variant>
        <vt:i4>0</vt:i4>
      </vt:variant>
      <vt:variant>
        <vt:i4>5</vt:i4>
      </vt:variant>
      <vt:variant>
        <vt:lpwstr>http://www.itu.int/publ/R-REC/en</vt:lpwstr>
      </vt:variant>
      <vt:variant>
        <vt:lpwstr/>
      </vt:variant>
      <vt:variant>
        <vt:i4>3997742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http://www.itu.int/ITU-R/go/patents/en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RECOMENDACIÓN  UIT-R  M.2164-0 - Orientación sobre medidas técnicas y operativas para la utilización de la banda de frecuencias 1 240-1 300 MHz por los servicios de aficionados y aficionados por satélite con el fin de proteger el servicio de radionavegación por satélite (espacio-Tierra)</dc:title>
  <dc:subject>Serie M = Servicios móviles, de radiodeterminación y de aficionados, incluidos los correspondientes servicios por satélite</dc:subject>
  <dc:creator>Oficina de Radiocomunicaciones del UIT (BR)</dc:creator>
  <cp:keywords>M,2164-0*</cp:keywords>
  <dc:description>Saez, 27.11.2023, ITU51013874</dc:description>
  <cp:lastModifiedBy>Saez Grau, Ricardo</cp:lastModifiedBy>
  <cp:revision>13</cp:revision>
  <cp:lastPrinted>2023-11-27T15:28:00Z</cp:lastPrinted>
  <dcterms:created xsi:type="dcterms:W3CDTF">2023-11-27T14:01:00Z</dcterms:created>
  <dcterms:modified xsi:type="dcterms:W3CDTF">2023-11-27T15:29:00Z</dcterms:modified>
  <cp:category>Template:  BR_Rec_2005.dot   (dès 25.10.2002)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Rec. </vt:lpwstr>
  </property>
  <property fmtid="{D5CDD505-2E9C-101B-9397-08002B2CF9AE}" pid="3" name="Header 1">
    <vt:lpwstr>Rap. </vt:lpwstr>
  </property>
  <property fmtid="{D5CDD505-2E9C-101B-9397-08002B2CF9AE}" pid="4" name="Header 2">
    <vt:lpwstr>Rep. </vt:lpwstr>
  </property>
  <property fmtid="{D5CDD505-2E9C-101B-9397-08002B2CF9AE}" pid="5" name="Header 3">
    <vt:lpwstr>I. </vt:lpwstr>
  </property>
  <property fmtid="{D5CDD505-2E9C-101B-9397-08002B2CF9AE}" pid="6" name="Header 4">
    <vt:lpwstr>Op. </vt:lpwstr>
  </property>
  <property fmtid="{D5CDD505-2E9C-101B-9397-08002B2CF9AE}" pid="7" name="Header 5">
    <vt:lpwstr>V. </vt:lpwstr>
  </property>
  <property fmtid="{D5CDD505-2E9C-101B-9397-08002B2CF9AE}" pid="8" name="Header 6">
    <vt:lpwstr>Ru. </vt:lpwstr>
  </property>
  <property fmtid="{D5CDD505-2E9C-101B-9397-08002B2CF9AE}" pid="9" name="Language">
    <vt:lpwstr>Spanish</vt:lpwstr>
  </property>
  <property fmtid="{D5CDD505-2E9C-101B-9397-08002B2CF9AE}" pid="10" name="Typist">
    <vt:lpwstr>Saez</vt:lpwstr>
  </property>
  <property fmtid="{D5CDD505-2E9C-101B-9397-08002B2CF9AE}" pid="11" name="Date completed">
    <vt:lpwstr>lundi, 27 novembre 2023</vt:lpwstr>
  </property>
</Properties>
</file>