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C47D5" w14:textId="77777777" w:rsidR="00466F38" w:rsidRDefault="00466F38" w:rsidP="00466F38"/>
    <w:p w14:paraId="610CA74B" w14:textId="77777777" w:rsidR="00466F38" w:rsidRDefault="00466F38" w:rsidP="00466F38">
      <w:pPr>
        <w:tabs>
          <w:tab w:val="clear" w:pos="794"/>
          <w:tab w:val="clear" w:pos="1191"/>
          <w:tab w:val="clear" w:pos="1588"/>
          <w:tab w:val="clear" w:pos="1985"/>
        </w:tabs>
      </w:pPr>
    </w:p>
    <w:p w14:paraId="3D7ADE42" w14:textId="4359096F" w:rsidR="00466F38" w:rsidRPr="00D90937" w:rsidRDefault="00466F38" w:rsidP="00466F38">
      <w:pPr>
        <w:pStyle w:val="CoverNumber"/>
        <w:rPr>
          <w:lang w:val="en-GB"/>
        </w:rPr>
      </w:pPr>
      <w:r w:rsidRPr="00D90937">
        <w:rPr>
          <w:lang w:val="en-GB"/>
        </w:rPr>
        <w:t>Recommendation ITU-R M.</w:t>
      </w:r>
      <w:r w:rsidR="005B1017" w:rsidRPr="00D90937">
        <w:rPr>
          <w:lang w:val="en-GB"/>
        </w:rPr>
        <w:t>216</w:t>
      </w:r>
      <w:r w:rsidR="005B3D68">
        <w:rPr>
          <w:lang w:val="en-GB"/>
        </w:rPr>
        <w:t>4</w:t>
      </w:r>
      <w:r w:rsidR="005B1017" w:rsidRPr="00D90937">
        <w:rPr>
          <w:lang w:val="en-GB"/>
        </w:rPr>
        <w:t>-0</w:t>
      </w:r>
    </w:p>
    <w:p w14:paraId="2DAD670A" w14:textId="4035202A" w:rsidR="00466F38" w:rsidRPr="00D90937" w:rsidRDefault="00466F38" w:rsidP="00466F38">
      <w:pPr>
        <w:pStyle w:val="CoverDate"/>
        <w:rPr>
          <w:lang w:val="en-GB"/>
        </w:rPr>
      </w:pPr>
      <w:r w:rsidRPr="00D90937">
        <w:rPr>
          <w:lang w:val="en-GB"/>
        </w:rPr>
        <w:t>(11/2023)</w:t>
      </w:r>
    </w:p>
    <w:p w14:paraId="7056B509" w14:textId="77777777" w:rsidR="00466F38" w:rsidRPr="004A6FEB" w:rsidRDefault="00466F38" w:rsidP="00466F38">
      <w:pPr>
        <w:pStyle w:val="CoverSeries"/>
      </w:pPr>
      <w:r>
        <w:t>M</w:t>
      </w:r>
      <w:r w:rsidRPr="00A86DD2">
        <w:t xml:space="preserve"> </w:t>
      </w:r>
      <w:r w:rsidRPr="004A6FEB">
        <w:t>Series:</w:t>
      </w:r>
      <w:r w:rsidRPr="00A86DD2">
        <w:t xml:space="preserve"> </w:t>
      </w:r>
      <w:r w:rsidRPr="00466F38">
        <w:rPr>
          <w:lang w:val="en-GB"/>
        </w:rPr>
        <w:t>Mobile, radiodetermination, amateur</w:t>
      </w:r>
      <w:r w:rsidRPr="00466F38">
        <w:rPr>
          <w:lang w:val="en-GB"/>
        </w:rPr>
        <w:br/>
        <w:t>and related satellite services</w:t>
      </w:r>
    </w:p>
    <w:p w14:paraId="496C0245" w14:textId="601AE866" w:rsidR="00466F38" w:rsidRPr="004A6FEB" w:rsidRDefault="003530B3" w:rsidP="00466F38">
      <w:pPr>
        <w:pStyle w:val="CoverTitle"/>
      </w:pPr>
      <w:r w:rsidRPr="00E56005">
        <w:rPr>
          <w:lang w:eastAsia="zh-CN"/>
        </w:rPr>
        <w:t xml:space="preserve">Guidance on technical and operational measures for the use of the frequency band 1 240-1 300 MHz by the amateur and amateur-satellite service </w:t>
      </w:r>
      <w:proofErr w:type="gramStart"/>
      <w:r w:rsidRPr="00E56005">
        <w:rPr>
          <w:lang w:eastAsia="zh-CN"/>
        </w:rPr>
        <w:t>in order to</w:t>
      </w:r>
      <w:proofErr w:type="gramEnd"/>
      <w:r w:rsidRPr="00E56005">
        <w:rPr>
          <w:lang w:eastAsia="zh-CN"/>
        </w:rPr>
        <w:t xml:space="preserve"> protect the radionavigation-satellite service </w:t>
      </w:r>
      <w:r w:rsidRPr="00E56005">
        <w:rPr>
          <w:color w:val="000000"/>
          <w:lang w:eastAsia="zh-CN"/>
        </w:rPr>
        <w:t>(space-to-Earth)</w:t>
      </w:r>
    </w:p>
    <w:p w14:paraId="4F9FEF67" w14:textId="77777777" w:rsidR="00466F38" w:rsidRPr="005373E0" w:rsidRDefault="00466F38" w:rsidP="00466F38">
      <w:pPr>
        <w:rPr>
          <w:lang w:val="en-US"/>
        </w:rPr>
      </w:pPr>
    </w:p>
    <w:p w14:paraId="45B01032" w14:textId="77777777" w:rsidR="00466F38" w:rsidRPr="005373E0" w:rsidRDefault="00466F38" w:rsidP="00466F38"/>
    <w:p w14:paraId="0E6A1679" w14:textId="77777777" w:rsidR="00466F38" w:rsidRPr="005373E0" w:rsidRDefault="00466F38" w:rsidP="00466F38">
      <w:pPr>
        <w:sectPr w:rsidR="00466F38" w:rsidRPr="005373E0" w:rsidSect="0027411A">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16ECDE4D" w14:textId="77777777" w:rsidR="00466F38" w:rsidRPr="00586EF8" w:rsidRDefault="00466F38" w:rsidP="00466F3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0" w:name="c2tope"/>
      <w:bookmarkEnd w:id="0"/>
      <w:r w:rsidRPr="00586EF8">
        <w:rPr>
          <w:bCs/>
          <w:sz w:val="24"/>
          <w:szCs w:val="24"/>
          <w:lang w:val="en-US"/>
        </w:rPr>
        <w:lastRenderedPageBreak/>
        <w:t>Foreword</w:t>
      </w:r>
    </w:p>
    <w:p w14:paraId="1818E83F" w14:textId="77777777" w:rsidR="00466F38" w:rsidRDefault="00466F38" w:rsidP="00466F38">
      <w:pPr>
        <w:spacing w:before="240"/>
        <w:rPr>
          <w:sz w:val="20"/>
          <w:lang w:val="en-US"/>
        </w:rPr>
      </w:pPr>
      <w:r>
        <w:rPr>
          <w:sz w:val="20"/>
          <w:lang w:val="en-US"/>
        </w:rPr>
        <w:t xml:space="preserve">The role of the Radiocommunication Sector is to ensure the rational, equitable, </w:t>
      </w:r>
      <w:proofErr w:type="gramStart"/>
      <w:r>
        <w:rPr>
          <w:sz w:val="20"/>
          <w:lang w:val="en-US"/>
        </w:rPr>
        <w:t>efficient</w:t>
      </w:r>
      <w:proofErr w:type="gramEnd"/>
      <w:r>
        <w:rPr>
          <w:sz w:val="20"/>
          <w:lang w:val="en-US"/>
        </w:rPr>
        <w:t xml:space="preserve"> and economical use of the radio-frequency spectrum by all radiocommunication services, including satellite services, and carry out studies without limit of frequency range on the basis of which Recommendations are adopted.</w:t>
      </w:r>
    </w:p>
    <w:p w14:paraId="0E927C2D" w14:textId="77777777" w:rsidR="00466F38" w:rsidRDefault="00466F38" w:rsidP="00466F38">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24B2822C" w14:textId="77777777" w:rsidR="00466F38" w:rsidRPr="00B714F3" w:rsidRDefault="00466F38" w:rsidP="00466F38">
      <w:pPr>
        <w:pStyle w:val="Heading1"/>
        <w:spacing w:before="680"/>
        <w:jc w:val="center"/>
        <w:rPr>
          <w:szCs w:val="24"/>
          <w:lang w:val="en-US"/>
        </w:rPr>
      </w:pPr>
      <w:r w:rsidRPr="00B714F3">
        <w:rPr>
          <w:szCs w:val="24"/>
          <w:lang w:val="en-US"/>
        </w:rPr>
        <w:t>Policy on Intellectual Property Right (IPR)</w:t>
      </w:r>
    </w:p>
    <w:p w14:paraId="6F3891D2" w14:textId="77777777" w:rsidR="00466F38" w:rsidRPr="00B714F3" w:rsidRDefault="00466F38" w:rsidP="00466F38">
      <w:pPr>
        <w:tabs>
          <w:tab w:val="clear" w:pos="794"/>
          <w:tab w:val="clear" w:pos="1191"/>
          <w:tab w:val="clear" w:pos="1588"/>
          <w:tab w:val="clear" w:pos="1985"/>
        </w:tabs>
        <w:spacing w:before="240"/>
        <w:rPr>
          <w:sz w:val="20"/>
          <w:lang w:val="en-US"/>
        </w:rPr>
      </w:pPr>
      <w:r w:rsidRPr="00B714F3">
        <w:rPr>
          <w:sz w:val="20"/>
          <w:lang w:val="en-US"/>
        </w:rPr>
        <w:t>ITU-R policy on IPR is described in the Common Patent Policy for ITU-T/ITU-R/ISO/IEC referenced in Resolution ITU</w:t>
      </w:r>
      <w:r>
        <w:rPr>
          <w:sz w:val="20"/>
          <w:lang w:val="en-US"/>
        </w:rPr>
        <w:noBreakHyphen/>
      </w:r>
      <w:r w:rsidRPr="00B714F3">
        <w:rPr>
          <w:sz w:val="20"/>
          <w:lang w:val="en-US"/>
        </w:rPr>
        <w:t xml:space="preserve">R 1. Forms to be used for the submission of patent statements and licensing declarations by patent holders are available from </w:t>
      </w:r>
      <w:hyperlink r:id="rId10" w:history="1">
        <w:r w:rsidRPr="00B714F3">
          <w:rPr>
            <w:rStyle w:val="Hyperlink"/>
            <w:sz w:val="20"/>
            <w:lang w:val="en-US"/>
          </w:rPr>
          <w:t>http://www.itu.int/ITU</w:t>
        </w:r>
        <w:r>
          <w:rPr>
            <w:rStyle w:val="Hyperlink"/>
            <w:sz w:val="20"/>
            <w:lang w:val="en-US"/>
          </w:rPr>
          <w:t>-</w:t>
        </w:r>
        <w:r w:rsidRPr="00B714F3">
          <w:rPr>
            <w:rStyle w:val="Hyperlink"/>
            <w:sz w:val="20"/>
            <w:lang w:val="en-US"/>
          </w:rPr>
          <w:t>R/go/patents/en</w:t>
        </w:r>
      </w:hyperlink>
      <w:r w:rsidRPr="00B714F3">
        <w:rPr>
          <w:sz w:val="20"/>
          <w:lang w:val="en-US"/>
        </w:rPr>
        <w:t xml:space="preserve"> where the Guidelines for Implementation of the Common Patent Policy for ITU</w:t>
      </w:r>
      <w:r w:rsidRPr="00B714F3">
        <w:rPr>
          <w:sz w:val="20"/>
          <w:lang w:val="en-US"/>
        </w:rPr>
        <w:noBreakHyphen/>
        <w:t>T/ITU</w:t>
      </w:r>
      <w:r w:rsidRPr="00B714F3">
        <w:rPr>
          <w:sz w:val="20"/>
          <w:lang w:val="en-US"/>
        </w:rPr>
        <w:noBreakHyphen/>
        <w:t xml:space="preserve">R/ISO/IEC and the ITU-R patent information database can also be found. </w:t>
      </w:r>
    </w:p>
    <w:p w14:paraId="683F1C33" w14:textId="77777777" w:rsidR="00466F38" w:rsidRDefault="00466F38" w:rsidP="00466F38">
      <w:pPr>
        <w:jc w:val="center"/>
        <w:rPr>
          <w:sz w:val="22"/>
          <w:lang w:val="en-US"/>
        </w:rPr>
      </w:pPr>
    </w:p>
    <w:p w14:paraId="5829B48E" w14:textId="77777777" w:rsidR="00466F38" w:rsidRDefault="00466F38" w:rsidP="00466F38">
      <w:pPr>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466F38" w:rsidRPr="00576D47" w14:paraId="301B9B03" w14:textId="77777777" w:rsidTr="008161D6">
        <w:tc>
          <w:tcPr>
            <w:tcW w:w="9360" w:type="dxa"/>
            <w:gridSpan w:val="2"/>
          </w:tcPr>
          <w:p w14:paraId="5300983B" w14:textId="77777777" w:rsidR="00466F38" w:rsidRPr="00036EE3" w:rsidRDefault="00466F38" w:rsidP="008161D6">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58DCF7CF" w14:textId="77777777" w:rsidR="00466F38" w:rsidRPr="00036EE3" w:rsidRDefault="00466F38" w:rsidP="008161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1" w:history="1">
              <w:r w:rsidRPr="00590EE8">
                <w:rPr>
                  <w:rStyle w:val="Hyperlink"/>
                  <w:b w:val="0"/>
                  <w:sz w:val="18"/>
                  <w:szCs w:val="18"/>
                  <w:lang w:val="en-US"/>
                </w:rPr>
                <w:t>https://www.itu.int/publ/R-REC/en</w:t>
              </w:r>
            </w:hyperlink>
            <w:r w:rsidRPr="00CE0A43">
              <w:rPr>
                <w:b w:val="0"/>
                <w:sz w:val="18"/>
                <w:szCs w:val="18"/>
                <w:lang w:val="en-US"/>
              </w:rPr>
              <w:t>)</w:t>
            </w:r>
          </w:p>
        </w:tc>
      </w:tr>
      <w:tr w:rsidR="00466F38" w:rsidRPr="00036EE3" w14:paraId="702D206E" w14:textId="77777777" w:rsidTr="008161D6">
        <w:tc>
          <w:tcPr>
            <w:tcW w:w="1140" w:type="dxa"/>
            <w:tcBorders>
              <w:bottom w:val="nil"/>
            </w:tcBorders>
            <w:vAlign w:val="bottom"/>
          </w:tcPr>
          <w:p w14:paraId="2E16A1A0" w14:textId="77777777" w:rsidR="00466F38" w:rsidRPr="00036EE3" w:rsidRDefault="00466F38" w:rsidP="008161D6">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3543414E" w14:textId="77777777" w:rsidR="00466F38" w:rsidRPr="00036EE3" w:rsidRDefault="00466F38" w:rsidP="008161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466F38" w:rsidRPr="00F92A40" w14:paraId="0AECF53C" w14:textId="77777777" w:rsidTr="008161D6">
        <w:tc>
          <w:tcPr>
            <w:tcW w:w="1140" w:type="dxa"/>
            <w:tcBorders>
              <w:top w:val="nil"/>
              <w:bottom w:val="nil"/>
            </w:tcBorders>
            <w:shd w:val="clear" w:color="auto" w:fill="auto"/>
          </w:tcPr>
          <w:p w14:paraId="0E4206AA" w14:textId="77777777" w:rsidR="00466F38" w:rsidRPr="00F92A40" w:rsidRDefault="00466F38" w:rsidP="008161D6">
            <w:pPr>
              <w:spacing w:before="30" w:after="30"/>
              <w:ind w:left="57"/>
              <w:jc w:val="left"/>
              <w:rPr>
                <w:rFonts w:hAnsi="Times New Roman Bold"/>
                <w:b/>
                <w:color w:val="000080"/>
                <w:sz w:val="20"/>
                <w:lang w:val="en-US"/>
              </w:rPr>
            </w:pPr>
            <w:r w:rsidRPr="00477A11">
              <w:rPr>
                <w:b/>
                <w:bCs/>
                <w:sz w:val="20"/>
                <w:lang w:val="en-US"/>
              </w:rPr>
              <w:t>BO</w:t>
            </w:r>
          </w:p>
        </w:tc>
        <w:tc>
          <w:tcPr>
            <w:tcW w:w="8220" w:type="dxa"/>
            <w:tcBorders>
              <w:top w:val="nil"/>
              <w:bottom w:val="nil"/>
            </w:tcBorders>
            <w:shd w:val="clear" w:color="auto" w:fill="auto"/>
          </w:tcPr>
          <w:p w14:paraId="16064E0D" w14:textId="77777777" w:rsidR="00466F38" w:rsidRPr="00F92A40" w:rsidRDefault="00466F38" w:rsidP="008161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477A11">
              <w:rPr>
                <w:b w:val="0"/>
                <w:sz w:val="20"/>
                <w:lang w:val="en-US"/>
              </w:rPr>
              <w:t>Satellite delivery</w:t>
            </w:r>
          </w:p>
        </w:tc>
      </w:tr>
      <w:tr w:rsidR="00466F38" w:rsidRPr="00576D47" w14:paraId="4125DDBD" w14:textId="77777777" w:rsidTr="008161D6">
        <w:tc>
          <w:tcPr>
            <w:tcW w:w="1140" w:type="dxa"/>
            <w:tcBorders>
              <w:top w:val="nil"/>
            </w:tcBorders>
            <w:shd w:val="clear" w:color="auto" w:fill="FFFFFF" w:themeFill="background1"/>
          </w:tcPr>
          <w:p w14:paraId="3F88AE3A" w14:textId="77777777" w:rsidR="00466F38" w:rsidRPr="00B51DD9" w:rsidRDefault="00466F38" w:rsidP="008161D6">
            <w:pPr>
              <w:spacing w:before="30" w:after="30"/>
              <w:ind w:left="57"/>
              <w:jc w:val="left"/>
              <w:rPr>
                <w:b/>
                <w:bCs/>
                <w:sz w:val="20"/>
                <w:lang w:val="en-US"/>
              </w:rPr>
            </w:pPr>
            <w:r w:rsidRPr="00B51DD9">
              <w:rPr>
                <w:b/>
                <w:bCs/>
                <w:sz w:val="20"/>
                <w:lang w:val="en-US"/>
              </w:rPr>
              <w:t>BR</w:t>
            </w:r>
          </w:p>
        </w:tc>
        <w:tc>
          <w:tcPr>
            <w:tcW w:w="8220" w:type="dxa"/>
            <w:tcBorders>
              <w:top w:val="nil"/>
            </w:tcBorders>
            <w:shd w:val="clear" w:color="auto" w:fill="FFFFFF" w:themeFill="background1"/>
          </w:tcPr>
          <w:p w14:paraId="7990C015" w14:textId="77777777" w:rsidR="00466F38" w:rsidRPr="00B51DD9" w:rsidRDefault="00466F38" w:rsidP="008161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B51DD9">
              <w:rPr>
                <w:b w:val="0"/>
                <w:sz w:val="20"/>
                <w:lang w:val="en-US"/>
              </w:rPr>
              <w:t>Recording for production, archival and play-out; film for television</w:t>
            </w:r>
          </w:p>
        </w:tc>
      </w:tr>
      <w:tr w:rsidR="00466F38" w:rsidRPr="00036EE3" w14:paraId="2C1CB4C1" w14:textId="77777777" w:rsidTr="008161D6">
        <w:tc>
          <w:tcPr>
            <w:tcW w:w="1140" w:type="dxa"/>
          </w:tcPr>
          <w:p w14:paraId="64B87C17" w14:textId="77777777" w:rsidR="00466F38" w:rsidRPr="00036EE3" w:rsidRDefault="00466F38" w:rsidP="008161D6">
            <w:pPr>
              <w:spacing w:before="30" w:after="30"/>
              <w:ind w:left="57"/>
              <w:jc w:val="left"/>
              <w:rPr>
                <w:b/>
                <w:bCs/>
                <w:sz w:val="20"/>
                <w:lang w:val="en-US"/>
              </w:rPr>
            </w:pPr>
            <w:r w:rsidRPr="00036EE3">
              <w:rPr>
                <w:b/>
                <w:bCs/>
                <w:sz w:val="20"/>
                <w:lang w:val="en-US"/>
              </w:rPr>
              <w:t>BS</w:t>
            </w:r>
          </w:p>
        </w:tc>
        <w:tc>
          <w:tcPr>
            <w:tcW w:w="8220" w:type="dxa"/>
          </w:tcPr>
          <w:p w14:paraId="147D75CB" w14:textId="77777777" w:rsidR="00466F38" w:rsidRPr="00036EE3" w:rsidRDefault="00466F38" w:rsidP="008161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Broadcasting service (sound)</w:t>
            </w:r>
          </w:p>
        </w:tc>
      </w:tr>
      <w:tr w:rsidR="00466F38" w:rsidRPr="00ED2695" w14:paraId="5291BC45" w14:textId="77777777" w:rsidTr="008161D6">
        <w:tc>
          <w:tcPr>
            <w:tcW w:w="1140" w:type="dxa"/>
            <w:shd w:val="clear" w:color="auto" w:fill="auto"/>
          </w:tcPr>
          <w:p w14:paraId="644F18F1" w14:textId="77777777" w:rsidR="00466F38" w:rsidRPr="00ED2695" w:rsidRDefault="00466F38" w:rsidP="008161D6">
            <w:pPr>
              <w:spacing w:before="30" w:after="30"/>
              <w:ind w:left="57"/>
              <w:jc w:val="left"/>
              <w:rPr>
                <w:b/>
                <w:bCs/>
                <w:sz w:val="20"/>
                <w:lang w:val="en-US"/>
              </w:rPr>
            </w:pPr>
            <w:r w:rsidRPr="00ED2695">
              <w:rPr>
                <w:b/>
                <w:bCs/>
                <w:sz w:val="20"/>
                <w:lang w:val="en-US"/>
              </w:rPr>
              <w:t>BT</w:t>
            </w:r>
          </w:p>
        </w:tc>
        <w:tc>
          <w:tcPr>
            <w:tcW w:w="8220" w:type="dxa"/>
            <w:shd w:val="clear" w:color="auto" w:fill="auto"/>
          </w:tcPr>
          <w:p w14:paraId="497CC4AB" w14:textId="77777777" w:rsidR="00466F38" w:rsidRPr="00ED2695" w:rsidRDefault="00466F38" w:rsidP="008161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D2695">
              <w:rPr>
                <w:b w:val="0"/>
                <w:sz w:val="20"/>
                <w:lang w:val="en-US"/>
              </w:rPr>
              <w:t>Broadcasting service (television)</w:t>
            </w:r>
          </w:p>
        </w:tc>
      </w:tr>
      <w:tr w:rsidR="00466F38" w:rsidRPr="00036EE3" w14:paraId="229FA823" w14:textId="77777777" w:rsidTr="008161D6">
        <w:tc>
          <w:tcPr>
            <w:tcW w:w="1140" w:type="dxa"/>
            <w:shd w:val="clear" w:color="auto" w:fill="auto"/>
          </w:tcPr>
          <w:p w14:paraId="3BF08F57" w14:textId="77777777" w:rsidR="00466F38" w:rsidRPr="00036EE3" w:rsidRDefault="00466F38" w:rsidP="008161D6">
            <w:pPr>
              <w:spacing w:before="30" w:after="30"/>
              <w:ind w:left="57"/>
              <w:jc w:val="left"/>
              <w:rPr>
                <w:b/>
                <w:bCs/>
                <w:sz w:val="20"/>
                <w:lang w:val="fr-CH"/>
              </w:rPr>
            </w:pPr>
            <w:r w:rsidRPr="00036EE3">
              <w:rPr>
                <w:b/>
                <w:bCs/>
                <w:sz w:val="20"/>
                <w:lang w:val="fr-CH"/>
              </w:rPr>
              <w:t>F</w:t>
            </w:r>
          </w:p>
        </w:tc>
        <w:tc>
          <w:tcPr>
            <w:tcW w:w="8220" w:type="dxa"/>
            <w:shd w:val="clear" w:color="auto" w:fill="auto"/>
          </w:tcPr>
          <w:p w14:paraId="16B7C224" w14:textId="77777777" w:rsidR="00466F38" w:rsidRPr="00036EE3" w:rsidRDefault="00466F38" w:rsidP="008161D6">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proofErr w:type="spellStart"/>
            <w:r w:rsidRPr="00036EE3">
              <w:rPr>
                <w:sz w:val="20"/>
                <w:lang w:val="fr-CH"/>
              </w:rPr>
              <w:t>Fixed</w:t>
            </w:r>
            <w:proofErr w:type="spellEnd"/>
            <w:r w:rsidRPr="00036EE3">
              <w:rPr>
                <w:sz w:val="20"/>
                <w:lang w:val="fr-CH"/>
              </w:rPr>
              <w:t xml:space="preserve"> service</w:t>
            </w:r>
          </w:p>
        </w:tc>
      </w:tr>
      <w:tr w:rsidR="00466F38" w:rsidRPr="00036EE3" w14:paraId="56AE42C5" w14:textId="77777777" w:rsidTr="008161D6">
        <w:tc>
          <w:tcPr>
            <w:tcW w:w="1140" w:type="dxa"/>
            <w:shd w:val="clear" w:color="auto" w:fill="F2F2F2" w:themeFill="background1" w:themeFillShade="F2"/>
          </w:tcPr>
          <w:p w14:paraId="6201FE03" w14:textId="77777777" w:rsidR="00466F38" w:rsidRPr="00B51DD9" w:rsidRDefault="00466F38" w:rsidP="008161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B51DD9">
              <w:rPr>
                <w:rFonts w:hAnsi="Times New Roman Bold"/>
                <w:color w:val="000080"/>
                <w:sz w:val="20"/>
                <w:lang w:val="en-US"/>
              </w:rPr>
              <w:t>M</w:t>
            </w:r>
          </w:p>
        </w:tc>
        <w:tc>
          <w:tcPr>
            <w:tcW w:w="8220" w:type="dxa"/>
            <w:shd w:val="clear" w:color="auto" w:fill="F2F2F2" w:themeFill="background1" w:themeFillShade="F2"/>
          </w:tcPr>
          <w:p w14:paraId="017A94E2" w14:textId="77777777" w:rsidR="00466F38" w:rsidRPr="00B51DD9" w:rsidRDefault="00466F38" w:rsidP="008161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B51DD9">
              <w:rPr>
                <w:rFonts w:hAnsi="Times New Roman Bold"/>
                <w:color w:val="000080"/>
                <w:sz w:val="20"/>
                <w:lang w:val="en-US"/>
              </w:rPr>
              <w:t>Mobile, radiodetermination, amateur and related satellite services</w:t>
            </w:r>
          </w:p>
        </w:tc>
      </w:tr>
      <w:tr w:rsidR="00466F38" w:rsidRPr="00036EE3" w14:paraId="7951B0E2" w14:textId="77777777" w:rsidTr="008161D6">
        <w:tc>
          <w:tcPr>
            <w:tcW w:w="1140" w:type="dxa"/>
          </w:tcPr>
          <w:p w14:paraId="764460E5" w14:textId="77777777" w:rsidR="00466F38" w:rsidRPr="00036EE3" w:rsidRDefault="00466F38" w:rsidP="008161D6">
            <w:pPr>
              <w:spacing w:before="30" w:after="30"/>
              <w:ind w:left="57"/>
              <w:jc w:val="left"/>
              <w:rPr>
                <w:b/>
                <w:bCs/>
                <w:sz w:val="20"/>
                <w:lang w:val="fr-CH"/>
              </w:rPr>
            </w:pPr>
            <w:r w:rsidRPr="00036EE3">
              <w:rPr>
                <w:b/>
                <w:bCs/>
                <w:sz w:val="20"/>
                <w:lang w:val="fr-CH"/>
              </w:rPr>
              <w:t>P</w:t>
            </w:r>
          </w:p>
        </w:tc>
        <w:tc>
          <w:tcPr>
            <w:tcW w:w="8220" w:type="dxa"/>
          </w:tcPr>
          <w:p w14:paraId="38463AFC" w14:textId="77777777" w:rsidR="00466F38" w:rsidRPr="00036EE3" w:rsidRDefault="00466F38" w:rsidP="008161D6">
            <w:pPr>
              <w:spacing w:before="30" w:after="30"/>
              <w:jc w:val="left"/>
              <w:rPr>
                <w:sz w:val="20"/>
                <w:lang w:val="fr-CH"/>
              </w:rPr>
            </w:pPr>
            <w:proofErr w:type="spellStart"/>
            <w:r w:rsidRPr="00036EE3">
              <w:rPr>
                <w:sz w:val="20"/>
                <w:lang w:val="fr-CH"/>
              </w:rPr>
              <w:t>Radiowave</w:t>
            </w:r>
            <w:proofErr w:type="spellEnd"/>
            <w:r w:rsidRPr="00036EE3">
              <w:rPr>
                <w:sz w:val="20"/>
                <w:lang w:val="fr-CH"/>
              </w:rPr>
              <w:t xml:space="preserve"> propagation</w:t>
            </w:r>
          </w:p>
        </w:tc>
      </w:tr>
      <w:tr w:rsidR="00466F38" w:rsidRPr="00036EE3" w14:paraId="7A600454" w14:textId="77777777" w:rsidTr="008161D6">
        <w:tc>
          <w:tcPr>
            <w:tcW w:w="1140" w:type="dxa"/>
          </w:tcPr>
          <w:p w14:paraId="4DFBB80D" w14:textId="77777777" w:rsidR="00466F38" w:rsidRPr="00036EE3" w:rsidRDefault="00466F38" w:rsidP="008161D6">
            <w:pPr>
              <w:spacing w:before="30" w:after="30"/>
              <w:ind w:left="57"/>
              <w:jc w:val="left"/>
              <w:rPr>
                <w:b/>
                <w:bCs/>
                <w:sz w:val="20"/>
                <w:lang w:val="en-US"/>
              </w:rPr>
            </w:pPr>
            <w:r w:rsidRPr="00036EE3">
              <w:rPr>
                <w:b/>
                <w:bCs/>
                <w:sz w:val="20"/>
                <w:lang w:val="en-US"/>
              </w:rPr>
              <w:t>RA</w:t>
            </w:r>
          </w:p>
        </w:tc>
        <w:tc>
          <w:tcPr>
            <w:tcW w:w="8220" w:type="dxa"/>
          </w:tcPr>
          <w:p w14:paraId="4CD09E91" w14:textId="77777777" w:rsidR="00466F38" w:rsidRPr="00036EE3" w:rsidRDefault="00466F38" w:rsidP="008161D6">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Radio astronomy</w:t>
            </w:r>
          </w:p>
        </w:tc>
      </w:tr>
      <w:tr w:rsidR="00466F38" w:rsidRPr="00036EE3" w14:paraId="10A02A9D" w14:textId="77777777" w:rsidTr="008161D6">
        <w:tc>
          <w:tcPr>
            <w:tcW w:w="1140" w:type="dxa"/>
          </w:tcPr>
          <w:p w14:paraId="5092FAAF" w14:textId="77777777" w:rsidR="00466F38" w:rsidRPr="00036EE3" w:rsidRDefault="00466F38" w:rsidP="008161D6">
            <w:pPr>
              <w:spacing w:before="30" w:after="30"/>
              <w:ind w:left="57"/>
              <w:jc w:val="left"/>
              <w:rPr>
                <w:b/>
                <w:bCs/>
                <w:sz w:val="20"/>
                <w:lang w:val="en-US"/>
              </w:rPr>
            </w:pPr>
            <w:r w:rsidRPr="00036EE3">
              <w:rPr>
                <w:b/>
                <w:bCs/>
                <w:sz w:val="20"/>
                <w:lang w:val="en-US"/>
              </w:rPr>
              <w:t>RS</w:t>
            </w:r>
          </w:p>
        </w:tc>
        <w:tc>
          <w:tcPr>
            <w:tcW w:w="8220" w:type="dxa"/>
          </w:tcPr>
          <w:p w14:paraId="31A7E244" w14:textId="77777777" w:rsidR="00466F38" w:rsidRPr="00036EE3" w:rsidRDefault="00466F38" w:rsidP="008161D6">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Remote sensing systems</w:t>
            </w:r>
          </w:p>
        </w:tc>
      </w:tr>
      <w:tr w:rsidR="00466F38" w:rsidRPr="00036EE3" w14:paraId="7390EAE3" w14:textId="77777777" w:rsidTr="008161D6">
        <w:tc>
          <w:tcPr>
            <w:tcW w:w="1140" w:type="dxa"/>
          </w:tcPr>
          <w:p w14:paraId="6B8F8FB1" w14:textId="77777777" w:rsidR="00466F38" w:rsidRPr="00036EE3" w:rsidRDefault="00466F38" w:rsidP="008161D6">
            <w:pPr>
              <w:spacing w:before="30" w:after="30"/>
              <w:ind w:left="57"/>
              <w:jc w:val="left"/>
              <w:rPr>
                <w:b/>
                <w:bCs/>
                <w:sz w:val="20"/>
                <w:lang w:val="en-US"/>
              </w:rPr>
            </w:pPr>
            <w:r w:rsidRPr="00036EE3">
              <w:rPr>
                <w:b/>
                <w:bCs/>
                <w:sz w:val="20"/>
                <w:lang w:val="en-US"/>
              </w:rPr>
              <w:t>S</w:t>
            </w:r>
          </w:p>
        </w:tc>
        <w:tc>
          <w:tcPr>
            <w:tcW w:w="8220" w:type="dxa"/>
          </w:tcPr>
          <w:p w14:paraId="7D885E27" w14:textId="77777777" w:rsidR="00466F38" w:rsidRPr="00036EE3" w:rsidRDefault="00466F38" w:rsidP="008161D6">
            <w:pPr>
              <w:spacing w:before="30" w:after="30"/>
              <w:jc w:val="left"/>
              <w:rPr>
                <w:sz w:val="20"/>
                <w:lang w:val="en-US"/>
              </w:rPr>
            </w:pPr>
            <w:r w:rsidRPr="00036EE3">
              <w:rPr>
                <w:sz w:val="20"/>
                <w:lang w:val="en-US"/>
              </w:rPr>
              <w:t>Fixed-satellite service</w:t>
            </w:r>
          </w:p>
        </w:tc>
      </w:tr>
      <w:tr w:rsidR="00466F38" w:rsidRPr="00036EE3" w14:paraId="0FD14080" w14:textId="77777777" w:rsidTr="008161D6">
        <w:tc>
          <w:tcPr>
            <w:tcW w:w="1140" w:type="dxa"/>
          </w:tcPr>
          <w:p w14:paraId="198FF5E3" w14:textId="77777777" w:rsidR="00466F38" w:rsidRPr="00036EE3" w:rsidRDefault="00466F38" w:rsidP="008161D6">
            <w:pPr>
              <w:spacing w:before="30" w:after="30"/>
              <w:ind w:left="57"/>
              <w:jc w:val="left"/>
              <w:rPr>
                <w:b/>
                <w:bCs/>
                <w:sz w:val="20"/>
                <w:lang w:val="en-US"/>
              </w:rPr>
            </w:pPr>
            <w:r w:rsidRPr="00036EE3">
              <w:rPr>
                <w:b/>
                <w:bCs/>
                <w:sz w:val="20"/>
                <w:lang w:val="en-US"/>
              </w:rPr>
              <w:t>SA</w:t>
            </w:r>
          </w:p>
        </w:tc>
        <w:tc>
          <w:tcPr>
            <w:tcW w:w="8220" w:type="dxa"/>
          </w:tcPr>
          <w:p w14:paraId="42D8BCD6" w14:textId="77777777" w:rsidR="00466F38" w:rsidRPr="00036EE3" w:rsidRDefault="00466F38" w:rsidP="008161D6">
            <w:pPr>
              <w:spacing w:before="30" w:after="30"/>
              <w:jc w:val="left"/>
              <w:rPr>
                <w:sz w:val="20"/>
                <w:lang w:val="en-US"/>
              </w:rPr>
            </w:pPr>
            <w:r w:rsidRPr="00036EE3">
              <w:rPr>
                <w:sz w:val="20"/>
                <w:lang w:val="en-US"/>
              </w:rPr>
              <w:t>Space applications and meteorology</w:t>
            </w:r>
          </w:p>
        </w:tc>
      </w:tr>
      <w:tr w:rsidR="00466F38" w:rsidRPr="00576D47" w14:paraId="6CF801A3" w14:textId="77777777" w:rsidTr="008161D6">
        <w:tc>
          <w:tcPr>
            <w:tcW w:w="1140" w:type="dxa"/>
            <w:tcBorders>
              <w:bottom w:val="nil"/>
            </w:tcBorders>
          </w:tcPr>
          <w:p w14:paraId="69A43169" w14:textId="77777777" w:rsidR="00466F38" w:rsidRPr="00036EE3" w:rsidRDefault="00466F38" w:rsidP="008161D6">
            <w:pPr>
              <w:spacing w:before="30" w:after="30"/>
              <w:ind w:left="57"/>
              <w:jc w:val="left"/>
              <w:rPr>
                <w:b/>
                <w:bCs/>
                <w:sz w:val="20"/>
                <w:lang w:val="en-US"/>
              </w:rPr>
            </w:pPr>
            <w:r w:rsidRPr="00036EE3">
              <w:rPr>
                <w:b/>
                <w:bCs/>
                <w:sz w:val="20"/>
                <w:lang w:val="en-US"/>
              </w:rPr>
              <w:t>SF</w:t>
            </w:r>
          </w:p>
        </w:tc>
        <w:tc>
          <w:tcPr>
            <w:tcW w:w="8220" w:type="dxa"/>
            <w:tcBorders>
              <w:bottom w:val="nil"/>
            </w:tcBorders>
          </w:tcPr>
          <w:p w14:paraId="5B086ADA" w14:textId="77777777" w:rsidR="00466F38" w:rsidRPr="00036EE3" w:rsidRDefault="00466F38" w:rsidP="008161D6">
            <w:pPr>
              <w:spacing w:before="30" w:after="30"/>
              <w:jc w:val="left"/>
              <w:rPr>
                <w:sz w:val="20"/>
                <w:lang w:val="en-US"/>
              </w:rPr>
            </w:pPr>
            <w:r w:rsidRPr="00036EE3">
              <w:rPr>
                <w:sz w:val="20"/>
                <w:lang w:val="en-US"/>
              </w:rPr>
              <w:t>Frequency sharing and coordination between fixed-satellite and fixed service systems</w:t>
            </w:r>
          </w:p>
        </w:tc>
      </w:tr>
      <w:tr w:rsidR="00466F38" w:rsidRPr="00036EE3" w14:paraId="077E97EC" w14:textId="77777777" w:rsidTr="008161D6">
        <w:tc>
          <w:tcPr>
            <w:tcW w:w="1140" w:type="dxa"/>
            <w:tcBorders>
              <w:top w:val="nil"/>
              <w:bottom w:val="nil"/>
            </w:tcBorders>
            <w:shd w:val="clear" w:color="auto" w:fill="auto"/>
          </w:tcPr>
          <w:p w14:paraId="0163BF42" w14:textId="77777777" w:rsidR="00466F38" w:rsidRPr="001B164E" w:rsidRDefault="00466F38" w:rsidP="008161D6">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shd w:val="clear" w:color="auto" w:fill="auto"/>
          </w:tcPr>
          <w:p w14:paraId="6AACEFF6" w14:textId="77777777" w:rsidR="00466F38" w:rsidRPr="001B164E" w:rsidRDefault="00466F38" w:rsidP="008161D6">
            <w:pPr>
              <w:spacing w:before="30" w:after="30"/>
              <w:jc w:val="left"/>
              <w:rPr>
                <w:rFonts w:hAnsi="Times New Roman Bold"/>
                <w:sz w:val="20"/>
                <w:lang w:val="en-US"/>
              </w:rPr>
            </w:pPr>
            <w:r w:rsidRPr="001B164E">
              <w:rPr>
                <w:rFonts w:hAnsi="Times New Roman Bold"/>
                <w:sz w:val="20"/>
                <w:lang w:val="en-US"/>
              </w:rPr>
              <w:t>Spectrum management</w:t>
            </w:r>
          </w:p>
        </w:tc>
      </w:tr>
      <w:tr w:rsidR="00466F38" w:rsidRPr="00036EE3" w14:paraId="00F0F504" w14:textId="77777777" w:rsidTr="008161D6">
        <w:tc>
          <w:tcPr>
            <w:tcW w:w="1140" w:type="dxa"/>
            <w:tcBorders>
              <w:top w:val="nil"/>
            </w:tcBorders>
          </w:tcPr>
          <w:p w14:paraId="1E96F8BA" w14:textId="77777777" w:rsidR="00466F38" w:rsidRPr="00036EE3" w:rsidRDefault="00466F38" w:rsidP="008161D6">
            <w:pPr>
              <w:spacing w:before="30" w:after="30"/>
              <w:ind w:left="57"/>
              <w:jc w:val="left"/>
              <w:rPr>
                <w:b/>
                <w:bCs/>
                <w:sz w:val="20"/>
                <w:lang w:val="en-US"/>
              </w:rPr>
            </w:pPr>
            <w:r w:rsidRPr="00036EE3">
              <w:rPr>
                <w:b/>
                <w:bCs/>
                <w:sz w:val="20"/>
                <w:lang w:val="en-US"/>
              </w:rPr>
              <w:t>SNG</w:t>
            </w:r>
          </w:p>
        </w:tc>
        <w:tc>
          <w:tcPr>
            <w:tcW w:w="8220" w:type="dxa"/>
            <w:tcBorders>
              <w:top w:val="nil"/>
            </w:tcBorders>
          </w:tcPr>
          <w:p w14:paraId="20D0AFB2" w14:textId="77777777" w:rsidR="00466F38" w:rsidRPr="00036EE3" w:rsidRDefault="00466F38" w:rsidP="008161D6">
            <w:pPr>
              <w:spacing w:before="30" w:after="30"/>
              <w:jc w:val="left"/>
              <w:rPr>
                <w:sz w:val="20"/>
                <w:lang w:val="en-US"/>
              </w:rPr>
            </w:pPr>
            <w:r w:rsidRPr="00036EE3">
              <w:rPr>
                <w:sz w:val="20"/>
                <w:lang w:val="en-US"/>
              </w:rPr>
              <w:t>Satellite news gathering</w:t>
            </w:r>
          </w:p>
        </w:tc>
      </w:tr>
      <w:tr w:rsidR="00466F38" w:rsidRPr="00576D47" w14:paraId="01F5FBD7" w14:textId="77777777" w:rsidTr="008161D6">
        <w:tc>
          <w:tcPr>
            <w:tcW w:w="1140" w:type="dxa"/>
          </w:tcPr>
          <w:p w14:paraId="36F45A85" w14:textId="77777777" w:rsidR="00466F38" w:rsidRPr="00036EE3" w:rsidRDefault="00466F38" w:rsidP="008161D6">
            <w:pPr>
              <w:spacing w:before="30" w:after="30"/>
              <w:ind w:left="57"/>
              <w:jc w:val="left"/>
              <w:rPr>
                <w:b/>
                <w:bCs/>
                <w:sz w:val="20"/>
                <w:lang w:val="en-US"/>
              </w:rPr>
            </w:pPr>
            <w:r w:rsidRPr="00036EE3">
              <w:rPr>
                <w:b/>
                <w:bCs/>
                <w:sz w:val="20"/>
                <w:lang w:val="en-US"/>
              </w:rPr>
              <w:t>TF</w:t>
            </w:r>
          </w:p>
        </w:tc>
        <w:tc>
          <w:tcPr>
            <w:tcW w:w="8220" w:type="dxa"/>
          </w:tcPr>
          <w:p w14:paraId="57415F68" w14:textId="77777777" w:rsidR="00466F38" w:rsidRPr="00036EE3" w:rsidRDefault="00466F38" w:rsidP="008161D6">
            <w:pPr>
              <w:spacing w:before="30" w:after="30"/>
              <w:jc w:val="left"/>
              <w:rPr>
                <w:sz w:val="20"/>
                <w:lang w:val="en-US"/>
              </w:rPr>
            </w:pPr>
            <w:r w:rsidRPr="00036EE3">
              <w:rPr>
                <w:sz w:val="20"/>
                <w:lang w:val="en-US"/>
              </w:rPr>
              <w:t>Time signals and frequency standards emissions</w:t>
            </w:r>
          </w:p>
        </w:tc>
      </w:tr>
      <w:tr w:rsidR="00466F38" w:rsidRPr="00036EE3" w14:paraId="083ED0A7" w14:textId="77777777" w:rsidTr="008161D6">
        <w:tc>
          <w:tcPr>
            <w:tcW w:w="1140" w:type="dxa"/>
          </w:tcPr>
          <w:p w14:paraId="54CB1F87" w14:textId="77777777" w:rsidR="00466F38" w:rsidRPr="00036EE3" w:rsidRDefault="00466F38" w:rsidP="008161D6">
            <w:pPr>
              <w:spacing w:before="30" w:after="30"/>
              <w:ind w:left="57"/>
              <w:jc w:val="left"/>
              <w:rPr>
                <w:b/>
                <w:bCs/>
                <w:sz w:val="20"/>
                <w:lang w:val="en-US"/>
              </w:rPr>
            </w:pPr>
            <w:r w:rsidRPr="00036EE3">
              <w:rPr>
                <w:b/>
                <w:bCs/>
                <w:sz w:val="20"/>
                <w:lang w:val="en-US"/>
              </w:rPr>
              <w:t>V</w:t>
            </w:r>
          </w:p>
        </w:tc>
        <w:tc>
          <w:tcPr>
            <w:tcW w:w="8220" w:type="dxa"/>
          </w:tcPr>
          <w:p w14:paraId="0F854F45" w14:textId="77777777" w:rsidR="00466F38" w:rsidRPr="00036EE3" w:rsidRDefault="00466F38" w:rsidP="008161D6">
            <w:pPr>
              <w:spacing w:before="30" w:after="180"/>
              <w:jc w:val="left"/>
              <w:rPr>
                <w:sz w:val="20"/>
                <w:lang w:val="en-US"/>
              </w:rPr>
            </w:pPr>
            <w:r w:rsidRPr="00036EE3">
              <w:rPr>
                <w:sz w:val="20"/>
                <w:lang w:val="en-US"/>
              </w:rPr>
              <w:t>Vocabulary and related subjects</w:t>
            </w:r>
          </w:p>
        </w:tc>
      </w:tr>
    </w:tbl>
    <w:p w14:paraId="6CD74E30" w14:textId="77777777" w:rsidR="00466F38" w:rsidRPr="00036EE3" w:rsidRDefault="00466F38" w:rsidP="00466F38">
      <w:pPr>
        <w:spacing w:before="30" w:after="30"/>
        <w:jc w:val="center"/>
        <w:rPr>
          <w:sz w:val="20"/>
          <w:lang w:val="en-US"/>
        </w:rPr>
      </w:pPr>
    </w:p>
    <w:tbl>
      <w:tblPr>
        <w:tblpPr w:leftFromText="180" w:rightFromText="180" w:vertAnchor="text" w:tblpX="-5771" w:tblpY="-4031"/>
        <w:tblW w:w="0" w:type="auto"/>
        <w:tblLook w:val="0000" w:firstRow="0" w:lastRow="0" w:firstColumn="0" w:lastColumn="0" w:noHBand="0" w:noVBand="0"/>
      </w:tblPr>
      <w:tblGrid>
        <w:gridCol w:w="720"/>
      </w:tblGrid>
      <w:tr w:rsidR="00466F38" w14:paraId="0A106B06" w14:textId="77777777" w:rsidTr="008161D6">
        <w:tc>
          <w:tcPr>
            <w:tcW w:w="720" w:type="dxa"/>
          </w:tcPr>
          <w:p w14:paraId="1ADF7822" w14:textId="77777777" w:rsidR="00466F38" w:rsidRDefault="00466F38" w:rsidP="008161D6">
            <w:pPr>
              <w:jc w:val="center"/>
              <w:rPr>
                <w:sz w:val="22"/>
                <w:lang w:val="en-US"/>
              </w:rPr>
            </w:pPr>
          </w:p>
        </w:tc>
      </w:tr>
    </w:tbl>
    <w:p w14:paraId="32E68146" w14:textId="77777777" w:rsidR="00466F38" w:rsidRPr="00036EE3" w:rsidRDefault="00466F38" w:rsidP="00466F38">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466F38" w:rsidRPr="00576D47" w14:paraId="4AD6E235" w14:textId="77777777" w:rsidTr="008161D6">
        <w:tc>
          <w:tcPr>
            <w:tcW w:w="9360" w:type="dxa"/>
          </w:tcPr>
          <w:p w14:paraId="4FFA27D4" w14:textId="77777777" w:rsidR="00466F38" w:rsidRPr="002F5199" w:rsidRDefault="00466F38" w:rsidP="008161D6">
            <w:pPr>
              <w:spacing w:after="120"/>
              <w:jc w:val="left"/>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30B0DE33" w14:textId="77777777" w:rsidR="00466F38" w:rsidRDefault="00466F38" w:rsidP="00466F38">
      <w:pPr>
        <w:spacing w:before="0"/>
        <w:jc w:val="center"/>
        <w:rPr>
          <w:sz w:val="22"/>
          <w:lang w:val="en-US"/>
        </w:rPr>
      </w:pPr>
    </w:p>
    <w:p w14:paraId="0C49274B" w14:textId="77777777" w:rsidR="00466F38" w:rsidRDefault="00466F38" w:rsidP="00466F38">
      <w:pPr>
        <w:spacing w:before="0"/>
        <w:jc w:val="center"/>
        <w:rPr>
          <w:sz w:val="22"/>
          <w:lang w:val="en-US"/>
        </w:rPr>
      </w:pPr>
    </w:p>
    <w:p w14:paraId="6D7516C6" w14:textId="77777777" w:rsidR="00466F38" w:rsidRPr="002F5199" w:rsidRDefault="00466F38" w:rsidP="00466F38">
      <w:pPr>
        <w:spacing w:before="0"/>
        <w:jc w:val="right"/>
        <w:rPr>
          <w:i/>
          <w:iCs/>
          <w:sz w:val="20"/>
          <w:lang w:val="en-US"/>
        </w:rPr>
      </w:pPr>
      <w:r w:rsidRPr="002F5199">
        <w:rPr>
          <w:i/>
          <w:iCs/>
          <w:sz w:val="20"/>
          <w:lang w:val="en-US"/>
        </w:rPr>
        <w:t>Electronic Publication</w:t>
      </w:r>
    </w:p>
    <w:p w14:paraId="3FF7A26A" w14:textId="77777777" w:rsidR="00466F38" w:rsidRPr="002F5199" w:rsidRDefault="00466F38" w:rsidP="00466F38">
      <w:pPr>
        <w:spacing w:before="0"/>
        <w:jc w:val="right"/>
        <w:rPr>
          <w:sz w:val="20"/>
          <w:lang w:val="en-US"/>
        </w:rPr>
      </w:pPr>
      <w:smartTag w:uri="urn:schemas-microsoft-com:office:smarttags" w:element="City">
        <w:smartTag w:uri="urn:schemas-microsoft-com:office:smarttags" w:element="place">
          <w:r w:rsidRPr="002F5199">
            <w:rPr>
              <w:sz w:val="20"/>
              <w:lang w:val="en-US"/>
            </w:rPr>
            <w:t>Geneva</w:t>
          </w:r>
        </w:smartTag>
      </w:smartTag>
      <w:r w:rsidRPr="002F5199">
        <w:rPr>
          <w:sz w:val="20"/>
          <w:lang w:val="en-US"/>
        </w:rPr>
        <w:t>, 20</w:t>
      </w:r>
      <w:r>
        <w:rPr>
          <w:sz w:val="20"/>
          <w:lang w:val="en-US"/>
        </w:rPr>
        <w:t>23</w:t>
      </w:r>
    </w:p>
    <w:p w14:paraId="1A1E9959" w14:textId="77777777" w:rsidR="00466F38" w:rsidRDefault="00466F38" w:rsidP="00466F38">
      <w:pPr>
        <w:jc w:val="center"/>
        <w:rPr>
          <w:sz w:val="22"/>
          <w:lang w:val="en-US"/>
        </w:rPr>
      </w:pPr>
    </w:p>
    <w:p w14:paraId="22EDA0D5" w14:textId="77777777" w:rsidR="00466F38" w:rsidRPr="00470E28" w:rsidRDefault="00466F38" w:rsidP="00466F38">
      <w:pPr>
        <w:jc w:val="center"/>
        <w:rPr>
          <w:sz w:val="20"/>
          <w:lang w:val="en-US"/>
        </w:rPr>
      </w:pPr>
      <w:r w:rsidRPr="00470E28">
        <w:rPr>
          <w:sz w:val="20"/>
          <w:lang w:val="en-US"/>
        </w:rPr>
        <w:sym w:font="Symbol" w:char="F0E3"/>
      </w:r>
      <w:r w:rsidRPr="00470E28">
        <w:rPr>
          <w:sz w:val="20"/>
          <w:lang w:val="en-US"/>
        </w:rPr>
        <w:t xml:space="preserve"> ITU </w:t>
      </w:r>
      <w:bookmarkStart w:id="1" w:name="iiannee"/>
      <w:bookmarkEnd w:id="1"/>
      <w:r w:rsidRPr="00470E28">
        <w:rPr>
          <w:sz w:val="20"/>
          <w:lang w:val="en-US"/>
        </w:rPr>
        <w:t>20</w:t>
      </w:r>
      <w:r>
        <w:rPr>
          <w:sz w:val="20"/>
          <w:lang w:val="en-US"/>
        </w:rPr>
        <w:t>23</w:t>
      </w:r>
    </w:p>
    <w:p w14:paraId="113FD962" w14:textId="77777777" w:rsidR="00466F38" w:rsidRPr="00470E28" w:rsidRDefault="00466F38" w:rsidP="00466F38">
      <w:pPr>
        <w:rPr>
          <w:sz w:val="18"/>
          <w:szCs w:val="18"/>
          <w:lang w:val="en-US"/>
        </w:rPr>
      </w:pPr>
      <w:r w:rsidRPr="00470E28">
        <w:rPr>
          <w:sz w:val="18"/>
          <w:szCs w:val="18"/>
          <w:lang w:val="en-US"/>
        </w:rPr>
        <w:t>All rights reserved. No part of thi</w:t>
      </w:r>
      <w:r>
        <w:rPr>
          <w:sz w:val="18"/>
          <w:szCs w:val="18"/>
          <w:lang w:val="en-US"/>
        </w:rPr>
        <w:t xml:space="preserve">s publication may be reproduced, </w:t>
      </w:r>
      <w:r w:rsidRPr="00470E28">
        <w:rPr>
          <w:sz w:val="18"/>
          <w:szCs w:val="18"/>
          <w:lang w:val="en-US"/>
        </w:rPr>
        <w:t xml:space="preserve">by any means </w:t>
      </w:r>
      <w:r>
        <w:rPr>
          <w:sz w:val="18"/>
          <w:szCs w:val="18"/>
          <w:lang w:val="en-US"/>
        </w:rPr>
        <w:t xml:space="preserve">whatsoever, </w:t>
      </w:r>
      <w:r w:rsidRPr="00470E28">
        <w:rPr>
          <w:sz w:val="18"/>
          <w:szCs w:val="18"/>
          <w:lang w:val="en-US"/>
        </w:rPr>
        <w:t xml:space="preserve">without written permission </w:t>
      </w:r>
      <w:r>
        <w:rPr>
          <w:sz w:val="18"/>
          <w:szCs w:val="18"/>
          <w:lang w:val="en-US"/>
        </w:rPr>
        <w:t>of</w:t>
      </w:r>
      <w:r w:rsidRPr="00470E28">
        <w:rPr>
          <w:sz w:val="18"/>
          <w:szCs w:val="18"/>
          <w:lang w:val="en-US"/>
        </w:rPr>
        <w:t xml:space="preserve"> ITU.</w:t>
      </w:r>
    </w:p>
    <w:p w14:paraId="59833B73" w14:textId="77777777" w:rsidR="00466F38" w:rsidRDefault="00466F38" w:rsidP="00466F38">
      <w:pPr>
        <w:spacing w:before="160"/>
        <w:rPr>
          <w:i/>
          <w:sz w:val="20"/>
          <w:lang w:val="en-US"/>
        </w:rPr>
        <w:sectPr w:rsidR="00466F38" w:rsidSect="002058CE">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1A8C831F" w14:textId="586D01C7" w:rsidR="00466F38" w:rsidRPr="00B874C6" w:rsidRDefault="00466F38" w:rsidP="00466F38">
      <w:pPr>
        <w:pStyle w:val="RecNo"/>
        <w:spacing w:before="0"/>
        <w:rPr>
          <w:lang w:val="en-US"/>
        </w:rPr>
      </w:pPr>
      <w:bookmarkStart w:id="2" w:name="irecnoe"/>
      <w:bookmarkEnd w:id="2"/>
      <w:proofErr w:type="gramStart"/>
      <w:r w:rsidRPr="00BF487A">
        <w:lastRenderedPageBreak/>
        <w:t xml:space="preserve">RECOMMENDATION  </w:t>
      </w:r>
      <w:r w:rsidRPr="00BF487A">
        <w:rPr>
          <w:rStyle w:val="href"/>
          <w:lang w:val="en-US"/>
        </w:rPr>
        <w:t>ITU</w:t>
      </w:r>
      <w:proofErr w:type="gramEnd"/>
      <w:r w:rsidRPr="00BF487A">
        <w:rPr>
          <w:rStyle w:val="href"/>
          <w:lang w:val="en-US"/>
        </w:rPr>
        <w:t xml:space="preserve">-R  </w:t>
      </w:r>
      <w:r>
        <w:rPr>
          <w:rStyle w:val="href"/>
          <w:lang w:val="en-US"/>
        </w:rPr>
        <w:t>M</w:t>
      </w:r>
      <w:r w:rsidRPr="00BF487A">
        <w:rPr>
          <w:rStyle w:val="href"/>
          <w:lang w:val="en-US"/>
        </w:rPr>
        <w:t>.</w:t>
      </w:r>
      <w:r w:rsidR="00D90937">
        <w:rPr>
          <w:rStyle w:val="href"/>
          <w:lang w:val="en-US"/>
        </w:rPr>
        <w:t>216</w:t>
      </w:r>
      <w:r w:rsidR="003530B3">
        <w:rPr>
          <w:rStyle w:val="href"/>
          <w:lang w:val="en-US"/>
        </w:rPr>
        <w:t>4</w:t>
      </w:r>
      <w:r w:rsidR="009E5F75">
        <w:rPr>
          <w:rStyle w:val="href"/>
          <w:lang w:val="en-US"/>
        </w:rPr>
        <w:t>-0</w:t>
      </w:r>
      <w:r w:rsidR="00B24377" w:rsidRPr="00B24377">
        <w:rPr>
          <w:rStyle w:val="FootnoteReference"/>
          <w:lang w:val="en-US"/>
        </w:rPr>
        <w:footnoteReference w:customMarkFollows="1" w:id="1"/>
        <w:sym w:font="Symbol" w:char="F02A"/>
      </w:r>
    </w:p>
    <w:p w14:paraId="509B752E" w14:textId="468DAE75" w:rsidR="00466F38" w:rsidRPr="00870226" w:rsidRDefault="003530B3" w:rsidP="00466F38">
      <w:pPr>
        <w:pStyle w:val="Rectitle"/>
        <w:rPr>
          <w:lang w:eastAsia="zh-CN"/>
        </w:rPr>
      </w:pPr>
      <w:r w:rsidRPr="00E56005">
        <w:rPr>
          <w:lang w:eastAsia="zh-CN"/>
        </w:rPr>
        <w:t xml:space="preserve">Guidance on technical and operational measures for the use of the frequency band 1 240-1 300 MHz by the amateur and amateur-satellite service in order to protect the radionavigation-satellite service </w:t>
      </w:r>
      <w:r w:rsidRPr="00E56005">
        <w:rPr>
          <w:color w:val="000000"/>
          <w:lang w:eastAsia="zh-CN"/>
        </w:rPr>
        <w:t>(space-to-Earth)</w:t>
      </w:r>
    </w:p>
    <w:p w14:paraId="76EB42FE" w14:textId="7B525AA8" w:rsidR="00466F38" w:rsidRPr="00870226" w:rsidRDefault="00466F38" w:rsidP="00466F38">
      <w:pPr>
        <w:pStyle w:val="Recdate"/>
        <w:rPr>
          <w:rFonts w:ascii="Times New Roman Bold" w:eastAsia="SimSun" w:hAnsi="Times New Roman Bold" w:cs="Times New Roman Bold"/>
          <w:b/>
          <w:szCs w:val="24"/>
          <w:lang w:eastAsia="zh-CN"/>
        </w:rPr>
      </w:pPr>
      <w:r w:rsidRPr="00C80F34">
        <w:t>(202</w:t>
      </w:r>
      <w:r>
        <w:t>3</w:t>
      </w:r>
      <w:r w:rsidRPr="00C80F34">
        <w:t>)</w:t>
      </w:r>
    </w:p>
    <w:p w14:paraId="3A760FF2" w14:textId="77777777" w:rsidR="00466F38" w:rsidRPr="005B1017" w:rsidRDefault="00466F38" w:rsidP="006F545D">
      <w:pPr>
        <w:pStyle w:val="HeadingSum"/>
        <w:rPr>
          <w:rFonts w:eastAsia="SimSun"/>
          <w:lang w:val="en-GB"/>
        </w:rPr>
      </w:pPr>
      <w:r w:rsidRPr="005B1017">
        <w:rPr>
          <w:rFonts w:eastAsia="SimSun"/>
          <w:lang w:val="en-GB"/>
        </w:rPr>
        <w:t>Scope</w:t>
      </w:r>
    </w:p>
    <w:p w14:paraId="37325A69" w14:textId="284AF697" w:rsidR="002F53C7" w:rsidRPr="00014860" w:rsidRDefault="00014860" w:rsidP="00E41377">
      <w:pPr>
        <w:pStyle w:val="Summary"/>
        <w:rPr>
          <w:lang w:val="en-GB"/>
        </w:rPr>
      </w:pPr>
      <w:r w:rsidRPr="00014860">
        <w:rPr>
          <w:lang w:val="en-GB"/>
        </w:rPr>
        <w:t xml:space="preserve">This Recommendation provides guidance on technical and operational measures for administrations authorizing stations operating in the amateur and amateur-satellite services to protect the radionavigation-satellite service </w:t>
      </w:r>
      <w:r w:rsidRPr="00014860">
        <w:rPr>
          <w:color w:val="000000"/>
          <w:lang w:val="en-GB"/>
        </w:rPr>
        <w:t xml:space="preserve">(space-to-Earth) </w:t>
      </w:r>
      <w:r w:rsidRPr="00014860">
        <w:rPr>
          <w:lang w:val="en-GB"/>
        </w:rPr>
        <w:t>in the frequency band 1 240-1 300 </w:t>
      </w:r>
      <w:proofErr w:type="spellStart"/>
      <w:r w:rsidRPr="00014860">
        <w:rPr>
          <w:lang w:val="en-GB"/>
        </w:rPr>
        <w:t>MHz.</w:t>
      </w:r>
      <w:proofErr w:type="spellEnd"/>
      <w:r w:rsidRPr="00014860">
        <w:rPr>
          <w:lang w:val="en-GB"/>
        </w:rPr>
        <w:t xml:space="preserve"> The relevant measures are contained in the Annex to this Recommendation.</w:t>
      </w:r>
    </w:p>
    <w:p w14:paraId="205BBF5B" w14:textId="77777777" w:rsidR="00DF4638" w:rsidRPr="0052143F" w:rsidRDefault="00DF4638" w:rsidP="00DF4638">
      <w:pPr>
        <w:pStyle w:val="Headingb"/>
        <w:rPr>
          <w:lang w:val="fr-FR"/>
        </w:rPr>
      </w:pPr>
      <w:r w:rsidRPr="0052143F">
        <w:rPr>
          <w:lang w:val="fr-FR"/>
        </w:rPr>
        <w:t>Keywords</w:t>
      </w:r>
    </w:p>
    <w:p w14:paraId="7AC8C7D8" w14:textId="77777777" w:rsidR="00DF4638" w:rsidRPr="0052143F" w:rsidRDefault="00DF4638" w:rsidP="00DF4638">
      <w:pPr>
        <w:rPr>
          <w:lang w:val="fr-FR"/>
        </w:rPr>
      </w:pPr>
      <w:r w:rsidRPr="0052143F">
        <w:rPr>
          <w:lang w:val="fr-FR"/>
        </w:rPr>
        <w:t>Radionavigation-satellite service (RNSS), amateur service, amateur-satellite service</w:t>
      </w:r>
    </w:p>
    <w:p w14:paraId="03A795BF" w14:textId="77777777" w:rsidR="00DF4638" w:rsidRPr="00E56005" w:rsidRDefault="00DF4638" w:rsidP="00DF4638">
      <w:pPr>
        <w:pStyle w:val="Headingb"/>
        <w:rPr>
          <w:b w:val="0"/>
        </w:rPr>
      </w:pPr>
      <w:r w:rsidRPr="00E56005">
        <w:t>Related ITU Recommendations, Reports and Handbooks</w:t>
      </w:r>
    </w:p>
    <w:p w14:paraId="75FBBA6B" w14:textId="6B3AF7EF" w:rsidR="00426C5D" w:rsidRPr="00DF4638" w:rsidRDefault="00426C5D" w:rsidP="0021673F">
      <w:pPr>
        <w:pStyle w:val="Reftext"/>
        <w:rPr>
          <w:lang w:eastAsia="ja-JP"/>
        </w:rPr>
      </w:pPr>
      <w:r w:rsidRPr="00DF4638">
        <w:rPr>
          <w:lang w:eastAsia="ja-JP"/>
        </w:rPr>
        <w:t xml:space="preserve">Recommendation </w:t>
      </w:r>
      <w:hyperlink r:id="rId14" w:history="1">
        <w:r w:rsidRPr="00DF4638">
          <w:t>ITU</w:t>
        </w:r>
        <w:r w:rsidRPr="00DF4638">
          <w:noBreakHyphen/>
          <w:t>R M.1732</w:t>
        </w:r>
      </w:hyperlink>
      <w:r w:rsidRPr="00DF4638">
        <w:t xml:space="preserve"> – Characteristics of systems operating in the amateur and amateur-satellite services for use in sharing </w:t>
      </w:r>
      <w:proofErr w:type="gramStart"/>
      <w:r w:rsidRPr="00DF4638">
        <w:t>studies</w:t>
      </w:r>
      <w:proofErr w:type="gramEnd"/>
    </w:p>
    <w:p w14:paraId="48AE458D" w14:textId="756145C4" w:rsidR="00426C5D" w:rsidRPr="00DF4638" w:rsidRDefault="00426C5D" w:rsidP="0021673F">
      <w:pPr>
        <w:pStyle w:val="Reftext"/>
      </w:pPr>
      <w:r w:rsidRPr="00DF4638">
        <w:rPr>
          <w:lang w:eastAsia="ja-JP"/>
        </w:rPr>
        <w:t xml:space="preserve">Recommendation </w:t>
      </w:r>
      <w:hyperlink r:id="rId15" w:history="1">
        <w:r w:rsidRPr="00DF4638">
          <w:rPr>
            <w:lang w:eastAsia="ja-JP"/>
          </w:rPr>
          <w:t>ITU</w:t>
        </w:r>
        <w:r w:rsidRPr="00DF4638">
          <w:rPr>
            <w:lang w:eastAsia="ja-JP"/>
          </w:rPr>
          <w:noBreakHyphen/>
          <w:t>R M.1787</w:t>
        </w:r>
      </w:hyperlink>
      <w:r w:rsidRPr="00DF4638">
        <w:t xml:space="preserve"> – </w:t>
      </w:r>
      <w:r w:rsidRPr="00DF4638">
        <w:rPr>
          <w:lang w:eastAsia="ja-JP"/>
        </w:rPr>
        <w:t>Description of systems and networks in the radionavigation-satellite service (space-to-Earth and space-to-space) and technical characteristics of transmitting space stations operating in the bands 1 164-1 215 MHz, 1 215-1 300 MHz and 1 559-1 610 MHz</w:t>
      </w:r>
    </w:p>
    <w:p w14:paraId="18970194" w14:textId="68BE1005" w:rsidR="00426C5D" w:rsidRPr="00DF4638" w:rsidRDefault="00426C5D" w:rsidP="0021673F">
      <w:pPr>
        <w:pStyle w:val="Reftext"/>
      </w:pPr>
      <w:r w:rsidRPr="00DF4638">
        <w:rPr>
          <w:lang w:eastAsia="ja-JP"/>
        </w:rPr>
        <w:t xml:space="preserve">Recommendation </w:t>
      </w:r>
      <w:hyperlink r:id="rId16" w:history="1">
        <w:r w:rsidRPr="00DF4638">
          <w:t>ITU</w:t>
        </w:r>
        <w:r w:rsidRPr="00DF4638">
          <w:noBreakHyphen/>
          <w:t>R M.1902</w:t>
        </w:r>
      </w:hyperlink>
      <w:r w:rsidRPr="00DF4638">
        <w:t xml:space="preserve"> – Characteristics and protection criteria for receiving earth stations in the radionavigation-satellite service (space-to-Earth) operating in the band 1 215-1 300 </w:t>
      </w:r>
      <w:proofErr w:type="gramStart"/>
      <w:r w:rsidRPr="00DF4638">
        <w:t>MHz</w:t>
      </w:r>
      <w:proofErr w:type="gramEnd"/>
    </w:p>
    <w:p w14:paraId="742436BF" w14:textId="5D603CE3" w:rsidR="00426C5D" w:rsidRPr="00DF4638" w:rsidRDefault="00426C5D" w:rsidP="0021673F">
      <w:pPr>
        <w:pStyle w:val="Reftext"/>
      </w:pPr>
      <w:r w:rsidRPr="00DF4638">
        <w:t xml:space="preserve">Recommendation </w:t>
      </w:r>
      <w:hyperlink r:id="rId17" w:history="1">
        <w:r w:rsidRPr="00DF4638">
          <w:t>ITU</w:t>
        </w:r>
        <w:r w:rsidRPr="00DF4638">
          <w:noBreakHyphen/>
          <w:t>R M.2030</w:t>
        </w:r>
      </w:hyperlink>
      <w:r w:rsidRPr="00DF4638">
        <w:t xml:space="preserve"> – Evaluation method for pulsed interference from relevant radio </w:t>
      </w:r>
      <w:r w:rsidRPr="00DF4638">
        <w:rPr>
          <w:spacing w:val="-2"/>
        </w:rPr>
        <w:t>sources other than in the radionavigation-satellite service to the radionavigation-satellite service systems and networks operating in the 1 164-1 215 MHz,</w:t>
      </w:r>
      <w:r w:rsidRPr="00DF4638">
        <w:t xml:space="preserve"> 1 215 1 300 MHz and 1 559-1 610 MHz frequency bands</w:t>
      </w:r>
    </w:p>
    <w:p w14:paraId="4EC0FFEA" w14:textId="0E565343" w:rsidR="00DF4638" w:rsidRPr="00DF4638" w:rsidRDefault="00DF4638" w:rsidP="0021673F">
      <w:pPr>
        <w:pStyle w:val="Reftext"/>
      </w:pPr>
      <w:r w:rsidRPr="00DF4638">
        <w:rPr>
          <w:lang w:eastAsia="ja-JP"/>
        </w:rPr>
        <w:t xml:space="preserve">Report </w:t>
      </w:r>
      <w:hyperlink r:id="rId18" w:history="1">
        <w:r w:rsidRPr="00DF4638">
          <w:rPr>
            <w:lang w:eastAsia="ja-JP"/>
          </w:rPr>
          <w:t>ITU</w:t>
        </w:r>
        <w:r w:rsidRPr="00DF4638">
          <w:rPr>
            <w:lang w:eastAsia="ja-JP"/>
          </w:rPr>
          <w:noBreakHyphen/>
          <w:t>R M.2458</w:t>
        </w:r>
      </w:hyperlink>
      <w:r w:rsidRPr="00DF4638">
        <w:rPr>
          <w:lang w:eastAsia="ja-JP"/>
        </w:rPr>
        <w:t xml:space="preserve"> </w:t>
      </w:r>
      <w:r w:rsidRPr="00DF4638">
        <w:t>– Radionavigation-satellite service applications in the 1 164-1 215 MHz, 1 215</w:t>
      </w:r>
      <w:r w:rsidR="0021673F">
        <w:noBreakHyphen/>
      </w:r>
      <w:r w:rsidRPr="00DF4638">
        <w:t>1 300 MHz and 1 559</w:t>
      </w:r>
      <w:r w:rsidRPr="00DF4638">
        <w:noBreakHyphen/>
        <w:t>1 610 MHz frequency bands</w:t>
      </w:r>
    </w:p>
    <w:p w14:paraId="51D249AB" w14:textId="343DFB51" w:rsidR="00426C5D" w:rsidRPr="00DF4638" w:rsidRDefault="00426C5D" w:rsidP="0021673F">
      <w:pPr>
        <w:pStyle w:val="Reftext"/>
      </w:pPr>
      <w:r w:rsidRPr="00DF4638">
        <w:t xml:space="preserve">Report </w:t>
      </w:r>
      <w:hyperlink r:id="rId19" w:history="1">
        <w:r w:rsidRPr="00DF4638">
          <w:t>ITU</w:t>
        </w:r>
        <w:r w:rsidRPr="00DF4638">
          <w:noBreakHyphen/>
          <w:t>R M.2513</w:t>
        </w:r>
      </w:hyperlink>
      <w:r w:rsidRPr="00DF4638">
        <w:t xml:space="preserve"> – Studies regarding the protection of the primary radionavigation-satellite service (space</w:t>
      </w:r>
      <w:r w:rsidRPr="00DF4638">
        <w:noBreakHyphen/>
        <w:t>to-Earth) by the secondary amateur and amateur-satellite services in the frequency band 1 240</w:t>
      </w:r>
      <w:r w:rsidR="0021673F">
        <w:noBreakHyphen/>
      </w:r>
      <w:r w:rsidRPr="00DF4638">
        <w:t>1 300 MHz</w:t>
      </w:r>
    </w:p>
    <w:p w14:paraId="0B6108C7" w14:textId="4AD00413" w:rsidR="00426C5D" w:rsidRPr="00DF4638" w:rsidRDefault="00426C5D" w:rsidP="0021673F">
      <w:pPr>
        <w:pStyle w:val="Reftext"/>
      </w:pPr>
      <w:r w:rsidRPr="00DF4638">
        <w:t xml:space="preserve">Report </w:t>
      </w:r>
      <w:hyperlink r:id="rId20" w:history="1">
        <w:r w:rsidRPr="00DF4638">
          <w:t>ITU</w:t>
        </w:r>
        <w:r w:rsidRPr="00DF4638">
          <w:noBreakHyphen/>
          <w:t>R M.2532</w:t>
        </w:r>
      </w:hyperlink>
      <w:r w:rsidRPr="00DF4638">
        <w:t xml:space="preserve"> – Amateur and amateur-satellite services characteristics and usage in the 1 240</w:t>
      </w:r>
      <w:r w:rsidR="0021673F">
        <w:noBreakHyphen/>
      </w:r>
      <w:r w:rsidRPr="00DF4638">
        <w:t>1 300 MHz frequency band</w:t>
      </w:r>
    </w:p>
    <w:p w14:paraId="7CFA804B" w14:textId="6E939073" w:rsidR="00DF4638" w:rsidRPr="00DF4638" w:rsidRDefault="00DF4638" w:rsidP="0021673F">
      <w:pPr>
        <w:pStyle w:val="Reftext"/>
      </w:pPr>
      <w:r w:rsidRPr="00DF4638">
        <w:rPr>
          <w:lang w:eastAsia="ja-JP"/>
        </w:rPr>
        <w:t xml:space="preserve">Handbook </w:t>
      </w:r>
      <w:hyperlink r:id="rId21" w:history="1">
        <w:r w:rsidRPr="00DF4638">
          <w:rPr>
            <w:lang w:eastAsia="ja-JP"/>
          </w:rPr>
          <w:t>ITU</w:t>
        </w:r>
        <w:r w:rsidRPr="00DF4638">
          <w:rPr>
            <w:lang w:eastAsia="ja-JP"/>
          </w:rPr>
          <w:noBreakHyphen/>
          <w:t>R 52</w:t>
        </w:r>
      </w:hyperlink>
      <w:r w:rsidRPr="00DF4638">
        <w:t xml:space="preserve"> – Amateur and amateur-satellite services</w:t>
      </w:r>
    </w:p>
    <w:p w14:paraId="795CC26F" w14:textId="77777777" w:rsidR="005D096C" w:rsidRDefault="005D096C" w:rsidP="00DF4638">
      <w:pPr>
        <w:pStyle w:val="Normalaftertitle0"/>
      </w:pPr>
    </w:p>
    <w:p w14:paraId="3118BD00" w14:textId="3421378C" w:rsidR="00DF4638" w:rsidRPr="00E56005" w:rsidRDefault="00DF4638" w:rsidP="0021673F">
      <w:pPr>
        <w:pStyle w:val="Normalaftertitle"/>
      </w:pPr>
      <w:r w:rsidRPr="00E56005">
        <w:t>The ITU Radiocommunication Assembly,</w:t>
      </w:r>
    </w:p>
    <w:p w14:paraId="1D17774D" w14:textId="77777777" w:rsidR="00DF4638" w:rsidRPr="00E56005" w:rsidRDefault="00DF4638" w:rsidP="00DF4638">
      <w:pPr>
        <w:pStyle w:val="Call"/>
      </w:pPr>
      <w:r w:rsidRPr="00E56005">
        <w:t>considering</w:t>
      </w:r>
    </w:p>
    <w:p w14:paraId="284897B2" w14:textId="77777777" w:rsidR="00DF4638" w:rsidRPr="00E56005" w:rsidRDefault="00DF4638" w:rsidP="00DF4638">
      <w:r w:rsidRPr="00E56005">
        <w:rPr>
          <w:bCs/>
          <w:i/>
        </w:rPr>
        <w:t>a)</w:t>
      </w:r>
      <w:r w:rsidRPr="00E56005">
        <w:rPr>
          <w:b/>
          <w:bCs/>
        </w:rPr>
        <w:tab/>
      </w:r>
      <w:r w:rsidRPr="00E56005">
        <w:rPr>
          <w:bCs/>
        </w:rPr>
        <w:t>that</w:t>
      </w:r>
      <w:r w:rsidRPr="00E56005">
        <w:t xml:space="preserve"> the International Amateur Radio Union (IARU) develops, maintains and publishes detailed band plans for the operation and development of the amateur and amateur-satellite services in all three Regions;</w:t>
      </w:r>
    </w:p>
    <w:p w14:paraId="03F04F86" w14:textId="592A7FA7" w:rsidR="00DF4638" w:rsidRPr="00893B79" w:rsidRDefault="00DF4638" w:rsidP="00DF4638">
      <w:r w:rsidRPr="00E56005">
        <w:rPr>
          <w:i/>
        </w:rPr>
        <w:lastRenderedPageBreak/>
        <w:t>b)</w:t>
      </w:r>
      <w:r w:rsidRPr="00E56005">
        <w:rPr>
          <w:i/>
        </w:rPr>
        <w:tab/>
      </w:r>
      <w:r w:rsidRPr="00893B79">
        <w:t xml:space="preserve">that Report </w:t>
      </w:r>
      <w:hyperlink r:id="rId22" w:history="1">
        <w:r w:rsidRPr="00893B79">
          <w:t>ITU</w:t>
        </w:r>
        <w:r w:rsidRPr="00893B79">
          <w:noBreakHyphen/>
          <w:t>R M.2532</w:t>
        </w:r>
      </w:hyperlink>
      <w:r w:rsidRPr="00893B79">
        <w:t xml:space="preserve"> provides information on the applications and operational characteristics of the use of the band </w:t>
      </w:r>
      <w:r w:rsidRPr="00893B79">
        <w:rPr>
          <w:bCs/>
        </w:rPr>
        <w:t>1 240-1 300 MHz by the amateur and amateur-satellite services;</w:t>
      </w:r>
    </w:p>
    <w:p w14:paraId="35278293" w14:textId="2549EC8B" w:rsidR="00DF4638" w:rsidRPr="00893B79" w:rsidRDefault="00DF4638" w:rsidP="00DF4638">
      <w:r w:rsidRPr="00893B79">
        <w:rPr>
          <w:bCs/>
          <w:i/>
          <w:iCs/>
        </w:rPr>
        <w:t>c)</w:t>
      </w:r>
      <w:r w:rsidRPr="00893B79">
        <w:rPr>
          <w:bCs/>
        </w:rPr>
        <w:tab/>
        <w:t>that</w:t>
      </w:r>
      <w:r w:rsidRPr="00893B79">
        <w:rPr>
          <w:b/>
          <w:bCs/>
        </w:rPr>
        <w:t xml:space="preserve"> </w:t>
      </w:r>
      <w:r w:rsidRPr="00893B79">
        <w:t xml:space="preserve">Report </w:t>
      </w:r>
      <w:hyperlink r:id="rId23" w:history="1">
        <w:r w:rsidRPr="00893B79">
          <w:t>ITU</w:t>
        </w:r>
        <w:r w:rsidRPr="00893B79">
          <w:noBreakHyphen/>
          <w:t>R M.2513</w:t>
        </w:r>
      </w:hyperlink>
      <w:r w:rsidRPr="00893B79">
        <w:t xml:space="preserve"> provides studies and measurements regarding the amateur and amateur-satellite services transmissions and their potential to cause harmful interference to </w:t>
      </w:r>
      <w:r w:rsidRPr="00893B79">
        <w:rPr>
          <w:bCs/>
        </w:rPr>
        <w:t>radionavigation-satellite service (</w:t>
      </w:r>
      <w:r w:rsidRPr="00893B79">
        <w:t xml:space="preserve">RNSS) (space-to-Earth) that may, </w:t>
      </w:r>
      <w:r w:rsidRPr="00893B79">
        <w:rPr>
          <w:bCs/>
        </w:rPr>
        <w:t>under certain conditions,</w:t>
      </w:r>
      <w:r w:rsidRPr="00893B79">
        <w:t xml:space="preserve"> exceed the protection criteria </w:t>
      </w:r>
      <w:r w:rsidRPr="00893B79">
        <w:rPr>
          <w:bCs/>
        </w:rPr>
        <w:t xml:space="preserve">given in </w:t>
      </w:r>
      <w:r w:rsidRPr="00893B79">
        <w:rPr>
          <w:lang w:eastAsia="ja-JP"/>
        </w:rPr>
        <w:t xml:space="preserve">Recommendation </w:t>
      </w:r>
      <w:hyperlink r:id="rId24" w:history="1">
        <w:r w:rsidRPr="00893B79">
          <w:t>ITU</w:t>
        </w:r>
        <w:r w:rsidRPr="00893B79">
          <w:noBreakHyphen/>
          <w:t>R M.1902</w:t>
        </w:r>
      </w:hyperlink>
      <w:r w:rsidRPr="00893B79">
        <w:t>;</w:t>
      </w:r>
    </w:p>
    <w:p w14:paraId="47C91266" w14:textId="7E764748" w:rsidR="00DF4638" w:rsidRPr="00E56005" w:rsidRDefault="00DF4638" w:rsidP="00DF4638">
      <w:pPr>
        <w:rPr>
          <w:bCs/>
        </w:rPr>
      </w:pPr>
      <w:r w:rsidRPr="00893B79">
        <w:rPr>
          <w:i/>
          <w:iCs/>
        </w:rPr>
        <w:t>d)</w:t>
      </w:r>
      <w:r w:rsidRPr="00893B79">
        <w:rPr>
          <w:b/>
          <w:bCs/>
        </w:rPr>
        <w:tab/>
      </w:r>
      <w:r w:rsidRPr="00893B79">
        <w:rPr>
          <w:bCs/>
        </w:rPr>
        <w:t xml:space="preserve">that Recommendation </w:t>
      </w:r>
      <w:hyperlink r:id="rId25" w:history="1">
        <w:r w:rsidRPr="00893B79">
          <w:t>ITU</w:t>
        </w:r>
        <w:r w:rsidRPr="00893B79">
          <w:noBreakHyphen/>
          <w:t>R M.1902</w:t>
        </w:r>
      </w:hyperlink>
      <w:r w:rsidRPr="00893B79">
        <w:t xml:space="preserve"> </w:t>
      </w:r>
      <w:r w:rsidRPr="00893B79">
        <w:rPr>
          <w:bCs/>
        </w:rPr>
        <w:t xml:space="preserve">provides </w:t>
      </w:r>
      <w:r w:rsidRPr="00E56005">
        <w:rPr>
          <w:bCs/>
        </w:rPr>
        <w:t>the characteristics and protection criteria for RNSS (space-to-Earth) receivers operating in the band 1 215</w:t>
      </w:r>
      <w:r w:rsidRPr="00E56005">
        <w:rPr>
          <w:bCs/>
        </w:rPr>
        <w:noBreakHyphen/>
        <w:t>1 300 MHz;</w:t>
      </w:r>
    </w:p>
    <w:p w14:paraId="07D3BA76" w14:textId="77777777" w:rsidR="00DF4638" w:rsidRPr="00E56005" w:rsidRDefault="00DF4638" w:rsidP="00DF4638">
      <w:pPr>
        <w:rPr>
          <w:bCs/>
        </w:rPr>
      </w:pPr>
      <w:r w:rsidRPr="00E56005">
        <w:rPr>
          <w:i/>
        </w:rPr>
        <w:t>e)</w:t>
      </w:r>
      <w:r w:rsidRPr="00E56005">
        <w:rPr>
          <w:b/>
          <w:bCs/>
        </w:rPr>
        <w:tab/>
      </w:r>
      <w:r w:rsidRPr="00E56005">
        <w:rPr>
          <w:bCs/>
        </w:rPr>
        <w:t>that RNSS systems using the frequency band 1 240-1 300 MHz are operational, or becoming operational, worldwide, with the aim of supporting a wide range of new satellite positioning applications;</w:t>
      </w:r>
    </w:p>
    <w:p w14:paraId="60A4E774" w14:textId="77777777" w:rsidR="00DF4638" w:rsidRPr="00E56005" w:rsidRDefault="00DF4638" w:rsidP="00DF4638">
      <w:r w:rsidRPr="00E56005">
        <w:rPr>
          <w:i/>
          <w:iCs/>
        </w:rPr>
        <w:t>f)</w:t>
      </w:r>
      <w:r w:rsidRPr="00E56005">
        <w:tab/>
        <w:t>that administrations wishing to implement this Recommendation may need a transition period to make the necessary changes to their national amateur and amateur-satellite services authorizations;</w:t>
      </w:r>
    </w:p>
    <w:p w14:paraId="31503BE3" w14:textId="77777777" w:rsidR="00DF4638" w:rsidRPr="00E56005" w:rsidRDefault="00DF4638" w:rsidP="00DF4638">
      <w:r w:rsidRPr="00E56005">
        <w:rPr>
          <w:i/>
          <w:iCs/>
        </w:rPr>
        <w:t>g)</w:t>
      </w:r>
      <w:r w:rsidRPr="00E56005">
        <w:tab/>
        <w:t xml:space="preserve">that, taking into account </w:t>
      </w:r>
      <w:r w:rsidRPr="00E56005">
        <w:rPr>
          <w:i/>
          <w:iCs/>
        </w:rPr>
        <w:t>recognizing</w:t>
      </w:r>
      <w:r w:rsidRPr="00E56005">
        <w:t> </w:t>
      </w:r>
      <w:r w:rsidRPr="00E56005">
        <w:rPr>
          <w:i/>
          <w:iCs/>
        </w:rPr>
        <w:t>a)</w:t>
      </w:r>
      <w:r w:rsidRPr="00E56005">
        <w:t xml:space="preserve">, </w:t>
      </w:r>
      <w:r w:rsidRPr="00E56005">
        <w:rPr>
          <w:i/>
          <w:iCs/>
        </w:rPr>
        <w:t>b)</w:t>
      </w:r>
      <w:r w:rsidRPr="00E56005">
        <w:t>, and </w:t>
      </w:r>
      <w:r w:rsidRPr="00E56005">
        <w:rPr>
          <w:i/>
          <w:iCs/>
        </w:rPr>
        <w:t>c)</w:t>
      </w:r>
      <w:r w:rsidRPr="00E56005">
        <w:t xml:space="preserve"> below, some administrations consider that existing spectrum management best practices and technical and operational measures may be sufficient to ensure protection of the RNSS,</w:t>
      </w:r>
    </w:p>
    <w:p w14:paraId="6E1638C5" w14:textId="77777777" w:rsidR="00DF4638" w:rsidRPr="00E56005" w:rsidRDefault="00DF4638" w:rsidP="00DF4638">
      <w:pPr>
        <w:pStyle w:val="Call"/>
      </w:pPr>
      <w:r w:rsidRPr="00E56005">
        <w:t>recognizing</w:t>
      </w:r>
    </w:p>
    <w:p w14:paraId="658CDE71" w14:textId="77777777" w:rsidR="00DF4638" w:rsidRPr="00E56005" w:rsidRDefault="00DF4638" w:rsidP="00DF4638">
      <w:pPr>
        <w:rPr>
          <w:i/>
        </w:rPr>
      </w:pPr>
      <w:r w:rsidRPr="00E56005">
        <w:rPr>
          <w:i/>
        </w:rPr>
        <w:t>a)</w:t>
      </w:r>
      <w:r w:rsidRPr="00E56005">
        <w:rPr>
          <w:i/>
        </w:rPr>
        <w:tab/>
      </w:r>
      <w:r w:rsidRPr="00E56005">
        <w:t>that the frequency band 1 240-1 300 MHz is allocated to the RNSS (space-to-Earth) and (space-to-space) on a primary basis;</w:t>
      </w:r>
    </w:p>
    <w:p w14:paraId="683E7F12" w14:textId="77777777" w:rsidR="00DF4638" w:rsidRPr="00E56005" w:rsidRDefault="00DF4638" w:rsidP="00DF4638">
      <w:r w:rsidRPr="00E56005">
        <w:rPr>
          <w:i/>
        </w:rPr>
        <w:t>b)</w:t>
      </w:r>
      <w:r w:rsidRPr="00E56005">
        <w:rPr>
          <w:i/>
        </w:rPr>
        <w:tab/>
      </w:r>
      <w:r w:rsidRPr="00E56005">
        <w:t xml:space="preserve">that the frequency band 1 240-1 300 MHz is also allocated to the amateur service on a secondary basis; </w:t>
      </w:r>
    </w:p>
    <w:p w14:paraId="409DD691" w14:textId="546FA7EA" w:rsidR="00DF4638" w:rsidRPr="00E56005" w:rsidRDefault="00DF4638" w:rsidP="00DF4638">
      <w:r w:rsidRPr="00E56005">
        <w:rPr>
          <w:i/>
          <w:iCs/>
        </w:rPr>
        <w:t>c)</w:t>
      </w:r>
      <w:r w:rsidRPr="00E56005">
        <w:tab/>
        <w:t>that the amateur-satellite service (Earth-to-space)</w:t>
      </w:r>
      <w:r w:rsidRPr="00E56005">
        <w:rPr>
          <w:rFonts w:eastAsia="SimSun"/>
          <w:lang w:eastAsia="zh-CN"/>
        </w:rPr>
        <w:t xml:space="preserve"> may operate in the frequency band 1 260</w:t>
      </w:r>
      <w:r w:rsidR="00645AA2">
        <w:rPr>
          <w:rFonts w:eastAsia="SimSun"/>
          <w:lang w:eastAsia="zh-CN"/>
        </w:rPr>
        <w:noBreakHyphen/>
      </w:r>
      <w:r w:rsidRPr="00E56005">
        <w:rPr>
          <w:rFonts w:eastAsia="SimSun"/>
          <w:lang w:eastAsia="zh-CN"/>
        </w:rPr>
        <w:t xml:space="preserve">1 270 MHz </w:t>
      </w:r>
      <w:r w:rsidRPr="00E56005">
        <w:t xml:space="preserve">under </w:t>
      </w:r>
      <w:r w:rsidRPr="00E56005">
        <w:rPr>
          <w:rFonts w:eastAsia="SimSun"/>
          <w:lang w:eastAsia="zh-CN"/>
        </w:rPr>
        <w:t xml:space="preserve">the </w:t>
      </w:r>
      <w:r w:rsidRPr="00E56005">
        <w:t>provisions of RR No. </w:t>
      </w:r>
      <w:proofErr w:type="gramStart"/>
      <w:r w:rsidRPr="00E56005">
        <w:rPr>
          <w:b/>
          <w:bCs/>
        </w:rPr>
        <w:t>5.282</w:t>
      </w:r>
      <w:r w:rsidRPr="00E56005">
        <w:t>;</w:t>
      </w:r>
      <w:proofErr w:type="gramEnd"/>
    </w:p>
    <w:p w14:paraId="023D4A47" w14:textId="77777777" w:rsidR="00DF4638" w:rsidRPr="00E56005" w:rsidRDefault="00DF4638" w:rsidP="00DF4638">
      <w:r w:rsidRPr="00E56005">
        <w:rPr>
          <w:i/>
          <w:iCs/>
        </w:rPr>
        <w:t>d)</w:t>
      </w:r>
      <w:r w:rsidRPr="00E56005">
        <w:tab/>
        <w:t>that the frequency band 1 240-1 300 MHz is also allocated worldwide to the Earth exploration-satellite service (active), radiolocation service (RR No. </w:t>
      </w:r>
      <w:r w:rsidRPr="00E56005">
        <w:rPr>
          <w:b/>
          <w:bCs/>
        </w:rPr>
        <w:t>5.329</w:t>
      </w:r>
      <w:r w:rsidRPr="00E56005">
        <w:t xml:space="preserve"> applies) and the space research service (active) on a primary basis;</w:t>
      </w:r>
    </w:p>
    <w:p w14:paraId="045731DB" w14:textId="77777777" w:rsidR="00DF4638" w:rsidRPr="00E56005" w:rsidRDefault="00DF4638" w:rsidP="00DF4638">
      <w:pPr>
        <w:rPr>
          <w:spacing w:val="-4"/>
        </w:rPr>
      </w:pPr>
      <w:r w:rsidRPr="00E56005">
        <w:rPr>
          <w:i/>
          <w:iCs/>
        </w:rPr>
        <w:t>e)</w:t>
      </w:r>
      <w:r w:rsidRPr="00E56005">
        <w:rPr>
          <w:i/>
          <w:iCs/>
        </w:rPr>
        <w:tab/>
      </w:r>
      <w:r w:rsidRPr="00E56005">
        <w:t>that additional services are also allocated on a primary basis in some countries under RR Nos. </w:t>
      </w:r>
      <w:r w:rsidRPr="00E56005">
        <w:rPr>
          <w:b/>
          <w:bCs/>
        </w:rPr>
        <w:t>5.330</w:t>
      </w:r>
      <w:r w:rsidRPr="00E56005">
        <w:t xml:space="preserve"> (fixed and </w:t>
      </w:r>
      <w:r w:rsidRPr="00E56005">
        <w:rPr>
          <w:spacing w:val="-4"/>
        </w:rPr>
        <w:t xml:space="preserve">mobile services) and </w:t>
      </w:r>
      <w:r w:rsidRPr="00E56005">
        <w:rPr>
          <w:b/>
          <w:bCs/>
          <w:spacing w:val="-4"/>
        </w:rPr>
        <w:t>5.331</w:t>
      </w:r>
      <w:r w:rsidRPr="00E56005">
        <w:rPr>
          <w:spacing w:val="-4"/>
        </w:rPr>
        <w:t xml:space="preserve"> (radionavigation service) within the frequency band 1 215-1 300 MHz;</w:t>
      </w:r>
    </w:p>
    <w:p w14:paraId="20204A8C" w14:textId="77777777" w:rsidR="00DF4638" w:rsidRPr="00E56005" w:rsidRDefault="00DF4638" w:rsidP="00DF4638">
      <w:r w:rsidRPr="00E56005">
        <w:rPr>
          <w:i/>
          <w:iCs/>
        </w:rPr>
        <w:t>f)</w:t>
      </w:r>
      <w:r w:rsidRPr="00E56005">
        <w:tab/>
        <w:t>that the amateur and amateur-satellite services continually develop their use of the frequency band 1 240-1 300 MHz in accordance with RR Nos. </w:t>
      </w:r>
      <w:r w:rsidRPr="00E56005">
        <w:rPr>
          <w:b/>
          <w:bCs/>
        </w:rPr>
        <w:t>1.56</w:t>
      </w:r>
      <w:r w:rsidRPr="00E56005">
        <w:t xml:space="preserve"> and </w:t>
      </w:r>
      <w:r w:rsidRPr="00E56005">
        <w:rPr>
          <w:b/>
          <w:bCs/>
        </w:rPr>
        <w:t>1.57</w:t>
      </w:r>
      <w:r w:rsidRPr="00E56005">
        <w:t>;</w:t>
      </w:r>
    </w:p>
    <w:p w14:paraId="11D898DF" w14:textId="77777777" w:rsidR="00DF4638" w:rsidRPr="00E56005" w:rsidRDefault="00DF4638" w:rsidP="00DF4638">
      <w:pPr>
        <w:rPr>
          <w:b/>
          <w:bCs/>
        </w:rPr>
      </w:pPr>
      <w:r w:rsidRPr="00E56005">
        <w:rPr>
          <w:i/>
          <w:iCs/>
        </w:rPr>
        <w:t>g)</w:t>
      </w:r>
      <w:r w:rsidRPr="00E56005">
        <w:tab/>
        <w:t>that the maximum power of amateur stations is fixed by the administrations concerned, as stipulated in RR No. </w:t>
      </w:r>
      <w:r w:rsidRPr="00E56005">
        <w:rPr>
          <w:b/>
          <w:bCs/>
        </w:rPr>
        <w:t>25.7</w:t>
      </w:r>
      <w:r w:rsidRPr="00E56005">
        <w:t>;</w:t>
      </w:r>
    </w:p>
    <w:p w14:paraId="3D6D5A32" w14:textId="77777777" w:rsidR="00DF4638" w:rsidRPr="00E56005" w:rsidRDefault="00DF4638" w:rsidP="00DF4638">
      <w:pPr>
        <w:rPr>
          <w:i/>
          <w:iCs/>
        </w:rPr>
      </w:pPr>
      <w:r w:rsidRPr="00E56005">
        <w:rPr>
          <w:i/>
          <w:iCs/>
        </w:rPr>
        <w:t>h)</w:t>
      </w:r>
      <w:r w:rsidRPr="00E56005">
        <w:tab/>
        <w:t>that administrations licensing stations of the amateur and amateur-satellite services and assigning relevant frequencies, are responsible for the compliance of those stations with the relevant provisions of the RR, especially the protection of primary services in other administrations concerned;</w:t>
      </w:r>
    </w:p>
    <w:p w14:paraId="272A14AF" w14:textId="77777777" w:rsidR="00DF4638" w:rsidRPr="00E56005" w:rsidRDefault="00DF4638" w:rsidP="00DF4638">
      <w:pPr>
        <w:rPr>
          <w:i/>
          <w:iCs/>
        </w:rPr>
      </w:pPr>
      <w:proofErr w:type="spellStart"/>
      <w:r w:rsidRPr="00E56005">
        <w:rPr>
          <w:i/>
          <w:iCs/>
        </w:rPr>
        <w:t>i</w:t>
      </w:r>
      <w:proofErr w:type="spellEnd"/>
      <w:r w:rsidRPr="00E56005">
        <w:rPr>
          <w:i/>
          <w:iCs/>
        </w:rPr>
        <w:t>)</w:t>
      </w:r>
      <w:r w:rsidRPr="00E56005">
        <w:rPr>
          <w:i/>
          <w:iCs/>
        </w:rPr>
        <w:tab/>
      </w:r>
      <w:r w:rsidRPr="00E56005">
        <w:t>that in case of harmful interference to RNSS receivers from the amateur and amateur-satellite transmitters, the obligations and procedures of administrations to resolve such cases of harmful interference are stipulated in the provisions of RR Article </w:t>
      </w:r>
      <w:r w:rsidRPr="00E56005">
        <w:rPr>
          <w:b/>
          <w:bCs/>
        </w:rPr>
        <w:t>15</w:t>
      </w:r>
      <w:r w:rsidRPr="00E56005">
        <w:t>,</w:t>
      </w:r>
    </w:p>
    <w:p w14:paraId="14683792" w14:textId="77777777" w:rsidR="00DF4638" w:rsidRPr="00E56005" w:rsidRDefault="00DF4638" w:rsidP="00DF4638">
      <w:pPr>
        <w:pStyle w:val="Call"/>
      </w:pPr>
      <w:r w:rsidRPr="00E56005">
        <w:t>noting</w:t>
      </w:r>
    </w:p>
    <w:p w14:paraId="7D28A624" w14:textId="77777777" w:rsidR="00DF4638" w:rsidRPr="00E56005" w:rsidRDefault="00DF4638" w:rsidP="00DF4638">
      <w:pPr>
        <w:rPr>
          <w:i/>
          <w:iCs/>
        </w:rPr>
      </w:pPr>
      <w:r w:rsidRPr="00E56005">
        <w:t xml:space="preserve">that, taking into account </w:t>
      </w:r>
      <w:r w:rsidRPr="00E56005">
        <w:rPr>
          <w:i/>
          <w:iCs/>
        </w:rPr>
        <w:t>recognizing</w:t>
      </w:r>
      <w:r w:rsidRPr="00E56005">
        <w:t> </w:t>
      </w:r>
      <w:r w:rsidRPr="00E56005">
        <w:rPr>
          <w:i/>
          <w:iCs/>
        </w:rPr>
        <w:t>a)</w:t>
      </w:r>
      <w:r w:rsidRPr="00E56005">
        <w:t xml:space="preserve">, </w:t>
      </w:r>
      <w:r w:rsidRPr="00E56005">
        <w:rPr>
          <w:i/>
          <w:iCs/>
        </w:rPr>
        <w:t>b)</w:t>
      </w:r>
      <w:r w:rsidRPr="00E56005">
        <w:t xml:space="preserve">, </w:t>
      </w:r>
      <w:r w:rsidRPr="00E56005">
        <w:rPr>
          <w:i/>
          <w:iCs/>
        </w:rPr>
        <w:t>c)</w:t>
      </w:r>
      <w:r w:rsidRPr="00E56005">
        <w:t xml:space="preserve">, </w:t>
      </w:r>
      <w:r w:rsidRPr="00E56005">
        <w:rPr>
          <w:i/>
          <w:iCs/>
        </w:rPr>
        <w:t>h)</w:t>
      </w:r>
      <w:r w:rsidRPr="00E56005">
        <w:t xml:space="preserve"> and </w:t>
      </w:r>
      <w:proofErr w:type="spellStart"/>
      <w:r w:rsidRPr="00E56005">
        <w:rPr>
          <w:i/>
          <w:iCs/>
        </w:rPr>
        <w:t>i</w:t>
      </w:r>
      <w:proofErr w:type="spellEnd"/>
      <w:r w:rsidRPr="00E56005">
        <w:rPr>
          <w:i/>
          <w:iCs/>
        </w:rPr>
        <w:t>)</w:t>
      </w:r>
      <w:r w:rsidRPr="00E56005">
        <w:t xml:space="preserve"> above, some administrations consider that additional measures beyond those in the Annex to this Recommendation may be needed to ensure protection of the RNSS,</w:t>
      </w:r>
    </w:p>
    <w:p w14:paraId="1B7AA592" w14:textId="77777777" w:rsidR="00DF4638" w:rsidRPr="00E56005" w:rsidRDefault="00DF4638" w:rsidP="00DF4638">
      <w:pPr>
        <w:pStyle w:val="Call"/>
      </w:pPr>
      <w:r w:rsidRPr="00E56005">
        <w:lastRenderedPageBreak/>
        <w:t>recommends</w:t>
      </w:r>
    </w:p>
    <w:p w14:paraId="4B2E9A7F" w14:textId="6C8E48D3" w:rsidR="00DF4638" w:rsidRDefault="00DF4638" w:rsidP="00DF4638">
      <w:r w:rsidRPr="00E56005">
        <w:t>that administrations wishing to allow operations or continue the operation of the amateur and amateur-satellite services across their territory in all or part of the frequency band 1 240-1 300 MHz, should use as guidance the technical and operational measures</w:t>
      </w:r>
      <w:r w:rsidRPr="00E56005">
        <w:rPr>
          <w:sz w:val="22"/>
          <w:szCs w:val="18"/>
        </w:rPr>
        <w:t xml:space="preserve"> </w:t>
      </w:r>
      <w:r w:rsidRPr="00E56005">
        <w:t>described in the Annex in order to protect RNSS (space</w:t>
      </w:r>
      <w:r>
        <w:t>-</w:t>
      </w:r>
      <w:r w:rsidRPr="00E56005">
        <w:t>to</w:t>
      </w:r>
      <w:r>
        <w:t>-</w:t>
      </w:r>
      <w:r w:rsidRPr="00E56005">
        <w:t>Earth).</w:t>
      </w:r>
    </w:p>
    <w:p w14:paraId="0F71395F" w14:textId="77777777" w:rsidR="00FD1DF8" w:rsidRDefault="00FD1DF8" w:rsidP="00DF4638"/>
    <w:p w14:paraId="38CA7BAF" w14:textId="77777777" w:rsidR="00FD1DF8" w:rsidRDefault="00FD1DF8" w:rsidP="00DF4638"/>
    <w:p w14:paraId="046DA6E7" w14:textId="13853D29" w:rsidR="00DF4638" w:rsidRPr="00E56005" w:rsidRDefault="00DF4638" w:rsidP="00FD1DF8">
      <w:pPr>
        <w:pStyle w:val="AnnexNoTitle"/>
      </w:pPr>
      <w:r w:rsidRPr="00E56005">
        <w:t>Annex</w:t>
      </w:r>
      <w:r w:rsidR="00FD1DF8">
        <w:br/>
      </w:r>
      <w:r w:rsidR="00FD1DF8">
        <w:br/>
      </w:r>
      <w:r w:rsidR="00FD1DF8" w:rsidRPr="00E56005">
        <w:t>Guidance on technical and operational measures for the use of the frequency band 1 240-1 300 MHz by the amateur and amateur-satellite service in order</w:t>
      </w:r>
      <w:r w:rsidR="00FD1DF8" w:rsidRPr="00E56005">
        <w:br/>
        <w:t>to protect the radionavigation-satellite service (space-to-Earth)</w:t>
      </w:r>
    </w:p>
    <w:p w14:paraId="4B72FAC8" w14:textId="008C6380" w:rsidR="00DF4638" w:rsidRPr="00E56005" w:rsidRDefault="00DF4638" w:rsidP="00645AA2">
      <w:pPr>
        <w:pStyle w:val="Normalaftertitle"/>
        <w:rPr>
          <w:szCs w:val="24"/>
        </w:rPr>
      </w:pPr>
      <w:r w:rsidRPr="00E56005">
        <w:rPr>
          <w:spacing w:val="-4"/>
        </w:rPr>
        <w:t xml:space="preserve">Taking into account </w:t>
      </w:r>
      <w:r w:rsidRPr="00E56005">
        <w:rPr>
          <w:i/>
        </w:rPr>
        <w:t>recognizing</w:t>
      </w:r>
      <w:r w:rsidRPr="00E56005">
        <w:rPr>
          <w:i/>
          <w:spacing w:val="-4"/>
        </w:rPr>
        <w:t> b)</w:t>
      </w:r>
      <w:r w:rsidRPr="00E56005">
        <w:rPr>
          <w:spacing w:val="-4"/>
        </w:rPr>
        <w:t xml:space="preserve"> and </w:t>
      </w:r>
      <w:r w:rsidRPr="00E56005">
        <w:rPr>
          <w:i/>
          <w:spacing w:val="-4"/>
        </w:rPr>
        <w:t>c)</w:t>
      </w:r>
      <w:r w:rsidRPr="00E56005">
        <w:rPr>
          <w:spacing w:val="-4"/>
        </w:rPr>
        <w:t xml:space="preserve">, </w:t>
      </w:r>
      <w:r w:rsidRPr="00E56005">
        <w:t xml:space="preserve">this </w:t>
      </w:r>
      <w:r w:rsidR="00FD1DF8" w:rsidRPr="00E56005">
        <w:t xml:space="preserve">Annex </w:t>
      </w:r>
      <w:r w:rsidRPr="00E56005">
        <w:t>provides technical and operational measures to be used as guidance by administrations wishing to allow or continue the operation of the amateur and amateur-satellite services across their territory in all or parts of the frequency band 1 240-1 300 MHz in order to protect RNSS</w:t>
      </w:r>
      <w:r w:rsidRPr="00E56005">
        <w:rPr>
          <w:szCs w:val="24"/>
        </w:rPr>
        <w:t>; recognizing that other measures to protect RNSS may be implemented by administrations based on their national circumstances.</w:t>
      </w:r>
    </w:p>
    <w:p w14:paraId="150BAE17" w14:textId="77777777" w:rsidR="00DF4638" w:rsidRPr="00E56005" w:rsidRDefault="00DF4638" w:rsidP="00DF4638">
      <w:pPr>
        <w:pStyle w:val="enumlev1"/>
      </w:pPr>
      <w:r w:rsidRPr="00E56005">
        <w:t>1)</w:t>
      </w:r>
      <w:r w:rsidRPr="00E56005">
        <w:tab/>
        <w:t xml:space="preserve">For narrowband (bandwidth ≤ 150 kHz) applications </w:t>
      </w:r>
      <w:r>
        <w:t xml:space="preserve">operating </w:t>
      </w:r>
      <w:r w:rsidRPr="00E56005">
        <w:t>in the amateur service:</w:t>
      </w:r>
    </w:p>
    <w:p w14:paraId="7C225D40" w14:textId="77777777" w:rsidR="00DF4638" w:rsidRPr="00E56005" w:rsidRDefault="00DF4638" w:rsidP="00DF4638">
      <w:pPr>
        <w:pStyle w:val="enumlev2"/>
        <w:rPr>
          <w:rFonts w:eastAsia="Batang"/>
          <w:lang w:bidi="ru-RU"/>
        </w:rPr>
      </w:pPr>
      <w:r w:rsidRPr="00E56005">
        <w:rPr>
          <w:rFonts w:eastAsia="Batang"/>
          <w:lang w:bidi="ru-RU"/>
        </w:rPr>
        <w:t>a)</w:t>
      </w:r>
      <w:r w:rsidRPr="00E56005">
        <w:rPr>
          <w:rFonts w:eastAsia="Batang"/>
          <w:lang w:bidi="ru-RU"/>
        </w:rPr>
        <w:tab/>
        <w:t>1 240-1 25</w:t>
      </w:r>
      <w:r w:rsidRPr="00E56005">
        <w:rPr>
          <w:rFonts w:eastAsia="SimSun"/>
          <w:lang w:eastAsia="zh-CN" w:bidi="ru-RU"/>
        </w:rPr>
        <w:t>5.76</w:t>
      </w:r>
      <w:r w:rsidRPr="00E56005">
        <w:rPr>
          <w:rFonts w:eastAsia="Batang"/>
          <w:lang w:bidi="ru-RU"/>
        </w:rPr>
        <w:t> MHz:</w:t>
      </w:r>
    </w:p>
    <w:p w14:paraId="4D606998" w14:textId="77777777" w:rsidR="00DF4638" w:rsidRPr="00E56005" w:rsidRDefault="00DF4638" w:rsidP="00DF4638">
      <w:pPr>
        <w:pStyle w:val="enumlev2"/>
        <w:rPr>
          <w:rFonts w:eastAsia="Batang"/>
          <w:lang w:bidi="ru-RU"/>
        </w:rPr>
      </w:pPr>
      <w:r w:rsidRPr="00E56005">
        <w:rPr>
          <w:rFonts w:eastAsia="Batang"/>
          <w:lang w:bidi="ru-RU"/>
        </w:rPr>
        <w:tab/>
        <w:t xml:space="preserve">Maximum values of </w:t>
      </w:r>
      <w:proofErr w:type="spellStart"/>
      <w:r w:rsidRPr="00E56005">
        <w:rPr>
          <w:rFonts w:eastAsia="Batang"/>
          <w:lang w:bidi="ru-RU"/>
        </w:rPr>
        <w:t>e.i.r.p</w:t>
      </w:r>
      <w:proofErr w:type="spellEnd"/>
      <w:r w:rsidRPr="00E56005">
        <w:rPr>
          <w:rFonts w:eastAsia="Batang"/>
          <w:lang w:bidi="ru-RU"/>
        </w:rPr>
        <w:t>.</w:t>
      </w:r>
      <w:r w:rsidRPr="00E56005">
        <w:rPr>
          <w:rFonts w:eastAsia="Batang"/>
          <w:position w:val="6"/>
          <w:sz w:val="18"/>
          <w:lang w:bidi="ru-RU"/>
        </w:rPr>
        <w:footnoteReference w:customMarkFollows="1" w:id="2"/>
        <w:t>2</w:t>
      </w:r>
      <w:r w:rsidRPr="00E56005">
        <w:rPr>
          <w:rFonts w:eastAsia="Batang"/>
          <w:lang w:bidi="ru-RU"/>
        </w:rPr>
        <w:t>:</w:t>
      </w:r>
    </w:p>
    <w:p w14:paraId="06BFC41D" w14:textId="2EC8500F" w:rsidR="00DF4638" w:rsidRPr="00E56005" w:rsidRDefault="00DF4638" w:rsidP="00DF4638">
      <w:pPr>
        <w:pStyle w:val="enumlev2"/>
        <w:tabs>
          <w:tab w:val="left" w:pos="5954"/>
          <w:tab w:val="right" w:pos="6999"/>
          <w:tab w:val="left" w:pos="7088"/>
        </w:tabs>
        <w:rPr>
          <w:i/>
          <w:iCs/>
          <w:spacing w:val="-4"/>
        </w:rPr>
      </w:pPr>
      <w:r w:rsidRPr="00E56005">
        <w:rPr>
          <w:rFonts w:eastAsia="Batang"/>
          <w:lang w:bidi="ru-RU"/>
        </w:rPr>
        <w:tab/>
        <w:t>−39.0 </w:t>
      </w:r>
      <w:proofErr w:type="spellStart"/>
      <w:r w:rsidRPr="00E56005">
        <w:rPr>
          <w:rFonts w:eastAsia="Batang"/>
          <w:lang w:bidi="ru-RU"/>
        </w:rPr>
        <w:t>dBW</w:t>
      </w:r>
      <w:proofErr w:type="spellEnd"/>
      <w:r w:rsidRPr="00E56005">
        <w:rPr>
          <w:rFonts w:eastAsia="Batang"/>
          <w:lang w:bidi="ru-RU"/>
        </w:rPr>
        <w:t xml:space="preserve"> in (150 kHz)</w:t>
      </w:r>
      <w:r w:rsidRPr="00E56005">
        <w:rPr>
          <w:rFonts w:eastAsia="Batang"/>
          <w:lang w:bidi="ru-RU"/>
        </w:rPr>
        <w:tab/>
        <w:t>for</w:t>
      </w:r>
      <w:r w:rsidRPr="00E56005">
        <w:rPr>
          <w:rFonts w:eastAsia="Batang"/>
          <w:lang w:bidi="ru-RU"/>
        </w:rPr>
        <w:tab/>
        <w:t>−90</w:t>
      </w:r>
      <w:r w:rsidRPr="00E56005">
        <w:rPr>
          <w:rFonts w:eastAsia="Batang"/>
          <w:lang w:bidi="ru-RU"/>
        </w:rPr>
        <w:sym w:font="Symbol" w:char="F0B0"/>
      </w:r>
      <w:r w:rsidRPr="00E56005">
        <w:rPr>
          <w:rFonts w:eastAsia="Batang"/>
        </w:rPr>
        <w:t xml:space="preserve"> </w:t>
      </w:r>
      <w:r w:rsidRPr="00E56005">
        <w:rPr>
          <w:rFonts w:eastAsia="Batang"/>
        </w:rPr>
        <w:tab/>
      </w:r>
      <w:r w:rsidRPr="00E56005">
        <w:rPr>
          <w:rFonts w:eastAsia="Batang"/>
          <w:lang w:bidi="ru-RU"/>
        </w:rPr>
        <w:sym w:font="Symbol" w:char="F0A3"/>
      </w:r>
      <w:r w:rsidRPr="00E56005">
        <w:rPr>
          <w:rFonts w:eastAsia="Batang"/>
          <w:lang w:bidi="ru-RU"/>
        </w:rPr>
        <w:t xml:space="preserve"> </w:t>
      </w:r>
      <w:r w:rsidRPr="00E56005">
        <w:rPr>
          <w:rFonts w:eastAsia="Batang"/>
          <w:lang w:bidi="ru-RU"/>
        </w:rPr>
        <w:sym w:font="Symbol" w:char="F071"/>
      </w:r>
      <w:r w:rsidRPr="00E56005">
        <w:rPr>
          <w:rFonts w:eastAsia="Batang"/>
          <w:lang w:bidi="ru-RU"/>
        </w:rPr>
        <w:t xml:space="preserve"> &lt; 0°</w:t>
      </w:r>
    </w:p>
    <w:p w14:paraId="05D3427D" w14:textId="693DCD73" w:rsidR="00DF4638" w:rsidRPr="00E56005" w:rsidRDefault="00DF4638" w:rsidP="00DF4638">
      <w:pPr>
        <w:pStyle w:val="enumlev2"/>
        <w:tabs>
          <w:tab w:val="left" w:pos="5954"/>
          <w:tab w:val="right" w:pos="6999"/>
          <w:tab w:val="left" w:pos="7088"/>
        </w:tabs>
        <w:rPr>
          <w:rFonts w:eastAsia="Batang"/>
          <w:lang w:eastAsia="ko-KR"/>
        </w:rPr>
      </w:pPr>
      <w:r w:rsidRPr="00E56005">
        <w:rPr>
          <w:rFonts w:eastAsia="Batang"/>
          <w:lang w:bidi="ru-RU"/>
        </w:rPr>
        <w:tab/>
        <w:t>−39.0 </w:t>
      </w:r>
      <w:proofErr w:type="spellStart"/>
      <w:r w:rsidRPr="00E56005">
        <w:rPr>
          <w:rFonts w:eastAsia="Batang"/>
          <w:lang w:bidi="ru-RU"/>
        </w:rPr>
        <w:t>dBW</w:t>
      </w:r>
      <w:proofErr w:type="spellEnd"/>
      <w:r w:rsidRPr="00E56005">
        <w:rPr>
          <w:rFonts w:eastAsia="Batang"/>
          <w:lang w:bidi="ru-RU"/>
        </w:rPr>
        <w:t xml:space="preserve"> in (150 kHz)</w:t>
      </w:r>
      <w:r w:rsidRPr="00E56005">
        <w:rPr>
          <w:rFonts w:eastAsia="Batang"/>
          <w:lang w:bidi="ru-RU"/>
        </w:rPr>
        <w:tab/>
        <w:t>for</w:t>
      </w:r>
      <w:r w:rsidRPr="00E56005">
        <w:rPr>
          <w:rFonts w:eastAsia="Batang"/>
          <w:lang w:bidi="ru-RU"/>
        </w:rPr>
        <w:tab/>
        <w:t>0</w:t>
      </w:r>
      <w:r w:rsidRPr="00E56005">
        <w:rPr>
          <w:rFonts w:eastAsia="Batang"/>
          <w:lang w:bidi="ru-RU"/>
        </w:rPr>
        <w:sym w:font="Symbol" w:char="F0B0"/>
      </w:r>
      <w:r w:rsidRPr="00E56005">
        <w:rPr>
          <w:rFonts w:eastAsia="Batang"/>
          <w:lang w:bidi="ru-RU"/>
        </w:rPr>
        <w:tab/>
      </w:r>
      <w:r w:rsidRPr="00E56005">
        <w:rPr>
          <w:rFonts w:eastAsia="Batang"/>
          <w:lang w:bidi="ru-RU"/>
        </w:rPr>
        <w:sym w:font="Symbol" w:char="F0A3"/>
      </w:r>
      <w:r w:rsidRPr="00E56005">
        <w:rPr>
          <w:rFonts w:eastAsia="Batang"/>
          <w:lang w:bidi="ru-RU"/>
        </w:rPr>
        <w:t xml:space="preserve"> </w:t>
      </w:r>
      <w:r w:rsidRPr="00E56005">
        <w:rPr>
          <w:rFonts w:eastAsia="Batang"/>
          <w:lang w:bidi="ru-RU"/>
        </w:rPr>
        <w:sym w:font="Symbol" w:char="F071"/>
      </w:r>
      <w:r w:rsidRPr="00E56005">
        <w:rPr>
          <w:rFonts w:eastAsia="Batang"/>
          <w:lang w:bidi="ru-RU"/>
        </w:rPr>
        <w:t xml:space="preserve"> &lt; 5°</w:t>
      </w:r>
    </w:p>
    <w:p w14:paraId="14AA607F" w14:textId="36B12E88" w:rsidR="00DF4638" w:rsidRPr="00E56005" w:rsidRDefault="00DF4638" w:rsidP="00DF4638">
      <w:pPr>
        <w:pStyle w:val="enumlev2"/>
        <w:tabs>
          <w:tab w:val="left" w:pos="5954"/>
          <w:tab w:val="right" w:pos="6999"/>
          <w:tab w:val="left" w:pos="7088"/>
        </w:tabs>
        <w:rPr>
          <w:rFonts w:eastAsia="Batang"/>
          <w:lang w:eastAsia="ko-KR"/>
        </w:rPr>
      </w:pPr>
      <w:r w:rsidRPr="00E56005">
        <w:rPr>
          <w:rFonts w:eastAsia="Batang"/>
          <w:lang w:bidi="ru-RU"/>
        </w:rPr>
        <w:tab/>
        <w:t>−39.0 −1.05 (</w:t>
      </w:r>
      <w:r w:rsidRPr="00E56005">
        <w:rPr>
          <w:rFonts w:eastAsia="Batang"/>
          <w:lang w:bidi="ru-RU"/>
        </w:rPr>
        <w:sym w:font="Symbol" w:char="F071"/>
      </w:r>
      <w:r w:rsidRPr="00E56005">
        <w:rPr>
          <w:rFonts w:eastAsia="Batang"/>
          <w:lang w:bidi="ru-RU"/>
        </w:rPr>
        <w:t> – 5) </w:t>
      </w:r>
      <w:proofErr w:type="spellStart"/>
      <w:r w:rsidRPr="00E56005">
        <w:rPr>
          <w:rFonts w:eastAsia="Batang"/>
          <w:lang w:bidi="ru-RU"/>
        </w:rPr>
        <w:t>dBW</w:t>
      </w:r>
      <w:proofErr w:type="spellEnd"/>
      <w:r w:rsidRPr="00E56005">
        <w:rPr>
          <w:rFonts w:eastAsia="Batang"/>
          <w:lang w:bidi="ru-RU"/>
        </w:rPr>
        <w:t xml:space="preserve"> in (150 kHz)</w:t>
      </w:r>
      <w:r w:rsidRPr="00E56005">
        <w:rPr>
          <w:rFonts w:eastAsia="Batang"/>
          <w:lang w:bidi="ru-RU"/>
        </w:rPr>
        <w:tab/>
        <w:t>for</w:t>
      </w:r>
      <w:r w:rsidRPr="00E56005">
        <w:rPr>
          <w:rFonts w:eastAsia="Batang"/>
          <w:lang w:bidi="ru-RU"/>
        </w:rPr>
        <w:tab/>
        <w:t>5</w:t>
      </w:r>
      <w:r w:rsidRPr="00E56005">
        <w:rPr>
          <w:rFonts w:eastAsia="Batang"/>
          <w:lang w:bidi="ru-RU"/>
        </w:rPr>
        <w:sym w:font="Symbol" w:char="F0B0"/>
      </w:r>
      <w:r w:rsidRPr="00E56005">
        <w:rPr>
          <w:rFonts w:eastAsia="Batang"/>
          <w:lang w:bidi="ru-RU"/>
        </w:rPr>
        <w:tab/>
      </w:r>
      <w:r w:rsidRPr="00E56005">
        <w:rPr>
          <w:rFonts w:eastAsia="Batang"/>
          <w:lang w:bidi="ru-RU"/>
        </w:rPr>
        <w:sym w:font="Symbol" w:char="F0A3"/>
      </w:r>
      <w:r w:rsidRPr="00E56005">
        <w:rPr>
          <w:rFonts w:eastAsia="Batang"/>
          <w:lang w:bidi="ru-RU"/>
        </w:rPr>
        <w:t xml:space="preserve"> </w:t>
      </w:r>
      <w:r w:rsidRPr="00E56005">
        <w:rPr>
          <w:rFonts w:eastAsia="Batang"/>
          <w:lang w:bidi="ru-RU"/>
        </w:rPr>
        <w:sym w:font="Symbol" w:char="F071"/>
      </w:r>
      <w:r w:rsidRPr="00E56005">
        <w:rPr>
          <w:rFonts w:eastAsia="Batang"/>
          <w:lang w:bidi="ru-RU"/>
        </w:rPr>
        <w:t xml:space="preserve"> &lt; 25°</w:t>
      </w:r>
    </w:p>
    <w:p w14:paraId="6744AC9E" w14:textId="6463C996" w:rsidR="00DF4638" w:rsidRPr="00E56005" w:rsidRDefault="00DF4638" w:rsidP="00DF4638">
      <w:pPr>
        <w:pStyle w:val="enumlev2"/>
        <w:tabs>
          <w:tab w:val="left" w:pos="5954"/>
          <w:tab w:val="right" w:pos="6999"/>
          <w:tab w:val="left" w:pos="7088"/>
        </w:tabs>
        <w:rPr>
          <w:rFonts w:eastAsia="Batang"/>
          <w:lang w:bidi="ru-RU"/>
        </w:rPr>
      </w:pPr>
      <w:r w:rsidRPr="00E56005">
        <w:rPr>
          <w:rFonts w:eastAsia="Batang"/>
          <w:lang w:bidi="ru-RU"/>
        </w:rPr>
        <w:tab/>
        <w:t>−60 </w:t>
      </w:r>
      <w:proofErr w:type="spellStart"/>
      <w:r w:rsidRPr="00E56005">
        <w:rPr>
          <w:rFonts w:eastAsia="Batang"/>
          <w:lang w:bidi="ru-RU"/>
        </w:rPr>
        <w:t>dBW</w:t>
      </w:r>
      <w:proofErr w:type="spellEnd"/>
      <w:r w:rsidRPr="00E56005">
        <w:rPr>
          <w:rFonts w:eastAsia="Batang"/>
          <w:lang w:bidi="ru-RU"/>
        </w:rPr>
        <w:t xml:space="preserve"> in (150 kHz)</w:t>
      </w:r>
      <w:r w:rsidRPr="00E56005">
        <w:rPr>
          <w:rFonts w:eastAsia="Batang"/>
          <w:lang w:bidi="ru-RU"/>
        </w:rPr>
        <w:tab/>
        <w:t>for</w:t>
      </w:r>
      <w:r w:rsidRPr="00E56005">
        <w:rPr>
          <w:rFonts w:eastAsia="Batang"/>
          <w:lang w:bidi="ru-RU"/>
        </w:rPr>
        <w:tab/>
        <w:t>25°</w:t>
      </w:r>
      <w:r w:rsidRPr="00E56005">
        <w:rPr>
          <w:rFonts w:eastAsia="Batang"/>
          <w:lang w:bidi="ru-RU"/>
        </w:rPr>
        <w:tab/>
      </w:r>
      <w:r w:rsidRPr="00E56005">
        <w:rPr>
          <w:rFonts w:eastAsia="Batang"/>
          <w:lang w:bidi="ru-RU"/>
        </w:rPr>
        <w:sym w:font="Symbol" w:char="F0A3"/>
      </w:r>
      <w:r w:rsidRPr="00E56005">
        <w:rPr>
          <w:rFonts w:eastAsia="Batang"/>
          <w:lang w:bidi="ru-RU"/>
        </w:rPr>
        <w:t xml:space="preserve"> </w:t>
      </w:r>
      <w:r w:rsidRPr="00E56005">
        <w:rPr>
          <w:rFonts w:eastAsia="Batang"/>
          <w:lang w:bidi="ru-RU"/>
        </w:rPr>
        <w:sym w:font="Symbol" w:char="F071"/>
      </w:r>
      <w:r w:rsidRPr="00E56005">
        <w:rPr>
          <w:rFonts w:eastAsia="Batang"/>
          <w:lang w:bidi="ru-RU"/>
        </w:rPr>
        <w:t xml:space="preserve"> &lt; 90°,</w:t>
      </w:r>
    </w:p>
    <w:p w14:paraId="509F2A59" w14:textId="77777777" w:rsidR="00DF4638" w:rsidRPr="00E56005" w:rsidRDefault="00DF4638" w:rsidP="00DF4638">
      <w:pPr>
        <w:pStyle w:val="enumlev2"/>
        <w:rPr>
          <w:rFonts w:eastAsia="Batang"/>
          <w:lang w:bidi="ru-RU"/>
        </w:rPr>
      </w:pPr>
      <w:r w:rsidRPr="00E56005">
        <w:rPr>
          <w:rFonts w:eastAsia="Batang"/>
          <w:lang w:bidi="ru-RU"/>
        </w:rPr>
        <w:t xml:space="preserve">where </w:t>
      </w:r>
      <w:r w:rsidRPr="00E56005">
        <w:rPr>
          <w:rFonts w:eastAsia="Batang"/>
          <w:lang w:bidi="ru-RU"/>
        </w:rPr>
        <w:sym w:font="Symbol" w:char="F071"/>
      </w:r>
      <w:r w:rsidRPr="00E56005">
        <w:rPr>
          <w:rFonts w:eastAsia="Batang"/>
          <w:lang w:bidi="ru-RU"/>
        </w:rPr>
        <w:t xml:space="preserve"> = elevation angle of amateur station antenna,</w:t>
      </w:r>
    </w:p>
    <w:p w14:paraId="05288954" w14:textId="6E66FFB2" w:rsidR="00DF4638" w:rsidRPr="00E56005" w:rsidRDefault="00DF4638" w:rsidP="00DF4638">
      <w:pPr>
        <w:pStyle w:val="enumlev2"/>
        <w:rPr>
          <w:rFonts w:eastAsia="SimSun"/>
          <w:lang w:eastAsia="zh-CN" w:bidi="ru-RU"/>
        </w:rPr>
      </w:pPr>
      <w:r w:rsidRPr="00E56005">
        <w:rPr>
          <w:rFonts w:eastAsia="Batang"/>
          <w:lang w:bidi="ru-RU"/>
        </w:rPr>
        <w:t>b)</w:t>
      </w:r>
      <w:r w:rsidRPr="00E56005">
        <w:rPr>
          <w:rFonts w:eastAsia="Batang"/>
          <w:lang w:bidi="ru-RU"/>
        </w:rPr>
        <w:tab/>
        <w:t>1 25</w:t>
      </w:r>
      <w:r w:rsidRPr="00E56005">
        <w:rPr>
          <w:rFonts w:eastAsia="SimSun"/>
          <w:lang w:eastAsia="zh-CN" w:bidi="ru-RU"/>
        </w:rPr>
        <w:t>5.76</w:t>
      </w:r>
      <w:r w:rsidRPr="00E56005">
        <w:rPr>
          <w:rFonts w:eastAsia="Batang"/>
          <w:lang w:bidi="ru-RU"/>
        </w:rPr>
        <w:t>-1 25</w:t>
      </w:r>
      <w:r w:rsidRPr="00E56005">
        <w:rPr>
          <w:rFonts w:eastAsia="SimSun"/>
          <w:lang w:eastAsia="zh-CN" w:bidi="ru-RU"/>
        </w:rPr>
        <w:t>6.52</w:t>
      </w:r>
      <w:r w:rsidRPr="00E56005">
        <w:rPr>
          <w:rFonts w:eastAsia="Batang"/>
          <w:lang w:bidi="ru-RU"/>
        </w:rPr>
        <w:t xml:space="preserve"> MHz: </w:t>
      </w:r>
      <w:r w:rsidRPr="00E56005">
        <w:rPr>
          <w:rFonts w:eastAsia="SimSun"/>
          <w:lang w:eastAsia="zh-CN" w:bidi="ru-RU"/>
        </w:rPr>
        <w:t xml:space="preserve">Maximum value of </w:t>
      </w:r>
      <w:proofErr w:type="spellStart"/>
      <w:r w:rsidRPr="00E56005">
        <w:rPr>
          <w:rFonts w:eastAsia="SimSun"/>
          <w:lang w:eastAsia="zh-CN" w:bidi="ru-RU"/>
        </w:rPr>
        <w:t>e.i.r.p</w:t>
      </w:r>
      <w:proofErr w:type="spellEnd"/>
      <w:r w:rsidRPr="00E56005">
        <w:rPr>
          <w:rFonts w:eastAsia="SimSun"/>
          <w:lang w:eastAsia="zh-CN" w:bidi="ru-RU"/>
        </w:rPr>
        <w:t>.</w:t>
      </w:r>
      <w:r w:rsidR="006A78C4" w:rsidRPr="00E56005">
        <w:rPr>
          <w:position w:val="6"/>
          <w:sz w:val="18"/>
        </w:rPr>
        <w:t>2</w:t>
      </w:r>
      <w:r w:rsidRPr="00E56005">
        <w:rPr>
          <w:rFonts w:eastAsia="SimSun"/>
          <w:lang w:eastAsia="zh-CN" w:bidi="ru-RU"/>
        </w:rPr>
        <w:t xml:space="preserve"> = 24 </w:t>
      </w:r>
      <w:proofErr w:type="spellStart"/>
      <w:r w:rsidRPr="00E56005">
        <w:rPr>
          <w:rFonts w:eastAsia="SimSun"/>
          <w:lang w:eastAsia="zh-CN" w:bidi="ru-RU"/>
        </w:rPr>
        <w:t>dBW</w:t>
      </w:r>
      <w:proofErr w:type="spellEnd"/>
      <w:r w:rsidRPr="00E56005">
        <w:rPr>
          <w:rFonts w:eastAsia="SimSun"/>
          <w:lang w:eastAsia="zh-CN" w:bidi="ru-RU"/>
        </w:rPr>
        <w:t>,</w:t>
      </w:r>
    </w:p>
    <w:p w14:paraId="7F290BB1" w14:textId="4F5BC8F3" w:rsidR="00DF4638" w:rsidRPr="00E56005" w:rsidRDefault="00DF4638" w:rsidP="00DF4638">
      <w:pPr>
        <w:pStyle w:val="enumlev3"/>
        <w:rPr>
          <w:rFonts w:eastAsia="SimSun"/>
          <w:lang w:eastAsia="zh-CN" w:bidi="ru-RU"/>
        </w:rPr>
      </w:pPr>
      <w:bookmarkStart w:id="3" w:name="_Hlk151026224"/>
      <w:r w:rsidRPr="00E56005">
        <w:rPr>
          <w:rFonts w:eastAsia="SimSun"/>
          <w:lang w:eastAsia="zh-CN" w:bidi="ru-RU"/>
        </w:rPr>
        <w:t>•</w:t>
      </w:r>
      <w:r w:rsidRPr="00E56005">
        <w:rPr>
          <w:rFonts w:eastAsia="SimSun"/>
          <w:lang w:eastAsia="zh-CN" w:bidi="ru-RU"/>
        </w:rPr>
        <w:tab/>
        <w:t xml:space="preserve">Out-of-band emissions below 1 255.76 MHz, should be as defined in </w:t>
      </w:r>
      <w:r>
        <w:rPr>
          <w:rFonts w:eastAsia="SimSun"/>
          <w:lang w:eastAsia="zh-CN" w:bidi="ru-RU"/>
        </w:rPr>
        <w:t>point</w:t>
      </w:r>
      <w:r w:rsidRPr="00E56005">
        <w:rPr>
          <w:rFonts w:eastAsia="SimSun"/>
          <w:lang w:eastAsia="zh-CN" w:bidi="ru-RU"/>
        </w:rPr>
        <w:t> 1a) above.</w:t>
      </w:r>
      <w:bookmarkEnd w:id="3"/>
    </w:p>
    <w:p w14:paraId="64B27DA2" w14:textId="4F65E363" w:rsidR="00DF4638" w:rsidRPr="00E56005" w:rsidRDefault="00DF4638" w:rsidP="00DF4638">
      <w:pPr>
        <w:pStyle w:val="enumlev2"/>
        <w:rPr>
          <w:rFonts w:eastAsia="Batang"/>
        </w:rPr>
      </w:pPr>
      <w:r w:rsidRPr="00E56005">
        <w:rPr>
          <w:rFonts w:eastAsia="Batang"/>
        </w:rPr>
        <w:t>c)</w:t>
      </w:r>
      <w:r w:rsidRPr="00E56005">
        <w:rPr>
          <w:rFonts w:eastAsia="Batang"/>
        </w:rPr>
        <w:tab/>
        <w:t>1 25</w:t>
      </w:r>
      <w:r w:rsidRPr="00E56005">
        <w:rPr>
          <w:rFonts w:eastAsia="SimSun"/>
        </w:rPr>
        <w:t>6.52</w:t>
      </w:r>
      <w:r w:rsidRPr="00E56005">
        <w:rPr>
          <w:rFonts w:eastAsia="Batang"/>
        </w:rPr>
        <w:t xml:space="preserve">-1 258 MHz: Maximum value of </w:t>
      </w:r>
      <w:proofErr w:type="spellStart"/>
      <w:r w:rsidRPr="00E56005">
        <w:rPr>
          <w:rFonts w:eastAsia="Batang"/>
        </w:rPr>
        <w:t>e.i.r.p</w:t>
      </w:r>
      <w:proofErr w:type="spellEnd"/>
      <w:r w:rsidRPr="00E56005">
        <w:rPr>
          <w:rFonts w:eastAsia="Batang"/>
        </w:rPr>
        <w:t>.</w:t>
      </w:r>
      <w:r w:rsidR="006A78C4" w:rsidRPr="00E56005">
        <w:rPr>
          <w:position w:val="6"/>
          <w:sz w:val="18"/>
        </w:rPr>
        <w:t>2</w:t>
      </w:r>
      <w:r w:rsidRPr="00E56005">
        <w:rPr>
          <w:rFonts w:eastAsia="Batang"/>
        </w:rPr>
        <w:t xml:space="preserve"> = 2</w:t>
      </w:r>
      <w:r w:rsidRPr="00E56005">
        <w:rPr>
          <w:rFonts w:eastAsia="SimSun"/>
        </w:rPr>
        <w:t>1</w:t>
      </w:r>
      <w:r w:rsidRPr="00E56005">
        <w:rPr>
          <w:rFonts w:eastAsia="Batang"/>
        </w:rPr>
        <w:t> </w:t>
      </w:r>
      <w:proofErr w:type="spellStart"/>
      <w:r w:rsidRPr="00E56005">
        <w:rPr>
          <w:rFonts w:eastAsia="Batang"/>
        </w:rPr>
        <w:t>dBW</w:t>
      </w:r>
      <w:proofErr w:type="spellEnd"/>
      <w:r w:rsidRPr="00E56005">
        <w:rPr>
          <w:rFonts w:eastAsia="Batang"/>
        </w:rPr>
        <w:t xml:space="preserve"> </w:t>
      </w:r>
    </w:p>
    <w:p w14:paraId="2E8AA544" w14:textId="274077E1" w:rsidR="00DF4638" w:rsidRPr="00E56005" w:rsidRDefault="00DF4638" w:rsidP="00DF4638">
      <w:pPr>
        <w:pStyle w:val="enumlev2"/>
        <w:rPr>
          <w:rFonts w:eastAsia="Batang"/>
        </w:rPr>
      </w:pPr>
      <w:r w:rsidRPr="00E56005">
        <w:rPr>
          <w:rFonts w:eastAsia="Batang"/>
        </w:rPr>
        <w:t>d)</w:t>
      </w:r>
      <w:r w:rsidRPr="00E56005">
        <w:rPr>
          <w:rFonts w:eastAsia="Batang"/>
        </w:rPr>
        <w:tab/>
        <w:t xml:space="preserve">1 258-1 296 MHz: Maximum value of </w:t>
      </w:r>
      <w:proofErr w:type="spellStart"/>
      <w:r w:rsidRPr="00E56005">
        <w:rPr>
          <w:rFonts w:eastAsia="Batang"/>
        </w:rPr>
        <w:t>e.i.r.p</w:t>
      </w:r>
      <w:proofErr w:type="spellEnd"/>
      <w:r w:rsidRPr="00E56005">
        <w:rPr>
          <w:rFonts w:eastAsia="Batang"/>
        </w:rPr>
        <w:t>.</w:t>
      </w:r>
      <w:r w:rsidR="006A78C4" w:rsidRPr="00E56005">
        <w:rPr>
          <w:position w:val="6"/>
          <w:sz w:val="18"/>
        </w:rPr>
        <w:t>2</w:t>
      </w:r>
      <w:r w:rsidRPr="00E56005">
        <w:rPr>
          <w:rFonts w:eastAsia="Batang"/>
        </w:rPr>
        <w:t xml:space="preserve"> = −17 </w:t>
      </w:r>
      <w:proofErr w:type="spellStart"/>
      <w:r w:rsidRPr="00E56005">
        <w:rPr>
          <w:rFonts w:eastAsia="Batang"/>
        </w:rPr>
        <w:t>dBW</w:t>
      </w:r>
      <w:proofErr w:type="spellEnd"/>
    </w:p>
    <w:p w14:paraId="17F2ED62" w14:textId="77777777" w:rsidR="00DF4638" w:rsidRPr="00E56005" w:rsidRDefault="00DF4638" w:rsidP="00DF4638">
      <w:pPr>
        <w:pStyle w:val="enumlev2"/>
        <w:rPr>
          <w:rFonts w:eastAsia="Batang"/>
        </w:rPr>
      </w:pPr>
      <w:r w:rsidRPr="00E56005">
        <w:rPr>
          <w:rFonts w:eastAsia="Batang"/>
        </w:rPr>
        <w:t>e)</w:t>
      </w:r>
      <w:r w:rsidRPr="00E56005">
        <w:rPr>
          <w:rFonts w:eastAsia="Batang"/>
        </w:rPr>
        <w:tab/>
        <w:t>1 296-1 298 MHz: Maximum transmitter power</w:t>
      </w:r>
      <w:r w:rsidRPr="00E56005">
        <w:rPr>
          <w:rStyle w:val="FootnoteReference"/>
          <w:rFonts w:eastAsia="Batang"/>
        </w:rPr>
        <w:footnoteReference w:customMarkFollows="1" w:id="3"/>
        <w:t>3</w:t>
      </w:r>
      <w:r w:rsidRPr="00E56005">
        <w:rPr>
          <w:rFonts w:eastAsia="Batang"/>
        </w:rPr>
        <w:t xml:space="preserve"> = 17 </w:t>
      </w:r>
      <w:proofErr w:type="spellStart"/>
      <w:r w:rsidRPr="00E56005">
        <w:rPr>
          <w:rFonts w:eastAsia="Batang"/>
        </w:rPr>
        <w:t>dBW</w:t>
      </w:r>
      <w:proofErr w:type="spellEnd"/>
      <w:r w:rsidRPr="00E56005">
        <w:rPr>
          <w:rFonts w:eastAsia="Batang"/>
        </w:rPr>
        <w:t xml:space="preserve"> </w:t>
      </w:r>
    </w:p>
    <w:p w14:paraId="5D898D9C" w14:textId="0D55993B" w:rsidR="00DF4638" w:rsidRPr="00E56005" w:rsidRDefault="00DF4638" w:rsidP="00DF4638">
      <w:pPr>
        <w:pStyle w:val="enumlev2"/>
      </w:pPr>
      <w:r w:rsidRPr="00E56005">
        <w:rPr>
          <w:rFonts w:eastAsia="Batang"/>
        </w:rPr>
        <w:t>f)</w:t>
      </w:r>
      <w:r w:rsidRPr="00E56005">
        <w:rPr>
          <w:rFonts w:eastAsia="Batang"/>
        </w:rPr>
        <w:tab/>
        <w:t>1 298-1 300 MHz: Maximum transmitter power</w:t>
      </w:r>
      <w:r w:rsidR="006A78C4">
        <w:rPr>
          <w:position w:val="6"/>
          <w:sz w:val="18"/>
        </w:rPr>
        <w:t>3</w:t>
      </w:r>
      <w:r w:rsidRPr="00E56005">
        <w:rPr>
          <w:rFonts w:eastAsia="Batang"/>
        </w:rPr>
        <w:t xml:space="preserve"> = 22 </w:t>
      </w:r>
      <w:proofErr w:type="spellStart"/>
      <w:r w:rsidRPr="00E56005">
        <w:rPr>
          <w:rFonts w:eastAsia="Batang"/>
        </w:rPr>
        <w:t>dBW</w:t>
      </w:r>
      <w:proofErr w:type="spellEnd"/>
      <w:r w:rsidRPr="00E56005">
        <w:rPr>
          <w:rFonts w:eastAsia="Batang"/>
        </w:rPr>
        <w:t xml:space="preserve"> </w:t>
      </w:r>
    </w:p>
    <w:p w14:paraId="010A7EAE" w14:textId="77777777" w:rsidR="00DF4638" w:rsidRPr="00E56005" w:rsidRDefault="00DF4638" w:rsidP="00DF4638">
      <w:pPr>
        <w:pStyle w:val="enumlev3"/>
      </w:pPr>
      <w:r w:rsidRPr="00E56005">
        <w:t>•</w:t>
      </w:r>
      <w:r w:rsidRPr="00E56005">
        <w:tab/>
        <w:t>for narrowband Earth-Moon-Earth applications in the amateur service using a symmetric high-performance antenna (e.g. boresight gain at least 30 </w:t>
      </w:r>
      <w:proofErr w:type="spellStart"/>
      <w:r w:rsidRPr="00E56005">
        <w:t>dBi</w:t>
      </w:r>
      <w:proofErr w:type="spellEnd"/>
      <w:r w:rsidRPr="00E56005">
        <w:t>) pointing at least 15 degrees above the horizontal:</w:t>
      </w:r>
    </w:p>
    <w:p w14:paraId="0AAA86FF" w14:textId="74A5A61D" w:rsidR="00DF4638" w:rsidRPr="00E56005" w:rsidRDefault="00645AA2" w:rsidP="00645AA2">
      <w:pPr>
        <w:pStyle w:val="enumlev3"/>
      </w:pPr>
      <w:r>
        <w:tab/>
      </w:r>
      <w:r>
        <w:tab/>
      </w:r>
      <w:r w:rsidR="00DF4638" w:rsidRPr="00E56005">
        <w:t>a)</w:t>
      </w:r>
      <w:r w:rsidR="00DF4638" w:rsidRPr="00E56005">
        <w:tab/>
        <w:t>1 298-1 </w:t>
      </w:r>
      <w:r w:rsidR="00DF4638" w:rsidRPr="00645AA2">
        <w:t>300</w:t>
      </w:r>
      <w:r w:rsidR="00DF4638" w:rsidRPr="00E56005">
        <w:t> MHz: Maximum transmitter power</w:t>
      </w:r>
      <w:r w:rsidR="006A78C4">
        <w:rPr>
          <w:position w:val="6"/>
          <w:sz w:val="18"/>
        </w:rPr>
        <w:t>3</w:t>
      </w:r>
      <w:r w:rsidR="00DF4638" w:rsidRPr="00E56005">
        <w:t> = 27 </w:t>
      </w:r>
      <w:proofErr w:type="spellStart"/>
      <w:r w:rsidR="00DF4638" w:rsidRPr="00E56005">
        <w:t>dBW</w:t>
      </w:r>
      <w:proofErr w:type="spellEnd"/>
      <w:r w:rsidR="00DF4638" w:rsidRPr="00E56005">
        <w:t xml:space="preserve"> </w:t>
      </w:r>
    </w:p>
    <w:p w14:paraId="4B099770" w14:textId="77777777" w:rsidR="00DF4638" w:rsidRPr="00E56005" w:rsidRDefault="00DF4638" w:rsidP="00DF4638">
      <w:pPr>
        <w:pStyle w:val="enumlev1"/>
      </w:pPr>
      <w:r w:rsidRPr="00E56005">
        <w:lastRenderedPageBreak/>
        <w:t>2)</w:t>
      </w:r>
      <w:r w:rsidRPr="00E56005">
        <w:tab/>
        <w:t>For narrowband applications operating in the amateur-satellite service (Earth-to-space) (bandwidth ≤ 150 kHz):</w:t>
      </w:r>
    </w:p>
    <w:p w14:paraId="4A038EDF" w14:textId="77777777" w:rsidR="00DF4638" w:rsidRPr="00E56005" w:rsidRDefault="00DF4638" w:rsidP="00DF4638">
      <w:pPr>
        <w:pStyle w:val="enumlev2"/>
        <w:keepNext/>
      </w:pPr>
      <w:r w:rsidRPr="00E56005">
        <w:t>a)</w:t>
      </w:r>
      <w:r w:rsidRPr="00E56005">
        <w:tab/>
        <w:t>1 260-1 262 MHz:</w:t>
      </w:r>
    </w:p>
    <w:p w14:paraId="058CE7D1" w14:textId="3C0449E0" w:rsidR="00DF4638" w:rsidRPr="003E0E10" w:rsidRDefault="00DF4638" w:rsidP="00DF4638">
      <w:pPr>
        <w:pStyle w:val="enumlev2"/>
        <w:keepNext/>
      </w:pPr>
      <w:r w:rsidRPr="00E56005">
        <w:tab/>
        <w:t xml:space="preserve">Maximum value of </w:t>
      </w:r>
      <w:proofErr w:type="spellStart"/>
      <w:r w:rsidRPr="00E56005">
        <w:t>e.i.r.p</w:t>
      </w:r>
      <w:proofErr w:type="spellEnd"/>
      <w:r w:rsidRPr="00E56005">
        <w:t>.</w:t>
      </w:r>
      <w:r w:rsidR="006A78C4" w:rsidRPr="00E56005">
        <w:rPr>
          <w:position w:val="6"/>
          <w:sz w:val="18"/>
        </w:rPr>
        <w:t>2</w:t>
      </w:r>
      <w:r w:rsidR="003E0E10" w:rsidRPr="00E56005">
        <w:t>:</w:t>
      </w:r>
    </w:p>
    <w:p w14:paraId="09A5F87F" w14:textId="77777777" w:rsidR="00DF4638" w:rsidRPr="00E56005" w:rsidRDefault="00DF4638" w:rsidP="00DF4638">
      <w:pPr>
        <w:pStyle w:val="enumlev2"/>
        <w:keepNext/>
        <w:tabs>
          <w:tab w:val="left" w:pos="5954"/>
          <w:tab w:val="right" w:pos="6999"/>
          <w:tab w:val="left" w:pos="7088"/>
        </w:tabs>
        <w:rPr>
          <w:rFonts w:eastAsia="Batang"/>
          <w:lang w:bidi="ru-RU"/>
        </w:rPr>
      </w:pPr>
      <w:r w:rsidRPr="00E56005">
        <w:rPr>
          <w:rFonts w:eastAsia="Batang"/>
          <w:lang w:bidi="ru-RU"/>
        </w:rPr>
        <w:tab/>
        <w:t>−3 </w:t>
      </w:r>
      <w:proofErr w:type="spellStart"/>
      <w:r w:rsidRPr="00E56005">
        <w:rPr>
          <w:rFonts w:eastAsia="Batang"/>
          <w:lang w:bidi="ru-RU"/>
        </w:rPr>
        <w:t>dBW</w:t>
      </w:r>
      <w:proofErr w:type="spellEnd"/>
      <w:r w:rsidRPr="00E56005">
        <w:rPr>
          <w:rFonts w:eastAsia="Batang"/>
          <w:lang w:bidi="ru-RU"/>
        </w:rPr>
        <w:tab/>
        <w:t>for</w:t>
      </w:r>
      <w:r w:rsidRPr="00E56005">
        <w:rPr>
          <w:rFonts w:eastAsia="Batang"/>
          <w:lang w:bidi="ru-RU"/>
        </w:rPr>
        <w:tab/>
        <w:t>0°</w:t>
      </w:r>
      <w:r w:rsidRPr="00E56005">
        <w:rPr>
          <w:rFonts w:eastAsia="Batang"/>
          <w:lang w:bidi="ru-RU"/>
        </w:rPr>
        <w:tab/>
      </w:r>
      <w:r w:rsidRPr="00E56005">
        <w:rPr>
          <w:rFonts w:eastAsia="Batang"/>
          <w:lang w:bidi="ru-RU"/>
        </w:rPr>
        <w:sym w:font="Symbol" w:char="F0A3"/>
      </w:r>
      <w:r w:rsidRPr="00E56005">
        <w:rPr>
          <w:rFonts w:eastAsia="Batang"/>
          <w:lang w:bidi="ru-RU"/>
        </w:rPr>
        <w:t xml:space="preserve"> </w:t>
      </w:r>
      <w:r w:rsidRPr="00E56005">
        <w:rPr>
          <w:rFonts w:eastAsia="Batang"/>
          <w:lang w:bidi="ru-RU"/>
        </w:rPr>
        <w:sym w:font="Symbol" w:char="F071"/>
      </w:r>
      <w:r w:rsidRPr="00E56005">
        <w:rPr>
          <w:rFonts w:eastAsia="Batang"/>
          <w:lang w:bidi="ru-RU"/>
        </w:rPr>
        <w:t xml:space="preserve"> &lt; 15°</w:t>
      </w:r>
    </w:p>
    <w:p w14:paraId="3F3AE31F" w14:textId="77777777" w:rsidR="00DF4638" w:rsidRPr="00E56005" w:rsidRDefault="00DF4638" w:rsidP="00DF4638">
      <w:pPr>
        <w:pStyle w:val="enumlev2"/>
        <w:keepNext/>
        <w:tabs>
          <w:tab w:val="left" w:pos="5954"/>
          <w:tab w:val="right" w:pos="6999"/>
          <w:tab w:val="left" w:pos="7088"/>
        </w:tabs>
        <w:rPr>
          <w:rFonts w:eastAsia="Batang"/>
          <w:lang w:bidi="ru-RU"/>
        </w:rPr>
      </w:pPr>
      <w:r w:rsidRPr="00E56005">
        <w:rPr>
          <w:rFonts w:eastAsia="Batang"/>
          <w:lang w:bidi="ru-RU"/>
        </w:rPr>
        <w:tab/>
        <w:t>17 </w:t>
      </w:r>
      <w:proofErr w:type="spellStart"/>
      <w:r w:rsidRPr="00E56005">
        <w:rPr>
          <w:rFonts w:eastAsia="Batang"/>
          <w:lang w:bidi="ru-RU"/>
        </w:rPr>
        <w:t>dBW</w:t>
      </w:r>
      <w:proofErr w:type="spellEnd"/>
      <w:r w:rsidRPr="00E56005">
        <w:rPr>
          <w:rFonts w:eastAsia="Batang"/>
          <w:lang w:bidi="ru-RU"/>
        </w:rPr>
        <w:tab/>
        <w:t>for</w:t>
      </w:r>
      <w:r w:rsidRPr="00E56005">
        <w:rPr>
          <w:rFonts w:eastAsia="Batang"/>
          <w:lang w:bidi="ru-RU"/>
        </w:rPr>
        <w:tab/>
        <w:t>15°</w:t>
      </w:r>
      <w:r w:rsidRPr="00E56005">
        <w:rPr>
          <w:rFonts w:eastAsia="Batang"/>
          <w:lang w:bidi="ru-RU"/>
        </w:rPr>
        <w:tab/>
      </w:r>
      <w:r w:rsidRPr="00E56005">
        <w:rPr>
          <w:rFonts w:eastAsia="Batang"/>
          <w:lang w:bidi="ru-RU"/>
        </w:rPr>
        <w:sym w:font="Symbol" w:char="F0A3"/>
      </w:r>
      <w:r w:rsidRPr="00E56005">
        <w:rPr>
          <w:rFonts w:eastAsia="Batang"/>
          <w:lang w:bidi="ru-RU"/>
        </w:rPr>
        <w:t xml:space="preserve"> </w:t>
      </w:r>
      <w:r w:rsidRPr="00E56005">
        <w:rPr>
          <w:rFonts w:eastAsia="Batang"/>
          <w:lang w:bidi="ru-RU"/>
        </w:rPr>
        <w:sym w:font="Symbol" w:char="F071"/>
      </w:r>
      <w:r w:rsidRPr="00E56005">
        <w:rPr>
          <w:rFonts w:eastAsia="Batang"/>
          <w:lang w:bidi="ru-RU"/>
        </w:rPr>
        <w:t xml:space="preserve"> &lt; 55°</w:t>
      </w:r>
    </w:p>
    <w:p w14:paraId="512804F0" w14:textId="77777777" w:rsidR="00DF4638" w:rsidRPr="00E56005" w:rsidRDefault="00DF4638" w:rsidP="00DF4638">
      <w:pPr>
        <w:pStyle w:val="enumlev2"/>
        <w:tabs>
          <w:tab w:val="left" w:pos="5954"/>
          <w:tab w:val="right" w:pos="6999"/>
          <w:tab w:val="left" w:pos="7088"/>
        </w:tabs>
        <w:rPr>
          <w:rFonts w:eastAsia="Batang"/>
          <w:lang w:bidi="ru-RU"/>
        </w:rPr>
      </w:pPr>
      <w:r w:rsidRPr="00E56005">
        <w:rPr>
          <w:rFonts w:eastAsia="Batang"/>
          <w:lang w:bidi="ru-RU"/>
        </w:rPr>
        <w:tab/>
        <w:t>26.8 </w:t>
      </w:r>
      <w:proofErr w:type="spellStart"/>
      <w:r w:rsidRPr="00E56005">
        <w:rPr>
          <w:rFonts w:eastAsia="Batang"/>
          <w:lang w:bidi="ru-RU"/>
        </w:rPr>
        <w:t>dBW</w:t>
      </w:r>
      <w:proofErr w:type="spellEnd"/>
      <w:r w:rsidRPr="00E56005">
        <w:rPr>
          <w:rFonts w:eastAsia="Batang"/>
          <w:lang w:bidi="ru-RU"/>
        </w:rPr>
        <w:tab/>
        <w:t>for</w:t>
      </w:r>
      <w:r w:rsidRPr="00E56005">
        <w:rPr>
          <w:rFonts w:eastAsia="Batang"/>
          <w:lang w:bidi="ru-RU"/>
        </w:rPr>
        <w:tab/>
        <w:t>55°</w:t>
      </w:r>
      <w:r w:rsidRPr="00E56005">
        <w:rPr>
          <w:rFonts w:eastAsia="Batang"/>
          <w:lang w:bidi="ru-RU"/>
        </w:rPr>
        <w:tab/>
      </w:r>
      <w:r w:rsidRPr="00E56005">
        <w:rPr>
          <w:rFonts w:eastAsia="Batang"/>
          <w:lang w:bidi="ru-RU"/>
        </w:rPr>
        <w:sym w:font="Symbol" w:char="F0A3"/>
      </w:r>
      <w:r w:rsidRPr="00E56005">
        <w:rPr>
          <w:rFonts w:eastAsia="Batang"/>
          <w:lang w:bidi="ru-RU"/>
        </w:rPr>
        <w:t xml:space="preserve"> </w:t>
      </w:r>
      <w:r w:rsidRPr="00E56005">
        <w:rPr>
          <w:rFonts w:eastAsia="Batang"/>
          <w:lang w:bidi="ru-RU"/>
        </w:rPr>
        <w:sym w:font="Symbol" w:char="F071"/>
      </w:r>
      <w:r w:rsidRPr="00E56005">
        <w:rPr>
          <w:rFonts w:eastAsia="Batang"/>
          <w:lang w:bidi="ru-RU"/>
        </w:rPr>
        <w:t xml:space="preserve"> &lt; 90°</w:t>
      </w:r>
    </w:p>
    <w:p w14:paraId="07523B84" w14:textId="71FB5D4A" w:rsidR="00DF4638" w:rsidRPr="00E56005" w:rsidRDefault="00DF4638" w:rsidP="00DF4638">
      <w:pPr>
        <w:pStyle w:val="enumlev2"/>
        <w:rPr>
          <w:rFonts w:eastAsia="Batang"/>
          <w:lang w:eastAsia="ko-KR"/>
        </w:rPr>
      </w:pPr>
      <w:r w:rsidRPr="00E56005">
        <w:rPr>
          <w:rFonts w:eastAsia="Batang"/>
          <w:lang w:bidi="ru-RU"/>
        </w:rPr>
        <w:tab/>
        <w:t xml:space="preserve">where </w:t>
      </w:r>
      <w:r w:rsidRPr="00E56005">
        <w:rPr>
          <w:rFonts w:eastAsia="Batang"/>
          <w:lang w:bidi="ru-RU"/>
        </w:rPr>
        <w:sym w:font="Symbol" w:char="F071"/>
      </w:r>
      <w:r w:rsidRPr="00E56005">
        <w:rPr>
          <w:rFonts w:eastAsia="Batang"/>
          <w:lang w:bidi="ru-RU"/>
        </w:rPr>
        <w:t xml:space="preserve"> = elevation angle of amateur station antenna, </w:t>
      </w:r>
    </w:p>
    <w:p w14:paraId="78C1DFA3" w14:textId="0DC41792" w:rsidR="00DF4638" w:rsidRPr="00E56005" w:rsidRDefault="00DF4638" w:rsidP="00DF4638">
      <w:pPr>
        <w:pStyle w:val="enumlev2"/>
      </w:pPr>
      <w:r w:rsidRPr="00E56005">
        <w:t>b)</w:t>
      </w:r>
      <w:r w:rsidRPr="00E56005">
        <w:tab/>
        <w:t xml:space="preserve">1 262-1 270 MHz: Maximum value of </w:t>
      </w:r>
      <w:proofErr w:type="spellStart"/>
      <w:r w:rsidRPr="00E56005">
        <w:t>e.i.r.p</w:t>
      </w:r>
      <w:proofErr w:type="spellEnd"/>
      <w:r w:rsidRPr="00E56005">
        <w:t>.</w:t>
      </w:r>
      <w:r w:rsidR="006A78C4" w:rsidRPr="00E56005">
        <w:rPr>
          <w:position w:val="6"/>
          <w:sz w:val="18"/>
        </w:rPr>
        <w:t>2</w:t>
      </w:r>
      <w:r w:rsidRPr="00E56005">
        <w:t> = </w:t>
      </w:r>
      <w:r w:rsidRPr="00E56005">
        <w:rPr>
          <w:rFonts w:eastAsia="Batang"/>
          <w:lang w:bidi="ru-RU"/>
        </w:rPr>
        <w:t>−</w:t>
      </w:r>
      <w:r w:rsidRPr="00E56005">
        <w:t>17 </w:t>
      </w:r>
      <w:proofErr w:type="spellStart"/>
      <w:r w:rsidRPr="00E56005">
        <w:t>dBW</w:t>
      </w:r>
      <w:proofErr w:type="spellEnd"/>
    </w:p>
    <w:p w14:paraId="40AD6242" w14:textId="77777777" w:rsidR="00DF4638" w:rsidRPr="00E56005" w:rsidRDefault="00DF4638" w:rsidP="00DF4638">
      <w:pPr>
        <w:pStyle w:val="enumlev1"/>
      </w:pPr>
      <w:r w:rsidRPr="00E56005">
        <w:t>3)</w:t>
      </w:r>
      <w:r w:rsidRPr="00E56005">
        <w:tab/>
        <w:t xml:space="preserve">For broadband (bandwidth &gt; 150 kHz), including amateur television (ATV), applications </w:t>
      </w:r>
      <w:r>
        <w:t xml:space="preserve">operating </w:t>
      </w:r>
      <w:r w:rsidRPr="00E56005">
        <w:t>in the amateur service:</w:t>
      </w:r>
    </w:p>
    <w:p w14:paraId="569F4322" w14:textId="77777777" w:rsidR="00DF4638" w:rsidRPr="00E56005" w:rsidRDefault="00DF4638" w:rsidP="00DF4638">
      <w:pPr>
        <w:pStyle w:val="enumlev2"/>
        <w:keepNext/>
        <w:rPr>
          <w:rFonts w:eastAsia="Batang"/>
          <w:lang w:bidi="ru-RU"/>
        </w:rPr>
      </w:pPr>
      <w:r w:rsidRPr="00E56005">
        <w:t>a)</w:t>
      </w:r>
      <w:r w:rsidRPr="00E56005">
        <w:tab/>
        <w:t>1 240-1 25</w:t>
      </w:r>
      <w:r w:rsidRPr="00E56005">
        <w:rPr>
          <w:rFonts w:eastAsia="SimSun"/>
          <w:lang w:eastAsia="zh-CN" w:bidi="ru-RU"/>
        </w:rPr>
        <w:t>5.76</w:t>
      </w:r>
      <w:r w:rsidRPr="00E56005">
        <w:t> MHz</w:t>
      </w:r>
      <w:r w:rsidRPr="00E56005">
        <w:rPr>
          <w:rFonts w:eastAsia="Batang"/>
          <w:lang w:bidi="ru-RU"/>
        </w:rPr>
        <w:t xml:space="preserve">: </w:t>
      </w:r>
    </w:p>
    <w:p w14:paraId="36DF624B" w14:textId="1378E141" w:rsidR="00DF4638" w:rsidRPr="00E56005" w:rsidRDefault="00DF4638" w:rsidP="00DF4638">
      <w:pPr>
        <w:pStyle w:val="enumlev2"/>
        <w:keepNext/>
        <w:rPr>
          <w:spacing w:val="-4"/>
        </w:rPr>
      </w:pPr>
      <w:r w:rsidRPr="00E56005">
        <w:tab/>
        <w:t xml:space="preserve">Maximum values of </w:t>
      </w:r>
      <w:proofErr w:type="spellStart"/>
      <w:r w:rsidRPr="00E56005">
        <w:t>e.i.r.p</w:t>
      </w:r>
      <w:proofErr w:type="spellEnd"/>
      <w:r w:rsidRPr="00E56005">
        <w:t>.</w:t>
      </w:r>
      <w:r w:rsidR="006A78C4" w:rsidRPr="00E56005">
        <w:rPr>
          <w:position w:val="6"/>
          <w:sz w:val="18"/>
        </w:rPr>
        <w:t>2</w:t>
      </w:r>
      <w:r w:rsidRPr="00E56005">
        <w:rPr>
          <w:spacing w:val="-4"/>
        </w:rPr>
        <w:t>:</w:t>
      </w:r>
    </w:p>
    <w:p w14:paraId="32CAA326" w14:textId="079A1AED" w:rsidR="00DF4638" w:rsidRPr="00E56005" w:rsidRDefault="00DF4638" w:rsidP="00DF4638">
      <w:pPr>
        <w:pStyle w:val="enumlev2"/>
        <w:keepNext/>
        <w:tabs>
          <w:tab w:val="left" w:pos="5954"/>
          <w:tab w:val="right" w:pos="6999"/>
          <w:tab w:val="left" w:pos="7088"/>
        </w:tabs>
        <w:rPr>
          <w:i/>
          <w:iCs/>
          <w:spacing w:val="-4"/>
        </w:rPr>
      </w:pPr>
      <w:r w:rsidRPr="00E56005">
        <w:rPr>
          <w:rFonts w:eastAsia="Batang"/>
          <w:lang w:bidi="ru-RU"/>
        </w:rPr>
        <w:tab/>
        <w:t>−39.0 </w:t>
      </w:r>
      <w:proofErr w:type="spellStart"/>
      <w:r w:rsidRPr="00E56005">
        <w:rPr>
          <w:rFonts w:eastAsia="Batang"/>
          <w:lang w:bidi="ru-RU"/>
        </w:rPr>
        <w:t>dBW</w:t>
      </w:r>
      <w:proofErr w:type="spellEnd"/>
      <w:r w:rsidRPr="00E56005">
        <w:rPr>
          <w:rFonts w:eastAsia="Batang"/>
          <w:lang w:bidi="ru-RU"/>
        </w:rPr>
        <w:t xml:space="preserve"> in (150 kHz)</w:t>
      </w:r>
      <w:r w:rsidRPr="00E56005">
        <w:rPr>
          <w:rFonts w:eastAsia="Batang"/>
          <w:lang w:bidi="ru-RU"/>
        </w:rPr>
        <w:tab/>
        <w:t>for</w:t>
      </w:r>
      <w:r w:rsidRPr="00E56005">
        <w:rPr>
          <w:rFonts w:eastAsia="Batang"/>
          <w:lang w:bidi="ru-RU"/>
        </w:rPr>
        <w:tab/>
        <w:t>−90</w:t>
      </w:r>
      <w:r w:rsidRPr="00E56005">
        <w:rPr>
          <w:rFonts w:eastAsia="Batang"/>
          <w:lang w:bidi="ru-RU"/>
        </w:rPr>
        <w:sym w:font="Symbol" w:char="F0B0"/>
      </w:r>
      <w:r w:rsidRPr="00E56005">
        <w:rPr>
          <w:rFonts w:eastAsia="Batang"/>
          <w:lang w:bidi="ru-RU"/>
        </w:rPr>
        <w:tab/>
      </w:r>
      <w:r w:rsidRPr="00E56005">
        <w:rPr>
          <w:rFonts w:eastAsia="Batang"/>
          <w:lang w:bidi="ru-RU"/>
        </w:rPr>
        <w:sym w:font="Symbol" w:char="F0A3"/>
      </w:r>
      <w:r w:rsidRPr="00E56005">
        <w:rPr>
          <w:rFonts w:eastAsia="Batang"/>
          <w:lang w:bidi="ru-RU"/>
        </w:rPr>
        <w:t xml:space="preserve"> </w:t>
      </w:r>
      <w:r w:rsidRPr="00E56005">
        <w:rPr>
          <w:rFonts w:eastAsia="Batang"/>
          <w:lang w:bidi="ru-RU"/>
        </w:rPr>
        <w:sym w:font="Symbol" w:char="F071"/>
      </w:r>
      <w:r w:rsidRPr="00E56005">
        <w:rPr>
          <w:rFonts w:eastAsia="Batang"/>
          <w:lang w:bidi="ru-RU"/>
        </w:rPr>
        <w:t xml:space="preserve"> &lt; 0°</w:t>
      </w:r>
    </w:p>
    <w:p w14:paraId="22E1C2B9" w14:textId="5CDBCAF1" w:rsidR="00DF4638" w:rsidRPr="00E56005" w:rsidRDefault="00DF4638" w:rsidP="00DF4638">
      <w:pPr>
        <w:pStyle w:val="enumlev2"/>
        <w:keepNext/>
        <w:tabs>
          <w:tab w:val="left" w:pos="5954"/>
          <w:tab w:val="right" w:pos="6999"/>
          <w:tab w:val="left" w:pos="7088"/>
        </w:tabs>
        <w:rPr>
          <w:rFonts w:eastAsia="Batang"/>
          <w:lang w:eastAsia="ko-KR"/>
        </w:rPr>
      </w:pPr>
      <w:r w:rsidRPr="00E56005">
        <w:rPr>
          <w:rFonts w:eastAsia="Batang"/>
          <w:lang w:bidi="ru-RU"/>
        </w:rPr>
        <w:tab/>
        <w:t>−39.0 </w:t>
      </w:r>
      <w:proofErr w:type="spellStart"/>
      <w:r w:rsidRPr="00E56005">
        <w:rPr>
          <w:rFonts w:eastAsia="Batang"/>
          <w:lang w:bidi="ru-RU"/>
        </w:rPr>
        <w:t>dBW</w:t>
      </w:r>
      <w:proofErr w:type="spellEnd"/>
      <w:r w:rsidRPr="00E56005">
        <w:rPr>
          <w:rFonts w:eastAsia="Batang"/>
          <w:lang w:bidi="ru-RU"/>
        </w:rPr>
        <w:t xml:space="preserve"> in (150 kHz)</w:t>
      </w:r>
      <w:r w:rsidRPr="00E56005">
        <w:rPr>
          <w:rFonts w:eastAsia="Batang"/>
          <w:lang w:bidi="ru-RU"/>
        </w:rPr>
        <w:tab/>
        <w:t>for</w:t>
      </w:r>
      <w:r w:rsidRPr="00E56005">
        <w:rPr>
          <w:rFonts w:eastAsia="Batang"/>
          <w:lang w:bidi="ru-RU"/>
        </w:rPr>
        <w:tab/>
        <w:t>0</w:t>
      </w:r>
      <w:r w:rsidRPr="00E56005">
        <w:rPr>
          <w:rFonts w:eastAsia="Batang"/>
          <w:lang w:bidi="ru-RU"/>
        </w:rPr>
        <w:sym w:font="Symbol" w:char="F0B0"/>
      </w:r>
      <w:r w:rsidRPr="00E56005">
        <w:rPr>
          <w:rFonts w:eastAsia="Batang"/>
          <w:lang w:bidi="ru-RU"/>
        </w:rPr>
        <w:tab/>
      </w:r>
      <w:r w:rsidRPr="00E56005">
        <w:rPr>
          <w:rFonts w:eastAsia="Batang"/>
          <w:lang w:bidi="ru-RU"/>
        </w:rPr>
        <w:sym w:font="Symbol" w:char="F0A3"/>
      </w:r>
      <w:r w:rsidRPr="00E56005">
        <w:rPr>
          <w:rFonts w:eastAsia="Batang"/>
          <w:lang w:bidi="ru-RU"/>
        </w:rPr>
        <w:t xml:space="preserve"> </w:t>
      </w:r>
      <w:r w:rsidRPr="00E56005">
        <w:rPr>
          <w:rFonts w:eastAsia="Batang"/>
          <w:lang w:bidi="ru-RU"/>
        </w:rPr>
        <w:sym w:font="Symbol" w:char="F071"/>
      </w:r>
      <w:r w:rsidRPr="00E56005">
        <w:rPr>
          <w:rFonts w:eastAsia="Batang"/>
          <w:lang w:bidi="ru-RU"/>
        </w:rPr>
        <w:t xml:space="preserve"> &lt; 5°</w:t>
      </w:r>
    </w:p>
    <w:p w14:paraId="49F7E57C" w14:textId="1A5EE0B5" w:rsidR="00DF4638" w:rsidRPr="00E56005" w:rsidRDefault="00DF4638" w:rsidP="00DF4638">
      <w:pPr>
        <w:pStyle w:val="enumlev2"/>
        <w:keepNext/>
        <w:tabs>
          <w:tab w:val="left" w:pos="5954"/>
          <w:tab w:val="right" w:pos="6999"/>
          <w:tab w:val="left" w:pos="7088"/>
        </w:tabs>
        <w:rPr>
          <w:rFonts w:eastAsia="Batang"/>
          <w:lang w:eastAsia="ko-KR"/>
        </w:rPr>
      </w:pPr>
      <w:r w:rsidRPr="00E56005">
        <w:rPr>
          <w:rFonts w:eastAsia="Batang"/>
          <w:lang w:bidi="ru-RU"/>
        </w:rPr>
        <w:tab/>
        <w:t>−39.0 − 1.05 (</w:t>
      </w:r>
      <w:r w:rsidRPr="00E56005">
        <w:rPr>
          <w:rFonts w:eastAsia="Batang"/>
          <w:lang w:bidi="ru-RU"/>
        </w:rPr>
        <w:sym w:font="Symbol" w:char="F071"/>
      </w:r>
      <w:r w:rsidRPr="00E56005">
        <w:rPr>
          <w:rFonts w:eastAsia="Batang"/>
          <w:lang w:bidi="ru-RU"/>
        </w:rPr>
        <w:t> – 5) </w:t>
      </w:r>
      <w:proofErr w:type="spellStart"/>
      <w:r w:rsidRPr="00E56005">
        <w:rPr>
          <w:rFonts w:eastAsia="Batang"/>
          <w:lang w:bidi="ru-RU"/>
        </w:rPr>
        <w:t>dBW</w:t>
      </w:r>
      <w:proofErr w:type="spellEnd"/>
      <w:r w:rsidRPr="00E56005">
        <w:rPr>
          <w:rFonts w:eastAsia="Batang"/>
          <w:lang w:bidi="ru-RU"/>
        </w:rPr>
        <w:t> in (150 kHz)</w:t>
      </w:r>
      <w:r w:rsidRPr="00E56005">
        <w:rPr>
          <w:rFonts w:eastAsia="Batang"/>
          <w:lang w:bidi="ru-RU"/>
        </w:rPr>
        <w:tab/>
        <w:t>for</w:t>
      </w:r>
      <w:r w:rsidRPr="00E56005">
        <w:rPr>
          <w:rFonts w:eastAsia="Batang"/>
          <w:lang w:bidi="ru-RU"/>
        </w:rPr>
        <w:tab/>
        <w:t>5</w:t>
      </w:r>
      <w:r w:rsidRPr="00E56005">
        <w:rPr>
          <w:rFonts w:eastAsia="Batang"/>
          <w:lang w:bidi="ru-RU"/>
        </w:rPr>
        <w:sym w:font="Symbol" w:char="F0B0"/>
      </w:r>
      <w:r w:rsidRPr="00E56005">
        <w:rPr>
          <w:rFonts w:eastAsia="Batang"/>
          <w:lang w:bidi="ru-RU"/>
        </w:rPr>
        <w:tab/>
      </w:r>
      <w:r w:rsidRPr="00E56005">
        <w:rPr>
          <w:rFonts w:eastAsia="Batang"/>
          <w:lang w:bidi="ru-RU"/>
        </w:rPr>
        <w:sym w:font="Symbol" w:char="F0A3"/>
      </w:r>
      <w:r w:rsidRPr="00E56005">
        <w:rPr>
          <w:rFonts w:eastAsia="Batang"/>
          <w:lang w:bidi="ru-RU"/>
        </w:rPr>
        <w:t xml:space="preserve"> </w:t>
      </w:r>
      <w:r w:rsidRPr="00E56005">
        <w:rPr>
          <w:rFonts w:eastAsia="Batang"/>
          <w:lang w:bidi="ru-RU"/>
        </w:rPr>
        <w:sym w:font="Symbol" w:char="F071"/>
      </w:r>
      <w:r w:rsidRPr="00E56005">
        <w:rPr>
          <w:rFonts w:eastAsia="Batang"/>
          <w:lang w:bidi="ru-RU"/>
        </w:rPr>
        <w:t xml:space="preserve"> &lt; 25°</w:t>
      </w:r>
    </w:p>
    <w:p w14:paraId="462B9B51" w14:textId="6BB7792A" w:rsidR="00DF4638" w:rsidRPr="00E56005" w:rsidRDefault="00DF4638" w:rsidP="00DF4638">
      <w:pPr>
        <w:pStyle w:val="enumlev2"/>
        <w:keepNext/>
        <w:tabs>
          <w:tab w:val="left" w:pos="5954"/>
          <w:tab w:val="right" w:pos="6999"/>
          <w:tab w:val="left" w:pos="7088"/>
        </w:tabs>
        <w:rPr>
          <w:rFonts w:eastAsia="Batang"/>
          <w:lang w:bidi="ru-RU"/>
        </w:rPr>
      </w:pPr>
      <w:r w:rsidRPr="00E56005">
        <w:rPr>
          <w:rFonts w:eastAsia="Batang"/>
          <w:lang w:bidi="ru-RU"/>
        </w:rPr>
        <w:tab/>
        <w:t>−60 </w:t>
      </w:r>
      <w:proofErr w:type="spellStart"/>
      <w:r w:rsidRPr="00E56005">
        <w:rPr>
          <w:rFonts w:eastAsia="Batang"/>
          <w:lang w:bidi="ru-RU"/>
        </w:rPr>
        <w:t>dBW</w:t>
      </w:r>
      <w:proofErr w:type="spellEnd"/>
      <w:r w:rsidRPr="00E56005">
        <w:rPr>
          <w:rFonts w:eastAsia="Batang"/>
          <w:lang w:bidi="ru-RU"/>
        </w:rPr>
        <w:t xml:space="preserve"> in (150 kHz)</w:t>
      </w:r>
      <w:r w:rsidRPr="00E56005">
        <w:rPr>
          <w:rFonts w:eastAsia="Batang"/>
          <w:lang w:bidi="ru-RU"/>
        </w:rPr>
        <w:tab/>
        <w:t>for</w:t>
      </w:r>
      <w:r w:rsidRPr="00E56005">
        <w:rPr>
          <w:rFonts w:eastAsia="Batang"/>
          <w:lang w:bidi="ru-RU"/>
        </w:rPr>
        <w:tab/>
        <w:t>25°</w:t>
      </w:r>
      <w:r w:rsidRPr="00E56005">
        <w:rPr>
          <w:rFonts w:eastAsia="Batang"/>
          <w:lang w:bidi="ru-RU"/>
        </w:rPr>
        <w:tab/>
      </w:r>
      <w:r w:rsidRPr="00E56005">
        <w:rPr>
          <w:rFonts w:eastAsia="Batang"/>
          <w:lang w:bidi="ru-RU"/>
        </w:rPr>
        <w:sym w:font="Symbol" w:char="F0A3"/>
      </w:r>
      <w:r w:rsidRPr="00E56005">
        <w:rPr>
          <w:rFonts w:eastAsia="Batang"/>
          <w:lang w:bidi="ru-RU"/>
        </w:rPr>
        <w:t xml:space="preserve"> </w:t>
      </w:r>
      <w:r w:rsidRPr="00E56005">
        <w:rPr>
          <w:rFonts w:eastAsia="Batang"/>
          <w:lang w:bidi="ru-RU"/>
        </w:rPr>
        <w:sym w:font="Symbol" w:char="F071"/>
      </w:r>
      <w:r w:rsidRPr="00E56005">
        <w:rPr>
          <w:rFonts w:eastAsia="Batang"/>
          <w:lang w:bidi="ru-RU"/>
        </w:rPr>
        <w:t xml:space="preserve"> &lt; 90°,</w:t>
      </w:r>
    </w:p>
    <w:p w14:paraId="11F24107" w14:textId="20D9D4FD" w:rsidR="00DF4638" w:rsidRPr="00E56005" w:rsidRDefault="00DF4638" w:rsidP="00DF4638">
      <w:pPr>
        <w:pStyle w:val="enumlev2"/>
        <w:rPr>
          <w:rFonts w:eastAsia="Batang"/>
          <w:lang w:eastAsia="ko-KR"/>
        </w:rPr>
      </w:pPr>
      <w:r w:rsidRPr="00E56005">
        <w:rPr>
          <w:rFonts w:eastAsia="Batang"/>
          <w:lang w:bidi="ru-RU"/>
        </w:rPr>
        <w:tab/>
        <w:t xml:space="preserve">where </w:t>
      </w:r>
      <w:r w:rsidRPr="00E56005">
        <w:rPr>
          <w:rFonts w:eastAsia="Batang"/>
          <w:lang w:bidi="ru-RU"/>
        </w:rPr>
        <w:sym w:font="Symbol" w:char="F071"/>
      </w:r>
      <w:r w:rsidRPr="00E56005">
        <w:rPr>
          <w:rFonts w:eastAsia="Batang"/>
          <w:lang w:bidi="ru-RU"/>
        </w:rPr>
        <w:t xml:space="preserve"> </w:t>
      </w:r>
      <w:r w:rsidR="00645AA2" w:rsidRPr="00E56005">
        <w:rPr>
          <w:rFonts w:eastAsia="Batang"/>
          <w:lang w:bidi="ru-RU"/>
        </w:rPr>
        <w:t>=</w:t>
      </w:r>
      <w:r w:rsidRPr="00E56005">
        <w:rPr>
          <w:rFonts w:eastAsia="Batang"/>
          <w:lang w:bidi="ru-RU"/>
        </w:rPr>
        <w:t xml:space="preserve"> elevation angle of amateur station antenna, </w:t>
      </w:r>
    </w:p>
    <w:p w14:paraId="15B571C7" w14:textId="02163B2F" w:rsidR="00DF4638" w:rsidRPr="00E56005" w:rsidRDefault="00DF4638" w:rsidP="00DF4638">
      <w:pPr>
        <w:pStyle w:val="enumlev2"/>
        <w:keepNext/>
        <w:rPr>
          <w:rFonts w:eastAsia="Batang"/>
          <w:lang w:bidi="ru-RU"/>
        </w:rPr>
      </w:pPr>
      <w:r w:rsidRPr="00E56005">
        <w:rPr>
          <w:rFonts w:eastAsia="Batang"/>
          <w:lang w:bidi="ru-RU"/>
        </w:rPr>
        <w:t>b)</w:t>
      </w:r>
      <w:r w:rsidRPr="00E56005">
        <w:rPr>
          <w:rFonts w:eastAsia="Batang"/>
          <w:lang w:bidi="ru-RU"/>
        </w:rPr>
        <w:tab/>
        <w:t>1 25</w:t>
      </w:r>
      <w:r w:rsidRPr="00E56005">
        <w:rPr>
          <w:rFonts w:eastAsia="SimSun"/>
          <w:lang w:eastAsia="zh-CN" w:bidi="ru-RU"/>
        </w:rPr>
        <w:t>5.76</w:t>
      </w:r>
      <w:r w:rsidRPr="00E56005">
        <w:rPr>
          <w:rFonts w:eastAsia="Batang"/>
          <w:lang w:bidi="ru-RU"/>
        </w:rPr>
        <w:t>-1 25</w:t>
      </w:r>
      <w:r w:rsidRPr="00E56005">
        <w:rPr>
          <w:rFonts w:eastAsia="SimSun"/>
          <w:lang w:eastAsia="zh-CN" w:bidi="ru-RU"/>
        </w:rPr>
        <w:t>6.52</w:t>
      </w:r>
      <w:r w:rsidRPr="00E56005">
        <w:rPr>
          <w:rFonts w:eastAsia="Batang"/>
          <w:lang w:bidi="ru-RU"/>
        </w:rPr>
        <w:t xml:space="preserve"> MHz: </w:t>
      </w:r>
      <w:r w:rsidRPr="00E56005">
        <w:rPr>
          <w:rFonts w:eastAsia="SimSun"/>
          <w:lang w:eastAsia="zh-CN" w:bidi="ru-RU"/>
        </w:rPr>
        <w:t xml:space="preserve">Maximum value of </w:t>
      </w:r>
      <w:proofErr w:type="spellStart"/>
      <w:r w:rsidRPr="00E56005">
        <w:rPr>
          <w:rFonts w:eastAsia="SimSun"/>
          <w:lang w:eastAsia="zh-CN" w:bidi="ru-RU"/>
        </w:rPr>
        <w:t>e.i.r.p</w:t>
      </w:r>
      <w:proofErr w:type="spellEnd"/>
      <w:r w:rsidRPr="00E56005">
        <w:rPr>
          <w:rFonts w:eastAsia="SimSun"/>
          <w:lang w:eastAsia="zh-CN" w:bidi="ru-RU"/>
        </w:rPr>
        <w:t>.</w:t>
      </w:r>
      <w:r w:rsidR="006A78C4" w:rsidRPr="00E56005">
        <w:rPr>
          <w:position w:val="6"/>
          <w:sz w:val="18"/>
        </w:rPr>
        <w:t>2</w:t>
      </w:r>
      <w:r w:rsidRPr="00E56005">
        <w:rPr>
          <w:rFonts w:eastAsia="SimSun"/>
          <w:lang w:eastAsia="zh-CN" w:bidi="ru-RU"/>
        </w:rPr>
        <w:t xml:space="preserve"> = 24 </w:t>
      </w:r>
      <w:proofErr w:type="spellStart"/>
      <w:r w:rsidRPr="00E56005">
        <w:rPr>
          <w:rFonts w:eastAsia="SimSun"/>
          <w:lang w:eastAsia="zh-CN" w:bidi="ru-RU"/>
        </w:rPr>
        <w:t>dBW</w:t>
      </w:r>
      <w:proofErr w:type="spellEnd"/>
      <w:r w:rsidRPr="00E56005">
        <w:rPr>
          <w:rFonts w:eastAsia="SimSun"/>
          <w:lang w:eastAsia="zh-CN" w:bidi="ru-RU"/>
        </w:rPr>
        <w:t>/150 kHz,</w:t>
      </w:r>
    </w:p>
    <w:p w14:paraId="6CDA96AA" w14:textId="26A2E293" w:rsidR="00DF4638" w:rsidRPr="00E56005" w:rsidRDefault="00DF4638" w:rsidP="00DF4638">
      <w:pPr>
        <w:pStyle w:val="enumlev3"/>
        <w:rPr>
          <w:rFonts w:eastAsia="Batang"/>
          <w:lang w:eastAsia="ko-KR"/>
        </w:rPr>
      </w:pPr>
      <w:r w:rsidRPr="00E56005">
        <w:rPr>
          <w:rFonts w:eastAsia="SimSun"/>
          <w:lang w:eastAsia="zh-CN" w:bidi="ru-RU"/>
        </w:rPr>
        <w:t>•</w:t>
      </w:r>
      <w:r w:rsidRPr="00E56005">
        <w:rPr>
          <w:rFonts w:eastAsia="SimSun"/>
          <w:lang w:eastAsia="zh-CN" w:bidi="ru-RU"/>
        </w:rPr>
        <w:tab/>
        <w:t xml:space="preserve">Out-of-band emissions below 1 255.76 MHz, should be as defined in </w:t>
      </w:r>
      <w:r>
        <w:rPr>
          <w:rFonts w:eastAsia="SimSun"/>
          <w:lang w:eastAsia="zh-CN" w:bidi="ru-RU"/>
        </w:rPr>
        <w:t>point</w:t>
      </w:r>
      <w:r w:rsidRPr="00E56005">
        <w:rPr>
          <w:rFonts w:eastAsia="SimSun"/>
          <w:lang w:eastAsia="zh-CN" w:bidi="ru-RU"/>
        </w:rPr>
        <w:t> 3a) above.</w:t>
      </w:r>
    </w:p>
    <w:p w14:paraId="18D2DA84" w14:textId="54948BC9" w:rsidR="00DF4638" w:rsidRPr="00E56005" w:rsidRDefault="00DF4638" w:rsidP="00DF4638">
      <w:pPr>
        <w:pStyle w:val="enumlev2"/>
        <w:rPr>
          <w:rFonts w:eastAsia="Batang"/>
          <w:lang w:bidi="ru-RU"/>
        </w:rPr>
      </w:pPr>
      <w:r w:rsidRPr="00E56005">
        <w:rPr>
          <w:rFonts w:eastAsia="Batang"/>
          <w:lang w:bidi="ru-RU"/>
        </w:rPr>
        <w:t xml:space="preserve">c) </w:t>
      </w:r>
      <w:r w:rsidRPr="00E56005">
        <w:rPr>
          <w:rFonts w:eastAsia="Batang"/>
          <w:lang w:bidi="ru-RU"/>
        </w:rPr>
        <w:tab/>
        <w:t>1 25</w:t>
      </w:r>
      <w:r w:rsidRPr="00E56005">
        <w:rPr>
          <w:rFonts w:eastAsia="SimSun"/>
          <w:lang w:eastAsia="zh-CN" w:bidi="ru-RU"/>
        </w:rPr>
        <w:t>6.52</w:t>
      </w:r>
      <w:r w:rsidRPr="00E56005">
        <w:rPr>
          <w:rFonts w:eastAsia="Batang"/>
          <w:lang w:bidi="ru-RU"/>
        </w:rPr>
        <w:t xml:space="preserve">-1 258 MHz: Maximum value of </w:t>
      </w:r>
      <w:proofErr w:type="spellStart"/>
      <w:r w:rsidRPr="00E56005">
        <w:rPr>
          <w:rFonts w:eastAsia="Batang"/>
          <w:lang w:bidi="ru-RU"/>
        </w:rPr>
        <w:t>e.i.r.p</w:t>
      </w:r>
      <w:proofErr w:type="spellEnd"/>
      <w:r w:rsidRPr="00E56005">
        <w:rPr>
          <w:rFonts w:eastAsia="Batang"/>
          <w:lang w:bidi="ru-RU"/>
        </w:rPr>
        <w:t>.</w:t>
      </w:r>
      <w:r w:rsidR="006A78C4" w:rsidRPr="00E56005">
        <w:rPr>
          <w:position w:val="6"/>
          <w:sz w:val="18"/>
        </w:rPr>
        <w:t>2</w:t>
      </w:r>
      <w:r w:rsidRPr="00E56005">
        <w:rPr>
          <w:rFonts w:eastAsia="Batang"/>
          <w:lang w:bidi="ru-RU"/>
        </w:rPr>
        <w:t xml:space="preserve"> = 2</w:t>
      </w:r>
      <w:r w:rsidRPr="00E56005">
        <w:rPr>
          <w:rFonts w:eastAsia="SimSun"/>
          <w:lang w:eastAsia="zh-CN" w:bidi="ru-RU"/>
        </w:rPr>
        <w:t>1</w:t>
      </w:r>
      <w:r w:rsidRPr="00E56005">
        <w:rPr>
          <w:rFonts w:eastAsia="Batang"/>
          <w:lang w:bidi="ru-RU"/>
        </w:rPr>
        <w:t> </w:t>
      </w:r>
      <w:proofErr w:type="spellStart"/>
      <w:r w:rsidRPr="00E56005">
        <w:rPr>
          <w:rFonts w:eastAsia="Batang"/>
          <w:lang w:bidi="ru-RU"/>
        </w:rPr>
        <w:t>dBW</w:t>
      </w:r>
      <w:proofErr w:type="spellEnd"/>
      <w:r w:rsidRPr="00E56005">
        <w:rPr>
          <w:rFonts w:eastAsia="Batang"/>
          <w:lang w:bidi="ru-RU"/>
        </w:rPr>
        <w:t xml:space="preserve">/150 kHz </w:t>
      </w:r>
    </w:p>
    <w:p w14:paraId="6C15BD03" w14:textId="293C615C" w:rsidR="00DF4638" w:rsidRPr="00E56005" w:rsidRDefault="00DF4638" w:rsidP="00DF4638">
      <w:pPr>
        <w:pStyle w:val="enumlev2"/>
      </w:pPr>
      <w:r w:rsidRPr="00E56005">
        <w:t>d)</w:t>
      </w:r>
      <w:r w:rsidRPr="00E56005">
        <w:tab/>
      </w:r>
      <w:r w:rsidRPr="00E56005">
        <w:rPr>
          <w:rFonts w:eastAsia="Batang"/>
          <w:lang w:bidi="ru-RU"/>
        </w:rPr>
        <w:t>1 258</w:t>
      </w:r>
      <w:r w:rsidRPr="00E56005">
        <w:t xml:space="preserve">-1 300 MHz: Maximum value of </w:t>
      </w:r>
      <w:proofErr w:type="spellStart"/>
      <w:r w:rsidRPr="00E56005">
        <w:t>e.i.r.p</w:t>
      </w:r>
      <w:proofErr w:type="spellEnd"/>
      <w:r w:rsidRPr="00E56005">
        <w:t>.</w:t>
      </w:r>
      <w:r w:rsidR="006A78C4" w:rsidRPr="00E56005">
        <w:rPr>
          <w:position w:val="6"/>
          <w:sz w:val="18"/>
        </w:rPr>
        <w:t>2</w:t>
      </w:r>
      <w:r w:rsidRPr="00E56005">
        <w:t xml:space="preserve"> = </w:t>
      </w:r>
      <w:r w:rsidRPr="00E56005">
        <w:rPr>
          <w:rFonts w:eastAsia="Batang"/>
          <w:lang w:bidi="ru-RU"/>
        </w:rPr>
        <w:t>−</w:t>
      </w:r>
      <w:r w:rsidRPr="00E56005">
        <w:t>17 </w:t>
      </w:r>
      <w:proofErr w:type="spellStart"/>
      <w:r w:rsidRPr="00E56005">
        <w:t>dBW</w:t>
      </w:r>
      <w:proofErr w:type="spellEnd"/>
      <w:r w:rsidRPr="00E56005">
        <w:t>/1 MHz</w:t>
      </w:r>
    </w:p>
    <w:p w14:paraId="19010BBC" w14:textId="6867B3F8" w:rsidR="00DF4638" w:rsidRPr="00E56005" w:rsidRDefault="00DF4638" w:rsidP="00DF4638">
      <w:pPr>
        <w:pStyle w:val="enumlev1"/>
      </w:pPr>
      <w:r w:rsidRPr="00E56005">
        <w:t>4)</w:t>
      </w:r>
      <w:r w:rsidRPr="00E56005">
        <w:tab/>
        <w:t>When amateur and amateur-satellite station antennas are installed at much higher antenna heights compared to the representative values contained in Report ITU</w:t>
      </w:r>
      <w:r w:rsidRPr="00E56005">
        <w:noBreakHyphen/>
        <w:t>R M.2513</w:t>
      </w:r>
      <w:r w:rsidR="00E87AB2">
        <w:noBreakHyphen/>
      </w:r>
      <w:r w:rsidRPr="00E56005">
        <w:t>0 (representative antenna height above ground is 25 m), further constraints or limitations in addition to those listed in the above points 1) to 3) may need to be considered by administrations, in particular for cases of the amateur station category referred to as “permanent installations” such as repeaters and propagation beacons.</w:t>
      </w:r>
    </w:p>
    <w:p w14:paraId="582BF7A6" w14:textId="77777777" w:rsidR="00DF4638" w:rsidRPr="00E56005" w:rsidRDefault="00DF4638" w:rsidP="00DF4638">
      <w:pPr>
        <w:pStyle w:val="enumlev1"/>
      </w:pPr>
      <w:r w:rsidRPr="00E56005">
        <w:t>5)</w:t>
      </w:r>
      <w:r w:rsidRPr="00E56005">
        <w:tab/>
        <w:t xml:space="preserve">In addition to point 2) above, in case of an increase of the current use of the frequency band 1 260-1 270 MHz by amateur satellites, Administrations may consider applying a limitation to the duty cycle of relevant amateur satellite operations. </w:t>
      </w:r>
    </w:p>
    <w:p w14:paraId="29C878AB" w14:textId="77777777" w:rsidR="00DF4638" w:rsidRPr="00E56005" w:rsidRDefault="00DF4638" w:rsidP="00DF4638">
      <w:pPr>
        <w:pStyle w:val="enumlev1"/>
        <w:keepNext/>
      </w:pPr>
      <w:r w:rsidRPr="00E56005">
        <w:t>6)</w:t>
      </w:r>
      <w:r w:rsidRPr="00E56005">
        <w:tab/>
        <w:t>In the frequency range 1 240 to 1 256 MHz:</w:t>
      </w:r>
    </w:p>
    <w:p w14:paraId="0AC9F80A" w14:textId="77777777" w:rsidR="00DF4638" w:rsidRPr="00E56005" w:rsidRDefault="00DF4638" w:rsidP="00DF4638">
      <w:pPr>
        <w:pStyle w:val="enumlev2"/>
      </w:pPr>
      <w:r w:rsidRPr="00E56005">
        <w:t>•</w:t>
      </w:r>
      <w:r w:rsidRPr="00E56005">
        <w:tab/>
        <w:t xml:space="preserve">Administrations should consider bilateral or multilateral agreements considering amateur transmissions near airports close to border areas in neighbouring countries which use aeronautical RNSS receivers in the frequency range above. </w:t>
      </w:r>
    </w:p>
    <w:p w14:paraId="013D48CA" w14:textId="7D05176B" w:rsidR="00DF4638" w:rsidRPr="00E56005" w:rsidRDefault="00DF4638" w:rsidP="00DF4638">
      <w:pPr>
        <w:pStyle w:val="enumlev2"/>
      </w:pPr>
      <w:r w:rsidRPr="00E56005">
        <w:t>•</w:t>
      </w:r>
      <w:r w:rsidRPr="00E56005">
        <w:tab/>
        <w:t xml:space="preserve">Administrations should be mindful about the location of amateur stations in order to avoid pointing the station </w:t>
      </w:r>
      <w:proofErr w:type="spellStart"/>
      <w:r w:rsidRPr="00E56005">
        <w:t>antenna</w:t>
      </w:r>
      <w:r>
        <w:t>main</w:t>
      </w:r>
      <w:proofErr w:type="spellEnd"/>
      <w:r>
        <w:t xml:space="preserve"> lobe</w:t>
      </w:r>
      <w:r w:rsidRPr="00E56005">
        <w:t xml:space="preserve"> in the direction of airports and close to airports in countries which use aeronautical RNSS receiver in the frequency range above.</w:t>
      </w:r>
    </w:p>
    <w:p w14:paraId="369BE6CB" w14:textId="77777777" w:rsidR="00466F38" w:rsidRDefault="00466F38" w:rsidP="00466F38"/>
    <w:p w14:paraId="7207AB7E" w14:textId="77777777" w:rsidR="00DC2B47" w:rsidRPr="00466F38" w:rsidRDefault="00DC2B47" w:rsidP="00466F38">
      <w:pPr>
        <w:pStyle w:val="Line"/>
      </w:pPr>
    </w:p>
    <w:sectPr w:rsidR="00DC2B47" w:rsidRPr="00466F38" w:rsidSect="006F545D">
      <w:headerReference w:type="even" r:id="rId26"/>
      <w:headerReference w:type="default" r:id="rId27"/>
      <w:footerReference w:type="default" r:id="rId28"/>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C074A" w14:textId="77777777" w:rsidR="00576F67" w:rsidRDefault="00576F67">
      <w:r>
        <w:separator/>
      </w:r>
    </w:p>
  </w:endnote>
  <w:endnote w:type="continuationSeparator" w:id="0">
    <w:p w14:paraId="0BAB6FAF" w14:textId="77777777" w:rsidR="00576F67" w:rsidRDefault="0057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DAC3" w14:textId="77777777" w:rsidR="00466F38" w:rsidRDefault="00466F38">
    <w:pPr>
      <w:pStyle w:val="Footer"/>
    </w:pPr>
    <w:r>
      <w:drawing>
        <wp:anchor distT="0" distB="0" distL="0" distR="0" simplePos="0" relativeHeight="251659264" behindDoc="0" locked="0" layoutInCell="1" allowOverlap="1" wp14:anchorId="215F67C5" wp14:editId="641CBB7E">
          <wp:simplePos x="0" y="0"/>
          <wp:positionH relativeFrom="page">
            <wp:posOffset>6346209</wp:posOffset>
          </wp:positionH>
          <wp:positionV relativeFrom="page">
            <wp:posOffset>9501505</wp:posOffset>
          </wp:positionV>
          <wp:extent cx="738000" cy="813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CA68" w14:textId="47015919" w:rsidR="006F545D" w:rsidRDefault="006F5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21CC6" w14:textId="77777777" w:rsidR="00576F67" w:rsidRDefault="00576F67">
      <w:r>
        <w:separator/>
      </w:r>
    </w:p>
  </w:footnote>
  <w:footnote w:type="continuationSeparator" w:id="0">
    <w:p w14:paraId="08975A8F" w14:textId="77777777" w:rsidR="00576F67" w:rsidRDefault="00576F67">
      <w:r>
        <w:continuationSeparator/>
      </w:r>
    </w:p>
  </w:footnote>
  <w:footnote w:id="1">
    <w:p w14:paraId="68EA1D5C" w14:textId="05AD32DA" w:rsidR="00B24377" w:rsidRPr="00B24377" w:rsidRDefault="00B24377">
      <w:pPr>
        <w:pStyle w:val="FootnoteText"/>
      </w:pPr>
      <w:r w:rsidRPr="00B24377">
        <w:rPr>
          <w:rStyle w:val="FootnoteReference"/>
        </w:rPr>
        <w:sym w:font="Symbol" w:char="F02A"/>
      </w:r>
      <w:r>
        <w:t xml:space="preserve"> </w:t>
      </w:r>
      <w:r>
        <w:tab/>
      </w:r>
      <w:r w:rsidR="006E0061">
        <w:t>This Recommendation should be brought to the attention of the International Amateur Radio Union (IARU).</w:t>
      </w:r>
    </w:p>
  </w:footnote>
  <w:footnote w:id="2">
    <w:p w14:paraId="4AC55F40" w14:textId="77777777" w:rsidR="00DF4638" w:rsidRDefault="00DF4638" w:rsidP="00DF4638">
      <w:pPr>
        <w:pStyle w:val="FootnoteText"/>
      </w:pPr>
      <w:r>
        <w:rPr>
          <w:rStyle w:val="FootnoteReference"/>
        </w:rPr>
        <w:t>2</w:t>
      </w:r>
      <w:r>
        <w:tab/>
        <w:t xml:space="preserve">Where </w:t>
      </w:r>
      <w:proofErr w:type="spellStart"/>
      <w:r>
        <w:rPr>
          <w:rFonts w:eastAsia="Batang"/>
          <w:lang w:bidi="ru-RU"/>
        </w:rPr>
        <w:t>e.i.r.p</w:t>
      </w:r>
      <w:proofErr w:type="spellEnd"/>
      <w:r>
        <w:rPr>
          <w:rFonts w:eastAsia="Batang"/>
          <w:lang w:bidi="ru-RU"/>
        </w:rPr>
        <w:t>. refers to the radiated power of the amateur station.</w:t>
      </w:r>
    </w:p>
  </w:footnote>
  <w:footnote w:id="3">
    <w:p w14:paraId="10E3E85E" w14:textId="77777777" w:rsidR="00DF4638" w:rsidRDefault="00DF4638" w:rsidP="00DF4638">
      <w:pPr>
        <w:pStyle w:val="FootnoteText"/>
      </w:pPr>
      <w:r>
        <w:rPr>
          <w:rStyle w:val="FootnoteReference"/>
        </w:rPr>
        <w:t>3</w:t>
      </w:r>
      <w:r>
        <w:tab/>
        <w:t>Where maximum power means either peak envelope power or carrier power (as appropriate) delivered by the transmitter to the amateur station antenna.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FEA2" w14:textId="77777777" w:rsidR="00466F38" w:rsidRDefault="00466F38">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466F38" w:rsidRPr="00A239D1" w14:paraId="242A4DE8" w14:textId="77777777" w:rsidTr="0019307B">
      <w:tc>
        <w:tcPr>
          <w:tcW w:w="4634" w:type="dxa"/>
          <w:vAlign w:val="center"/>
        </w:tcPr>
        <w:p w14:paraId="3C3D8926" w14:textId="77777777" w:rsidR="00466F38" w:rsidRPr="005B0371" w:rsidRDefault="00466F38"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1FC35897" w14:textId="77777777" w:rsidR="00466F38" w:rsidRPr="00260B24" w:rsidRDefault="00466F38"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466F38" w:rsidRPr="00A239D1" w14:paraId="41F4B585" w14:textId="77777777" w:rsidTr="0019307B">
      <w:tc>
        <w:tcPr>
          <w:tcW w:w="4634" w:type="dxa"/>
          <w:vAlign w:val="center"/>
        </w:tcPr>
        <w:p w14:paraId="05FB87D7" w14:textId="77777777" w:rsidR="00466F38" w:rsidRPr="00260B24" w:rsidRDefault="00466F38"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Recommendations</w:t>
          </w:r>
        </w:p>
      </w:tc>
      <w:tc>
        <w:tcPr>
          <w:tcW w:w="5998" w:type="dxa"/>
          <w:vAlign w:val="center"/>
        </w:tcPr>
        <w:p w14:paraId="1D96EC52" w14:textId="77777777" w:rsidR="00466F38" w:rsidRPr="00260B24" w:rsidRDefault="00466F38" w:rsidP="00744F8B">
          <w:pPr>
            <w:pStyle w:val="Header"/>
            <w:jc w:val="right"/>
            <w:rPr>
              <w:rFonts w:asciiTheme="minorBidi" w:hAnsiTheme="minorBidi"/>
              <w:spacing w:val="4"/>
              <w:szCs w:val="24"/>
            </w:rPr>
          </w:pPr>
          <w:r w:rsidRPr="00260B24">
            <w:rPr>
              <w:rFonts w:asciiTheme="minorBidi" w:hAnsiTheme="minorBidi"/>
              <w:spacing w:val="4"/>
              <w:szCs w:val="24"/>
            </w:rPr>
            <w:t>Radiocommunication Sector</w:t>
          </w:r>
        </w:p>
      </w:tc>
    </w:tr>
  </w:tbl>
  <w:p w14:paraId="63E47DD7" w14:textId="77777777" w:rsidR="00466F38" w:rsidRDefault="00466F38"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2A37716C" wp14:editId="2C070451">
          <wp:simplePos x="0" y="0"/>
          <wp:positionH relativeFrom="column">
            <wp:posOffset>-358302</wp:posOffset>
          </wp:positionH>
          <wp:positionV relativeFrom="paragraph">
            <wp:posOffset>-534670</wp:posOffset>
          </wp:positionV>
          <wp:extent cx="1945758" cy="41461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61312" behindDoc="0" locked="0" layoutInCell="1" allowOverlap="1" wp14:anchorId="243D673A" wp14:editId="62ADE0B4">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80C7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4FBC88BB" w14:textId="77777777" w:rsidR="00466F38" w:rsidRDefault="00466F38" w:rsidP="004A6FEB">
    <w:pPr>
      <w:pStyle w:val="Header"/>
      <w:ind w:right="360"/>
      <w:jc w:val="both"/>
    </w:pPr>
    <w:r>
      <w:rPr>
        <w:noProof/>
      </w:rPr>
      <mc:AlternateContent>
        <mc:Choice Requires="wpg">
          <w:drawing>
            <wp:anchor distT="0" distB="0" distL="114300" distR="114300" simplePos="0" relativeHeight="251662336" behindDoc="0" locked="0" layoutInCell="1" allowOverlap="1" wp14:anchorId="439241EA" wp14:editId="5CF796C2">
              <wp:simplePos x="0" y="0"/>
              <wp:positionH relativeFrom="page">
                <wp:posOffset>0</wp:posOffset>
              </wp:positionH>
              <wp:positionV relativeFrom="page">
                <wp:posOffset>1196340</wp:posOffset>
              </wp:positionV>
              <wp:extent cx="7560310" cy="236220"/>
              <wp:effectExtent l="9525" t="5715" r="12065" b="5715"/>
              <wp:wrapNone/>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C742F1" id="docshapegroup6" o:spid="_x0000_s1026" style="position:absolute;margin-left:0;margin-top:94.2pt;width:595.3pt;height:18.6pt;z-index:251662336;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D829" w14:textId="749A827B" w:rsidR="00466F38" w:rsidRPr="00D72623" w:rsidRDefault="00466F38"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3E0E10">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3E0E10">
      <w:rPr>
        <w:b/>
        <w:bCs/>
        <w:noProof/>
        <w:lang w:val="en-US"/>
      </w:rPr>
      <w:t>ITU-R  M.2164-0</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C64C" w14:textId="42BED7DC" w:rsidR="00466F38" w:rsidRDefault="00466F38">
    <w:pPr>
      <w:pStyle w:val="Header"/>
    </w:pPr>
    <w:r>
      <w:tab/>
    </w:r>
    <w:r>
      <w:rPr>
        <w:b/>
        <w:bCs/>
      </w:rPr>
      <w:fldChar w:fldCharType="begin"/>
    </w:r>
    <w:r>
      <w:rPr>
        <w:b/>
        <w:bCs/>
      </w:rPr>
      <w:instrText xml:space="preserve"> DOCPROPERTY "Header" \* MERGEFORMAT </w:instrText>
    </w:r>
    <w:r>
      <w:rPr>
        <w:b/>
        <w:bCs/>
      </w:rPr>
      <w:fldChar w:fldCharType="separate"/>
    </w:r>
    <w:r w:rsidR="003E0E10">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3E0E10">
      <w:rPr>
        <w:b/>
        <w:bCs/>
        <w:noProof/>
      </w:rPr>
      <w:t>ITU-R  M.2164-0</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A7085" w14:textId="4A58D158"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3E0E10" w:rsidRPr="003E0E10">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3E0E10">
      <w:rPr>
        <w:b/>
        <w:bCs/>
        <w:noProof/>
        <w:lang w:val="en-US"/>
      </w:rPr>
      <w:t>ITU-R  M.2164-0</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D6F6" w14:textId="7F362236" w:rsidR="00607D68" w:rsidRDefault="00607D68">
    <w:pPr>
      <w:pStyle w:val="Header"/>
    </w:pPr>
    <w:r>
      <w:tab/>
    </w:r>
    <w:fldSimple w:instr=" DOCPROPERTY &quot;Header&quot; \* MERGEFORMAT ">
      <w:r w:rsidR="003E0E10" w:rsidRPr="003E0E10">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3E0E10">
      <w:rPr>
        <w:b/>
        <w:bCs/>
        <w:noProof/>
      </w:rPr>
      <w:t>ITU-R  M.2164-0</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F38"/>
    <w:rsid w:val="00005FAB"/>
    <w:rsid w:val="000107F6"/>
    <w:rsid w:val="00014860"/>
    <w:rsid w:val="0004661E"/>
    <w:rsid w:val="001134C4"/>
    <w:rsid w:val="00164B71"/>
    <w:rsid w:val="00175792"/>
    <w:rsid w:val="001947EA"/>
    <w:rsid w:val="001A622D"/>
    <w:rsid w:val="001E431A"/>
    <w:rsid w:val="001E4462"/>
    <w:rsid w:val="0021673F"/>
    <w:rsid w:val="00217EBF"/>
    <w:rsid w:val="0022627E"/>
    <w:rsid w:val="00241E33"/>
    <w:rsid w:val="00242AEE"/>
    <w:rsid w:val="00276D26"/>
    <w:rsid w:val="00293FD9"/>
    <w:rsid w:val="002C24E4"/>
    <w:rsid w:val="002D76C4"/>
    <w:rsid w:val="002F15A8"/>
    <w:rsid w:val="002F53C7"/>
    <w:rsid w:val="00310A26"/>
    <w:rsid w:val="00352B70"/>
    <w:rsid w:val="003530B3"/>
    <w:rsid w:val="0037739D"/>
    <w:rsid w:val="00395AFF"/>
    <w:rsid w:val="003E0E10"/>
    <w:rsid w:val="00426C5D"/>
    <w:rsid w:val="00435B8E"/>
    <w:rsid w:val="00443CBB"/>
    <w:rsid w:val="004649AA"/>
    <w:rsid w:val="00466F38"/>
    <w:rsid w:val="0052529D"/>
    <w:rsid w:val="00556367"/>
    <w:rsid w:val="0056798B"/>
    <w:rsid w:val="00576F67"/>
    <w:rsid w:val="005B1017"/>
    <w:rsid w:val="005B3D68"/>
    <w:rsid w:val="005C66C7"/>
    <w:rsid w:val="005D096C"/>
    <w:rsid w:val="00601A4F"/>
    <w:rsid w:val="00606497"/>
    <w:rsid w:val="00607D68"/>
    <w:rsid w:val="00635CFE"/>
    <w:rsid w:val="00645AA2"/>
    <w:rsid w:val="006A78C4"/>
    <w:rsid w:val="006E0061"/>
    <w:rsid w:val="006F545D"/>
    <w:rsid w:val="00707792"/>
    <w:rsid w:val="0071361E"/>
    <w:rsid w:val="0072735C"/>
    <w:rsid w:val="007300A1"/>
    <w:rsid w:val="007468DA"/>
    <w:rsid w:val="0075340E"/>
    <w:rsid w:val="0077623B"/>
    <w:rsid w:val="0079658D"/>
    <w:rsid w:val="007A3811"/>
    <w:rsid w:val="007D48C7"/>
    <w:rsid w:val="007F0FEB"/>
    <w:rsid w:val="00802F92"/>
    <w:rsid w:val="00877307"/>
    <w:rsid w:val="008827BA"/>
    <w:rsid w:val="00893B79"/>
    <w:rsid w:val="008959A7"/>
    <w:rsid w:val="00896CBD"/>
    <w:rsid w:val="008D500D"/>
    <w:rsid w:val="008D7DA2"/>
    <w:rsid w:val="009E00A8"/>
    <w:rsid w:val="009E5F75"/>
    <w:rsid w:val="00A1344C"/>
    <w:rsid w:val="00A539FB"/>
    <w:rsid w:val="00A57C79"/>
    <w:rsid w:val="00A6617B"/>
    <w:rsid w:val="00A9356B"/>
    <w:rsid w:val="00AB0DC8"/>
    <w:rsid w:val="00AB71D8"/>
    <w:rsid w:val="00B24377"/>
    <w:rsid w:val="00B33BED"/>
    <w:rsid w:val="00B37BA3"/>
    <w:rsid w:val="00B44E24"/>
    <w:rsid w:val="00B4708B"/>
    <w:rsid w:val="00B62F72"/>
    <w:rsid w:val="00BC696A"/>
    <w:rsid w:val="00BD4B82"/>
    <w:rsid w:val="00C04D8D"/>
    <w:rsid w:val="00CB104C"/>
    <w:rsid w:val="00D018ED"/>
    <w:rsid w:val="00D15B1F"/>
    <w:rsid w:val="00D52996"/>
    <w:rsid w:val="00D90937"/>
    <w:rsid w:val="00DA24D0"/>
    <w:rsid w:val="00DC14BC"/>
    <w:rsid w:val="00DC2B47"/>
    <w:rsid w:val="00DD7080"/>
    <w:rsid w:val="00DF4176"/>
    <w:rsid w:val="00DF4638"/>
    <w:rsid w:val="00E044F9"/>
    <w:rsid w:val="00E17A7E"/>
    <w:rsid w:val="00E41377"/>
    <w:rsid w:val="00E87AB2"/>
    <w:rsid w:val="00EA7027"/>
    <w:rsid w:val="00F01A15"/>
    <w:rsid w:val="00F72301"/>
    <w:rsid w:val="00FA4E53"/>
    <w:rsid w:val="00FD1DF8"/>
    <w:rsid w:val="00FD347A"/>
    <w:rsid w:val="00FE4F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3626804"/>
  <w15:docId w15:val="{C7A9BF37-187E-48B0-8EB6-D528DE5A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B47"/>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link w:val="HeadingbChar"/>
    <w:qFormat/>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qFormat/>
    <w:pPr>
      <w:ind w:left="1191" w:hanging="397"/>
    </w:pPr>
  </w:style>
  <w:style w:type="paragraph" w:customStyle="1" w:styleId="enumlev3">
    <w:name w:val="enumlev3"/>
    <w:basedOn w:val="enumlev2"/>
    <w:qFormat/>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link w:val="AnnexNoTitleChar"/>
    <w:qFormat/>
    <w:rsid w:val="006F545D"/>
    <w:pPr>
      <w:keepNext/>
      <w:keepLines/>
      <w:spacing w:before="480" w:after="80"/>
      <w:jc w:val="center"/>
      <w:outlineLvl w:val="0"/>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rsid w:val="006F545D"/>
    <w:pPr>
      <w:keepNext/>
      <w:keepLines/>
      <w:tabs>
        <w:tab w:val="clear" w:pos="794"/>
        <w:tab w:val="clear" w:pos="1191"/>
        <w:tab w:val="clear" w:pos="1588"/>
        <w:tab w:val="clear" w:pos="1985"/>
      </w:tabs>
      <w:spacing w:before="280" w:after="40"/>
      <w:jc w:val="center"/>
      <w:outlineLvl w:val="0"/>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link w:val="FigureChar"/>
    <w:rsid w:val="00A6617B"/>
    <w:pPr>
      <w:keepNext w:val="0"/>
      <w:spacing w:before="0" w:after="240"/>
    </w:pPr>
  </w:style>
  <w:style w:type="character" w:customStyle="1" w:styleId="Heading1Char">
    <w:name w:val="Heading 1 Char"/>
    <w:basedOn w:val="DefaultParagraphFont"/>
    <w:link w:val="Heading1"/>
    <w:rsid w:val="00466F38"/>
    <w:rPr>
      <w:b/>
      <w:sz w:val="24"/>
      <w:lang w:val="en-GB" w:eastAsia="en-US"/>
    </w:rPr>
  </w:style>
  <w:style w:type="character" w:customStyle="1" w:styleId="HeaderChar">
    <w:name w:val="Header Char"/>
    <w:basedOn w:val="DefaultParagraphFont"/>
    <w:link w:val="Header"/>
    <w:uiPriority w:val="99"/>
    <w:rsid w:val="00466F38"/>
    <w:rPr>
      <w:sz w:val="24"/>
      <w:lang w:val="en-GB" w:eastAsia="en-US"/>
    </w:rPr>
  </w:style>
  <w:style w:type="character" w:customStyle="1" w:styleId="FooterChar">
    <w:name w:val="Footer Char"/>
    <w:basedOn w:val="DefaultParagraphFont"/>
    <w:link w:val="Footer"/>
    <w:rsid w:val="00466F38"/>
    <w:rPr>
      <w:noProof/>
      <w:sz w:val="18"/>
      <w:lang w:val="en-GB" w:eastAsia="en-US"/>
    </w:rPr>
  </w:style>
  <w:style w:type="character" w:styleId="Hyperlink">
    <w:name w:val="Hyperlink"/>
    <w:aliases w:val="CEO_Hyperlink,超级链接,ECC Hyperlink"/>
    <w:basedOn w:val="DefaultParagraphFont"/>
    <w:uiPriority w:val="99"/>
    <w:qFormat/>
    <w:rsid w:val="00466F38"/>
    <w:rPr>
      <w:color w:val="0000FF"/>
      <w:u w:val="single"/>
    </w:rPr>
  </w:style>
  <w:style w:type="table" w:styleId="TableGrid">
    <w:name w:val="Table Grid"/>
    <w:basedOn w:val="TableNormal"/>
    <w:uiPriority w:val="39"/>
    <w:rsid w:val="00466F38"/>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466F38"/>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466F38"/>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466F38"/>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466F38"/>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466F38"/>
    <w:rPr>
      <w:sz w:val="22"/>
      <w:lang w:val="en-GB" w:eastAsia="en-US"/>
    </w:rPr>
  </w:style>
  <w:style w:type="paragraph" w:customStyle="1" w:styleId="Section2">
    <w:name w:val="Section_2"/>
    <w:basedOn w:val="Normal"/>
    <w:rsid w:val="00466F38"/>
    <w:pPr>
      <w:tabs>
        <w:tab w:val="clear" w:pos="794"/>
        <w:tab w:val="clear" w:pos="1191"/>
        <w:tab w:val="clear" w:pos="1588"/>
        <w:tab w:val="clear" w:pos="1985"/>
        <w:tab w:val="center" w:pos="4820"/>
      </w:tabs>
      <w:spacing w:before="360"/>
      <w:jc w:val="center"/>
    </w:pPr>
    <w:rPr>
      <w:i/>
    </w:rPr>
  </w:style>
  <w:style w:type="paragraph" w:customStyle="1" w:styleId="Section3">
    <w:name w:val="Section_3"/>
    <w:basedOn w:val="Normal"/>
    <w:rsid w:val="00466F38"/>
    <w:pPr>
      <w:tabs>
        <w:tab w:val="clear" w:pos="794"/>
        <w:tab w:val="clear" w:pos="1191"/>
        <w:tab w:val="clear" w:pos="1588"/>
        <w:tab w:val="clear" w:pos="1985"/>
        <w:tab w:val="center" w:pos="4820"/>
      </w:tabs>
      <w:spacing w:before="360"/>
      <w:jc w:val="center"/>
    </w:pPr>
  </w:style>
  <w:style w:type="character" w:customStyle="1" w:styleId="AnnexNoTitleChar">
    <w:name w:val="Annex_NoTitle Char"/>
    <w:basedOn w:val="DefaultParagraphFont"/>
    <w:link w:val="AnnexNoTitle"/>
    <w:locked/>
    <w:rsid w:val="006F545D"/>
    <w:rPr>
      <w:b/>
      <w:sz w:val="28"/>
      <w:lang w:val="en-GB" w:eastAsia="en-US"/>
    </w:rPr>
  </w:style>
  <w:style w:type="paragraph" w:customStyle="1" w:styleId="Title3">
    <w:name w:val="Title 3"/>
    <w:basedOn w:val="Normal"/>
    <w:next w:val="Normal"/>
    <w:rsid w:val="00D52996"/>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Batang"/>
      <w:sz w:val="28"/>
      <w:lang w:val="en-US"/>
    </w:rPr>
  </w:style>
  <w:style w:type="paragraph" w:customStyle="1" w:styleId="AnnexNo">
    <w:name w:val="Annex_No"/>
    <w:basedOn w:val="Normal"/>
    <w:next w:val="Normal"/>
    <w:link w:val="AnnexNoChar"/>
    <w:rsid w:val="00D52996"/>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lang w:val="en-US"/>
    </w:rPr>
  </w:style>
  <w:style w:type="paragraph" w:customStyle="1" w:styleId="Normalaftertitle0">
    <w:name w:val="Normal after title"/>
    <w:basedOn w:val="Normal"/>
    <w:next w:val="Normal"/>
    <w:rsid w:val="00D52996"/>
    <w:pPr>
      <w:tabs>
        <w:tab w:val="clear" w:pos="794"/>
        <w:tab w:val="clear" w:pos="1191"/>
        <w:tab w:val="clear" w:pos="1588"/>
        <w:tab w:val="clear" w:pos="1985"/>
        <w:tab w:val="left" w:pos="1134"/>
        <w:tab w:val="left" w:pos="1871"/>
        <w:tab w:val="left" w:pos="2268"/>
      </w:tabs>
      <w:spacing w:before="280"/>
      <w:jc w:val="left"/>
    </w:pPr>
    <w:rPr>
      <w:rFonts w:eastAsia="Batang"/>
      <w:lang w:val="en-US"/>
    </w:rPr>
  </w:style>
  <w:style w:type="character" w:customStyle="1" w:styleId="FiguretitleChar">
    <w:name w:val="Figure_title Char"/>
    <w:basedOn w:val="DefaultParagraphFont"/>
    <w:link w:val="Figuretitle"/>
    <w:rsid w:val="00D52996"/>
    <w:rPr>
      <w:rFonts w:ascii="Times New Roman Bold" w:hAnsi="Times New Roman Bold"/>
      <w:b/>
      <w:sz w:val="18"/>
      <w:lang w:val="en-GB" w:eastAsia="en-US"/>
    </w:rPr>
  </w:style>
  <w:style w:type="character" w:customStyle="1" w:styleId="HeadingbChar">
    <w:name w:val="Heading_b Char"/>
    <w:basedOn w:val="DefaultParagraphFont"/>
    <w:link w:val="Headingb"/>
    <w:qFormat/>
    <w:locked/>
    <w:rsid w:val="00D52996"/>
    <w:rPr>
      <w:b/>
      <w:sz w:val="24"/>
      <w:lang w:val="en-GB" w:eastAsia="en-US"/>
    </w:rPr>
  </w:style>
  <w:style w:type="character" w:customStyle="1" w:styleId="AnnexNoChar">
    <w:name w:val="Annex_No Char"/>
    <w:link w:val="AnnexNo"/>
    <w:locked/>
    <w:rsid w:val="00D52996"/>
    <w:rPr>
      <w:rFonts w:eastAsia="Batang"/>
      <w:caps/>
      <w:sz w:val="28"/>
      <w:lang w:eastAsia="en-US"/>
    </w:rPr>
  </w:style>
  <w:style w:type="character" w:customStyle="1" w:styleId="enumlev1Char">
    <w:name w:val="enumlev1 Char"/>
    <w:basedOn w:val="DefaultParagraphFont"/>
    <w:link w:val="enumlev1"/>
    <w:qFormat/>
    <w:locked/>
    <w:rsid w:val="00D52996"/>
    <w:rPr>
      <w:sz w:val="24"/>
      <w:lang w:val="en-GB" w:eastAsia="en-US"/>
    </w:rPr>
  </w:style>
  <w:style w:type="character" w:customStyle="1" w:styleId="FigureNoChar">
    <w:name w:val="Figure_No Char"/>
    <w:basedOn w:val="DefaultParagraphFont"/>
    <w:link w:val="FigureNo"/>
    <w:rsid w:val="00D52996"/>
    <w:rPr>
      <w:caps/>
      <w:sz w:val="18"/>
      <w:lang w:val="en-GB" w:eastAsia="en-US"/>
    </w:rPr>
  </w:style>
  <w:style w:type="character" w:customStyle="1" w:styleId="FigureChar">
    <w:name w:val="Figure Char"/>
    <w:basedOn w:val="DefaultParagraphFont"/>
    <w:link w:val="Figure"/>
    <w:locked/>
    <w:rsid w:val="00D52996"/>
    <w:rPr>
      <w:caps/>
      <w:sz w:val="18"/>
      <w:lang w:val="en-GB" w:eastAsia="en-US"/>
    </w:rPr>
  </w:style>
  <w:style w:type="paragraph" w:customStyle="1" w:styleId="Annextitle">
    <w:name w:val="Annex_title"/>
    <w:basedOn w:val="Normal"/>
    <w:next w:val="Normal"/>
    <w:rsid w:val="00DF4638"/>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Reasons">
    <w:name w:val="Reasons"/>
    <w:basedOn w:val="Normal"/>
    <w:rsid w:val="00DF4638"/>
    <w:pPr>
      <w:tabs>
        <w:tab w:val="clear" w:pos="794"/>
        <w:tab w:val="clear" w:pos="1191"/>
        <w:tab w:val="left" w:pos="1134"/>
      </w:tabs>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www.itu.int/pub/R-REP-M.2458"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https://www.itu.int/pub/R-HDB-52" TargetMode="Externa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s://www.itu.int/rec/R-REC-M.2030/en" TargetMode="External"/><Relationship Id="rId25" Type="http://schemas.openxmlformats.org/officeDocument/2006/relationships/hyperlink" Target="https://www.itu.int/rec/R-REC-M.1902/en" TargetMode="External"/><Relationship Id="rId2" Type="http://schemas.openxmlformats.org/officeDocument/2006/relationships/styles" Target="styles.xml"/><Relationship Id="rId16" Type="http://schemas.openxmlformats.org/officeDocument/2006/relationships/hyperlink" Target="https://www.itu.int/rec/R-REC-M.1902/en" TargetMode="External"/><Relationship Id="rId20" Type="http://schemas.openxmlformats.org/officeDocument/2006/relationships/hyperlink" Target="https://www.itu.int/pub/R-REP-M.253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publ/R-REC/en" TargetMode="External"/><Relationship Id="rId24" Type="http://schemas.openxmlformats.org/officeDocument/2006/relationships/hyperlink" Target="https://www.itu.int/rec/R-REC-M.1902/en" TargetMode="External"/><Relationship Id="rId5" Type="http://schemas.openxmlformats.org/officeDocument/2006/relationships/footnotes" Target="footnotes.xml"/><Relationship Id="rId15" Type="http://schemas.openxmlformats.org/officeDocument/2006/relationships/hyperlink" Target="https://www.itu.int/rec/R-REC-M.1787/en" TargetMode="External"/><Relationship Id="rId23" Type="http://schemas.openxmlformats.org/officeDocument/2006/relationships/hyperlink" Target="https://www.itu.int/pub/R-REP-M/publications.aspx?lang=en&amp;parent=R-REP-M.2513" TargetMode="External"/><Relationship Id="rId28" Type="http://schemas.openxmlformats.org/officeDocument/2006/relationships/footer" Target="footer2.xml"/><Relationship Id="rId10" Type="http://schemas.openxmlformats.org/officeDocument/2006/relationships/hyperlink" Target="http://www.itu.int/ITU-R/go/patents/en" TargetMode="External"/><Relationship Id="rId19" Type="http://schemas.openxmlformats.org/officeDocument/2006/relationships/hyperlink" Target="https://www.itu.int/pub/R-REP-M/publications.aspx?lang=en&amp;parent=R-REP-M.251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tu.int/rec/R-REC-M.1732/en" TargetMode="External"/><Relationship Id="rId22" Type="http://schemas.openxmlformats.org/officeDocument/2006/relationships/hyperlink" Target="https://www.itu.int/pub/R-REP-M.2532" TargetMode="External"/><Relationship Id="rId27" Type="http://schemas.openxmlformats.org/officeDocument/2006/relationships/header" Target="header6.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02331-3F30-42BB-B531-192BAA8BA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14</TotalTime>
  <Pages>6</Pages>
  <Words>1868</Words>
  <Characters>11395</Characters>
  <Application>Microsoft Office Word</Application>
  <DocSecurity>0</DocSecurity>
  <Lines>392</Lines>
  <Paragraphs>99</Paragraphs>
  <ScaleCrop>false</ScaleCrop>
  <HeadingPairs>
    <vt:vector size="2" baseType="variant">
      <vt:variant>
        <vt:lpstr>Title</vt:lpstr>
      </vt:variant>
      <vt:variant>
        <vt:i4>1</vt:i4>
      </vt:variant>
    </vt:vector>
  </HeadingPairs>
  <TitlesOfParts>
    <vt:vector size="1" baseType="lpstr">
      <vt:lpstr>Recommendation ITU-R M.1171-1 (11/2023) - Radiotelephony procedures for routine calls in the maritime mobile service</vt:lpstr>
    </vt:vector>
  </TitlesOfParts>
  <Manager/>
  <Company>ITU</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M.2164-0 (11/2023) - Guidance on technical and operational measures for the use of the frequency band 1 240-1 300 MHz by the amateur and amateur-satellite service in order to protect the radionavigation-satellite service (space-to-Earth)</dc:title>
  <dc:subject/>
  <dc:creator>Gachet, Christelle</dc:creator>
  <cp:keywords/>
  <dc:description/>
  <cp:lastModifiedBy>Gachet, Christelle</cp:lastModifiedBy>
  <cp:revision>9</cp:revision>
  <cp:lastPrinted>2023-11-21T12:25:00Z</cp:lastPrinted>
  <dcterms:created xsi:type="dcterms:W3CDTF">2023-11-21T12:05:00Z</dcterms:created>
  <dcterms:modified xsi:type="dcterms:W3CDTF">2023-11-21T12:27:00Z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