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C20A" w14:textId="77777777" w:rsidR="00FE79FE" w:rsidRDefault="00FE79FE"/>
    <w:p w14:paraId="0850B5A7" w14:textId="77777777" w:rsidR="00013002" w:rsidRDefault="00013002" w:rsidP="00DE5556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1B558E1A" w14:textId="6F78F21D" w:rsidR="00D5024B" w:rsidRPr="00F111D6" w:rsidRDefault="00D5024B" w:rsidP="00D5024B">
      <w:pPr>
        <w:pStyle w:val="CoverNumber"/>
        <w:rPr>
          <w:lang w:val="es-ES"/>
        </w:rPr>
      </w:pPr>
      <w:r w:rsidRPr="00F111D6">
        <w:rPr>
          <w:lang w:val="es-ES"/>
        </w:rPr>
        <w:t>Recom</w:t>
      </w:r>
      <w:r w:rsidR="0069322D" w:rsidRPr="00F111D6">
        <w:rPr>
          <w:lang w:val="es-ES"/>
        </w:rPr>
        <w:t>e</w:t>
      </w:r>
      <w:r w:rsidRPr="00F111D6">
        <w:rPr>
          <w:lang w:val="es-ES"/>
        </w:rPr>
        <w:t>nda</w:t>
      </w:r>
      <w:r w:rsidR="0069322D" w:rsidRPr="00F111D6">
        <w:rPr>
          <w:lang w:val="es-ES"/>
        </w:rPr>
        <w:t>c</w:t>
      </w:r>
      <w:r w:rsidRPr="00F111D6">
        <w:rPr>
          <w:lang w:val="es-ES"/>
        </w:rPr>
        <w:t>i</w:t>
      </w:r>
      <w:r w:rsidR="0069322D" w:rsidRPr="00F111D6">
        <w:rPr>
          <w:lang w:val="es-ES"/>
        </w:rPr>
        <w:t>ó</w:t>
      </w:r>
      <w:r w:rsidRPr="00F111D6">
        <w:rPr>
          <w:lang w:val="es-ES"/>
        </w:rPr>
        <w:t xml:space="preserve">n </w:t>
      </w:r>
      <w:r w:rsidR="007624B1" w:rsidRPr="00F111D6">
        <w:rPr>
          <w:lang w:val="es-ES"/>
        </w:rPr>
        <w:t>U</w:t>
      </w:r>
      <w:r w:rsidRPr="00F111D6">
        <w:rPr>
          <w:lang w:val="es-ES"/>
        </w:rPr>
        <w:t xml:space="preserve">IT-R </w:t>
      </w:r>
      <w:r w:rsidR="00EC4D79">
        <w:rPr>
          <w:lang w:val="es-ES"/>
        </w:rPr>
        <w:t>M</w:t>
      </w:r>
      <w:r w:rsidRPr="00F111D6">
        <w:rPr>
          <w:lang w:val="es-ES"/>
        </w:rPr>
        <w:t>.</w:t>
      </w:r>
      <w:r w:rsidR="008D38EC" w:rsidRPr="008D38EC">
        <w:rPr>
          <w:lang w:val="es-ES"/>
        </w:rPr>
        <w:t>2162-0</w:t>
      </w:r>
    </w:p>
    <w:p w14:paraId="3C394B65" w14:textId="090A570A" w:rsidR="00D5024B" w:rsidRPr="00F111D6" w:rsidRDefault="00D5024B" w:rsidP="00D5024B">
      <w:pPr>
        <w:pStyle w:val="CoverDate"/>
        <w:rPr>
          <w:lang w:val="es-ES"/>
        </w:rPr>
      </w:pPr>
      <w:r w:rsidRPr="00F111D6">
        <w:rPr>
          <w:lang w:val="es-ES"/>
        </w:rPr>
        <w:t>(</w:t>
      </w:r>
      <w:r w:rsidR="008D38EC" w:rsidRPr="008D38EC">
        <w:rPr>
          <w:lang w:val="es-ES"/>
        </w:rPr>
        <w:t>12/2023</w:t>
      </w:r>
      <w:r w:rsidRPr="00F111D6">
        <w:rPr>
          <w:lang w:val="es-ES"/>
        </w:rPr>
        <w:t>)</w:t>
      </w:r>
    </w:p>
    <w:p w14:paraId="7D0E3442" w14:textId="77777777" w:rsidR="00D5024B" w:rsidRPr="00F111D6" w:rsidRDefault="00A25EE2" w:rsidP="00D5024B">
      <w:pPr>
        <w:pStyle w:val="CoverSeries"/>
        <w:rPr>
          <w:lang w:val="es-ES"/>
        </w:rPr>
      </w:pPr>
      <w:r w:rsidRPr="00F111D6">
        <w:rPr>
          <w:lang w:val="es-ES"/>
        </w:rPr>
        <w:t>S</w:t>
      </w:r>
      <w:r w:rsidR="0069322D" w:rsidRPr="00F111D6">
        <w:rPr>
          <w:lang w:val="es-ES"/>
        </w:rPr>
        <w:t>e</w:t>
      </w:r>
      <w:r w:rsidRPr="00F111D6">
        <w:rPr>
          <w:lang w:val="es-ES"/>
        </w:rPr>
        <w:t xml:space="preserve">rie </w:t>
      </w:r>
      <w:r w:rsidR="00EC4D79">
        <w:rPr>
          <w:lang w:val="es-ES"/>
        </w:rPr>
        <w:t>M</w:t>
      </w:r>
      <w:r w:rsidR="00D5024B" w:rsidRPr="00F111D6">
        <w:rPr>
          <w:lang w:val="es-ES"/>
        </w:rPr>
        <w:t xml:space="preserve">: </w:t>
      </w:r>
      <w:r w:rsidR="00EC4D79" w:rsidRPr="00EC4D79">
        <w:rPr>
          <w:lang w:val="es-ES"/>
        </w:rPr>
        <w:t>Servicios móviles, de radiodeterminación, de aficionados y otros servicios por satélite conexos</w:t>
      </w:r>
    </w:p>
    <w:p w14:paraId="24F7CEA0" w14:textId="33A85845" w:rsidR="00D5024B" w:rsidRPr="00F111D6" w:rsidRDefault="008D38EC" w:rsidP="00D5024B">
      <w:pPr>
        <w:pStyle w:val="CoverTitle"/>
        <w:rPr>
          <w:lang w:val="es-ES"/>
        </w:rPr>
      </w:pPr>
      <w:r w:rsidRPr="008D38EC">
        <w:rPr>
          <w:lang w:val="es-ES"/>
        </w:rPr>
        <w:t>Características técnicas y operativas de los sistemas de radiolocalización que funcionan en la gama de frecuencias 92</w:t>
      </w:r>
      <w:r w:rsidR="00D36F09">
        <w:rPr>
          <w:lang w:val="es-ES"/>
        </w:rPr>
        <w:noBreakHyphen/>
      </w:r>
      <w:r w:rsidRPr="008D38EC">
        <w:rPr>
          <w:lang w:val="es-ES"/>
        </w:rPr>
        <w:t>100</w:t>
      </w:r>
      <w:r w:rsidR="00D36F09">
        <w:rPr>
          <w:lang w:val="es-ES"/>
        </w:rPr>
        <w:t> </w:t>
      </w:r>
      <w:r w:rsidRPr="008D38EC">
        <w:rPr>
          <w:lang w:val="es-ES"/>
        </w:rPr>
        <w:t>GHz y de los sistemas de radionavegación que funcionan en la gama de frecuencias 95</w:t>
      </w:r>
      <w:r w:rsidR="00D36F09">
        <w:rPr>
          <w:lang w:val="es-ES"/>
        </w:rPr>
        <w:noBreakHyphen/>
      </w:r>
      <w:r w:rsidRPr="008D38EC">
        <w:rPr>
          <w:lang w:val="es-ES"/>
        </w:rPr>
        <w:t>100</w:t>
      </w:r>
      <w:r w:rsidR="00D36F09">
        <w:rPr>
          <w:lang w:val="es-ES"/>
        </w:rPr>
        <w:t> </w:t>
      </w:r>
      <w:r w:rsidRPr="008D38EC">
        <w:rPr>
          <w:lang w:val="es-ES"/>
        </w:rPr>
        <w:t>GHz</w:t>
      </w:r>
    </w:p>
    <w:p w14:paraId="17272176" w14:textId="77777777" w:rsidR="00A71FE5" w:rsidRPr="00F111D6" w:rsidRDefault="00A71FE5" w:rsidP="005373E0"/>
    <w:p w14:paraId="533B6FD4" w14:textId="77777777" w:rsidR="00EE47C4" w:rsidRPr="00F111D6" w:rsidRDefault="00EE47C4" w:rsidP="005373E0">
      <w:pPr>
        <w:sectPr w:rsidR="00EE47C4" w:rsidRPr="00F111D6" w:rsidSect="0027411A">
          <w:headerReference w:type="even" r:id="rId8"/>
          <w:headerReference w:type="default" r:id="rId9"/>
          <w:footerReference w:type="default" r:id="rId10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2A3DE831" w14:textId="77777777" w:rsidR="0069322D" w:rsidRPr="006C718C" w:rsidRDefault="0069322D" w:rsidP="0069322D">
      <w:pPr>
        <w:pStyle w:val="Tablehea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794"/>
          <w:tab w:val="left" w:pos="1191"/>
          <w:tab w:val="left" w:pos="1588"/>
        </w:tabs>
        <w:spacing w:before="0" w:after="0"/>
        <w:rPr>
          <w:bCs/>
          <w:sz w:val="24"/>
          <w:szCs w:val="24"/>
          <w:lang w:val="es-ES_tradnl"/>
        </w:rPr>
      </w:pPr>
      <w:bookmarkStart w:id="0" w:name="c2tope"/>
      <w:bookmarkEnd w:id="0"/>
      <w:r w:rsidRPr="006C718C">
        <w:rPr>
          <w:bCs/>
          <w:sz w:val="24"/>
          <w:szCs w:val="24"/>
          <w:lang w:val="es-ES_tradnl"/>
        </w:rPr>
        <w:lastRenderedPageBreak/>
        <w:t>Prólogo</w:t>
      </w:r>
    </w:p>
    <w:p w14:paraId="240160EA" w14:textId="77777777" w:rsidR="0069322D" w:rsidRPr="006C718C" w:rsidRDefault="0069322D" w:rsidP="0069322D">
      <w:pPr>
        <w:spacing w:before="180"/>
        <w:rPr>
          <w:sz w:val="20"/>
          <w:lang w:val="es-ES_tradnl"/>
        </w:rPr>
      </w:pPr>
      <w:r w:rsidRPr="006C718C">
        <w:rPr>
          <w:sz w:val="20"/>
          <w:lang w:val="es-ES_tradnl"/>
        </w:rPr>
        <w:t>El Sector de Radiocomunicaciones tiene como cometido garantizar la utilizaci</w:t>
      </w:r>
      <w:r>
        <w:rPr>
          <w:sz w:val="20"/>
          <w:lang w:val="es-ES_tradnl"/>
        </w:rPr>
        <w:t>ón racional, equitativa, eficaz y económica del espectro de frecuencias radioeléctricas por todos los servicios de radiocomunicaciones, incluidos los servicios por satélite, y realizar, sin limitación de gamas de frecuencias, estudios que sirvan de base para la adopción de las Recomendaciones UIT-R.</w:t>
      </w:r>
    </w:p>
    <w:p w14:paraId="63EFC4ED" w14:textId="77777777" w:rsidR="0069322D" w:rsidRPr="006C718C" w:rsidRDefault="0069322D" w:rsidP="0069322D">
      <w:pPr>
        <w:rPr>
          <w:sz w:val="20"/>
          <w:lang w:val="es-ES_tradnl"/>
        </w:rPr>
      </w:pPr>
      <w:r w:rsidRPr="006C718C">
        <w:rPr>
          <w:sz w:val="20"/>
          <w:lang w:val="es-ES_tradnl"/>
        </w:rPr>
        <w:t>Las Conferencias Mundiales y Regionales de Radiocomunicaciones y las Asambleas de Radiocomunicaciones, c</w:t>
      </w:r>
      <w:r>
        <w:rPr>
          <w:sz w:val="20"/>
          <w:lang w:val="es-ES_tradnl"/>
        </w:rPr>
        <w:t>on la colaboración de las Comisiones de Estudio, cumplen las funciones reglamentarias y políticas del Sector de Radiocomunicaciones.</w:t>
      </w:r>
    </w:p>
    <w:p w14:paraId="0062A2BA" w14:textId="77777777" w:rsidR="0069322D" w:rsidRPr="00021E8A" w:rsidRDefault="0069322D" w:rsidP="0069322D">
      <w:pPr>
        <w:pStyle w:val="Heading1"/>
        <w:spacing w:before="340"/>
        <w:jc w:val="center"/>
        <w:rPr>
          <w:szCs w:val="24"/>
          <w:lang w:val="es-ES_tradnl"/>
        </w:rPr>
      </w:pPr>
      <w:r w:rsidRPr="007C36CA">
        <w:rPr>
          <w:lang w:val="es-ES_tradnl"/>
        </w:rPr>
        <w:t>Política sobre Derechos de Propiedad Intelectual</w:t>
      </w:r>
      <w:r w:rsidRPr="00021E8A">
        <w:rPr>
          <w:szCs w:val="24"/>
          <w:lang w:val="es-ES_tradnl"/>
        </w:rPr>
        <w:t xml:space="preserve"> (IPR)</w:t>
      </w:r>
    </w:p>
    <w:p w14:paraId="630958E3" w14:textId="77777777" w:rsidR="0069322D" w:rsidRPr="00021E8A" w:rsidRDefault="0069322D" w:rsidP="0069322D">
      <w:pPr>
        <w:spacing w:before="180"/>
        <w:rPr>
          <w:sz w:val="20"/>
          <w:lang w:val="es-ES_tradnl"/>
        </w:rPr>
      </w:pPr>
      <w:r w:rsidRPr="00021E8A">
        <w:rPr>
          <w:sz w:val="20"/>
          <w:lang w:val="es-ES_tradnl"/>
        </w:rPr>
        <w:t>La política del UIT</w:t>
      </w:r>
      <w:r w:rsidRPr="00021E8A">
        <w:rPr>
          <w:sz w:val="20"/>
          <w:lang w:val="es-ES_tradnl"/>
        </w:rPr>
        <w:noBreakHyphen/>
        <w:t>R sobre Derechos de Propiedad Intelectual se describe en la Política Común de Patentes UIT</w:t>
      </w:r>
      <w:r w:rsidRPr="00021E8A">
        <w:rPr>
          <w:sz w:val="20"/>
          <w:lang w:val="es-ES_tradnl"/>
        </w:rPr>
        <w:noBreakHyphen/>
        <w:t>T/UIT</w:t>
      </w:r>
      <w:r w:rsidRPr="00021E8A">
        <w:rPr>
          <w:sz w:val="20"/>
          <w:lang w:val="es-ES_tradnl"/>
        </w:rPr>
        <w:noBreakHyphen/>
        <w:t>R/ISO/CEI a la que se hace referencia en la Resolución UIT</w:t>
      </w:r>
      <w:r w:rsidRPr="00021E8A">
        <w:rPr>
          <w:sz w:val="20"/>
          <w:lang w:val="es-ES_tradnl"/>
        </w:rPr>
        <w:noBreakHyphen/>
        <w:t xml:space="preserve">R 1. Los formularios que deben utilizarse en la declaración sobre patentes y utilización de patentes por los titulares de las mismas figuran en la dirección web </w:t>
      </w:r>
      <w:hyperlink r:id="rId11" w:history="1">
        <w:r w:rsidRPr="00021E8A">
          <w:rPr>
            <w:rStyle w:val="Hyperlink"/>
            <w:sz w:val="20"/>
            <w:lang w:val="es-ES_tradnl"/>
          </w:rPr>
          <w:t>http://www.itu.int/ITU-R/go/patents/es</w:t>
        </w:r>
      </w:hyperlink>
      <w:r w:rsidRPr="00021E8A">
        <w:rPr>
          <w:sz w:val="20"/>
          <w:lang w:val="es-ES_tradnl"/>
        </w:rPr>
        <w:t>, donde también aparecen las Directrices para la implementación de la Política Común de Patentes UIT</w:t>
      </w:r>
      <w:r w:rsidRPr="00021E8A">
        <w:rPr>
          <w:sz w:val="20"/>
          <w:lang w:val="es-ES_tradnl"/>
        </w:rPr>
        <w:noBreakHyphen/>
        <w:t>T/UIT</w:t>
      </w:r>
      <w:r w:rsidRPr="00021E8A">
        <w:rPr>
          <w:sz w:val="20"/>
          <w:lang w:val="es-ES_tradnl"/>
        </w:rPr>
        <w:noBreakHyphen/>
        <w:t>R/ISO/CEI y la base de datos sobre información de patentes del UIT</w:t>
      </w:r>
      <w:r w:rsidRPr="00021E8A">
        <w:rPr>
          <w:sz w:val="20"/>
          <w:lang w:val="es-ES_tradnl"/>
        </w:rPr>
        <w:noBreakHyphen/>
        <w:t>R sobre este asunto.</w:t>
      </w:r>
    </w:p>
    <w:p w14:paraId="78A3F9D1" w14:textId="77777777" w:rsidR="0069322D" w:rsidRPr="007C36CA" w:rsidRDefault="0069322D" w:rsidP="0069322D">
      <w:pPr>
        <w:spacing w:before="0"/>
        <w:jc w:val="center"/>
        <w:rPr>
          <w:sz w:val="22"/>
          <w:lang w:val="es-ES_tradnl"/>
        </w:rPr>
      </w:pPr>
    </w:p>
    <w:p w14:paraId="45B3D118" w14:textId="77777777" w:rsidR="0069322D" w:rsidRPr="007C36CA" w:rsidRDefault="0069322D" w:rsidP="0069322D">
      <w:pPr>
        <w:spacing w:before="0"/>
        <w:jc w:val="center"/>
        <w:rPr>
          <w:sz w:val="22"/>
          <w:lang w:val="es-ES_tradnl"/>
        </w:rPr>
      </w:pPr>
    </w:p>
    <w:tbl>
      <w:tblPr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000" w:firstRow="0" w:lastRow="0" w:firstColumn="0" w:lastColumn="0" w:noHBand="0" w:noVBand="0"/>
      </w:tblPr>
      <w:tblGrid>
        <w:gridCol w:w="1170"/>
        <w:gridCol w:w="8439"/>
      </w:tblGrid>
      <w:tr w:rsidR="0069322D" w:rsidRPr="00EC4D79" w14:paraId="091A9237" w14:textId="77777777" w:rsidTr="0069322D">
        <w:tc>
          <w:tcPr>
            <w:tcW w:w="9360" w:type="dxa"/>
            <w:gridSpan w:val="2"/>
          </w:tcPr>
          <w:p w14:paraId="1E695D76" w14:textId="707F766C" w:rsidR="0069322D" w:rsidRPr="00021E8A" w:rsidRDefault="0069322D" w:rsidP="000B4BD9">
            <w:pPr>
              <w:pStyle w:val="Chaptitle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140"/>
              <w:textAlignment w:val="auto"/>
              <w:rPr>
                <w:sz w:val="22"/>
                <w:szCs w:val="22"/>
                <w:lang w:val="es-ES_tradnl"/>
              </w:rPr>
            </w:pPr>
            <w:r w:rsidRPr="00021E8A">
              <w:rPr>
                <w:sz w:val="22"/>
                <w:szCs w:val="22"/>
                <w:lang w:val="es-ES_tradnl"/>
              </w:rPr>
              <w:t>Series de las Recomendaciones UIT-R</w:t>
            </w:r>
          </w:p>
          <w:p w14:paraId="4B33463E" w14:textId="77777777" w:rsidR="0069322D" w:rsidRPr="00763D08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60"/>
              <w:rPr>
                <w:bCs/>
                <w:sz w:val="18"/>
                <w:szCs w:val="18"/>
                <w:lang w:val="es-ES_tradnl"/>
              </w:rPr>
            </w:pPr>
            <w:r w:rsidRPr="00763D08">
              <w:rPr>
                <w:b w:val="0"/>
                <w:sz w:val="18"/>
                <w:szCs w:val="18"/>
                <w:lang w:val="es-ES_tradnl"/>
              </w:rPr>
              <w:t xml:space="preserve">(También disponible en línea en </w:t>
            </w:r>
            <w:hyperlink r:id="rId12" w:history="1">
              <w:r w:rsidR="00B96572">
                <w:rPr>
                  <w:rStyle w:val="Hyperlink"/>
                  <w:b w:val="0"/>
                  <w:bCs/>
                  <w:sz w:val="18"/>
                  <w:szCs w:val="18"/>
                  <w:lang w:val="es-ES_tradnl"/>
                </w:rPr>
                <w:t>https://www.itu.int/publ/R-REC/es</w:t>
              </w:r>
            </w:hyperlink>
            <w:r w:rsidRPr="00763D08">
              <w:rPr>
                <w:b w:val="0"/>
                <w:bCs/>
                <w:sz w:val="18"/>
                <w:szCs w:val="18"/>
                <w:lang w:val="es-ES_tradnl"/>
              </w:rPr>
              <w:t>)</w:t>
            </w:r>
          </w:p>
        </w:tc>
      </w:tr>
      <w:tr w:rsidR="0069322D" w:rsidRPr="00036EE3" w14:paraId="3E191F03" w14:textId="77777777" w:rsidTr="00B96572">
        <w:tc>
          <w:tcPr>
            <w:tcW w:w="1140" w:type="dxa"/>
            <w:tcBorders>
              <w:bottom w:val="nil"/>
            </w:tcBorders>
            <w:vAlign w:val="bottom"/>
          </w:tcPr>
          <w:p w14:paraId="5B680BB7" w14:textId="77777777" w:rsidR="0069322D" w:rsidRPr="00036EE3" w:rsidRDefault="0069322D" w:rsidP="00B96572">
            <w:pPr>
              <w:spacing w:before="180" w:after="10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Series</w:t>
            </w:r>
          </w:p>
        </w:tc>
        <w:tc>
          <w:tcPr>
            <w:tcW w:w="8220" w:type="dxa"/>
            <w:tcBorders>
              <w:bottom w:val="nil"/>
            </w:tcBorders>
            <w:vAlign w:val="bottom"/>
          </w:tcPr>
          <w:p w14:paraId="41964D1D" w14:textId="77777777" w:rsidR="0069322D" w:rsidRPr="00036EE3" w:rsidRDefault="0069322D" w:rsidP="00B96572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10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Título</w:t>
            </w:r>
          </w:p>
        </w:tc>
      </w:tr>
      <w:tr w:rsidR="0069322D" w:rsidRPr="004532F7" w14:paraId="567E6305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64C788E2" w14:textId="77777777" w:rsidR="0069322D" w:rsidRPr="004532F7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4532F7">
              <w:rPr>
                <w:b/>
                <w:bCs/>
                <w:sz w:val="20"/>
                <w:lang w:val="en-US"/>
              </w:rPr>
              <w:t>BO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55DB3B4A" w14:textId="77777777" w:rsidR="0069322D" w:rsidRPr="004532F7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4532F7">
              <w:rPr>
                <w:b w:val="0"/>
                <w:sz w:val="20"/>
              </w:rPr>
              <w:t>Distribución por satélite</w:t>
            </w:r>
          </w:p>
        </w:tc>
      </w:tr>
      <w:tr w:rsidR="0069322D" w:rsidRPr="00EC4D79" w14:paraId="64066B22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49A98830" w14:textId="77777777" w:rsidR="0069322D" w:rsidRPr="006B22C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6B22C3">
              <w:rPr>
                <w:b/>
                <w:bCs/>
                <w:sz w:val="20"/>
                <w:lang w:val="en-US"/>
              </w:rPr>
              <w:t>BR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07DA7D52" w14:textId="77777777" w:rsidR="0069322D" w:rsidRPr="006B22C3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s-ES_tradnl"/>
              </w:rPr>
            </w:pPr>
            <w:r w:rsidRPr="006B22C3">
              <w:rPr>
                <w:b w:val="0"/>
                <w:sz w:val="20"/>
                <w:lang w:val="es-ES_tradnl"/>
              </w:rPr>
              <w:t>Registro para producción, archivo y reproducción; películas en televisión</w:t>
            </w:r>
          </w:p>
        </w:tc>
      </w:tr>
      <w:tr w:rsidR="0069322D" w:rsidRPr="00847DD5" w14:paraId="1A9EB81C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6548E7F8" w14:textId="77777777" w:rsidR="0069322D" w:rsidRPr="00847DD5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847DD5">
              <w:rPr>
                <w:b/>
                <w:bCs/>
                <w:sz w:val="20"/>
                <w:lang w:val="en-US"/>
              </w:rPr>
              <w:t>BS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38F7EF29" w14:textId="77777777" w:rsidR="0069322D" w:rsidRPr="00847DD5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021E8A">
              <w:rPr>
                <w:b w:val="0"/>
                <w:bCs/>
                <w:sz w:val="20"/>
              </w:rPr>
              <w:t xml:space="preserve">Servicio de radiodifusión </w:t>
            </w:r>
            <w:r>
              <w:rPr>
                <w:b w:val="0"/>
                <w:bCs/>
                <w:sz w:val="20"/>
              </w:rPr>
              <w:t>(</w:t>
            </w:r>
            <w:r w:rsidRPr="00021E8A">
              <w:rPr>
                <w:b w:val="0"/>
                <w:bCs/>
                <w:sz w:val="20"/>
              </w:rPr>
              <w:t>sonora</w:t>
            </w:r>
            <w:r>
              <w:rPr>
                <w:b w:val="0"/>
                <w:bCs/>
                <w:sz w:val="20"/>
              </w:rPr>
              <w:t>)</w:t>
            </w:r>
          </w:p>
        </w:tc>
      </w:tr>
      <w:tr w:rsidR="0069322D" w:rsidRPr="00ED2695" w14:paraId="35230EED" w14:textId="77777777" w:rsidTr="008B56B2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5609D732" w14:textId="77777777" w:rsidR="0069322D" w:rsidRPr="00ED2695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ED2695">
              <w:rPr>
                <w:b/>
                <w:bCs/>
                <w:sz w:val="20"/>
                <w:lang w:val="en-US"/>
              </w:rPr>
              <w:t>BT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52918EE0" w14:textId="77777777" w:rsidR="0069322D" w:rsidRPr="00021E8A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bCs/>
                <w:sz w:val="20"/>
                <w:lang w:val="en-US"/>
              </w:rPr>
            </w:pPr>
            <w:r w:rsidRPr="00021E8A">
              <w:rPr>
                <w:b w:val="0"/>
                <w:bCs/>
                <w:sz w:val="20"/>
              </w:rPr>
              <w:t>Servicio de radiodifusión (televisión)</w:t>
            </w:r>
          </w:p>
        </w:tc>
      </w:tr>
      <w:tr w:rsidR="008B56B2" w:rsidRPr="008B56B2" w14:paraId="28B18EC8" w14:textId="77777777" w:rsidTr="00EC4D79">
        <w:tc>
          <w:tcPr>
            <w:tcW w:w="1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D0074FD" w14:textId="77777777" w:rsidR="0069322D" w:rsidRPr="008B56B2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 w:rsidRPr="008B56B2">
              <w:rPr>
                <w:b/>
                <w:bCs/>
                <w:sz w:val="20"/>
                <w:lang w:val="fr-CH"/>
              </w:rPr>
              <w:t>F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594CE0D" w14:textId="77777777" w:rsidR="0069322D" w:rsidRPr="008B56B2" w:rsidRDefault="0069322D" w:rsidP="000B4B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fr-CH"/>
              </w:rPr>
            </w:pPr>
            <w:r w:rsidRPr="008B56B2">
              <w:rPr>
                <w:sz w:val="20"/>
              </w:rPr>
              <w:t>Servicio fijo</w:t>
            </w:r>
          </w:p>
        </w:tc>
      </w:tr>
      <w:tr w:rsidR="00EC4D79" w:rsidRPr="00EC4D79" w14:paraId="3EA332E2" w14:textId="77777777" w:rsidTr="00EC4D79">
        <w:tc>
          <w:tcPr>
            <w:tcW w:w="11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BF6220" w14:textId="77777777" w:rsidR="0069322D" w:rsidRPr="00EC4D79" w:rsidRDefault="0069322D" w:rsidP="000B4BD9">
            <w:pPr>
              <w:spacing w:before="30" w:after="30"/>
              <w:ind w:left="57"/>
              <w:jc w:val="left"/>
              <w:rPr>
                <w:rFonts w:hAnsi="Times New Roman Bold"/>
                <w:b/>
                <w:bCs/>
                <w:color w:val="000080"/>
                <w:sz w:val="20"/>
                <w:lang w:val="en-US"/>
              </w:rPr>
            </w:pPr>
            <w:r w:rsidRPr="00EC4D79">
              <w:rPr>
                <w:rFonts w:hAnsi="Times New Roman Bold"/>
                <w:b/>
                <w:bCs/>
                <w:color w:val="000080"/>
                <w:sz w:val="20"/>
                <w:lang w:val="en-US"/>
              </w:rPr>
              <w:t>M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244CCD" w14:textId="77777777" w:rsidR="0069322D" w:rsidRPr="00EC4D79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rFonts w:hAnsi="Times New Roman Bold"/>
                <w:bCs/>
                <w:color w:val="000080"/>
                <w:sz w:val="20"/>
                <w:lang w:val="es-ES_tradnl"/>
              </w:rPr>
            </w:pPr>
            <w:r w:rsidRPr="00EC4D79">
              <w:rPr>
                <w:rFonts w:hAnsi="Times New Roman Bold"/>
                <w:bCs/>
                <w:color w:val="000080"/>
                <w:sz w:val="20"/>
                <w:lang w:val="es-ES_tradnl"/>
              </w:rPr>
              <w:t>Servicios m</w:t>
            </w:r>
            <w:r w:rsidRPr="00EC4D79">
              <w:rPr>
                <w:rFonts w:hAnsi="Times New Roman Bold"/>
                <w:bCs/>
                <w:color w:val="000080"/>
                <w:sz w:val="20"/>
                <w:lang w:val="es-ES_tradnl"/>
              </w:rPr>
              <w:t>ó</w:t>
            </w:r>
            <w:r w:rsidRPr="00EC4D79">
              <w:rPr>
                <w:rFonts w:hAnsi="Times New Roman Bold"/>
                <w:bCs/>
                <w:color w:val="000080"/>
                <w:sz w:val="20"/>
                <w:lang w:val="es-ES_tradnl"/>
              </w:rPr>
              <w:t>viles, de radiodeterminaci</w:t>
            </w:r>
            <w:r w:rsidRPr="00EC4D79">
              <w:rPr>
                <w:rFonts w:hAnsi="Times New Roman Bold"/>
                <w:bCs/>
                <w:color w:val="000080"/>
                <w:sz w:val="20"/>
                <w:lang w:val="es-ES_tradnl"/>
              </w:rPr>
              <w:t>ó</w:t>
            </w:r>
            <w:r w:rsidRPr="00EC4D79">
              <w:rPr>
                <w:rFonts w:hAnsi="Times New Roman Bold"/>
                <w:bCs/>
                <w:color w:val="000080"/>
                <w:sz w:val="20"/>
                <w:lang w:val="es-ES_tradnl"/>
              </w:rPr>
              <w:t>n, de aficionados y otros servicios por sat</w:t>
            </w:r>
            <w:r w:rsidRPr="00EC4D79">
              <w:rPr>
                <w:rFonts w:hAnsi="Times New Roman Bold"/>
                <w:bCs/>
                <w:color w:val="000080"/>
                <w:sz w:val="20"/>
                <w:lang w:val="es-ES_tradnl"/>
              </w:rPr>
              <w:t>é</w:t>
            </w:r>
            <w:r w:rsidRPr="00EC4D79">
              <w:rPr>
                <w:rFonts w:hAnsi="Times New Roman Bold"/>
                <w:bCs/>
                <w:color w:val="000080"/>
                <w:sz w:val="20"/>
                <w:lang w:val="es-ES_tradnl"/>
              </w:rPr>
              <w:t>lite conexos</w:t>
            </w:r>
          </w:p>
        </w:tc>
      </w:tr>
      <w:tr w:rsidR="0069322D" w:rsidRPr="00EC4D79" w14:paraId="40AABF88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15E3DCD9" w14:textId="77777777" w:rsidR="0069322D" w:rsidRPr="00F95576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 w:rsidRPr="00F95576">
              <w:rPr>
                <w:b/>
                <w:bCs/>
                <w:sz w:val="20"/>
                <w:lang w:val="fr-CH"/>
              </w:rPr>
              <w:t>P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619C3504" w14:textId="77777777" w:rsidR="0069322D" w:rsidRPr="00F95576" w:rsidRDefault="0069322D" w:rsidP="000B4BD9">
            <w:pPr>
              <w:spacing w:before="30" w:after="30"/>
              <w:jc w:val="left"/>
              <w:rPr>
                <w:sz w:val="20"/>
                <w:lang w:val="es-ES_tradnl"/>
              </w:rPr>
            </w:pPr>
            <w:r w:rsidRPr="00F95576">
              <w:rPr>
                <w:sz w:val="20"/>
                <w:lang w:val="es-ES_tradnl"/>
              </w:rPr>
              <w:t>Propagación de las ondas radioeléctricas</w:t>
            </w:r>
          </w:p>
        </w:tc>
      </w:tr>
      <w:tr w:rsidR="0069322D" w:rsidRPr="00DE71F7" w14:paraId="02E5578F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71829F84" w14:textId="77777777" w:rsidR="0069322D" w:rsidRPr="00DE71F7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DE71F7">
              <w:rPr>
                <w:b/>
                <w:bCs/>
                <w:sz w:val="20"/>
                <w:lang w:val="en-US"/>
              </w:rPr>
              <w:t>RA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3B2E865C" w14:textId="77777777" w:rsidR="0069322D" w:rsidRPr="00DE71F7" w:rsidRDefault="0069322D" w:rsidP="000B4B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n-US"/>
              </w:rPr>
            </w:pPr>
            <w:r w:rsidRPr="00DE71F7">
              <w:rPr>
                <w:sz w:val="20"/>
              </w:rPr>
              <w:t>Radioastronomía</w:t>
            </w:r>
          </w:p>
        </w:tc>
      </w:tr>
      <w:tr w:rsidR="0069322D" w:rsidRPr="00EC4D79" w14:paraId="3F6791F2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335CBE26" w14:textId="77777777" w:rsidR="0069322D" w:rsidRPr="00D12388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D12388">
              <w:rPr>
                <w:b/>
                <w:bCs/>
                <w:sz w:val="20"/>
                <w:lang w:val="en-US"/>
              </w:rPr>
              <w:t>RS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07F7904D" w14:textId="77777777" w:rsidR="0069322D" w:rsidRPr="00D12388" w:rsidRDefault="0069322D" w:rsidP="000B4B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s-ES_tradnl"/>
              </w:rPr>
            </w:pPr>
            <w:r w:rsidRPr="00D12388">
              <w:rPr>
                <w:sz w:val="20"/>
                <w:lang w:val="es-ES_tradnl"/>
              </w:rPr>
              <w:t>Sistemas de detección a distancia</w:t>
            </w:r>
          </w:p>
        </w:tc>
      </w:tr>
      <w:tr w:rsidR="0069322D" w:rsidRPr="00025336" w14:paraId="3960A303" w14:textId="77777777" w:rsidTr="00EC4D79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0356BEB2" w14:textId="77777777" w:rsidR="0069322D" w:rsidRPr="00025336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25336">
              <w:rPr>
                <w:b/>
                <w:bCs/>
                <w:sz w:val="20"/>
                <w:lang w:val="en-US"/>
              </w:rPr>
              <w:t>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31DE549C" w14:textId="77777777" w:rsidR="0069322D" w:rsidRPr="00025336" w:rsidRDefault="0069322D" w:rsidP="000B4BD9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025336">
              <w:rPr>
                <w:sz w:val="20"/>
              </w:rPr>
              <w:t>Servicio fijo por satélite</w:t>
            </w:r>
          </w:p>
        </w:tc>
      </w:tr>
      <w:tr w:rsidR="00EC4D79" w:rsidRPr="00EC4D79" w14:paraId="797951BE" w14:textId="77777777" w:rsidTr="00EC4D79">
        <w:tc>
          <w:tcPr>
            <w:tcW w:w="1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B5A88B9" w14:textId="77777777" w:rsidR="0069322D" w:rsidRPr="00EC4D79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EC4D79">
              <w:rPr>
                <w:b/>
                <w:bCs/>
                <w:sz w:val="20"/>
                <w:lang w:val="en-US"/>
              </w:rPr>
              <w:t>SA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3C0ADB" w14:textId="77777777" w:rsidR="0069322D" w:rsidRPr="00EC4D79" w:rsidRDefault="0069322D" w:rsidP="000B4BD9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EC4D79">
              <w:rPr>
                <w:sz w:val="20"/>
              </w:rPr>
              <w:t>Aplicaciones espaciales y meteorología</w:t>
            </w:r>
          </w:p>
        </w:tc>
      </w:tr>
      <w:tr w:rsidR="0069322D" w:rsidRPr="00EC4D79" w14:paraId="3AA8E41D" w14:textId="77777777" w:rsidTr="0069322D">
        <w:tc>
          <w:tcPr>
            <w:tcW w:w="1140" w:type="dxa"/>
            <w:tcBorders>
              <w:top w:val="nil"/>
            </w:tcBorders>
          </w:tcPr>
          <w:p w14:paraId="3E41CC4D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SF</w:t>
            </w:r>
          </w:p>
        </w:tc>
        <w:tc>
          <w:tcPr>
            <w:tcW w:w="8220" w:type="dxa"/>
            <w:tcBorders>
              <w:top w:val="nil"/>
            </w:tcBorders>
          </w:tcPr>
          <w:p w14:paraId="7D477D8F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s-ES_tradnl"/>
              </w:rPr>
            </w:pPr>
            <w:r w:rsidRPr="00021E8A">
              <w:rPr>
                <w:bCs/>
                <w:sz w:val="20"/>
                <w:lang w:val="es-ES_tradnl"/>
              </w:rPr>
              <w:t>Compartición de frecuencias y coordinación entre los sistemas del servicio fijo por satélite y del servicio fijo</w:t>
            </w:r>
          </w:p>
        </w:tc>
      </w:tr>
      <w:tr w:rsidR="0069322D" w:rsidRPr="00036EE3" w14:paraId="47471A97" w14:textId="77777777" w:rsidTr="0069322D">
        <w:tc>
          <w:tcPr>
            <w:tcW w:w="1140" w:type="dxa"/>
            <w:shd w:val="clear" w:color="auto" w:fill="auto"/>
          </w:tcPr>
          <w:p w14:paraId="7C440E77" w14:textId="77777777" w:rsidR="0069322D" w:rsidRPr="001240BC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1240BC">
              <w:rPr>
                <w:b/>
                <w:bCs/>
                <w:sz w:val="20"/>
                <w:lang w:val="en-US"/>
              </w:rPr>
              <w:t>SM</w:t>
            </w:r>
          </w:p>
        </w:tc>
        <w:tc>
          <w:tcPr>
            <w:tcW w:w="8220" w:type="dxa"/>
            <w:shd w:val="clear" w:color="auto" w:fill="auto"/>
          </w:tcPr>
          <w:p w14:paraId="59EBD494" w14:textId="77777777" w:rsidR="0069322D" w:rsidRPr="001240BC" w:rsidRDefault="0069322D" w:rsidP="000B4BD9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1240BC">
              <w:rPr>
                <w:sz w:val="20"/>
              </w:rPr>
              <w:t>Gestión del espectro</w:t>
            </w:r>
          </w:p>
        </w:tc>
      </w:tr>
      <w:tr w:rsidR="0069322D" w:rsidRPr="00036EE3" w14:paraId="2401362F" w14:textId="77777777" w:rsidTr="0069322D">
        <w:tc>
          <w:tcPr>
            <w:tcW w:w="1140" w:type="dxa"/>
          </w:tcPr>
          <w:p w14:paraId="0DD3F11E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SNG</w:t>
            </w:r>
          </w:p>
        </w:tc>
        <w:tc>
          <w:tcPr>
            <w:tcW w:w="8220" w:type="dxa"/>
          </w:tcPr>
          <w:p w14:paraId="16D5D2B5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n-US"/>
              </w:rPr>
            </w:pPr>
            <w:r w:rsidRPr="00021E8A">
              <w:rPr>
                <w:bCs/>
                <w:sz w:val="20"/>
              </w:rPr>
              <w:t>Periodismo electrónico por satélite</w:t>
            </w:r>
          </w:p>
        </w:tc>
      </w:tr>
      <w:tr w:rsidR="0069322D" w:rsidRPr="00EC4D79" w14:paraId="0EEE3947" w14:textId="77777777" w:rsidTr="0069322D">
        <w:tc>
          <w:tcPr>
            <w:tcW w:w="1140" w:type="dxa"/>
          </w:tcPr>
          <w:p w14:paraId="5D88670A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TF</w:t>
            </w:r>
          </w:p>
        </w:tc>
        <w:tc>
          <w:tcPr>
            <w:tcW w:w="8220" w:type="dxa"/>
          </w:tcPr>
          <w:p w14:paraId="54E5CCCA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s-ES_tradnl"/>
              </w:rPr>
            </w:pPr>
            <w:r w:rsidRPr="00021E8A">
              <w:rPr>
                <w:bCs/>
                <w:sz w:val="20"/>
                <w:lang w:val="es-ES_tradnl"/>
              </w:rPr>
              <w:t>Emisiones de frecuencias patrón y señales horarias</w:t>
            </w:r>
          </w:p>
        </w:tc>
      </w:tr>
      <w:tr w:rsidR="0069322D" w:rsidRPr="00036EE3" w14:paraId="6553C671" w14:textId="77777777" w:rsidTr="0069322D">
        <w:tc>
          <w:tcPr>
            <w:tcW w:w="1140" w:type="dxa"/>
          </w:tcPr>
          <w:p w14:paraId="64180EBD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8220" w:type="dxa"/>
          </w:tcPr>
          <w:p w14:paraId="09FA6079" w14:textId="77777777" w:rsidR="0069322D" w:rsidRPr="00021E8A" w:rsidRDefault="0069322D" w:rsidP="000B4BD9">
            <w:pPr>
              <w:spacing w:before="30" w:after="140"/>
              <w:jc w:val="left"/>
              <w:rPr>
                <w:bCs/>
                <w:sz w:val="20"/>
                <w:lang w:val="en-US"/>
              </w:rPr>
            </w:pPr>
            <w:r w:rsidRPr="00021E8A">
              <w:rPr>
                <w:bCs/>
                <w:sz w:val="20"/>
              </w:rPr>
              <w:t>Vocabulario y cuestiones afines</w:t>
            </w:r>
          </w:p>
        </w:tc>
      </w:tr>
    </w:tbl>
    <w:p w14:paraId="59F0B7A3" w14:textId="77777777" w:rsidR="0069322D" w:rsidRPr="00036EE3" w:rsidRDefault="0069322D" w:rsidP="0069322D">
      <w:pPr>
        <w:spacing w:before="0" w:after="140"/>
        <w:jc w:val="center"/>
        <w:rPr>
          <w:sz w:val="20"/>
          <w:lang w:val="en-US"/>
        </w:rPr>
      </w:pPr>
    </w:p>
    <w:tbl>
      <w:tblPr>
        <w:tblpPr w:leftFromText="180" w:rightFromText="180" w:vertAnchor="text" w:tblpX="-5771" w:tblpY="-4031"/>
        <w:tblW w:w="0" w:type="auto"/>
        <w:tblLook w:val="0000" w:firstRow="0" w:lastRow="0" w:firstColumn="0" w:lastColumn="0" w:noHBand="0" w:noVBand="0"/>
      </w:tblPr>
      <w:tblGrid>
        <w:gridCol w:w="720"/>
      </w:tblGrid>
      <w:tr w:rsidR="0069322D" w14:paraId="61B69CCB" w14:textId="77777777" w:rsidTr="000B4BD9">
        <w:tc>
          <w:tcPr>
            <w:tcW w:w="720" w:type="dxa"/>
          </w:tcPr>
          <w:p w14:paraId="02C1D936" w14:textId="77777777" w:rsidR="0069322D" w:rsidRDefault="0069322D" w:rsidP="000B4BD9">
            <w:pPr>
              <w:spacing w:before="0"/>
              <w:jc w:val="center"/>
              <w:rPr>
                <w:sz w:val="22"/>
                <w:lang w:val="en-US"/>
              </w:rPr>
            </w:pPr>
          </w:p>
        </w:tc>
      </w:tr>
    </w:tbl>
    <w:tbl>
      <w:tblPr>
        <w:tblStyle w:val="TableGrid"/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69322D" w:rsidRPr="00EC4D79" w14:paraId="5837DB88" w14:textId="77777777" w:rsidTr="00B96572">
        <w:tc>
          <w:tcPr>
            <w:tcW w:w="9360" w:type="dxa"/>
          </w:tcPr>
          <w:p w14:paraId="35AA1016" w14:textId="77777777" w:rsidR="0069322D" w:rsidRPr="00F111D6" w:rsidRDefault="0069322D" w:rsidP="00B96572">
            <w:pPr>
              <w:spacing w:before="92" w:after="92"/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</w:pPr>
            <w:r w:rsidRPr="00F111D6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s-ES_tradnl"/>
              </w:rPr>
              <w:t>Nota</w:t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: Esta Recomendación UIT-R fue aprobada en inglés conforme al procedimiento detallado en la Resolución UIT</w:t>
            </w:r>
            <w:r w:rsidR="00B96572"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noBreakHyphen/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R</w:t>
            </w:r>
            <w:r w:rsidR="00B96572"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 </w:t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1.</w:t>
            </w:r>
          </w:p>
        </w:tc>
      </w:tr>
    </w:tbl>
    <w:p w14:paraId="71EDCB71" w14:textId="77777777" w:rsidR="0069322D" w:rsidRPr="00763D08" w:rsidRDefault="0069322D" w:rsidP="0069322D">
      <w:pPr>
        <w:spacing w:before="0"/>
        <w:jc w:val="center"/>
        <w:rPr>
          <w:sz w:val="22"/>
          <w:lang w:val="es-ES_tradnl"/>
        </w:rPr>
      </w:pPr>
    </w:p>
    <w:p w14:paraId="4AA2A27D" w14:textId="77777777" w:rsidR="0069322D" w:rsidRPr="00763D08" w:rsidRDefault="0069322D" w:rsidP="0069322D">
      <w:pPr>
        <w:spacing w:before="60"/>
        <w:jc w:val="right"/>
        <w:rPr>
          <w:i/>
          <w:iCs/>
          <w:sz w:val="20"/>
          <w:lang w:val="es-ES_tradnl"/>
        </w:rPr>
      </w:pPr>
      <w:r w:rsidRPr="00763D08">
        <w:rPr>
          <w:i/>
          <w:iCs/>
          <w:sz w:val="20"/>
          <w:lang w:val="es-ES_tradnl"/>
        </w:rPr>
        <w:t>Publicación electrónica</w:t>
      </w:r>
    </w:p>
    <w:p w14:paraId="5C4079BD" w14:textId="6C3DC4AA" w:rsidR="0069322D" w:rsidRPr="00763D08" w:rsidRDefault="0069322D" w:rsidP="0069322D">
      <w:pPr>
        <w:spacing w:before="0" w:after="40"/>
        <w:jc w:val="right"/>
        <w:rPr>
          <w:sz w:val="20"/>
          <w:lang w:val="es-ES_tradnl"/>
        </w:rPr>
      </w:pPr>
      <w:r w:rsidRPr="00763D08">
        <w:rPr>
          <w:sz w:val="20"/>
          <w:lang w:val="es-ES_tradnl"/>
        </w:rPr>
        <w:t>Ginebra, 20</w:t>
      </w:r>
      <w:r w:rsidR="00B96572">
        <w:rPr>
          <w:sz w:val="20"/>
          <w:lang w:val="es-ES_tradnl"/>
        </w:rPr>
        <w:t>2</w:t>
      </w:r>
      <w:r w:rsidR="008D38EC">
        <w:rPr>
          <w:sz w:val="20"/>
          <w:lang w:val="es-ES_tradnl"/>
        </w:rPr>
        <w:t>4</w:t>
      </w:r>
    </w:p>
    <w:p w14:paraId="308B29D1" w14:textId="77777777" w:rsidR="0069322D" w:rsidRPr="00763D08" w:rsidRDefault="0069322D" w:rsidP="0069322D">
      <w:pPr>
        <w:spacing w:before="0" w:after="120"/>
        <w:jc w:val="center"/>
        <w:rPr>
          <w:sz w:val="22"/>
          <w:lang w:val="es-ES_tradnl"/>
        </w:rPr>
      </w:pPr>
    </w:p>
    <w:p w14:paraId="65D00ED1" w14:textId="1C493114" w:rsidR="0069322D" w:rsidRPr="00763D08" w:rsidRDefault="0069322D" w:rsidP="0069322D">
      <w:pPr>
        <w:spacing w:before="0"/>
        <w:jc w:val="center"/>
        <w:rPr>
          <w:sz w:val="20"/>
          <w:lang w:val="es-ES_tradnl"/>
        </w:rPr>
      </w:pPr>
      <w:r w:rsidRPr="00470E28">
        <w:rPr>
          <w:sz w:val="20"/>
          <w:lang w:val="en-US"/>
        </w:rPr>
        <w:sym w:font="Symbol" w:char="F0E3"/>
      </w:r>
      <w:r w:rsidRPr="00763D08">
        <w:rPr>
          <w:sz w:val="20"/>
          <w:lang w:val="es-ES_tradnl"/>
        </w:rPr>
        <w:t xml:space="preserve"> UIT </w:t>
      </w:r>
      <w:bookmarkStart w:id="1" w:name="iiannee"/>
      <w:bookmarkEnd w:id="1"/>
      <w:r w:rsidRPr="00763D08">
        <w:rPr>
          <w:sz w:val="20"/>
          <w:lang w:val="es-ES_tradnl"/>
        </w:rPr>
        <w:t>20</w:t>
      </w:r>
      <w:r w:rsidR="00B96572">
        <w:rPr>
          <w:sz w:val="20"/>
          <w:lang w:val="es-ES_tradnl"/>
        </w:rPr>
        <w:t>2</w:t>
      </w:r>
      <w:r w:rsidR="008D38EC">
        <w:rPr>
          <w:sz w:val="20"/>
          <w:lang w:val="es-ES_tradnl"/>
        </w:rPr>
        <w:t>4</w:t>
      </w:r>
    </w:p>
    <w:p w14:paraId="79D5443C" w14:textId="77777777" w:rsidR="00D5024B" w:rsidRPr="00F111D6" w:rsidRDefault="0069322D" w:rsidP="0069322D">
      <w:pPr>
        <w:rPr>
          <w:sz w:val="18"/>
          <w:szCs w:val="18"/>
        </w:rPr>
      </w:pPr>
      <w:r w:rsidRPr="00763D08">
        <w:rPr>
          <w:sz w:val="18"/>
          <w:szCs w:val="18"/>
          <w:lang w:val="es-ES_tradnl"/>
        </w:rPr>
        <w:t xml:space="preserve">Reservados todos los derechos. </w:t>
      </w:r>
      <w:r w:rsidRPr="006C718C">
        <w:rPr>
          <w:sz w:val="18"/>
          <w:szCs w:val="18"/>
          <w:lang w:val="es-ES_tradnl"/>
        </w:rPr>
        <w:t>Ninguna parte de esta publicación puede reproducirse por ningún procedimiento sin previa autorizaci</w:t>
      </w:r>
      <w:r>
        <w:rPr>
          <w:sz w:val="18"/>
          <w:szCs w:val="18"/>
          <w:lang w:val="es-ES_tradnl"/>
        </w:rPr>
        <w:t>ón escrita por parte de la UIT</w:t>
      </w:r>
      <w:r w:rsidRPr="006C718C">
        <w:rPr>
          <w:sz w:val="18"/>
          <w:szCs w:val="18"/>
          <w:lang w:val="es-ES_tradnl"/>
        </w:rPr>
        <w:t>.</w:t>
      </w:r>
    </w:p>
    <w:p w14:paraId="05A7A99C" w14:textId="77777777" w:rsidR="007565CC" w:rsidRPr="00F111D6" w:rsidRDefault="007565CC" w:rsidP="00A971A1">
      <w:pPr>
        <w:spacing w:before="160"/>
        <w:rPr>
          <w:i/>
          <w:sz w:val="20"/>
        </w:rPr>
        <w:sectPr w:rsidR="007565CC" w:rsidRPr="00F111D6" w:rsidSect="002058CE">
          <w:headerReference w:type="even" r:id="rId13"/>
          <w:headerReference w:type="default" r:id="rId14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0C228A3C" w14:textId="3FBA2875" w:rsidR="00B874C6" w:rsidRPr="00F17CED" w:rsidRDefault="00F17CED" w:rsidP="00F53165">
      <w:pPr>
        <w:pStyle w:val="RecNo"/>
        <w:spacing w:before="0"/>
      </w:pPr>
      <w:bookmarkStart w:id="2" w:name="irecnoe"/>
      <w:bookmarkEnd w:id="2"/>
      <w:r w:rsidRPr="008D38EC">
        <w:lastRenderedPageBreak/>
        <w:t>RECOMENDACIÓN</w:t>
      </w:r>
      <w:r w:rsidR="00B874C6" w:rsidRPr="00F17CED">
        <w:t xml:space="preserve">  </w:t>
      </w:r>
      <w:r w:rsidR="00A25EE2" w:rsidRPr="00F17CED">
        <w:rPr>
          <w:rStyle w:val="href"/>
        </w:rPr>
        <w:t>UI</w:t>
      </w:r>
      <w:r w:rsidR="00B874C6" w:rsidRPr="00F17CED">
        <w:rPr>
          <w:rStyle w:val="href"/>
        </w:rPr>
        <w:t xml:space="preserve">T-R  </w:t>
      </w:r>
      <w:r w:rsidR="00EC4D79">
        <w:rPr>
          <w:rStyle w:val="href"/>
        </w:rPr>
        <w:t>M</w:t>
      </w:r>
      <w:r w:rsidR="00B874C6" w:rsidRPr="00F17CED">
        <w:rPr>
          <w:rStyle w:val="href"/>
        </w:rPr>
        <w:t>.</w:t>
      </w:r>
      <w:r w:rsidR="008D38EC">
        <w:rPr>
          <w:rStyle w:val="href"/>
        </w:rPr>
        <w:t>2162-0</w:t>
      </w:r>
    </w:p>
    <w:p w14:paraId="559CAEDB" w14:textId="3E0F88BA" w:rsidR="008D38EC" w:rsidRPr="008D38EC" w:rsidRDefault="008D38EC" w:rsidP="008D38EC">
      <w:pPr>
        <w:pStyle w:val="Rectitle"/>
      </w:pPr>
      <w:r w:rsidRPr="008D38EC">
        <w:t xml:space="preserve">Características técnicas y operativas de los sistemas de radiolocalización </w:t>
      </w:r>
      <w:r w:rsidR="00D36F09">
        <w:br/>
      </w:r>
      <w:r w:rsidRPr="008D38EC">
        <w:t>que funcionan en la gama de frecuencias 92</w:t>
      </w:r>
      <w:r w:rsidR="00D36F09">
        <w:noBreakHyphen/>
      </w:r>
      <w:r w:rsidRPr="008D38EC">
        <w:t>100</w:t>
      </w:r>
      <w:r w:rsidR="00D36F09">
        <w:t> </w:t>
      </w:r>
      <w:r w:rsidRPr="008D38EC">
        <w:t xml:space="preserve">GHz y de los sistemas </w:t>
      </w:r>
      <w:r w:rsidR="00D36F09">
        <w:br/>
      </w:r>
      <w:r w:rsidRPr="008D38EC">
        <w:t>de radionavegación que funcionan en la gama de frecuencias 95</w:t>
      </w:r>
      <w:r w:rsidR="00D36F09">
        <w:noBreakHyphen/>
      </w:r>
      <w:r w:rsidRPr="008D38EC">
        <w:t>100</w:t>
      </w:r>
      <w:r w:rsidR="00D36F09">
        <w:t> </w:t>
      </w:r>
      <w:r w:rsidRPr="008D38EC">
        <w:t>GHz</w:t>
      </w:r>
    </w:p>
    <w:p w14:paraId="76ECF89F" w14:textId="77777777" w:rsidR="008D38EC" w:rsidRPr="008D38EC" w:rsidRDefault="008D38EC" w:rsidP="008D38EC">
      <w:pPr>
        <w:pStyle w:val="Recdate"/>
      </w:pPr>
      <w:r w:rsidRPr="008D38EC">
        <w:t>(2023)</w:t>
      </w:r>
    </w:p>
    <w:p w14:paraId="7C0AEFA2" w14:textId="0E2267C2" w:rsidR="008D38EC" w:rsidRPr="00F53165" w:rsidRDefault="00F53165" w:rsidP="00F53165">
      <w:pPr>
        <w:pStyle w:val="HeadingSum"/>
      </w:pPr>
      <w:r>
        <w:t>Cometido</w:t>
      </w:r>
    </w:p>
    <w:p w14:paraId="4A980E11" w14:textId="77777777" w:rsidR="008D38EC" w:rsidRPr="00F53165" w:rsidRDefault="008D38EC" w:rsidP="00F53165">
      <w:pPr>
        <w:pStyle w:val="Summary"/>
      </w:pPr>
      <w:r w:rsidRPr="00F53165">
        <w:t>En esta Recomendación se detallan las características técnicas y operativas de los sistemas de radiolocalización y radionavegación que funcionan en la gama de frecuencias 92-100 GHz. El objetivo de los parámetros facilitados es que sirvan de orientación para el análisis de la compatibilidad entre los radares que funcionan en el servicio de radiolocalización o en el servicio de radionavegación y los sistemas de otros servicios.</w:t>
      </w:r>
    </w:p>
    <w:p w14:paraId="46607186" w14:textId="77777777" w:rsidR="008D38EC" w:rsidRPr="008D38EC" w:rsidRDefault="008D38EC" w:rsidP="008D38EC">
      <w:pPr>
        <w:pStyle w:val="Headingb"/>
      </w:pPr>
      <w:r w:rsidRPr="008D38EC">
        <w:t>Palabras clave</w:t>
      </w:r>
    </w:p>
    <w:p w14:paraId="7CF0093A" w14:textId="77777777" w:rsidR="008D38EC" w:rsidRPr="008D38EC" w:rsidRDefault="008D38EC" w:rsidP="008D38EC">
      <w:r w:rsidRPr="008D38EC">
        <w:t>Radar, características</w:t>
      </w:r>
    </w:p>
    <w:p w14:paraId="1F9EF753" w14:textId="77777777" w:rsidR="008D38EC" w:rsidRPr="008D38EC" w:rsidRDefault="008D38EC" w:rsidP="008D38EC">
      <w:pPr>
        <w:pStyle w:val="Headingb"/>
      </w:pPr>
      <w:r w:rsidRPr="008D38EC">
        <w:t>Siglas/Glosario</w:t>
      </w:r>
    </w:p>
    <w:p w14:paraId="3082EB5E" w14:textId="77777777" w:rsidR="008D38EC" w:rsidRPr="008D38EC" w:rsidRDefault="008D38EC" w:rsidP="00F53165">
      <w:pPr>
        <w:tabs>
          <w:tab w:val="clear" w:pos="794"/>
          <w:tab w:val="clear" w:pos="1191"/>
          <w:tab w:val="clear" w:pos="1588"/>
          <w:tab w:val="left" w:pos="1276"/>
        </w:tabs>
      </w:pPr>
      <w:r w:rsidRPr="008D38EC">
        <w:t>FMCW</w:t>
      </w:r>
      <w:r w:rsidRPr="008D38EC">
        <w:tab/>
        <w:t>Onda portadora modulada en frecuencia (</w:t>
      </w:r>
      <w:r w:rsidRPr="008D38EC">
        <w:rPr>
          <w:i/>
          <w:iCs/>
        </w:rPr>
        <w:t>frequency modulated carrier wave</w:t>
      </w:r>
      <w:r w:rsidRPr="008D38EC">
        <w:t>)</w:t>
      </w:r>
    </w:p>
    <w:p w14:paraId="298C422D" w14:textId="77777777" w:rsidR="008D38EC" w:rsidRPr="008D38EC" w:rsidRDefault="008D38EC" w:rsidP="00F53165">
      <w:pPr>
        <w:tabs>
          <w:tab w:val="clear" w:pos="794"/>
          <w:tab w:val="clear" w:pos="1191"/>
          <w:tab w:val="clear" w:pos="1588"/>
          <w:tab w:val="left" w:pos="1276"/>
        </w:tabs>
      </w:pPr>
      <w:r w:rsidRPr="008D38EC">
        <w:t>FOD</w:t>
      </w:r>
      <w:r w:rsidRPr="008D38EC">
        <w:tab/>
        <w:t>Objetos extraños (</w:t>
      </w:r>
      <w:r w:rsidRPr="008D38EC">
        <w:rPr>
          <w:i/>
          <w:iCs/>
        </w:rPr>
        <w:t>foreign object debris</w:t>
      </w:r>
      <w:r w:rsidRPr="008D38EC">
        <w:t>)</w:t>
      </w:r>
    </w:p>
    <w:p w14:paraId="04D387B3" w14:textId="77777777" w:rsidR="008D38EC" w:rsidRPr="008D38EC" w:rsidRDefault="008D38EC" w:rsidP="00F53165">
      <w:pPr>
        <w:tabs>
          <w:tab w:val="clear" w:pos="794"/>
          <w:tab w:val="clear" w:pos="1191"/>
          <w:tab w:val="clear" w:pos="1588"/>
          <w:tab w:val="left" w:pos="1276"/>
        </w:tabs>
      </w:pPr>
      <w:r w:rsidRPr="008D38EC">
        <w:rPr>
          <w:i/>
          <w:iCs/>
        </w:rPr>
        <w:t>I</w:t>
      </w:r>
      <w:r w:rsidRPr="00F53165">
        <w:t>/</w:t>
      </w:r>
      <w:r w:rsidRPr="008D38EC">
        <w:rPr>
          <w:i/>
          <w:iCs/>
        </w:rPr>
        <w:t>N</w:t>
      </w:r>
      <w:r w:rsidRPr="008D38EC">
        <w:tab/>
        <w:t>Relación interferencia-ruido (</w:t>
      </w:r>
      <w:r w:rsidRPr="008D38EC">
        <w:rPr>
          <w:i/>
          <w:iCs/>
        </w:rPr>
        <w:t>interference to noise ratio</w:t>
      </w:r>
      <w:r w:rsidRPr="008D38EC">
        <w:t>)</w:t>
      </w:r>
    </w:p>
    <w:p w14:paraId="42099F37" w14:textId="77777777" w:rsidR="008D38EC" w:rsidRPr="008D38EC" w:rsidRDefault="008D38EC" w:rsidP="00F53165">
      <w:pPr>
        <w:tabs>
          <w:tab w:val="clear" w:pos="794"/>
          <w:tab w:val="clear" w:pos="1191"/>
          <w:tab w:val="clear" w:pos="1588"/>
          <w:tab w:val="left" w:pos="1276"/>
        </w:tabs>
      </w:pPr>
      <w:r w:rsidRPr="008D38EC">
        <w:t>RR</w:t>
      </w:r>
      <w:r w:rsidRPr="008D38EC">
        <w:tab/>
        <w:t>Reglamento de Radiocomunicaciones</w:t>
      </w:r>
    </w:p>
    <w:p w14:paraId="062DDBDF" w14:textId="77777777" w:rsidR="008D38EC" w:rsidRPr="008D38EC" w:rsidRDefault="008D38EC" w:rsidP="00F53165">
      <w:pPr>
        <w:tabs>
          <w:tab w:val="clear" w:pos="794"/>
          <w:tab w:val="clear" w:pos="1191"/>
          <w:tab w:val="clear" w:pos="1588"/>
          <w:tab w:val="left" w:pos="1276"/>
        </w:tabs>
      </w:pPr>
      <w:r w:rsidRPr="008D38EC">
        <w:t>SETS</w:t>
      </w:r>
      <w:r w:rsidRPr="008D38EC">
        <w:tab/>
        <w:t>Servicio de exploración de la Tierra por satélite</w:t>
      </w:r>
    </w:p>
    <w:p w14:paraId="2858BA27" w14:textId="77777777" w:rsidR="008D38EC" w:rsidRPr="008D38EC" w:rsidRDefault="008D38EC" w:rsidP="008D38EC">
      <w:pPr>
        <w:pStyle w:val="Headingb"/>
      </w:pPr>
      <w:r w:rsidRPr="008D38EC">
        <w:t>Recomendaciones e Informes de la UIT conexos</w:t>
      </w:r>
    </w:p>
    <w:p w14:paraId="6EEA3039" w14:textId="05AB9D08" w:rsidR="008D38EC" w:rsidRPr="008D38EC" w:rsidRDefault="008D38EC" w:rsidP="00D36F09">
      <w:pPr>
        <w:pStyle w:val="Reftext"/>
      </w:pPr>
      <w:r w:rsidRPr="008D38EC">
        <w:t xml:space="preserve">Recomendación </w:t>
      </w:r>
      <w:hyperlink r:id="rId15" w:history="1">
        <w:r w:rsidRPr="00F53165">
          <w:rPr>
            <w:rStyle w:val="Hyperlink"/>
            <w:color w:val="auto"/>
            <w:u w:val="none"/>
          </w:rPr>
          <w:t>UIT-R</w:t>
        </w:r>
        <w:r w:rsidR="00F53165" w:rsidRPr="00F53165">
          <w:rPr>
            <w:rStyle w:val="Hyperlink"/>
            <w:color w:val="auto"/>
            <w:u w:val="none"/>
          </w:rPr>
          <w:t> </w:t>
        </w:r>
        <w:r w:rsidRPr="00F53165">
          <w:rPr>
            <w:rStyle w:val="Hyperlink"/>
            <w:color w:val="auto"/>
            <w:u w:val="none"/>
          </w:rPr>
          <w:t>F.699</w:t>
        </w:r>
      </w:hyperlink>
      <w:r w:rsidR="007A1F4E">
        <w:t> </w:t>
      </w:r>
      <w:r w:rsidRPr="008D38EC">
        <w:t>–</w:t>
      </w:r>
      <w:r w:rsidR="007A1F4E">
        <w:t> </w:t>
      </w:r>
      <w:r w:rsidRPr="00F53165">
        <w:t>Diagramas de radiación de referencia de antenas de sistemas inalámbricos fijos para utilizarlos en los estudios de coordinación y en la evaluación de la interferencia en la gama de frecuencias de 100 MHz a 86 GHz</w:t>
      </w:r>
    </w:p>
    <w:p w14:paraId="2948F48B" w14:textId="49902BC2" w:rsidR="008D38EC" w:rsidRPr="008D38EC" w:rsidRDefault="008D38EC" w:rsidP="00D36F09">
      <w:pPr>
        <w:pStyle w:val="Reftext"/>
      </w:pPr>
      <w:r w:rsidRPr="008D38EC">
        <w:t>Recomendación </w:t>
      </w:r>
      <w:hyperlink r:id="rId16" w:history="1">
        <w:r w:rsidRPr="00C96B3B">
          <w:rPr>
            <w:rStyle w:val="Hyperlink"/>
            <w:color w:val="auto"/>
            <w:u w:val="none"/>
          </w:rPr>
          <w:t>UIT-R M.1851</w:t>
        </w:r>
      </w:hyperlink>
      <w:r w:rsidRPr="008D38EC">
        <w:t> – </w:t>
      </w:r>
      <w:r w:rsidRPr="00F53165">
        <w:t>Modelos matemáticos de diagramas de antena de sistemas de radar del servicio de radiodeterminación para uso en los análisis de interferencia</w:t>
      </w:r>
    </w:p>
    <w:p w14:paraId="6EDA3975" w14:textId="67318F39" w:rsidR="008D38EC" w:rsidRPr="008D38EC" w:rsidRDefault="008D38EC" w:rsidP="00D36F09">
      <w:pPr>
        <w:pStyle w:val="Reftext"/>
      </w:pPr>
      <w:r w:rsidRPr="008D38EC">
        <w:t>Recomendación </w:t>
      </w:r>
      <w:hyperlink r:id="rId17" w:history="1">
        <w:r w:rsidRPr="00C96B3B">
          <w:rPr>
            <w:rStyle w:val="Hyperlink"/>
            <w:color w:val="auto"/>
            <w:u w:val="none"/>
          </w:rPr>
          <w:t>UIT-R M.1461</w:t>
        </w:r>
      </w:hyperlink>
      <w:r w:rsidRPr="008D38EC">
        <w:t> – </w:t>
      </w:r>
      <w:r w:rsidRPr="00C96B3B">
        <w:t>Procedimientos para determinar la posibilidad de interferencia entre radares que funcionan en el servicio de radiodeterminación y sistemas de otros servicios</w:t>
      </w:r>
    </w:p>
    <w:p w14:paraId="44DB29DA" w14:textId="5473737E" w:rsidR="008D38EC" w:rsidRPr="008D38EC" w:rsidRDefault="008D38EC" w:rsidP="00D36F09">
      <w:pPr>
        <w:pStyle w:val="Reftext"/>
        <w:rPr>
          <w:i/>
          <w:iCs/>
        </w:rPr>
      </w:pPr>
      <w:r w:rsidRPr="008D38EC">
        <w:t xml:space="preserve">Recomendación </w:t>
      </w:r>
      <w:hyperlink r:id="rId18" w:history="1">
        <w:r w:rsidR="00C96B3B" w:rsidRPr="00C96B3B">
          <w:rPr>
            <w:rStyle w:val="Hyperlink"/>
            <w:color w:val="auto"/>
            <w:u w:val="none"/>
          </w:rPr>
          <w:t>UIT</w:t>
        </w:r>
        <w:r w:rsidRPr="00C96B3B">
          <w:rPr>
            <w:rStyle w:val="Hyperlink"/>
            <w:color w:val="auto"/>
            <w:u w:val="none"/>
          </w:rPr>
          <w:noBreakHyphen/>
          <w:t>R M.1466</w:t>
        </w:r>
      </w:hyperlink>
      <w:r w:rsidR="007A1F4E">
        <w:t> </w:t>
      </w:r>
      <w:r w:rsidRPr="008D38EC">
        <w:t>–</w:t>
      </w:r>
      <w:r w:rsidR="007A1F4E">
        <w:t> </w:t>
      </w:r>
      <w:r w:rsidRPr="00C96B3B">
        <w:t>Características y criterios de protección de los radares que funcionan en el servicio de radionavegación en la banda de frecuencias 31,8-33,4</w:t>
      </w:r>
      <w:r w:rsidR="00D36F09" w:rsidRPr="00C96B3B">
        <w:t> </w:t>
      </w:r>
      <w:r w:rsidRPr="00C96B3B">
        <w:t>GHz</w:t>
      </w:r>
    </w:p>
    <w:p w14:paraId="26E15CD9" w14:textId="77777777" w:rsidR="008D38EC" w:rsidRPr="008D38EC" w:rsidRDefault="008D38EC" w:rsidP="00D36F09">
      <w:pPr>
        <w:pStyle w:val="Normalaftertitle"/>
      </w:pPr>
      <w:r w:rsidRPr="008D38EC">
        <w:t xml:space="preserve">La </w:t>
      </w:r>
      <w:r w:rsidRPr="00D36F09">
        <w:t>Asamblea</w:t>
      </w:r>
      <w:r w:rsidRPr="008D38EC">
        <w:t xml:space="preserve"> de Radiocomunicaciones de la UIT,</w:t>
      </w:r>
    </w:p>
    <w:p w14:paraId="2EB3C3B4" w14:textId="77777777" w:rsidR="008D38EC" w:rsidRPr="008D38EC" w:rsidRDefault="008D38EC" w:rsidP="008D38EC">
      <w:pPr>
        <w:pStyle w:val="Call"/>
      </w:pPr>
      <w:r w:rsidRPr="008D38EC">
        <w:t>considerando</w:t>
      </w:r>
    </w:p>
    <w:p w14:paraId="4167A62F" w14:textId="77777777" w:rsidR="008D38EC" w:rsidRPr="008D38EC" w:rsidRDefault="008D38EC" w:rsidP="00D36F09">
      <w:r w:rsidRPr="008D38EC">
        <w:rPr>
          <w:i/>
          <w:iCs/>
        </w:rPr>
        <w:t>a)</w:t>
      </w:r>
      <w:r w:rsidRPr="008D38EC">
        <w:tab/>
        <w:t>que las características en cuanto a antena, propagación de la señal, detección del objetivo y gran anchura de banda necesaria de los radares para lograr sus funciones son óptimas en ciertas bandas de frecuencias;</w:t>
      </w:r>
    </w:p>
    <w:p w14:paraId="405F3217" w14:textId="77777777" w:rsidR="008D38EC" w:rsidRPr="008D38EC" w:rsidRDefault="008D38EC" w:rsidP="008D38EC">
      <w:r w:rsidRPr="008D38EC">
        <w:rPr>
          <w:i/>
          <w:iCs/>
        </w:rPr>
        <w:t>b)</w:t>
      </w:r>
      <w:r w:rsidRPr="008D38EC">
        <w:tab/>
        <w:t>que las características técnicas de los radares que funcionan en los servicios de radiolocalización y radionavegación vienen determinadas por la misión del sistema y varían ampliamente incluso dentro de una banda de frecuencias;</w:t>
      </w:r>
    </w:p>
    <w:p w14:paraId="1F116E1B" w14:textId="5D7C9CB3" w:rsidR="008D38EC" w:rsidRPr="008D38EC" w:rsidRDefault="008D38EC" w:rsidP="00C96B3B">
      <w:pPr>
        <w:keepNext/>
        <w:keepLines/>
      </w:pPr>
      <w:r w:rsidRPr="008D38EC">
        <w:rPr>
          <w:i/>
          <w:iCs/>
        </w:rPr>
        <w:lastRenderedPageBreak/>
        <w:t>c)</w:t>
      </w:r>
      <w:r w:rsidRPr="008D38EC">
        <w:tab/>
        <w:t xml:space="preserve">que es necesario conocer las características técnicas y operacionales representativas de los radares que funcionan en los servicios de </w:t>
      </w:r>
      <w:r w:rsidR="008B524F" w:rsidRPr="008D38EC">
        <w:t>radiolocalización</w:t>
      </w:r>
      <w:r w:rsidRPr="008D38EC">
        <w:t xml:space="preserve"> y radionavegación para establecer, en caso necesario, la viabilidad de introducir nuevos tipos de sistemas en bandas de frecuencias atribuidas a los servicios de radiolocalización y radionavegación,</w:t>
      </w:r>
    </w:p>
    <w:p w14:paraId="7AB9BBCD" w14:textId="77777777" w:rsidR="008D38EC" w:rsidRPr="008D38EC" w:rsidRDefault="008D38EC" w:rsidP="008D38EC">
      <w:pPr>
        <w:pStyle w:val="Call"/>
      </w:pPr>
      <w:r w:rsidRPr="008D38EC">
        <w:t>reconociendo</w:t>
      </w:r>
    </w:p>
    <w:p w14:paraId="426697F1" w14:textId="587C21DC" w:rsidR="008D38EC" w:rsidRPr="008D38EC" w:rsidRDefault="008D38EC" w:rsidP="008D38EC">
      <w:r w:rsidRPr="008D38EC">
        <w:rPr>
          <w:i/>
          <w:iCs/>
        </w:rPr>
        <w:t>a)</w:t>
      </w:r>
      <w:r w:rsidRPr="008D38EC">
        <w:tab/>
        <w:t>que el número</w:t>
      </w:r>
      <w:r w:rsidR="00D36F09">
        <w:t> </w:t>
      </w:r>
      <w:r w:rsidRPr="008D38EC">
        <w:rPr>
          <w:b/>
          <w:bCs/>
        </w:rPr>
        <w:t>5.554</w:t>
      </w:r>
      <w:r w:rsidRPr="008D38EC">
        <w:t xml:space="preserve"> del Reglamento de Radiocomunicaciones (RR) establece que en la banda 95-100 GHz se autorizan también los enlaces por satélite que conectan estaciones terrestres situadas en puntos fijos determinados, cuando se utilizan conjuntamente con el servicio móvil por satélite o el servicio de radionavegación por satélite;</w:t>
      </w:r>
    </w:p>
    <w:p w14:paraId="74DFC4C0" w14:textId="7F113E06" w:rsidR="008D38EC" w:rsidRPr="008D38EC" w:rsidRDefault="008D38EC" w:rsidP="008D38EC">
      <w:r w:rsidRPr="008D38EC">
        <w:rPr>
          <w:i/>
          <w:iCs/>
        </w:rPr>
        <w:t>b)</w:t>
      </w:r>
      <w:r w:rsidRPr="008D38EC">
        <w:tab/>
        <w:t>que la banda de frecuencias 92</w:t>
      </w:r>
      <w:r w:rsidR="00D36F09">
        <w:noBreakHyphen/>
      </w:r>
      <w:r w:rsidRPr="008D38EC">
        <w:t>94</w:t>
      </w:r>
      <w:r w:rsidR="00D36F09">
        <w:t> </w:t>
      </w:r>
      <w:r w:rsidRPr="008D38EC">
        <w:t>GHz está atribuida a título primario a la radioastronomía;</w:t>
      </w:r>
    </w:p>
    <w:p w14:paraId="478BEF8A" w14:textId="11CB5CBE" w:rsidR="008D38EC" w:rsidRPr="008D38EC" w:rsidRDefault="008D38EC" w:rsidP="008D38EC">
      <w:r w:rsidRPr="008D38EC">
        <w:rPr>
          <w:i/>
          <w:iCs/>
        </w:rPr>
        <w:t>c)</w:t>
      </w:r>
      <w:r w:rsidRPr="008D38EC">
        <w:tab/>
        <w:t>que la banda de frecuencias 94</w:t>
      </w:r>
      <w:r w:rsidR="00D36F09">
        <w:noBreakHyphen/>
      </w:r>
      <w:r w:rsidRPr="008D38EC">
        <w:t>94,1</w:t>
      </w:r>
      <w:r w:rsidR="00D36F09">
        <w:t> </w:t>
      </w:r>
      <w:r w:rsidRPr="008D38EC">
        <w:t>GHz está atribuida a título primero al servicio de exploración de la Tierra por satélite (SETS) (activo), al servicio de investigación espacial (activo) y al servicio de radiolocalización, y a título secundario al servicio de radioastronomía;</w:t>
      </w:r>
      <w:bookmarkStart w:id="3" w:name="_Hlk119934183"/>
      <w:bookmarkEnd w:id="3"/>
    </w:p>
    <w:p w14:paraId="5E71494A" w14:textId="5AF41B82" w:rsidR="008D38EC" w:rsidRPr="008D38EC" w:rsidRDefault="008D38EC" w:rsidP="008D38EC">
      <w:r w:rsidRPr="008D38EC">
        <w:rPr>
          <w:i/>
          <w:iCs/>
        </w:rPr>
        <w:t>d)</w:t>
      </w:r>
      <w:r w:rsidRPr="008D38EC">
        <w:tab/>
        <w:t>que la utilización de la banda 94</w:t>
      </w:r>
      <w:r w:rsidR="00D36F09">
        <w:noBreakHyphen/>
      </w:r>
      <w:r w:rsidRPr="008D38EC">
        <w:t>94,1</w:t>
      </w:r>
      <w:r w:rsidR="00D36F09">
        <w:t> </w:t>
      </w:r>
      <w:r w:rsidRPr="008D38EC">
        <w:t>GHz por el SETS (activo) y el servicio de investigación espacial (activo) está limitada a los radares a bordo de vehículos espaciales para determinación de las nubes;</w:t>
      </w:r>
    </w:p>
    <w:p w14:paraId="3B1572A7" w14:textId="4AABCCB5" w:rsidR="008D38EC" w:rsidRPr="008D38EC" w:rsidRDefault="008D38EC" w:rsidP="008D38EC">
      <w:r w:rsidRPr="008D38EC">
        <w:rPr>
          <w:i/>
          <w:iCs/>
        </w:rPr>
        <w:t>e)</w:t>
      </w:r>
      <w:r w:rsidRPr="008D38EC">
        <w:tab/>
        <w:t>que la banda de frecuencias 94,1</w:t>
      </w:r>
      <w:r w:rsidR="00D36F09">
        <w:noBreakHyphen/>
      </w:r>
      <w:r w:rsidRPr="008D38EC">
        <w:t>95</w:t>
      </w:r>
      <w:r w:rsidR="00D36F09">
        <w:t> </w:t>
      </w:r>
      <w:r w:rsidRPr="008D38EC">
        <w:t>GHz está atribuida a título primario al servicio fijo, al servicio móvil, y a los servicios de radioastronomía y radiolocalización;</w:t>
      </w:r>
    </w:p>
    <w:p w14:paraId="40DC312E" w14:textId="453BF56C" w:rsidR="008D38EC" w:rsidRPr="008D38EC" w:rsidRDefault="008D38EC" w:rsidP="008D38EC">
      <w:r w:rsidRPr="008D38EC">
        <w:rPr>
          <w:i/>
          <w:iCs/>
        </w:rPr>
        <w:t>f)</w:t>
      </w:r>
      <w:r w:rsidRPr="008D38EC">
        <w:tab/>
        <w:t>que la banda de frecuencias 95</w:t>
      </w:r>
      <w:r w:rsidR="00D36F09">
        <w:noBreakHyphen/>
      </w:r>
      <w:r w:rsidRPr="008D38EC">
        <w:t>100</w:t>
      </w:r>
      <w:r w:rsidR="00D36F09">
        <w:t> </w:t>
      </w:r>
      <w:r w:rsidRPr="008D38EC">
        <w:t>GHz está atribuida a título primario al servicio fijo, al servicio móvil, y a los servicios de radioastronomía, radiolocalización, radionavegación y radionavegación por satélite;</w:t>
      </w:r>
    </w:p>
    <w:p w14:paraId="5A579A9C" w14:textId="19E94CEF" w:rsidR="008D38EC" w:rsidRPr="008D38EC" w:rsidRDefault="008D38EC" w:rsidP="008D38EC">
      <w:r w:rsidRPr="008D38EC">
        <w:rPr>
          <w:i/>
          <w:iCs/>
        </w:rPr>
        <w:t>g)</w:t>
      </w:r>
      <w:r w:rsidRPr="008D38EC">
        <w:tab/>
        <w:t>que el número</w:t>
      </w:r>
      <w:r>
        <w:t> </w:t>
      </w:r>
      <w:r w:rsidRPr="008D38EC">
        <w:rPr>
          <w:b/>
          <w:bCs/>
        </w:rPr>
        <w:t>5.149</w:t>
      </w:r>
      <w:r w:rsidRPr="008D38EC">
        <w:t xml:space="preserve"> del RR se aplica a las bandas 92</w:t>
      </w:r>
      <w:r w:rsidR="00D36F09">
        <w:noBreakHyphen/>
      </w:r>
      <w:r w:rsidRPr="008D38EC">
        <w:t>94</w:t>
      </w:r>
      <w:r w:rsidR="00D36F09">
        <w:t> </w:t>
      </w:r>
      <w:r w:rsidRPr="008D38EC">
        <w:t>GHz y 94,1</w:t>
      </w:r>
      <w:r w:rsidR="00D36F09">
        <w:noBreakHyphen/>
      </w:r>
      <w:r w:rsidRPr="008D38EC">
        <w:t>100</w:t>
      </w:r>
      <w:r w:rsidR="00D36F09">
        <w:t> </w:t>
      </w:r>
      <w:r w:rsidRPr="008D38EC">
        <w:t>GHz, respecto de las cuales se insta a las administraciones a que «tomen todas las medidas posibles para proteger el servicio de radioastronomía contra la interferencia perjudicial. Las emisiones desde estaciones a bordo de vehículos espaciales o aeronaves pueden constituir fuentes de interferencia particularmente graves para el servicio de radioastronomía»;</w:t>
      </w:r>
    </w:p>
    <w:p w14:paraId="6DD337E6" w14:textId="575494CC" w:rsidR="008D38EC" w:rsidRPr="008D38EC" w:rsidRDefault="008D38EC" w:rsidP="008D38EC">
      <w:pPr>
        <w:rPr>
          <w:i/>
        </w:rPr>
      </w:pPr>
      <w:r w:rsidRPr="008D38EC">
        <w:rPr>
          <w:i/>
          <w:iCs/>
        </w:rPr>
        <w:t>h)</w:t>
      </w:r>
      <w:r w:rsidRPr="008D38EC">
        <w:tab/>
        <w:t>que se aplica lo dispuesto en el número</w:t>
      </w:r>
      <w:r>
        <w:t> </w:t>
      </w:r>
      <w:r w:rsidRPr="008D38EC">
        <w:rPr>
          <w:b/>
          <w:bCs/>
        </w:rPr>
        <w:t>5.340</w:t>
      </w:r>
      <w:r w:rsidRPr="008D38EC">
        <w:t xml:space="preserve"> del RR, relativo a la banda pasiva en las bandas de frecuencias 86</w:t>
      </w:r>
      <w:r w:rsidR="00D36F09">
        <w:noBreakHyphen/>
      </w:r>
      <w:r w:rsidRPr="008D38EC">
        <w:t>92</w:t>
      </w:r>
      <w:r w:rsidR="00D36F09">
        <w:t> </w:t>
      </w:r>
      <w:r w:rsidRPr="008D38EC">
        <w:t>GHz y 100</w:t>
      </w:r>
      <w:r w:rsidR="00D36F09">
        <w:noBreakHyphen/>
      </w:r>
      <w:r w:rsidRPr="008D38EC">
        <w:t>102</w:t>
      </w:r>
      <w:r w:rsidR="00D36F09">
        <w:t> </w:t>
      </w:r>
      <w:r w:rsidRPr="008D38EC">
        <w:t>GHz, en las que están prohibidas todas las emisiones,</w:t>
      </w:r>
    </w:p>
    <w:p w14:paraId="5B145B9A" w14:textId="77777777" w:rsidR="008D38EC" w:rsidRPr="008D38EC" w:rsidRDefault="008D38EC" w:rsidP="008D38EC">
      <w:pPr>
        <w:pStyle w:val="Call"/>
      </w:pPr>
      <w:r w:rsidRPr="008D38EC">
        <w:t>observando</w:t>
      </w:r>
    </w:p>
    <w:p w14:paraId="370B1643" w14:textId="624E0AEC" w:rsidR="008D38EC" w:rsidRPr="008D38EC" w:rsidRDefault="008D38EC" w:rsidP="008D38EC">
      <w:r w:rsidRPr="008D38EC">
        <w:t>que la Recomendación</w:t>
      </w:r>
      <w:r w:rsidR="00D36F09">
        <w:t> </w:t>
      </w:r>
      <w:r w:rsidRPr="008D38EC">
        <w:t>UIT-R</w:t>
      </w:r>
      <w:r w:rsidR="00D36F09">
        <w:t> </w:t>
      </w:r>
      <w:r w:rsidRPr="008D38EC">
        <w:t>M.1461 también se utiliza como orientación para analizar la compatibilidad entre los radares que funcionan en el servicio de radiodeterminación y otros servicios a los que está atribuida la banda de frecuencias,</w:t>
      </w:r>
    </w:p>
    <w:p w14:paraId="3F61D0B9" w14:textId="77777777" w:rsidR="008D38EC" w:rsidRPr="008D38EC" w:rsidRDefault="008D38EC" w:rsidP="008D38EC">
      <w:pPr>
        <w:pStyle w:val="Call"/>
      </w:pPr>
      <w:r w:rsidRPr="008D38EC">
        <w:t>recomienda</w:t>
      </w:r>
    </w:p>
    <w:p w14:paraId="26910E85" w14:textId="12DDCBF1" w:rsidR="008D38EC" w:rsidRPr="008D38EC" w:rsidRDefault="008D38EC" w:rsidP="008D38EC">
      <w:r w:rsidRPr="008D38EC">
        <w:t>1</w:t>
      </w:r>
      <w:r w:rsidRPr="008D38EC">
        <w:tab/>
        <w:t>que tanto las características técnicas y operativas como los criterios de protección de los sistemas de radiolocalización y radionavegación descritos en el Anexo se consideren representativos de aquellos sistemas que funcionan en la gama de frecuencias 92</w:t>
      </w:r>
      <w:r w:rsidR="00D36F09">
        <w:noBreakHyphen/>
      </w:r>
      <w:r w:rsidRPr="008D38EC">
        <w:t>100</w:t>
      </w:r>
      <w:r w:rsidR="00D36F09">
        <w:t> </w:t>
      </w:r>
      <w:r w:rsidRPr="008D38EC">
        <w:t>GHz;</w:t>
      </w:r>
    </w:p>
    <w:p w14:paraId="25E6B878" w14:textId="2CF32A4C" w:rsidR="008D38EC" w:rsidRDefault="008D38EC" w:rsidP="008D38EC">
      <w:r w:rsidRPr="008D38EC">
        <w:t>2</w:t>
      </w:r>
      <w:r w:rsidRPr="008D38EC">
        <w:tab/>
        <w:t>que al realizar estudios de compartición y compatibilidad se consideren las características indicadas en el Anexo.</w:t>
      </w:r>
    </w:p>
    <w:p w14:paraId="4B91F883" w14:textId="77777777" w:rsidR="00D32C08" w:rsidRDefault="00D32C08" w:rsidP="008D38EC"/>
    <w:p w14:paraId="545A41BD" w14:textId="77777777" w:rsidR="00D32C08" w:rsidRPr="008D38EC" w:rsidRDefault="00D32C08" w:rsidP="008D38EC"/>
    <w:p w14:paraId="71453C63" w14:textId="3ADD4594" w:rsidR="008D38EC" w:rsidRPr="008D38EC" w:rsidRDefault="008D38EC" w:rsidP="008D38EC">
      <w:pPr>
        <w:pStyle w:val="AnnexNoTitle"/>
      </w:pPr>
      <w:r w:rsidRPr="008D38EC">
        <w:lastRenderedPageBreak/>
        <w:t xml:space="preserve">Anexo </w:t>
      </w:r>
      <w:r>
        <w:br/>
      </w:r>
      <w:r w:rsidRPr="008D38EC">
        <w:br/>
        <w:t xml:space="preserve">Características técnicas y operativas de los sistemas de radiolocalización </w:t>
      </w:r>
      <w:r w:rsidR="00D36F09">
        <w:br/>
      </w:r>
      <w:r w:rsidRPr="008D38EC">
        <w:t>y radionavegación que funcionan en la gama de frecuencias 92</w:t>
      </w:r>
      <w:r w:rsidR="00D36F09">
        <w:noBreakHyphen/>
      </w:r>
      <w:r w:rsidRPr="008D38EC">
        <w:t>100</w:t>
      </w:r>
      <w:r w:rsidR="00D36F09">
        <w:t> </w:t>
      </w:r>
      <w:r w:rsidRPr="008D38EC">
        <w:t>GHz</w:t>
      </w:r>
    </w:p>
    <w:p w14:paraId="082A9AC1" w14:textId="77777777" w:rsidR="008D38EC" w:rsidRPr="008D38EC" w:rsidRDefault="008D38EC" w:rsidP="008D38EC">
      <w:pPr>
        <w:pStyle w:val="Heading1"/>
      </w:pPr>
      <w:r w:rsidRPr="008D38EC">
        <w:t>1</w:t>
      </w:r>
      <w:r w:rsidRPr="008D38EC">
        <w:tab/>
        <w:t>Introducción</w:t>
      </w:r>
    </w:p>
    <w:p w14:paraId="657F8A18" w14:textId="008117E7" w:rsidR="008D38EC" w:rsidRPr="008D38EC" w:rsidRDefault="008D38EC" w:rsidP="008D38EC">
      <w:r w:rsidRPr="008D38EC">
        <w:t>En la gama de frecuencias 92</w:t>
      </w:r>
      <w:r w:rsidR="00D36F09">
        <w:noBreakHyphen/>
      </w:r>
      <w:r w:rsidRPr="008D38EC">
        <w:t>100</w:t>
      </w:r>
      <w:r w:rsidR="00D36F09">
        <w:t> </w:t>
      </w:r>
      <w:r w:rsidRPr="008D38EC">
        <w:t>GHz funcionan distintos tipos de radares. Sus características operativas y técnicas se describen en los siguientes párrafos.</w:t>
      </w:r>
    </w:p>
    <w:p w14:paraId="68E1AC75" w14:textId="3A5E543D" w:rsidR="008D38EC" w:rsidRPr="008D38EC" w:rsidRDefault="008D38EC" w:rsidP="008D38EC">
      <w:pPr>
        <w:pStyle w:val="Heading1"/>
      </w:pPr>
      <w:r w:rsidRPr="008D38EC">
        <w:t>2</w:t>
      </w:r>
      <w:r w:rsidRPr="008D38EC">
        <w:tab/>
        <w:t>Características de los radares en la gama 92</w:t>
      </w:r>
      <w:r w:rsidR="00D36F09">
        <w:noBreakHyphen/>
      </w:r>
      <w:r w:rsidRPr="008D38EC">
        <w:t>100</w:t>
      </w:r>
      <w:r w:rsidR="00D36F09">
        <w:t> </w:t>
      </w:r>
      <w:r w:rsidRPr="008D38EC">
        <w:t>GHz</w:t>
      </w:r>
    </w:p>
    <w:p w14:paraId="34A1FA5E" w14:textId="71B119A1" w:rsidR="008D38EC" w:rsidRPr="008D38EC" w:rsidRDefault="008D38EC" w:rsidP="008D38EC">
      <w:r w:rsidRPr="008D38EC">
        <w:t>En los siguientes párrafos se proporcionan las características representativas de los sistemas de radiolocalización en la gama 92</w:t>
      </w:r>
      <w:r w:rsidR="00D36F09">
        <w:noBreakHyphen/>
      </w:r>
      <w:r w:rsidRPr="008D38EC">
        <w:t>100</w:t>
      </w:r>
      <w:r w:rsidR="00D36F09">
        <w:t> </w:t>
      </w:r>
      <w:r w:rsidRPr="008D38EC">
        <w:t>GHz. La información presentada en el presente Anexo es suficiente para realizar cálculos generales con el fin de evaluar la compatibilidad entre estos radares y otros sistemas.</w:t>
      </w:r>
    </w:p>
    <w:p w14:paraId="450EB746" w14:textId="13A1776F" w:rsidR="008D38EC" w:rsidRPr="008D38EC" w:rsidRDefault="008D38EC" w:rsidP="008D38EC">
      <w:pPr>
        <w:pStyle w:val="Heading2"/>
      </w:pPr>
      <w:r w:rsidRPr="008D38EC">
        <w:t>2.1</w:t>
      </w:r>
      <w:r w:rsidRPr="008D38EC">
        <w:tab/>
        <w:t>Radares meteorológicos en tierra a 94-100</w:t>
      </w:r>
      <w:r w:rsidR="00D36F09">
        <w:t> </w:t>
      </w:r>
      <w:r w:rsidRPr="008D38EC">
        <w:t>GHz</w:t>
      </w:r>
    </w:p>
    <w:p w14:paraId="6099CB13" w14:textId="38D2FB8F" w:rsidR="008D38EC" w:rsidRPr="008D38EC" w:rsidRDefault="008D38EC" w:rsidP="008D38EC">
      <w:r w:rsidRPr="008D38EC">
        <w:t>La gama de frecuencias 94</w:t>
      </w:r>
      <w:r w:rsidR="00D36F09">
        <w:noBreakHyphen/>
      </w:r>
      <w:r w:rsidRPr="008D38EC">
        <w:t>100</w:t>
      </w:r>
      <w:r w:rsidR="00D36F09">
        <w:t> </w:t>
      </w:r>
      <w:r w:rsidRPr="008D38EC">
        <w:t>GHz presenta características adecuadas para el estudio específico de las nubes y la niebla. Estos radares utilizan un transmisor de baja potencia de cresta y tecnología de onda continua modulada en frecuencia. En funcionamiento vertical, permiten acceder a la distribución vertical de las nubes y a la velocidad de sedimentación de los hidrometeoros, así como medir la energía dispersada por estos hidrometeoros. Esta energía puede asociarse a la cantidad de agua contenida en la nube (líquido y hielo). La capacidad Doppler de estos radares permite medir la velocidad de los hidrometeoros a lo largo de la línea de visibilidad.</w:t>
      </w:r>
    </w:p>
    <w:p w14:paraId="07107F28" w14:textId="550513B2" w:rsidR="008D38EC" w:rsidRPr="008D38EC" w:rsidRDefault="008D38EC" w:rsidP="008D38EC">
      <w:r w:rsidRPr="008D38EC">
        <w:t>De este modo, se puede observar una gran variedad de fenómenos meteorológicos y tipos de nubes, como nubes bajas, niebla, cirros y precipitaciones líquidas. Por ejemplo, una configuración basada en una resolución vertical de 25</w:t>
      </w:r>
      <w:r>
        <w:t> </w:t>
      </w:r>
      <w:r w:rsidRPr="008D38EC">
        <w:t>m, un tiempo de integración de 3</w:t>
      </w:r>
      <w:r>
        <w:t> </w:t>
      </w:r>
      <w:r w:rsidRPr="008D38EC">
        <w:t>s (con un alcance máximo de 12</w:t>
      </w:r>
      <w:r>
        <w:t> </w:t>
      </w:r>
      <w:r w:rsidRPr="008D38EC">
        <w:t>km) y una velocidad de Nyquist de 5</w:t>
      </w:r>
      <w:r>
        <w:t> </w:t>
      </w:r>
      <w:r w:rsidRPr="008D38EC">
        <w:t>m</w:t>
      </w:r>
      <w:r w:rsidR="00D36F09">
        <w:t> </w:t>
      </w:r>
      <w:r w:rsidRPr="008D38EC">
        <w:t>s</w:t>
      </w:r>
      <w:r w:rsidRPr="008D38EC">
        <w:rPr>
          <w:vertAlign w:val="superscript"/>
        </w:rPr>
        <w:t>−1</w:t>
      </w:r>
      <w:r w:rsidRPr="008D38EC">
        <w:t xml:space="preserve">, proporciona una capacidad de detección continua de todo tipo de nubes con una sensibilidad de aproximadamente </w:t>
      </w:r>
      <w:r w:rsidR="00D36F09" w:rsidRPr="00D36F09">
        <w:t>−</w:t>
      </w:r>
      <w:r w:rsidRPr="008D38EC">
        <w:t>44</w:t>
      </w:r>
      <w:r>
        <w:t> </w:t>
      </w:r>
      <w:r w:rsidRPr="008D38EC">
        <w:t>dBz a 1</w:t>
      </w:r>
      <w:r>
        <w:t> </w:t>
      </w:r>
      <w:r w:rsidRPr="008D38EC">
        <w:t>km durante un per</w:t>
      </w:r>
      <w:r>
        <w:t>i</w:t>
      </w:r>
      <w:r w:rsidRPr="008D38EC">
        <w:t>odo ininterrumpido de tiempo.</w:t>
      </w:r>
    </w:p>
    <w:p w14:paraId="1EEAE08C" w14:textId="59D98139" w:rsidR="008D38EC" w:rsidRPr="008D38EC" w:rsidRDefault="008D38EC" w:rsidP="008D38EC">
      <w:r w:rsidRPr="008D38EC">
        <w:t>Debido a sus características y capacidades de detección, estos radares suelen instalarse en las proximidades de los aeropuertos y permiten recopilar datos importantes para el tráfico aéreo.</w:t>
      </w:r>
    </w:p>
    <w:p w14:paraId="33B52B7C" w14:textId="77777777" w:rsidR="008D38EC" w:rsidRPr="008D38EC" w:rsidRDefault="008D38EC" w:rsidP="008D38EC">
      <w:pPr>
        <w:pStyle w:val="TableNo"/>
      </w:pPr>
      <w:r w:rsidRPr="008D38EC">
        <w:t>CUADRO 1</w:t>
      </w:r>
    </w:p>
    <w:p w14:paraId="4851F89B" w14:textId="24A41132" w:rsidR="008D38EC" w:rsidRPr="008D38EC" w:rsidRDefault="008D38EC" w:rsidP="008D38EC">
      <w:pPr>
        <w:pStyle w:val="Tabletitle"/>
      </w:pPr>
      <w:r w:rsidRPr="008D38EC">
        <w:t>Características de los radares en la gama 94-100</w:t>
      </w:r>
      <w:r w:rsidR="00D36F09">
        <w:t> </w:t>
      </w:r>
      <w:r w:rsidRPr="008D38EC">
        <w:t>GHz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4521"/>
      </w:tblGrid>
      <w:tr w:rsidR="008D38EC" w:rsidRPr="008D38EC" w14:paraId="4810DF73" w14:textId="77777777" w:rsidTr="00601EC7">
        <w:trPr>
          <w:cantSplit/>
          <w:tblHeader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33DE" w14:textId="77777777" w:rsidR="008D38EC" w:rsidRPr="008D38EC" w:rsidRDefault="008D38EC" w:rsidP="008D38EC">
            <w:pPr>
              <w:pStyle w:val="Tablehead"/>
              <w:rPr>
                <w:lang w:val="en-GB"/>
              </w:rPr>
            </w:pPr>
            <w:r w:rsidRPr="008D38EC">
              <w:t>Parámetro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9228" w14:textId="77777777" w:rsidR="008D38EC" w:rsidRPr="008D38EC" w:rsidRDefault="008D38EC" w:rsidP="008D38EC">
            <w:pPr>
              <w:pStyle w:val="Tablehead"/>
              <w:rPr>
                <w:lang w:val="en-GB"/>
              </w:rPr>
            </w:pPr>
            <w:r w:rsidRPr="008D38EC">
              <w:t>Radar A</w:t>
            </w:r>
          </w:p>
        </w:tc>
      </w:tr>
      <w:tr w:rsidR="008D38EC" w:rsidRPr="008D38EC" w14:paraId="7708A78B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0D3A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Aplicación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4ABA" w14:textId="77777777" w:rsidR="008D38EC" w:rsidRPr="008D38EC" w:rsidRDefault="008D38EC" w:rsidP="00D36F09">
            <w:pPr>
              <w:pStyle w:val="Tabletext"/>
              <w:jc w:val="center"/>
            </w:pPr>
            <w:r w:rsidRPr="008D38EC">
              <w:t>Meteorología (detección de fuertes precipitaciones)</w:t>
            </w:r>
          </w:p>
        </w:tc>
      </w:tr>
      <w:tr w:rsidR="008D38EC" w:rsidRPr="008D38EC" w14:paraId="7C980D7F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87DE" w14:textId="77777777" w:rsidR="008D38EC" w:rsidRPr="008D38EC" w:rsidRDefault="008D38EC" w:rsidP="008D38EC">
            <w:pPr>
              <w:pStyle w:val="Tabletext"/>
            </w:pPr>
            <w:r w:rsidRPr="008D38EC">
              <w:t>Zona de actuación del sistema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199A" w14:textId="77777777" w:rsidR="008D38EC" w:rsidRPr="008D38EC" w:rsidRDefault="008D38EC" w:rsidP="00D36F09">
            <w:pPr>
              <w:pStyle w:val="Tabletext"/>
              <w:jc w:val="center"/>
            </w:pPr>
            <w:r w:rsidRPr="008D38EC">
              <w:t>Emplazamientos fijos, en todo el mundo</w:t>
            </w:r>
          </w:p>
        </w:tc>
      </w:tr>
      <w:tr w:rsidR="008D38EC" w:rsidRPr="008D38EC" w14:paraId="732DD23F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B858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Gama de sintonía (GHz)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07DE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94-100</w:t>
            </w:r>
          </w:p>
        </w:tc>
      </w:tr>
      <w:tr w:rsidR="008D38EC" w:rsidRPr="008D38EC" w14:paraId="40F5EB1C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ABCE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Tipo de transmisor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CD7C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Estado sólido</w:t>
            </w:r>
          </w:p>
        </w:tc>
      </w:tr>
      <w:tr w:rsidR="008D38EC" w:rsidRPr="008D38EC" w14:paraId="0A0E93C2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B94" w14:textId="7F92B65F" w:rsidR="008D38EC" w:rsidRPr="008D38EC" w:rsidRDefault="008D38EC" w:rsidP="00D36F09">
            <w:pPr>
              <w:pStyle w:val="Tabletext"/>
              <w:jc w:val="left"/>
            </w:pPr>
            <w:r w:rsidRPr="008D38EC">
              <w:t xml:space="preserve">Potencia del transmisor entregada a la antena </w:t>
            </w:r>
            <w:r w:rsidR="00D36F09">
              <w:br/>
            </w:r>
            <w:r w:rsidRPr="008D38EC">
              <w:t>(valor de cresta) (W)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FE67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0,5-1</w:t>
            </w:r>
          </w:p>
        </w:tc>
      </w:tr>
      <w:tr w:rsidR="008D38EC" w:rsidRPr="008D38EC" w14:paraId="59AA6421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20E3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Polarización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9321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Lineal</w:t>
            </w:r>
          </w:p>
        </w:tc>
      </w:tr>
    </w:tbl>
    <w:p w14:paraId="6624917E" w14:textId="7FFD4438" w:rsidR="00D36F09" w:rsidRPr="008D38EC" w:rsidRDefault="00D36F09" w:rsidP="00D36F09">
      <w:pPr>
        <w:pStyle w:val="TableNo"/>
        <w:rPr>
          <w:lang w:val="en-GB"/>
        </w:rPr>
      </w:pPr>
      <w:r w:rsidRPr="008D38EC">
        <w:lastRenderedPageBreak/>
        <w:t>CUADRO 1 (</w:t>
      </w:r>
      <w:r w:rsidRPr="008D38EC">
        <w:rPr>
          <w:i/>
          <w:iCs/>
        </w:rPr>
        <w:t>fin</w:t>
      </w:r>
      <w:r w:rsidRPr="008D38EC"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4521"/>
      </w:tblGrid>
      <w:tr w:rsidR="00D36F09" w:rsidRPr="008D38EC" w14:paraId="12F66CD2" w14:textId="77777777" w:rsidTr="00601EC7">
        <w:trPr>
          <w:cantSplit/>
          <w:tblHeader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89BC" w14:textId="77777777" w:rsidR="00D36F09" w:rsidRPr="008D38EC" w:rsidRDefault="00D36F09" w:rsidP="00CF2EA3">
            <w:pPr>
              <w:pStyle w:val="Tablehead"/>
              <w:rPr>
                <w:lang w:val="en-GB"/>
              </w:rPr>
            </w:pPr>
            <w:r w:rsidRPr="008D38EC">
              <w:t>Parámetro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A78C" w14:textId="77777777" w:rsidR="00D36F09" w:rsidRPr="008D38EC" w:rsidRDefault="00D36F09" w:rsidP="00CF2EA3">
            <w:pPr>
              <w:pStyle w:val="Tablehead"/>
              <w:rPr>
                <w:lang w:val="en-GB"/>
              </w:rPr>
            </w:pPr>
            <w:r w:rsidRPr="008D38EC">
              <w:t>Radar A</w:t>
            </w:r>
          </w:p>
        </w:tc>
      </w:tr>
      <w:tr w:rsidR="008D38EC" w:rsidRPr="008D38EC" w14:paraId="4B5E690D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2BAA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Duración del impulso (ms)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0541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0,04-0,16</w:t>
            </w:r>
          </w:p>
        </w:tc>
      </w:tr>
      <w:tr w:rsidR="008D38EC" w:rsidRPr="008D38EC" w14:paraId="329E6790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FAC6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Modulación de frecuencia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8313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FMCW</w:t>
            </w:r>
          </w:p>
        </w:tc>
      </w:tr>
      <w:tr w:rsidR="008D38EC" w:rsidRPr="008D38EC" w14:paraId="4D1FCD04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DC3A" w14:textId="77777777" w:rsidR="008D38EC" w:rsidRPr="008D38EC" w:rsidRDefault="008D38EC" w:rsidP="008D38EC">
            <w:pPr>
              <w:pStyle w:val="Tabletext"/>
            </w:pPr>
            <w:r w:rsidRPr="008D38EC">
              <w:t>Periodo de repetición de impulsos (µs)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598A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80-160</w:t>
            </w:r>
          </w:p>
        </w:tc>
      </w:tr>
      <w:tr w:rsidR="008D38EC" w:rsidRPr="008D38EC" w14:paraId="099C55B6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E0AD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Tipo de antena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3EF6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Parabólica</w:t>
            </w:r>
          </w:p>
        </w:tc>
      </w:tr>
      <w:tr w:rsidR="008D38EC" w:rsidRPr="008D38EC" w14:paraId="3B3547F1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E1A3" w14:textId="77777777" w:rsidR="008D38EC" w:rsidRPr="008D38EC" w:rsidRDefault="008D38EC" w:rsidP="008D38EC">
            <w:pPr>
              <w:pStyle w:val="Tabletext"/>
            </w:pPr>
            <w:r w:rsidRPr="008D38EC">
              <w:t>Altura del radar con respecto al suelo (m)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FEBC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1</w:t>
            </w:r>
          </w:p>
        </w:tc>
      </w:tr>
      <w:tr w:rsidR="008D38EC" w:rsidRPr="008D38EC" w14:paraId="4DDA84EE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B3A2" w14:textId="77777777" w:rsidR="008D38EC" w:rsidRPr="008D38EC" w:rsidRDefault="008D38EC" w:rsidP="008D38EC">
            <w:pPr>
              <w:pStyle w:val="Tabletext"/>
            </w:pPr>
            <w:r w:rsidRPr="008D38EC">
              <w:t>Ganancia de la antena (dBi)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017B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54</w:t>
            </w:r>
          </w:p>
        </w:tc>
      </w:tr>
      <w:tr w:rsidR="008D38EC" w:rsidRPr="008D38EC" w14:paraId="4788DF04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6F9C" w14:textId="77777777" w:rsidR="008D38EC" w:rsidRPr="008D38EC" w:rsidRDefault="008D38EC" w:rsidP="008D38EC">
            <w:pPr>
              <w:pStyle w:val="Tabletext"/>
            </w:pPr>
            <w:r w:rsidRPr="008D38EC">
              <w:t>Diámetro de la antena (m)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82A6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0,6</w:t>
            </w:r>
          </w:p>
        </w:tc>
      </w:tr>
      <w:tr w:rsidR="008D38EC" w:rsidRPr="008D38EC" w14:paraId="0F058F25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6595" w14:textId="77777777" w:rsidR="008D38EC" w:rsidRPr="008D38EC" w:rsidRDefault="008D38EC" w:rsidP="008D38EC">
            <w:pPr>
              <w:pStyle w:val="Tabletext"/>
            </w:pPr>
            <w:r w:rsidRPr="008D38EC">
              <w:t>Anchura del haz de la antena en acimut (grados)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E9C3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0,4</w:t>
            </w:r>
          </w:p>
        </w:tc>
      </w:tr>
      <w:tr w:rsidR="008D38EC" w:rsidRPr="008D38EC" w14:paraId="2CEE444E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5D9" w14:textId="77777777" w:rsidR="008D38EC" w:rsidRPr="008D38EC" w:rsidRDefault="008D38EC" w:rsidP="008D38EC">
            <w:pPr>
              <w:pStyle w:val="Tabletext"/>
            </w:pPr>
            <w:r w:rsidRPr="008D38EC">
              <w:t>Anchura del haz de la antena en elevación (grados)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73A5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0,4</w:t>
            </w:r>
          </w:p>
        </w:tc>
      </w:tr>
      <w:tr w:rsidR="008D38EC" w:rsidRPr="008D38EC" w14:paraId="432B44AD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2320" w14:textId="77777777" w:rsidR="008D38EC" w:rsidRPr="008D38EC" w:rsidRDefault="008D38EC" w:rsidP="00D36F09">
            <w:pPr>
              <w:pStyle w:val="Tabletext"/>
              <w:jc w:val="left"/>
            </w:pPr>
            <w:r w:rsidRPr="008D38EC">
              <w:t>Niveles de cresta del lóbulo lateral (LL) de la antena (dBi)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64B4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24</w:t>
            </w:r>
          </w:p>
        </w:tc>
      </w:tr>
      <w:tr w:rsidR="008D38EC" w:rsidRPr="008D38EC" w14:paraId="06733798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8147" w14:textId="77777777" w:rsidR="008D38EC" w:rsidRPr="008D38EC" w:rsidRDefault="008D38EC" w:rsidP="008D38EC">
            <w:pPr>
              <w:pStyle w:val="Tabletext"/>
            </w:pPr>
            <w:r w:rsidRPr="008D38EC">
              <w:t>Tipo de diagrama de antena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783B" w14:textId="77777777" w:rsidR="008D38EC" w:rsidRPr="008D38EC" w:rsidRDefault="008D38EC" w:rsidP="00D36F09">
            <w:pPr>
              <w:pStyle w:val="Tabletext"/>
              <w:jc w:val="center"/>
            </w:pPr>
            <w:r w:rsidRPr="008D38EC">
              <w:t>Rec. UIT-R M.1851, Diagrama COS</w:t>
            </w:r>
            <w:r w:rsidRPr="008D38EC">
              <w:rPr>
                <w:vertAlign w:val="superscript"/>
              </w:rPr>
              <w:t>2</w:t>
            </w:r>
          </w:p>
        </w:tc>
      </w:tr>
      <w:tr w:rsidR="008D38EC" w:rsidRPr="008D38EC" w14:paraId="40111129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EBA1" w14:textId="295BBB84" w:rsidR="008D38EC" w:rsidRPr="008D38EC" w:rsidRDefault="008D38EC" w:rsidP="00D36F09">
            <w:pPr>
              <w:pStyle w:val="Tabletext"/>
              <w:jc w:val="left"/>
            </w:pPr>
            <w:r w:rsidRPr="008D38EC">
              <w:t>Cifra de ruido de receptor (dBm)</w:t>
            </w:r>
            <w:r w:rsidR="00D36F09">
              <w:t xml:space="preserve"> </w:t>
            </w:r>
            <w:r w:rsidR="00D36F09">
              <w:br/>
            </w:r>
            <w:r w:rsidRPr="008D38EC">
              <w:t>(véase M.1461, debajo de la ecuación (4))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604C" w14:textId="27161EC8" w:rsidR="008D38EC" w:rsidRPr="008D38EC" w:rsidRDefault="00D36F09" w:rsidP="00D36F09">
            <w:pPr>
              <w:pStyle w:val="Tabletext"/>
              <w:jc w:val="center"/>
              <w:rPr>
                <w:lang w:val="en-GB"/>
              </w:rPr>
            </w:pPr>
            <w:r w:rsidRPr="00D36F09">
              <w:t>−</w:t>
            </w:r>
            <w:r w:rsidR="008D38EC" w:rsidRPr="008D38EC">
              <w:t>105</w:t>
            </w:r>
            <w:r w:rsidRPr="00C3336F">
              <w:rPr>
                <w:lang w:eastAsia="ja-JP"/>
              </w:rPr>
              <w:t>…</w:t>
            </w:r>
            <w:r w:rsidR="008D38EC" w:rsidRPr="008D38EC">
              <w:t xml:space="preserve"> </w:t>
            </w:r>
            <w:r w:rsidRPr="00D36F09">
              <w:t>−</w:t>
            </w:r>
            <w:r w:rsidR="008D38EC" w:rsidRPr="008D38EC">
              <w:t>93,2</w:t>
            </w:r>
          </w:p>
        </w:tc>
      </w:tr>
      <w:tr w:rsidR="008D38EC" w:rsidRPr="008D38EC" w14:paraId="026A4599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2BA8" w14:textId="77777777" w:rsidR="008D38EC" w:rsidRPr="008D38EC" w:rsidRDefault="008D38EC" w:rsidP="008D38EC">
            <w:pPr>
              <w:pStyle w:val="Tabletext"/>
            </w:pPr>
            <w:r w:rsidRPr="008D38EC">
              <w:t>Factor de ruido del receptor (dB)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BD19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7</w:t>
            </w:r>
          </w:p>
        </w:tc>
      </w:tr>
      <w:tr w:rsidR="008D38EC" w:rsidRPr="008D38EC" w14:paraId="6CE05625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A612" w14:textId="77777777" w:rsidR="008D38EC" w:rsidRPr="008D38EC" w:rsidRDefault="008D38EC" w:rsidP="008D38EC">
            <w:pPr>
              <w:pStyle w:val="Tabletext"/>
            </w:pPr>
            <w:r w:rsidRPr="008D38EC">
              <w:t>Anchura de banda de emisión RF (MHz)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CFD2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Hasta 24</w:t>
            </w:r>
          </w:p>
        </w:tc>
      </w:tr>
      <w:tr w:rsidR="008D38EC" w:rsidRPr="008D38EC" w14:paraId="10DF0E0F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C5BF" w14:textId="0B6D10CD" w:rsidR="008D38EC" w:rsidRPr="008D38EC" w:rsidRDefault="008D38EC" w:rsidP="008D38EC">
            <w:pPr>
              <w:pStyle w:val="Tabletext"/>
            </w:pPr>
            <w:r w:rsidRPr="008D38EC">
              <w:t>FI de receptor 3</w:t>
            </w:r>
            <w:r w:rsidR="00D36F09">
              <w:t> </w:t>
            </w:r>
            <w:r w:rsidRPr="008D38EC">
              <w:t>dB de anchura de banda (MHz)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1769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1,5-24</w:t>
            </w:r>
          </w:p>
        </w:tc>
      </w:tr>
      <w:tr w:rsidR="008D38EC" w:rsidRPr="008D38EC" w14:paraId="3470C916" w14:textId="77777777" w:rsidTr="00601EC7">
        <w:trPr>
          <w:cantSplit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131D" w14:textId="77777777" w:rsidR="008D38EC" w:rsidRPr="008D38EC" w:rsidRDefault="008D38EC" w:rsidP="008D38EC">
            <w:pPr>
              <w:pStyle w:val="Tabletext"/>
            </w:pPr>
            <w:r w:rsidRPr="008D38EC">
              <w:t xml:space="preserve">Criterio de protección </w:t>
            </w:r>
            <w:r w:rsidRPr="008D38EC">
              <w:rPr>
                <w:i/>
                <w:iCs/>
              </w:rPr>
              <w:t>I</w:t>
            </w:r>
            <w:r w:rsidRPr="00601EC7">
              <w:t>/</w:t>
            </w:r>
            <w:r w:rsidRPr="008D38EC">
              <w:rPr>
                <w:i/>
                <w:iCs/>
              </w:rPr>
              <w:t>N</w:t>
            </w:r>
            <w:r w:rsidRPr="008D38EC">
              <w:t xml:space="preserve"> (dB)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2C2F" w14:textId="0599A64C" w:rsidR="008D38EC" w:rsidRPr="008D38EC" w:rsidRDefault="00D36F09" w:rsidP="00D36F09">
            <w:pPr>
              <w:pStyle w:val="Tabletext"/>
              <w:jc w:val="center"/>
              <w:rPr>
                <w:lang w:val="en-GB"/>
              </w:rPr>
            </w:pPr>
            <w:r w:rsidRPr="00D36F09">
              <w:t>−</w:t>
            </w:r>
            <w:r w:rsidR="008D38EC" w:rsidRPr="008D38EC">
              <w:t>6</w:t>
            </w:r>
          </w:p>
        </w:tc>
      </w:tr>
    </w:tbl>
    <w:p w14:paraId="65DF2BCE" w14:textId="77777777" w:rsidR="008D38EC" w:rsidRPr="008D38EC" w:rsidRDefault="008D38EC" w:rsidP="008D38EC">
      <w:pPr>
        <w:pStyle w:val="Tablefin"/>
      </w:pPr>
    </w:p>
    <w:p w14:paraId="3DA05D5F" w14:textId="3FA74FC1" w:rsidR="008D38EC" w:rsidRPr="008D38EC" w:rsidRDefault="008D38EC" w:rsidP="008D38EC">
      <w:pPr>
        <w:pStyle w:val="Heading2"/>
      </w:pPr>
      <w:r w:rsidRPr="008D38EC">
        <w:t>2.2</w:t>
      </w:r>
      <w:r w:rsidRPr="008D38EC">
        <w:tab/>
        <w:t>Sistemas de detección de objetos extraños en aeropuertos que funcionan en la gama de frecuencias 92</w:t>
      </w:r>
      <w:r w:rsidR="00D36F09">
        <w:noBreakHyphen/>
      </w:r>
      <w:r w:rsidRPr="008D38EC">
        <w:t>100</w:t>
      </w:r>
      <w:r w:rsidR="00D36F09">
        <w:t> </w:t>
      </w:r>
      <w:r w:rsidRPr="008D38EC">
        <w:t>GHz</w:t>
      </w:r>
    </w:p>
    <w:p w14:paraId="4C2ACFB1" w14:textId="73289FEA" w:rsidR="008D38EC" w:rsidRPr="008D38EC" w:rsidRDefault="008D38EC" w:rsidP="00D36F09">
      <w:bookmarkStart w:id="4" w:name="_Hlk536622171"/>
      <w:r w:rsidRPr="008D38EC">
        <w:t>Los sistemas de detección de objetos extraños (FOD) que funcionan en la gama de frecuencias 92</w:t>
      </w:r>
      <w:r w:rsidR="00D36F09">
        <w:noBreakHyphen/>
      </w:r>
      <w:r w:rsidRPr="008D38EC">
        <w:t>100</w:t>
      </w:r>
      <w:r w:rsidR="00D36F09">
        <w:t> </w:t>
      </w:r>
      <w:r w:rsidRPr="008D38EC">
        <w:t>GHz pueden proporcionar una elevada sensibilidad de detección, un breve tiempo de respuesta de detección, una cobertura suficiente de la zona de vigilancia de la pista y una elevada precisión de localización para las operaciones de seguridad aeroportuaria. En el Cuadro</w:t>
      </w:r>
      <w:r w:rsidR="00D36F09">
        <w:t> </w:t>
      </w:r>
      <w:r w:rsidRPr="008D38EC">
        <w:t>2 se resumen las características técnicas y operativas de los sistemas de detección de objetos extraños que funcionan en la gama de frecuencias 92</w:t>
      </w:r>
      <w:r w:rsidR="00D36F09">
        <w:noBreakHyphen/>
      </w:r>
      <w:r w:rsidRPr="008D38EC">
        <w:t>100</w:t>
      </w:r>
      <w:r w:rsidR="00D36F09">
        <w:t> </w:t>
      </w:r>
      <w:r w:rsidRPr="008D38EC">
        <w:t>GHz.</w:t>
      </w:r>
    </w:p>
    <w:p w14:paraId="216E8C66" w14:textId="45673D79" w:rsidR="008D38EC" w:rsidRPr="008D38EC" w:rsidRDefault="008D38EC" w:rsidP="008D38EC">
      <w:r w:rsidRPr="008D38EC">
        <w:t xml:space="preserve">Se entiende por objeto extraño cualquier objeto situado en un lugar inadecuado en el entorno aeroportuario que tiene la capacidad de causar daños al personal de los aeropuertos o de las compañías aéreas y deteriorar las aeronaves. La presencia de objetos extraños en las pistas, calles de rodaje, plataformas de estacionamiento y rampas de los aeropuertos representa una amenaza significativa para la seguridad del transporte aéreo. Los objetos extraños pueden </w:t>
      </w:r>
      <w:r w:rsidR="008B524F" w:rsidRPr="008D38EC">
        <w:t>deteriorar</w:t>
      </w:r>
      <w:r w:rsidRPr="008D38EC">
        <w:t xml:space="preserve"> las aeronaves durante las fases críticas del vuelo, lo que puede provocar perdidas catastróficas de vidas humanas y de fuselaje, así como un aumento de los gastos de mantenimiento y explotación. Sin embargo, los riesgos que plantean los objetos extraños pueden reducirse utilizando equipos de detección de objetos extraños.</w:t>
      </w:r>
    </w:p>
    <w:p w14:paraId="290CE964" w14:textId="62B59801" w:rsidR="008D38EC" w:rsidRPr="008D38EC" w:rsidRDefault="008D38EC" w:rsidP="008D38EC">
      <w:r w:rsidRPr="008D38EC">
        <w:t>Los objetos extraños pueden causar daños graves al personal de los aeropuertos o de las compañías aéreas y deteriorar los equipos. Entre los posibles deterioros figuran el corte de neumáticos de aeronaves, la absorción por los motores; o el alojamiento en mecanismos que afectan a las operaciones de vuelo. Pueden producirse lesiones personales cuando el chorro del reactor propulsa objetos extraños al entorno aeroportuario a gran velocidad.</w:t>
      </w:r>
    </w:p>
    <w:p w14:paraId="6F626DFA" w14:textId="4741BA11" w:rsidR="008D38EC" w:rsidRPr="008D38EC" w:rsidRDefault="008D38EC" w:rsidP="008D38EC">
      <w:r w:rsidRPr="008D38EC">
        <w:lastRenderedPageBreak/>
        <w:t>Los artículos de color oscuro representan casi el 50% de los objetos extraños recogidos. Por lo general, los objetos extraños tienen unas dimensiones de 3</w:t>
      </w:r>
      <w:r w:rsidR="00D36F09">
        <w:t> </w:t>
      </w:r>
      <w:r w:rsidRPr="008D38EC">
        <w:t>cm por 3</w:t>
      </w:r>
      <w:r w:rsidR="00D36F09">
        <w:t> </w:t>
      </w:r>
      <w:r w:rsidRPr="008D38EC">
        <w:t>cm o menos. A continuación se enumeran algunos de los objetos extraños más frecuentes:</w:t>
      </w:r>
    </w:p>
    <w:p w14:paraId="2E22090E" w14:textId="77777777" w:rsidR="008D38EC" w:rsidRPr="008D38EC" w:rsidRDefault="008D38EC" w:rsidP="008D38EC">
      <w:pPr>
        <w:pStyle w:val="enumlev1"/>
      </w:pPr>
      <w:r w:rsidRPr="008D38EC">
        <w:t>–</w:t>
      </w:r>
      <w:r w:rsidRPr="008D38EC">
        <w:tab/>
        <w:t>elementos de fijación para aeronaves y motores (tuercas, pernos, arandelas, cables de seguridad, etc.);</w:t>
      </w:r>
    </w:p>
    <w:p w14:paraId="6AC23407" w14:textId="77777777" w:rsidR="008D38EC" w:rsidRPr="008D38EC" w:rsidRDefault="008D38EC" w:rsidP="008D38EC">
      <w:pPr>
        <w:pStyle w:val="enumlev1"/>
      </w:pPr>
      <w:r w:rsidRPr="008D38EC">
        <w:t>–</w:t>
      </w:r>
      <w:r w:rsidRPr="008D38EC">
        <w:tab/>
        <w:t>partes de aeronaves (tapas del depósito de combustible, fragmentos del tren de aterrizaje, varillas de aceite, chapas metálicas, trampillas y fragmentos de neumáticos);</w:t>
      </w:r>
    </w:p>
    <w:p w14:paraId="3752D77F" w14:textId="77777777" w:rsidR="008D38EC" w:rsidRPr="008D38EC" w:rsidRDefault="008D38EC" w:rsidP="008D38EC">
      <w:pPr>
        <w:pStyle w:val="enumlev1"/>
      </w:pPr>
      <w:r w:rsidRPr="008D38EC">
        <w:t>–</w:t>
      </w:r>
      <w:r w:rsidRPr="008D38EC">
        <w:tab/>
        <w:t>herramientas de mecánica;</w:t>
      </w:r>
    </w:p>
    <w:p w14:paraId="0021ECA5" w14:textId="77777777" w:rsidR="008D38EC" w:rsidRPr="008D38EC" w:rsidRDefault="008D38EC" w:rsidP="008D38EC">
      <w:pPr>
        <w:pStyle w:val="enumlev1"/>
      </w:pPr>
      <w:r w:rsidRPr="008D38EC">
        <w:t>–</w:t>
      </w:r>
      <w:r w:rsidRPr="008D38EC">
        <w:tab/>
        <w:t>suministros de restauración;</w:t>
      </w:r>
    </w:p>
    <w:p w14:paraId="308030B0" w14:textId="77777777" w:rsidR="008D38EC" w:rsidRPr="008D38EC" w:rsidRDefault="008D38EC" w:rsidP="008D38EC">
      <w:pPr>
        <w:pStyle w:val="enumlev1"/>
      </w:pPr>
      <w:r w:rsidRPr="008D38EC">
        <w:t>–</w:t>
      </w:r>
      <w:r w:rsidRPr="008D38EC">
        <w:tab/>
        <w:t>artículos de cabina (clavos, tarjetas de identificación de personal, bolígrafos, lápices, etiquetas para equipajes, latas de refrescos, etc.);</w:t>
      </w:r>
    </w:p>
    <w:p w14:paraId="40D89300" w14:textId="474B698A" w:rsidR="008D38EC" w:rsidRPr="008D38EC" w:rsidRDefault="008D38EC" w:rsidP="008D38EC">
      <w:pPr>
        <w:pStyle w:val="enumlev1"/>
      </w:pPr>
      <w:r w:rsidRPr="008D38EC">
        <w:t>–</w:t>
      </w:r>
      <w:r w:rsidRPr="008D38EC">
        <w:tab/>
        <w:t xml:space="preserve">artículos de plataforma de estacionamiento (desechos de papel y plástico provenientes de los </w:t>
      </w:r>
      <w:r w:rsidR="008B524F" w:rsidRPr="008D38EC">
        <w:t>suministros</w:t>
      </w:r>
      <w:r w:rsidRPr="008D38EC">
        <w:t xml:space="preserve"> de restauración y las paletas de carga, partes de equipaje y desechos de equipos de rampa);</w:t>
      </w:r>
    </w:p>
    <w:p w14:paraId="4F8C3EAA" w14:textId="77777777" w:rsidR="008D38EC" w:rsidRPr="008D38EC" w:rsidRDefault="008D38EC" w:rsidP="008D38EC">
      <w:pPr>
        <w:pStyle w:val="enumlev1"/>
      </w:pPr>
      <w:r w:rsidRPr="008D38EC">
        <w:t>–</w:t>
      </w:r>
      <w:r w:rsidRPr="008D38EC">
        <w:tab/>
        <w:t>materiales de pista y calle de rodaje (trozos de hormigón y asfalto, materiales de goma para juntas y cascarillas de pintura);</w:t>
      </w:r>
    </w:p>
    <w:p w14:paraId="524CED87" w14:textId="77777777" w:rsidR="008D38EC" w:rsidRPr="008D38EC" w:rsidRDefault="008D38EC" w:rsidP="008D38EC">
      <w:pPr>
        <w:pStyle w:val="enumlev1"/>
      </w:pPr>
      <w:r w:rsidRPr="008D38EC">
        <w:t>–</w:t>
      </w:r>
      <w:r w:rsidRPr="008D38EC">
        <w:tab/>
        <w:t>escombros de construcción (trozos de madera, piedras, elementos de fijación y objetos metálicos diversos);</w:t>
      </w:r>
    </w:p>
    <w:p w14:paraId="6C4131DA" w14:textId="77777777" w:rsidR="008D38EC" w:rsidRPr="008D38EC" w:rsidRDefault="008D38EC" w:rsidP="008D38EC">
      <w:pPr>
        <w:pStyle w:val="enumlev1"/>
      </w:pPr>
      <w:r w:rsidRPr="008D38EC">
        <w:t>–</w:t>
      </w:r>
      <w:r w:rsidRPr="008D38EC">
        <w:tab/>
        <w:t>materiales plásticos y/o de polietileno;</w:t>
      </w:r>
    </w:p>
    <w:p w14:paraId="1C2261EC" w14:textId="7966786D" w:rsidR="008D38EC" w:rsidRPr="008D38EC" w:rsidRDefault="008D38EC" w:rsidP="008D38EC">
      <w:pPr>
        <w:pStyle w:val="enumlev1"/>
      </w:pPr>
      <w:r w:rsidRPr="008D38EC">
        <w:t>–</w:t>
      </w:r>
      <w:r w:rsidRPr="008D38EC">
        <w:tab/>
        <w:t>materiales de la naturaleza (fragmentos de plantas y fauna silvestre); y</w:t>
      </w:r>
    </w:p>
    <w:p w14:paraId="6E135999" w14:textId="0C9B3C16" w:rsidR="008D38EC" w:rsidRPr="008D38EC" w:rsidRDefault="008D38EC" w:rsidP="008D38EC">
      <w:pPr>
        <w:pStyle w:val="enumlev1"/>
      </w:pPr>
      <w:r w:rsidRPr="008D38EC">
        <w:t>–</w:t>
      </w:r>
      <w:r w:rsidRPr="008D38EC">
        <w:tab/>
        <w:t>contaminantes procedentes de fenómenos invernales (nieve, hielo).</w:t>
      </w:r>
    </w:p>
    <w:bookmarkEnd w:id="4"/>
    <w:p w14:paraId="77612BA1" w14:textId="3E14B314" w:rsidR="008D38EC" w:rsidRPr="008D38EC" w:rsidRDefault="008D38EC" w:rsidP="008D38EC">
      <w:pPr>
        <w:pStyle w:val="TableNo"/>
      </w:pPr>
      <w:r w:rsidRPr="008D38EC">
        <w:t>CUADRO 2</w:t>
      </w:r>
    </w:p>
    <w:p w14:paraId="65D3B2CD" w14:textId="5867D723" w:rsidR="008D38EC" w:rsidRPr="008D38EC" w:rsidRDefault="008D38EC" w:rsidP="008D38EC">
      <w:pPr>
        <w:pStyle w:val="Tabletitle"/>
      </w:pPr>
      <w:r w:rsidRPr="008D38EC">
        <w:t xml:space="preserve">Características técnicas y operativas de los sistemas de detección de objetos extraños </w:t>
      </w:r>
      <w:r>
        <w:br/>
      </w:r>
      <w:r w:rsidRPr="008D38EC">
        <w:t>que funcionan en la gama de frecuencias 92-100</w:t>
      </w:r>
      <w:r w:rsidR="00601116">
        <w:t> </w:t>
      </w:r>
      <w:r w:rsidRPr="008D38EC">
        <w:t>GHz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7"/>
        <w:gridCol w:w="4362"/>
      </w:tblGrid>
      <w:tr w:rsidR="008D38EC" w:rsidRPr="008D38EC" w14:paraId="42F5C912" w14:textId="77777777" w:rsidTr="00601EC7">
        <w:trPr>
          <w:cantSplit/>
          <w:trHeight w:val="331"/>
          <w:tblHeader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514C" w14:textId="77777777" w:rsidR="008D38EC" w:rsidRPr="008D38EC" w:rsidRDefault="008D38EC" w:rsidP="008D38EC">
            <w:pPr>
              <w:pStyle w:val="Tablehead"/>
              <w:rPr>
                <w:lang w:val="en-GB"/>
              </w:rPr>
            </w:pPr>
            <w:bookmarkStart w:id="5" w:name="_Hlk524367930"/>
            <w:r w:rsidRPr="008D38EC">
              <w:t>Parámetros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7687" w14:textId="77777777" w:rsidR="008D38EC" w:rsidRPr="008D38EC" w:rsidRDefault="008D38EC" w:rsidP="008D38EC">
            <w:pPr>
              <w:pStyle w:val="Tablehead"/>
              <w:rPr>
                <w:lang w:val="en-GB"/>
              </w:rPr>
            </w:pPr>
            <w:r w:rsidRPr="008D38EC">
              <w:t>Valores</w:t>
            </w:r>
          </w:p>
        </w:tc>
      </w:tr>
      <w:tr w:rsidR="008D38EC" w:rsidRPr="008D38EC" w14:paraId="64D2A00A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A1F0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Gama de frecuencias (GHz)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59B7" w14:textId="10BDF924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92</w:t>
            </w:r>
            <w:r w:rsidR="00D36F09" w:rsidRPr="00D36F09">
              <w:rPr>
                <w:lang w:val="en-GB"/>
              </w:rPr>
              <w:t>…</w:t>
            </w:r>
            <w:r w:rsidRPr="008D38EC">
              <w:t xml:space="preserve"> 100</w:t>
            </w:r>
          </w:p>
        </w:tc>
      </w:tr>
      <w:tr w:rsidR="008D38EC" w:rsidRPr="008D38EC" w14:paraId="040010FB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824F" w14:textId="77777777" w:rsidR="008D38EC" w:rsidRPr="008D38EC" w:rsidRDefault="008D38EC" w:rsidP="008D38EC">
            <w:pPr>
              <w:pStyle w:val="Tabletext"/>
            </w:pPr>
            <w:r w:rsidRPr="008D38EC">
              <w:t>Anchura de banda del canal (MHz)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195F" w14:textId="0C3A3958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0,58</w:t>
            </w:r>
            <w:r w:rsidR="00D36F09" w:rsidRPr="00D36F09">
              <w:t>…</w:t>
            </w:r>
            <w:r w:rsidRPr="008D38EC">
              <w:t xml:space="preserve"> 7,98</w:t>
            </w:r>
          </w:p>
        </w:tc>
      </w:tr>
      <w:tr w:rsidR="008D38EC" w:rsidRPr="008D38EC" w14:paraId="764C1CFB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1AE5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Plan de canales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6F07" w14:textId="11FE498D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Véase la Fig</w:t>
            </w:r>
            <w:r w:rsidR="00601EC7">
              <w:t>.</w:t>
            </w:r>
            <w:r w:rsidR="00D36F09">
              <w:t> </w:t>
            </w:r>
            <w:r w:rsidRPr="008D38EC">
              <w:t>1</w:t>
            </w:r>
          </w:p>
        </w:tc>
      </w:tr>
      <w:tr w:rsidR="008D38EC" w:rsidRPr="008D38EC" w14:paraId="344D0D8A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C749" w14:textId="77777777" w:rsidR="008D38EC" w:rsidRPr="008D38EC" w:rsidRDefault="008D38EC" w:rsidP="008D38EC">
            <w:pPr>
              <w:pStyle w:val="Tabletext"/>
            </w:pPr>
            <w:r w:rsidRPr="008D38EC">
              <w:t>Potencia de cresta de transmisión (mW)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3054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100-200</w:t>
            </w:r>
          </w:p>
        </w:tc>
      </w:tr>
      <w:tr w:rsidR="008D38EC" w:rsidRPr="008D38EC" w14:paraId="3B43736D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26E6" w14:textId="77777777" w:rsidR="008D38EC" w:rsidRPr="008D38EC" w:rsidRDefault="008D38EC" w:rsidP="008D38EC">
            <w:pPr>
              <w:pStyle w:val="Tabletext"/>
            </w:pPr>
            <w:bookmarkStart w:id="6" w:name="_Hlk525679181"/>
            <w:r w:rsidRPr="008D38EC">
              <w:t>Frecuencia de barrido (FMCW) (kHz)</w:t>
            </w:r>
            <w:bookmarkEnd w:id="6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0F23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1,250</w:t>
            </w:r>
          </w:p>
        </w:tc>
      </w:tr>
      <w:tr w:rsidR="008D38EC" w:rsidRPr="008D38EC" w14:paraId="4B930415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01E7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Tipo de antena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C492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Cassegrain</w:t>
            </w:r>
          </w:p>
        </w:tc>
      </w:tr>
      <w:tr w:rsidR="008D38EC" w:rsidRPr="008D38EC" w14:paraId="0C082B2A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7AF6" w14:textId="77777777" w:rsidR="008D38EC" w:rsidRPr="008D38EC" w:rsidRDefault="008D38EC" w:rsidP="008D38EC">
            <w:pPr>
              <w:pStyle w:val="Tabletext"/>
            </w:pPr>
            <w:r w:rsidRPr="008D38EC">
              <w:t>Ganancia de la antena (dBi)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0756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44</w:t>
            </w:r>
          </w:p>
        </w:tc>
      </w:tr>
      <w:tr w:rsidR="008D38EC" w:rsidRPr="008D38EC" w14:paraId="76E51DBD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9139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Diagrama de antena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FC91" w14:textId="6C83FE31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Rec.</w:t>
            </w:r>
            <w:r w:rsidR="00D36F09">
              <w:t> </w:t>
            </w:r>
            <w:r w:rsidRPr="008D38EC">
              <w:t>UIT-R F.699</w:t>
            </w:r>
          </w:p>
        </w:tc>
      </w:tr>
      <w:tr w:rsidR="008D38EC" w:rsidRPr="008D38EC" w14:paraId="2CD5468C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DE69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Altura de antena (m)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3AA3" w14:textId="788855AE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4</w:t>
            </w:r>
            <w:r w:rsidR="00D36F09" w:rsidRPr="00C3336F">
              <w:rPr>
                <w:lang w:eastAsia="ja-JP"/>
              </w:rPr>
              <w:t>…</w:t>
            </w:r>
            <w:r w:rsidRPr="008D38EC">
              <w:t xml:space="preserve"> 8</w:t>
            </w:r>
          </w:p>
        </w:tc>
      </w:tr>
      <w:tr w:rsidR="008D38EC" w:rsidRPr="008D38EC" w14:paraId="43D386CA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3FB4" w14:textId="3AD9B8C1" w:rsidR="008D38EC" w:rsidRPr="008D38EC" w:rsidRDefault="008D38EC" w:rsidP="008D38EC">
            <w:pPr>
              <w:pStyle w:val="Tabletext"/>
            </w:pPr>
            <w:r w:rsidRPr="008D38EC">
              <w:t>Anchura total a la mitad del valor máximo de la ganancia de la antena (anchura del haz a 3</w:t>
            </w:r>
            <w:r w:rsidR="00D36F09">
              <w:t> </w:t>
            </w:r>
            <w:r w:rsidRPr="008D38EC">
              <w:t>dB) (grados)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A3DF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Elevación: 1,0, Acimut: 1,0</w:t>
            </w:r>
          </w:p>
        </w:tc>
      </w:tr>
      <w:tr w:rsidR="008D38EC" w:rsidRPr="008D38EC" w14:paraId="1044B477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D8FD" w14:textId="77777777" w:rsidR="008D38EC" w:rsidRPr="008D38EC" w:rsidRDefault="008D38EC" w:rsidP="008D38EC">
            <w:pPr>
              <w:pStyle w:val="Tabletext"/>
            </w:pPr>
            <w:r w:rsidRPr="008D38EC">
              <w:t>Velocidad de rotación de la antena (rpm)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2113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15</w:t>
            </w:r>
          </w:p>
        </w:tc>
      </w:tr>
      <w:tr w:rsidR="008D38EC" w:rsidRPr="008D38EC" w14:paraId="6232D715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F58C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Distancia de detección (m)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DE2A" w14:textId="68B69098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200</w:t>
            </w:r>
            <w:r w:rsidR="00D36F09" w:rsidRPr="00C3336F">
              <w:rPr>
                <w:lang w:eastAsia="ja-JP"/>
              </w:rPr>
              <w:t>…</w:t>
            </w:r>
            <w:r w:rsidRPr="008D38EC">
              <w:t xml:space="preserve"> 500</w:t>
            </w:r>
          </w:p>
        </w:tc>
      </w:tr>
      <w:tr w:rsidR="008D38EC" w:rsidRPr="008D38EC" w14:paraId="1123DB89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3B10" w14:textId="77777777" w:rsidR="008D38EC" w:rsidRPr="008D38EC" w:rsidRDefault="008D38EC" w:rsidP="008D38EC">
            <w:pPr>
              <w:pStyle w:val="Tabletext"/>
            </w:pPr>
            <w:r w:rsidRPr="008D38EC">
              <w:t>Ángulo de rotación radiado en acimut (grados)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A702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±60</w:t>
            </w:r>
          </w:p>
        </w:tc>
      </w:tr>
      <w:tr w:rsidR="008D38EC" w:rsidRPr="008D38EC" w14:paraId="64C24666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C826" w14:textId="77777777" w:rsidR="008D38EC" w:rsidRPr="008D38EC" w:rsidRDefault="008D38EC" w:rsidP="008D38EC">
            <w:pPr>
              <w:pStyle w:val="Tabletext"/>
            </w:pPr>
            <w:r w:rsidRPr="008D38EC">
              <w:t>Especificación de la sección transversal del radar (dB/m</w:t>
            </w:r>
            <w:r w:rsidRPr="008D38EC">
              <w:rPr>
                <w:vertAlign w:val="superscript"/>
              </w:rPr>
              <w:t>2</w:t>
            </w:r>
            <w:r w:rsidRPr="008D38EC">
              <w:t>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282E" w14:textId="4EBF2867" w:rsidR="008D38EC" w:rsidRPr="008D38EC" w:rsidRDefault="00D36F09" w:rsidP="00D36F09">
            <w:pPr>
              <w:pStyle w:val="Tabletext"/>
              <w:jc w:val="center"/>
              <w:rPr>
                <w:lang w:val="en-GB"/>
              </w:rPr>
            </w:pPr>
            <w:r w:rsidRPr="00D36F09">
              <w:t>−</w:t>
            </w:r>
            <w:r w:rsidR="008D38EC" w:rsidRPr="008D38EC">
              <w:t>20</w:t>
            </w:r>
          </w:p>
        </w:tc>
      </w:tr>
      <w:tr w:rsidR="008D38EC" w:rsidRPr="008D38EC" w14:paraId="50B523F3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A128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Resolución del alcance (cm)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36CC" w14:textId="66810670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3</w:t>
            </w:r>
            <w:r w:rsidR="00D36F09" w:rsidRPr="00C3336F">
              <w:rPr>
                <w:lang w:eastAsia="ja-JP"/>
              </w:rPr>
              <w:t>…</w:t>
            </w:r>
            <w:r w:rsidRPr="008D38EC">
              <w:t xml:space="preserve"> 50</w:t>
            </w:r>
          </w:p>
        </w:tc>
      </w:tr>
    </w:tbl>
    <w:p w14:paraId="4BD8BE40" w14:textId="63F9CD1E" w:rsidR="00D36F09" w:rsidRPr="008D38EC" w:rsidRDefault="00D36F09" w:rsidP="00D36F09">
      <w:pPr>
        <w:pStyle w:val="TableNo"/>
      </w:pPr>
      <w:r w:rsidRPr="008D38EC">
        <w:lastRenderedPageBreak/>
        <w:t>CUADRO 2</w:t>
      </w:r>
      <w:r>
        <w:t xml:space="preserve"> </w:t>
      </w:r>
      <w:r w:rsidRPr="008D38EC">
        <w:t>(</w:t>
      </w:r>
      <w:r w:rsidRPr="008D38EC">
        <w:rPr>
          <w:i/>
          <w:iCs/>
        </w:rPr>
        <w:t>fin</w:t>
      </w:r>
      <w:r w:rsidRPr="008D38EC"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7"/>
        <w:gridCol w:w="4362"/>
      </w:tblGrid>
      <w:tr w:rsidR="00D36F09" w:rsidRPr="008D38EC" w14:paraId="2BC93FD3" w14:textId="77777777" w:rsidTr="00601EC7">
        <w:trPr>
          <w:cantSplit/>
          <w:trHeight w:val="331"/>
          <w:tblHeader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5AD2" w14:textId="77777777" w:rsidR="00D36F09" w:rsidRPr="008D38EC" w:rsidRDefault="00D36F09" w:rsidP="00CF2EA3">
            <w:pPr>
              <w:pStyle w:val="Tablehead"/>
              <w:rPr>
                <w:lang w:val="en-GB"/>
              </w:rPr>
            </w:pPr>
            <w:r w:rsidRPr="008D38EC">
              <w:t>Parámetros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DA52" w14:textId="77777777" w:rsidR="00D36F09" w:rsidRPr="008D38EC" w:rsidRDefault="00D36F09" w:rsidP="00CF2EA3">
            <w:pPr>
              <w:pStyle w:val="Tablehead"/>
              <w:rPr>
                <w:lang w:val="en-GB"/>
              </w:rPr>
            </w:pPr>
            <w:r w:rsidRPr="008D38EC">
              <w:t>Valores</w:t>
            </w:r>
          </w:p>
        </w:tc>
      </w:tr>
      <w:tr w:rsidR="008D38EC" w:rsidRPr="008D38EC" w14:paraId="6935FBB4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F413" w14:textId="60A10DFF" w:rsidR="008D38EC" w:rsidRPr="008D38EC" w:rsidRDefault="008D38EC" w:rsidP="008D38EC">
            <w:pPr>
              <w:pStyle w:val="Tabletext"/>
            </w:pPr>
            <w:r w:rsidRPr="008D38EC">
              <w:t>Anchura de banda de la emisión (</w:t>
            </w:r>
            <w:r w:rsidR="00D36F09" w:rsidRPr="00D36F09">
              <w:t>−</w:t>
            </w:r>
            <w:r w:rsidRPr="008D38EC">
              <w:t>3 dB) (MHz)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4BBB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1</w:t>
            </w:r>
          </w:p>
        </w:tc>
      </w:tr>
      <w:tr w:rsidR="008D38EC" w:rsidRPr="008D38EC" w14:paraId="4BADB2C9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2020" w14:textId="11BFE764" w:rsidR="008D38EC" w:rsidRPr="008D38EC" w:rsidRDefault="008D38EC" w:rsidP="008D38EC">
            <w:pPr>
              <w:pStyle w:val="Tabletext"/>
            </w:pPr>
            <w:r w:rsidRPr="008D38EC">
              <w:t>Anchura de banda de la emisión (</w:t>
            </w:r>
            <w:r w:rsidR="00D36F09" w:rsidRPr="00D36F09">
              <w:t>−</w:t>
            </w:r>
            <w:r w:rsidRPr="008D38EC">
              <w:t>20 dB) (MHz)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5AF8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3,5</w:t>
            </w:r>
          </w:p>
        </w:tc>
      </w:tr>
      <w:tr w:rsidR="008D38EC" w:rsidRPr="008D38EC" w14:paraId="242C58C1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A8ED" w14:textId="77777777" w:rsidR="008D38EC" w:rsidRPr="008D38EC" w:rsidRDefault="008D38EC" w:rsidP="008D38EC">
            <w:pPr>
              <w:pStyle w:val="Tabletext"/>
            </w:pPr>
            <w:r w:rsidRPr="008D38EC">
              <w:t>Relación de potencia de fuga del canal adyacente (dBc)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791E" w14:textId="2B296C1D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 xml:space="preserve">&lt; </w:t>
            </w:r>
            <w:r w:rsidR="00D36F09" w:rsidRPr="00D36F09">
              <w:t>−</w:t>
            </w:r>
            <w:r w:rsidRPr="008D38EC">
              <w:t>70</w:t>
            </w:r>
          </w:p>
        </w:tc>
      </w:tr>
      <w:tr w:rsidR="008D38EC" w:rsidRPr="008D38EC" w14:paraId="7B5F7618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AA52" w14:textId="77777777" w:rsidR="008D38EC" w:rsidRPr="008D38EC" w:rsidRDefault="008D38EC" w:rsidP="008D38EC">
            <w:pPr>
              <w:pStyle w:val="Tabletext"/>
            </w:pPr>
            <w:r w:rsidRPr="008D38EC">
              <w:t>Factor de ruido del receptor (dB)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ED31" w14:textId="77777777" w:rsidR="008D38EC" w:rsidRPr="008D38EC" w:rsidRDefault="008D38EC" w:rsidP="00D36F09">
            <w:pPr>
              <w:pStyle w:val="Tabletext"/>
              <w:jc w:val="center"/>
              <w:rPr>
                <w:lang w:val="en-GB"/>
              </w:rPr>
            </w:pPr>
            <w:r w:rsidRPr="008D38EC">
              <w:t>10</w:t>
            </w:r>
          </w:p>
        </w:tc>
      </w:tr>
      <w:tr w:rsidR="008D38EC" w:rsidRPr="008D38EC" w14:paraId="4DB4D02B" w14:textId="77777777" w:rsidTr="00601EC7">
        <w:trPr>
          <w:cantSplit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7C52" w14:textId="77777777" w:rsidR="008D38EC" w:rsidRPr="008D38EC" w:rsidRDefault="008D38EC" w:rsidP="008D38EC">
            <w:pPr>
              <w:pStyle w:val="Tabletext"/>
            </w:pPr>
            <w:r w:rsidRPr="008D38EC">
              <w:t xml:space="preserve">Criterio de protección </w:t>
            </w:r>
            <w:r w:rsidRPr="008D38EC">
              <w:rPr>
                <w:i/>
                <w:iCs/>
              </w:rPr>
              <w:t>I</w:t>
            </w:r>
            <w:r w:rsidRPr="00601EC7">
              <w:t>/</w:t>
            </w:r>
            <w:r w:rsidRPr="008D38EC">
              <w:rPr>
                <w:i/>
                <w:iCs/>
              </w:rPr>
              <w:t>N</w:t>
            </w:r>
            <w:r w:rsidRPr="008D38EC">
              <w:t xml:space="preserve"> (dB)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042B" w14:textId="2F4571DD" w:rsidR="008D38EC" w:rsidRPr="008D38EC" w:rsidRDefault="00D36F09" w:rsidP="00D36F09">
            <w:pPr>
              <w:pStyle w:val="Tabletext"/>
              <w:jc w:val="center"/>
              <w:rPr>
                <w:lang w:val="en-GB"/>
              </w:rPr>
            </w:pPr>
            <w:r w:rsidRPr="00D36F09">
              <w:t>−</w:t>
            </w:r>
            <w:r w:rsidR="008D38EC" w:rsidRPr="008D38EC">
              <w:t>6</w:t>
            </w:r>
          </w:p>
        </w:tc>
      </w:tr>
      <w:bookmarkEnd w:id="5"/>
    </w:tbl>
    <w:p w14:paraId="2CA2E6B3" w14:textId="0FC9EC19" w:rsidR="008D38EC" w:rsidRPr="008D38EC" w:rsidRDefault="008D38EC" w:rsidP="00C86A08">
      <w:pPr>
        <w:pStyle w:val="Tablefin"/>
      </w:pPr>
    </w:p>
    <w:p w14:paraId="00793C25" w14:textId="1D633891" w:rsidR="008D38EC" w:rsidRPr="00D36F09" w:rsidRDefault="008D38EC" w:rsidP="008D38EC">
      <w:pPr>
        <w:pStyle w:val="FigureNo"/>
      </w:pPr>
      <w:r w:rsidRPr="008D38EC">
        <w:t>FIGURA 1</w:t>
      </w:r>
    </w:p>
    <w:p w14:paraId="4605061F" w14:textId="7C5410BF" w:rsidR="008D38EC" w:rsidRDefault="008D38EC" w:rsidP="008D38EC">
      <w:pPr>
        <w:pStyle w:val="Figuretitle"/>
      </w:pPr>
      <w:r w:rsidRPr="008D38EC">
        <w:t>Plan de canales para sistemas de detección de objetos extraños que funcionan en la gama de frecuencias 92</w:t>
      </w:r>
      <w:r w:rsidR="00D36F09">
        <w:noBreakHyphen/>
      </w:r>
      <w:r w:rsidRPr="008D38EC">
        <w:t>100</w:t>
      </w:r>
      <w:r w:rsidR="00D36F09">
        <w:t> </w:t>
      </w:r>
      <w:r w:rsidRPr="008D38EC">
        <w:t>GHz</w:t>
      </w:r>
    </w:p>
    <w:p w14:paraId="4013573D" w14:textId="3678FA90" w:rsidR="008B524F" w:rsidRPr="008B524F" w:rsidRDefault="008B524F" w:rsidP="008B524F">
      <w:pPr>
        <w:pStyle w:val="Figure"/>
      </w:pPr>
      <w:r w:rsidRPr="008B524F">
        <w:rPr>
          <w:noProof/>
        </w:rPr>
        <w:drawing>
          <wp:inline distT="0" distB="0" distL="0" distR="0" wp14:anchorId="5A312FD1" wp14:editId="6E025B30">
            <wp:extent cx="4680000" cy="37764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7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9C445" w14:textId="78FEB628" w:rsidR="008D38EC" w:rsidRPr="008D38EC" w:rsidRDefault="008D38EC" w:rsidP="008D38EC">
      <w:pPr>
        <w:pStyle w:val="Heading2"/>
      </w:pPr>
      <w:r w:rsidRPr="008D38EC">
        <w:t>2.3</w:t>
      </w:r>
      <w:r w:rsidRPr="008D38EC">
        <w:tab/>
        <w:t>Radares de ondas milimétricas a bordo de aeronaves de asistencia al aterrizaje que funcionan en la gama de frecuencias 95</w:t>
      </w:r>
      <w:r w:rsidR="00D36F09">
        <w:noBreakHyphen/>
      </w:r>
      <w:r w:rsidRPr="008D38EC">
        <w:t>100</w:t>
      </w:r>
      <w:r w:rsidR="00D36F09">
        <w:t> </w:t>
      </w:r>
      <w:r w:rsidRPr="008D38EC">
        <w:t>GHz</w:t>
      </w:r>
    </w:p>
    <w:p w14:paraId="661B4BA7" w14:textId="3B565AF1" w:rsidR="008D38EC" w:rsidRPr="008D38EC" w:rsidRDefault="008D38EC" w:rsidP="008D38EC">
      <w:r w:rsidRPr="008D38EC">
        <w:t>La banda de frecuencias 95</w:t>
      </w:r>
      <w:r w:rsidR="008B524F">
        <w:noBreakHyphen/>
      </w:r>
      <w:r w:rsidRPr="008D38EC">
        <w:t>100</w:t>
      </w:r>
      <w:r w:rsidR="008B524F">
        <w:t> </w:t>
      </w:r>
      <w:r w:rsidRPr="008D38EC">
        <w:t>GHz combina de manera ventajosa la penetración atmosférica en todas las condiciones meteorológicas y la resolución angular para obtener un radar de pequeño tamaño a bordo de aeronaves adecuado para las operaciones de asistencia al aterrizaje del servicio de radionavegación.</w:t>
      </w:r>
    </w:p>
    <w:p w14:paraId="40323589" w14:textId="77777777" w:rsidR="008D38EC" w:rsidRPr="008D38EC" w:rsidRDefault="008D38EC" w:rsidP="008D38EC">
      <w:r w:rsidRPr="008D38EC">
        <w:t xml:space="preserve">Los radares de asistencia al aterrizaje contribuyen principalmente al funcionamiento de los sistemas de visión en vuelo mejorada, cuyo objetivo es proporcionar una transmisión de vídeo del radar para ayudar a los pilotos a adquirir referencias visuales más allá de su visión natural, como la rampa de aproximación, el umbral o los bordes de la pista. Los radares de ondas milimétricas también pueden servir como sistemas de localización y navegación para ayudar a guiar a la aeronave hacia la zona de aterrizaje a lo largo del segmento de aproximación final. Constituyen una alternativa autónoma a bordo a los sistemas de aterrizaje por instrumentos en pistas no equipadas. El objetivo principal es </w:t>
      </w:r>
      <w:r w:rsidRPr="008D38EC">
        <w:lastRenderedPageBreak/>
        <w:t>garantizar que las aeronaves puedan aterrizar en cualquier condición meteorológica (niebla, fuertes lluvias) para evitar aproximaciones fallidas y sus efectos adversos desde el punto de vista logístico.</w:t>
      </w:r>
    </w:p>
    <w:p w14:paraId="613CA9E0" w14:textId="2E0296C4" w:rsidR="008D38EC" w:rsidRPr="008D38EC" w:rsidRDefault="008D38EC" w:rsidP="008D38EC">
      <w:r w:rsidRPr="008D38EC">
        <w:t>Estos radares de ondas milimétricas pueden equipar distintos tipos de aeronaves, desde grandes aeronaves hasta aeronaves de menor tamaño. La banda de frecuencias 95</w:t>
      </w:r>
      <w:r w:rsidR="008B524F">
        <w:noBreakHyphen/>
      </w:r>
      <w:r w:rsidRPr="008D38EC">
        <w:t>100</w:t>
      </w:r>
      <w:r w:rsidR="008B524F">
        <w:t> </w:t>
      </w:r>
      <w:r w:rsidRPr="008D38EC">
        <w:t>GHz posibilita la resolución angular fina y el alcance de detección de varios kilómetros necesario delante de la aeronave con un equipo de tamaño, peso y potencia reducidos. El sistema de exploración electrónica activo de baja potencia de cresta asociado a una forma de onda continua modulada en frecuencia permite un funcionamiento adecuado con las tecnologías de estado sólido disponibles en esta banda de frecuencias.</w:t>
      </w:r>
    </w:p>
    <w:p w14:paraId="198F84C1" w14:textId="77777777" w:rsidR="008D38EC" w:rsidRPr="008D38EC" w:rsidRDefault="008D38EC" w:rsidP="008D38EC">
      <w:pPr>
        <w:pStyle w:val="TableNo"/>
      </w:pPr>
      <w:r w:rsidRPr="008D38EC">
        <w:t>CUADRO 3</w:t>
      </w:r>
    </w:p>
    <w:p w14:paraId="31E4AC77" w14:textId="6743B4B1" w:rsidR="008D38EC" w:rsidRPr="008D38EC" w:rsidRDefault="008D38EC" w:rsidP="008D38EC">
      <w:pPr>
        <w:pStyle w:val="Tabletitle"/>
      </w:pPr>
      <w:r w:rsidRPr="008D38EC">
        <w:t xml:space="preserve">Características de los radares de asistencia al aterrizaje </w:t>
      </w:r>
      <w:r>
        <w:br/>
      </w:r>
      <w:r w:rsidRPr="008D38EC">
        <w:t>en la gama de frecuencias 95</w:t>
      </w:r>
      <w:r>
        <w:noBreakHyphen/>
      </w:r>
      <w:r w:rsidRPr="008D38EC">
        <w:t>100</w:t>
      </w:r>
      <w:r>
        <w:t> </w:t>
      </w:r>
      <w:r w:rsidRPr="008D38EC">
        <w:t>GHz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4754"/>
      </w:tblGrid>
      <w:tr w:rsidR="008D38EC" w:rsidRPr="008D38EC" w14:paraId="635F18DE" w14:textId="77777777" w:rsidTr="008D38EC">
        <w:trPr>
          <w:cantSplit/>
          <w:tblHeader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2E98" w14:textId="77777777" w:rsidR="008D38EC" w:rsidRPr="008D38EC" w:rsidRDefault="008D38EC" w:rsidP="008D38EC">
            <w:pPr>
              <w:pStyle w:val="Tablehead"/>
              <w:rPr>
                <w:lang w:val="en-GB"/>
              </w:rPr>
            </w:pPr>
            <w:r w:rsidRPr="008D38EC">
              <w:t>Parámetro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3D22" w14:textId="77777777" w:rsidR="008D38EC" w:rsidRPr="008D38EC" w:rsidRDefault="008D38EC" w:rsidP="008D38EC">
            <w:pPr>
              <w:pStyle w:val="Tablehead"/>
              <w:rPr>
                <w:lang w:val="en-GB"/>
              </w:rPr>
            </w:pPr>
            <w:r w:rsidRPr="008D38EC">
              <w:t>Radar A</w:t>
            </w:r>
          </w:p>
        </w:tc>
      </w:tr>
      <w:tr w:rsidR="008D38EC" w:rsidRPr="008D38EC" w14:paraId="636C5545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DC7B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Aplicación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40BC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Asistencia al aterrizaje</w:t>
            </w:r>
          </w:p>
        </w:tc>
      </w:tr>
      <w:tr w:rsidR="008D38EC" w:rsidRPr="008D38EC" w14:paraId="596CA522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2456" w14:textId="77777777" w:rsidR="008D38EC" w:rsidRPr="008D38EC" w:rsidRDefault="008D38EC" w:rsidP="008D38EC">
            <w:pPr>
              <w:pStyle w:val="Tabletext"/>
            </w:pPr>
            <w:r w:rsidRPr="008D38EC">
              <w:t>Zona de actuación del sistema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E323" w14:textId="77777777" w:rsidR="008D38EC" w:rsidRPr="008D38EC" w:rsidRDefault="008D38EC" w:rsidP="008B524F">
            <w:pPr>
              <w:pStyle w:val="Tabletext"/>
              <w:jc w:val="center"/>
            </w:pPr>
            <w:r w:rsidRPr="008D38EC">
              <w:t>A bordo de aeronaves, en todo el mundo</w:t>
            </w:r>
          </w:p>
        </w:tc>
      </w:tr>
      <w:tr w:rsidR="008D38EC" w:rsidRPr="008D38EC" w14:paraId="155733C6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E703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Gama de frecuencias (GHz)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39E1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95,1-99,5</w:t>
            </w:r>
          </w:p>
        </w:tc>
      </w:tr>
      <w:tr w:rsidR="008D38EC" w:rsidRPr="008D38EC" w14:paraId="502E9999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EDE6" w14:textId="77777777" w:rsidR="008D38EC" w:rsidRPr="008D38EC" w:rsidRDefault="008D38EC" w:rsidP="008D38EC">
            <w:pPr>
              <w:pStyle w:val="Tabletext"/>
            </w:pPr>
            <w:r w:rsidRPr="008D38EC">
              <w:t>Potencia de cresta de transmisión (W)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6885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0,5-1</w:t>
            </w:r>
          </w:p>
        </w:tc>
      </w:tr>
      <w:tr w:rsidR="008D38EC" w:rsidRPr="008D38EC" w14:paraId="06832FD3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4FFC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Polarización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260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Lineal</w:t>
            </w:r>
          </w:p>
        </w:tc>
      </w:tr>
      <w:tr w:rsidR="008D38EC" w:rsidRPr="008D38EC" w14:paraId="76E47297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680C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Duración del impulso (µs)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8F9F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100-200</w:t>
            </w:r>
          </w:p>
        </w:tc>
      </w:tr>
      <w:tr w:rsidR="008D38EC" w:rsidRPr="008D38EC" w14:paraId="7402521B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1506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Modulación de frecuencia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5EEC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FMCW</w:t>
            </w:r>
          </w:p>
        </w:tc>
      </w:tr>
      <w:tr w:rsidR="008D38EC" w:rsidRPr="008D38EC" w14:paraId="7EE3D851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D5DD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Tipo de antena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4318" w14:textId="77777777" w:rsidR="008D38EC" w:rsidRPr="008D38EC" w:rsidRDefault="008D38EC" w:rsidP="008B524F">
            <w:pPr>
              <w:pStyle w:val="Tabletext"/>
              <w:jc w:val="center"/>
            </w:pPr>
            <w:r w:rsidRPr="008D38EC">
              <w:t>Sistema de exploración electrónica activo</w:t>
            </w:r>
          </w:p>
        </w:tc>
      </w:tr>
      <w:tr w:rsidR="008D38EC" w:rsidRPr="008D38EC" w14:paraId="24B17B36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8B26" w14:textId="77777777" w:rsidR="008D38EC" w:rsidRPr="008D38EC" w:rsidRDefault="008D38EC" w:rsidP="008D38EC">
            <w:pPr>
              <w:pStyle w:val="Tabletext"/>
            </w:pPr>
            <w:r w:rsidRPr="008D38EC">
              <w:t>Altura del radar con respecto al suelo (m)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DDB0" w14:textId="079C337C" w:rsidR="008D38EC" w:rsidRPr="008D38EC" w:rsidRDefault="008D38EC" w:rsidP="008B524F">
            <w:pPr>
              <w:pStyle w:val="Tabletext"/>
              <w:jc w:val="center"/>
            </w:pPr>
            <w:r w:rsidRPr="008D38EC">
              <w:t>200</w:t>
            </w:r>
            <w:r w:rsidR="00601116">
              <w:t>,</w:t>
            </w:r>
            <w:r w:rsidRPr="008D38EC">
              <w:t>0 (A bord</w:t>
            </w:r>
            <w:r w:rsidR="008B524F">
              <w:t>o</w:t>
            </w:r>
            <w:r w:rsidRPr="008D38EC">
              <w:t xml:space="preserve"> de aeronaves – Segmento de aproximación final)</w:t>
            </w:r>
          </w:p>
        </w:tc>
      </w:tr>
      <w:tr w:rsidR="008D38EC" w:rsidRPr="008D38EC" w14:paraId="0CB99D03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B07" w14:textId="77777777" w:rsidR="008D38EC" w:rsidRPr="008D38EC" w:rsidRDefault="008D38EC" w:rsidP="008D38EC">
            <w:pPr>
              <w:pStyle w:val="Tabletext"/>
            </w:pPr>
            <w:r w:rsidRPr="008D38EC">
              <w:t>Ganancia de la antena (dBi)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5F2A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34-38</w:t>
            </w:r>
          </w:p>
        </w:tc>
      </w:tr>
      <w:tr w:rsidR="008D38EC" w:rsidRPr="008D38EC" w14:paraId="719DAE14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2BE5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Ancho de antena (m)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C5B0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0,4</w:t>
            </w:r>
          </w:p>
        </w:tc>
      </w:tr>
      <w:tr w:rsidR="008D38EC" w:rsidRPr="008D38EC" w14:paraId="5B898BB2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177F" w14:textId="77777777" w:rsidR="008D38EC" w:rsidRPr="008D38EC" w:rsidRDefault="008D38EC" w:rsidP="008D38EC">
            <w:pPr>
              <w:pStyle w:val="Tabletext"/>
            </w:pPr>
            <w:r w:rsidRPr="008D38EC">
              <w:t>Anchura del haz de la antena en acimut (grados)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4212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0,5</w:t>
            </w:r>
          </w:p>
        </w:tc>
      </w:tr>
      <w:tr w:rsidR="008D38EC" w:rsidRPr="008D38EC" w14:paraId="48F5E1E4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FBA" w14:textId="77777777" w:rsidR="008D38EC" w:rsidRPr="008D38EC" w:rsidRDefault="008D38EC" w:rsidP="008D38EC">
            <w:pPr>
              <w:pStyle w:val="Tabletext"/>
            </w:pPr>
            <w:r w:rsidRPr="008D38EC">
              <w:t>Rango de barrido de la antena en acimut (grados)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A45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±15</w:t>
            </w:r>
          </w:p>
        </w:tc>
      </w:tr>
      <w:tr w:rsidR="008D38EC" w:rsidRPr="008D38EC" w14:paraId="06DCAC94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C62A" w14:textId="77777777" w:rsidR="008D38EC" w:rsidRPr="008D38EC" w:rsidRDefault="008D38EC" w:rsidP="008D38EC">
            <w:pPr>
              <w:pStyle w:val="Tabletext"/>
            </w:pPr>
            <w:r w:rsidRPr="008D38EC">
              <w:t>Anchura del haz de la antena en elevación (grados)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0709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15</w:t>
            </w:r>
          </w:p>
        </w:tc>
      </w:tr>
      <w:tr w:rsidR="008D38EC" w:rsidRPr="008D38EC" w14:paraId="6A5582B3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81B" w14:textId="77777777" w:rsidR="008D38EC" w:rsidRPr="008D38EC" w:rsidRDefault="008D38EC" w:rsidP="008D38EC">
            <w:pPr>
              <w:pStyle w:val="Tabletext"/>
            </w:pPr>
            <w:r w:rsidRPr="008D38EC">
              <w:t>Rango de barrido de la antena en elevación (grados)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271" w14:textId="41F9F97B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±30</w:t>
            </w:r>
            <w:r>
              <w:rPr>
                <w:rStyle w:val="FootnoteReference"/>
              </w:rPr>
              <w:footnoteReference w:id="1"/>
            </w:r>
          </w:p>
        </w:tc>
      </w:tr>
      <w:tr w:rsidR="008D38EC" w:rsidRPr="008D38EC" w14:paraId="456CB4D6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EB36" w14:textId="77777777" w:rsidR="008D38EC" w:rsidRPr="008D38EC" w:rsidRDefault="008D38EC" w:rsidP="008D38EC">
            <w:pPr>
              <w:pStyle w:val="Tabletext"/>
            </w:pPr>
            <w:r w:rsidRPr="008D38EC">
              <w:t>Factor de ruido del receptor (dB)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5CD1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8-10</w:t>
            </w:r>
          </w:p>
        </w:tc>
      </w:tr>
      <w:tr w:rsidR="008D38EC" w:rsidRPr="008D38EC" w14:paraId="3C594B25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59C5" w14:textId="77777777" w:rsidR="008D38EC" w:rsidRPr="008D38EC" w:rsidRDefault="008D38EC" w:rsidP="008D38EC">
            <w:pPr>
              <w:pStyle w:val="Tabletext"/>
            </w:pPr>
            <w:r w:rsidRPr="008D38EC">
              <w:t>Anchura de banda de emisión RF (MHz)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C737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30-60</w:t>
            </w:r>
          </w:p>
        </w:tc>
      </w:tr>
      <w:tr w:rsidR="008D38EC" w:rsidRPr="008D38EC" w14:paraId="120339A1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8CD4" w14:textId="77777777" w:rsidR="008D38EC" w:rsidRPr="008D38EC" w:rsidRDefault="008D38EC" w:rsidP="008D38EC">
            <w:pPr>
              <w:pStyle w:val="Tabletext"/>
            </w:pPr>
            <w:r w:rsidRPr="008D38EC">
              <w:t>Anchura de banda del canal (MHz)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784E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80</w:t>
            </w:r>
          </w:p>
        </w:tc>
      </w:tr>
      <w:tr w:rsidR="008D38EC" w:rsidRPr="008D38EC" w14:paraId="72551DF1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A18B" w14:textId="77777777" w:rsidR="008D38EC" w:rsidRPr="008D38EC" w:rsidRDefault="008D38EC" w:rsidP="008D38EC">
            <w:pPr>
              <w:pStyle w:val="Tabletext"/>
              <w:rPr>
                <w:lang w:val="en-GB"/>
              </w:rPr>
            </w:pPr>
            <w:r w:rsidRPr="008D38EC">
              <w:t>Número máximo de canales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12FB" w14:textId="77777777" w:rsidR="008D38EC" w:rsidRPr="008D38EC" w:rsidRDefault="008D38EC" w:rsidP="008B524F">
            <w:pPr>
              <w:pStyle w:val="Tabletext"/>
              <w:jc w:val="center"/>
              <w:rPr>
                <w:lang w:val="en-GB"/>
              </w:rPr>
            </w:pPr>
            <w:r w:rsidRPr="008D38EC">
              <w:t>4</w:t>
            </w:r>
          </w:p>
        </w:tc>
      </w:tr>
      <w:tr w:rsidR="008D38EC" w:rsidRPr="008D38EC" w14:paraId="01EF28C0" w14:textId="77777777" w:rsidTr="008D38EC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A302" w14:textId="1AFCA3F1" w:rsidR="008D38EC" w:rsidRPr="008D38EC" w:rsidRDefault="008D38EC" w:rsidP="008D38EC">
            <w:pPr>
              <w:pStyle w:val="Tabletext"/>
            </w:pPr>
            <w:r w:rsidRPr="008D38EC">
              <w:t>Criterio de protección</w:t>
            </w:r>
            <w:r>
              <w:rPr>
                <w:rStyle w:val="FootnoteReference"/>
              </w:rPr>
              <w:footnoteReference w:id="2"/>
            </w:r>
            <w:r w:rsidRPr="008D38EC">
              <w:t xml:space="preserve"> </w:t>
            </w:r>
            <w:r w:rsidRPr="008D38EC">
              <w:rPr>
                <w:i/>
                <w:iCs/>
              </w:rPr>
              <w:t>I</w:t>
            </w:r>
            <w:r w:rsidRPr="00601EC7">
              <w:t>/</w:t>
            </w:r>
            <w:r w:rsidRPr="008D38EC">
              <w:rPr>
                <w:i/>
                <w:iCs/>
              </w:rPr>
              <w:t>N</w:t>
            </w:r>
            <w:r w:rsidRPr="008D38EC">
              <w:rPr>
                <w:rStyle w:val="FootnoteReference"/>
              </w:rPr>
              <w:footnoteReference w:id="3"/>
            </w:r>
            <w:r w:rsidRPr="008D38EC">
              <w:t xml:space="preserve"> (dB)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5255" w14:textId="362FD87A" w:rsidR="008D38EC" w:rsidRPr="008D38EC" w:rsidRDefault="008B524F" w:rsidP="008B524F">
            <w:pPr>
              <w:pStyle w:val="Tabletext"/>
              <w:jc w:val="center"/>
              <w:rPr>
                <w:lang w:val="en-GB"/>
              </w:rPr>
            </w:pPr>
            <w:r w:rsidRPr="008B524F">
              <w:t>−</w:t>
            </w:r>
            <w:r w:rsidR="008D38EC" w:rsidRPr="008D38EC">
              <w:t>6</w:t>
            </w:r>
          </w:p>
        </w:tc>
      </w:tr>
    </w:tbl>
    <w:p w14:paraId="37F3D7D2" w14:textId="77777777" w:rsidR="008D38EC" w:rsidRDefault="008D38EC" w:rsidP="00601EC7">
      <w:pPr>
        <w:pStyle w:val="Tablefin"/>
      </w:pPr>
    </w:p>
    <w:p w14:paraId="614DCCB5" w14:textId="77777777" w:rsidR="00601EC7" w:rsidRDefault="00601EC7" w:rsidP="00601EC7">
      <w:pPr>
        <w:pStyle w:val="Line"/>
      </w:pPr>
    </w:p>
    <w:sectPr w:rsidR="00601EC7" w:rsidSect="007565CC">
      <w:footerReference w:type="default" r:id="rId20"/>
      <w:pgSz w:w="11907" w:h="16834" w:code="9"/>
      <w:pgMar w:top="1418" w:right="1134" w:bottom="1134" w:left="1134" w:header="720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28B4" w14:textId="77777777" w:rsidR="00F61C53" w:rsidRDefault="00F61C53">
      <w:r>
        <w:separator/>
      </w:r>
    </w:p>
  </w:endnote>
  <w:endnote w:type="continuationSeparator" w:id="0">
    <w:p w14:paraId="2BE99E13" w14:textId="77777777" w:rsidR="00F61C53" w:rsidRDefault="00F6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20B05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8824" w14:textId="77777777" w:rsidR="00301DB3" w:rsidRDefault="00301DB3">
    <w:pPr>
      <w:pStyle w:val="Footer"/>
    </w:pPr>
    <w:r>
      <w:drawing>
        <wp:anchor distT="0" distB="0" distL="0" distR="0" simplePos="0" relativeHeight="251656192" behindDoc="0" locked="0" layoutInCell="1" allowOverlap="1" wp14:anchorId="165D55E9" wp14:editId="15B577C8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705D" w14:textId="77777777" w:rsidR="00C15F3E" w:rsidRDefault="00C15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9BDA" w14:textId="77777777" w:rsidR="00F61C53" w:rsidRDefault="00F61C53">
      <w:r>
        <w:separator/>
      </w:r>
    </w:p>
  </w:footnote>
  <w:footnote w:type="continuationSeparator" w:id="0">
    <w:p w14:paraId="7F1CD9FD" w14:textId="77777777" w:rsidR="00F61C53" w:rsidRDefault="00F61C53">
      <w:r>
        <w:continuationSeparator/>
      </w:r>
    </w:p>
  </w:footnote>
  <w:footnote w:id="1">
    <w:p w14:paraId="4F4A772D" w14:textId="4B815C12" w:rsidR="008D38EC" w:rsidRDefault="008D38EC" w:rsidP="008B524F">
      <w:pPr>
        <w:pStyle w:val="FootnoteText"/>
      </w:pPr>
      <w:r>
        <w:rPr>
          <w:rStyle w:val="FootnoteReference"/>
        </w:rPr>
        <w:footnoteRef/>
      </w:r>
      <w:r>
        <w:tab/>
      </w:r>
      <w:r w:rsidRPr="008D38EC">
        <w:t xml:space="preserve">El radar no realiza barrido en elevación, el haz es fijo con una inclinación descendente de </w:t>
      </w:r>
      <w:r w:rsidR="008B524F" w:rsidRPr="008B524F">
        <w:t>−</w:t>
      </w:r>
      <w:r w:rsidRPr="008D38EC">
        <w:t>6</w:t>
      </w:r>
      <w:r w:rsidR="00601116">
        <w:t>°</w:t>
      </w:r>
      <w:r w:rsidRPr="008D38EC">
        <w:t>, y no se compensa la variación de cabeceo de la aeronave.</w:t>
      </w:r>
    </w:p>
  </w:footnote>
  <w:footnote w:id="2">
    <w:p w14:paraId="367F26E4" w14:textId="41CA1187" w:rsidR="008D38EC" w:rsidRDefault="008D38EC">
      <w:pPr>
        <w:pStyle w:val="FootnoteText"/>
      </w:pPr>
      <w:r>
        <w:rPr>
          <w:rStyle w:val="FootnoteReference"/>
        </w:rPr>
        <w:footnoteRef/>
      </w:r>
      <w:r>
        <w:tab/>
      </w:r>
      <w:r w:rsidRPr="008D38EC">
        <w:t>El criterio de protección no incluye el margen de seguridad aeronáutica.</w:t>
      </w:r>
    </w:p>
  </w:footnote>
  <w:footnote w:id="3">
    <w:p w14:paraId="5139C2C0" w14:textId="64C68AED" w:rsidR="008D38EC" w:rsidRDefault="008D38EC">
      <w:pPr>
        <w:pStyle w:val="FootnoteText"/>
      </w:pPr>
      <w:r>
        <w:rPr>
          <w:rStyle w:val="FootnoteReference"/>
        </w:rPr>
        <w:footnoteRef/>
      </w:r>
      <w:r>
        <w:tab/>
      </w:r>
      <w:r w:rsidRPr="008D38EC">
        <w:t>A falta de requisitos de calidad de funcionamiento.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9E0F" w14:textId="77777777" w:rsidR="001B164E" w:rsidRDefault="001B164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5"/>
      <w:gridCol w:w="5915"/>
    </w:tblGrid>
    <w:tr w:rsidR="005B0371" w:rsidRPr="00A239D1" w14:paraId="0E226EDA" w14:textId="77777777" w:rsidTr="0019307B">
      <w:tc>
        <w:tcPr>
          <w:tcW w:w="4634" w:type="dxa"/>
          <w:vAlign w:val="center"/>
        </w:tcPr>
        <w:p w14:paraId="0A325A3F" w14:textId="77777777" w:rsidR="00EE47C4" w:rsidRPr="005B0371" w:rsidRDefault="00425BC7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48BCCD72" w14:textId="77777777" w:rsidR="00EE47C4" w:rsidRPr="00260B24" w:rsidRDefault="00EE47C4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r w:rsidRPr="00260B24">
            <w:rPr>
              <w:rFonts w:asciiTheme="minorBidi" w:hAnsiTheme="minorBidi"/>
              <w:b/>
              <w:spacing w:val="4"/>
              <w:szCs w:val="24"/>
            </w:rPr>
            <w:t>Uni</w:t>
          </w:r>
          <w:r w:rsidR="006B1E05">
            <w:rPr>
              <w:rFonts w:asciiTheme="minorBidi" w:hAnsiTheme="minorBidi"/>
              <w:b/>
              <w:spacing w:val="4"/>
              <w:szCs w:val="24"/>
            </w:rPr>
            <w:t>ó</w:t>
          </w:r>
          <w:r w:rsidRPr="00260B24">
            <w:rPr>
              <w:rFonts w:asciiTheme="minorBidi" w:hAnsiTheme="minorBidi"/>
              <w:b/>
              <w:spacing w:val="4"/>
              <w:szCs w:val="24"/>
            </w:rPr>
            <w:t>n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 xml:space="preserve"> </w:t>
          </w:r>
          <w:r w:rsidR="006B1E05">
            <w:rPr>
              <w:rFonts w:asciiTheme="minorBidi" w:hAnsiTheme="minorBidi"/>
              <w:b/>
              <w:spacing w:val="4"/>
              <w:szCs w:val="24"/>
            </w:rPr>
            <w:t>I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nterna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c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 xml:space="preserve">ional 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 xml:space="preserve">de 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Te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l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e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comunica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c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ion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e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>s</w:t>
          </w:r>
        </w:p>
      </w:tc>
    </w:tr>
    <w:tr w:rsidR="005B0371" w:rsidRPr="00A239D1" w14:paraId="1A1A9EB7" w14:textId="77777777" w:rsidTr="0019307B">
      <w:tc>
        <w:tcPr>
          <w:tcW w:w="4634" w:type="dxa"/>
          <w:vAlign w:val="center"/>
        </w:tcPr>
        <w:p w14:paraId="5A034BE7" w14:textId="77777777" w:rsidR="00EE47C4" w:rsidRPr="00260B24" w:rsidRDefault="00EE47C4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 w:rsidRPr="00260B24">
            <w:rPr>
              <w:rFonts w:asciiTheme="minorBidi" w:hAnsiTheme="minorBidi"/>
              <w:spacing w:val="4"/>
              <w:szCs w:val="24"/>
            </w:rPr>
            <w:t>Recom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 w:rsidRPr="00260B24">
            <w:rPr>
              <w:rFonts w:asciiTheme="minorBidi" w:hAnsiTheme="minorBidi"/>
              <w:spacing w:val="4"/>
              <w:szCs w:val="24"/>
            </w:rPr>
            <w:t>nda</w:t>
          </w:r>
          <w:r w:rsidR="0069322D">
            <w:rPr>
              <w:rFonts w:asciiTheme="minorBidi" w:hAnsiTheme="minorBidi"/>
              <w:spacing w:val="4"/>
              <w:szCs w:val="24"/>
            </w:rPr>
            <w:t>c</w:t>
          </w:r>
          <w:r w:rsidRPr="00260B24">
            <w:rPr>
              <w:rFonts w:asciiTheme="minorBidi" w:hAnsiTheme="minorBidi"/>
              <w:spacing w:val="4"/>
              <w:szCs w:val="24"/>
            </w:rPr>
            <w:t>i</w:t>
          </w:r>
          <w:r w:rsidR="0069322D">
            <w:rPr>
              <w:rFonts w:asciiTheme="minorBidi" w:hAnsiTheme="minorBidi"/>
              <w:spacing w:val="4"/>
              <w:szCs w:val="24"/>
            </w:rPr>
            <w:t>o</w:t>
          </w:r>
          <w:r w:rsidRPr="00260B24">
            <w:rPr>
              <w:rFonts w:asciiTheme="minorBidi" w:hAnsiTheme="minorBidi"/>
              <w:spacing w:val="4"/>
              <w:szCs w:val="24"/>
            </w:rPr>
            <w:t>n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 w:rsidR="004A6FEB" w:rsidRPr="00260B24">
            <w:rPr>
              <w:rFonts w:asciiTheme="minorBidi" w:hAnsiTheme="minorBidi"/>
              <w:spacing w:val="4"/>
              <w:szCs w:val="24"/>
            </w:rPr>
            <w:t>s</w:t>
          </w:r>
        </w:p>
      </w:tc>
      <w:tc>
        <w:tcPr>
          <w:tcW w:w="5998" w:type="dxa"/>
          <w:vAlign w:val="center"/>
        </w:tcPr>
        <w:p w14:paraId="4B83CB49" w14:textId="77777777" w:rsidR="00EE47C4" w:rsidRPr="00260B24" w:rsidRDefault="00A25EE2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r>
            <w:rPr>
              <w:rFonts w:asciiTheme="minorBidi" w:hAnsiTheme="minorBidi"/>
              <w:spacing w:val="4"/>
              <w:szCs w:val="24"/>
            </w:rPr>
            <w:t>Sect</w:t>
          </w:r>
          <w:r w:rsidR="0069322D">
            <w:rPr>
              <w:rFonts w:asciiTheme="minorBidi" w:hAnsiTheme="minorBidi"/>
              <w:spacing w:val="4"/>
              <w:szCs w:val="24"/>
            </w:rPr>
            <w:t>o</w:t>
          </w:r>
          <w:r>
            <w:rPr>
              <w:rFonts w:asciiTheme="minorBidi" w:hAnsiTheme="minorBidi"/>
              <w:spacing w:val="4"/>
              <w:szCs w:val="24"/>
            </w:rPr>
            <w:t xml:space="preserve">r de </w:t>
          </w:r>
          <w:r w:rsidR="00EE47C4" w:rsidRPr="00260B24">
            <w:rPr>
              <w:rFonts w:asciiTheme="minorBidi" w:hAnsiTheme="minorBidi"/>
              <w:spacing w:val="4"/>
              <w:szCs w:val="24"/>
            </w:rPr>
            <w:t>Radiocomunica</w:t>
          </w:r>
          <w:r w:rsidR="0069322D">
            <w:rPr>
              <w:rFonts w:asciiTheme="minorBidi" w:hAnsiTheme="minorBidi"/>
              <w:spacing w:val="4"/>
              <w:szCs w:val="24"/>
            </w:rPr>
            <w:t>c</w:t>
          </w:r>
          <w:r w:rsidR="00EE47C4" w:rsidRPr="00260B24">
            <w:rPr>
              <w:rFonts w:asciiTheme="minorBidi" w:hAnsiTheme="minorBidi"/>
              <w:spacing w:val="4"/>
              <w:szCs w:val="24"/>
            </w:rPr>
            <w:t>ion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>
            <w:rPr>
              <w:rFonts w:asciiTheme="minorBidi" w:hAnsiTheme="minorBidi"/>
              <w:spacing w:val="4"/>
              <w:szCs w:val="24"/>
            </w:rPr>
            <w:t>s</w:t>
          </w:r>
        </w:p>
      </w:tc>
    </w:tr>
  </w:tbl>
  <w:p w14:paraId="0A479B3D" w14:textId="77777777" w:rsidR="00EE47C4" w:rsidRDefault="0069322D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96B5C66" wp14:editId="36C4A3CD">
          <wp:simplePos x="0" y="0"/>
          <wp:positionH relativeFrom="column">
            <wp:posOffset>-252095</wp:posOffset>
          </wp:positionH>
          <wp:positionV relativeFrom="paragraph">
            <wp:posOffset>-562165</wp:posOffset>
          </wp:positionV>
          <wp:extent cx="1781299" cy="383901"/>
          <wp:effectExtent l="0" t="0" r="0" b="0"/>
          <wp:wrapNone/>
          <wp:docPr id="7" name="Picture 7" descr="ITU Publicacio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TU Publicacion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299" cy="383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D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CB4C8" wp14:editId="3840372C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4B27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781B34F2" w14:textId="77777777" w:rsidR="004A6FEB" w:rsidRDefault="00A507D4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9156A6" wp14:editId="6CB5D29A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3E725D" id="docshapegroup6" o:spid="_x0000_s1026" alt="Header separator line" style="position:absolute;margin-left:0;margin-top:94.2pt;width:595.3pt;height:18.6pt;z-index:251659264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2AAA" w14:textId="541B8D72" w:rsidR="001B164E" w:rsidRPr="00D72623" w:rsidRDefault="00D72623" w:rsidP="00D726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Pr="00F111D6">
      <w:rPr>
        <w:rStyle w:val="PageNumber"/>
        <w:b/>
        <w:bCs/>
        <w:lang w:val="en-GB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F61C53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 w:rsidRPr="00F111D6">
      <w:rPr>
        <w:b/>
        <w:bCs/>
        <w:lang w:val="en-GB"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F21BD6">
      <w:rPr>
        <w:b/>
        <w:bCs/>
        <w:noProof/>
        <w:lang w:val="en-US"/>
      </w:rPr>
      <w:t>UIT-R  M.2162-0</w:t>
    </w:r>
    <w:r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342C" w14:textId="7BBD852D" w:rsidR="001B164E" w:rsidRDefault="001B164E">
    <w:pPr>
      <w:pStyle w:val="Header"/>
    </w:pPr>
    <w:r>
      <w:tab/>
    </w:r>
    <w:r w:rsidR="00C84DB7">
      <w:rPr>
        <w:b/>
        <w:bCs/>
      </w:rPr>
      <w:fldChar w:fldCharType="begin"/>
    </w:r>
    <w:r w:rsidR="00C84DB7">
      <w:rPr>
        <w:b/>
        <w:bCs/>
      </w:rPr>
      <w:instrText xml:space="preserve"> DOCPROPERTY "Header" \* MERGEFORMAT </w:instrText>
    </w:r>
    <w:r w:rsidR="00C84DB7">
      <w:rPr>
        <w:b/>
        <w:bCs/>
      </w:rPr>
      <w:fldChar w:fldCharType="separate"/>
    </w:r>
    <w:r w:rsidR="00F61C53">
      <w:rPr>
        <w:b/>
        <w:bCs/>
      </w:rPr>
      <w:t xml:space="preserve">Rec. </w:t>
    </w:r>
    <w:r w:rsidR="00C84DB7">
      <w:rPr>
        <w:b/>
        <w:bCs/>
      </w:rPr>
      <w:fldChar w:fldCharType="end"/>
    </w:r>
    <w:r>
      <w:rPr>
        <w:b/>
        <w:bCs/>
      </w:rPr>
      <w:t xml:space="preserve"> </w:t>
    </w:r>
    <w:r w:rsidR="006C37D5">
      <w:rPr>
        <w:b/>
        <w:bCs/>
      </w:rPr>
      <w:fldChar w:fldCharType="begin"/>
    </w:r>
    <w:r>
      <w:rPr>
        <w:b/>
        <w:bCs/>
      </w:rPr>
      <w:instrText>styleref href</w:instrText>
    </w:r>
    <w:r w:rsidR="006C37D5">
      <w:rPr>
        <w:b/>
        <w:bCs/>
      </w:rPr>
      <w:fldChar w:fldCharType="separate"/>
    </w:r>
    <w:r w:rsidR="00F21BD6">
      <w:rPr>
        <w:b/>
        <w:bCs/>
        <w:noProof/>
      </w:rPr>
      <w:t>UIT-R  M.2162-0</w:t>
    </w:r>
    <w:r w:rsidR="006C37D5">
      <w:rPr>
        <w:b/>
        <w:bCs/>
      </w:rPr>
      <w:fldChar w:fldCharType="end"/>
    </w:r>
    <w:r>
      <w:tab/>
    </w:r>
    <w:r w:rsidR="006C37D5"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 w:rsidR="006C37D5">
      <w:rPr>
        <w:rStyle w:val="PageNumber"/>
        <w:b/>
        <w:bCs/>
      </w:rPr>
      <w:fldChar w:fldCharType="separate"/>
    </w:r>
    <w:r w:rsidR="00C84DB7">
      <w:rPr>
        <w:rStyle w:val="PageNumber"/>
        <w:b/>
        <w:bCs/>
        <w:noProof/>
      </w:rPr>
      <w:t>1</w:t>
    </w:r>
    <w:r w:rsidR="006C37D5"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044A2"/>
    <w:multiLevelType w:val="hybridMultilevel"/>
    <w:tmpl w:val="0E425046"/>
    <w:lvl w:ilvl="0" w:tplc="54E89F2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54826637">
    <w:abstractNumId w:val="0"/>
  </w:num>
  <w:num w:numId="2" w16cid:durableId="7636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>
      <o:colormru v:ext="edit" colors="#d62a47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53"/>
    <w:rsid w:val="00013002"/>
    <w:rsid w:val="000246E0"/>
    <w:rsid w:val="00036EE3"/>
    <w:rsid w:val="00072484"/>
    <w:rsid w:val="00095530"/>
    <w:rsid w:val="00096612"/>
    <w:rsid w:val="000A4A32"/>
    <w:rsid w:val="000B1B2B"/>
    <w:rsid w:val="000B7683"/>
    <w:rsid w:val="000D0677"/>
    <w:rsid w:val="000E0548"/>
    <w:rsid w:val="000E6A6E"/>
    <w:rsid w:val="00102934"/>
    <w:rsid w:val="00120C75"/>
    <w:rsid w:val="00147110"/>
    <w:rsid w:val="001511A6"/>
    <w:rsid w:val="00171C4D"/>
    <w:rsid w:val="0017562F"/>
    <w:rsid w:val="0019307B"/>
    <w:rsid w:val="001B0927"/>
    <w:rsid w:val="001B164E"/>
    <w:rsid w:val="001B7886"/>
    <w:rsid w:val="001C4108"/>
    <w:rsid w:val="001F38BB"/>
    <w:rsid w:val="002058CE"/>
    <w:rsid w:val="002165F1"/>
    <w:rsid w:val="00233211"/>
    <w:rsid w:val="00260B24"/>
    <w:rsid w:val="0027411A"/>
    <w:rsid w:val="00276D21"/>
    <w:rsid w:val="00282DCF"/>
    <w:rsid w:val="00296D7F"/>
    <w:rsid w:val="002A5D45"/>
    <w:rsid w:val="002B3CF6"/>
    <w:rsid w:val="002B3E59"/>
    <w:rsid w:val="002C1C80"/>
    <w:rsid w:val="002C768A"/>
    <w:rsid w:val="002D0BD7"/>
    <w:rsid w:val="002D76C4"/>
    <w:rsid w:val="002F5199"/>
    <w:rsid w:val="00301DB3"/>
    <w:rsid w:val="00305119"/>
    <w:rsid w:val="003157F1"/>
    <w:rsid w:val="00346EC2"/>
    <w:rsid w:val="00356B5D"/>
    <w:rsid w:val="00357707"/>
    <w:rsid w:val="0036627C"/>
    <w:rsid w:val="003E5516"/>
    <w:rsid w:val="003F4B75"/>
    <w:rsid w:val="00410651"/>
    <w:rsid w:val="00420DFD"/>
    <w:rsid w:val="00425BC7"/>
    <w:rsid w:val="00437A76"/>
    <w:rsid w:val="004604B2"/>
    <w:rsid w:val="00470E28"/>
    <w:rsid w:val="0047379B"/>
    <w:rsid w:val="00474170"/>
    <w:rsid w:val="00477729"/>
    <w:rsid w:val="004842E2"/>
    <w:rsid w:val="00486EB3"/>
    <w:rsid w:val="004934C5"/>
    <w:rsid w:val="004963C2"/>
    <w:rsid w:val="004A6FEB"/>
    <w:rsid w:val="004E61FF"/>
    <w:rsid w:val="00507EE6"/>
    <w:rsid w:val="005373E0"/>
    <w:rsid w:val="00556548"/>
    <w:rsid w:val="00571B1C"/>
    <w:rsid w:val="00576D47"/>
    <w:rsid w:val="00586EF8"/>
    <w:rsid w:val="005B0371"/>
    <w:rsid w:val="005B49AB"/>
    <w:rsid w:val="005B50E7"/>
    <w:rsid w:val="005C4BAB"/>
    <w:rsid w:val="005E12A5"/>
    <w:rsid w:val="005E69F0"/>
    <w:rsid w:val="005E7B4F"/>
    <w:rsid w:val="005F003B"/>
    <w:rsid w:val="005F2E73"/>
    <w:rsid w:val="00601116"/>
    <w:rsid w:val="00601882"/>
    <w:rsid w:val="00601EC7"/>
    <w:rsid w:val="00604BAE"/>
    <w:rsid w:val="00607D68"/>
    <w:rsid w:val="00613212"/>
    <w:rsid w:val="006149B1"/>
    <w:rsid w:val="00640332"/>
    <w:rsid w:val="00680D2B"/>
    <w:rsid w:val="00681B32"/>
    <w:rsid w:val="0069322D"/>
    <w:rsid w:val="00697887"/>
    <w:rsid w:val="006B1D2B"/>
    <w:rsid w:val="006B1E05"/>
    <w:rsid w:val="006C37D5"/>
    <w:rsid w:val="006E1131"/>
    <w:rsid w:val="006E2037"/>
    <w:rsid w:val="006E6199"/>
    <w:rsid w:val="006F536F"/>
    <w:rsid w:val="00712870"/>
    <w:rsid w:val="00714AC0"/>
    <w:rsid w:val="0074147D"/>
    <w:rsid w:val="00743D85"/>
    <w:rsid w:val="00744F8B"/>
    <w:rsid w:val="00747D6E"/>
    <w:rsid w:val="00753CF4"/>
    <w:rsid w:val="007565CC"/>
    <w:rsid w:val="007624B1"/>
    <w:rsid w:val="00763B9A"/>
    <w:rsid w:val="007A0BC8"/>
    <w:rsid w:val="007A1F4E"/>
    <w:rsid w:val="007A6AA8"/>
    <w:rsid w:val="007B1357"/>
    <w:rsid w:val="007B3343"/>
    <w:rsid w:val="008310C9"/>
    <w:rsid w:val="008335F0"/>
    <w:rsid w:val="00834306"/>
    <w:rsid w:val="00841046"/>
    <w:rsid w:val="00853CC5"/>
    <w:rsid w:val="00877E6E"/>
    <w:rsid w:val="008B083A"/>
    <w:rsid w:val="008B524F"/>
    <w:rsid w:val="008B56B2"/>
    <w:rsid w:val="008C7848"/>
    <w:rsid w:val="008D38EC"/>
    <w:rsid w:val="00906589"/>
    <w:rsid w:val="00906AD6"/>
    <w:rsid w:val="00917AF2"/>
    <w:rsid w:val="0092418A"/>
    <w:rsid w:val="00934ED7"/>
    <w:rsid w:val="00940D16"/>
    <w:rsid w:val="009543C3"/>
    <w:rsid w:val="00966E1B"/>
    <w:rsid w:val="00972F51"/>
    <w:rsid w:val="00984A02"/>
    <w:rsid w:val="009947C0"/>
    <w:rsid w:val="009A4039"/>
    <w:rsid w:val="009A41F9"/>
    <w:rsid w:val="009D4BBD"/>
    <w:rsid w:val="009F2D2C"/>
    <w:rsid w:val="009F2D88"/>
    <w:rsid w:val="009F5580"/>
    <w:rsid w:val="00A03C0E"/>
    <w:rsid w:val="00A16BE1"/>
    <w:rsid w:val="00A239D1"/>
    <w:rsid w:val="00A25EE2"/>
    <w:rsid w:val="00A31928"/>
    <w:rsid w:val="00A35B27"/>
    <w:rsid w:val="00A507D4"/>
    <w:rsid w:val="00A5147A"/>
    <w:rsid w:val="00A62A14"/>
    <w:rsid w:val="00A6617B"/>
    <w:rsid w:val="00A71FE5"/>
    <w:rsid w:val="00A7534B"/>
    <w:rsid w:val="00A76007"/>
    <w:rsid w:val="00A86DD2"/>
    <w:rsid w:val="00A936CB"/>
    <w:rsid w:val="00A971A1"/>
    <w:rsid w:val="00AA3AD8"/>
    <w:rsid w:val="00AB0DC8"/>
    <w:rsid w:val="00AB405C"/>
    <w:rsid w:val="00AC015D"/>
    <w:rsid w:val="00AE698D"/>
    <w:rsid w:val="00AF0286"/>
    <w:rsid w:val="00AF5326"/>
    <w:rsid w:val="00B019A2"/>
    <w:rsid w:val="00B0286E"/>
    <w:rsid w:val="00B033C8"/>
    <w:rsid w:val="00B111CE"/>
    <w:rsid w:val="00B33425"/>
    <w:rsid w:val="00B42334"/>
    <w:rsid w:val="00B44E24"/>
    <w:rsid w:val="00B54ECC"/>
    <w:rsid w:val="00B60AC0"/>
    <w:rsid w:val="00B714F3"/>
    <w:rsid w:val="00B75A52"/>
    <w:rsid w:val="00B874C6"/>
    <w:rsid w:val="00B87B6B"/>
    <w:rsid w:val="00B9169E"/>
    <w:rsid w:val="00B92018"/>
    <w:rsid w:val="00B96572"/>
    <w:rsid w:val="00BB7886"/>
    <w:rsid w:val="00BC5D77"/>
    <w:rsid w:val="00BD4283"/>
    <w:rsid w:val="00BF487A"/>
    <w:rsid w:val="00BF5544"/>
    <w:rsid w:val="00C15F3E"/>
    <w:rsid w:val="00C46BD9"/>
    <w:rsid w:val="00C55258"/>
    <w:rsid w:val="00C73560"/>
    <w:rsid w:val="00C84DB7"/>
    <w:rsid w:val="00C86A08"/>
    <w:rsid w:val="00C87A35"/>
    <w:rsid w:val="00C96B3B"/>
    <w:rsid w:val="00CB0F14"/>
    <w:rsid w:val="00CD659B"/>
    <w:rsid w:val="00CE0A43"/>
    <w:rsid w:val="00CF130D"/>
    <w:rsid w:val="00D00118"/>
    <w:rsid w:val="00D0483A"/>
    <w:rsid w:val="00D16749"/>
    <w:rsid w:val="00D32C08"/>
    <w:rsid w:val="00D36F09"/>
    <w:rsid w:val="00D5024B"/>
    <w:rsid w:val="00D61962"/>
    <w:rsid w:val="00D72623"/>
    <w:rsid w:val="00D83556"/>
    <w:rsid w:val="00DD18B0"/>
    <w:rsid w:val="00DE5556"/>
    <w:rsid w:val="00DF4176"/>
    <w:rsid w:val="00E0095C"/>
    <w:rsid w:val="00E17240"/>
    <w:rsid w:val="00E222BE"/>
    <w:rsid w:val="00E74595"/>
    <w:rsid w:val="00E77485"/>
    <w:rsid w:val="00EB1CB6"/>
    <w:rsid w:val="00EB7C57"/>
    <w:rsid w:val="00EC4D79"/>
    <w:rsid w:val="00ED2695"/>
    <w:rsid w:val="00ED3CA8"/>
    <w:rsid w:val="00EE04BA"/>
    <w:rsid w:val="00EE47C4"/>
    <w:rsid w:val="00EF2D52"/>
    <w:rsid w:val="00F111D6"/>
    <w:rsid w:val="00F17CED"/>
    <w:rsid w:val="00F21BD6"/>
    <w:rsid w:val="00F30C9B"/>
    <w:rsid w:val="00F354B1"/>
    <w:rsid w:val="00F354D7"/>
    <w:rsid w:val="00F53165"/>
    <w:rsid w:val="00F61C53"/>
    <w:rsid w:val="00F6343F"/>
    <w:rsid w:val="00F72776"/>
    <w:rsid w:val="00F77360"/>
    <w:rsid w:val="00F92A40"/>
    <w:rsid w:val="00FB0E4E"/>
    <w:rsid w:val="00FD130C"/>
    <w:rsid w:val="00FE79FE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62a47,#f8f8f8"/>
    </o:shapedefaults>
    <o:shapelayout v:ext="edit">
      <o:idmap v:ext="edit" data="2"/>
    </o:shapelayout>
  </w:shapeDefaults>
  <w:decimalSymbol w:val=","/>
  <w:listSeparator w:val=";"/>
  <w14:docId w14:val="1C5BB5EE"/>
  <w15:docId w15:val="{30866797-55E7-4BFD-8A53-A36528C8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3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A936C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936C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936C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936C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A936CB"/>
    <w:pPr>
      <w:outlineLvl w:val="4"/>
    </w:pPr>
  </w:style>
  <w:style w:type="paragraph" w:styleId="Heading6">
    <w:name w:val="heading 6"/>
    <w:basedOn w:val="Heading4"/>
    <w:next w:val="Normal"/>
    <w:qFormat/>
    <w:rsid w:val="00A936C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936CB"/>
    <w:pPr>
      <w:outlineLvl w:val="6"/>
    </w:pPr>
  </w:style>
  <w:style w:type="paragraph" w:styleId="Heading8">
    <w:name w:val="heading 8"/>
    <w:basedOn w:val="Heading6"/>
    <w:next w:val="Normal"/>
    <w:qFormat/>
    <w:rsid w:val="00A936CB"/>
    <w:pPr>
      <w:outlineLvl w:val="7"/>
    </w:pPr>
  </w:style>
  <w:style w:type="paragraph" w:styleId="Heading9">
    <w:name w:val="heading 9"/>
    <w:basedOn w:val="Heading6"/>
    <w:next w:val="Normal"/>
    <w:qFormat/>
    <w:rsid w:val="00A936CB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36CB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A936CB"/>
  </w:style>
  <w:style w:type="paragraph" w:customStyle="1" w:styleId="Headingb">
    <w:name w:val="Heading_b"/>
    <w:basedOn w:val="Heading3"/>
    <w:next w:val="Normal"/>
    <w:rsid w:val="00A936C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936CB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A936CB"/>
  </w:style>
  <w:style w:type="paragraph" w:customStyle="1" w:styleId="AnnexNoTitle">
    <w:name w:val="Annex_NoTitle"/>
    <w:basedOn w:val="Normal"/>
    <w:next w:val="Normalaftertitle"/>
    <w:rsid w:val="00A936CB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936CB"/>
    <w:pPr>
      <w:spacing w:before="320"/>
    </w:pPr>
  </w:style>
  <w:style w:type="paragraph" w:customStyle="1" w:styleId="enumlev2">
    <w:name w:val="enumlev2"/>
    <w:basedOn w:val="enumlev1"/>
    <w:rsid w:val="00A936CB"/>
    <w:pPr>
      <w:ind w:left="1191" w:hanging="397"/>
    </w:pPr>
  </w:style>
  <w:style w:type="paragraph" w:customStyle="1" w:styleId="enumlev1">
    <w:name w:val="enumlev1"/>
    <w:basedOn w:val="Normal"/>
    <w:rsid w:val="00A936CB"/>
    <w:pPr>
      <w:spacing w:before="80"/>
      <w:ind w:left="794" w:hanging="794"/>
    </w:pPr>
  </w:style>
  <w:style w:type="paragraph" w:customStyle="1" w:styleId="enumlev3">
    <w:name w:val="enumlev3"/>
    <w:basedOn w:val="enumlev2"/>
    <w:rsid w:val="00A936CB"/>
    <w:pPr>
      <w:ind w:left="1588"/>
    </w:pPr>
  </w:style>
  <w:style w:type="paragraph" w:customStyle="1" w:styleId="Note">
    <w:name w:val="Note"/>
    <w:basedOn w:val="Normal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Rectitle">
    <w:name w:val="Rec_title"/>
    <w:basedOn w:val="Normal"/>
    <w:next w:val="Recref"/>
    <w:rsid w:val="00A936CB"/>
    <w:pPr>
      <w:keepNext/>
      <w:keepLines/>
      <w:spacing w:before="24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A936CB"/>
    <w:pPr>
      <w:jc w:val="center"/>
    </w:pPr>
  </w:style>
  <w:style w:type="paragraph" w:customStyle="1" w:styleId="Recdate">
    <w:name w:val="Rec_date"/>
    <w:basedOn w:val="Recref"/>
    <w:next w:val="Normalaftertitle"/>
    <w:rsid w:val="00A936CB"/>
    <w:pPr>
      <w:jc w:val="right"/>
    </w:pPr>
  </w:style>
  <w:style w:type="paragraph" w:customStyle="1" w:styleId="HeadingSum">
    <w:name w:val="Heading_Sum"/>
    <w:basedOn w:val="Headingb"/>
    <w:next w:val="Normal"/>
    <w:autoRedefine/>
    <w:rsid w:val="00F53165"/>
    <w:pPr>
      <w:spacing w:before="240"/>
    </w:pPr>
    <w:rPr>
      <w:sz w:val="22"/>
      <w:szCs w:val="22"/>
      <w:lang w:val="es-ES_tradnl"/>
    </w:rPr>
  </w:style>
  <w:style w:type="paragraph" w:customStyle="1" w:styleId="AppendixNoTitle">
    <w:name w:val="Appendix_NoTitle"/>
    <w:basedOn w:val="AnnexNoTitle"/>
    <w:next w:val="Normal"/>
    <w:rsid w:val="00A936CB"/>
  </w:style>
  <w:style w:type="paragraph" w:customStyle="1" w:styleId="Tablefin">
    <w:name w:val="Table_fin"/>
    <w:basedOn w:val="Normal"/>
    <w:next w:val="Normal"/>
    <w:rsid w:val="00A936CB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A936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A936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rsid w:val="00A936CB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A936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rsid w:val="00A936C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A936CB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A936CB"/>
    <w:pPr>
      <w:ind w:left="794"/>
    </w:pPr>
  </w:style>
  <w:style w:type="paragraph" w:customStyle="1" w:styleId="Figurelegend">
    <w:name w:val="Figure_legend"/>
    <w:basedOn w:val="Normal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936CB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rsid w:val="00A936CB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A936CB"/>
    <w:pPr>
      <w:keepNext w:val="0"/>
      <w:spacing w:before="0" w:after="240"/>
    </w:pPr>
  </w:style>
  <w:style w:type="paragraph" w:customStyle="1" w:styleId="tocpart">
    <w:name w:val="tocpart"/>
    <w:basedOn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A936CB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A936CB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A936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36CB"/>
    <w:rPr>
      <w:b/>
    </w:rPr>
  </w:style>
  <w:style w:type="paragraph" w:customStyle="1" w:styleId="Chaptitle">
    <w:name w:val="Chap_title"/>
    <w:basedOn w:val="Arttitle"/>
    <w:next w:val="Normalaftertitle"/>
    <w:rsid w:val="00A936CB"/>
  </w:style>
  <w:style w:type="character" w:styleId="FootnoteReference">
    <w:name w:val="footnote reference"/>
    <w:basedOn w:val="DefaultParagraphFont"/>
    <w:rsid w:val="00A936CB"/>
    <w:rPr>
      <w:position w:val="6"/>
      <w:sz w:val="18"/>
    </w:rPr>
  </w:style>
  <w:style w:type="paragraph" w:styleId="FootnoteText">
    <w:name w:val="footnote text"/>
    <w:basedOn w:val="Normal"/>
    <w:rsid w:val="00A936CB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  <w:rsid w:val="00A936CB"/>
  </w:style>
  <w:style w:type="paragraph" w:styleId="Index2">
    <w:name w:val="index 2"/>
    <w:basedOn w:val="Normal"/>
    <w:next w:val="Normal"/>
    <w:semiHidden/>
    <w:rsid w:val="00A936CB"/>
    <w:pPr>
      <w:ind w:left="283"/>
    </w:pPr>
  </w:style>
  <w:style w:type="paragraph" w:styleId="Index3">
    <w:name w:val="index 3"/>
    <w:basedOn w:val="Normal"/>
    <w:next w:val="Normal"/>
    <w:semiHidden/>
    <w:rsid w:val="00A936CB"/>
    <w:pPr>
      <w:ind w:left="566"/>
    </w:pPr>
  </w:style>
  <w:style w:type="paragraph" w:styleId="IndexHeading">
    <w:name w:val="index heading"/>
    <w:basedOn w:val="Normal"/>
    <w:next w:val="Index1"/>
    <w:semiHidden/>
    <w:rsid w:val="00A936CB"/>
  </w:style>
  <w:style w:type="paragraph" w:customStyle="1" w:styleId="Line">
    <w:name w:val="Line"/>
    <w:basedOn w:val="Normal"/>
    <w:next w:val="Normal"/>
    <w:rsid w:val="00A936CB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A936CB"/>
  </w:style>
  <w:style w:type="paragraph" w:customStyle="1" w:styleId="Partref">
    <w:name w:val="Part_ref"/>
    <w:basedOn w:val="Normal"/>
    <w:next w:val="Normal"/>
    <w:rsid w:val="00A936CB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A936CB"/>
  </w:style>
  <w:style w:type="paragraph" w:customStyle="1" w:styleId="QuestionNo">
    <w:name w:val="Question_No"/>
    <w:basedOn w:val="RecNo"/>
    <w:next w:val="Normal"/>
    <w:rsid w:val="00A936CB"/>
  </w:style>
  <w:style w:type="paragraph" w:customStyle="1" w:styleId="Questionref">
    <w:name w:val="Question_ref"/>
    <w:basedOn w:val="Recref"/>
    <w:next w:val="Questiondate"/>
    <w:rsid w:val="00A936CB"/>
  </w:style>
  <w:style w:type="paragraph" w:customStyle="1" w:styleId="Questiontitle">
    <w:name w:val="Question_title"/>
    <w:basedOn w:val="Normal"/>
    <w:next w:val="Questionref"/>
    <w:rsid w:val="00A936CB"/>
  </w:style>
  <w:style w:type="paragraph" w:customStyle="1" w:styleId="Reftext">
    <w:name w:val="Ref_text"/>
    <w:basedOn w:val="Normal"/>
    <w:rsid w:val="00A936CB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rsid w:val="00A936CB"/>
  </w:style>
  <w:style w:type="paragraph" w:customStyle="1" w:styleId="RepNo">
    <w:name w:val="Rep_No"/>
    <w:basedOn w:val="RecNo"/>
    <w:next w:val="Reptitle"/>
    <w:rsid w:val="00A936CB"/>
  </w:style>
  <w:style w:type="paragraph" w:customStyle="1" w:styleId="Reptitle">
    <w:name w:val="Rep_title"/>
    <w:basedOn w:val="Rectitle"/>
    <w:next w:val="Repref"/>
    <w:rsid w:val="00A936CB"/>
  </w:style>
  <w:style w:type="paragraph" w:customStyle="1" w:styleId="Repref">
    <w:name w:val="Rep_ref"/>
    <w:basedOn w:val="Recref"/>
    <w:next w:val="Repdate"/>
    <w:rsid w:val="00A936CB"/>
  </w:style>
  <w:style w:type="paragraph" w:customStyle="1" w:styleId="Resdate">
    <w:name w:val="Res_date"/>
    <w:basedOn w:val="Recdate"/>
    <w:next w:val="Normalaftertitle"/>
    <w:rsid w:val="00A936CB"/>
  </w:style>
  <w:style w:type="paragraph" w:customStyle="1" w:styleId="ResNo">
    <w:name w:val="Res_No"/>
    <w:basedOn w:val="RecNo"/>
    <w:next w:val="Restitle"/>
    <w:rsid w:val="00A936CB"/>
  </w:style>
  <w:style w:type="paragraph" w:customStyle="1" w:styleId="Restitle">
    <w:name w:val="Res_title"/>
    <w:basedOn w:val="Normal"/>
    <w:next w:val="Resref"/>
    <w:rsid w:val="00A936CB"/>
    <w:pPr>
      <w:spacing w:before="240"/>
      <w:jc w:val="center"/>
    </w:pPr>
    <w:rPr>
      <w:b/>
      <w:sz w:val="28"/>
    </w:rPr>
  </w:style>
  <w:style w:type="paragraph" w:customStyle="1" w:styleId="Resref">
    <w:name w:val="Res_ref"/>
    <w:basedOn w:val="Recref"/>
    <w:next w:val="Resdate"/>
    <w:rsid w:val="00A936CB"/>
  </w:style>
  <w:style w:type="paragraph" w:customStyle="1" w:styleId="SectionNo">
    <w:name w:val="Section_No"/>
    <w:basedOn w:val="Normal"/>
    <w:next w:val="Normal"/>
    <w:rsid w:val="00A936CB"/>
  </w:style>
  <w:style w:type="paragraph" w:customStyle="1" w:styleId="Sectiontitle">
    <w:name w:val="Section_title"/>
    <w:basedOn w:val="Normal"/>
    <w:next w:val="Normalafter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A936CB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A936C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A936CB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A936CB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A936CB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A936CB"/>
  </w:style>
  <w:style w:type="paragraph" w:styleId="TOC6">
    <w:name w:val="toc 6"/>
    <w:basedOn w:val="TOC4"/>
    <w:semiHidden/>
    <w:rsid w:val="00A936CB"/>
  </w:style>
  <w:style w:type="paragraph" w:styleId="TOC7">
    <w:name w:val="toc 7"/>
    <w:basedOn w:val="TOC4"/>
    <w:semiHidden/>
    <w:rsid w:val="00A936CB"/>
  </w:style>
  <w:style w:type="paragraph" w:styleId="TOC8">
    <w:name w:val="toc 8"/>
    <w:basedOn w:val="TOC4"/>
    <w:semiHidden/>
    <w:rsid w:val="00A936CB"/>
  </w:style>
  <w:style w:type="paragraph" w:customStyle="1" w:styleId="Annexref">
    <w:name w:val="Annex_ref"/>
    <w:basedOn w:val="Normal"/>
    <w:next w:val="Normalaftertitle"/>
    <w:rsid w:val="00A93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A936CB"/>
  </w:style>
  <w:style w:type="paragraph" w:customStyle="1" w:styleId="Tabletitle">
    <w:name w:val="Table_title"/>
    <w:basedOn w:val="Normal"/>
    <w:next w:val="Tablehead"/>
    <w:rsid w:val="00A936CB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autoRedefine/>
    <w:rsid w:val="00F53165"/>
    <w:pPr>
      <w:spacing w:after="480"/>
    </w:pPr>
    <w:rPr>
      <w:sz w:val="22"/>
      <w:szCs w:val="22"/>
      <w:lang w:val="es-ES_tradnl"/>
    </w:rPr>
  </w:style>
  <w:style w:type="character" w:styleId="Hyperlink">
    <w:name w:val="Hyperlink"/>
    <w:basedOn w:val="DefaultParagraphFont"/>
    <w:rsid w:val="00934ED7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A936CB"/>
    <w:pPr>
      <w:ind w:left="-85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E47C4"/>
    <w:rPr>
      <w:sz w:val="24"/>
      <w:lang w:val="fr-FR" w:eastAsia="en-US"/>
    </w:rPr>
  </w:style>
  <w:style w:type="table" w:styleId="TableGrid">
    <w:name w:val="Table Grid"/>
    <w:basedOn w:val="TableNormal"/>
    <w:rsid w:val="00EE47C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083A"/>
    <w:rPr>
      <w:color w:val="605E5C"/>
      <w:shd w:val="clear" w:color="auto" w:fill="E1DFDD"/>
    </w:rPr>
  </w:style>
  <w:style w:type="paragraph" w:customStyle="1" w:styleId="CoverNumber">
    <w:name w:val="Cover Number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260B2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paragraph" w:customStyle="1" w:styleId="Reasons">
    <w:name w:val="Reasons"/>
    <w:basedOn w:val="Normal"/>
    <w:qFormat/>
    <w:rsid w:val="008D38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lang w:val="en-US"/>
    </w:rPr>
  </w:style>
  <w:style w:type="paragraph" w:styleId="Revision">
    <w:name w:val="Revision"/>
    <w:hidden/>
    <w:uiPriority w:val="99"/>
    <w:semiHidden/>
    <w:rsid w:val="00C86A08"/>
    <w:rPr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www.itu.int/rec/R-REC-M.1466/e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publ/R-REC/es" TargetMode="External"/><Relationship Id="rId17" Type="http://schemas.openxmlformats.org/officeDocument/2006/relationships/hyperlink" Target="https://www.itu.int/rec/R-REC-M.1461/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rec/R-REC-M.1851/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patents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rec/R-REC-F.699/es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Desktop\Mis%20plantillas\Recomendaciones\BR\RecS\2023-ITU-R_REC_M_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EF60-A451-45BC-AECA-0AC95D8D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2023-ITU-R_REC_M_S.dotx</Template>
  <TotalTime>84</TotalTime>
  <Pages>9</Pages>
  <Words>2846</Words>
  <Characters>15849</Characters>
  <Application>Microsoft Office Word</Application>
  <DocSecurity>0</DocSecurity>
  <Lines>404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ITU-R REC M Spanish template</vt:lpstr>
    </vt:vector>
  </TitlesOfParts>
  <Manager/>
  <Company>ITU</Company>
  <LinksUpToDate>false</LinksUpToDate>
  <CharactersWithSpaces>18460</CharactersWithSpaces>
  <SharedDoc>false</SharedDoc>
  <HLinks>
    <vt:vector size="12" baseType="variant"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RECOMENDACIÓN  UIT-R  M.2162-0 (12/2023) - Características técnicas y operativas de los sistemas de radiolocalización  que funcionan en la gama de frecuencias 92-100 GHz y de los sistemas  de radionavegación que funcionan en la gama de frecuencias 95-100 GHz</dc:title>
  <dc:subject>Serie M = Servicios móviles, de radiodeterminación y de aficionados, incluidos los correspondientes servicios por satélite</dc:subject>
  <dc:creator>Oficina de Radiocomunicaciones del UIT (BR)</dc:creator>
  <cp:keywords>M,2162-0</cp:keywords>
  <dc:description>Saez, 04.03.2024, ITU51013874</dc:description>
  <cp:lastModifiedBy>Saez Grau, Ricardo</cp:lastModifiedBy>
  <cp:revision>9</cp:revision>
  <cp:lastPrinted>2023-03-17T15:41:00Z</cp:lastPrinted>
  <dcterms:created xsi:type="dcterms:W3CDTF">2024-03-04T11:41:00Z</dcterms:created>
  <dcterms:modified xsi:type="dcterms:W3CDTF">2024-03-04T13:09:00Z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Spanish</vt:lpwstr>
  </property>
  <property fmtid="{D5CDD505-2E9C-101B-9397-08002B2CF9AE}" pid="10" name="Typist">
    <vt:lpwstr>Saez</vt:lpwstr>
  </property>
  <property fmtid="{D5CDD505-2E9C-101B-9397-08002B2CF9AE}" pid="11" name="Date completed">
    <vt:lpwstr>lundi, 4 mars 2024</vt:lpwstr>
  </property>
</Properties>
</file>