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2237" w14:textId="77777777" w:rsidR="00FE79FE" w:rsidRDefault="00FE79FE"/>
    <w:p w14:paraId="787A83E0" w14:textId="77777777" w:rsidR="00013002" w:rsidRDefault="00013002" w:rsidP="00DE5556">
      <w:pPr>
        <w:tabs>
          <w:tab w:val="clear" w:pos="794"/>
          <w:tab w:val="clear" w:pos="1191"/>
          <w:tab w:val="clear" w:pos="1588"/>
          <w:tab w:val="clear" w:pos="1985"/>
        </w:tabs>
      </w:pPr>
    </w:p>
    <w:p w14:paraId="0F2217CC" w14:textId="7CAB10E5"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EC4D79">
        <w:rPr>
          <w:lang w:val="es-ES"/>
        </w:rPr>
        <w:t>M</w:t>
      </w:r>
      <w:r w:rsidRPr="00F111D6">
        <w:rPr>
          <w:lang w:val="es-ES"/>
        </w:rPr>
        <w:t>.</w:t>
      </w:r>
      <w:r w:rsidR="00BD0F1A">
        <w:rPr>
          <w:lang w:val="es-ES"/>
        </w:rPr>
        <w:t>2159-0</w:t>
      </w:r>
    </w:p>
    <w:p w14:paraId="29F7A47C" w14:textId="241888EF" w:rsidR="00D5024B" w:rsidRPr="00F111D6" w:rsidRDefault="00D5024B" w:rsidP="00D5024B">
      <w:pPr>
        <w:pStyle w:val="CoverDate"/>
        <w:rPr>
          <w:lang w:val="es-ES"/>
        </w:rPr>
      </w:pPr>
      <w:r w:rsidRPr="00F111D6">
        <w:rPr>
          <w:lang w:val="es-ES"/>
        </w:rPr>
        <w:t>(</w:t>
      </w:r>
      <w:r w:rsidR="00BD0F1A">
        <w:rPr>
          <w:bCs/>
          <w:lang w:val="es-ES"/>
        </w:rPr>
        <w:t>12/2023</w:t>
      </w:r>
      <w:r w:rsidRPr="00F111D6">
        <w:rPr>
          <w:lang w:val="es-ES"/>
        </w:rPr>
        <w:t>)</w:t>
      </w:r>
    </w:p>
    <w:p w14:paraId="1C6DE571"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EC4D79">
        <w:rPr>
          <w:lang w:val="es-ES"/>
        </w:rPr>
        <w:t>M</w:t>
      </w:r>
      <w:r w:rsidR="00D5024B" w:rsidRPr="00F111D6">
        <w:rPr>
          <w:lang w:val="es-ES"/>
        </w:rPr>
        <w:t xml:space="preserve">: </w:t>
      </w:r>
      <w:r w:rsidR="00EC4D79" w:rsidRPr="00EC4D79">
        <w:rPr>
          <w:lang w:val="es-ES"/>
        </w:rPr>
        <w:t>Servicios móviles, de radiodeterminación, de aficionados y otros servicios por satélite conexos</w:t>
      </w:r>
    </w:p>
    <w:p w14:paraId="3F07E2F6" w14:textId="5CC0242A" w:rsidR="00D5024B" w:rsidRPr="00F111D6" w:rsidRDefault="00BD0F1A" w:rsidP="00D5024B">
      <w:pPr>
        <w:pStyle w:val="CoverTitle"/>
        <w:rPr>
          <w:lang w:val="es-ES"/>
        </w:rPr>
      </w:pPr>
      <w:bookmarkStart w:id="0" w:name="_Hlk138710075"/>
      <w:r>
        <w:rPr>
          <w:lang w:val="es-ES"/>
        </w:rPr>
        <w:t>Medidas técnicas y reglamentarias para garantizar la compatibilidad entre las telecomunicaciones móviles internacionales y los servicios móviles por satélite con respecto a las operaciones de los servicios móviles por satélite en la banda de frecuencias 1</w:t>
      </w:r>
      <w:r w:rsidR="008D6CBC">
        <w:rPr>
          <w:lang w:val="es-ES"/>
        </w:rPr>
        <w:t> </w:t>
      </w:r>
      <w:r>
        <w:rPr>
          <w:lang w:val="es-ES"/>
        </w:rPr>
        <w:t>518-1</w:t>
      </w:r>
      <w:r w:rsidR="008D6CBC">
        <w:rPr>
          <w:lang w:val="es-ES"/>
        </w:rPr>
        <w:t> </w:t>
      </w:r>
      <w:r>
        <w:rPr>
          <w:lang w:val="es-ES"/>
        </w:rPr>
        <w:t>525</w:t>
      </w:r>
      <w:r w:rsidR="008D6CBC">
        <w:rPr>
          <w:lang w:val="es-ES"/>
        </w:rPr>
        <w:t> </w:t>
      </w:r>
      <w:r>
        <w:rPr>
          <w:lang w:val="es-ES"/>
        </w:rPr>
        <w:t>MHz a las administraciones que deseen introducir las telecomunicaciones móviles internacionales en la banda de frecuencias 1</w:t>
      </w:r>
      <w:r w:rsidR="008D6CBC">
        <w:rPr>
          <w:lang w:val="es-ES"/>
        </w:rPr>
        <w:t> </w:t>
      </w:r>
      <w:r>
        <w:rPr>
          <w:lang w:val="es-ES"/>
        </w:rPr>
        <w:t>492-1</w:t>
      </w:r>
      <w:r w:rsidR="008D6CBC">
        <w:rPr>
          <w:lang w:val="es-ES"/>
        </w:rPr>
        <w:t> </w:t>
      </w:r>
      <w:r>
        <w:rPr>
          <w:lang w:val="es-ES"/>
        </w:rPr>
        <w:t>518 MHz</w:t>
      </w:r>
      <w:bookmarkEnd w:id="0"/>
    </w:p>
    <w:p w14:paraId="4B868259" w14:textId="77777777" w:rsidR="00A71FE5" w:rsidRPr="00F111D6" w:rsidRDefault="00A71FE5" w:rsidP="005373E0"/>
    <w:p w14:paraId="02435F03" w14:textId="77777777" w:rsidR="00EE47C4" w:rsidRPr="00F111D6" w:rsidRDefault="00EE47C4" w:rsidP="005373E0">
      <w:pPr>
        <w:sectPr w:rsidR="00EE47C4" w:rsidRPr="00F111D6" w:rsidSect="0027411A">
          <w:headerReference w:type="even" r:id="rId7"/>
          <w:headerReference w:type="default" r:id="rId8"/>
          <w:footerReference w:type="even" r:id="rId9"/>
          <w:footerReference w:type="default" r:id="rId10"/>
          <w:headerReference w:type="first" r:id="rId11"/>
          <w:footerReference w:type="first" r:id="rId12"/>
          <w:pgSz w:w="11907" w:h="16840" w:code="9"/>
          <w:pgMar w:top="1089" w:right="1089" w:bottom="284" w:left="1089" w:header="737" w:footer="284" w:gutter="0"/>
          <w:pgNumType w:start="1"/>
          <w:cols w:space="720"/>
          <w:docGrid w:linePitch="326"/>
        </w:sectPr>
      </w:pPr>
    </w:p>
    <w:p w14:paraId="6DA09EEC"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1" w:name="c2tope"/>
      <w:bookmarkEnd w:id="1"/>
      <w:r w:rsidRPr="006C718C">
        <w:rPr>
          <w:bCs/>
          <w:sz w:val="24"/>
          <w:szCs w:val="24"/>
          <w:lang w:val="es-ES_tradnl"/>
        </w:rPr>
        <w:lastRenderedPageBreak/>
        <w:t>Prólogo</w:t>
      </w:r>
    </w:p>
    <w:p w14:paraId="45FDC3B7"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334A1754"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3C6DAECF"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56D80501"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3"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3844CDFB" w14:textId="77777777" w:rsidR="0069322D" w:rsidRPr="007C36CA" w:rsidRDefault="0069322D" w:rsidP="0069322D">
      <w:pPr>
        <w:spacing w:before="0"/>
        <w:jc w:val="center"/>
        <w:rPr>
          <w:sz w:val="22"/>
          <w:lang w:val="es-ES_tradnl"/>
        </w:rPr>
      </w:pPr>
    </w:p>
    <w:p w14:paraId="429EEF20"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EC4D79" w14:paraId="442AD949" w14:textId="77777777" w:rsidTr="0069322D">
        <w:tc>
          <w:tcPr>
            <w:tcW w:w="9360" w:type="dxa"/>
            <w:gridSpan w:val="2"/>
          </w:tcPr>
          <w:p w14:paraId="66486967"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030078E7"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4"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09F4CF47" w14:textId="77777777" w:rsidTr="00B96572">
        <w:tc>
          <w:tcPr>
            <w:tcW w:w="1140" w:type="dxa"/>
            <w:tcBorders>
              <w:bottom w:val="nil"/>
            </w:tcBorders>
            <w:vAlign w:val="bottom"/>
          </w:tcPr>
          <w:p w14:paraId="3ADE952C"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080D86B0"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0393C830" w14:textId="77777777" w:rsidTr="0069322D">
        <w:tc>
          <w:tcPr>
            <w:tcW w:w="1140" w:type="dxa"/>
            <w:tcBorders>
              <w:top w:val="nil"/>
              <w:bottom w:val="nil"/>
            </w:tcBorders>
            <w:shd w:val="clear" w:color="auto" w:fill="auto"/>
          </w:tcPr>
          <w:p w14:paraId="0FC09942"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6AC430DF"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EC4D79" w14:paraId="56375210" w14:textId="77777777" w:rsidTr="0069322D">
        <w:tc>
          <w:tcPr>
            <w:tcW w:w="1140" w:type="dxa"/>
            <w:tcBorders>
              <w:top w:val="nil"/>
              <w:bottom w:val="nil"/>
            </w:tcBorders>
            <w:shd w:val="clear" w:color="auto" w:fill="auto"/>
          </w:tcPr>
          <w:p w14:paraId="57737F93"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04F215B4"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08C2BC4B" w14:textId="77777777" w:rsidTr="0069322D">
        <w:tc>
          <w:tcPr>
            <w:tcW w:w="1140" w:type="dxa"/>
            <w:tcBorders>
              <w:top w:val="nil"/>
              <w:bottom w:val="nil"/>
            </w:tcBorders>
            <w:shd w:val="clear" w:color="auto" w:fill="auto"/>
          </w:tcPr>
          <w:p w14:paraId="23540815"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69C6C00E"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69322D" w:rsidRPr="00ED2695" w14:paraId="4F5E0B93" w14:textId="77777777" w:rsidTr="008B56B2">
        <w:tc>
          <w:tcPr>
            <w:tcW w:w="1140" w:type="dxa"/>
            <w:tcBorders>
              <w:top w:val="nil"/>
              <w:bottom w:val="nil"/>
            </w:tcBorders>
            <w:shd w:val="clear" w:color="auto" w:fill="auto"/>
          </w:tcPr>
          <w:p w14:paraId="31BE4F9B"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6D00B649"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8B56B2" w:rsidRPr="008B56B2" w14:paraId="10C04E97" w14:textId="77777777" w:rsidTr="00EC4D79">
        <w:tc>
          <w:tcPr>
            <w:tcW w:w="1140" w:type="dxa"/>
            <w:tcBorders>
              <w:top w:val="nil"/>
              <w:bottom w:val="nil"/>
            </w:tcBorders>
            <w:shd w:val="clear" w:color="auto" w:fill="FFFFFF" w:themeFill="background1"/>
          </w:tcPr>
          <w:p w14:paraId="65EEE662"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19093198" w14:textId="77777777" w:rsidR="0069322D" w:rsidRPr="008B56B2"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EC4D79" w:rsidRPr="00EC4D79" w14:paraId="011484BC" w14:textId="77777777" w:rsidTr="00EC4D79">
        <w:tc>
          <w:tcPr>
            <w:tcW w:w="1140" w:type="dxa"/>
            <w:tcBorders>
              <w:top w:val="nil"/>
              <w:bottom w:val="nil"/>
            </w:tcBorders>
            <w:shd w:val="clear" w:color="auto" w:fill="F2F2F2" w:themeFill="background1" w:themeFillShade="F2"/>
          </w:tcPr>
          <w:p w14:paraId="3C93BD70" w14:textId="77777777" w:rsidR="0069322D" w:rsidRPr="00EC4D79" w:rsidRDefault="0069322D" w:rsidP="000B4BD9">
            <w:pPr>
              <w:spacing w:before="30" w:after="30"/>
              <w:ind w:left="57"/>
              <w:jc w:val="left"/>
              <w:rPr>
                <w:rFonts w:hAnsi="Times New Roman Bold"/>
                <w:b/>
                <w:bCs/>
                <w:color w:val="000080"/>
                <w:sz w:val="20"/>
                <w:lang w:val="en-US"/>
              </w:rPr>
            </w:pPr>
            <w:r w:rsidRPr="00EC4D79">
              <w:rPr>
                <w:rFonts w:hAnsi="Times New Roman Bold"/>
                <w:b/>
                <w:bCs/>
                <w:color w:val="000080"/>
                <w:sz w:val="20"/>
                <w:lang w:val="en-US"/>
              </w:rPr>
              <w:t>M</w:t>
            </w:r>
          </w:p>
        </w:tc>
        <w:tc>
          <w:tcPr>
            <w:tcW w:w="8220" w:type="dxa"/>
            <w:tcBorders>
              <w:top w:val="nil"/>
              <w:bottom w:val="nil"/>
            </w:tcBorders>
            <w:shd w:val="clear" w:color="auto" w:fill="F2F2F2" w:themeFill="background1" w:themeFillShade="F2"/>
          </w:tcPr>
          <w:p w14:paraId="0AD74F94" w14:textId="77777777" w:rsidR="0069322D" w:rsidRPr="00EC4D79"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Cs/>
                <w:color w:val="000080"/>
                <w:sz w:val="20"/>
                <w:lang w:val="es-ES_tradnl"/>
              </w:rPr>
            </w:pPr>
            <w:r w:rsidRPr="00EC4D79">
              <w:rPr>
                <w:rFonts w:hAnsi="Times New Roman Bold"/>
                <w:bCs/>
                <w:color w:val="000080"/>
                <w:sz w:val="20"/>
                <w:lang w:val="es-ES_tradnl"/>
              </w:rPr>
              <w:t>Servicios m</w:t>
            </w:r>
            <w:r w:rsidRPr="00EC4D79">
              <w:rPr>
                <w:rFonts w:hAnsi="Times New Roman Bold"/>
                <w:bCs/>
                <w:color w:val="000080"/>
                <w:sz w:val="20"/>
                <w:lang w:val="es-ES_tradnl"/>
              </w:rPr>
              <w:t>ó</w:t>
            </w:r>
            <w:r w:rsidRPr="00EC4D79">
              <w:rPr>
                <w:rFonts w:hAnsi="Times New Roman Bold"/>
                <w:bCs/>
                <w:color w:val="000080"/>
                <w:sz w:val="20"/>
                <w:lang w:val="es-ES_tradnl"/>
              </w:rPr>
              <w:t>viles, de radiodeterminaci</w:t>
            </w:r>
            <w:r w:rsidRPr="00EC4D79">
              <w:rPr>
                <w:rFonts w:hAnsi="Times New Roman Bold"/>
                <w:bCs/>
                <w:color w:val="000080"/>
                <w:sz w:val="20"/>
                <w:lang w:val="es-ES_tradnl"/>
              </w:rPr>
              <w:t>ó</w:t>
            </w:r>
            <w:r w:rsidRPr="00EC4D79">
              <w:rPr>
                <w:rFonts w:hAnsi="Times New Roman Bold"/>
                <w:bCs/>
                <w:color w:val="000080"/>
                <w:sz w:val="20"/>
                <w:lang w:val="es-ES_tradnl"/>
              </w:rPr>
              <w:t>n, de aficionados y otros servicios por sat</w:t>
            </w:r>
            <w:r w:rsidRPr="00EC4D79">
              <w:rPr>
                <w:rFonts w:hAnsi="Times New Roman Bold"/>
                <w:bCs/>
                <w:color w:val="000080"/>
                <w:sz w:val="20"/>
                <w:lang w:val="es-ES_tradnl"/>
              </w:rPr>
              <w:t>é</w:t>
            </w:r>
            <w:r w:rsidRPr="00EC4D79">
              <w:rPr>
                <w:rFonts w:hAnsi="Times New Roman Bold"/>
                <w:bCs/>
                <w:color w:val="000080"/>
                <w:sz w:val="20"/>
                <w:lang w:val="es-ES_tradnl"/>
              </w:rPr>
              <w:t>lite conexos</w:t>
            </w:r>
          </w:p>
        </w:tc>
      </w:tr>
      <w:tr w:rsidR="0069322D" w:rsidRPr="00EC4D79" w14:paraId="5BC9C257" w14:textId="77777777" w:rsidTr="0069322D">
        <w:tc>
          <w:tcPr>
            <w:tcW w:w="1140" w:type="dxa"/>
            <w:tcBorders>
              <w:top w:val="nil"/>
              <w:bottom w:val="nil"/>
            </w:tcBorders>
            <w:shd w:val="clear" w:color="auto" w:fill="auto"/>
          </w:tcPr>
          <w:p w14:paraId="0B34DAF8"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05C11831"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1FF72985" w14:textId="77777777" w:rsidTr="0069322D">
        <w:tc>
          <w:tcPr>
            <w:tcW w:w="1140" w:type="dxa"/>
            <w:tcBorders>
              <w:top w:val="nil"/>
              <w:bottom w:val="nil"/>
            </w:tcBorders>
            <w:shd w:val="clear" w:color="auto" w:fill="auto"/>
          </w:tcPr>
          <w:p w14:paraId="66315E14"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0EF31EF4"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EC4D79" w14:paraId="133FFC91" w14:textId="77777777" w:rsidTr="0069322D">
        <w:tc>
          <w:tcPr>
            <w:tcW w:w="1140" w:type="dxa"/>
            <w:tcBorders>
              <w:top w:val="nil"/>
              <w:bottom w:val="nil"/>
            </w:tcBorders>
            <w:shd w:val="clear" w:color="auto" w:fill="auto"/>
          </w:tcPr>
          <w:p w14:paraId="6800939A"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792B754D"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0E1E83F1" w14:textId="77777777" w:rsidTr="00EC4D79">
        <w:tc>
          <w:tcPr>
            <w:tcW w:w="1140" w:type="dxa"/>
            <w:tcBorders>
              <w:top w:val="nil"/>
              <w:bottom w:val="nil"/>
            </w:tcBorders>
            <w:shd w:val="clear" w:color="auto" w:fill="auto"/>
          </w:tcPr>
          <w:p w14:paraId="18C9083E"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734DE386" w14:textId="77777777" w:rsidR="0069322D" w:rsidRPr="00025336" w:rsidRDefault="0069322D" w:rsidP="000B4BD9">
            <w:pPr>
              <w:spacing w:before="30" w:after="30"/>
              <w:jc w:val="left"/>
              <w:rPr>
                <w:sz w:val="20"/>
                <w:lang w:val="en-US"/>
              </w:rPr>
            </w:pPr>
            <w:r w:rsidRPr="00025336">
              <w:rPr>
                <w:sz w:val="20"/>
              </w:rPr>
              <w:t>Servicio fijo por satélite</w:t>
            </w:r>
          </w:p>
        </w:tc>
      </w:tr>
      <w:tr w:rsidR="00EC4D79" w:rsidRPr="00EC4D79" w14:paraId="6E01BB69" w14:textId="77777777" w:rsidTr="00EC4D79">
        <w:tc>
          <w:tcPr>
            <w:tcW w:w="1140" w:type="dxa"/>
            <w:tcBorders>
              <w:top w:val="nil"/>
              <w:bottom w:val="nil"/>
            </w:tcBorders>
            <w:shd w:val="clear" w:color="auto" w:fill="FFFFFF" w:themeFill="background1"/>
          </w:tcPr>
          <w:p w14:paraId="43B87C8F" w14:textId="77777777" w:rsidR="0069322D" w:rsidRPr="00EC4D79" w:rsidRDefault="0069322D" w:rsidP="000B4BD9">
            <w:pPr>
              <w:spacing w:before="30" w:after="30"/>
              <w:ind w:left="57"/>
              <w:jc w:val="left"/>
              <w:rPr>
                <w:b/>
                <w:bCs/>
                <w:sz w:val="20"/>
                <w:lang w:val="en-US"/>
              </w:rPr>
            </w:pPr>
            <w:r w:rsidRPr="00EC4D79">
              <w:rPr>
                <w:b/>
                <w:bCs/>
                <w:sz w:val="20"/>
                <w:lang w:val="en-US"/>
              </w:rPr>
              <w:t>SA</w:t>
            </w:r>
          </w:p>
        </w:tc>
        <w:tc>
          <w:tcPr>
            <w:tcW w:w="8220" w:type="dxa"/>
            <w:tcBorders>
              <w:top w:val="nil"/>
              <w:bottom w:val="nil"/>
            </w:tcBorders>
            <w:shd w:val="clear" w:color="auto" w:fill="FFFFFF" w:themeFill="background1"/>
          </w:tcPr>
          <w:p w14:paraId="178F42C8" w14:textId="77777777" w:rsidR="0069322D" w:rsidRPr="00EC4D79" w:rsidRDefault="0069322D" w:rsidP="000B4BD9">
            <w:pPr>
              <w:spacing w:before="30" w:after="30"/>
              <w:jc w:val="left"/>
              <w:rPr>
                <w:sz w:val="20"/>
                <w:lang w:val="en-US"/>
              </w:rPr>
            </w:pPr>
            <w:r w:rsidRPr="00EC4D79">
              <w:rPr>
                <w:sz w:val="20"/>
              </w:rPr>
              <w:t>Aplicaciones espaciales y meteorología</w:t>
            </w:r>
          </w:p>
        </w:tc>
      </w:tr>
      <w:tr w:rsidR="0069322D" w:rsidRPr="00EC4D79" w14:paraId="74B4C397" w14:textId="77777777" w:rsidTr="0069322D">
        <w:tc>
          <w:tcPr>
            <w:tcW w:w="1140" w:type="dxa"/>
            <w:tcBorders>
              <w:top w:val="nil"/>
            </w:tcBorders>
          </w:tcPr>
          <w:p w14:paraId="537F934B"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604290AA"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40EB9C0A" w14:textId="77777777" w:rsidTr="0069322D">
        <w:tc>
          <w:tcPr>
            <w:tcW w:w="1140" w:type="dxa"/>
            <w:shd w:val="clear" w:color="auto" w:fill="auto"/>
          </w:tcPr>
          <w:p w14:paraId="55C05F08"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500A9464"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131DAB83" w14:textId="77777777" w:rsidTr="0069322D">
        <w:tc>
          <w:tcPr>
            <w:tcW w:w="1140" w:type="dxa"/>
          </w:tcPr>
          <w:p w14:paraId="29CE1210"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6197AEE7"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EC4D79" w14:paraId="5175CA61" w14:textId="77777777" w:rsidTr="0069322D">
        <w:tc>
          <w:tcPr>
            <w:tcW w:w="1140" w:type="dxa"/>
          </w:tcPr>
          <w:p w14:paraId="74498106"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42E7CB79"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1B8E6BC3" w14:textId="77777777" w:rsidTr="0069322D">
        <w:tc>
          <w:tcPr>
            <w:tcW w:w="1140" w:type="dxa"/>
          </w:tcPr>
          <w:p w14:paraId="2EE1DAE2"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2996DC4E"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41C8DFFF"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64F0264B" w14:textId="77777777" w:rsidTr="000B4BD9">
        <w:tc>
          <w:tcPr>
            <w:tcW w:w="720" w:type="dxa"/>
          </w:tcPr>
          <w:p w14:paraId="52461067"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EC4D79" w14:paraId="6F1814AB" w14:textId="77777777" w:rsidTr="00B96572">
        <w:tc>
          <w:tcPr>
            <w:tcW w:w="9360" w:type="dxa"/>
          </w:tcPr>
          <w:p w14:paraId="6BF9F425"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09DDCD40" w14:textId="77777777" w:rsidR="0069322D" w:rsidRPr="00763D08" w:rsidRDefault="0069322D" w:rsidP="0069322D">
      <w:pPr>
        <w:spacing w:before="0"/>
        <w:jc w:val="center"/>
        <w:rPr>
          <w:sz w:val="22"/>
          <w:lang w:val="es-ES_tradnl"/>
        </w:rPr>
      </w:pPr>
    </w:p>
    <w:p w14:paraId="1D17BDBC"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32D69297" w14:textId="7C3EBC3B"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BD0F1A">
        <w:rPr>
          <w:sz w:val="20"/>
          <w:lang w:val="es-ES_tradnl"/>
        </w:rPr>
        <w:t>4</w:t>
      </w:r>
    </w:p>
    <w:p w14:paraId="6CC274A8" w14:textId="77777777" w:rsidR="0069322D" w:rsidRPr="00763D08" w:rsidRDefault="0069322D" w:rsidP="0069322D">
      <w:pPr>
        <w:spacing w:before="0" w:after="120"/>
        <w:jc w:val="center"/>
        <w:rPr>
          <w:sz w:val="22"/>
          <w:lang w:val="es-ES_tradnl"/>
        </w:rPr>
      </w:pPr>
    </w:p>
    <w:p w14:paraId="7B024E02" w14:textId="12C7ED11"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2" w:name="iiannee"/>
      <w:bookmarkEnd w:id="2"/>
      <w:r w:rsidRPr="00763D08">
        <w:rPr>
          <w:sz w:val="20"/>
          <w:lang w:val="es-ES_tradnl"/>
        </w:rPr>
        <w:t>20</w:t>
      </w:r>
      <w:r w:rsidR="00B96572">
        <w:rPr>
          <w:sz w:val="20"/>
          <w:lang w:val="es-ES_tradnl"/>
        </w:rPr>
        <w:t>2</w:t>
      </w:r>
      <w:r w:rsidR="00BD0F1A">
        <w:rPr>
          <w:sz w:val="20"/>
          <w:lang w:val="es-ES_tradnl"/>
        </w:rPr>
        <w:t>4</w:t>
      </w:r>
    </w:p>
    <w:p w14:paraId="2277A208"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628FD7C2" w14:textId="77777777" w:rsidR="007565CC" w:rsidRPr="00F111D6" w:rsidRDefault="007565CC" w:rsidP="00A971A1">
      <w:pPr>
        <w:spacing w:before="160"/>
        <w:rPr>
          <w:i/>
          <w:sz w:val="20"/>
        </w:rPr>
        <w:sectPr w:rsidR="007565CC" w:rsidRPr="00F111D6" w:rsidSect="002058CE">
          <w:headerReference w:type="even" r:id="rId15"/>
          <w:headerReference w:type="default" r:id="rId16"/>
          <w:pgSz w:w="11907" w:h="16834" w:code="9"/>
          <w:pgMar w:top="1418" w:right="1134" w:bottom="1134" w:left="1134" w:header="720" w:footer="482" w:gutter="0"/>
          <w:paperSrc w:first="15" w:other="15"/>
          <w:pgNumType w:fmt="lowerRoman" w:start="2"/>
          <w:cols w:space="720"/>
        </w:sectPr>
      </w:pPr>
    </w:p>
    <w:p w14:paraId="435518ED" w14:textId="15CE6393" w:rsidR="00B874C6" w:rsidRPr="00F17CED" w:rsidRDefault="00F17CED" w:rsidP="00A936CB">
      <w:pPr>
        <w:pStyle w:val="RecNo"/>
        <w:spacing w:before="0"/>
      </w:pPr>
      <w:bookmarkStart w:id="3" w:name="irecnoe"/>
      <w:bookmarkEnd w:id="3"/>
      <w:r w:rsidRPr="00F17CED">
        <w:lastRenderedPageBreak/>
        <w:t>RECOMENDACIÓN</w:t>
      </w:r>
      <w:r w:rsidR="00B874C6" w:rsidRPr="00F17CED">
        <w:t xml:space="preserve">  </w:t>
      </w:r>
      <w:r w:rsidR="00A25EE2" w:rsidRPr="00F17CED">
        <w:rPr>
          <w:rStyle w:val="href"/>
        </w:rPr>
        <w:t>UI</w:t>
      </w:r>
      <w:r w:rsidR="00B874C6" w:rsidRPr="00F17CED">
        <w:rPr>
          <w:rStyle w:val="href"/>
        </w:rPr>
        <w:t xml:space="preserve">T-R  </w:t>
      </w:r>
      <w:r w:rsidR="00EC4D79">
        <w:rPr>
          <w:rStyle w:val="href"/>
        </w:rPr>
        <w:t>M</w:t>
      </w:r>
      <w:r w:rsidR="00B874C6" w:rsidRPr="00F17CED">
        <w:rPr>
          <w:rStyle w:val="href"/>
        </w:rPr>
        <w:t>.</w:t>
      </w:r>
      <w:r w:rsidR="00BD0F1A">
        <w:rPr>
          <w:rStyle w:val="href"/>
        </w:rPr>
        <w:t>2159-0</w:t>
      </w:r>
      <w:r w:rsidR="00BD0F1A" w:rsidRPr="00E65C85">
        <w:rPr>
          <w:rStyle w:val="FootnoteReference"/>
          <w:lang w:eastAsia="ja-JP"/>
        </w:rPr>
        <w:footnoteReference w:customMarkFollows="1" w:id="1"/>
        <w:sym w:font="Symbol" w:char="F02A"/>
      </w:r>
    </w:p>
    <w:p w14:paraId="41367F77" w14:textId="77777777" w:rsidR="00D81645" w:rsidRPr="00DF0B08" w:rsidRDefault="00D81645" w:rsidP="005720AD">
      <w:pPr>
        <w:pStyle w:val="Rectitle"/>
      </w:pPr>
      <w:r>
        <w:rPr>
          <w:bCs/>
        </w:rPr>
        <w:t>Medidas técnicas y reglamentarias para garantizar la compatibilidad entre las</w:t>
      </w:r>
      <w:r>
        <w:rPr>
          <w:bCs/>
        </w:rPr>
        <w:br/>
        <w:t>telecomunicaciones móviles internacionales y los servicios móviles por satélite</w:t>
      </w:r>
      <w:r>
        <w:rPr>
          <w:bCs/>
        </w:rPr>
        <w:br/>
        <w:t>con respecto a las operaciones de los servicios móviles por satélite en la</w:t>
      </w:r>
      <w:r>
        <w:rPr>
          <w:bCs/>
        </w:rPr>
        <w:br/>
        <w:t>banda de frecuencias 1 518-1 525 MHz a las administraciones que</w:t>
      </w:r>
      <w:r>
        <w:rPr>
          <w:bCs/>
        </w:rPr>
        <w:br/>
        <w:t>deseen introducir las telecomunicaciones móviles internacionales</w:t>
      </w:r>
      <w:r>
        <w:rPr>
          <w:bCs/>
        </w:rPr>
        <w:br/>
        <w:t>en la banda de frecuencias 1 492-1 518 MHz</w:t>
      </w:r>
      <w:r>
        <w:rPr>
          <w:rStyle w:val="FootnoteReference"/>
          <w:bCs/>
        </w:rPr>
        <w:footnoteReference w:customMarkFollows="1" w:id="2"/>
        <w:t>1</w:t>
      </w:r>
    </w:p>
    <w:p w14:paraId="62C4DD75" w14:textId="77777777" w:rsidR="00D81645" w:rsidRPr="00DF0B08" w:rsidRDefault="00D81645" w:rsidP="005720AD">
      <w:pPr>
        <w:pStyle w:val="Recdate"/>
      </w:pPr>
      <w:r>
        <w:t>(2023)</w:t>
      </w:r>
    </w:p>
    <w:p w14:paraId="3570BA8E" w14:textId="77777777" w:rsidR="00D81645" w:rsidRPr="008D6CBC" w:rsidRDefault="00D81645" w:rsidP="008D6CBC">
      <w:pPr>
        <w:pStyle w:val="HeadingSum"/>
        <w:rPr>
          <w:rFonts w:eastAsia="Batang"/>
        </w:rPr>
      </w:pPr>
      <w:r w:rsidRPr="008D6CBC">
        <w:t>Cometido</w:t>
      </w:r>
    </w:p>
    <w:p w14:paraId="40B1A663" w14:textId="5D0F0F4B" w:rsidR="00D81645" w:rsidRPr="008D6CBC" w:rsidRDefault="00D81645" w:rsidP="008D6CBC">
      <w:pPr>
        <w:pStyle w:val="Summary"/>
        <w:rPr>
          <w:rFonts w:eastAsia="Batang"/>
        </w:rPr>
      </w:pPr>
      <w:r w:rsidRPr="008D6CBC">
        <w:t>En la presente Recomendación se facilitan medidas técnicas y reglamentarias para la compatibilidad en banda adyacente entre los sistemas de satélites del servicio móvil por satélite que funcionan en la banda 1 518</w:t>
      </w:r>
      <w:r w:rsidR="008D6CBC">
        <w:noBreakHyphen/>
      </w:r>
      <w:r w:rsidRPr="008D6CBC">
        <w:t>1 525</w:t>
      </w:r>
      <w:r w:rsidR="008D6CBC">
        <w:t> </w:t>
      </w:r>
      <w:r w:rsidRPr="008D6CBC">
        <w:t>MHz y los sistemas IMT terrenales que funcionan en la banda 1 492-1 518</w:t>
      </w:r>
      <w:r w:rsidR="008D6CBC">
        <w:t> </w:t>
      </w:r>
      <w:r w:rsidRPr="008D6CBC">
        <w:t xml:space="preserve">MHz, conforme a lo previsto en la Resolución </w:t>
      </w:r>
      <w:r w:rsidRPr="008D6CBC">
        <w:rPr>
          <w:b/>
          <w:bCs/>
        </w:rPr>
        <w:t>223 (Rev.CMR-19).</w:t>
      </w:r>
      <w:r w:rsidRPr="008D6CBC">
        <w:t xml:space="preserve"> Véase también la nota 1.</w:t>
      </w:r>
    </w:p>
    <w:p w14:paraId="7A4904C5" w14:textId="77777777" w:rsidR="00D81645" w:rsidRPr="00DF0B08" w:rsidRDefault="00D81645" w:rsidP="00302806">
      <w:pPr>
        <w:pStyle w:val="Headingb"/>
      </w:pPr>
      <w:r>
        <w:rPr>
          <w:bCs/>
        </w:rPr>
        <w:t>Palabras clave</w:t>
      </w:r>
    </w:p>
    <w:p w14:paraId="5E48ED7B" w14:textId="77777777" w:rsidR="00D81645" w:rsidRPr="00DF0B08" w:rsidRDefault="00D81645" w:rsidP="005720AD">
      <w:pPr>
        <w:rPr>
          <w:szCs w:val="24"/>
        </w:rPr>
      </w:pPr>
      <w:r>
        <w:t>IMT, ETM, compatibilidad de la banda adyacente</w:t>
      </w:r>
    </w:p>
    <w:p w14:paraId="2ECB6186" w14:textId="77777777" w:rsidR="00D81645" w:rsidRPr="00DF0B08" w:rsidRDefault="00D81645" w:rsidP="00302806">
      <w:pPr>
        <w:pStyle w:val="Headingb"/>
        <w:rPr>
          <w:rFonts w:ascii="Times New Roman Bold" w:hAnsi="Times New Roman Bold" w:cs="Times New Roman Bold"/>
          <w:b w:val="0"/>
        </w:rPr>
      </w:pPr>
      <w:r>
        <w:rPr>
          <w:bCs/>
        </w:rPr>
        <w:t>Abreviaturas/Glosario</w:t>
      </w:r>
    </w:p>
    <w:p w14:paraId="4B69235A" w14:textId="77777777" w:rsidR="00D81645" w:rsidRPr="00DF0B08" w:rsidRDefault="00D81645" w:rsidP="00302806">
      <w:pPr>
        <w:tabs>
          <w:tab w:val="clear" w:pos="794"/>
        </w:tabs>
      </w:pPr>
      <w:r>
        <w:t>DDF</w:t>
      </w:r>
      <w:r>
        <w:tab/>
        <w:t>Dúplex por división de frecuencia</w:t>
      </w:r>
    </w:p>
    <w:p w14:paraId="1B7E0D16" w14:textId="77777777" w:rsidR="00D81645" w:rsidRPr="00DF0B08" w:rsidRDefault="00D81645" w:rsidP="00302806">
      <w:pPr>
        <w:tabs>
          <w:tab w:val="clear" w:pos="794"/>
        </w:tabs>
      </w:pPr>
      <w:r>
        <w:t>DDT</w:t>
      </w:r>
      <w:r>
        <w:tab/>
        <w:t>Dúplex por división en el tiempo</w:t>
      </w:r>
    </w:p>
    <w:p w14:paraId="4DC8D338" w14:textId="77777777" w:rsidR="00D81645" w:rsidRPr="00DF0B08" w:rsidRDefault="00D81645" w:rsidP="00302806">
      <w:pPr>
        <w:tabs>
          <w:tab w:val="clear" w:pos="794"/>
        </w:tabs>
      </w:pPr>
      <w:r>
        <w:t>dfp</w:t>
      </w:r>
      <w:r>
        <w:tab/>
        <w:t>Densidad de flujo de potencia</w:t>
      </w:r>
    </w:p>
    <w:p w14:paraId="2C5BD719" w14:textId="77777777" w:rsidR="00D81645" w:rsidRPr="00DF0B08" w:rsidRDefault="00D81645" w:rsidP="00302806">
      <w:pPr>
        <w:tabs>
          <w:tab w:val="clear" w:pos="794"/>
        </w:tabs>
      </w:pPr>
      <w:r>
        <w:t>EB</w:t>
      </w:r>
      <w:r>
        <w:tab/>
        <w:t>Estación de base</w:t>
      </w:r>
    </w:p>
    <w:p w14:paraId="5A57A60F" w14:textId="77777777" w:rsidR="00D81645" w:rsidRPr="00DF0B08" w:rsidRDefault="00D81645" w:rsidP="00302806">
      <w:pPr>
        <w:tabs>
          <w:tab w:val="clear" w:pos="794"/>
        </w:tabs>
      </w:pPr>
      <w:r>
        <w:t>ETM</w:t>
      </w:r>
      <w:r>
        <w:tab/>
        <w:t>Estación terrena móvil</w:t>
      </w:r>
    </w:p>
    <w:p w14:paraId="6F8A6E54" w14:textId="77777777" w:rsidR="00D81645" w:rsidRPr="00DF0B08" w:rsidRDefault="00D81645" w:rsidP="00302806">
      <w:pPr>
        <w:tabs>
          <w:tab w:val="clear" w:pos="794"/>
        </w:tabs>
      </w:pPr>
      <w:r>
        <w:t>EU</w:t>
      </w:r>
      <w:r>
        <w:tab/>
        <w:t>Equipo de usuario</w:t>
      </w:r>
    </w:p>
    <w:p w14:paraId="2CB78766" w14:textId="367C9F02" w:rsidR="00D81645" w:rsidRPr="00DF0B08" w:rsidRDefault="00D81645" w:rsidP="00302806">
      <w:pPr>
        <w:tabs>
          <w:tab w:val="clear" w:pos="794"/>
        </w:tabs>
      </w:pPr>
      <w:r>
        <w:t>IMT</w:t>
      </w:r>
      <w:r>
        <w:tab/>
        <w:t>Telecomunicaciones móviles internacionales</w:t>
      </w:r>
      <w:r w:rsidR="008D6CBC" w:rsidRPr="00E50584">
        <w:t xml:space="preserve"> (</w:t>
      </w:r>
      <w:r w:rsidR="008D6CBC" w:rsidRPr="00E50584">
        <w:rPr>
          <w:i/>
          <w:iCs/>
        </w:rPr>
        <w:t>international mobile telecommunications</w:t>
      </w:r>
      <w:r w:rsidR="008D6CBC" w:rsidRPr="00E50584">
        <w:t>)</w:t>
      </w:r>
    </w:p>
    <w:p w14:paraId="17D229B3" w14:textId="77777777" w:rsidR="00D81645" w:rsidRPr="00DF0B08" w:rsidRDefault="00D81645" w:rsidP="00302806">
      <w:pPr>
        <w:tabs>
          <w:tab w:val="clear" w:pos="794"/>
        </w:tabs>
      </w:pPr>
      <w:r>
        <w:t>p.i.r.e</w:t>
      </w:r>
      <w:r>
        <w:tab/>
        <w:t>Potencia isótropa radiada equivalente</w:t>
      </w:r>
    </w:p>
    <w:p w14:paraId="7496831A" w14:textId="06BD17E8" w:rsidR="00D81645" w:rsidRPr="00DF0B08" w:rsidRDefault="00D81645" w:rsidP="00302806">
      <w:pPr>
        <w:tabs>
          <w:tab w:val="clear" w:pos="794"/>
        </w:tabs>
      </w:pPr>
      <w:r>
        <w:t>SDL</w:t>
      </w:r>
      <w:r>
        <w:tab/>
        <w:t>Enlace descendente suplementario</w:t>
      </w:r>
      <w:r w:rsidR="008D6CBC" w:rsidRPr="00E50584">
        <w:t xml:space="preserve"> (</w:t>
      </w:r>
      <w:r w:rsidR="008D6CBC" w:rsidRPr="00E50584">
        <w:rPr>
          <w:i/>
        </w:rPr>
        <w:t>supplemental downlink</w:t>
      </w:r>
      <w:r w:rsidR="008D6CBC" w:rsidRPr="00E50584">
        <w:t>)</w:t>
      </w:r>
    </w:p>
    <w:p w14:paraId="4D307CCC" w14:textId="77777777" w:rsidR="00D81645" w:rsidRPr="00DF0B08" w:rsidRDefault="00D81645" w:rsidP="00302806">
      <w:pPr>
        <w:tabs>
          <w:tab w:val="clear" w:pos="794"/>
        </w:tabs>
      </w:pPr>
      <w:r>
        <w:t>SMS</w:t>
      </w:r>
      <w:r>
        <w:tab/>
        <w:t>Servicio móvil por satélite</w:t>
      </w:r>
    </w:p>
    <w:p w14:paraId="58307DCB" w14:textId="77777777" w:rsidR="00D81645" w:rsidRPr="00DF0B08" w:rsidRDefault="00D81645" w:rsidP="00302806">
      <w:pPr>
        <w:pStyle w:val="Headingb"/>
      </w:pPr>
      <w:r>
        <w:rPr>
          <w:bCs/>
        </w:rPr>
        <w:t>Recomendaciones e Informes UIT-R conexos</w:t>
      </w:r>
    </w:p>
    <w:p w14:paraId="5756ACDC" w14:textId="66C8560B" w:rsidR="00D81645" w:rsidRPr="00DF0B08" w:rsidRDefault="00D81645" w:rsidP="00302806">
      <w:pPr>
        <w:pStyle w:val="Reftext"/>
      </w:pPr>
      <w:r>
        <w:t>Recomendación</w:t>
      </w:r>
      <w:r w:rsidR="008D6CBC">
        <w:t> </w:t>
      </w:r>
      <w:hyperlink r:id="rId17" w:history="1">
        <w:r w:rsidRPr="008D6CBC">
          <w:t>UIT-R</w:t>
        </w:r>
        <w:r w:rsidR="008D6CBC">
          <w:t> </w:t>
        </w:r>
        <w:r w:rsidRPr="008D6CBC">
          <w:t>M.1036</w:t>
        </w:r>
      </w:hyperlink>
      <w:r w:rsidR="008D6CBC">
        <w:t> </w:t>
      </w:r>
      <w:r>
        <w:t>–</w:t>
      </w:r>
      <w:r w:rsidR="008D6CBC">
        <w:t> </w:t>
      </w:r>
      <w:r>
        <w:t>Disposiciones de frecuencias para la implementación de la componente terrenal de las telecomunicaciones móviles internacionales en las bandas identificadas en el Reglamento de Radiocomunicaciones para las IMT</w:t>
      </w:r>
    </w:p>
    <w:p w14:paraId="33326524" w14:textId="4B54F3A5" w:rsidR="00D81645" w:rsidRPr="00DF0B08" w:rsidRDefault="00D81645" w:rsidP="00302806">
      <w:pPr>
        <w:pStyle w:val="Reftext"/>
      </w:pPr>
      <w:r>
        <w:lastRenderedPageBreak/>
        <w:t xml:space="preserve">Informe </w:t>
      </w:r>
      <w:hyperlink r:id="rId18" w:history="1">
        <w:r w:rsidRPr="008D6CBC">
          <w:t>UIT-R M.2529</w:t>
        </w:r>
      </w:hyperlink>
      <w:r>
        <w:t xml:space="preserve"> – Estudios de compatibilidad en banda adyacente de sistemas IMT del servicio móvil en la banda 1</w:t>
      </w:r>
      <w:r w:rsidR="008D6CBC">
        <w:t> </w:t>
      </w:r>
      <w:r>
        <w:t>492</w:t>
      </w:r>
      <w:r w:rsidR="008D6CBC">
        <w:noBreakHyphen/>
      </w:r>
      <w:r>
        <w:t>1</w:t>
      </w:r>
      <w:r w:rsidR="008D6CBC">
        <w:t> </w:t>
      </w:r>
      <w:r>
        <w:t>518</w:t>
      </w:r>
      <w:r w:rsidR="008D6CBC">
        <w:t> </w:t>
      </w:r>
      <w:r>
        <w:t>MHz con respecto a sistemas del servicio móvil por satélite en la banda de frecuencias 1</w:t>
      </w:r>
      <w:r w:rsidR="008D6CBC">
        <w:t> </w:t>
      </w:r>
      <w:r>
        <w:t>518</w:t>
      </w:r>
      <w:r w:rsidR="008D6CBC">
        <w:noBreakHyphen/>
      </w:r>
      <w:r>
        <w:t>1</w:t>
      </w:r>
      <w:r w:rsidR="008D6CBC">
        <w:t> </w:t>
      </w:r>
      <w:r>
        <w:t>525</w:t>
      </w:r>
      <w:r w:rsidR="008D6CBC">
        <w:t> </w:t>
      </w:r>
      <w:r>
        <w:t>MHz</w:t>
      </w:r>
    </w:p>
    <w:p w14:paraId="2F5EDB2A" w14:textId="77777777" w:rsidR="00D81645" w:rsidRPr="00DF0B08" w:rsidRDefault="00D81645" w:rsidP="005720AD">
      <w:pPr>
        <w:pStyle w:val="Normalaftertitle"/>
      </w:pPr>
      <w:r>
        <w:t>La Asamblea de Radiocomunicaciones de la UIT,</w:t>
      </w:r>
    </w:p>
    <w:p w14:paraId="650A9FDD" w14:textId="77777777" w:rsidR="00D81645" w:rsidRPr="00DF0B08" w:rsidRDefault="00D81645" w:rsidP="005720AD">
      <w:pPr>
        <w:pStyle w:val="Call"/>
      </w:pPr>
      <w:r>
        <w:rPr>
          <w:iCs/>
        </w:rPr>
        <w:t>considerando</w:t>
      </w:r>
    </w:p>
    <w:p w14:paraId="63A3D7AC" w14:textId="7DCA4998" w:rsidR="00D81645" w:rsidRPr="00DF0B08" w:rsidRDefault="00D81645" w:rsidP="005720AD">
      <w:pPr>
        <w:rPr>
          <w:i/>
          <w:spacing w:val="-2"/>
        </w:rPr>
      </w:pPr>
      <w:r>
        <w:rPr>
          <w:i/>
          <w:iCs/>
        </w:rPr>
        <w:t>a)</w:t>
      </w:r>
      <w:r>
        <w:tab/>
        <w:t>que la banda de frecuencias 1</w:t>
      </w:r>
      <w:r w:rsidR="008D6CBC">
        <w:t> </w:t>
      </w:r>
      <w:r>
        <w:t>492-1</w:t>
      </w:r>
      <w:r w:rsidR="008D6CBC">
        <w:t> </w:t>
      </w:r>
      <w:r>
        <w:t>525</w:t>
      </w:r>
      <w:r w:rsidR="008D6CBC">
        <w:t> </w:t>
      </w:r>
      <w:r>
        <w:t>MHz está atribuida al servicio móvil en las Regiones</w:t>
      </w:r>
      <w:r w:rsidR="008D6CBC">
        <w:t> </w:t>
      </w:r>
      <w:r>
        <w:t>2 y 3, salvo móvil aeronáutico, y al servicio móvil en la Región 1 a título primario;</w:t>
      </w:r>
    </w:p>
    <w:p w14:paraId="1F95BB07" w14:textId="5CA06513" w:rsidR="00D81645" w:rsidRPr="00DF0B08" w:rsidRDefault="00D81645" w:rsidP="005720AD">
      <w:r>
        <w:rPr>
          <w:i/>
          <w:iCs/>
        </w:rPr>
        <w:t>b)</w:t>
      </w:r>
      <w:r>
        <w:tab/>
        <w:t>que la CMR-15 identificó la banda de frecuencias 1 427-1 518</w:t>
      </w:r>
      <w:r w:rsidR="008D6CBC">
        <w:t> </w:t>
      </w:r>
      <w:r>
        <w:t>MHz para que sea utilizada por las administraciones que desean implementar sistemas IMT terrenales;</w:t>
      </w:r>
    </w:p>
    <w:p w14:paraId="4E34B157" w14:textId="02581C02" w:rsidR="00D81645" w:rsidRPr="00DF0B08" w:rsidRDefault="00D81645" w:rsidP="005720AD">
      <w:r>
        <w:rPr>
          <w:i/>
          <w:iCs/>
        </w:rPr>
        <w:t>c)</w:t>
      </w:r>
      <w:r>
        <w:tab/>
        <w:t>que la banda de frecuencias 1</w:t>
      </w:r>
      <w:r w:rsidR="008D6CBC">
        <w:t> </w:t>
      </w:r>
      <w:r>
        <w:t>518-1</w:t>
      </w:r>
      <w:r w:rsidR="008D6CBC">
        <w:t> </w:t>
      </w:r>
      <w:r>
        <w:t>559</w:t>
      </w:r>
      <w:r w:rsidR="008D6CBC">
        <w:t> </w:t>
      </w:r>
      <w:r>
        <w:t>MHz está atribuida en las tres Regiones al servicio móvil por satélite (SMS) a título primario;</w:t>
      </w:r>
    </w:p>
    <w:p w14:paraId="5684407A" w14:textId="6462E32C" w:rsidR="00D81645" w:rsidRPr="00DF0B08" w:rsidRDefault="00D81645" w:rsidP="005720AD">
      <w:r>
        <w:rPr>
          <w:i/>
          <w:iCs/>
        </w:rPr>
        <w:t>d)</w:t>
      </w:r>
      <w:r>
        <w:tab/>
        <w:t>que la banda de frecuencias 1</w:t>
      </w:r>
      <w:r w:rsidR="008D6CBC">
        <w:t> </w:t>
      </w:r>
      <w:r>
        <w:t>518-1</w:t>
      </w:r>
      <w:r w:rsidR="008D6CBC">
        <w:t> </w:t>
      </w:r>
      <w:r>
        <w:t>559</w:t>
      </w:r>
      <w:r w:rsidR="008D6CBC">
        <w:t> </w:t>
      </w:r>
      <w:r>
        <w:t>MHz puede utilizarse para aplicaciones del SMS terrestre, del SMS marítimo y del SMS aeronáutico;</w:t>
      </w:r>
    </w:p>
    <w:p w14:paraId="2AAA7B69" w14:textId="616BF599" w:rsidR="00D81645" w:rsidRPr="00DF0B08" w:rsidRDefault="00D81645" w:rsidP="005720AD">
      <w:r>
        <w:rPr>
          <w:i/>
          <w:iCs/>
        </w:rPr>
        <w:t>e)</w:t>
      </w:r>
      <w:r>
        <w:tab/>
        <w:t>que es necesario garantizar el funcionamiento continuo del SMS en la banda de frecuencias 1</w:t>
      </w:r>
      <w:r w:rsidR="008D6CBC">
        <w:t> </w:t>
      </w:r>
      <w:r>
        <w:t>518-1</w:t>
      </w:r>
      <w:r w:rsidR="008D6CBC">
        <w:t> </w:t>
      </w:r>
      <w:r>
        <w:t>525</w:t>
      </w:r>
      <w:r w:rsidR="008D6CBC">
        <w:t> </w:t>
      </w:r>
      <w:r>
        <w:t xml:space="preserve">MHz, de conformidad con la Resolución </w:t>
      </w:r>
      <w:r w:rsidRPr="00677DC0">
        <w:rPr>
          <w:b/>
          <w:bCs/>
        </w:rPr>
        <w:t>223 (Rev.CMR-19)</w:t>
      </w:r>
      <w:r>
        <w:t>;</w:t>
      </w:r>
    </w:p>
    <w:p w14:paraId="694D44FB" w14:textId="77777777" w:rsidR="00D81645" w:rsidRPr="00DF0B08" w:rsidRDefault="00D81645" w:rsidP="005720AD">
      <w:r>
        <w:rPr>
          <w:i/>
          <w:iCs/>
        </w:rPr>
        <w:t>f)</w:t>
      </w:r>
      <w:r>
        <w:tab/>
        <w:t>que puede ser necesario garantizar la compatibilidad entre los sistemas IMT terrenales y las ETM en los puertos y aeropuertos, y las ETM terrestres. Este es particularmente el caso de algunas ETM tradicionales sin la protección de bloqueo adecuada;</w:t>
      </w:r>
    </w:p>
    <w:p w14:paraId="545C4938" w14:textId="77777777" w:rsidR="00D81645" w:rsidRPr="00DF0B08" w:rsidRDefault="00D81645" w:rsidP="005720AD">
      <w:r>
        <w:rPr>
          <w:i/>
          <w:iCs/>
        </w:rPr>
        <w:t>g)</w:t>
      </w:r>
      <w:r>
        <w:tab/>
        <w:t>que se están desarrollando nuevas estaciones terrenas móviles (ETM) que proporcionan una mejor protección contra la interferencia de bloqueo procedente de la banda adyacente,</w:t>
      </w:r>
    </w:p>
    <w:p w14:paraId="7371C2BB" w14:textId="77777777" w:rsidR="00D81645" w:rsidRPr="00DF0B08" w:rsidRDefault="00D81645" w:rsidP="005720AD">
      <w:pPr>
        <w:pStyle w:val="Call"/>
      </w:pPr>
      <w:r>
        <w:rPr>
          <w:iCs/>
        </w:rPr>
        <w:t>reconociendo</w:t>
      </w:r>
    </w:p>
    <w:p w14:paraId="6E487485" w14:textId="7212C340" w:rsidR="00D81645" w:rsidRPr="00DF0B08" w:rsidRDefault="00D81645" w:rsidP="005720AD">
      <w:pPr>
        <w:rPr>
          <w:szCs w:val="24"/>
        </w:rPr>
      </w:pPr>
      <w:r>
        <w:rPr>
          <w:i/>
          <w:iCs/>
        </w:rPr>
        <w:t>a)</w:t>
      </w:r>
      <w:r>
        <w:tab/>
        <w:t xml:space="preserve">que la Resolución </w:t>
      </w:r>
      <w:r w:rsidRPr="00677DC0">
        <w:rPr>
          <w:b/>
          <w:bCs/>
        </w:rPr>
        <w:t>223 (Rev.CMR-19)</w:t>
      </w:r>
      <w:r>
        <w:t xml:space="preserve"> invita al UIT-R a realizar estudios de compatibilidad a fin de proporcionar medidas técnicas que garanticen la coexistencia entre el SMS en la banda de frecuencias 1</w:t>
      </w:r>
      <w:r w:rsidR="008D6CBC">
        <w:t> </w:t>
      </w:r>
      <w:r>
        <w:t>518-1</w:t>
      </w:r>
      <w:r w:rsidR="008D6CBC">
        <w:t> </w:t>
      </w:r>
      <w:r>
        <w:t>525</w:t>
      </w:r>
      <w:r w:rsidR="008D6CBC">
        <w:t> </w:t>
      </w:r>
      <w:r>
        <w:t>MHz y las IMT en la banda de frecuencias 1</w:t>
      </w:r>
      <w:r w:rsidR="008D6CBC">
        <w:t> </w:t>
      </w:r>
      <w:r>
        <w:t>492-1</w:t>
      </w:r>
      <w:r w:rsidR="008D6CBC">
        <w:t> </w:t>
      </w:r>
      <w:r>
        <w:t>518</w:t>
      </w:r>
      <w:r w:rsidR="008D6CBC">
        <w:t> </w:t>
      </w:r>
      <w:r>
        <w:t>MHz, incluidas orientaciones sobre la implementación de disposiciones de frecuencias para la implantación de las IMT en la banda de frecuencias 1</w:t>
      </w:r>
      <w:r w:rsidR="008D6CBC">
        <w:t> </w:t>
      </w:r>
      <w:r>
        <w:t>427-1</w:t>
      </w:r>
      <w:r w:rsidR="008D6CBC">
        <w:t> </w:t>
      </w:r>
      <w:r>
        <w:t>518</w:t>
      </w:r>
      <w:r w:rsidR="008D6CBC">
        <w:t> </w:t>
      </w:r>
      <w:r>
        <w:t>MHz, teniendo en cuenta los resultados de estos estudios;</w:t>
      </w:r>
    </w:p>
    <w:p w14:paraId="6CAB046E" w14:textId="6F858B18" w:rsidR="00D81645" w:rsidRPr="00DF0B08" w:rsidRDefault="00D81645" w:rsidP="005720AD">
      <w:r>
        <w:rPr>
          <w:i/>
          <w:iCs/>
        </w:rPr>
        <w:t>b)</w:t>
      </w:r>
      <w:r>
        <w:tab/>
        <w:t xml:space="preserve">que el Informe </w:t>
      </w:r>
      <w:hyperlink r:id="rId19" w:history="1">
        <w:r w:rsidRPr="008D6CBC">
          <w:t>UIT-R M.2529</w:t>
        </w:r>
      </w:hyperlink>
      <w:r>
        <w:t xml:space="preserve"> contiene las medidas técnicas para garantizar la coexistencia entre el SMS en la banda de frecuencias 1</w:t>
      </w:r>
      <w:r w:rsidR="008D6CBC">
        <w:t> </w:t>
      </w:r>
      <w:r>
        <w:t>518-1</w:t>
      </w:r>
      <w:r w:rsidR="008D6CBC">
        <w:t> </w:t>
      </w:r>
      <w:r>
        <w:t>525</w:t>
      </w:r>
      <w:r w:rsidR="008D6CBC">
        <w:t> </w:t>
      </w:r>
      <w:r>
        <w:t>MHz y las IMT en la banda de frecuencias 1 492-1</w:t>
      </w:r>
      <w:r w:rsidR="008D6CBC">
        <w:t> </w:t>
      </w:r>
      <w:r>
        <w:t>518</w:t>
      </w:r>
      <w:r w:rsidR="008D6CBC">
        <w:t> </w:t>
      </w:r>
      <w:r>
        <w:t>MHz;</w:t>
      </w:r>
    </w:p>
    <w:p w14:paraId="77D5E260" w14:textId="40C2F68B" w:rsidR="00D81645" w:rsidRPr="00DF0B08" w:rsidRDefault="00D81645" w:rsidP="005720AD">
      <w:r>
        <w:rPr>
          <w:i/>
          <w:iCs/>
        </w:rPr>
        <w:t>c)</w:t>
      </w:r>
      <w:r>
        <w:tab/>
        <w:t xml:space="preserve">que en la Recomendación </w:t>
      </w:r>
      <w:hyperlink r:id="rId20" w:history="1">
        <w:r w:rsidRPr="008D6CBC">
          <w:t>UIT-R</w:t>
        </w:r>
        <w:r w:rsidR="008D6CBC" w:rsidRPr="008D6CBC">
          <w:t> </w:t>
        </w:r>
        <w:r w:rsidRPr="008D6CBC">
          <w:t>M.1036-6</w:t>
        </w:r>
      </w:hyperlink>
      <w:r>
        <w:t xml:space="preserve"> figuran directrices sobre disposiciones de frecuencias para la implantación de las IMT terrenales,</w:t>
      </w:r>
    </w:p>
    <w:p w14:paraId="635A64CC" w14:textId="312D8EF6" w:rsidR="00D81645" w:rsidRPr="00DF0B08" w:rsidRDefault="00D81645" w:rsidP="005720AD">
      <w:pPr>
        <w:pStyle w:val="Call"/>
      </w:pPr>
      <w:r>
        <w:rPr>
          <w:iCs/>
        </w:rPr>
        <w:t>observando</w:t>
      </w:r>
    </w:p>
    <w:p w14:paraId="1DD9E3EB" w14:textId="77777777" w:rsidR="00D81645" w:rsidRPr="00DF0B08" w:rsidRDefault="00D81645" w:rsidP="005720AD">
      <w:pPr>
        <w:rPr>
          <w:iCs/>
        </w:rPr>
      </w:pPr>
      <w:r>
        <w:t>que, si bien las Recomendaciones sobre equipos IMT y ETM pueden proporcionar cierto nivel de compatibilidad, puede haber zonas dentro de un país en las que puedan aplicarse medidas adicionales para facilitar la compatibilidad,</w:t>
      </w:r>
    </w:p>
    <w:p w14:paraId="4B0960DF" w14:textId="2F528501" w:rsidR="00D81645" w:rsidRPr="00DF0B08" w:rsidRDefault="00D81645" w:rsidP="005720AD">
      <w:pPr>
        <w:pStyle w:val="Call"/>
      </w:pPr>
      <w:r>
        <w:rPr>
          <w:iCs/>
        </w:rPr>
        <w:t>recomienda</w:t>
      </w:r>
    </w:p>
    <w:p w14:paraId="41D6352F" w14:textId="29EF6D09" w:rsidR="00D81645" w:rsidRPr="00DF0B08" w:rsidRDefault="00D81645" w:rsidP="005720AD">
      <w:pPr>
        <w:rPr>
          <w:iCs/>
        </w:rPr>
      </w:pPr>
      <w:r>
        <w:t>1</w:t>
      </w:r>
      <w:r>
        <w:tab/>
        <w:t>que las administraciones consideren los niveles de emisión de los equipos IMT que funcionan en la banda 1</w:t>
      </w:r>
      <w:r w:rsidR="008D6CBC">
        <w:t> </w:t>
      </w:r>
      <w:r>
        <w:t>492-1</w:t>
      </w:r>
      <w:r w:rsidR="008D6CBC">
        <w:t> </w:t>
      </w:r>
      <w:r>
        <w:t>518</w:t>
      </w:r>
      <w:r w:rsidR="008D6CBC">
        <w:t> </w:t>
      </w:r>
      <w:r>
        <w:t>MHz como se indica en el Anexo 1;</w:t>
      </w:r>
    </w:p>
    <w:p w14:paraId="51C334AC" w14:textId="18BEC01E" w:rsidR="00D81645" w:rsidRPr="00DF0B08" w:rsidRDefault="00D81645" w:rsidP="005720AD">
      <w:r>
        <w:t>2</w:t>
      </w:r>
      <w:r>
        <w:tab/>
        <w:t>que las administraciones consideren los niveles de bloqueo de las ETM que figuran en el Anexo</w:t>
      </w:r>
      <w:r w:rsidR="008D6CBC">
        <w:t> </w:t>
      </w:r>
      <w:r>
        <w:t>2;</w:t>
      </w:r>
    </w:p>
    <w:p w14:paraId="48C89A34" w14:textId="77777777" w:rsidR="00D81645" w:rsidRPr="00DF0B08" w:rsidRDefault="00D81645" w:rsidP="005720AD">
      <w:pPr>
        <w:rPr>
          <w:iCs/>
        </w:rPr>
      </w:pPr>
      <w:r>
        <w:lastRenderedPageBreak/>
        <w:t>3</w:t>
      </w:r>
      <w:r>
        <w:tab/>
        <w:t>que las administraciones consideren otras medidas reglamentarias para las EB IMT, a fin de garantizar la compatibilidad con las estaciones terrenas de barco y las estaciones terrenas de aeronave en zonas seleccionadas, como se describe en el Anexo 3;</w:t>
      </w:r>
    </w:p>
    <w:p w14:paraId="52D0900F" w14:textId="77777777" w:rsidR="00D81645" w:rsidRDefault="00D81645" w:rsidP="005720AD">
      <w:r>
        <w:t>4</w:t>
      </w:r>
      <w:r>
        <w:tab/>
        <w:t>que cuando se utilice esta Recomendación para la compatibilidad con las ETM terrestres, las administraciones consideren la posibilidad de adoptar medidas reglamentarias adicionales para las IMT, como se describe en el Anexo 4.</w:t>
      </w:r>
    </w:p>
    <w:p w14:paraId="2633811E" w14:textId="77777777" w:rsidR="00D81645" w:rsidRDefault="00D81645" w:rsidP="005720AD"/>
    <w:p w14:paraId="54D32F7D" w14:textId="77777777" w:rsidR="008D6CBC" w:rsidRDefault="008D6CBC" w:rsidP="005720AD"/>
    <w:p w14:paraId="20ED246E" w14:textId="1E39681B" w:rsidR="00D81645" w:rsidRPr="00DF0B08" w:rsidRDefault="00D81645" w:rsidP="005720AD">
      <w:pPr>
        <w:pStyle w:val="AnnexNoTitle"/>
      </w:pPr>
      <w:r>
        <w:rPr>
          <w:bCs/>
        </w:rPr>
        <w:t>Anexo 1</w:t>
      </w:r>
      <w:r>
        <w:rPr>
          <w:bCs/>
        </w:rPr>
        <w:br/>
      </w:r>
      <w:r>
        <w:rPr>
          <w:bCs/>
        </w:rPr>
        <w:br/>
        <w:t xml:space="preserve">Niveles de emisión de los equipos IMT que funcionan </w:t>
      </w:r>
      <w:r w:rsidR="008D6CBC">
        <w:rPr>
          <w:bCs/>
        </w:rPr>
        <w:br/>
      </w:r>
      <w:r>
        <w:rPr>
          <w:bCs/>
        </w:rPr>
        <w:t>en la banda 1 492</w:t>
      </w:r>
      <w:r>
        <w:rPr>
          <w:bCs/>
        </w:rPr>
        <w:noBreakHyphen/>
        <w:t>1 518 MHz</w:t>
      </w:r>
    </w:p>
    <w:p w14:paraId="449B6335" w14:textId="5979A385" w:rsidR="00D81645" w:rsidRPr="00DF0B08" w:rsidRDefault="00D81645" w:rsidP="00302806">
      <w:pPr>
        <w:pStyle w:val="Normalaftertitle"/>
      </w:pPr>
      <w:r>
        <w:t>En este Anexo se indican los requisitos técnicos de las emisiones no deseadas procedentes de equipos IMT. Las emisiones no deseadas de las estaciones base IMT y los equipos de usuario que funcionan en la banda 1</w:t>
      </w:r>
      <w:r w:rsidR="006B448B">
        <w:t> </w:t>
      </w:r>
      <w:r>
        <w:t>492-1</w:t>
      </w:r>
      <w:r w:rsidR="006B448B">
        <w:t> </w:t>
      </w:r>
      <w:r>
        <w:t>518</w:t>
      </w:r>
      <w:r w:rsidR="006B448B">
        <w:t> </w:t>
      </w:r>
      <w:r>
        <w:t>MHz podrían causar interferencia al funcionamiento del SMS por encima de 1</w:t>
      </w:r>
      <w:r w:rsidR="006B448B">
        <w:t> </w:t>
      </w:r>
      <w:r>
        <w:t>518</w:t>
      </w:r>
      <w:r w:rsidR="006B448B">
        <w:t> </w:t>
      </w:r>
      <w:r>
        <w:t>MHz. Las administraciones deben considerar la posibilidad de aplicar límites de emisiones no deseadas a las estaciones base y equipos de usuario IMT entre las opciones que figuran en el presente Anexo.</w:t>
      </w:r>
    </w:p>
    <w:p w14:paraId="1839BA87" w14:textId="44086FDF" w:rsidR="00D81645" w:rsidRPr="00DF0B08" w:rsidRDefault="00D81645" w:rsidP="005720AD">
      <w:r>
        <w:t xml:space="preserve">Los siguientes </w:t>
      </w:r>
      <w:r w:rsidR="006B448B">
        <w:t xml:space="preserve">cuadros </w:t>
      </w:r>
      <w:r>
        <w:t xml:space="preserve">contienen diferentes opciones basadas en los diferentes resultados de los estudios del Informe </w:t>
      </w:r>
      <w:hyperlink r:id="rId21" w:history="1">
        <w:r w:rsidRPr="006B448B">
          <w:t>UIT-R M.2529</w:t>
        </w:r>
      </w:hyperlink>
      <w:r>
        <w:t>. Cabe señalar que los requisitos expresados en las diferentes opciones que se indican a continuación se basan en los resultados de los estudios de compatibilidad relativos a la interferencia causada por emisiones no deseadas. La posible interferencia debida al bloqueo del receptor de las ETM se trata por separado, aunque las emisiones no deseadas de las estaciones base IMT se verán afectadas por la reducción necesaria de la señal en banda de las IMT para cumplir el nivel de dfp relacionado con los requisitos de bloqueo.</w:t>
      </w:r>
    </w:p>
    <w:p w14:paraId="79B59173" w14:textId="679B9CFD" w:rsidR="00D81645" w:rsidRPr="00DF0B08" w:rsidRDefault="00D81645" w:rsidP="005720AD">
      <w:r>
        <w:t>En el Cuadro</w:t>
      </w:r>
      <w:r w:rsidR="006B448B">
        <w:t> </w:t>
      </w:r>
      <w:r>
        <w:t xml:space="preserve">1 se definen las opciones para las estaciones base IMT. En este </w:t>
      </w:r>
      <w:r w:rsidR="006B448B">
        <w:t>cuadro</w:t>
      </w:r>
      <w:r>
        <w:t>, las opciones que emplean límites inferiores de emisiones no deseadas para las estaciones base IMT reducirían el riesgo de interferencia perjudicial al funcionamiento del SMS en la banda de frecuencias por encima de 1</w:t>
      </w:r>
      <w:r w:rsidR="006B448B">
        <w:t> </w:t>
      </w:r>
      <w:r>
        <w:t xml:space="preserve">518 MHz. Sin embargo, para que las estaciones base IMT cumplan los límites de emisiones no deseadas de este </w:t>
      </w:r>
      <w:r w:rsidR="006B448B">
        <w:t>cuadro</w:t>
      </w:r>
      <w:r>
        <w:t>, se requieren medidas técnicas u operativas (por ejemplo, filtrado, reducción de la potencia dentro de banda o banda de guarda), en particular para las estaciones base que utilizan canales por encima de 1</w:t>
      </w:r>
      <w:r w:rsidR="006B448B">
        <w:t> </w:t>
      </w:r>
      <w:r>
        <w:t>502</w:t>
      </w:r>
      <w:r w:rsidR="006B448B">
        <w:t> </w:t>
      </w:r>
      <w:r>
        <w:t>MHz o 1</w:t>
      </w:r>
      <w:r w:rsidR="006B448B">
        <w:t> </w:t>
      </w:r>
      <w:r>
        <w:t>507</w:t>
      </w:r>
      <w:r w:rsidR="006B448B">
        <w:t> </w:t>
      </w:r>
      <w:r>
        <w:t>MHz, dependiendo de las características de los equipos de cada fabricante.</w:t>
      </w:r>
    </w:p>
    <w:p w14:paraId="4599E2C3" w14:textId="77777777" w:rsidR="00D81645" w:rsidRPr="00DF0B08" w:rsidRDefault="00D81645" w:rsidP="005720AD">
      <w:pPr>
        <w:pStyle w:val="TableNo"/>
        <w:rPr>
          <w:rFonts w:eastAsia="Calibri"/>
        </w:rPr>
      </w:pPr>
      <w:r>
        <w:t>CUADRO 1</w:t>
      </w:r>
    </w:p>
    <w:p w14:paraId="3B9D2197" w14:textId="77777777" w:rsidR="00D81645" w:rsidRPr="00DF0B08" w:rsidRDefault="00D81645" w:rsidP="005720AD">
      <w:pPr>
        <w:pStyle w:val="Tabletitle"/>
        <w:rPr>
          <w:rFonts w:eastAsia="Calibri"/>
        </w:rPr>
      </w:pPr>
      <w:r>
        <w:rPr>
          <w:bCs/>
        </w:rPr>
        <w:t>Opciones para limitar las emisiones no deseadas de las estaciones de base IMT</w:t>
      </w:r>
    </w:p>
    <w:tbl>
      <w:tblPr>
        <w:tblStyle w:val="TableGrid"/>
        <w:tblW w:w="9639" w:type="dxa"/>
        <w:jc w:val="center"/>
        <w:tblLayout w:type="fixed"/>
        <w:tblLook w:val="04A0" w:firstRow="1" w:lastRow="0" w:firstColumn="1" w:lastColumn="0" w:noHBand="0" w:noVBand="1"/>
      </w:tblPr>
      <w:tblGrid>
        <w:gridCol w:w="1511"/>
        <w:gridCol w:w="3031"/>
        <w:gridCol w:w="5097"/>
      </w:tblGrid>
      <w:tr w:rsidR="00D81645" w:rsidRPr="006B448B" w14:paraId="70634823" w14:textId="77777777" w:rsidTr="006B448B">
        <w:trPr>
          <w:jc w:val="center"/>
        </w:trPr>
        <w:tc>
          <w:tcPr>
            <w:tcW w:w="784" w:type="pct"/>
            <w:vAlign w:val="center"/>
          </w:tcPr>
          <w:p w14:paraId="161E7407" w14:textId="77777777" w:rsidR="00D81645" w:rsidRPr="006B448B" w:rsidRDefault="00D81645" w:rsidP="002A110F">
            <w:pPr>
              <w:pStyle w:val="Tablehead"/>
              <w:tabs>
                <w:tab w:val="clear" w:pos="1134"/>
                <w:tab w:val="clear" w:pos="2268"/>
              </w:tabs>
              <w:rPr>
                <w:rFonts w:ascii="Times New Roman" w:hAnsi="Times New Roman" w:cs="Times New Roman"/>
              </w:rPr>
            </w:pPr>
            <w:r w:rsidRPr="006B448B">
              <w:rPr>
                <w:rFonts w:ascii="Times New Roman" w:hAnsi="Times New Roman" w:cs="Times New Roman"/>
                <w:bCs/>
              </w:rPr>
              <w:t>Opción</w:t>
            </w:r>
          </w:p>
        </w:tc>
        <w:tc>
          <w:tcPr>
            <w:tcW w:w="1572" w:type="pct"/>
          </w:tcPr>
          <w:p w14:paraId="2955DFAD" w14:textId="7B31B0B2" w:rsidR="00D81645" w:rsidRPr="006B448B" w:rsidRDefault="00D81645" w:rsidP="002A110F">
            <w:pPr>
              <w:pStyle w:val="Tablehead"/>
              <w:tabs>
                <w:tab w:val="clear" w:pos="1134"/>
                <w:tab w:val="clear" w:pos="2268"/>
              </w:tabs>
              <w:rPr>
                <w:rFonts w:ascii="Times New Roman" w:hAnsi="Times New Roman" w:cs="Times New Roman"/>
              </w:rPr>
            </w:pPr>
            <w:r w:rsidRPr="006B448B">
              <w:rPr>
                <w:rFonts w:ascii="Times New Roman" w:hAnsi="Times New Roman" w:cs="Times New Roman"/>
                <w:bCs/>
              </w:rPr>
              <w:t>Operaciones del SMS en la banda 1</w:t>
            </w:r>
            <w:r w:rsidR="006B448B">
              <w:rPr>
                <w:rFonts w:ascii="Times New Roman" w:hAnsi="Times New Roman" w:cs="Times New Roman"/>
                <w:bCs/>
              </w:rPr>
              <w:t> </w:t>
            </w:r>
            <w:r w:rsidRPr="006B448B">
              <w:rPr>
                <w:rFonts w:ascii="Times New Roman" w:hAnsi="Times New Roman" w:cs="Times New Roman"/>
                <w:bCs/>
              </w:rPr>
              <w:t>518-1</w:t>
            </w:r>
            <w:r w:rsidR="006B448B">
              <w:rPr>
                <w:rFonts w:ascii="Times New Roman" w:hAnsi="Times New Roman" w:cs="Times New Roman"/>
                <w:bCs/>
              </w:rPr>
              <w:t> </w:t>
            </w:r>
            <w:r w:rsidRPr="006B448B">
              <w:rPr>
                <w:rFonts w:ascii="Times New Roman" w:hAnsi="Times New Roman" w:cs="Times New Roman"/>
                <w:bCs/>
              </w:rPr>
              <w:t>525</w:t>
            </w:r>
            <w:r w:rsidR="006B448B">
              <w:rPr>
                <w:rFonts w:ascii="Times New Roman" w:hAnsi="Times New Roman" w:cs="Times New Roman"/>
                <w:bCs/>
              </w:rPr>
              <w:t> </w:t>
            </w:r>
            <w:r w:rsidRPr="006B448B">
              <w:rPr>
                <w:rFonts w:ascii="Times New Roman" w:hAnsi="Times New Roman" w:cs="Times New Roman"/>
                <w:bCs/>
              </w:rPr>
              <w:t xml:space="preserve">MHz </w:t>
            </w:r>
            <w:r w:rsidR="006B448B">
              <w:rPr>
                <w:rFonts w:ascii="Times New Roman" w:hAnsi="Times New Roman" w:cs="Times New Roman"/>
                <w:bCs/>
              </w:rPr>
              <w:br/>
            </w:r>
            <w:r w:rsidRPr="006B448B">
              <w:rPr>
                <w:rFonts w:ascii="Times New Roman" w:hAnsi="Times New Roman" w:cs="Times New Roman"/>
                <w:bCs/>
              </w:rPr>
              <w:t>(</w:t>
            </w:r>
            <w:r w:rsidR="006B448B">
              <w:rPr>
                <w:rFonts w:ascii="Times New Roman" w:hAnsi="Times New Roman" w:cs="Times New Roman"/>
                <w:bCs/>
              </w:rPr>
              <w:t>S</w:t>
            </w:r>
            <w:r w:rsidRPr="006B448B">
              <w:rPr>
                <w:rFonts w:ascii="Times New Roman" w:hAnsi="Times New Roman" w:cs="Times New Roman"/>
                <w:bCs/>
              </w:rPr>
              <w:t>/N)</w:t>
            </w:r>
          </w:p>
        </w:tc>
        <w:tc>
          <w:tcPr>
            <w:tcW w:w="2644" w:type="pct"/>
          </w:tcPr>
          <w:p w14:paraId="5E72ACFD" w14:textId="03A5275C" w:rsidR="00D81645" w:rsidRPr="006B448B" w:rsidRDefault="00D81645" w:rsidP="002A110F">
            <w:pPr>
              <w:pStyle w:val="Tablehead"/>
              <w:tabs>
                <w:tab w:val="clear" w:pos="1134"/>
                <w:tab w:val="clear" w:pos="2268"/>
              </w:tabs>
              <w:rPr>
                <w:rFonts w:ascii="Times New Roman" w:hAnsi="Times New Roman" w:cs="Times New Roman"/>
              </w:rPr>
            </w:pPr>
            <w:r w:rsidRPr="006B448B">
              <w:rPr>
                <w:rFonts w:ascii="Times New Roman" w:hAnsi="Times New Roman" w:cs="Times New Roman"/>
                <w:bCs/>
              </w:rPr>
              <w:t xml:space="preserve">Máximo de emisiones no deseadas (p.i.r.e.) </w:t>
            </w:r>
            <w:r w:rsidR="006B448B">
              <w:rPr>
                <w:rFonts w:ascii="Times New Roman" w:hAnsi="Times New Roman" w:cs="Times New Roman"/>
                <w:bCs/>
              </w:rPr>
              <w:br/>
            </w:r>
            <w:r w:rsidRPr="006B448B">
              <w:rPr>
                <w:rFonts w:ascii="Times New Roman" w:hAnsi="Times New Roman" w:cs="Times New Roman"/>
                <w:bCs/>
              </w:rPr>
              <w:t>(Δ</w:t>
            </w:r>
            <w:r w:rsidRPr="006B448B">
              <w:rPr>
                <w:rFonts w:ascii="Times New Roman" w:hAnsi="Times New Roman" w:cs="Times New Roman"/>
                <w:bCs/>
                <w:i/>
                <w:iCs/>
              </w:rPr>
              <w:t xml:space="preserve">f </w:t>
            </w:r>
            <w:r w:rsidRPr="006B448B">
              <w:rPr>
                <w:rFonts w:ascii="Times New Roman" w:hAnsi="Times New Roman" w:cs="Times New Roman"/>
                <w:bCs/>
              </w:rPr>
              <w:t>es la frecuencia relativa a 1</w:t>
            </w:r>
            <w:r w:rsidR="006B448B">
              <w:rPr>
                <w:rFonts w:ascii="Times New Roman" w:hAnsi="Times New Roman" w:cs="Times New Roman"/>
                <w:bCs/>
              </w:rPr>
              <w:t> </w:t>
            </w:r>
            <w:r w:rsidRPr="006B448B">
              <w:rPr>
                <w:rFonts w:ascii="Times New Roman" w:hAnsi="Times New Roman" w:cs="Times New Roman"/>
                <w:bCs/>
              </w:rPr>
              <w:t xml:space="preserve">518 MHz </w:t>
            </w:r>
            <w:r w:rsidR="006B448B">
              <w:rPr>
                <w:rFonts w:ascii="Times New Roman" w:hAnsi="Times New Roman" w:cs="Times New Roman"/>
                <w:bCs/>
              </w:rPr>
              <w:br/>
            </w:r>
            <w:r w:rsidRPr="006B448B">
              <w:rPr>
                <w:rFonts w:ascii="Times New Roman" w:hAnsi="Times New Roman" w:cs="Times New Roman"/>
                <w:bCs/>
              </w:rPr>
              <w:t>y por encima de ella)</w:t>
            </w:r>
          </w:p>
        </w:tc>
      </w:tr>
      <w:tr w:rsidR="00D81645" w:rsidRPr="006B448B" w14:paraId="13E4DFAF" w14:textId="77777777" w:rsidTr="006B448B">
        <w:trPr>
          <w:jc w:val="center"/>
        </w:trPr>
        <w:tc>
          <w:tcPr>
            <w:tcW w:w="784" w:type="pct"/>
            <w:vAlign w:val="center"/>
          </w:tcPr>
          <w:p w14:paraId="2BD36BF0"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1</w:t>
            </w:r>
            <w:r w:rsidRPr="006B448B">
              <w:rPr>
                <w:rFonts w:ascii="Times New Roman" w:hAnsi="Times New Roman" w:cs="Times New Roman"/>
                <w:vertAlign w:val="superscript"/>
              </w:rPr>
              <w:t xml:space="preserve"> (1)</w:t>
            </w:r>
          </w:p>
        </w:tc>
        <w:tc>
          <w:tcPr>
            <w:tcW w:w="1572" w:type="pct"/>
            <w:vAlign w:val="center"/>
          </w:tcPr>
          <w:p w14:paraId="68E0AE87" w14:textId="4F15DC69" w:rsidR="00D81645" w:rsidRPr="006B448B" w:rsidRDefault="006B448B"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Pr>
                <w:rFonts w:ascii="Times New Roman" w:hAnsi="Times New Roman" w:cs="Times New Roman"/>
              </w:rPr>
              <w:t>S</w:t>
            </w:r>
          </w:p>
        </w:tc>
        <w:tc>
          <w:tcPr>
            <w:tcW w:w="2644" w:type="pct"/>
            <w:vAlign w:val="center"/>
          </w:tcPr>
          <w:p w14:paraId="0E9450CE" w14:textId="436C8705" w:rsidR="00D81645" w:rsidRPr="006B448B" w:rsidRDefault="006B448B"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00D81645" w:rsidRPr="006B448B">
              <w:rPr>
                <w:rFonts w:ascii="Times New Roman" w:hAnsi="Times New Roman" w:cs="Times New Roman"/>
              </w:rPr>
              <w:t>0,8 dBm/MHz (0 MHz ≤ Δ</w:t>
            </w:r>
            <w:r w:rsidR="00D81645" w:rsidRPr="006B448B">
              <w:rPr>
                <w:rFonts w:ascii="Times New Roman" w:hAnsi="Times New Roman" w:cs="Times New Roman"/>
                <w:i/>
                <w:iCs/>
              </w:rPr>
              <w:t xml:space="preserve">f </w:t>
            </w:r>
            <w:r w:rsidR="00D81645" w:rsidRPr="006B448B">
              <w:rPr>
                <w:rFonts w:ascii="Times New Roman" w:hAnsi="Times New Roman" w:cs="Times New Roman"/>
              </w:rPr>
              <w:t>≤ 2 MHz),</w:t>
            </w:r>
          </w:p>
          <w:p w14:paraId="6AECA78E" w14:textId="39F06E2A" w:rsidR="00D81645" w:rsidRPr="006B448B" w:rsidRDefault="006B448B"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00D81645" w:rsidRPr="006B448B">
              <w:rPr>
                <w:rFonts w:ascii="Times New Roman" w:hAnsi="Times New Roman" w:cs="Times New Roman"/>
              </w:rPr>
              <w:t>30 dBm/MHz (2 MHz &lt; Δ</w:t>
            </w:r>
            <w:r w:rsidR="00D81645" w:rsidRPr="006B448B">
              <w:rPr>
                <w:rFonts w:ascii="Times New Roman" w:hAnsi="Times New Roman" w:cs="Times New Roman"/>
                <w:i/>
                <w:iCs/>
              </w:rPr>
              <w:t>f</w:t>
            </w:r>
            <w:r w:rsidR="00D81645" w:rsidRPr="006B448B">
              <w:rPr>
                <w:rFonts w:ascii="Times New Roman" w:hAnsi="Times New Roman" w:cs="Times New Roman"/>
              </w:rPr>
              <w:t xml:space="preserve"> ≤ 41 MHz)</w:t>
            </w:r>
          </w:p>
        </w:tc>
      </w:tr>
      <w:tr w:rsidR="00D81645" w:rsidRPr="006B448B" w14:paraId="1C0C6CDF" w14:textId="77777777" w:rsidTr="006B448B">
        <w:trPr>
          <w:jc w:val="center"/>
        </w:trPr>
        <w:tc>
          <w:tcPr>
            <w:tcW w:w="784" w:type="pct"/>
            <w:vAlign w:val="center"/>
          </w:tcPr>
          <w:p w14:paraId="4E660208"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2</w:t>
            </w:r>
          </w:p>
        </w:tc>
        <w:tc>
          <w:tcPr>
            <w:tcW w:w="1572" w:type="pct"/>
            <w:vAlign w:val="center"/>
          </w:tcPr>
          <w:p w14:paraId="3A68D55B"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N</w:t>
            </w:r>
          </w:p>
        </w:tc>
        <w:tc>
          <w:tcPr>
            <w:tcW w:w="2644" w:type="pct"/>
            <w:vAlign w:val="center"/>
          </w:tcPr>
          <w:p w14:paraId="62CDE5D7"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6B448B">
              <w:rPr>
                <w:rFonts w:ascii="Times New Roman" w:hAnsi="Times New Roman" w:cs="Times New Roman"/>
              </w:rPr>
              <w:t>Ningún requisito adicional (0 ≤ Δ</w:t>
            </w:r>
            <w:r w:rsidRPr="006B448B">
              <w:rPr>
                <w:rFonts w:ascii="Times New Roman" w:hAnsi="Times New Roman" w:cs="Times New Roman"/>
                <w:i/>
                <w:iCs/>
              </w:rPr>
              <w:t>f</w:t>
            </w:r>
            <w:r w:rsidRPr="006B448B">
              <w:rPr>
                <w:rFonts w:ascii="Times New Roman" w:hAnsi="Times New Roman" w:cs="Times New Roman"/>
              </w:rPr>
              <w:t xml:space="preserve"> ≤ 7 MHz),</w:t>
            </w:r>
          </w:p>
          <w:p w14:paraId="0FF74485" w14:textId="20934273" w:rsidR="00D81645" w:rsidRPr="006B448B" w:rsidRDefault="006B448B"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00D81645" w:rsidRPr="006B448B">
              <w:rPr>
                <w:rFonts w:ascii="Times New Roman" w:hAnsi="Times New Roman" w:cs="Times New Roman"/>
              </w:rPr>
              <w:t>30 dBm/MHz (7 MHz &lt; Δ</w:t>
            </w:r>
            <w:r w:rsidR="00D81645" w:rsidRPr="006B448B">
              <w:rPr>
                <w:rFonts w:ascii="Times New Roman" w:hAnsi="Times New Roman" w:cs="Times New Roman"/>
                <w:i/>
                <w:iCs/>
              </w:rPr>
              <w:t>f</w:t>
            </w:r>
            <w:r w:rsidR="00D81645" w:rsidRPr="006B448B">
              <w:rPr>
                <w:rFonts w:ascii="Times New Roman" w:hAnsi="Times New Roman" w:cs="Times New Roman"/>
              </w:rPr>
              <w:t xml:space="preserve"> ≤ 41 MHz)</w:t>
            </w:r>
          </w:p>
        </w:tc>
      </w:tr>
    </w:tbl>
    <w:p w14:paraId="4060C4CD" w14:textId="538BAA78" w:rsidR="006B448B" w:rsidRPr="00DF0B08" w:rsidRDefault="006B448B" w:rsidP="006B448B">
      <w:pPr>
        <w:pStyle w:val="TableNo"/>
        <w:rPr>
          <w:rFonts w:eastAsia="Calibri"/>
        </w:rPr>
      </w:pPr>
      <w:r>
        <w:lastRenderedPageBreak/>
        <w:t>CUADRO 1 (</w:t>
      </w:r>
      <w:r w:rsidRPr="006B448B">
        <w:rPr>
          <w:i/>
          <w:iCs/>
        </w:rPr>
        <w:t>fin</w:t>
      </w:r>
      <w:r>
        <w:t>)</w:t>
      </w:r>
    </w:p>
    <w:tbl>
      <w:tblPr>
        <w:tblStyle w:val="TableGrid"/>
        <w:tblW w:w="9639" w:type="dxa"/>
        <w:jc w:val="center"/>
        <w:tblLayout w:type="fixed"/>
        <w:tblLook w:val="04A0" w:firstRow="1" w:lastRow="0" w:firstColumn="1" w:lastColumn="0" w:noHBand="0" w:noVBand="1"/>
      </w:tblPr>
      <w:tblGrid>
        <w:gridCol w:w="1511"/>
        <w:gridCol w:w="3031"/>
        <w:gridCol w:w="5097"/>
      </w:tblGrid>
      <w:tr w:rsidR="006B448B" w:rsidRPr="006B448B" w14:paraId="321B3FBC" w14:textId="77777777" w:rsidTr="00FC062D">
        <w:trPr>
          <w:jc w:val="center"/>
        </w:trPr>
        <w:tc>
          <w:tcPr>
            <w:tcW w:w="784" w:type="pct"/>
            <w:vAlign w:val="center"/>
          </w:tcPr>
          <w:p w14:paraId="4410D416" w14:textId="77777777" w:rsidR="006B448B" w:rsidRPr="006B448B" w:rsidRDefault="006B448B" w:rsidP="00FC062D">
            <w:pPr>
              <w:pStyle w:val="Tablehead"/>
              <w:tabs>
                <w:tab w:val="clear" w:pos="1134"/>
                <w:tab w:val="clear" w:pos="2268"/>
              </w:tabs>
              <w:rPr>
                <w:rFonts w:ascii="Times New Roman" w:hAnsi="Times New Roman" w:cs="Times New Roman"/>
              </w:rPr>
            </w:pPr>
            <w:r w:rsidRPr="006B448B">
              <w:rPr>
                <w:rFonts w:ascii="Times New Roman" w:hAnsi="Times New Roman" w:cs="Times New Roman"/>
                <w:bCs/>
              </w:rPr>
              <w:t>Opción</w:t>
            </w:r>
          </w:p>
        </w:tc>
        <w:tc>
          <w:tcPr>
            <w:tcW w:w="1572" w:type="pct"/>
          </w:tcPr>
          <w:p w14:paraId="54A5233D" w14:textId="77777777" w:rsidR="006B448B" w:rsidRPr="006B448B" w:rsidRDefault="006B448B" w:rsidP="00FC062D">
            <w:pPr>
              <w:pStyle w:val="Tablehead"/>
              <w:tabs>
                <w:tab w:val="clear" w:pos="1134"/>
                <w:tab w:val="clear" w:pos="2268"/>
              </w:tabs>
              <w:rPr>
                <w:rFonts w:ascii="Times New Roman" w:hAnsi="Times New Roman" w:cs="Times New Roman"/>
              </w:rPr>
            </w:pPr>
            <w:r w:rsidRPr="006B448B">
              <w:rPr>
                <w:rFonts w:ascii="Times New Roman" w:hAnsi="Times New Roman" w:cs="Times New Roman"/>
                <w:bCs/>
              </w:rPr>
              <w:t>Operaciones del SMS en la banda 1</w:t>
            </w:r>
            <w:r>
              <w:rPr>
                <w:rFonts w:ascii="Times New Roman" w:hAnsi="Times New Roman" w:cs="Times New Roman"/>
                <w:bCs/>
              </w:rPr>
              <w:t> </w:t>
            </w:r>
            <w:r w:rsidRPr="006B448B">
              <w:rPr>
                <w:rFonts w:ascii="Times New Roman" w:hAnsi="Times New Roman" w:cs="Times New Roman"/>
                <w:bCs/>
              </w:rPr>
              <w:t>518-1</w:t>
            </w:r>
            <w:r>
              <w:rPr>
                <w:rFonts w:ascii="Times New Roman" w:hAnsi="Times New Roman" w:cs="Times New Roman"/>
                <w:bCs/>
              </w:rPr>
              <w:t> </w:t>
            </w:r>
            <w:r w:rsidRPr="006B448B">
              <w:rPr>
                <w:rFonts w:ascii="Times New Roman" w:hAnsi="Times New Roman" w:cs="Times New Roman"/>
                <w:bCs/>
              </w:rPr>
              <w:t>525</w:t>
            </w:r>
            <w:r>
              <w:rPr>
                <w:rFonts w:ascii="Times New Roman" w:hAnsi="Times New Roman" w:cs="Times New Roman"/>
                <w:bCs/>
              </w:rPr>
              <w:t> </w:t>
            </w:r>
            <w:r w:rsidRPr="006B448B">
              <w:rPr>
                <w:rFonts w:ascii="Times New Roman" w:hAnsi="Times New Roman" w:cs="Times New Roman"/>
                <w:bCs/>
              </w:rPr>
              <w:t xml:space="preserve">MHz </w:t>
            </w:r>
            <w:r>
              <w:rPr>
                <w:rFonts w:ascii="Times New Roman" w:hAnsi="Times New Roman" w:cs="Times New Roman"/>
                <w:bCs/>
              </w:rPr>
              <w:br/>
            </w:r>
            <w:r w:rsidRPr="006B448B">
              <w:rPr>
                <w:rFonts w:ascii="Times New Roman" w:hAnsi="Times New Roman" w:cs="Times New Roman"/>
                <w:bCs/>
              </w:rPr>
              <w:t>(</w:t>
            </w:r>
            <w:r>
              <w:rPr>
                <w:rFonts w:ascii="Times New Roman" w:hAnsi="Times New Roman" w:cs="Times New Roman"/>
                <w:bCs/>
              </w:rPr>
              <w:t>S</w:t>
            </w:r>
            <w:r w:rsidRPr="006B448B">
              <w:rPr>
                <w:rFonts w:ascii="Times New Roman" w:hAnsi="Times New Roman" w:cs="Times New Roman"/>
                <w:bCs/>
              </w:rPr>
              <w:t>/N)</w:t>
            </w:r>
          </w:p>
        </w:tc>
        <w:tc>
          <w:tcPr>
            <w:tcW w:w="2644" w:type="pct"/>
          </w:tcPr>
          <w:p w14:paraId="5E45AD6E" w14:textId="77777777" w:rsidR="006B448B" w:rsidRPr="006B448B" w:rsidRDefault="006B448B" w:rsidP="00FC062D">
            <w:pPr>
              <w:pStyle w:val="Tablehead"/>
              <w:tabs>
                <w:tab w:val="clear" w:pos="1134"/>
                <w:tab w:val="clear" w:pos="2268"/>
              </w:tabs>
              <w:rPr>
                <w:rFonts w:ascii="Times New Roman" w:hAnsi="Times New Roman" w:cs="Times New Roman"/>
              </w:rPr>
            </w:pPr>
            <w:r w:rsidRPr="006B448B">
              <w:rPr>
                <w:rFonts w:ascii="Times New Roman" w:hAnsi="Times New Roman" w:cs="Times New Roman"/>
                <w:bCs/>
              </w:rPr>
              <w:t xml:space="preserve">Máximo de emisiones no deseadas (p.i.r.e.) </w:t>
            </w:r>
            <w:r>
              <w:rPr>
                <w:rFonts w:ascii="Times New Roman" w:hAnsi="Times New Roman" w:cs="Times New Roman"/>
                <w:bCs/>
              </w:rPr>
              <w:br/>
            </w:r>
            <w:r w:rsidRPr="006B448B">
              <w:rPr>
                <w:rFonts w:ascii="Times New Roman" w:hAnsi="Times New Roman" w:cs="Times New Roman"/>
                <w:bCs/>
              </w:rPr>
              <w:t>(Δ</w:t>
            </w:r>
            <w:r w:rsidRPr="006B448B">
              <w:rPr>
                <w:rFonts w:ascii="Times New Roman" w:hAnsi="Times New Roman" w:cs="Times New Roman"/>
                <w:bCs/>
                <w:i/>
                <w:iCs/>
              </w:rPr>
              <w:t xml:space="preserve">f </w:t>
            </w:r>
            <w:r w:rsidRPr="006B448B">
              <w:rPr>
                <w:rFonts w:ascii="Times New Roman" w:hAnsi="Times New Roman" w:cs="Times New Roman"/>
                <w:bCs/>
              </w:rPr>
              <w:t>es la frecuencia relativa a 1</w:t>
            </w:r>
            <w:r>
              <w:rPr>
                <w:rFonts w:ascii="Times New Roman" w:hAnsi="Times New Roman" w:cs="Times New Roman"/>
                <w:bCs/>
              </w:rPr>
              <w:t> </w:t>
            </w:r>
            <w:r w:rsidRPr="006B448B">
              <w:rPr>
                <w:rFonts w:ascii="Times New Roman" w:hAnsi="Times New Roman" w:cs="Times New Roman"/>
                <w:bCs/>
              </w:rPr>
              <w:t xml:space="preserve">518 MHz </w:t>
            </w:r>
            <w:r>
              <w:rPr>
                <w:rFonts w:ascii="Times New Roman" w:hAnsi="Times New Roman" w:cs="Times New Roman"/>
                <w:bCs/>
              </w:rPr>
              <w:br/>
            </w:r>
            <w:r w:rsidRPr="006B448B">
              <w:rPr>
                <w:rFonts w:ascii="Times New Roman" w:hAnsi="Times New Roman" w:cs="Times New Roman"/>
                <w:bCs/>
              </w:rPr>
              <w:t>y por encima de ella)</w:t>
            </w:r>
          </w:p>
        </w:tc>
      </w:tr>
      <w:tr w:rsidR="00D81645" w:rsidRPr="006B448B" w14:paraId="1D4E2415" w14:textId="77777777" w:rsidTr="006B448B">
        <w:trPr>
          <w:jc w:val="center"/>
        </w:trPr>
        <w:tc>
          <w:tcPr>
            <w:tcW w:w="784" w:type="pct"/>
            <w:vAlign w:val="center"/>
          </w:tcPr>
          <w:p w14:paraId="23B97696"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3</w:t>
            </w:r>
          </w:p>
        </w:tc>
        <w:tc>
          <w:tcPr>
            <w:tcW w:w="1572" w:type="pct"/>
            <w:vAlign w:val="center"/>
          </w:tcPr>
          <w:p w14:paraId="1D072E96" w14:textId="78013025" w:rsidR="00D81645" w:rsidRPr="006B448B" w:rsidRDefault="006B448B"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Pr>
                <w:rFonts w:ascii="Times New Roman" w:hAnsi="Times New Roman" w:cs="Times New Roman"/>
              </w:rPr>
              <w:t>S</w:t>
            </w:r>
          </w:p>
        </w:tc>
        <w:tc>
          <w:tcPr>
            <w:tcW w:w="2644" w:type="pct"/>
            <w:vAlign w:val="center"/>
          </w:tcPr>
          <w:p w14:paraId="3792FF05" w14:textId="39E4FAF8" w:rsidR="00D81645" w:rsidRPr="006B448B" w:rsidRDefault="006B448B"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00D81645" w:rsidRPr="006B448B">
              <w:rPr>
                <w:rFonts w:ascii="Times New Roman" w:hAnsi="Times New Roman" w:cs="Times New Roman"/>
              </w:rPr>
              <w:t>41 dBm/MHz (0 MHz &lt; Δ</w:t>
            </w:r>
            <w:r w:rsidR="00D81645" w:rsidRPr="006B448B">
              <w:rPr>
                <w:rFonts w:ascii="Times New Roman" w:hAnsi="Times New Roman" w:cs="Times New Roman"/>
                <w:i/>
                <w:iCs/>
              </w:rPr>
              <w:t xml:space="preserve">f </w:t>
            </w:r>
            <w:r w:rsidR="00D81645" w:rsidRPr="006B448B">
              <w:rPr>
                <w:rFonts w:ascii="Times New Roman" w:hAnsi="Times New Roman" w:cs="Times New Roman"/>
              </w:rPr>
              <w:t>≤ 41 MHz)</w:t>
            </w:r>
          </w:p>
        </w:tc>
      </w:tr>
      <w:tr w:rsidR="00D81645" w:rsidRPr="006B448B" w14:paraId="127FC33A" w14:textId="77777777" w:rsidTr="006B448B">
        <w:trPr>
          <w:jc w:val="center"/>
        </w:trPr>
        <w:tc>
          <w:tcPr>
            <w:tcW w:w="784" w:type="pct"/>
            <w:vAlign w:val="center"/>
          </w:tcPr>
          <w:p w14:paraId="59CAF51F"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4</w:t>
            </w:r>
          </w:p>
        </w:tc>
        <w:tc>
          <w:tcPr>
            <w:tcW w:w="1572" w:type="pct"/>
            <w:vAlign w:val="center"/>
          </w:tcPr>
          <w:p w14:paraId="5A2A88A4"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N</w:t>
            </w:r>
          </w:p>
        </w:tc>
        <w:tc>
          <w:tcPr>
            <w:tcW w:w="2644" w:type="pct"/>
            <w:vAlign w:val="center"/>
          </w:tcPr>
          <w:p w14:paraId="2CC8E860"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6B448B">
              <w:rPr>
                <w:rFonts w:ascii="Times New Roman" w:hAnsi="Times New Roman" w:cs="Times New Roman"/>
              </w:rPr>
              <w:t>Ningún requisito adicional (0 ≤ Δ</w:t>
            </w:r>
            <w:r w:rsidRPr="006B448B">
              <w:rPr>
                <w:rFonts w:ascii="Times New Roman" w:hAnsi="Times New Roman" w:cs="Times New Roman"/>
                <w:i/>
                <w:iCs/>
              </w:rPr>
              <w:t>f</w:t>
            </w:r>
            <w:r w:rsidRPr="006B448B">
              <w:rPr>
                <w:rFonts w:ascii="Times New Roman" w:hAnsi="Times New Roman" w:cs="Times New Roman"/>
              </w:rPr>
              <w:t xml:space="preserve"> ≤ 7 MHz),</w:t>
            </w:r>
          </w:p>
          <w:p w14:paraId="32877AD3" w14:textId="15F4A088" w:rsidR="00D81645" w:rsidRPr="006B448B" w:rsidRDefault="006B448B"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00D81645" w:rsidRPr="006B448B">
              <w:rPr>
                <w:rFonts w:ascii="Times New Roman" w:hAnsi="Times New Roman" w:cs="Times New Roman"/>
              </w:rPr>
              <w:t>41 dBm/MHz (7 MHz &lt; Δ</w:t>
            </w:r>
            <w:r w:rsidR="00D81645" w:rsidRPr="006B448B">
              <w:rPr>
                <w:rFonts w:ascii="Times New Roman" w:hAnsi="Times New Roman" w:cs="Times New Roman"/>
                <w:i/>
                <w:iCs/>
              </w:rPr>
              <w:t>f</w:t>
            </w:r>
            <w:r w:rsidR="00D81645" w:rsidRPr="006B448B">
              <w:rPr>
                <w:rFonts w:ascii="Times New Roman" w:hAnsi="Times New Roman" w:cs="Times New Roman"/>
              </w:rPr>
              <w:t xml:space="preserve"> ≤ 41 MHz)</w:t>
            </w:r>
          </w:p>
        </w:tc>
      </w:tr>
      <w:tr w:rsidR="00D81645" w:rsidRPr="006B448B" w14:paraId="35B3C976" w14:textId="77777777" w:rsidTr="006B448B">
        <w:trPr>
          <w:jc w:val="center"/>
        </w:trPr>
        <w:tc>
          <w:tcPr>
            <w:tcW w:w="784" w:type="pct"/>
            <w:vAlign w:val="center"/>
          </w:tcPr>
          <w:p w14:paraId="4A7141FD"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5</w:t>
            </w:r>
          </w:p>
        </w:tc>
        <w:tc>
          <w:tcPr>
            <w:tcW w:w="1572" w:type="pct"/>
            <w:vAlign w:val="center"/>
          </w:tcPr>
          <w:p w14:paraId="75FD7068" w14:textId="7F56BBB4" w:rsidR="00D81645" w:rsidRPr="006B448B" w:rsidRDefault="006B448B"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Pr>
                <w:rFonts w:ascii="Times New Roman" w:hAnsi="Times New Roman" w:cs="Times New Roman"/>
              </w:rPr>
              <w:t>S</w:t>
            </w:r>
          </w:p>
        </w:tc>
        <w:tc>
          <w:tcPr>
            <w:tcW w:w="2644" w:type="pct"/>
            <w:vAlign w:val="center"/>
          </w:tcPr>
          <w:p w14:paraId="16CE3C65" w14:textId="52F31CD3" w:rsidR="00D81645" w:rsidRPr="006B448B" w:rsidRDefault="006B448B"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00D81645" w:rsidRPr="006B448B">
              <w:rPr>
                <w:rFonts w:ascii="Times New Roman" w:hAnsi="Times New Roman" w:cs="Times New Roman"/>
              </w:rPr>
              <w:t>30 dBm/MHz (0 MHz ≤ Δ</w:t>
            </w:r>
            <w:r w:rsidR="00D81645" w:rsidRPr="006B448B">
              <w:rPr>
                <w:rFonts w:ascii="Times New Roman" w:hAnsi="Times New Roman" w:cs="Times New Roman"/>
                <w:i/>
                <w:iCs/>
              </w:rPr>
              <w:t>f</w:t>
            </w:r>
            <w:r w:rsidR="00D81645" w:rsidRPr="006B448B">
              <w:rPr>
                <w:rFonts w:ascii="Times New Roman" w:hAnsi="Times New Roman" w:cs="Times New Roman"/>
              </w:rPr>
              <w:t xml:space="preserve"> ≤ 2 MHz),</w:t>
            </w:r>
          </w:p>
          <w:p w14:paraId="00EFB6DA" w14:textId="77DDB2AD" w:rsidR="00D81645" w:rsidRPr="006B448B" w:rsidRDefault="006B448B"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00D81645" w:rsidRPr="006B448B">
              <w:rPr>
                <w:rFonts w:ascii="Times New Roman" w:hAnsi="Times New Roman" w:cs="Times New Roman"/>
              </w:rPr>
              <w:t>41 dBm/MHz (2 MHz &lt; Δ</w:t>
            </w:r>
            <w:r w:rsidR="00D81645" w:rsidRPr="006B448B">
              <w:rPr>
                <w:rFonts w:ascii="Times New Roman" w:hAnsi="Times New Roman" w:cs="Times New Roman"/>
                <w:i/>
                <w:iCs/>
              </w:rPr>
              <w:t>f</w:t>
            </w:r>
            <w:r w:rsidR="00D81645" w:rsidRPr="006B448B">
              <w:rPr>
                <w:rFonts w:ascii="Times New Roman" w:hAnsi="Times New Roman" w:cs="Times New Roman"/>
              </w:rPr>
              <w:t xml:space="preserve"> ≤ 7 MHz),</w:t>
            </w:r>
          </w:p>
          <w:p w14:paraId="0746799A" w14:textId="7999C3A3" w:rsidR="00D81645" w:rsidRPr="006B448B" w:rsidRDefault="006B448B"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00D81645" w:rsidRPr="006B448B">
              <w:rPr>
                <w:rFonts w:ascii="Times New Roman" w:hAnsi="Times New Roman" w:cs="Times New Roman"/>
              </w:rPr>
              <w:t>52 dBm/MHz (7 MHz &lt; Δ</w:t>
            </w:r>
            <w:r w:rsidR="00D81645" w:rsidRPr="006B448B">
              <w:rPr>
                <w:rFonts w:ascii="Times New Roman" w:hAnsi="Times New Roman" w:cs="Times New Roman"/>
                <w:i/>
                <w:iCs/>
              </w:rPr>
              <w:t xml:space="preserve">f </w:t>
            </w:r>
            <w:r w:rsidR="00D81645" w:rsidRPr="006B448B">
              <w:rPr>
                <w:rFonts w:ascii="Times New Roman" w:hAnsi="Times New Roman" w:cs="Times New Roman"/>
              </w:rPr>
              <w:t>≤ 41 MHz)</w:t>
            </w:r>
          </w:p>
        </w:tc>
      </w:tr>
      <w:tr w:rsidR="00D81645" w:rsidRPr="006B448B" w14:paraId="61384893" w14:textId="77777777" w:rsidTr="005A3993">
        <w:trPr>
          <w:jc w:val="center"/>
        </w:trPr>
        <w:tc>
          <w:tcPr>
            <w:tcW w:w="784" w:type="pct"/>
            <w:tcBorders>
              <w:bottom w:val="single" w:sz="4" w:space="0" w:color="auto"/>
            </w:tcBorders>
            <w:vAlign w:val="center"/>
          </w:tcPr>
          <w:p w14:paraId="75AF7C1F"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6</w:t>
            </w:r>
          </w:p>
        </w:tc>
        <w:tc>
          <w:tcPr>
            <w:tcW w:w="1572" w:type="pct"/>
            <w:tcBorders>
              <w:bottom w:val="single" w:sz="4" w:space="0" w:color="auto"/>
            </w:tcBorders>
            <w:vAlign w:val="center"/>
          </w:tcPr>
          <w:p w14:paraId="6839954A"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N</w:t>
            </w:r>
          </w:p>
        </w:tc>
        <w:tc>
          <w:tcPr>
            <w:tcW w:w="2644" w:type="pct"/>
            <w:tcBorders>
              <w:bottom w:val="single" w:sz="4" w:space="0" w:color="auto"/>
            </w:tcBorders>
            <w:vAlign w:val="center"/>
          </w:tcPr>
          <w:p w14:paraId="0421249C"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6B448B">
              <w:rPr>
                <w:rFonts w:ascii="Times New Roman" w:hAnsi="Times New Roman" w:cs="Times New Roman"/>
              </w:rPr>
              <w:t>Ningún requisito adicional (0 ≤ Δ</w:t>
            </w:r>
            <w:r w:rsidRPr="006B448B">
              <w:rPr>
                <w:rFonts w:ascii="Times New Roman" w:hAnsi="Times New Roman" w:cs="Times New Roman"/>
                <w:i/>
                <w:iCs/>
              </w:rPr>
              <w:t xml:space="preserve">f </w:t>
            </w:r>
            <w:r w:rsidRPr="006B448B">
              <w:rPr>
                <w:rFonts w:ascii="Times New Roman" w:hAnsi="Times New Roman" w:cs="Times New Roman"/>
              </w:rPr>
              <w:t>≤ 7 MHz),</w:t>
            </w:r>
          </w:p>
          <w:p w14:paraId="0686174B" w14:textId="0B087143" w:rsidR="00D81645" w:rsidRPr="006B448B" w:rsidRDefault="006B448B"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00D81645" w:rsidRPr="006B448B">
              <w:rPr>
                <w:rFonts w:ascii="Times New Roman" w:hAnsi="Times New Roman" w:cs="Times New Roman"/>
              </w:rPr>
              <w:t>52 dBm/MHz (7 MHz &lt; Δ</w:t>
            </w:r>
            <w:r w:rsidR="00D81645" w:rsidRPr="006B448B">
              <w:rPr>
                <w:rFonts w:ascii="Times New Roman" w:hAnsi="Times New Roman" w:cs="Times New Roman"/>
                <w:i/>
                <w:iCs/>
              </w:rPr>
              <w:t>f</w:t>
            </w:r>
            <w:r w:rsidR="00D81645" w:rsidRPr="006B448B">
              <w:rPr>
                <w:rFonts w:ascii="Times New Roman" w:hAnsi="Times New Roman" w:cs="Times New Roman"/>
              </w:rPr>
              <w:t xml:space="preserve"> ≤ 41 MHz)</w:t>
            </w:r>
          </w:p>
        </w:tc>
      </w:tr>
      <w:tr w:rsidR="00D81645" w:rsidRPr="006B448B" w14:paraId="3F6936B8" w14:textId="77777777" w:rsidTr="005A3993">
        <w:trPr>
          <w:jc w:val="center"/>
        </w:trPr>
        <w:tc>
          <w:tcPr>
            <w:tcW w:w="5000" w:type="pct"/>
            <w:gridSpan w:val="3"/>
            <w:tcBorders>
              <w:left w:val="nil"/>
              <w:bottom w:val="nil"/>
              <w:right w:val="nil"/>
            </w:tcBorders>
          </w:tcPr>
          <w:p w14:paraId="47450F4F" w14:textId="0F8DFCB1" w:rsidR="00D81645" w:rsidRPr="006B448B" w:rsidRDefault="00D81645" w:rsidP="006B448B">
            <w:pPr>
              <w:pStyle w:val="Tabletext"/>
              <w:ind w:left="284" w:hanging="284"/>
              <w:rPr>
                <w:rFonts w:ascii="Times New Roman" w:hAnsi="Times New Roman" w:cs="Times New Roman"/>
              </w:rPr>
            </w:pPr>
            <w:r w:rsidRPr="006B448B">
              <w:rPr>
                <w:rFonts w:ascii="Times New Roman" w:hAnsi="Times New Roman" w:cs="Times New Roman"/>
                <w:vertAlign w:val="superscript"/>
              </w:rPr>
              <w:t>(1)</w:t>
            </w:r>
            <w:r w:rsidRPr="006B448B">
              <w:rPr>
                <w:rFonts w:ascii="Times New Roman" w:hAnsi="Times New Roman" w:cs="Times New Roman"/>
              </w:rPr>
              <w:tab/>
              <w:t>Esta opción supone un límite superior del bloque de frecuencias IMT en 1</w:t>
            </w:r>
            <w:r w:rsidR="006B448B">
              <w:rPr>
                <w:rFonts w:ascii="Times New Roman" w:hAnsi="Times New Roman" w:cs="Times New Roman"/>
              </w:rPr>
              <w:t> </w:t>
            </w:r>
            <w:r w:rsidRPr="006B448B">
              <w:rPr>
                <w:rFonts w:ascii="Times New Roman" w:hAnsi="Times New Roman" w:cs="Times New Roman"/>
              </w:rPr>
              <w:t>517</w:t>
            </w:r>
            <w:r w:rsidR="006B448B">
              <w:rPr>
                <w:rFonts w:ascii="Times New Roman" w:hAnsi="Times New Roman" w:cs="Times New Roman"/>
              </w:rPr>
              <w:t> </w:t>
            </w:r>
            <w:r w:rsidRPr="006B448B">
              <w:rPr>
                <w:rFonts w:ascii="Times New Roman" w:hAnsi="Times New Roman" w:cs="Times New Roman"/>
              </w:rPr>
              <w:t>MHz con una p.i.r.e. dentro de banda máxima de 58 dBm/5 MHz para la banda 1</w:t>
            </w:r>
            <w:r w:rsidR="006B448B">
              <w:rPr>
                <w:rFonts w:ascii="Times New Roman" w:hAnsi="Times New Roman" w:cs="Times New Roman"/>
              </w:rPr>
              <w:t> </w:t>
            </w:r>
            <w:r w:rsidRPr="006B448B">
              <w:rPr>
                <w:rFonts w:ascii="Times New Roman" w:hAnsi="Times New Roman" w:cs="Times New Roman"/>
              </w:rPr>
              <w:t>512-1</w:t>
            </w:r>
            <w:r w:rsidR="006B448B">
              <w:rPr>
                <w:rFonts w:ascii="Times New Roman" w:hAnsi="Times New Roman" w:cs="Times New Roman"/>
              </w:rPr>
              <w:t> </w:t>
            </w:r>
            <w:r w:rsidRPr="006B448B">
              <w:rPr>
                <w:rFonts w:ascii="Times New Roman" w:hAnsi="Times New Roman" w:cs="Times New Roman"/>
              </w:rPr>
              <w:t>517</w:t>
            </w:r>
            <w:r w:rsidR="006B448B">
              <w:rPr>
                <w:rFonts w:ascii="Times New Roman" w:hAnsi="Times New Roman" w:cs="Times New Roman"/>
              </w:rPr>
              <w:t> </w:t>
            </w:r>
            <w:r w:rsidRPr="006B448B">
              <w:rPr>
                <w:rFonts w:ascii="Times New Roman" w:hAnsi="Times New Roman" w:cs="Times New Roman"/>
              </w:rPr>
              <w:t>MHz. El resultado de aplicar un nivel de emisiones no deseadas de −0,8 dBm/MHz es que en 1</w:t>
            </w:r>
            <w:r w:rsidR="006B448B">
              <w:rPr>
                <w:rFonts w:ascii="Times New Roman" w:hAnsi="Times New Roman" w:cs="Times New Roman"/>
              </w:rPr>
              <w:t> </w:t>
            </w:r>
            <w:r w:rsidRPr="006B448B">
              <w:rPr>
                <w:rFonts w:ascii="Times New Roman" w:hAnsi="Times New Roman" w:cs="Times New Roman"/>
              </w:rPr>
              <w:t>518-1</w:t>
            </w:r>
            <w:r w:rsidR="006B448B">
              <w:rPr>
                <w:rFonts w:ascii="Times New Roman" w:hAnsi="Times New Roman" w:cs="Times New Roman"/>
              </w:rPr>
              <w:t> </w:t>
            </w:r>
            <w:r w:rsidRPr="006B448B">
              <w:rPr>
                <w:rFonts w:ascii="Times New Roman" w:hAnsi="Times New Roman" w:cs="Times New Roman"/>
              </w:rPr>
              <w:t>520</w:t>
            </w:r>
            <w:r w:rsidR="006B448B">
              <w:rPr>
                <w:rFonts w:ascii="Times New Roman" w:hAnsi="Times New Roman" w:cs="Times New Roman"/>
              </w:rPr>
              <w:t> </w:t>
            </w:r>
            <w:r w:rsidRPr="006B448B">
              <w:rPr>
                <w:rFonts w:ascii="Times New Roman" w:hAnsi="Times New Roman" w:cs="Times New Roman"/>
              </w:rPr>
              <w:t>MHz, el SMS no podrá funcionar en esta porción de la banda en la misma zona geográfica que las IMT.</w:t>
            </w:r>
          </w:p>
        </w:tc>
      </w:tr>
    </w:tbl>
    <w:p w14:paraId="426515B3" w14:textId="77777777" w:rsidR="00D81645" w:rsidRPr="00DF0B08" w:rsidRDefault="00D81645" w:rsidP="005A3993">
      <w:pPr>
        <w:pStyle w:val="Tablefin"/>
        <w:rPr>
          <w:lang w:val="es-ES"/>
        </w:rPr>
      </w:pPr>
    </w:p>
    <w:p w14:paraId="3AFE3A3C" w14:textId="77777777" w:rsidR="00D81645" w:rsidRPr="00DF0B08" w:rsidRDefault="00D81645" w:rsidP="005720AD">
      <w:r>
        <w:t>En el Cuadro 2 se definen las opciones para el equipo de usuario IMT.</w:t>
      </w:r>
    </w:p>
    <w:p w14:paraId="460CF134" w14:textId="77777777" w:rsidR="00D81645" w:rsidRPr="00DF0B08" w:rsidRDefault="00D81645" w:rsidP="005720AD">
      <w:pPr>
        <w:pStyle w:val="TableNo"/>
        <w:rPr>
          <w:rFonts w:eastAsia="Calibri"/>
        </w:rPr>
      </w:pPr>
      <w:r>
        <w:t>CUADRO 2</w:t>
      </w:r>
    </w:p>
    <w:p w14:paraId="798E36D2" w14:textId="77777777" w:rsidR="00D81645" w:rsidRPr="00DF0B08" w:rsidRDefault="00D81645" w:rsidP="005720AD">
      <w:pPr>
        <w:pStyle w:val="Tabletitle"/>
        <w:rPr>
          <w:rFonts w:eastAsia="Calibri"/>
        </w:rPr>
      </w:pPr>
      <w:r>
        <w:rPr>
          <w:bCs/>
        </w:rPr>
        <w:t>Opciones para limitar las emisiones no deseadas del equipo de usuario IMT</w:t>
      </w:r>
    </w:p>
    <w:tbl>
      <w:tblPr>
        <w:tblStyle w:val="TableGrid"/>
        <w:tblW w:w="9639" w:type="dxa"/>
        <w:jc w:val="center"/>
        <w:tblLayout w:type="fixed"/>
        <w:tblLook w:val="04A0" w:firstRow="1" w:lastRow="0" w:firstColumn="1" w:lastColumn="0" w:noHBand="0" w:noVBand="1"/>
      </w:tblPr>
      <w:tblGrid>
        <w:gridCol w:w="1556"/>
        <w:gridCol w:w="1704"/>
        <w:gridCol w:w="6379"/>
      </w:tblGrid>
      <w:tr w:rsidR="00D81645" w:rsidRPr="006B448B" w14:paraId="4F932E3D" w14:textId="77777777" w:rsidTr="006B448B">
        <w:trPr>
          <w:jc w:val="center"/>
        </w:trPr>
        <w:tc>
          <w:tcPr>
            <w:tcW w:w="807" w:type="pct"/>
            <w:vAlign w:val="center"/>
          </w:tcPr>
          <w:p w14:paraId="5FDA1BCF" w14:textId="77777777" w:rsidR="00D81645" w:rsidRPr="006B448B" w:rsidRDefault="00D81645" w:rsidP="002A110F">
            <w:pPr>
              <w:pStyle w:val="Tablehead"/>
              <w:tabs>
                <w:tab w:val="clear" w:pos="1134"/>
                <w:tab w:val="clear" w:pos="2268"/>
              </w:tabs>
              <w:rPr>
                <w:rFonts w:ascii="Times New Roman" w:hAnsi="Times New Roman" w:cs="Times New Roman"/>
              </w:rPr>
            </w:pPr>
            <w:r w:rsidRPr="006B448B">
              <w:rPr>
                <w:rFonts w:ascii="Times New Roman" w:hAnsi="Times New Roman" w:cs="Times New Roman"/>
                <w:bCs/>
              </w:rPr>
              <w:t>Opción</w:t>
            </w:r>
          </w:p>
        </w:tc>
        <w:tc>
          <w:tcPr>
            <w:tcW w:w="884" w:type="pct"/>
            <w:vAlign w:val="center"/>
          </w:tcPr>
          <w:p w14:paraId="4D69C86A" w14:textId="77777777" w:rsidR="00D81645" w:rsidRPr="006B448B" w:rsidDel="00D95693" w:rsidRDefault="00D81645" w:rsidP="002A110F">
            <w:pPr>
              <w:pStyle w:val="Tablehead"/>
              <w:tabs>
                <w:tab w:val="clear" w:pos="1134"/>
                <w:tab w:val="clear" w:pos="2268"/>
              </w:tabs>
              <w:rPr>
                <w:rFonts w:ascii="Times New Roman" w:hAnsi="Times New Roman" w:cs="Times New Roman"/>
              </w:rPr>
            </w:pPr>
            <w:r w:rsidRPr="006B448B">
              <w:rPr>
                <w:rFonts w:ascii="Times New Roman" w:hAnsi="Times New Roman" w:cs="Times New Roman"/>
                <w:bCs/>
              </w:rPr>
              <w:t>Aplicación</w:t>
            </w:r>
          </w:p>
        </w:tc>
        <w:tc>
          <w:tcPr>
            <w:tcW w:w="3309" w:type="pct"/>
            <w:vAlign w:val="center"/>
          </w:tcPr>
          <w:p w14:paraId="6E3A59C8" w14:textId="733E7BE1" w:rsidR="00D81645" w:rsidRPr="006B448B" w:rsidRDefault="00D81645" w:rsidP="002A110F">
            <w:pPr>
              <w:pStyle w:val="Tablehead"/>
              <w:tabs>
                <w:tab w:val="clear" w:pos="1134"/>
                <w:tab w:val="clear" w:pos="2268"/>
              </w:tabs>
              <w:rPr>
                <w:rFonts w:ascii="Times New Roman" w:hAnsi="Times New Roman" w:cs="Times New Roman"/>
              </w:rPr>
            </w:pPr>
            <w:r w:rsidRPr="006B448B">
              <w:rPr>
                <w:rFonts w:ascii="Times New Roman" w:hAnsi="Times New Roman" w:cs="Times New Roman"/>
                <w:bCs/>
              </w:rPr>
              <w:t xml:space="preserve">Máximo de emisiones no deseadas </w:t>
            </w:r>
            <w:r w:rsidR="006B448B">
              <w:rPr>
                <w:rFonts w:ascii="Times New Roman" w:hAnsi="Times New Roman" w:cs="Times New Roman"/>
                <w:bCs/>
              </w:rPr>
              <w:br/>
            </w:r>
            <w:r w:rsidRPr="006B448B">
              <w:rPr>
                <w:rFonts w:ascii="Times New Roman" w:hAnsi="Times New Roman" w:cs="Times New Roman"/>
                <w:bCs/>
              </w:rPr>
              <w:t>(Δ</w:t>
            </w:r>
            <w:r w:rsidRPr="006B448B">
              <w:rPr>
                <w:rFonts w:ascii="Times New Roman" w:hAnsi="Times New Roman" w:cs="Times New Roman"/>
                <w:bCs/>
                <w:i/>
                <w:iCs/>
              </w:rPr>
              <w:t>f</w:t>
            </w:r>
            <w:r w:rsidRPr="006B448B">
              <w:rPr>
                <w:rFonts w:ascii="Times New Roman" w:hAnsi="Times New Roman" w:cs="Times New Roman"/>
                <w:bCs/>
              </w:rPr>
              <w:t xml:space="preserve"> es la frecuencia relativa a y mayor que 1 518 MHz)</w:t>
            </w:r>
          </w:p>
        </w:tc>
      </w:tr>
      <w:tr w:rsidR="00D81645" w:rsidRPr="006B448B" w14:paraId="3B93ADCB" w14:textId="77777777" w:rsidTr="005A3993">
        <w:trPr>
          <w:jc w:val="center"/>
        </w:trPr>
        <w:tc>
          <w:tcPr>
            <w:tcW w:w="807" w:type="pct"/>
            <w:vAlign w:val="center"/>
          </w:tcPr>
          <w:p w14:paraId="5C61B93E"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1</w:t>
            </w:r>
            <w:r w:rsidRPr="006B448B">
              <w:rPr>
                <w:rFonts w:ascii="Times New Roman" w:hAnsi="Times New Roman" w:cs="Times New Roman"/>
                <w:vertAlign w:val="superscript"/>
              </w:rPr>
              <w:t xml:space="preserve"> (1), (2)</w:t>
            </w:r>
          </w:p>
        </w:tc>
        <w:tc>
          <w:tcPr>
            <w:tcW w:w="884" w:type="pct"/>
            <w:vAlign w:val="center"/>
          </w:tcPr>
          <w:p w14:paraId="2C0C6C9F"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IMT DDT</w:t>
            </w:r>
          </w:p>
        </w:tc>
        <w:tc>
          <w:tcPr>
            <w:tcW w:w="3309" w:type="pct"/>
            <w:vAlign w:val="center"/>
          </w:tcPr>
          <w:p w14:paraId="73AFD538" w14:textId="46519B2C" w:rsidR="00D81645" w:rsidRPr="006B448B" w:rsidRDefault="006B448B"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00D81645" w:rsidRPr="006B448B">
              <w:rPr>
                <w:rFonts w:ascii="Times New Roman" w:hAnsi="Times New Roman" w:cs="Times New Roman"/>
              </w:rPr>
              <w:t>70 dBm/MHz (0 MHz &lt; Δ</w:t>
            </w:r>
            <w:r w:rsidR="00D81645" w:rsidRPr="006B448B">
              <w:rPr>
                <w:rFonts w:ascii="Times New Roman" w:hAnsi="Times New Roman" w:cs="Times New Roman"/>
                <w:i/>
                <w:iCs/>
              </w:rPr>
              <w:t>f</w:t>
            </w:r>
            <w:r w:rsidR="00D81645" w:rsidRPr="006B448B">
              <w:rPr>
                <w:rFonts w:ascii="Times New Roman" w:hAnsi="Times New Roman" w:cs="Times New Roman"/>
              </w:rPr>
              <w:t xml:space="preserve"> ≤ 41 MHz)</w:t>
            </w:r>
          </w:p>
        </w:tc>
      </w:tr>
      <w:tr w:rsidR="00D81645" w:rsidRPr="006B448B" w14:paraId="2161DA6E" w14:textId="77777777" w:rsidTr="005A3993">
        <w:trPr>
          <w:jc w:val="center"/>
        </w:trPr>
        <w:tc>
          <w:tcPr>
            <w:tcW w:w="807" w:type="pct"/>
            <w:vAlign w:val="center"/>
          </w:tcPr>
          <w:p w14:paraId="2B7F26AE"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2</w:t>
            </w:r>
            <w:r w:rsidRPr="006B448B">
              <w:rPr>
                <w:rFonts w:ascii="Times New Roman" w:hAnsi="Times New Roman" w:cs="Times New Roman"/>
                <w:vertAlign w:val="superscript"/>
              </w:rPr>
              <w:t xml:space="preserve"> (3)</w:t>
            </w:r>
          </w:p>
        </w:tc>
        <w:tc>
          <w:tcPr>
            <w:tcW w:w="884" w:type="pct"/>
            <w:vAlign w:val="center"/>
          </w:tcPr>
          <w:p w14:paraId="47FBA432"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IMT DDT</w:t>
            </w:r>
          </w:p>
        </w:tc>
        <w:tc>
          <w:tcPr>
            <w:tcW w:w="3309" w:type="pct"/>
            <w:vAlign w:val="center"/>
          </w:tcPr>
          <w:p w14:paraId="1BD6FAD7" w14:textId="350DE1DC" w:rsidR="00D81645" w:rsidRPr="006B448B" w:rsidRDefault="006B448B"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00D81645" w:rsidRPr="006B448B">
              <w:rPr>
                <w:rFonts w:ascii="Times New Roman" w:hAnsi="Times New Roman" w:cs="Times New Roman"/>
              </w:rPr>
              <w:t>20 dBm/MHz (2 MHz &lt; Δ</w:t>
            </w:r>
            <w:r w:rsidR="00D81645" w:rsidRPr="006B448B">
              <w:rPr>
                <w:rFonts w:ascii="Times New Roman" w:hAnsi="Times New Roman" w:cs="Times New Roman"/>
                <w:i/>
                <w:iCs/>
              </w:rPr>
              <w:t>f</w:t>
            </w:r>
            <w:r w:rsidR="00D81645" w:rsidRPr="006B448B">
              <w:rPr>
                <w:rFonts w:ascii="Times New Roman" w:hAnsi="Times New Roman" w:cs="Times New Roman"/>
              </w:rPr>
              <w:t xml:space="preserve"> ≤ 41 MHz)</w:t>
            </w:r>
          </w:p>
        </w:tc>
      </w:tr>
      <w:tr w:rsidR="00D81645" w:rsidRPr="006B448B" w14:paraId="216AED68" w14:textId="77777777" w:rsidTr="005A3993">
        <w:trPr>
          <w:jc w:val="center"/>
        </w:trPr>
        <w:tc>
          <w:tcPr>
            <w:tcW w:w="807" w:type="pct"/>
            <w:tcBorders>
              <w:bottom w:val="single" w:sz="4" w:space="0" w:color="auto"/>
            </w:tcBorders>
            <w:vAlign w:val="center"/>
          </w:tcPr>
          <w:p w14:paraId="42057D03"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3</w:t>
            </w:r>
          </w:p>
        </w:tc>
        <w:tc>
          <w:tcPr>
            <w:tcW w:w="884" w:type="pct"/>
            <w:tcBorders>
              <w:bottom w:val="single" w:sz="4" w:space="0" w:color="auto"/>
            </w:tcBorders>
            <w:vAlign w:val="center"/>
          </w:tcPr>
          <w:p w14:paraId="6799A7C4" w14:textId="3DAEBFA1"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6B448B">
              <w:rPr>
                <w:rFonts w:ascii="Times New Roman" w:hAnsi="Times New Roman" w:cs="Times New Roman"/>
              </w:rPr>
              <w:t>SDL o DDF de</w:t>
            </w:r>
            <w:r w:rsidR="006B448B">
              <w:rPr>
                <w:rFonts w:ascii="Times New Roman" w:hAnsi="Times New Roman" w:cs="Times New Roman"/>
              </w:rPr>
              <w:t> </w:t>
            </w:r>
            <w:r w:rsidRPr="006B448B">
              <w:rPr>
                <w:rFonts w:ascii="Times New Roman" w:hAnsi="Times New Roman" w:cs="Times New Roman"/>
              </w:rPr>
              <w:t>las IMT</w:t>
            </w:r>
          </w:p>
        </w:tc>
        <w:tc>
          <w:tcPr>
            <w:tcW w:w="3309" w:type="pct"/>
            <w:tcBorders>
              <w:bottom w:val="single" w:sz="4" w:space="0" w:color="auto"/>
            </w:tcBorders>
            <w:vAlign w:val="center"/>
          </w:tcPr>
          <w:p w14:paraId="0CC5F594" w14:textId="3BA34997" w:rsidR="00D81645" w:rsidRPr="006B448B" w:rsidRDefault="00D81645" w:rsidP="006B448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rFonts w:ascii="Times New Roman" w:hAnsi="Times New Roman" w:cs="Times New Roman"/>
              </w:rPr>
            </w:pPr>
            <w:r w:rsidRPr="006B448B">
              <w:rPr>
                <w:rFonts w:ascii="Times New Roman" w:hAnsi="Times New Roman" w:cs="Times New Roman"/>
              </w:rPr>
              <w:t>Ninguna, teniendo en cuenta que no hay equipo de usuario transmitiendo en la banda 1</w:t>
            </w:r>
            <w:r w:rsidR="006B448B">
              <w:rPr>
                <w:rFonts w:ascii="Times New Roman" w:hAnsi="Times New Roman" w:cs="Times New Roman"/>
              </w:rPr>
              <w:t> </w:t>
            </w:r>
            <w:r w:rsidRPr="006B448B">
              <w:rPr>
                <w:rFonts w:ascii="Times New Roman" w:hAnsi="Times New Roman" w:cs="Times New Roman"/>
              </w:rPr>
              <w:t>492-1</w:t>
            </w:r>
            <w:r w:rsidR="006B448B">
              <w:rPr>
                <w:rFonts w:ascii="Times New Roman" w:hAnsi="Times New Roman" w:cs="Times New Roman"/>
              </w:rPr>
              <w:t> </w:t>
            </w:r>
            <w:r w:rsidRPr="006B448B">
              <w:rPr>
                <w:rFonts w:ascii="Times New Roman" w:hAnsi="Times New Roman" w:cs="Times New Roman"/>
              </w:rPr>
              <w:t>518</w:t>
            </w:r>
            <w:r w:rsidR="006B448B">
              <w:rPr>
                <w:rFonts w:ascii="Times New Roman" w:hAnsi="Times New Roman" w:cs="Times New Roman"/>
              </w:rPr>
              <w:t> </w:t>
            </w:r>
            <w:r w:rsidRPr="006B448B">
              <w:rPr>
                <w:rFonts w:ascii="Times New Roman" w:hAnsi="Times New Roman" w:cs="Times New Roman"/>
              </w:rPr>
              <w:t>MHz</w:t>
            </w:r>
          </w:p>
        </w:tc>
      </w:tr>
      <w:tr w:rsidR="00D81645" w:rsidRPr="006B448B" w14:paraId="7BFB4F4B" w14:textId="77777777" w:rsidTr="005A3993">
        <w:trPr>
          <w:jc w:val="center"/>
        </w:trPr>
        <w:tc>
          <w:tcPr>
            <w:tcW w:w="5000" w:type="pct"/>
            <w:gridSpan w:val="3"/>
            <w:tcBorders>
              <w:left w:val="nil"/>
              <w:bottom w:val="nil"/>
              <w:right w:val="nil"/>
            </w:tcBorders>
          </w:tcPr>
          <w:p w14:paraId="1E2282EE" w14:textId="77777777" w:rsidR="00D81645" w:rsidRPr="006B448B" w:rsidRDefault="00D81645" w:rsidP="006B448B">
            <w:pPr>
              <w:pStyle w:val="Tabletext"/>
              <w:ind w:left="284" w:hanging="284"/>
              <w:rPr>
                <w:rFonts w:ascii="Times New Roman" w:hAnsi="Times New Roman" w:cs="Times New Roman"/>
              </w:rPr>
            </w:pPr>
            <w:r w:rsidRPr="006B448B">
              <w:rPr>
                <w:rFonts w:ascii="Times New Roman" w:hAnsi="Times New Roman" w:cs="Times New Roman"/>
                <w:vertAlign w:val="superscript"/>
              </w:rPr>
              <w:t>(1)</w:t>
            </w:r>
            <w:r w:rsidRPr="006B448B">
              <w:rPr>
                <w:rFonts w:ascii="Times New Roman" w:hAnsi="Times New Roman" w:cs="Times New Roman"/>
              </w:rPr>
              <w:tab/>
              <w:t>Esta opción debe aplicarse con un requisito reglamentario adicional de que el equipo de usuario no debe utilizarse a menos de 10 m de una estación terrena de barco.</w:t>
            </w:r>
          </w:p>
          <w:p w14:paraId="2D059744" w14:textId="70DEA30A" w:rsidR="00D81645" w:rsidRPr="006B448B" w:rsidRDefault="00D81645" w:rsidP="006B448B">
            <w:pPr>
              <w:pStyle w:val="Tabletext"/>
              <w:ind w:left="284" w:hanging="284"/>
              <w:rPr>
                <w:rFonts w:ascii="Times New Roman" w:hAnsi="Times New Roman" w:cs="Times New Roman"/>
              </w:rPr>
            </w:pPr>
            <w:r w:rsidRPr="006B448B">
              <w:rPr>
                <w:rFonts w:ascii="Times New Roman" w:hAnsi="Times New Roman" w:cs="Times New Roman"/>
                <w:vertAlign w:val="superscript"/>
              </w:rPr>
              <w:t>(2)</w:t>
            </w:r>
            <w:r w:rsidRPr="006B448B">
              <w:rPr>
                <w:rFonts w:ascii="Times New Roman" w:hAnsi="Times New Roman" w:cs="Times New Roman"/>
              </w:rPr>
              <w:tab/>
              <w:t>La opción de utilizar el límite inferior de emisiones no deseadas para los equipos de usuario IMT reduciría el riesgo de interferencia perjudicial al funcionamiento del SMS en la banda de frecuencias por encima de 1</w:t>
            </w:r>
            <w:r w:rsidR="006B448B">
              <w:rPr>
                <w:rFonts w:ascii="Times New Roman" w:hAnsi="Times New Roman" w:cs="Times New Roman"/>
              </w:rPr>
              <w:t> </w:t>
            </w:r>
            <w:r w:rsidRPr="006B448B">
              <w:rPr>
                <w:rFonts w:ascii="Times New Roman" w:hAnsi="Times New Roman" w:cs="Times New Roman"/>
              </w:rPr>
              <w:t>518</w:t>
            </w:r>
            <w:r w:rsidR="006B448B">
              <w:rPr>
                <w:rFonts w:ascii="Times New Roman" w:hAnsi="Times New Roman" w:cs="Times New Roman"/>
              </w:rPr>
              <w:t> </w:t>
            </w:r>
            <w:r w:rsidRPr="006B448B">
              <w:rPr>
                <w:rFonts w:ascii="Times New Roman" w:hAnsi="Times New Roman" w:cs="Times New Roman"/>
              </w:rPr>
              <w:t>MHz. Sin embargo, el cumplimiento del límite inferior de emisiones no deseadas dificultaría la implantación de los equipos de usuario de las IMT.</w:t>
            </w:r>
          </w:p>
          <w:p w14:paraId="4A88C506" w14:textId="0C58EB86" w:rsidR="00D81645" w:rsidRPr="006B448B" w:rsidRDefault="00D81645" w:rsidP="006B448B">
            <w:pPr>
              <w:pStyle w:val="Tabletext"/>
              <w:ind w:left="284" w:hanging="284"/>
              <w:rPr>
                <w:rFonts w:ascii="Times New Roman" w:hAnsi="Times New Roman" w:cs="Times New Roman"/>
              </w:rPr>
            </w:pPr>
            <w:r w:rsidRPr="006B448B">
              <w:rPr>
                <w:rFonts w:ascii="Times New Roman" w:hAnsi="Times New Roman" w:cs="Times New Roman"/>
                <w:vertAlign w:val="superscript"/>
              </w:rPr>
              <w:t>(3)</w:t>
            </w:r>
            <w:r w:rsidRPr="006B448B">
              <w:rPr>
                <w:rFonts w:ascii="Times New Roman" w:hAnsi="Times New Roman" w:cs="Times New Roman"/>
              </w:rPr>
              <w:tab/>
              <w:t>La utilización de límites de emisiones no deseadas más elevados para los equipos de usuario de las IMT aumentaría el riesgo de interferencia perjudicial para el funcionamiento del SMS en la banda de frecuencias por encima de 1 518</w:t>
            </w:r>
            <w:r w:rsidR="006B448B">
              <w:rPr>
                <w:rFonts w:ascii="Times New Roman" w:hAnsi="Times New Roman" w:cs="Times New Roman"/>
              </w:rPr>
              <w:t> </w:t>
            </w:r>
            <w:r w:rsidRPr="006B448B">
              <w:rPr>
                <w:rFonts w:ascii="Times New Roman" w:hAnsi="Times New Roman" w:cs="Times New Roman"/>
              </w:rPr>
              <w:t>MHz, mientras que el cumplimiento del límite superior de emisiones no deseadas es más fácil de aplicar en los equipos de usuario de las IMT. Por consiguiente, esta opción dificultaría el funcionamiento de los sistemas del SMS. Además, esta opción no proporciona ningún nivel de emisión no deseada para la banda del SMS en la gama 1</w:t>
            </w:r>
            <w:r w:rsidR="006B448B">
              <w:rPr>
                <w:rFonts w:ascii="Times New Roman" w:hAnsi="Times New Roman" w:cs="Times New Roman"/>
              </w:rPr>
              <w:t> </w:t>
            </w:r>
            <w:r w:rsidRPr="006B448B">
              <w:rPr>
                <w:rFonts w:ascii="Times New Roman" w:hAnsi="Times New Roman" w:cs="Times New Roman"/>
              </w:rPr>
              <w:t>518-1</w:t>
            </w:r>
            <w:r w:rsidR="006B448B">
              <w:rPr>
                <w:rFonts w:ascii="Times New Roman" w:hAnsi="Times New Roman" w:cs="Times New Roman"/>
              </w:rPr>
              <w:t> </w:t>
            </w:r>
            <w:r w:rsidRPr="006B448B">
              <w:rPr>
                <w:rFonts w:ascii="Times New Roman" w:hAnsi="Times New Roman" w:cs="Times New Roman"/>
              </w:rPr>
              <w:t>520</w:t>
            </w:r>
            <w:r w:rsidR="006B448B">
              <w:rPr>
                <w:rFonts w:ascii="Times New Roman" w:hAnsi="Times New Roman" w:cs="Times New Roman"/>
              </w:rPr>
              <w:t> </w:t>
            </w:r>
            <w:r w:rsidRPr="006B448B">
              <w:rPr>
                <w:rFonts w:ascii="Times New Roman" w:hAnsi="Times New Roman" w:cs="Times New Roman"/>
              </w:rPr>
              <w:t>MHz.</w:t>
            </w:r>
          </w:p>
        </w:tc>
      </w:tr>
    </w:tbl>
    <w:p w14:paraId="731DE176" w14:textId="77777777" w:rsidR="00D81645" w:rsidRDefault="00D81645" w:rsidP="005720AD">
      <w:pPr>
        <w:pStyle w:val="Tablefin"/>
        <w:rPr>
          <w:lang w:val="es-ES"/>
        </w:rPr>
      </w:pPr>
    </w:p>
    <w:p w14:paraId="03F31C87" w14:textId="77777777" w:rsidR="006B448B" w:rsidRDefault="006B448B" w:rsidP="006B448B"/>
    <w:p w14:paraId="60F81435" w14:textId="77777777" w:rsidR="006B448B" w:rsidRPr="006B448B" w:rsidRDefault="006B448B" w:rsidP="006B448B"/>
    <w:p w14:paraId="5C5F5763" w14:textId="77777777" w:rsidR="00D81645" w:rsidRPr="00C567B1" w:rsidRDefault="00D81645" w:rsidP="005720AD">
      <w:pPr>
        <w:pStyle w:val="AnnexNoTitle"/>
        <w:rPr>
          <w:bCs/>
        </w:rPr>
      </w:pPr>
      <w:r>
        <w:rPr>
          <w:bCs/>
        </w:rPr>
        <w:lastRenderedPageBreak/>
        <w:t>Anexo 2</w:t>
      </w:r>
      <w:r>
        <w:rPr>
          <w:bCs/>
        </w:rPr>
        <w:br/>
      </w:r>
      <w:r>
        <w:rPr>
          <w:bCs/>
        </w:rPr>
        <w:br/>
        <w:t>Niveles de resistencia al bloqueo del receptor ETM</w:t>
      </w:r>
    </w:p>
    <w:p w14:paraId="50A863FB" w14:textId="77777777" w:rsidR="00D81645" w:rsidRPr="00DF0B08" w:rsidRDefault="00D81645" w:rsidP="005720AD">
      <w:pPr>
        <w:pStyle w:val="Normalaftertitle"/>
      </w:pPr>
      <w:r>
        <w:t>Este Anexo proporciona los niveles de bloqueo del receptor en el equipo ETM. Las medidas de dfp y p.i.r.e. para garantizar la continuidad del funcionamiento del SMS definidas en los Anexos 3 y 4 incluyen medidas basadas en las mejoras previstas en la calidad de bloqueo del receptor de las estaciones terrenas móviles. Los límites de la fase 2, en particular, se aplican en un momento en que las ETM podían tolerar un nivel más elevado de emisiones de las IMT. En consecuencia, el momento de la transición de los límites de la fase 1 a los límites de la fase 2 depende de la instalación de ETM con una mejor calidad de funcionamiento del receptor.</w:t>
      </w:r>
    </w:p>
    <w:p w14:paraId="6710670D" w14:textId="480CA0B0" w:rsidR="00D81645" w:rsidRPr="00DF0B08" w:rsidRDefault="00D81645" w:rsidP="005720AD">
      <w:r>
        <w:t>Es posible que las administraciones deseen planificar la transición de los límites de la fase</w:t>
      </w:r>
      <w:r w:rsidR="006B448B">
        <w:t> </w:t>
      </w:r>
      <w:r>
        <w:t>1 a la fase</w:t>
      </w:r>
      <w:r w:rsidR="006B448B">
        <w:t> </w:t>
      </w:r>
      <w:r>
        <w:t>2 para los terminales ETM terrestres, marítimos y aeronáuticos, considerando diferentes ciclos de sustitución de equipos para esas categorías. Las administraciones pueden consultar a las agencias aeronáuticas y marítimas internacionales y nacionales, a las compañías aéreas, a la industria móvil y a otras organizaciones pertinentes para establecer las condiciones y calendarios, según proceda.</w:t>
      </w:r>
    </w:p>
    <w:p w14:paraId="7B4E59E0" w14:textId="77777777" w:rsidR="00D81645" w:rsidRPr="00DF0B08" w:rsidRDefault="00D81645" w:rsidP="005720AD">
      <w:pPr>
        <w:pStyle w:val="TableNo"/>
      </w:pPr>
      <w:r>
        <w:t>CUADRO 3</w:t>
      </w:r>
    </w:p>
    <w:p w14:paraId="07DAE5C2" w14:textId="77777777" w:rsidR="00D81645" w:rsidRPr="00DF0B08" w:rsidRDefault="00D81645" w:rsidP="005720AD">
      <w:pPr>
        <w:pStyle w:val="Tabletitle"/>
      </w:pPr>
      <w:r>
        <w:rPr>
          <w:bCs/>
        </w:rPr>
        <w:t>Nivel de bloqueo del receptor ETM</w:t>
      </w:r>
    </w:p>
    <w:tbl>
      <w:tblPr>
        <w:tblStyle w:val="TableGrid"/>
        <w:tblW w:w="9639" w:type="dxa"/>
        <w:jc w:val="center"/>
        <w:tblLayout w:type="fixed"/>
        <w:tblLook w:val="04A0" w:firstRow="1" w:lastRow="0" w:firstColumn="1" w:lastColumn="0" w:noHBand="0" w:noVBand="1"/>
      </w:tblPr>
      <w:tblGrid>
        <w:gridCol w:w="2834"/>
        <w:gridCol w:w="3547"/>
        <w:gridCol w:w="3258"/>
      </w:tblGrid>
      <w:tr w:rsidR="00D81645" w:rsidRPr="006B448B" w14:paraId="506C9835" w14:textId="77777777" w:rsidTr="00053593">
        <w:trPr>
          <w:jc w:val="center"/>
        </w:trPr>
        <w:tc>
          <w:tcPr>
            <w:tcW w:w="1470" w:type="pct"/>
            <w:vAlign w:val="center"/>
          </w:tcPr>
          <w:p w14:paraId="73ACEEDB"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b/>
                <w:bCs/>
              </w:rPr>
            </w:pPr>
            <w:r w:rsidRPr="006B448B">
              <w:rPr>
                <w:rFonts w:ascii="Times New Roman" w:hAnsi="Times New Roman" w:cs="Times New Roman"/>
                <w:b/>
                <w:bCs/>
              </w:rPr>
              <w:t>Nivel de la señal de bloqueo</w:t>
            </w:r>
          </w:p>
        </w:tc>
        <w:tc>
          <w:tcPr>
            <w:tcW w:w="1840" w:type="pct"/>
            <w:vAlign w:val="center"/>
          </w:tcPr>
          <w:p w14:paraId="4C544E47" w14:textId="77777777"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b/>
                <w:bCs/>
              </w:rPr>
            </w:pPr>
            <w:r w:rsidRPr="006B448B">
              <w:rPr>
                <w:rFonts w:ascii="Times New Roman" w:hAnsi="Times New Roman" w:cs="Times New Roman"/>
                <w:b/>
                <w:bCs/>
              </w:rPr>
              <w:t>Señal IMT</w:t>
            </w:r>
          </w:p>
        </w:tc>
        <w:tc>
          <w:tcPr>
            <w:tcW w:w="1690" w:type="pct"/>
            <w:vAlign w:val="center"/>
          </w:tcPr>
          <w:p w14:paraId="594BEA69" w14:textId="332ACDF5" w:rsidR="00D81645" w:rsidRPr="006B448B"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b/>
                <w:bCs/>
              </w:rPr>
            </w:pPr>
            <w:r w:rsidRPr="006B448B">
              <w:rPr>
                <w:rFonts w:ascii="Times New Roman" w:hAnsi="Times New Roman" w:cs="Times New Roman"/>
                <w:b/>
                <w:bCs/>
              </w:rPr>
              <w:t>Condición de funcionamiento de</w:t>
            </w:r>
            <w:r w:rsidR="00E2779E">
              <w:rPr>
                <w:rFonts w:ascii="Times New Roman" w:hAnsi="Times New Roman" w:cs="Times New Roman"/>
                <w:b/>
                <w:bCs/>
              </w:rPr>
              <w:t> </w:t>
            </w:r>
            <w:r w:rsidRPr="006B448B">
              <w:rPr>
                <w:rFonts w:ascii="Times New Roman" w:hAnsi="Times New Roman" w:cs="Times New Roman"/>
                <w:b/>
                <w:bCs/>
              </w:rPr>
              <w:t>la ETM</w:t>
            </w:r>
          </w:p>
        </w:tc>
      </w:tr>
      <w:tr w:rsidR="00D81645" w:rsidRPr="00E2779E" w14:paraId="2B854D8A" w14:textId="77777777" w:rsidTr="00053593">
        <w:trPr>
          <w:jc w:val="center"/>
        </w:trPr>
        <w:tc>
          <w:tcPr>
            <w:tcW w:w="1470" w:type="pct"/>
            <w:tcBorders>
              <w:bottom w:val="single" w:sz="4" w:space="0" w:color="auto"/>
            </w:tcBorders>
            <w:vAlign w:val="center"/>
          </w:tcPr>
          <w:p w14:paraId="71180FD4" w14:textId="0FC116A2" w:rsidR="00D81645" w:rsidRPr="00E2779E" w:rsidRDefault="00E2779E"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lang w:eastAsia="en-GB"/>
              </w:rPr>
              <w:t>−</w:t>
            </w:r>
            <w:r w:rsidR="00D81645" w:rsidRPr="00E2779E">
              <w:rPr>
                <w:rFonts w:ascii="Times New Roman" w:hAnsi="Times New Roman" w:cs="Times New Roman"/>
              </w:rPr>
              <w:t>30 dBm</w:t>
            </w:r>
            <w:r w:rsidR="00D81645" w:rsidRPr="00E2779E">
              <w:rPr>
                <w:rFonts w:ascii="Times New Roman" w:hAnsi="Times New Roman" w:cs="Times New Roman"/>
                <w:vertAlign w:val="superscript"/>
              </w:rPr>
              <w:t xml:space="preserve"> (1)</w:t>
            </w:r>
          </w:p>
        </w:tc>
        <w:tc>
          <w:tcPr>
            <w:tcW w:w="1840" w:type="pct"/>
            <w:tcBorders>
              <w:bottom w:val="single" w:sz="4" w:space="0" w:color="auto"/>
            </w:tcBorders>
            <w:vAlign w:val="center"/>
          </w:tcPr>
          <w:p w14:paraId="43242B68" w14:textId="3C7EED71" w:rsidR="00D81645" w:rsidRPr="00E2779E"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2779E">
              <w:rPr>
                <w:rFonts w:ascii="Times New Roman" w:hAnsi="Times New Roman" w:cs="Times New Roman"/>
              </w:rPr>
              <w:t>Señal IMT de 5 MHz de anchura de banda por debajo de 1</w:t>
            </w:r>
            <w:r w:rsidR="00E2779E">
              <w:rPr>
                <w:rFonts w:ascii="Times New Roman" w:hAnsi="Times New Roman" w:cs="Times New Roman"/>
              </w:rPr>
              <w:t> </w:t>
            </w:r>
            <w:r w:rsidRPr="00E2779E">
              <w:rPr>
                <w:rFonts w:ascii="Times New Roman" w:hAnsi="Times New Roman" w:cs="Times New Roman"/>
              </w:rPr>
              <w:t>517</w:t>
            </w:r>
            <w:r w:rsidR="00E2779E">
              <w:rPr>
                <w:rFonts w:ascii="Times New Roman" w:hAnsi="Times New Roman" w:cs="Times New Roman"/>
              </w:rPr>
              <w:t> </w:t>
            </w:r>
            <w:r w:rsidRPr="00E2779E">
              <w:rPr>
                <w:rFonts w:ascii="Times New Roman" w:hAnsi="Times New Roman" w:cs="Times New Roman"/>
              </w:rPr>
              <w:t>MHz</w:t>
            </w:r>
          </w:p>
        </w:tc>
        <w:tc>
          <w:tcPr>
            <w:tcW w:w="1690" w:type="pct"/>
            <w:tcBorders>
              <w:bottom w:val="single" w:sz="4" w:space="0" w:color="auto"/>
            </w:tcBorders>
            <w:vAlign w:val="center"/>
          </w:tcPr>
          <w:p w14:paraId="5DA20421" w14:textId="43BB9F9E" w:rsidR="00D81645" w:rsidRPr="00E2779E" w:rsidRDefault="00D81645"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2779E">
              <w:rPr>
                <w:rFonts w:ascii="Times New Roman" w:hAnsi="Times New Roman" w:cs="Times New Roman"/>
              </w:rPr>
              <w:t>La señal deseada está por encima de 1</w:t>
            </w:r>
            <w:r w:rsidR="00E2779E">
              <w:rPr>
                <w:rFonts w:ascii="Times New Roman" w:hAnsi="Times New Roman" w:cs="Times New Roman"/>
              </w:rPr>
              <w:t> </w:t>
            </w:r>
            <w:r w:rsidRPr="00E2779E">
              <w:rPr>
                <w:rFonts w:ascii="Times New Roman" w:hAnsi="Times New Roman" w:cs="Times New Roman"/>
              </w:rPr>
              <w:t>518</w:t>
            </w:r>
            <w:r w:rsidR="00E2779E">
              <w:rPr>
                <w:rFonts w:ascii="Times New Roman" w:hAnsi="Times New Roman" w:cs="Times New Roman"/>
              </w:rPr>
              <w:t> </w:t>
            </w:r>
            <w:r w:rsidRPr="00E2779E">
              <w:rPr>
                <w:rFonts w:ascii="Times New Roman" w:hAnsi="Times New Roman" w:cs="Times New Roman"/>
              </w:rPr>
              <w:t>MHz</w:t>
            </w:r>
            <w:r w:rsidRPr="00E2779E">
              <w:rPr>
                <w:rFonts w:ascii="Times New Roman" w:hAnsi="Times New Roman" w:cs="Times New Roman"/>
                <w:vertAlign w:val="superscript"/>
              </w:rPr>
              <w:t>.(2)</w:t>
            </w:r>
          </w:p>
        </w:tc>
      </w:tr>
      <w:tr w:rsidR="00D81645" w:rsidRPr="00E2779E" w14:paraId="30EE6FD9" w14:textId="77777777" w:rsidTr="00053593">
        <w:trPr>
          <w:jc w:val="center"/>
        </w:trPr>
        <w:tc>
          <w:tcPr>
            <w:tcW w:w="5000" w:type="pct"/>
            <w:gridSpan w:val="3"/>
            <w:tcBorders>
              <w:left w:val="nil"/>
              <w:bottom w:val="nil"/>
              <w:right w:val="nil"/>
            </w:tcBorders>
          </w:tcPr>
          <w:p w14:paraId="33FC8206" w14:textId="14271123" w:rsidR="00D81645" w:rsidRPr="00E2779E" w:rsidRDefault="00D81645" w:rsidP="00E2779E">
            <w:pPr>
              <w:pStyle w:val="Tabletext"/>
              <w:ind w:left="284" w:hanging="284"/>
              <w:rPr>
                <w:rFonts w:ascii="Times New Roman" w:hAnsi="Times New Roman" w:cs="Times New Roman"/>
              </w:rPr>
            </w:pPr>
            <w:r w:rsidRPr="00E2779E">
              <w:rPr>
                <w:rFonts w:ascii="Times New Roman" w:hAnsi="Times New Roman" w:cs="Times New Roman"/>
                <w:vertAlign w:val="superscript"/>
              </w:rPr>
              <w:t>(1)</w:t>
            </w:r>
            <w:r w:rsidRPr="00E2779E">
              <w:rPr>
                <w:rFonts w:ascii="Times New Roman" w:hAnsi="Times New Roman" w:cs="Times New Roman"/>
              </w:rPr>
              <w:tab/>
              <w:t>Puede aplicarse un nivel de bloqueo de la ETM de −40</w:t>
            </w:r>
            <w:r w:rsidR="00E2779E">
              <w:rPr>
                <w:rFonts w:ascii="Times New Roman" w:hAnsi="Times New Roman" w:cs="Times New Roman"/>
              </w:rPr>
              <w:t> </w:t>
            </w:r>
            <w:r w:rsidRPr="00E2779E">
              <w:rPr>
                <w:rFonts w:ascii="Times New Roman" w:hAnsi="Times New Roman" w:cs="Times New Roman"/>
              </w:rPr>
              <w:t>dBm o inferior a terminales pequeños, sin modificar las medidas de coexistencia definidas en otras partes de la presente Recomendación.</w:t>
            </w:r>
          </w:p>
          <w:p w14:paraId="7914E051" w14:textId="77777777" w:rsidR="00D81645" w:rsidRPr="00E2779E" w:rsidRDefault="00D81645" w:rsidP="00E2779E">
            <w:pPr>
              <w:pStyle w:val="Tabletext"/>
              <w:rPr>
                <w:rFonts w:ascii="Times New Roman" w:hAnsi="Times New Roman" w:cs="Times New Roman"/>
              </w:rPr>
            </w:pPr>
            <w:r w:rsidRPr="00E2779E">
              <w:rPr>
                <w:rFonts w:ascii="Times New Roman" w:hAnsi="Times New Roman" w:cs="Times New Roman"/>
                <w:vertAlign w:val="superscript"/>
              </w:rPr>
              <w:t>(2)</w:t>
            </w:r>
            <w:r w:rsidRPr="00E2779E">
              <w:rPr>
                <w:rFonts w:ascii="Times New Roman" w:hAnsi="Times New Roman" w:cs="Times New Roman"/>
              </w:rPr>
              <w:tab/>
              <w:t>A efectos de la prueba, la señal deseada de la ETM está por encima de 1 520 MHz</w:t>
            </w:r>
          </w:p>
        </w:tc>
      </w:tr>
    </w:tbl>
    <w:p w14:paraId="102C4FDF" w14:textId="77777777" w:rsidR="00E2779E" w:rsidRDefault="00E2779E" w:rsidP="00E2779E">
      <w:pPr>
        <w:pStyle w:val="Tablefin"/>
        <w:rPr>
          <w:lang w:val="es-ES"/>
        </w:rPr>
      </w:pPr>
    </w:p>
    <w:p w14:paraId="0F00EA84" w14:textId="77777777" w:rsidR="00E2779E" w:rsidRDefault="00E2779E" w:rsidP="00E2779E"/>
    <w:p w14:paraId="4645AB61" w14:textId="46886A13" w:rsidR="00D81645" w:rsidRPr="00DF0B08" w:rsidRDefault="00D81645" w:rsidP="005720AD">
      <w:pPr>
        <w:pStyle w:val="AnnexNoTitle"/>
      </w:pPr>
      <w:r>
        <w:rPr>
          <w:bCs/>
        </w:rPr>
        <w:t>Anexo 3</w:t>
      </w:r>
      <w:r>
        <w:rPr>
          <w:bCs/>
        </w:rPr>
        <w:br/>
      </w:r>
      <w:r>
        <w:rPr>
          <w:bCs/>
        </w:rPr>
        <w:br/>
        <w:t xml:space="preserve">Medidas adicionales para que las estaciones base IMT garanticen la compatibilidad con las estaciones terrenas de barco y las estaciones </w:t>
      </w:r>
      <w:r w:rsidR="00E2779E">
        <w:rPr>
          <w:bCs/>
        </w:rPr>
        <w:br/>
      </w:r>
      <w:r>
        <w:rPr>
          <w:bCs/>
        </w:rPr>
        <w:t>terrenas de aeronave en zonas seleccionadas</w:t>
      </w:r>
      <w:r>
        <w:rPr>
          <w:rStyle w:val="FootnoteReference"/>
          <w:bCs/>
        </w:rPr>
        <w:footnoteReference w:customMarkFollows="1" w:id="3"/>
        <w:t>2</w:t>
      </w:r>
    </w:p>
    <w:p w14:paraId="79CC7004" w14:textId="4F9D733C" w:rsidR="00D81645" w:rsidRPr="00DF0B08" w:rsidRDefault="00D81645" w:rsidP="005720AD">
      <w:pPr>
        <w:pStyle w:val="Normalaftertitle"/>
      </w:pPr>
      <w:r>
        <w:t xml:space="preserve">Las medidas de compatibilidad contenidas en este Anexo se añaden a los requisitos técnicos para las ETM y las IMT establecidos en los Anexos 1, 2 y 4 y se basan en los niveles máximos de dfp aplicados como condición reglamentaria en las zonas geográficas seleccionadas por las administraciones. El efecto de los límites de dfp es reducir el riesgo de interferencia a las ETM marítimas y se aplicarían en la frontera de zonas geográficas seleccionadas donde los barcos utilizan terminales ETM, es decir, puertos, y pueden incluir también zonas costeras y algunas vías navegables interiores. El efecto de los límites de dfp es reducir el riesgo de interferencia a las ETM aeronáuticas y se aplicarían a la frontera de la zona donde las aeronaves operan en tierra, es decir, aeropuertos, y pueden incluir </w:t>
      </w:r>
      <w:r>
        <w:lastRenderedPageBreak/>
        <w:t>algunas facilidades de mantenimiento. Las EB IMT se instalarían teniendo en cuenta las zonas seleccionadas para evitar rebasar los límites de dfp en su interior. Además de los requisitos nacionales aplicables a las estaciones terrenas de barco y estaciones terrenas de aeronave, puede haber obligaciones para visitar barcos y aeronaves extranjeros en esos lugares.</w:t>
      </w:r>
    </w:p>
    <w:p w14:paraId="32F24A1B" w14:textId="77777777" w:rsidR="00D81645" w:rsidRPr="00DF0B08" w:rsidRDefault="00D81645" w:rsidP="005720AD">
      <w:r>
        <w:t>Cuando una administración ha decidido utilizar las medidas de compatibilidad del presente Anexo, normalmente se requiere una separación geográfica entre la estación de base IMT y los límites de las zonas geográficas. La separación geográfica depende de varios factores, entre ellos la p.i.r.e. de la estación de base IMT, la ocupación local y los límites de dfp aplicables (fase 1 o fase 2). Para algunos de los valores de dfp, esta separación geográfica puede ser de hasta varias decenas de kilómetros.</w:t>
      </w:r>
    </w:p>
    <w:p w14:paraId="1411C301" w14:textId="2E51E377" w:rsidR="00D81645" w:rsidRPr="00DF0B08" w:rsidRDefault="00D81645" w:rsidP="005720AD">
      <w:r>
        <w:t>Por ejemplo, una administración ha autorizado sistemas IMT en la banda 1</w:t>
      </w:r>
      <w:r w:rsidR="00E2779E">
        <w:t> </w:t>
      </w:r>
      <w:r>
        <w:t>492-1</w:t>
      </w:r>
      <w:r w:rsidR="00E2779E">
        <w:t> </w:t>
      </w:r>
      <w:r>
        <w:t>517</w:t>
      </w:r>
      <w:r w:rsidR="00E2779E">
        <w:t> </w:t>
      </w:r>
      <w:r>
        <w:t>MHz y ha indicado que la estación base IMT alrededor de los aeropuertos debe estar a distancias de hasta 3 km a 12 km para cumplir los límites de dfp recomendados en esta Recomendación.</w:t>
      </w:r>
    </w:p>
    <w:p w14:paraId="0872C500" w14:textId="39715A20" w:rsidR="00D81645" w:rsidRPr="00DF0B08" w:rsidRDefault="00D81645" w:rsidP="005720AD">
      <w:r>
        <w:t>En este Anexo no se ha considerado la utilización de las EB IMT ubicadas en el mar o en plataformas aéreas en la banda 1</w:t>
      </w:r>
      <w:r w:rsidR="00E2779E">
        <w:t> </w:t>
      </w:r>
      <w:r>
        <w:t>492-1</w:t>
      </w:r>
      <w:r w:rsidR="00E2779E">
        <w:t> </w:t>
      </w:r>
      <w:r>
        <w:t>518</w:t>
      </w:r>
      <w:r w:rsidR="00E2779E">
        <w:t> </w:t>
      </w:r>
      <w:r>
        <w:t>MHz.</w:t>
      </w:r>
    </w:p>
    <w:p w14:paraId="35FC36FD" w14:textId="052D6EBF" w:rsidR="00D81645" w:rsidRPr="00DF0B08" w:rsidRDefault="00D81645" w:rsidP="005720AD">
      <w:r>
        <w:t>Los límites de dfp se aplican en dos fases, que son consecutivas en el tiempo. Los límites de la fase</w:t>
      </w:r>
      <w:r w:rsidR="00E2779E">
        <w:t> </w:t>
      </w:r>
      <w:r>
        <w:t>1 se basan en las características de las ETM actualmente en funcionamiento y los límites de la fase</w:t>
      </w:r>
      <w:r w:rsidR="00E2779E">
        <w:t> </w:t>
      </w:r>
      <w:r>
        <w:t>2 se basan en las características de los terminales que satisfacen los niveles técnicos de bloqueo de esta Recomendación, que se espera sean más resistentes al bloqueo y por lo tanto conducirían a valores de dfp menos exigentes.</w:t>
      </w:r>
    </w:p>
    <w:p w14:paraId="27D66546" w14:textId="18CEBB04" w:rsidR="00D81645" w:rsidRPr="00DF0B08" w:rsidRDefault="00D81645" w:rsidP="005720AD">
      <w:r>
        <w:t>Para los valores de dfp específicos para la fase</w:t>
      </w:r>
      <w:r w:rsidR="00E2779E">
        <w:t> </w:t>
      </w:r>
      <w:r>
        <w:t>1, se presentan dos opciones, basadas en diferentes hipótesis relativas a la característica de bloqueo de terminales ETM actualmente en funcionamiento, que se describen a continuación. Para los valores de dfp de la fase</w:t>
      </w:r>
      <w:r w:rsidR="00E2779E">
        <w:t> </w:t>
      </w:r>
      <w:r>
        <w:t>2, ambas opciones determinan los límites de dfp basándose en la característica de bloqueo de los terminales ETM que satisfacen los niveles técnicos de bloqueo de esta Recomendación.</w:t>
      </w:r>
    </w:p>
    <w:p w14:paraId="66F7EE57" w14:textId="5124B42D" w:rsidR="00D81645" w:rsidRPr="00DF0B08" w:rsidRDefault="00D81645" w:rsidP="005720AD">
      <w:pPr>
        <w:rPr>
          <w:sz w:val="22"/>
        </w:rPr>
      </w:pPr>
      <w:r>
        <w:t>Los terminales ETM son más susceptibles a la interferencia procedente de múltiples canales IMT en la banda 1</w:t>
      </w:r>
      <w:r w:rsidR="00E2779E">
        <w:t> </w:t>
      </w:r>
      <w:r>
        <w:t>492-1</w:t>
      </w:r>
      <w:r w:rsidR="00E2779E">
        <w:t> </w:t>
      </w:r>
      <w:r>
        <w:t>517</w:t>
      </w:r>
      <w:r w:rsidR="00E2779E">
        <w:t> </w:t>
      </w:r>
      <w:r>
        <w:t>MHz. Se realizaron mediciones para evaluar el bloqueo debido a la intermodulación procedente de una estación de base que transmitía múltiples canales IMT. Con arreglo a la primera opción (A), los límites de dfp figuran en dos Cuadros, el Cuadro</w:t>
      </w:r>
      <w:r w:rsidR="00E2779E">
        <w:t> </w:t>
      </w:r>
      <w:r>
        <w:t>4 para las EB IMT que transmitan un solo canal en esta banda y el Cuadro</w:t>
      </w:r>
      <w:r w:rsidR="00E2779E">
        <w:t> </w:t>
      </w:r>
      <w:r>
        <w:t>5 para las EB IMT que transmitan en múltiples canales de esta banda, donde las señales de los canales experimentan las mismas condiciones de propagación y se reciben con los mismos niveles de señal relativos en el terminal ETM. En la segunda opción (B), los límites de dfp se presentan en un solo cuadro (véase el Cuadro</w:t>
      </w:r>
      <w:r w:rsidR="00E2779E">
        <w:t> </w:t>
      </w:r>
      <w:r>
        <w:t>6) aplicable a un solo canal y a múltiples canales. Esto se basa en la hipótesis de que cuando se reciben señales de EB IMT procedentes de múltiples canales en el terminal ETM, debido a las características de propagación, sólo un canal es dominante, por lo que el efecto de múltiples canales se considera despreciable.</w:t>
      </w:r>
    </w:p>
    <w:p w14:paraId="507F7D7C" w14:textId="77777777" w:rsidR="00D81645" w:rsidRPr="00DF0B08" w:rsidRDefault="00D81645" w:rsidP="00053593">
      <w:pPr>
        <w:pStyle w:val="Headingb"/>
      </w:pPr>
      <w:r>
        <w:rPr>
          <w:bCs/>
        </w:rPr>
        <w:t>Opción A</w:t>
      </w:r>
    </w:p>
    <w:p w14:paraId="45FDDDE1" w14:textId="679227CC" w:rsidR="00D81645" w:rsidRPr="00DF0B08" w:rsidRDefault="00D81645" w:rsidP="005720AD">
      <w:pPr>
        <w:pStyle w:val="enumlev1"/>
      </w:pPr>
      <w:r>
        <w:t>–</w:t>
      </w:r>
      <w:r>
        <w:tab/>
        <w:t>Para la fase</w:t>
      </w:r>
      <w:r w:rsidR="00E2779E">
        <w:t> </w:t>
      </w:r>
      <w:r>
        <w:t>1, los valores de dfp se basan en las mediciones de bloqueo de los terminales actualmente en funcionamiento realizadas por algunos fabricantes. Estas mediciones determinaron que, con respecto a las emisiones IMT en la banda 1</w:t>
      </w:r>
      <w:r w:rsidR="00E2779E">
        <w:t> </w:t>
      </w:r>
      <w:r>
        <w:t>512-1</w:t>
      </w:r>
      <w:r w:rsidR="00E2779E">
        <w:t> </w:t>
      </w:r>
      <w:r>
        <w:t>517</w:t>
      </w:r>
      <w:r w:rsidR="00E2779E">
        <w:t> </w:t>
      </w:r>
      <w:r>
        <w:t>MHz, el</w:t>
      </w:r>
      <w:r w:rsidR="00E2779E">
        <w:t> </w:t>
      </w:r>
      <w:r>
        <w:t xml:space="preserve">bloqueo se produce a un nivel de </w:t>
      </w:r>
      <w:r w:rsidR="00E2779E" w:rsidRPr="00E50584">
        <w:rPr>
          <w:szCs w:val="24"/>
        </w:rPr>
        <w:t>−</w:t>
      </w:r>
      <w:r>
        <w:t xml:space="preserve">76 dBm para las terminales marítimas actualmente en funcionamiento y de </w:t>
      </w:r>
      <w:r w:rsidR="00E2779E" w:rsidRPr="00E50584">
        <w:rPr>
          <w:szCs w:val="24"/>
        </w:rPr>
        <w:t>−</w:t>
      </w:r>
      <w:r>
        <w:t>50,3 dBm para las terminales aeronáuticas en funcionamiento. Para las emisiones IMT en la banda 1</w:t>
      </w:r>
      <w:r w:rsidR="00E2779E">
        <w:t> </w:t>
      </w:r>
      <w:r>
        <w:t>502-1</w:t>
      </w:r>
      <w:r w:rsidR="00E2779E">
        <w:t> </w:t>
      </w:r>
      <w:r>
        <w:t>512</w:t>
      </w:r>
      <w:r w:rsidR="00E2779E">
        <w:t> </w:t>
      </w:r>
      <w:r>
        <w:t xml:space="preserve">MHz, el bloqueo se produce a niveles de </w:t>
      </w:r>
      <w:r w:rsidR="00E2779E" w:rsidRPr="00E50584">
        <w:rPr>
          <w:szCs w:val="24"/>
        </w:rPr>
        <w:t>−</w:t>
      </w:r>
      <w:r>
        <w:t>68</w:t>
      </w:r>
      <w:r w:rsidR="00E2779E">
        <w:t> </w:t>
      </w:r>
      <w:r>
        <w:t xml:space="preserve">dBm y </w:t>
      </w:r>
      <w:r w:rsidR="00E2779E" w:rsidRPr="00E50584">
        <w:rPr>
          <w:szCs w:val="24"/>
        </w:rPr>
        <w:t>−</w:t>
      </w:r>
      <w:r>
        <w:t>35</w:t>
      </w:r>
      <w:r w:rsidR="00E2779E">
        <w:t> </w:t>
      </w:r>
      <w:r>
        <w:t>dBm para terminales marítimos y aeronáuticos, respectivamente. Para las emisiones IMT en la banda 1</w:t>
      </w:r>
      <w:r w:rsidR="00E2779E">
        <w:t> </w:t>
      </w:r>
      <w:r>
        <w:t>492-1</w:t>
      </w:r>
      <w:r w:rsidR="00E2779E">
        <w:t> </w:t>
      </w:r>
      <w:r>
        <w:t>502</w:t>
      </w:r>
      <w:r w:rsidR="00E2779E">
        <w:t> </w:t>
      </w:r>
      <w:r>
        <w:t xml:space="preserve">MHz, el bloqueo se produce a niveles de </w:t>
      </w:r>
      <w:r w:rsidR="00E2779E" w:rsidRPr="00E50584">
        <w:rPr>
          <w:szCs w:val="24"/>
        </w:rPr>
        <w:t>−</w:t>
      </w:r>
      <w:r>
        <w:t>53</w:t>
      </w:r>
      <w:r w:rsidR="00E2779E">
        <w:t> </w:t>
      </w:r>
      <w:r>
        <w:t xml:space="preserve">dBm y </w:t>
      </w:r>
      <w:r w:rsidR="00E2779E" w:rsidRPr="00E50584">
        <w:rPr>
          <w:szCs w:val="24"/>
        </w:rPr>
        <w:t>−</w:t>
      </w:r>
      <w:r>
        <w:t>21</w:t>
      </w:r>
      <w:r w:rsidR="00E2779E">
        <w:t> </w:t>
      </w:r>
      <w:r>
        <w:t>dBm para los terminales marítimos y aeronáuticos, respectivamente.</w:t>
      </w:r>
    </w:p>
    <w:p w14:paraId="3735E6CB" w14:textId="5DAAF555" w:rsidR="00D81645" w:rsidRPr="00DF0B08" w:rsidRDefault="00D81645" w:rsidP="005720AD">
      <w:pPr>
        <w:pStyle w:val="enumlev1"/>
      </w:pPr>
      <w:r>
        <w:lastRenderedPageBreak/>
        <w:t>–</w:t>
      </w:r>
      <w:r>
        <w:tab/>
        <w:t>Los límites de dfp aplicados durante la fase</w:t>
      </w:r>
      <w:r w:rsidR="00E2779E">
        <w:t> </w:t>
      </w:r>
      <w:r>
        <w:t>2 se basan en la característica de bloqueo supuesta para las ETM de próxima generación. Para la fase</w:t>
      </w:r>
      <w:r w:rsidR="00E2779E">
        <w:t> </w:t>
      </w:r>
      <w:r>
        <w:t>2, los límites de dfp del Cuadro</w:t>
      </w:r>
      <w:r w:rsidR="00E2779E">
        <w:t> </w:t>
      </w:r>
      <w:r w:rsidR="00C14501">
        <w:t>4</w:t>
      </w:r>
      <w:r>
        <w:t xml:space="preserve"> se basan en los niveles de bloqueo −20</w:t>
      </w:r>
      <w:r w:rsidR="00E2779E">
        <w:t> </w:t>
      </w:r>
      <w:r>
        <w:t>dBm y −30</w:t>
      </w:r>
      <w:r w:rsidR="00E2779E">
        <w:t> </w:t>
      </w:r>
      <w:r>
        <w:t>dBm resultantes de la banda 1</w:t>
      </w:r>
      <w:r w:rsidR="00E2779E">
        <w:t> </w:t>
      </w:r>
      <w:r>
        <w:t>502</w:t>
      </w:r>
      <w:r w:rsidR="00E2779E">
        <w:noBreakHyphen/>
      </w:r>
      <w:r>
        <w:t>1</w:t>
      </w:r>
      <w:r w:rsidR="00E2779E">
        <w:t> </w:t>
      </w:r>
      <w:r>
        <w:t>512</w:t>
      </w:r>
      <w:r w:rsidR="00E2779E">
        <w:t> </w:t>
      </w:r>
      <w:r>
        <w:t>MHz y la banda 1</w:t>
      </w:r>
      <w:r w:rsidR="00E2779E">
        <w:t> </w:t>
      </w:r>
      <w:r>
        <w:t>512</w:t>
      </w:r>
      <w:r w:rsidR="00E2779E">
        <w:noBreakHyphen/>
      </w:r>
      <w:r>
        <w:t>1</w:t>
      </w:r>
      <w:r w:rsidR="00E2779E">
        <w:t> </w:t>
      </w:r>
      <w:r>
        <w:t>517</w:t>
      </w:r>
      <w:r w:rsidR="00E2779E">
        <w:t> </w:t>
      </w:r>
      <w:r>
        <w:t>MHz, respectivamente; y los valores de dfp del Cuadro</w:t>
      </w:r>
      <w:r w:rsidR="00E2779E">
        <w:t> </w:t>
      </w:r>
      <w:r w:rsidR="00C14501">
        <w:t>5</w:t>
      </w:r>
      <w:r>
        <w:t xml:space="preserve"> se basan en los niveles de bloqueo −23</w:t>
      </w:r>
      <w:r w:rsidR="00E2779E">
        <w:t> </w:t>
      </w:r>
      <w:r>
        <w:t>dBm y −33</w:t>
      </w:r>
      <w:r w:rsidR="00E2779E">
        <w:t> </w:t>
      </w:r>
      <w:r>
        <w:t>dBm resultantes de la banda 1</w:t>
      </w:r>
      <w:r w:rsidR="00E2779E">
        <w:t> </w:t>
      </w:r>
      <w:r>
        <w:t>492-1</w:t>
      </w:r>
      <w:r w:rsidR="00E2779E">
        <w:t> </w:t>
      </w:r>
      <w:r>
        <w:t>512</w:t>
      </w:r>
      <w:r w:rsidR="00E2779E">
        <w:t> </w:t>
      </w:r>
      <w:r>
        <w:t>MHz y la banda 1</w:t>
      </w:r>
      <w:r w:rsidR="00E2779E">
        <w:t> </w:t>
      </w:r>
      <w:r>
        <w:t>512-1</w:t>
      </w:r>
      <w:r w:rsidR="00E2779E">
        <w:t> </w:t>
      </w:r>
      <w:r>
        <w:t>517</w:t>
      </w:r>
      <w:r w:rsidR="00E2779E">
        <w:t> </w:t>
      </w:r>
      <w:r>
        <w:t>MHz, respectivamente.</w:t>
      </w:r>
    </w:p>
    <w:p w14:paraId="29E3BC5C" w14:textId="77777777" w:rsidR="00D81645" w:rsidRPr="00DF0B08" w:rsidRDefault="00D81645" w:rsidP="00053593">
      <w:pPr>
        <w:pStyle w:val="TableNo"/>
        <w:keepLines/>
      </w:pPr>
      <w:r>
        <w:t>CUADRO 4</w:t>
      </w:r>
    </w:p>
    <w:p w14:paraId="20BDDB42" w14:textId="71DE313B" w:rsidR="00D81645" w:rsidRPr="00DF0B08" w:rsidRDefault="00D81645" w:rsidP="00053593">
      <w:pPr>
        <w:pStyle w:val="Tabletitle"/>
        <w:keepLines/>
      </w:pPr>
      <w:r>
        <w:rPr>
          <w:bCs/>
        </w:rPr>
        <w:t>Límites de dfp para las EB IMT que transmiten un solo canal</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137"/>
        <w:gridCol w:w="1134"/>
        <w:gridCol w:w="1134"/>
        <w:gridCol w:w="1135"/>
        <w:gridCol w:w="1419"/>
        <w:gridCol w:w="1270"/>
        <w:gridCol w:w="1143"/>
      </w:tblGrid>
      <w:tr w:rsidR="004029B6" w:rsidRPr="004029B6" w14:paraId="48C9E203" w14:textId="77777777" w:rsidTr="004029B6">
        <w:tc>
          <w:tcPr>
            <w:tcW w:w="657" w:type="pct"/>
            <w:vAlign w:val="center"/>
            <w:hideMark/>
          </w:tcPr>
          <w:p w14:paraId="2E91318B" w14:textId="77777777" w:rsidR="00D81645" w:rsidRPr="004029B6" w:rsidRDefault="00D81645" w:rsidP="00B452AC">
            <w:pPr>
              <w:pStyle w:val="Tablehead"/>
              <w:rPr>
                <w:sz w:val="20"/>
              </w:rPr>
            </w:pPr>
            <w:r w:rsidRPr="004029B6">
              <w:rPr>
                <w:sz w:val="20"/>
              </w:rPr>
              <w:t>Fase</w:t>
            </w:r>
          </w:p>
        </w:tc>
        <w:tc>
          <w:tcPr>
            <w:tcW w:w="590" w:type="pct"/>
            <w:vAlign w:val="center"/>
          </w:tcPr>
          <w:p w14:paraId="13266EAD" w14:textId="77777777" w:rsidR="00D81645" w:rsidRPr="004029B6" w:rsidRDefault="00D81645" w:rsidP="00B452AC">
            <w:pPr>
              <w:pStyle w:val="Tablehead"/>
              <w:rPr>
                <w:sz w:val="20"/>
              </w:rPr>
            </w:pPr>
          </w:p>
        </w:tc>
        <w:tc>
          <w:tcPr>
            <w:tcW w:w="1765" w:type="pct"/>
            <w:gridSpan w:val="3"/>
            <w:vAlign w:val="center"/>
            <w:hideMark/>
          </w:tcPr>
          <w:p w14:paraId="447099C5" w14:textId="77777777" w:rsidR="00D81645" w:rsidRPr="004029B6" w:rsidRDefault="00D81645" w:rsidP="00B452AC">
            <w:pPr>
              <w:pStyle w:val="Tablehead"/>
              <w:rPr>
                <w:sz w:val="20"/>
              </w:rPr>
            </w:pPr>
            <w:r w:rsidRPr="004029B6">
              <w:rPr>
                <w:sz w:val="20"/>
              </w:rPr>
              <w:t>Fase 1</w:t>
            </w:r>
          </w:p>
        </w:tc>
        <w:tc>
          <w:tcPr>
            <w:tcW w:w="1988" w:type="pct"/>
            <w:gridSpan w:val="3"/>
            <w:vAlign w:val="center"/>
            <w:hideMark/>
          </w:tcPr>
          <w:p w14:paraId="2EC7F9E0" w14:textId="77777777" w:rsidR="00D81645" w:rsidRPr="004029B6" w:rsidRDefault="00D81645" w:rsidP="00B452AC">
            <w:pPr>
              <w:pStyle w:val="Tablehead"/>
              <w:rPr>
                <w:sz w:val="20"/>
              </w:rPr>
            </w:pPr>
            <w:r w:rsidRPr="004029B6">
              <w:rPr>
                <w:sz w:val="20"/>
              </w:rPr>
              <w:t>Fase 2</w:t>
            </w:r>
          </w:p>
        </w:tc>
      </w:tr>
      <w:tr w:rsidR="004029B6" w:rsidRPr="004029B6" w14:paraId="7D09A2F0" w14:textId="77777777" w:rsidTr="004029B6">
        <w:tc>
          <w:tcPr>
            <w:tcW w:w="657" w:type="pct"/>
            <w:vAlign w:val="center"/>
          </w:tcPr>
          <w:p w14:paraId="03F06C8D" w14:textId="77777777" w:rsidR="00D81645" w:rsidRPr="004029B6" w:rsidRDefault="00D81645" w:rsidP="00B452AC">
            <w:pPr>
              <w:pStyle w:val="Tablehead"/>
              <w:rPr>
                <w:sz w:val="20"/>
              </w:rPr>
            </w:pPr>
          </w:p>
        </w:tc>
        <w:tc>
          <w:tcPr>
            <w:tcW w:w="590" w:type="pct"/>
            <w:vAlign w:val="center"/>
            <w:hideMark/>
          </w:tcPr>
          <w:p w14:paraId="3981206F" w14:textId="77777777" w:rsidR="00D81645" w:rsidRPr="004029B6" w:rsidRDefault="00D81645" w:rsidP="00B452AC">
            <w:pPr>
              <w:pStyle w:val="Tablehead"/>
              <w:rPr>
                <w:sz w:val="20"/>
              </w:rPr>
            </w:pPr>
            <w:r w:rsidRPr="004029B6">
              <w:rPr>
                <w:sz w:val="20"/>
              </w:rPr>
              <w:t>Ganancia de la antena del terminal de la ETM (dBi)</w:t>
            </w:r>
          </w:p>
        </w:tc>
        <w:tc>
          <w:tcPr>
            <w:tcW w:w="588" w:type="pct"/>
            <w:vAlign w:val="center"/>
            <w:hideMark/>
          </w:tcPr>
          <w:p w14:paraId="29C6198B" w14:textId="02712E53" w:rsidR="00D81645" w:rsidRPr="004029B6" w:rsidRDefault="00D81645" w:rsidP="00B452AC">
            <w:pPr>
              <w:pStyle w:val="Tablehead"/>
              <w:rPr>
                <w:sz w:val="20"/>
              </w:rPr>
            </w:pPr>
            <w:r w:rsidRPr="004029B6">
              <w:rPr>
                <w:sz w:val="20"/>
              </w:rPr>
              <w:t>Límite de dfp para las emisiones de la EB en la banda 1 492-</w:t>
            </w:r>
            <w:r w:rsidRPr="004029B6">
              <w:rPr>
                <w:rFonts w:ascii="Times New Roman Bold" w:hAnsi="Times New Roman Bold"/>
                <w:spacing w:val="-2"/>
                <w:sz w:val="20"/>
              </w:rPr>
              <w:t>1 502</w:t>
            </w:r>
            <w:r w:rsidR="004029B6" w:rsidRPr="004029B6">
              <w:rPr>
                <w:rFonts w:ascii="Times New Roman Bold" w:hAnsi="Times New Roman Bold"/>
                <w:spacing w:val="-2"/>
                <w:sz w:val="20"/>
              </w:rPr>
              <w:t> </w:t>
            </w:r>
            <w:r w:rsidRPr="004029B6">
              <w:rPr>
                <w:rFonts w:ascii="Times New Roman Bold" w:hAnsi="Times New Roman Bold"/>
                <w:spacing w:val="-2"/>
                <w:sz w:val="20"/>
              </w:rPr>
              <w:t>MHz</w:t>
            </w:r>
            <w:r w:rsidRPr="004029B6">
              <w:rPr>
                <w:sz w:val="20"/>
              </w:rPr>
              <w:t xml:space="preserve"> (dBW/m</w:t>
            </w:r>
            <w:r w:rsidRPr="004029B6">
              <w:rPr>
                <w:sz w:val="20"/>
                <w:vertAlign w:val="superscript"/>
              </w:rPr>
              <w:t>2</w:t>
            </w:r>
            <w:r w:rsidRPr="004029B6">
              <w:rPr>
                <w:sz w:val="20"/>
              </w:rPr>
              <w:t>)</w:t>
            </w:r>
          </w:p>
        </w:tc>
        <w:tc>
          <w:tcPr>
            <w:tcW w:w="588" w:type="pct"/>
            <w:vAlign w:val="center"/>
            <w:hideMark/>
          </w:tcPr>
          <w:p w14:paraId="2FCEAD75" w14:textId="34B93937" w:rsidR="00D81645" w:rsidRPr="004029B6" w:rsidRDefault="00D81645" w:rsidP="00B452AC">
            <w:pPr>
              <w:pStyle w:val="Tablehead"/>
              <w:rPr>
                <w:sz w:val="20"/>
              </w:rPr>
            </w:pPr>
            <w:r w:rsidRPr="004029B6">
              <w:rPr>
                <w:sz w:val="20"/>
              </w:rPr>
              <w:t>Límite de dfp para las emisiones de la EB en la banda 1 502-</w:t>
            </w:r>
            <w:r w:rsidRPr="004029B6">
              <w:rPr>
                <w:rFonts w:ascii="Times New Roman Bold" w:hAnsi="Times New Roman Bold"/>
                <w:spacing w:val="-2"/>
                <w:sz w:val="20"/>
              </w:rPr>
              <w:t>1 512</w:t>
            </w:r>
            <w:r w:rsidR="004029B6" w:rsidRPr="004029B6">
              <w:rPr>
                <w:rFonts w:ascii="Times New Roman Bold" w:hAnsi="Times New Roman Bold"/>
                <w:spacing w:val="-2"/>
                <w:sz w:val="20"/>
              </w:rPr>
              <w:t> </w:t>
            </w:r>
            <w:r w:rsidRPr="004029B6">
              <w:rPr>
                <w:rFonts w:ascii="Times New Roman Bold" w:hAnsi="Times New Roman Bold"/>
                <w:spacing w:val="-2"/>
                <w:sz w:val="20"/>
              </w:rPr>
              <w:t>MHz</w:t>
            </w:r>
            <w:r w:rsidRPr="004029B6">
              <w:rPr>
                <w:sz w:val="20"/>
              </w:rPr>
              <w:t xml:space="preserve"> (dBW/m</w:t>
            </w:r>
            <w:r w:rsidRPr="004029B6">
              <w:rPr>
                <w:sz w:val="20"/>
                <w:vertAlign w:val="superscript"/>
              </w:rPr>
              <w:t>2</w:t>
            </w:r>
            <w:r w:rsidRPr="004029B6">
              <w:rPr>
                <w:sz w:val="20"/>
              </w:rPr>
              <w:t>)</w:t>
            </w:r>
          </w:p>
        </w:tc>
        <w:tc>
          <w:tcPr>
            <w:tcW w:w="589" w:type="pct"/>
            <w:vAlign w:val="center"/>
            <w:hideMark/>
          </w:tcPr>
          <w:p w14:paraId="26E131AE" w14:textId="17DA4165" w:rsidR="00D81645" w:rsidRPr="004029B6" w:rsidRDefault="00D81645" w:rsidP="00B452AC">
            <w:pPr>
              <w:pStyle w:val="Tablehead"/>
              <w:rPr>
                <w:sz w:val="20"/>
              </w:rPr>
            </w:pPr>
            <w:r w:rsidRPr="004029B6">
              <w:rPr>
                <w:sz w:val="20"/>
              </w:rPr>
              <w:t>Límite de dfp para las emisiones de la EB en la banda 1 512-</w:t>
            </w:r>
            <w:r w:rsidRPr="004029B6">
              <w:rPr>
                <w:rFonts w:ascii="Times New Roman Bold" w:hAnsi="Times New Roman Bold"/>
                <w:spacing w:val="-2"/>
                <w:sz w:val="20"/>
              </w:rPr>
              <w:t>1 517</w:t>
            </w:r>
            <w:r w:rsidR="004029B6" w:rsidRPr="004029B6">
              <w:rPr>
                <w:rFonts w:ascii="Times New Roman Bold" w:hAnsi="Times New Roman Bold"/>
                <w:spacing w:val="-2"/>
                <w:sz w:val="20"/>
              </w:rPr>
              <w:t> </w:t>
            </w:r>
            <w:r w:rsidRPr="004029B6">
              <w:rPr>
                <w:rFonts w:ascii="Times New Roman Bold" w:hAnsi="Times New Roman Bold"/>
                <w:spacing w:val="-2"/>
                <w:sz w:val="20"/>
              </w:rPr>
              <w:t>MHz</w:t>
            </w:r>
            <w:r w:rsidRPr="004029B6">
              <w:rPr>
                <w:sz w:val="20"/>
              </w:rPr>
              <w:t xml:space="preserve"> (dBW/m</w:t>
            </w:r>
            <w:r w:rsidR="004029B6" w:rsidRPr="004029B6">
              <w:rPr>
                <w:sz w:val="20"/>
                <w:vertAlign w:val="superscript"/>
              </w:rPr>
              <w:t>2</w:t>
            </w:r>
            <w:r w:rsidRPr="004029B6">
              <w:rPr>
                <w:sz w:val="20"/>
              </w:rPr>
              <w:t>)</w:t>
            </w:r>
          </w:p>
        </w:tc>
        <w:tc>
          <w:tcPr>
            <w:tcW w:w="736" w:type="pct"/>
            <w:vAlign w:val="center"/>
            <w:hideMark/>
          </w:tcPr>
          <w:p w14:paraId="283BA153" w14:textId="594BA6A7" w:rsidR="00D81645" w:rsidRPr="004029B6" w:rsidRDefault="00D81645" w:rsidP="00B452AC">
            <w:pPr>
              <w:pStyle w:val="Tablehead"/>
              <w:rPr>
                <w:sz w:val="20"/>
              </w:rPr>
            </w:pPr>
            <w:r w:rsidRPr="004029B6">
              <w:rPr>
                <w:sz w:val="20"/>
              </w:rPr>
              <w:t>Límite de dfp para las emisiones de la EB en la banda 1 492-1 502</w:t>
            </w:r>
            <w:r w:rsidR="004029B6" w:rsidRPr="004029B6">
              <w:rPr>
                <w:sz w:val="20"/>
              </w:rPr>
              <w:t> </w:t>
            </w:r>
            <w:r w:rsidRPr="004029B6">
              <w:rPr>
                <w:sz w:val="20"/>
              </w:rPr>
              <w:t>MHz (dBW/m</w:t>
            </w:r>
            <w:r w:rsidR="004029B6" w:rsidRPr="004029B6">
              <w:rPr>
                <w:sz w:val="20"/>
                <w:vertAlign w:val="superscript"/>
              </w:rPr>
              <w:t>2</w:t>
            </w:r>
            <w:r w:rsidRPr="004029B6">
              <w:rPr>
                <w:sz w:val="20"/>
              </w:rPr>
              <w:t>)</w:t>
            </w:r>
          </w:p>
        </w:tc>
        <w:tc>
          <w:tcPr>
            <w:tcW w:w="659" w:type="pct"/>
            <w:vAlign w:val="center"/>
            <w:hideMark/>
          </w:tcPr>
          <w:p w14:paraId="12A8C113" w14:textId="4BDEDCE1" w:rsidR="00D81645" w:rsidRPr="004029B6" w:rsidRDefault="00D81645" w:rsidP="00B452AC">
            <w:pPr>
              <w:pStyle w:val="Tablehead"/>
              <w:rPr>
                <w:sz w:val="20"/>
              </w:rPr>
            </w:pPr>
            <w:r w:rsidRPr="004029B6">
              <w:rPr>
                <w:sz w:val="20"/>
              </w:rPr>
              <w:t>Límite de dfp para las emisiones de la EB en la banda 1 502-1 512</w:t>
            </w:r>
            <w:r w:rsidR="004029B6">
              <w:rPr>
                <w:sz w:val="20"/>
              </w:rPr>
              <w:t> </w:t>
            </w:r>
            <w:r w:rsidRPr="004029B6">
              <w:rPr>
                <w:sz w:val="20"/>
              </w:rPr>
              <w:t>MHz (dBW/m</w:t>
            </w:r>
            <w:r w:rsidR="004029B6" w:rsidRPr="004029B6">
              <w:rPr>
                <w:sz w:val="20"/>
                <w:vertAlign w:val="superscript"/>
              </w:rPr>
              <w:t>2</w:t>
            </w:r>
            <w:r w:rsidRPr="004029B6">
              <w:rPr>
                <w:sz w:val="20"/>
              </w:rPr>
              <w:t>)</w:t>
            </w:r>
          </w:p>
        </w:tc>
        <w:tc>
          <w:tcPr>
            <w:tcW w:w="593" w:type="pct"/>
            <w:vAlign w:val="center"/>
            <w:hideMark/>
          </w:tcPr>
          <w:p w14:paraId="6F03BA29" w14:textId="52D5DECE" w:rsidR="00D81645" w:rsidRPr="004029B6" w:rsidRDefault="00D81645" w:rsidP="00B452AC">
            <w:pPr>
              <w:pStyle w:val="Tablehead"/>
              <w:rPr>
                <w:sz w:val="20"/>
              </w:rPr>
            </w:pPr>
            <w:r w:rsidRPr="004029B6">
              <w:rPr>
                <w:sz w:val="20"/>
              </w:rPr>
              <w:t>Límite de dfp para las emisiones de la EB en la banda 1 512-</w:t>
            </w:r>
            <w:r w:rsidRPr="004029B6">
              <w:rPr>
                <w:rFonts w:ascii="Times New Roman Bold" w:hAnsi="Times New Roman Bold"/>
                <w:spacing w:val="-2"/>
                <w:sz w:val="20"/>
              </w:rPr>
              <w:t>1 517</w:t>
            </w:r>
            <w:r w:rsidR="004029B6" w:rsidRPr="004029B6">
              <w:rPr>
                <w:rFonts w:ascii="Times New Roman Bold" w:hAnsi="Times New Roman Bold"/>
                <w:spacing w:val="-2"/>
                <w:sz w:val="20"/>
              </w:rPr>
              <w:t> </w:t>
            </w:r>
            <w:r w:rsidRPr="004029B6">
              <w:rPr>
                <w:rFonts w:ascii="Times New Roman Bold" w:hAnsi="Times New Roman Bold"/>
                <w:spacing w:val="-2"/>
                <w:sz w:val="20"/>
              </w:rPr>
              <w:t>MHz</w:t>
            </w:r>
            <w:r w:rsidRPr="004029B6">
              <w:rPr>
                <w:sz w:val="20"/>
              </w:rPr>
              <w:t xml:space="preserve"> (dBW/m</w:t>
            </w:r>
            <w:r w:rsidR="004029B6" w:rsidRPr="004029B6">
              <w:rPr>
                <w:sz w:val="20"/>
                <w:vertAlign w:val="superscript"/>
              </w:rPr>
              <w:t>2</w:t>
            </w:r>
            <w:r w:rsidRPr="004029B6">
              <w:rPr>
                <w:sz w:val="20"/>
              </w:rPr>
              <w:t>)</w:t>
            </w:r>
          </w:p>
        </w:tc>
      </w:tr>
      <w:tr w:rsidR="00750DE2" w:rsidRPr="004029B6" w14:paraId="0B4EF0AD" w14:textId="77777777" w:rsidTr="004029B6">
        <w:tc>
          <w:tcPr>
            <w:tcW w:w="657" w:type="pct"/>
            <w:vMerge w:val="restart"/>
            <w:vAlign w:val="center"/>
            <w:hideMark/>
          </w:tcPr>
          <w:p w14:paraId="75BCCEB0" w14:textId="77777777" w:rsidR="00D81645" w:rsidRPr="004029B6" w:rsidRDefault="00D81645" w:rsidP="00750DE2">
            <w:pPr>
              <w:pStyle w:val="Tabletext"/>
              <w:jc w:val="left"/>
              <w:rPr>
                <w:sz w:val="20"/>
              </w:rPr>
            </w:pPr>
            <w:r w:rsidRPr="004029B6">
              <w:rPr>
                <w:sz w:val="20"/>
              </w:rPr>
              <w:t>Puertos y vías navegables interiores</w:t>
            </w:r>
          </w:p>
        </w:tc>
        <w:tc>
          <w:tcPr>
            <w:tcW w:w="590" w:type="pct"/>
            <w:vAlign w:val="center"/>
            <w:hideMark/>
          </w:tcPr>
          <w:p w14:paraId="67523FBB" w14:textId="77777777" w:rsidR="00D81645" w:rsidRPr="004029B6" w:rsidRDefault="00D81645" w:rsidP="00EB7A28">
            <w:pPr>
              <w:pStyle w:val="Tabletext"/>
              <w:jc w:val="center"/>
              <w:rPr>
                <w:sz w:val="20"/>
              </w:rPr>
            </w:pPr>
            <w:r w:rsidRPr="004029B6">
              <w:rPr>
                <w:sz w:val="20"/>
              </w:rPr>
              <w:t>3</w:t>
            </w:r>
          </w:p>
        </w:tc>
        <w:tc>
          <w:tcPr>
            <w:tcW w:w="588" w:type="pct"/>
            <w:vAlign w:val="center"/>
            <w:hideMark/>
          </w:tcPr>
          <w:p w14:paraId="5963C445" w14:textId="77777777" w:rsidR="00D81645" w:rsidRPr="004029B6" w:rsidRDefault="00D81645" w:rsidP="00EB7A28">
            <w:pPr>
              <w:pStyle w:val="Tabletext"/>
              <w:jc w:val="center"/>
              <w:rPr>
                <w:sz w:val="20"/>
              </w:rPr>
            </w:pPr>
            <w:r w:rsidRPr="004029B6">
              <w:rPr>
                <w:sz w:val="20"/>
              </w:rPr>
              <w:t>−60,9</w:t>
            </w:r>
          </w:p>
        </w:tc>
        <w:tc>
          <w:tcPr>
            <w:tcW w:w="588" w:type="pct"/>
            <w:vAlign w:val="center"/>
            <w:hideMark/>
          </w:tcPr>
          <w:p w14:paraId="636D7503" w14:textId="77777777" w:rsidR="00D81645" w:rsidRPr="004029B6" w:rsidRDefault="00D81645" w:rsidP="00EB7A28">
            <w:pPr>
              <w:pStyle w:val="Tabletext"/>
              <w:jc w:val="center"/>
              <w:rPr>
                <w:sz w:val="20"/>
              </w:rPr>
            </w:pPr>
            <w:r w:rsidRPr="004029B6">
              <w:rPr>
                <w:sz w:val="20"/>
              </w:rPr>
              <w:t>−75,9</w:t>
            </w:r>
          </w:p>
        </w:tc>
        <w:tc>
          <w:tcPr>
            <w:tcW w:w="589" w:type="pct"/>
            <w:vAlign w:val="center"/>
            <w:hideMark/>
          </w:tcPr>
          <w:p w14:paraId="792EEE25" w14:textId="77777777" w:rsidR="00D81645" w:rsidRPr="004029B6" w:rsidRDefault="00D81645" w:rsidP="00EB7A28">
            <w:pPr>
              <w:pStyle w:val="Tabletext"/>
              <w:jc w:val="center"/>
              <w:rPr>
                <w:sz w:val="20"/>
              </w:rPr>
            </w:pPr>
            <w:r w:rsidRPr="004029B6">
              <w:rPr>
                <w:sz w:val="20"/>
              </w:rPr>
              <w:t>−83,9</w:t>
            </w:r>
          </w:p>
        </w:tc>
        <w:tc>
          <w:tcPr>
            <w:tcW w:w="736" w:type="pct"/>
            <w:vAlign w:val="center"/>
            <w:hideMark/>
          </w:tcPr>
          <w:p w14:paraId="1872FD87" w14:textId="4AE6AD06" w:rsidR="00D81645" w:rsidRPr="004029B6" w:rsidRDefault="00D81645" w:rsidP="00B452AC">
            <w:pPr>
              <w:pStyle w:val="Tabletext"/>
              <w:jc w:val="left"/>
              <w:rPr>
                <w:sz w:val="20"/>
              </w:rPr>
            </w:pPr>
            <w:r w:rsidRPr="004029B6">
              <w:rPr>
                <w:sz w:val="20"/>
              </w:rPr>
              <w:t>No se requiere límite siempre que la p.i.r.e. de la EB no supere los 68</w:t>
            </w:r>
            <w:r w:rsidR="004029B6" w:rsidRPr="004029B6">
              <w:rPr>
                <w:sz w:val="20"/>
              </w:rPr>
              <w:t> </w:t>
            </w:r>
            <w:r w:rsidRPr="004029B6">
              <w:rPr>
                <w:sz w:val="20"/>
              </w:rPr>
              <w:t>dBm</w:t>
            </w:r>
          </w:p>
        </w:tc>
        <w:tc>
          <w:tcPr>
            <w:tcW w:w="659" w:type="pct"/>
            <w:vAlign w:val="center"/>
            <w:hideMark/>
          </w:tcPr>
          <w:p w14:paraId="0E74CFBB" w14:textId="45B26E54" w:rsidR="00D81645" w:rsidRPr="004029B6" w:rsidRDefault="00750DE2" w:rsidP="00B452AC">
            <w:pPr>
              <w:pStyle w:val="Tabletext"/>
              <w:keepNext/>
              <w:keepLines/>
              <w:jc w:val="center"/>
              <w:rPr>
                <w:sz w:val="20"/>
              </w:rPr>
            </w:pPr>
            <w:r w:rsidRPr="004029B6">
              <w:rPr>
                <w:sz w:val="20"/>
              </w:rPr>
              <w:t>−</w:t>
            </w:r>
            <w:r w:rsidR="00D81645" w:rsidRPr="004029B6">
              <w:rPr>
                <w:sz w:val="20"/>
              </w:rPr>
              <w:t>27,9</w:t>
            </w:r>
          </w:p>
        </w:tc>
        <w:tc>
          <w:tcPr>
            <w:tcW w:w="593" w:type="pct"/>
            <w:vAlign w:val="center"/>
            <w:hideMark/>
          </w:tcPr>
          <w:p w14:paraId="3251E870" w14:textId="6CBFCC41" w:rsidR="00D81645" w:rsidRPr="004029B6" w:rsidRDefault="00750DE2" w:rsidP="00B452AC">
            <w:pPr>
              <w:pStyle w:val="Tabletext"/>
              <w:keepNext/>
              <w:keepLines/>
              <w:jc w:val="center"/>
              <w:rPr>
                <w:sz w:val="20"/>
              </w:rPr>
            </w:pPr>
            <w:r w:rsidRPr="004029B6">
              <w:rPr>
                <w:sz w:val="20"/>
              </w:rPr>
              <w:t>−</w:t>
            </w:r>
            <w:r w:rsidR="00D81645" w:rsidRPr="004029B6">
              <w:rPr>
                <w:sz w:val="20"/>
              </w:rPr>
              <w:t>37,9</w:t>
            </w:r>
          </w:p>
        </w:tc>
      </w:tr>
      <w:tr w:rsidR="00750DE2" w:rsidRPr="004029B6" w14:paraId="11BC8FF0" w14:textId="77777777" w:rsidTr="004029B6">
        <w:tc>
          <w:tcPr>
            <w:tcW w:w="657" w:type="pct"/>
            <w:vMerge/>
            <w:vAlign w:val="center"/>
            <w:hideMark/>
          </w:tcPr>
          <w:p w14:paraId="6E73C41C" w14:textId="77777777" w:rsidR="00D81645" w:rsidRPr="004029B6" w:rsidRDefault="00D81645" w:rsidP="00B452AC">
            <w:pPr>
              <w:pStyle w:val="Tabletext"/>
              <w:rPr>
                <w:sz w:val="20"/>
              </w:rPr>
            </w:pPr>
          </w:p>
        </w:tc>
        <w:tc>
          <w:tcPr>
            <w:tcW w:w="590" w:type="pct"/>
            <w:vAlign w:val="center"/>
            <w:hideMark/>
          </w:tcPr>
          <w:p w14:paraId="6A3746E7" w14:textId="77777777" w:rsidR="00D81645" w:rsidRPr="004029B6" w:rsidRDefault="00D81645" w:rsidP="00EB7A28">
            <w:pPr>
              <w:pStyle w:val="Tabletext"/>
              <w:jc w:val="center"/>
              <w:rPr>
                <w:sz w:val="20"/>
              </w:rPr>
            </w:pPr>
            <w:r w:rsidRPr="004029B6">
              <w:rPr>
                <w:sz w:val="20"/>
              </w:rPr>
              <w:t>3-19</w:t>
            </w:r>
            <w:r w:rsidRPr="004029B6">
              <w:rPr>
                <w:sz w:val="20"/>
                <w:vertAlign w:val="superscript"/>
              </w:rPr>
              <w:t xml:space="preserve"> (1)</w:t>
            </w:r>
          </w:p>
        </w:tc>
        <w:tc>
          <w:tcPr>
            <w:tcW w:w="588" w:type="pct"/>
            <w:vAlign w:val="center"/>
            <w:hideMark/>
          </w:tcPr>
          <w:p w14:paraId="65A7F8F0" w14:textId="5030F622" w:rsidR="00D81645" w:rsidRPr="004029B6" w:rsidRDefault="004029B6" w:rsidP="00EB7A28">
            <w:pPr>
              <w:pStyle w:val="Tabletext"/>
              <w:jc w:val="center"/>
              <w:rPr>
                <w:sz w:val="20"/>
              </w:rPr>
            </w:pPr>
            <w:r w:rsidRPr="004029B6">
              <w:rPr>
                <w:sz w:val="20"/>
              </w:rPr>
              <w:t>−</w:t>
            </w:r>
            <w:r w:rsidR="00D81645" w:rsidRPr="004029B6">
              <w:rPr>
                <w:sz w:val="20"/>
              </w:rPr>
              <w:t xml:space="preserve">60,9 a </w:t>
            </w:r>
            <w:r w:rsidRPr="004029B6">
              <w:rPr>
                <w:sz w:val="20"/>
              </w:rPr>
              <w:br/>
              <w:t>−</w:t>
            </w:r>
            <w:r w:rsidR="00D81645" w:rsidRPr="004029B6">
              <w:rPr>
                <w:sz w:val="20"/>
              </w:rPr>
              <w:t>76,9</w:t>
            </w:r>
          </w:p>
        </w:tc>
        <w:tc>
          <w:tcPr>
            <w:tcW w:w="588" w:type="pct"/>
            <w:vAlign w:val="center"/>
            <w:hideMark/>
          </w:tcPr>
          <w:p w14:paraId="7805F40A" w14:textId="02A1D73B" w:rsidR="00D81645" w:rsidRPr="004029B6" w:rsidRDefault="004029B6" w:rsidP="00EB7A28">
            <w:pPr>
              <w:pStyle w:val="Tabletext"/>
              <w:jc w:val="center"/>
              <w:rPr>
                <w:sz w:val="20"/>
              </w:rPr>
            </w:pPr>
            <w:r w:rsidRPr="004029B6">
              <w:rPr>
                <w:sz w:val="20"/>
              </w:rPr>
              <w:t>−</w:t>
            </w:r>
            <w:r w:rsidR="00D81645" w:rsidRPr="004029B6">
              <w:rPr>
                <w:sz w:val="20"/>
              </w:rPr>
              <w:t xml:space="preserve">75,9 a </w:t>
            </w:r>
            <w:r w:rsidRPr="004029B6">
              <w:rPr>
                <w:sz w:val="20"/>
              </w:rPr>
              <w:br/>
              <w:t>−</w:t>
            </w:r>
            <w:r w:rsidR="00D81645" w:rsidRPr="004029B6">
              <w:rPr>
                <w:sz w:val="20"/>
              </w:rPr>
              <w:t>91,9</w:t>
            </w:r>
          </w:p>
        </w:tc>
        <w:tc>
          <w:tcPr>
            <w:tcW w:w="589" w:type="pct"/>
            <w:vAlign w:val="center"/>
            <w:hideMark/>
          </w:tcPr>
          <w:p w14:paraId="17701035" w14:textId="6AB21289" w:rsidR="00D81645" w:rsidRPr="004029B6" w:rsidRDefault="004029B6" w:rsidP="00EB7A28">
            <w:pPr>
              <w:pStyle w:val="Tabletext"/>
              <w:jc w:val="center"/>
              <w:rPr>
                <w:sz w:val="20"/>
              </w:rPr>
            </w:pPr>
            <w:r w:rsidRPr="004029B6">
              <w:rPr>
                <w:sz w:val="20"/>
              </w:rPr>
              <w:t>−</w:t>
            </w:r>
            <w:r w:rsidR="00D81645" w:rsidRPr="004029B6">
              <w:rPr>
                <w:sz w:val="20"/>
              </w:rPr>
              <w:t xml:space="preserve">83,9 a </w:t>
            </w:r>
            <w:r w:rsidRPr="004029B6">
              <w:rPr>
                <w:sz w:val="20"/>
              </w:rPr>
              <w:br/>
              <w:t>−</w:t>
            </w:r>
            <w:r w:rsidR="00D81645" w:rsidRPr="004029B6">
              <w:rPr>
                <w:sz w:val="20"/>
              </w:rPr>
              <w:t>99,9</w:t>
            </w:r>
          </w:p>
        </w:tc>
        <w:tc>
          <w:tcPr>
            <w:tcW w:w="736" w:type="pct"/>
            <w:vAlign w:val="center"/>
            <w:hideMark/>
          </w:tcPr>
          <w:p w14:paraId="412A7C5F" w14:textId="01C57D97" w:rsidR="00D81645" w:rsidRPr="004029B6" w:rsidRDefault="00D81645" w:rsidP="00EB7A28">
            <w:pPr>
              <w:pStyle w:val="Tabletext"/>
              <w:jc w:val="left"/>
              <w:rPr>
                <w:sz w:val="20"/>
              </w:rPr>
            </w:pPr>
            <w:r w:rsidRPr="004029B6">
              <w:rPr>
                <w:sz w:val="20"/>
              </w:rPr>
              <w:t>No se requiere límite siempre que la p.i.r.e. de la EB no supere los 68</w:t>
            </w:r>
            <w:r w:rsidR="004029B6" w:rsidRPr="004029B6">
              <w:rPr>
                <w:sz w:val="20"/>
              </w:rPr>
              <w:t> </w:t>
            </w:r>
            <w:r w:rsidRPr="004029B6">
              <w:rPr>
                <w:sz w:val="20"/>
              </w:rPr>
              <w:t>dBm</w:t>
            </w:r>
          </w:p>
        </w:tc>
        <w:tc>
          <w:tcPr>
            <w:tcW w:w="659" w:type="pct"/>
            <w:vAlign w:val="center"/>
            <w:hideMark/>
          </w:tcPr>
          <w:p w14:paraId="15F22E6B" w14:textId="14692E1D" w:rsidR="00D81645" w:rsidRPr="004029B6" w:rsidRDefault="004029B6" w:rsidP="00B452AC">
            <w:pPr>
              <w:pStyle w:val="Tabletext"/>
              <w:jc w:val="center"/>
              <w:rPr>
                <w:sz w:val="20"/>
              </w:rPr>
            </w:pPr>
            <w:r w:rsidRPr="004029B6">
              <w:rPr>
                <w:sz w:val="20"/>
              </w:rPr>
              <w:t>−</w:t>
            </w:r>
            <w:r w:rsidR="00D81645" w:rsidRPr="004029B6">
              <w:rPr>
                <w:sz w:val="20"/>
              </w:rPr>
              <w:t xml:space="preserve">27,9 a </w:t>
            </w:r>
            <w:r w:rsidRPr="004029B6">
              <w:rPr>
                <w:sz w:val="20"/>
              </w:rPr>
              <w:t>−</w:t>
            </w:r>
            <w:r w:rsidR="00D81645" w:rsidRPr="004029B6">
              <w:rPr>
                <w:sz w:val="20"/>
              </w:rPr>
              <w:t>43,9</w:t>
            </w:r>
          </w:p>
        </w:tc>
        <w:tc>
          <w:tcPr>
            <w:tcW w:w="593" w:type="pct"/>
            <w:vAlign w:val="center"/>
            <w:hideMark/>
          </w:tcPr>
          <w:p w14:paraId="06EB738D" w14:textId="000B12E2" w:rsidR="00D81645" w:rsidRPr="004029B6" w:rsidRDefault="004029B6" w:rsidP="00B452AC">
            <w:pPr>
              <w:pStyle w:val="Tabletext"/>
              <w:jc w:val="center"/>
              <w:rPr>
                <w:sz w:val="20"/>
              </w:rPr>
            </w:pPr>
            <w:r w:rsidRPr="004029B6">
              <w:rPr>
                <w:sz w:val="20"/>
              </w:rPr>
              <w:t>−</w:t>
            </w:r>
            <w:r w:rsidR="00D81645" w:rsidRPr="004029B6">
              <w:rPr>
                <w:sz w:val="20"/>
              </w:rPr>
              <w:t xml:space="preserve">37,9 a </w:t>
            </w:r>
            <w:r w:rsidRPr="004029B6">
              <w:rPr>
                <w:sz w:val="20"/>
              </w:rPr>
              <w:t>−</w:t>
            </w:r>
            <w:r w:rsidR="00D81645" w:rsidRPr="004029B6">
              <w:rPr>
                <w:sz w:val="20"/>
              </w:rPr>
              <w:t>53,9</w:t>
            </w:r>
          </w:p>
        </w:tc>
      </w:tr>
      <w:tr w:rsidR="00750DE2" w:rsidRPr="004029B6" w14:paraId="27CD3C97" w14:textId="77777777" w:rsidTr="004029B6">
        <w:tc>
          <w:tcPr>
            <w:tcW w:w="657" w:type="pct"/>
            <w:vMerge w:val="restart"/>
            <w:vAlign w:val="center"/>
            <w:hideMark/>
          </w:tcPr>
          <w:p w14:paraId="09EAA802" w14:textId="77777777" w:rsidR="00D81645" w:rsidRPr="004029B6" w:rsidRDefault="00D81645" w:rsidP="00750DE2">
            <w:pPr>
              <w:pStyle w:val="Tabletext"/>
              <w:jc w:val="left"/>
              <w:rPr>
                <w:sz w:val="20"/>
              </w:rPr>
            </w:pPr>
            <w:r w:rsidRPr="004029B6">
              <w:rPr>
                <w:sz w:val="20"/>
              </w:rPr>
              <w:t>Aeropuertos</w:t>
            </w:r>
          </w:p>
        </w:tc>
        <w:tc>
          <w:tcPr>
            <w:tcW w:w="590" w:type="pct"/>
            <w:vAlign w:val="center"/>
            <w:hideMark/>
          </w:tcPr>
          <w:p w14:paraId="0A3C0296" w14:textId="77777777" w:rsidR="00D81645" w:rsidRPr="004029B6" w:rsidRDefault="00D81645" w:rsidP="00EB7A28">
            <w:pPr>
              <w:pStyle w:val="Tabletext"/>
              <w:jc w:val="center"/>
              <w:rPr>
                <w:sz w:val="20"/>
              </w:rPr>
            </w:pPr>
            <w:r w:rsidRPr="004029B6">
              <w:rPr>
                <w:sz w:val="20"/>
              </w:rPr>
              <w:t>3</w:t>
            </w:r>
          </w:p>
        </w:tc>
        <w:tc>
          <w:tcPr>
            <w:tcW w:w="588" w:type="pct"/>
            <w:vAlign w:val="center"/>
            <w:hideMark/>
          </w:tcPr>
          <w:p w14:paraId="3B3BEE43" w14:textId="2BAF781C" w:rsidR="00D81645" w:rsidRPr="004029B6" w:rsidRDefault="004029B6" w:rsidP="00EB7A28">
            <w:pPr>
              <w:pStyle w:val="Tabletext"/>
              <w:jc w:val="center"/>
              <w:rPr>
                <w:sz w:val="20"/>
              </w:rPr>
            </w:pPr>
            <w:r w:rsidRPr="004029B6">
              <w:rPr>
                <w:sz w:val="20"/>
              </w:rPr>
              <w:t>−</w:t>
            </w:r>
            <w:r w:rsidR="00D81645" w:rsidRPr="004029B6">
              <w:rPr>
                <w:sz w:val="20"/>
              </w:rPr>
              <w:t>28,9</w:t>
            </w:r>
          </w:p>
        </w:tc>
        <w:tc>
          <w:tcPr>
            <w:tcW w:w="588" w:type="pct"/>
            <w:vAlign w:val="center"/>
            <w:hideMark/>
          </w:tcPr>
          <w:p w14:paraId="05305BE8" w14:textId="5058FCCC" w:rsidR="00D81645" w:rsidRPr="004029B6" w:rsidRDefault="004029B6" w:rsidP="00EB7A28">
            <w:pPr>
              <w:pStyle w:val="Tabletext"/>
              <w:jc w:val="center"/>
              <w:rPr>
                <w:sz w:val="20"/>
              </w:rPr>
            </w:pPr>
            <w:r w:rsidRPr="004029B6">
              <w:rPr>
                <w:sz w:val="20"/>
              </w:rPr>
              <w:t>−</w:t>
            </w:r>
            <w:r w:rsidR="00D81645" w:rsidRPr="004029B6">
              <w:rPr>
                <w:sz w:val="20"/>
              </w:rPr>
              <w:t>42,9</w:t>
            </w:r>
          </w:p>
        </w:tc>
        <w:tc>
          <w:tcPr>
            <w:tcW w:w="589" w:type="pct"/>
            <w:vAlign w:val="center"/>
            <w:hideMark/>
          </w:tcPr>
          <w:p w14:paraId="2B428569" w14:textId="6BAD0682" w:rsidR="00D81645" w:rsidRPr="004029B6" w:rsidRDefault="004029B6" w:rsidP="00EB7A28">
            <w:pPr>
              <w:pStyle w:val="Tabletext"/>
              <w:jc w:val="center"/>
              <w:rPr>
                <w:sz w:val="20"/>
              </w:rPr>
            </w:pPr>
            <w:r w:rsidRPr="004029B6">
              <w:rPr>
                <w:sz w:val="20"/>
              </w:rPr>
              <w:t>−</w:t>
            </w:r>
            <w:r w:rsidR="00D81645" w:rsidRPr="004029B6">
              <w:rPr>
                <w:sz w:val="20"/>
              </w:rPr>
              <w:t>58,2</w:t>
            </w:r>
          </w:p>
        </w:tc>
        <w:tc>
          <w:tcPr>
            <w:tcW w:w="736" w:type="pct"/>
            <w:vAlign w:val="center"/>
            <w:hideMark/>
          </w:tcPr>
          <w:p w14:paraId="3204D47A" w14:textId="4CB14AC2" w:rsidR="00D81645" w:rsidRPr="004029B6" w:rsidRDefault="00D81645" w:rsidP="00EB7A28">
            <w:pPr>
              <w:pStyle w:val="Tabletext"/>
              <w:jc w:val="left"/>
              <w:rPr>
                <w:sz w:val="20"/>
              </w:rPr>
            </w:pPr>
            <w:r w:rsidRPr="004029B6">
              <w:rPr>
                <w:sz w:val="20"/>
              </w:rPr>
              <w:t>No se requiere límite siempre que la p.i.r.e. de la EB no supere los 68</w:t>
            </w:r>
            <w:r w:rsidR="004029B6" w:rsidRPr="004029B6">
              <w:rPr>
                <w:sz w:val="20"/>
              </w:rPr>
              <w:t> </w:t>
            </w:r>
            <w:r w:rsidRPr="004029B6">
              <w:rPr>
                <w:sz w:val="20"/>
              </w:rPr>
              <w:t>dBm</w:t>
            </w:r>
          </w:p>
        </w:tc>
        <w:tc>
          <w:tcPr>
            <w:tcW w:w="659" w:type="pct"/>
            <w:vAlign w:val="center"/>
            <w:hideMark/>
          </w:tcPr>
          <w:p w14:paraId="7E582329" w14:textId="146C5CB4" w:rsidR="00D81645" w:rsidRPr="004029B6" w:rsidRDefault="004029B6" w:rsidP="00B452AC">
            <w:pPr>
              <w:pStyle w:val="Tabletext"/>
              <w:jc w:val="center"/>
              <w:rPr>
                <w:sz w:val="20"/>
              </w:rPr>
            </w:pPr>
            <w:r w:rsidRPr="004029B6">
              <w:rPr>
                <w:sz w:val="20"/>
              </w:rPr>
              <w:t>−</w:t>
            </w:r>
            <w:r w:rsidR="00D81645" w:rsidRPr="004029B6">
              <w:rPr>
                <w:sz w:val="20"/>
              </w:rPr>
              <w:t>27,9</w:t>
            </w:r>
          </w:p>
        </w:tc>
        <w:tc>
          <w:tcPr>
            <w:tcW w:w="593" w:type="pct"/>
            <w:vAlign w:val="center"/>
            <w:hideMark/>
          </w:tcPr>
          <w:p w14:paraId="1649C9BE" w14:textId="45836EE7" w:rsidR="00D81645" w:rsidRPr="004029B6" w:rsidRDefault="004029B6" w:rsidP="00B452AC">
            <w:pPr>
              <w:pStyle w:val="Tabletext"/>
              <w:jc w:val="center"/>
              <w:rPr>
                <w:sz w:val="20"/>
              </w:rPr>
            </w:pPr>
            <w:r w:rsidRPr="004029B6">
              <w:rPr>
                <w:sz w:val="20"/>
              </w:rPr>
              <w:t>−</w:t>
            </w:r>
            <w:r w:rsidR="00D81645" w:rsidRPr="004029B6">
              <w:rPr>
                <w:sz w:val="20"/>
              </w:rPr>
              <w:t>37,9</w:t>
            </w:r>
          </w:p>
        </w:tc>
      </w:tr>
      <w:tr w:rsidR="00750DE2" w:rsidRPr="004029B6" w14:paraId="74DE56F0" w14:textId="77777777" w:rsidTr="004029B6">
        <w:tc>
          <w:tcPr>
            <w:tcW w:w="657" w:type="pct"/>
            <w:vMerge/>
            <w:tcBorders>
              <w:bottom w:val="single" w:sz="4" w:space="0" w:color="auto"/>
            </w:tcBorders>
            <w:vAlign w:val="center"/>
            <w:hideMark/>
          </w:tcPr>
          <w:p w14:paraId="079A3A09" w14:textId="77777777" w:rsidR="00D81645" w:rsidRPr="004029B6" w:rsidRDefault="00D81645" w:rsidP="00B452AC">
            <w:pPr>
              <w:pStyle w:val="Tabletext"/>
              <w:rPr>
                <w:sz w:val="20"/>
              </w:rPr>
            </w:pPr>
          </w:p>
        </w:tc>
        <w:tc>
          <w:tcPr>
            <w:tcW w:w="590" w:type="pct"/>
            <w:tcBorders>
              <w:bottom w:val="single" w:sz="4" w:space="0" w:color="auto"/>
            </w:tcBorders>
            <w:vAlign w:val="center"/>
            <w:hideMark/>
          </w:tcPr>
          <w:p w14:paraId="42B12231" w14:textId="77777777" w:rsidR="00D81645" w:rsidRPr="004029B6" w:rsidRDefault="00D81645" w:rsidP="00EB7A28">
            <w:pPr>
              <w:pStyle w:val="Tabletext"/>
              <w:jc w:val="center"/>
              <w:rPr>
                <w:sz w:val="20"/>
              </w:rPr>
            </w:pPr>
            <w:r w:rsidRPr="004029B6">
              <w:rPr>
                <w:sz w:val="20"/>
              </w:rPr>
              <w:t>3-17</w:t>
            </w:r>
            <w:r w:rsidRPr="004029B6">
              <w:rPr>
                <w:sz w:val="20"/>
                <w:vertAlign w:val="superscript"/>
              </w:rPr>
              <w:t xml:space="preserve"> (1)</w:t>
            </w:r>
          </w:p>
        </w:tc>
        <w:tc>
          <w:tcPr>
            <w:tcW w:w="588" w:type="pct"/>
            <w:tcBorders>
              <w:bottom w:val="single" w:sz="4" w:space="0" w:color="auto"/>
            </w:tcBorders>
            <w:vAlign w:val="center"/>
            <w:hideMark/>
          </w:tcPr>
          <w:p w14:paraId="2079911D" w14:textId="4C65E8D9" w:rsidR="00D81645" w:rsidRPr="004029B6" w:rsidRDefault="004029B6" w:rsidP="00EB7A28">
            <w:pPr>
              <w:pStyle w:val="Tabletext"/>
              <w:jc w:val="center"/>
              <w:rPr>
                <w:sz w:val="20"/>
              </w:rPr>
            </w:pPr>
            <w:r w:rsidRPr="004029B6">
              <w:rPr>
                <w:sz w:val="20"/>
              </w:rPr>
              <w:t>−</w:t>
            </w:r>
            <w:r w:rsidR="00D81645" w:rsidRPr="004029B6">
              <w:rPr>
                <w:sz w:val="20"/>
              </w:rPr>
              <w:t xml:space="preserve">28,9 a </w:t>
            </w:r>
            <w:r w:rsidRPr="004029B6">
              <w:rPr>
                <w:sz w:val="20"/>
              </w:rPr>
              <w:t>−</w:t>
            </w:r>
            <w:r w:rsidR="00D81645" w:rsidRPr="004029B6">
              <w:rPr>
                <w:sz w:val="20"/>
              </w:rPr>
              <w:t>42,9</w:t>
            </w:r>
          </w:p>
        </w:tc>
        <w:tc>
          <w:tcPr>
            <w:tcW w:w="588" w:type="pct"/>
            <w:tcBorders>
              <w:bottom w:val="single" w:sz="4" w:space="0" w:color="auto"/>
            </w:tcBorders>
            <w:vAlign w:val="center"/>
            <w:hideMark/>
          </w:tcPr>
          <w:p w14:paraId="72C0BACE" w14:textId="758CFFBD" w:rsidR="00D81645" w:rsidRPr="004029B6" w:rsidRDefault="004029B6" w:rsidP="00EB7A28">
            <w:pPr>
              <w:pStyle w:val="Tabletext"/>
              <w:jc w:val="center"/>
              <w:rPr>
                <w:sz w:val="20"/>
              </w:rPr>
            </w:pPr>
            <w:r w:rsidRPr="004029B6">
              <w:rPr>
                <w:sz w:val="20"/>
              </w:rPr>
              <w:t>−</w:t>
            </w:r>
            <w:r w:rsidR="00D81645" w:rsidRPr="004029B6">
              <w:rPr>
                <w:sz w:val="20"/>
              </w:rPr>
              <w:t xml:space="preserve">42,9 a </w:t>
            </w:r>
            <w:r w:rsidRPr="004029B6">
              <w:rPr>
                <w:sz w:val="20"/>
              </w:rPr>
              <w:t>−</w:t>
            </w:r>
            <w:r w:rsidR="00D81645" w:rsidRPr="004029B6">
              <w:rPr>
                <w:sz w:val="20"/>
              </w:rPr>
              <w:t>56,9</w:t>
            </w:r>
          </w:p>
        </w:tc>
        <w:tc>
          <w:tcPr>
            <w:tcW w:w="589" w:type="pct"/>
            <w:tcBorders>
              <w:bottom w:val="single" w:sz="4" w:space="0" w:color="auto"/>
            </w:tcBorders>
            <w:vAlign w:val="center"/>
            <w:hideMark/>
          </w:tcPr>
          <w:p w14:paraId="66CB76A8" w14:textId="57BF99D4" w:rsidR="00D81645" w:rsidRPr="004029B6" w:rsidRDefault="004029B6" w:rsidP="00EB7A28">
            <w:pPr>
              <w:pStyle w:val="Tabletext"/>
              <w:jc w:val="center"/>
              <w:rPr>
                <w:sz w:val="20"/>
              </w:rPr>
            </w:pPr>
            <w:r w:rsidRPr="004029B6">
              <w:rPr>
                <w:sz w:val="20"/>
              </w:rPr>
              <w:t>−</w:t>
            </w:r>
            <w:r w:rsidR="00D81645" w:rsidRPr="004029B6">
              <w:rPr>
                <w:sz w:val="20"/>
              </w:rPr>
              <w:t xml:space="preserve">58,2 a </w:t>
            </w:r>
            <w:r w:rsidRPr="004029B6">
              <w:rPr>
                <w:sz w:val="20"/>
              </w:rPr>
              <w:t>−</w:t>
            </w:r>
            <w:r w:rsidR="00D81645" w:rsidRPr="004029B6">
              <w:rPr>
                <w:sz w:val="20"/>
              </w:rPr>
              <w:t>72,2</w:t>
            </w:r>
          </w:p>
        </w:tc>
        <w:tc>
          <w:tcPr>
            <w:tcW w:w="736" w:type="pct"/>
            <w:tcBorders>
              <w:bottom w:val="single" w:sz="4" w:space="0" w:color="auto"/>
            </w:tcBorders>
            <w:vAlign w:val="center"/>
            <w:hideMark/>
          </w:tcPr>
          <w:p w14:paraId="2693F4C2" w14:textId="47326B59" w:rsidR="00D81645" w:rsidRPr="004029B6" w:rsidRDefault="00D81645" w:rsidP="00EB7A28">
            <w:pPr>
              <w:pStyle w:val="Tabletext"/>
              <w:jc w:val="left"/>
              <w:rPr>
                <w:sz w:val="20"/>
              </w:rPr>
            </w:pPr>
            <w:r w:rsidRPr="004029B6">
              <w:rPr>
                <w:sz w:val="20"/>
              </w:rPr>
              <w:t>No se requiere límite siempre que la p.i.r.e. de la EB no supere los 68</w:t>
            </w:r>
            <w:r w:rsidR="004029B6" w:rsidRPr="004029B6">
              <w:rPr>
                <w:sz w:val="20"/>
              </w:rPr>
              <w:t> </w:t>
            </w:r>
            <w:r w:rsidRPr="004029B6">
              <w:rPr>
                <w:sz w:val="20"/>
              </w:rPr>
              <w:t>dBm</w:t>
            </w:r>
          </w:p>
        </w:tc>
        <w:tc>
          <w:tcPr>
            <w:tcW w:w="659" w:type="pct"/>
            <w:tcBorders>
              <w:bottom w:val="single" w:sz="4" w:space="0" w:color="auto"/>
            </w:tcBorders>
            <w:vAlign w:val="center"/>
            <w:hideMark/>
          </w:tcPr>
          <w:p w14:paraId="15217545" w14:textId="06CA5854" w:rsidR="00D81645" w:rsidRPr="004029B6" w:rsidRDefault="004029B6" w:rsidP="00B452AC">
            <w:pPr>
              <w:pStyle w:val="Tabletext"/>
              <w:jc w:val="center"/>
              <w:rPr>
                <w:sz w:val="20"/>
              </w:rPr>
            </w:pPr>
            <w:r w:rsidRPr="004029B6">
              <w:rPr>
                <w:sz w:val="20"/>
              </w:rPr>
              <w:t>−</w:t>
            </w:r>
            <w:r w:rsidR="00D81645" w:rsidRPr="004029B6">
              <w:rPr>
                <w:sz w:val="20"/>
              </w:rPr>
              <w:t xml:space="preserve">27,9 a </w:t>
            </w:r>
            <w:r w:rsidRPr="004029B6">
              <w:rPr>
                <w:sz w:val="20"/>
              </w:rPr>
              <w:t>−</w:t>
            </w:r>
            <w:r w:rsidR="00D81645" w:rsidRPr="004029B6">
              <w:rPr>
                <w:sz w:val="20"/>
              </w:rPr>
              <w:t>41,9</w:t>
            </w:r>
          </w:p>
        </w:tc>
        <w:tc>
          <w:tcPr>
            <w:tcW w:w="593" w:type="pct"/>
            <w:tcBorders>
              <w:bottom w:val="single" w:sz="4" w:space="0" w:color="auto"/>
            </w:tcBorders>
            <w:vAlign w:val="center"/>
            <w:hideMark/>
          </w:tcPr>
          <w:p w14:paraId="3F9C93C9" w14:textId="3C4FECDB" w:rsidR="00D81645" w:rsidRPr="004029B6" w:rsidRDefault="004029B6" w:rsidP="00B452AC">
            <w:pPr>
              <w:pStyle w:val="Tabletext"/>
              <w:jc w:val="center"/>
              <w:rPr>
                <w:sz w:val="20"/>
              </w:rPr>
            </w:pPr>
            <w:r w:rsidRPr="004029B6">
              <w:rPr>
                <w:sz w:val="20"/>
              </w:rPr>
              <w:t>−</w:t>
            </w:r>
            <w:r w:rsidR="00D81645" w:rsidRPr="004029B6">
              <w:rPr>
                <w:sz w:val="20"/>
              </w:rPr>
              <w:t xml:space="preserve">37,9 a </w:t>
            </w:r>
            <w:r w:rsidRPr="004029B6">
              <w:rPr>
                <w:sz w:val="20"/>
              </w:rPr>
              <w:t>−</w:t>
            </w:r>
            <w:r w:rsidR="00D81645" w:rsidRPr="004029B6">
              <w:rPr>
                <w:sz w:val="20"/>
              </w:rPr>
              <w:t>51,9</w:t>
            </w:r>
          </w:p>
        </w:tc>
      </w:tr>
      <w:tr w:rsidR="00D81645" w:rsidRPr="00FE4080" w14:paraId="539C03B1" w14:textId="77777777" w:rsidTr="00750DE2">
        <w:tc>
          <w:tcPr>
            <w:tcW w:w="5000" w:type="pct"/>
            <w:gridSpan w:val="8"/>
            <w:tcBorders>
              <w:top w:val="single" w:sz="4" w:space="0" w:color="auto"/>
              <w:left w:val="nil"/>
              <w:bottom w:val="nil"/>
              <w:right w:val="nil"/>
            </w:tcBorders>
            <w:hideMark/>
          </w:tcPr>
          <w:p w14:paraId="10BA3BFD" w14:textId="45B8946F" w:rsidR="00D81645" w:rsidRPr="00FE4080" w:rsidRDefault="00D81645" w:rsidP="00FE4080">
            <w:pPr>
              <w:pStyle w:val="Tabletext"/>
              <w:ind w:left="284" w:hanging="284"/>
              <w:rPr>
                <w:sz w:val="20"/>
              </w:rPr>
            </w:pPr>
            <w:r w:rsidRPr="00FE4080">
              <w:rPr>
                <w:sz w:val="20"/>
                <w:vertAlign w:val="superscript"/>
              </w:rPr>
              <w:t>(1)</w:t>
            </w:r>
            <w:r w:rsidRPr="00FE4080">
              <w:rPr>
                <w:sz w:val="20"/>
              </w:rPr>
              <w:tab/>
            </w:r>
            <w:r w:rsidRPr="00FE4080">
              <w:rPr>
                <w:rFonts w:eastAsia="SimSun"/>
                <w:sz w:val="20"/>
              </w:rPr>
              <w:t>Los valores de dfp basados en una ganancia de antena de la ETM de 3</w:t>
            </w:r>
            <w:r w:rsidR="00FE4080">
              <w:rPr>
                <w:rFonts w:eastAsia="SimSun"/>
                <w:sz w:val="20"/>
              </w:rPr>
              <w:t> </w:t>
            </w:r>
            <w:r w:rsidRPr="00FE4080">
              <w:rPr>
                <w:rFonts w:eastAsia="SimSun"/>
                <w:sz w:val="20"/>
              </w:rPr>
              <w:t>dBi se aplican en la mayoría de las situaciones, pero hay lugares del mundo donde la ganancia de antena hacia el horizonte puede superar los 3</w:t>
            </w:r>
            <w:r w:rsidR="00FE4080">
              <w:rPr>
                <w:rFonts w:eastAsia="SimSun"/>
                <w:sz w:val="20"/>
              </w:rPr>
              <w:t> </w:t>
            </w:r>
            <w:r w:rsidRPr="00FE4080">
              <w:rPr>
                <w:rFonts w:eastAsia="SimSun"/>
                <w:sz w:val="20"/>
              </w:rPr>
              <w:t>dBi (hasta 19</w:t>
            </w:r>
            <w:r w:rsidR="00FE4080">
              <w:rPr>
                <w:rFonts w:eastAsia="SimSun"/>
                <w:sz w:val="20"/>
              </w:rPr>
              <w:t> </w:t>
            </w:r>
            <w:r w:rsidRPr="00FE4080">
              <w:rPr>
                <w:rFonts w:eastAsia="SimSun"/>
                <w:sz w:val="20"/>
              </w:rPr>
              <w:t>dBi o 17</w:t>
            </w:r>
            <w:r w:rsidR="00FE4080">
              <w:rPr>
                <w:rFonts w:eastAsia="SimSun"/>
                <w:sz w:val="20"/>
              </w:rPr>
              <w:t> </w:t>
            </w:r>
            <w:r w:rsidRPr="00FE4080">
              <w:rPr>
                <w:rFonts w:eastAsia="SimSun"/>
                <w:sz w:val="20"/>
              </w:rPr>
              <w:t>dBi). Aquí es donde hay un ángulo de elevación bajo para la ETM y donde podría desplegarse una EB IMT en dirección del satélite del SMS visto desde la ETM. En estos casos, deben tenerse en cuenta los ángulos reales con respecto al satélite y el despliegue de las IMT y ajustar la dfp a un valor comprendido en las gamas indicadas.</w:t>
            </w:r>
          </w:p>
        </w:tc>
      </w:tr>
    </w:tbl>
    <w:p w14:paraId="234692A4" w14:textId="77777777" w:rsidR="00D81645" w:rsidRPr="00DF0B08" w:rsidRDefault="00D81645" w:rsidP="005720AD">
      <w:pPr>
        <w:pStyle w:val="Tablefin"/>
        <w:rPr>
          <w:lang w:val="es-ES"/>
        </w:rPr>
      </w:pPr>
    </w:p>
    <w:p w14:paraId="65746249" w14:textId="77777777" w:rsidR="00D81645" w:rsidRPr="00DF0B08" w:rsidRDefault="00D81645" w:rsidP="005720AD">
      <w:pPr>
        <w:pStyle w:val="TableNo"/>
      </w:pPr>
      <w:r>
        <w:lastRenderedPageBreak/>
        <w:t>CUADRO 5</w:t>
      </w:r>
    </w:p>
    <w:p w14:paraId="3CEB7A03" w14:textId="77777777" w:rsidR="00D81645" w:rsidRPr="00DF0B08" w:rsidRDefault="00D81645" w:rsidP="005720AD">
      <w:pPr>
        <w:pStyle w:val="Tabletitle"/>
      </w:pPr>
      <w:r>
        <w:rPr>
          <w:bCs/>
        </w:rPr>
        <w:t>Límites de dfp para las EB IMT que transmiten múltiples canales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0"/>
        <w:gridCol w:w="1560"/>
        <w:gridCol w:w="1558"/>
        <w:gridCol w:w="1558"/>
        <w:gridCol w:w="1567"/>
      </w:tblGrid>
      <w:tr w:rsidR="00D81645" w:rsidRPr="00FE4080" w14:paraId="6EF4F623" w14:textId="77777777" w:rsidTr="00D356B2">
        <w:trPr>
          <w:tblHeader/>
          <w:jc w:val="center"/>
        </w:trPr>
        <w:tc>
          <w:tcPr>
            <w:tcW w:w="880" w:type="pct"/>
            <w:vAlign w:val="center"/>
            <w:hideMark/>
          </w:tcPr>
          <w:p w14:paraId="30B4A9B8" w14:textId="77777777" w:rsidR="00D81645" w:rsidRPr="00FE4080" w:rsidRDefault="00D81645" w:rsidP="002A110F">
            <w:pPr>
              <w:pStyle w:val="Tablehead"/>
              <w:rPr>
                <w:sz w:val="20"/>
              </w:rPr>
            </w:pPr>
            <w:r w:rsidRPr="00FE4080">
              <w:rPr>
                <w:bCs/>
                <w:sz w:val="20"/>
              </w:rPr>
              <w:t>Fase</w:t>
            </w:r>
          </w:p>
        </w:tc>
        <w:tc>
          <w:tcPr>
            <w:tcW w:w="882" w:type="pct"/>
            <w:vMerge w:val="restart"/>
            <w:vAlign w:val="center"/>
            <w:hideMark/>
          </w:tcPr>
          <w:p w14:paraId="1DDFCF83" w14:textId="4034324F" w:rsidR="00D81645" w:rsidRPr="00FE4080" w:rsidRDefault="00D81645" w:rsidP="002A110F">
            <w:pPr>
              <w:pStyle w:val="Tablehead"/>
              <w:rPr>
                <w:sz w:val="20"/>
              </w:rPr>
            </w:pPr>
            <w:r w:rsidRPr="00FE4080">
              <w:rPr>
                <w:bCs/>
                <w:sz w:val="20"/>
              </w:rPr>
              <w:t xml:space="preserve">Ganancia de la antena del terminal de la ETM </w:t>
            </w:r>
            <w:r w:rsidR="00D356B2">
              <w:rPr>
                <w:bCs/>
                <w:sz w:val="20"/>
              </w:rPr>
              <w:br/>
            </w:r>
            <w:r w:rsidRPr="00FE4080">
              <w:rPr>
                <w:bCs/>
                <w:sz w:val="20"/>
              </w:rPr>
              <w:t>(dBi)</w:t>
            </w:r>
          </w:p>
        </w:tc>
        <w:tc>
          <w:tcPr>
            <w:tcW w:w="1617" w:type="pct"/>
            <w:gridSpan w:val="2"/>
            <w:vAlign w:val="center"/>
            <w:hideMark/>
          </w:tcPr>
          <w:p w14:paraId="2E289BFF" w14:textId="77777777" w:rsidR="00D81645" w:rsidRPr="00FE4080" w:rsidRDefault="00D81645" w:rsidP="002A110F">
            <w:pPr>
              <w:pStyle w:val="Tablehead"/>
              <w:rPr>
                <w:sz w:val="20"/>
              </w:rPr>
            </w:pPr>
            <w:r w:rsidRPr="00FE4080">
              <w:rPr>
                <w:bCs/>
                <w:sz w:val="20"/>
              </w:rPr>
              <w:t>Fase 1</w:t>
            </w:r>
          </w:p>
        </w:tc>
        <w:tc>
          <w:tcPr>
            <w:tcW w:w="1621" w:type="pct"/>
            <w:gridSpan w:val="2"/>
            <w:vAlign w:val="center"/>
            <w:hideMark/>
          </w:tcPr>
          <w:p w14:paraId="66F56372" w14:textId="77777777" w:rsidR="00D81645" w:rsidRPr="00FE4080" w:rsidRDefault="00D81645" w:rsidP="002A110F">
            <w:pPr>
              <w:pStyle w:val="Tablehead"/>
              <w:rPr>
                <w:sz w:val="20"/>
              </w:rPr>
            </w:pPr>
            <w:r w:rsidRPr="00FE4080">
              <w:rPr>
                <w:bCs/>
                <w:sz w:val="20"/>
              </w:rPr>
              <w:t>Fase 2</w:t>
            </w:r>
          </w:p>
        </w:tc>
      </w:tr>
      <w:tr w:rsidR="00D356B2" w:rsidRPr="00FE4080" w14:paraId="4A5CD953" w14:textId="77777777" w:rsidTr="00D356B2">
        <w:trPr>
          <w:tblHeader/>
          <w:jc w:val="center"/>
        </w:trPr>
        <w:tc>
          <w:tcPr>
            <w:tcW w:w="880" w:type="pct"/>
            <w:vAlign w:val="center"/>
          </w:tcPr>
          <w:p w14:paraId="469381DE" w14:textId="77777777" w:rsidR="00D81645" w:rsidRPr="00FE4080" w:rsidRDefault="00D81645" w:rsidP="002A110F">
            <w:pPr>
              <w:pStyle w:val="Tablehead"/>
              <w:rPr>
                <w:sz w:val="20"/>
              </w:rPr>
            </w:pPr>
          </w:p>
        </w:tc>
        <w:tc>
          <w:tcPr>
            <w:tcW w:w="882" w:type="pct"/>
            <w:vMerge/>
            <w:vAlign w:val="center"/>
            <w:hideMark/>
          </w:tcPr>
          <w:p w14:paraId="23EA03E2" w14:textId="77777777" w:rsidR="00D81645" w:rsidRPr="00FE4080" w:rsidRDefault="00D81645" w:rsidP="002A110F">
            <w:pPr>
              <w:pStyle w:val="Tablehead"/>
              <w:rPr>
                <w:bCs/>
                <w:sz w:val="20"/>
              </w:rPr>
            </w:pPr>
          </w:p>
        </w:tc>
        <w:tc>
          <w:tcPr>
            <w:tcW w:w="809" w:type="pct"/>
            <w:vAlign w:val="center"/>
            <w:hideMark/>
          </w:tcPr>
          <w:p w14:paraId="63A3AD98" w14:textId="5C005173" w:rsidR="00D81645" w:rsidRPr="00FE4080" w:rsidRDefault="00D81645" w:rsidP="002A110F">
            <w:pPr>
              <w:pStyle w:val="Tablehead"/>
              <w:rPr>
                <w:sz w:val="20"/>
              </w:rPr>
            </w:pPr>
            <w:r w:rsidRPr="00FE4080">
              <w:rPr>
                <w:bCs/>
                <w:sz w:val="20"/>
              </w:rPr>
              <w:t>Límite de dfp para las emisiones de la EB en la banda 1 492-1</w:t>
            </w:r>
            <w:r w:rsidR="00D356B2">
              <w:rPr>
                <w:bCs/>
                <w:sz w:val="20"/>
              </w:rPr>
              <w:t> </w:t>
            </w:r>
            <w:r w:rsidRPr="00FE4080">
              <w:rPr>
                <w:bCs/>
                <w:sz w:val="20"/>
              </w:rPr>
              <w:t>512</w:t>
            </w:r>
            <w:r w:rsidR="00D356B2">
              <w:rPr>
                <w:bCs/>
                <w:sz w:val="20"/>
              </w:rPr>
              <w:t> </w:t>
            </w:r>
            <w:r w:rsidRPr="00FE4080">
              <w:rPr>
                <w:bCs/>
                <w:sz w:val="20"/>
              </w:rPr>
              <w:t>MHz (dBW/m</w:t>
            </w:r>
            <w:r w:rsidRPr="00FE4080">
              <w:rPr>
                <w:bCs/>
                <w:sz w:val="20"/>
                <w:vertAlign w:val="superscript"/>
              </w:rPr>
              <w:t>2</w:t>
            </w:r>
            <w:r w:rsidRPr="00FE4080">
              <w:rPr>
                <w:bCs/>
                <w:sz w:val="20"/>
              </w:rPr>
              <w:t>)</w:t>
            </w:r>
          </w:p>
        </w:tc>
        <w:tc>
          <w:tcPr>
            <w:tcW w:w="808" w:type="pct"/>
            <w:vAlign w:val="center"/>
            <w:hideMark/>
          </w:tcPr>
          <w:p w14:paraId="19479EC6" w14:textId="7BAEE904" w:rsidR="00D81645" w:rsidRPr="00FE4080" w:rsidRDefault="00D81645" w:rsidP="002A110F">
            <w:pPr>
              <w:pStyle w:val="Tablehead"/>
              <w:rPr>
                <w:sz w:val="20"/>
              </w:rPr>
            </w:pPr>
            <w:r w:rsidRPr="00FE4080">
              <w:rPr>
                <w:bCs/>
                <w:sz w:val="20"/>
              </w:rPr>
              <w:t>Límite de dfp para las emisiones de la EB en la banda 1 512-1</w:t>
            </w:r>
            <w:r w:rsidR="00D356B2">
              <w:rPr>
                <w:bCs/>
                <w:sz w:val="20"/>
              </w:rPr>
              <w:t> </w:t>
            </w:r>
            <w:r w:rsidRPr="00FE4080">
              <w:rPr>
                <w:bCs/>
                <w:sz w:val="20"/>
              </w:rPr>
              <w:t>517</w:t>
            </w:r>
            <w:r w:rsidR="00D356B2">
              <w:rPr>
                <w:bCs/>
                <w:sz w:val="20"/>
              </w:rPr>
              <w:t> </w:t>
            </w:r>
            <w:r w:rsidRPr="00FE4080">
              <w:rPr>
                <w:bCs/>
                <w:sz w:val="20"/>
              </w:rPr>
              <w:t>MHz (dBW/m</w:t>
            </w:r>
            <w:r w:rsidRPr="00FE4080">
              <w:rPr>
                <w:bCs/>
                <w:sz w:val="20"/>
                <w:vertAlign w:val="superscript"/>
              </w:rPr>
              <w:t>2</w:t>
            </w:r>
            <w:r w:rsidRPr="00FE4080">
              <w:rPr>
                <w:bCs/>
                <w:sz w:val="20"/>
              </w:rPr>
              <w:t>)</w:t>
            </w:r>
          </w:p>
        </w:tc>
        <w:tc>
          <w:tcPr>
            <w:tcW w:w="808" w:type="pct"/>
            <w:vAlign w:val="center"/>
            <w:hideMark/>
          </w:tcPr>
          <w:p w14:paraId="6BA2E3C0" w14:textId="3C34F457" w:rsidR="00D81645" w:rsidRPr="00FE4080" w:rsidRDefault="00D81645" w:rsidP="002A110F">
            <w:pPr>
              <w:pStyle w:val="Tablehead"/>
              <w:rPr>
                <w:sz w:val="20"/>
              </w:rPr>
            </w:pPr>
            <w:r w:rsidRPr="00FE4080">
              <w:rPr>
                <w:bCs/>
                <w:sz w:val="20"/>
              </w:rPr>
              <w:t>Límite de dfp para las emisiones de la EB en la banda 1 492-1</w:t>
            </w:r>
            <w:r w:rsidR="00D356B2">
              <w:rPr>
                <w:bCs/>
                <w:sz w:val="20"/>
              </w:rPr>
              <w:t> </w:t>
            </w:r>
            <w:r w:rsidRPr="00FE4080">
              <w:rPr>
                <w:bCs/>
                <w:sz w:val="20"/>
              </w:rPr>
              <w:t>512</w:t>
            </w:r>
            <w:r w:rsidR="00D356B2">
              <w:rPr>
                <w:bCs/>
                <w:sz w:val="20"/>
              </w:rPr>
              <w:t> </w:t>
            </w:r>
            <w:r w:rsidRPr="00FE4080">
              <w:rPr>
                <w:bCs/>
                <w:sz w:val="20"/>
              </w:rPr>
              <w:t>MHz (dBW/m</w:t>
            </w:r>
            <w:r w:rsidRPr="00FE4080">
              <w:rPr>
                <w:bCs/>
                <w:sz w:val="20"/>
                <w:vertAlign w:val="superscript"/>
              </w:rPr>
              <w:t>2</w:t>
            </w:r>
            <w:r w:rsidRPr="00FE4080">
              <w:rPr>
                <w:bCs/>
                <w:sz w:val="20"/>
              </w:rPr>
              <w:t>)</w:t>
            </w:r>
          </w:p>
        </w:tc>
        <w:tc>
          <w:tcPr>
            <w:tcW w:w="813" w:type="pct"/>
            <w:vAlign w:val="center"/>
            <w:hideMark/>
          </w:tcPr>
          <w:p w14:paraId="63082413" w14:textId="505282C2" w:rsidR="00D81645" w:rsidRPr="00FE4080" w:rsidRDefault="00D81645" w:rsidP="002A110F">
            <w:pPr>
              <w:pStyle w:val="Tablehead"/>
              <w:rPr>
                <w:sz w:val="20"/>
              </w:rPr>
            </w:pPr>
            <w:r w:rsidRPr="00FE4080">
              <w:rPr>
                <w:bCs/>
                <w:sz w:val="20"/>
              </w:rPr>
              <w:t>Límite de dfp para las emisiones de la EB en la banda 1 512-1</w:t>
            </w:r>
            <w:r w:rsidR="00D356B2">
              <w:rPr>
                <w:bCs/>
                <w:sz w:val="20"/>
              </w:rPr>
              <w:t> </w:t>
            </w:r>
            <w:r w:rsidRPr="00FE4080">
              <w:rPr>
                <w:bCs/>
                <w:sz w:val="20"/>
              </w:rPr>
              <w:t>517</w:t>
            </w:r>
            <w:r w:rsidR="00D356B2">
              <w:rPr>
                <w:bCs/>
                <w:sz w:val="20"/>
              </w:rPr>
              <w:t> </w:t>
            </w:r>
            <w:r w:rsidRPr="00FE4080">
              <w:rPr>
                <w:bCs/>
                <w:sz w:val="20"/>
              </w:rPr>
              <w:t>MHz (dBW/m</w:t>
            </w:r>
            <w:r w:rsidRPr="00FE4080">
              <w:rPr>
                <w:bCs/>
                <w:sz w:val="20"/>
                <w:vertAlign w:val="superscript"/>
              </w:rPr>
              <w:t>2</w:t>
            </w:r>
            <w:r w:rsidRPr="00FE4080">
              <w:rPr>
                <w:bCs/>
                <w:sz w:val="20"/>
              </w:rPr>
              <w:t>)</w:t>
            </w:r>
          </w:p>
        </w:tc>
      </w:tr>
      <w:tr w:rsidR="00D356B2" w:rsidRPr="00FE4080" w14:paraId="1910A1ED" w14:textId="77777777" w:rsidTr="00D356B2">
        <w:trPr>
          <w:jc w:val="center"/>
        </w:trPr>
        <w:tc>
          <w:tcPr>
            <w:tcW w:w="880" w:type="pct"/>
            <w:vMerge w:val="restart"/>
            <w:vAlign w:val="center"/>
            <w:hideMark/>
          </w:tcPr>
          <w:p w14:paraId="670A189F" w14:textId="77777777" w:rsidR="00D81645" w:rsidRPr="00FE4080" w:rsidRDefault="00D81645" w:rsidP="00053593">
            <w:pPr>
              <w:pStyle w:val="Tabletext"/>
              <w:jc w:val="left"/>
              <w:rPr>
                <w:sz w:val="20"/>
              </w:rPr>
            </w:pPr>
            <w:r w:rsidRPr="00FE4080">
              <w:rPr>
                <w:sz w:val="20"/>
              </w:rPr>
              <w:t>Puertos y vías navegables interiores</w:t>
            </w:r>
          </w:p>
        </w:tc>
        <w:tc>
          <w:tcPr>
            <w:tcW w:w="882" w:type="pct"/>
            <w:vAlign w:val="center"/>
            <w:hideMark/>
          </w:tcPr>
          <w:p w14:paraId="095F72F1" w14:textId="77777777" w:rsidR="00D81645" w:rsidRPr="00FE4080" w:rsidRDefault="00D81645" w:rsidP="002A110F">
            <w:pPr>
              <w:pStyle w:val="Tabletext"/>
              <w:jc w:val="center"/>
              <w:rPr>
                <w:color w:val="000000"/>
                <w:sz w:val="20"/>
              </w:rPr>
            </w:pPr>
            <w:r w:rsidRPr="00FE4080">
              <w:rPr>
                <w:sz w:val="20"/>
              </w:rPr>
              <w:t>3</w:t>
            </w:r>
          </w:p>
        </w:tc>
        <w:tc>
          <w:tcPr>
            <w:tcW w:w="809" w:type="pct"/>
            <w:vAlign w:val="center"/>
            <w:hideMark/>
          </w:tcPr>
          <w:p w14:paraId="2DC93F99" w14:textId="3F361DBF" w:rsidR="00D81645" w:rsidRPr="00FE4080" w:rsidRDefault="00FE4080" w:rsidP="002A110F">
            <w:pPr>
              <w:pStyle w:val="Tabletext"/>
              <w:jc w:val="center"/>
              <w:rPr>
                <w:color w:val="000000"/>
                <w:sz w:val="20"/>
              </w:rPr>
            </w:pPr>
            <w:r w:rsidRPr="004029B6">
              <w:rPr>
                <w:sz w:val="20"/>
              </w:rPr>
              <w:t>−</w:t>
            </w:r>
            <w:r w:rsidR="00D81645" w:rsidRPr="00FE4080">
              <w:rPr>
                <w:sz w:val="20"/>
              </w:rPr>
              <w:t>74,9</w:t>
            </w:r>
          </w:p>
        </w:tc>
        <w:tc>
          <w:tcPr>
            <w:tcW w:w="808" w:type="pct"/>
            <w:vAlign w:val="center"/>
            <w:hideMark/>
          </w:tcPr>
          <w:p w14:paraId="1C99A554" w14:textId="6B8D64F3" w:rsidR="00D81645" w:rsidRPr="00FE4080" w:rsidRDefault="00FE4080" w:rsidP="002A110F">
            <w:pPr>
              <w:pStyle w:val="Tabletext"/>
              <w:jc w:val="center"/>
              <w:rPr>
                <w:color w:val="000000"/>
                <w:sz w:val="20"/>
              </w:rPr>
            </w:pPr>
            <w:r w:rsidRPr="004029B6">
              <w:rPr>
                <w:sz w:val="20"/>
              </w:rPr>
              <w:t>−</w:t>
            </w:r>
            <w:r w:rsidR="00D81645" w:rsidRPr="00FE4080">
              <w:rPr>
                <w:sz w:val="20"/>
              </w:rPr>
              <w:t>85,9</w:t>
            </w:r>
          </w:p>
        </w:tc>
        <w:tc>
          <w:tcPr>
            <w:tcW w:w="808" w:type="pct"/>
            <w:vAlign w:val="center"/>
            <w:hideMark/>
          </w:tcPr>
          <w:p w14:paraId="4D684BB3" w14:textId="25720D0B" w:rsidR="00D81645" w:rsidRPr="00FE4080" w:rsidRDefault="00FE4080" w:rsidP="002A110F">
            <w:pPr>
              <w:pStyle w:val="Tabletext"/>
              <w:jc w:val="center"/>
              <w:rPr>
                <w:color w:val="000000"/>
                <w:sz w:val="20"/>
              </w:rPr>
            </w:pPr>
            <w:r w:rsidRPr="004029B6">
              <w:rPr>
                <w:sz w:val="20"/>
              </w:rPr>
              <w:t>−</w:t>
            </w:r>
            <w:r w:rsidR="00D81645" w:rsidRPr="00FE4080">
              <w:rPr>
                <w:sz w:val="20"/>
              </w:rPr>
              <w:t>30,9</w:t>
            </w:r>
          </w:p>
        </w:tc>
        <w:tc>
          <w:tcPr>
            <w:tcW w:w="813" w:type="pct"/>
            <w:vAlign w:val="center"/>
            <w:hideMark/>
          </w:tcPr>
          <w:p w14:paraId="352CF71B" w14:textId="2C0C5E80" w:rsidR="00D81645" w:rsidRPr="00FE4080" w:rsidRDefault="00FE4080" w:rsidP="002A110F">
            <w:pPr>
              <w:pStyle w:val="Tabletext"/>
              <w:jc w:val="center"/>
              <w:rPr>
                <w:color w:val="000000"/>
                <w:sz w:val="20"/>
              </w:rPr>
            </w:pPr>
            <w:r w:rsidRPr="004029B6">
              <w:rPr>
                <w:sz w:val="20"/>
              </w:rPr>
              <w:t>−</w:t>
            </w:r>
            <w:r w:rsidR="00D81645" w:rsidRPr="00FE4080">
              <w:rPr>
                <w:sz w:val="20"/>
              </w:rPr>
              <w:t>40,9</w:t>
            </w:r>
          </w:p>
        </w:tc>
      </w:tr>
      <w:tr w:rsidR="00D356B2" w:rsidRPr="00FE4080" w14:paraId="6EEB10DD" w14:textId="77777777" w:rsidTr="00D356B2">
        <w:trPr>
          <w:jc w:val="center"/>
        </w:trPr>
        <w:tc>
          <w:tcPr>
            <w:tcW w:w="880" w:type="pct"/>
            <w:vMerge/>
            <w:vAlign w:val="center"/>
            <w:hideMark/>
          </w:tcPr>
          <w:p w14:paraId="2E20AFC8" w14:textId="77777777" w:rsidR="00D81645" w:rsidRPr="00FE4080" w:rsidRDefault="00D81645" w:rsidP="002A110F">
            <w:pPr>
              <w:pStyle w:val="Tabletext"/>
              <w:jc w:val="center"/>
              <w:rPr>
                <w:sz w:val="20"/>
                <w:lang w:eastAsia="de-DE"/>
              </w:rPr>
            </w:pPr>
          </w:p>
        </w:tc>
        <w:tc>
          <w:tcPr>
            <w:tcW w:w="882" w:type="pct"/>
            <w:vAlign w:val="center"/>
            <w:hideMark/>
          </w:tcPr>
          <w:p w14:paraId="3704455A" w14:textId="77777777" w:rsidR="00D81645" w:rsidRPr="00FE4080" w:rsidRDefault="00D81645" w:rsidP="002A110F">
            <w:pPr>
              <w:pStyle w:val="Tabletext"/>
              <w:jc w:val="center"/>
              <w:rPr>
                <w:color w:val="000000"/>
                <w:sz w:val="20"/>
              </w:rPr>
            </w:pPr>
            <w:r w:rsidRPr="00FE4080">
              <w:rPr>
                <w:sz w:val="20"/>
              </w:rPr>
              <w:t xml:space="preserve">3-19 </w:t>
            </w:r>
            <w:r w:rsidRPr="00FE4080">
              <w:rPr>
                <w:sz w:val="20"/>
                <w:vertAlign w:val="superscript"/>
              </w:rPr>
              <w:t>(1)</w:t>
            </w:r>
          </w:p>
        </w:tc>
        <w:tc>
          <w:tcPr>
            <w:tcW w:w="809" w:type="pct"/>
            <w:vAlign w:val="center"/>
            <w:hideMark/>
          </w:tcPr>
          <w:p w14:paraId="39E5624A" w14:textId="3304D541" w:rsidR="00D81645" w:rsidRPr="00FE4080" w:rsidRDefault="00FE4080" w:rsidP="002A110F">
            <w:pPr>
              <w:pStyle w:val="Tabletext"/>
              <w:jc w:val="center"/>
              <w:rPr>
                <w:color w:val="000000"/>
                <w:sz w:val="20"/>
              </w:rPr>
            </w:pPr>
            <w:r w:rsidRPr="004029B6">
              <w:rPr>
                <w:sz w:val="20"/>
              </w:rPr>
              <w:t>−</w:t>
            </w:r>
            <w:r w:rsidR="00D81645" w:rsidRPr="00FE4080">
              <w:rPr>
                <w:sz w:val="20"/>
              </w:rPr>
              <w:t xml:space="preserve">74,9 a </w:t>
            </w:r>
            <w:r w:rsidRPr="004029B6">
              <w:rPr>
                <w:sz w:val="20"/>
              </w:rPr>
              <w:t>−</w:t>
            </w:r>
            <w:r w:rsidR="00D81645" w:rsidRPr="00FE4080">
              <w:rPr>
                <w:sz w:val="20"/>
              </w:rPr>
              <w:t>90,9</w:t>
            </w:r>
          </w:p>
        </w:tc>
        <w:tc>
          <w:tcPr>
            <w:tcW w:w="808" w:type="pct"/>
            <w:vAlign w:val="center"/>
            <w:hideMark/>
          </w:tcPr>
          <w:p w14:paraId="2FF88D7F" w14:textId="60EF5D79" w:rsidR="00D81645" w:rsidRPr="00FE4080" w:rsidRDefault="00FE4080" w:rsidP="002A110F">
            <w:pPr>
              <w:pStyle w:val="Tabletext"/>
              <w:jc w:val="center"/>
              <w:rPr>
                <w:color w:val="000000"/>
                <w:sz w:val="20"/>
              </w:rPr>
            </w:pPr>
            <w:r w:rsidRPr="004029B6">
              <w:rPr>
                <w:sz w:val="20"/>
              </w:rPr>
              <w:t>−</w:t>
            </w:r>
            <w:r w:rsidR="00D81645" w:rsidRPr="00FE4080">
              <w:rPr>
                <w:sz w:val="20"/>
              </w:rPr>
              <w:t xml:space="preserve">85,9 a </w:t>
            </w:r>
            <w:r w:rsidRPr="004029B6">
              <w:rPr>
                <w:sz w:val="20"/>
              </w:rPr>
              <w:t>−</w:t>
            </w:r>
            <w:r w:rsidR="00D81645" w:rsidRPr="00FE4080">
              <w:rPr>
                <w:sz w:val="20"/>
              </w:rPr>
              <w:t>101,9</w:t>
            </w:r>
          </w:p>
        </w:tc>
        <w:tc>
          <w:tcPr>
            <w:tcW w:w="808" w:type="pct"/>
            <w:vAlign w:val="center"/>
            <w:hideMark/>
          </w:tcPr>
          <w:p w14:paraId="6D590817" w14:textId="44A4E588" w:rsidR="00D81645" w:rsidRPr="00FE4080" w:rsidRDefault="00FE4080" w:rsidP="002A110F">
            <w:pPr>
              <w:pStyle w:val="Tabletext"/>
              <w:jc w:val="center"/>
              <w:rPr>
                <w:color w:val="000000"/>
                <w:sz w:val="20"/>
              </w:rPr>
            </w:pPr>
            <w:r w:rsidRPr="004029B6">
              <w:rPr>
                <w:sz w:val="20"/>
              </w:rPr>
              <w:t>−</w:t>
            </w:r>
            <w:r w:rsidR="00D81645" w:rsidRPr="00FE4080">
              <w:rPr>
                <w:sz w:val="20"/>
              </w:rPr>
              <w:t xml:space="preserve">30,9 a </w:t>
            </w:r>
            <w:r w:rsidRPr="004029B6">
              <w:rPr>
                <w:sz w:val="20"/>
              </w:rPr>
              <w:t>−</w:t>
            </w:r>
            <w:r w:rsidR="00D81645" w:rsidRPr="00FE4080">
              <w:rPr>
                <w:sz w:val="20"/>
              </w:rPr>
              <w:t>46,9</w:t>
            </w:r>
          </w:p>
        </w:tc>
        <w:tc>
          <w:tcPr>
            <w:tcW w:w="813" w:type="pct"/>
            <w:vAlign w:val="center"/>
            <w:hideMark/>
          </w:tcPr>
          <w:p w14:paraId="0B985B16" w14:textId="4CE4E6D4" w:rsidR="00D81645" w:rsidRPr="00FE4080" w:rsidRDefault="00FE4080" w:rsidP="002A110F">
            <w:pPr>
              <w:pStyle w:val="Tabletext"/>
              <w:jc w:val="center"/>
              <w:rPr>
                <w:color w:val="000000"/>
                <w:sz w:val="20"/>
              </w:rPr>
            </w:pPr>
            <w:r w:rsidRPr="004029B6">
              <w:rPr>
                <w:sz w:val="20"/>
              </w:rPr>
              <w:t>−</w:t>
            </w:r>
            <w:r w:rsidR="00D81645" w:rsidRPr="00FE4080">
              <w:rPr>
                <w:sz w:val="20"/>
              </w:rPr>
              <w:t xml:space="preserve">40,9 a </w:t>
            </w:r>
            <w:r w:rsidRPr="004029B6">
              <w:rPr>
                <w:sz w:val="20"/>
              </w:rPr>
              <w:t>−</w:t>
            </w:r>
            <w:r w:rsidR="00D81645" w:rsidRPr="00FE4080">
              <w:rPr>
                <w:sz w:val="20"/>
              </w:rPr>
              <w:t>56,9</w:t>
            </w:r>
          </w:p>
        </w:tc>
      </w:tr>
      <w:tr w:rsidR="00D356B2" w:rsidRPr="00FE4080" w14:paraId="6371889A" w14:textId="77777777" w:rsidTr="00D356B2">
        <w:trPr>
          <w:jc w:val="center"/>
        </w:trPr>
        <w:tc>
          <w:tcPr>
            <w:tcW w:w="880" w:type="pct"/>
            <w:vMerge w:val="restart"/>
            <w:vAlign w:val="center"/>
            <w:hideMark/>
          </w:tcPr>
          <w:p w14:paraId="4AF2DF20" w14:textId="77777777" w:rsidR="00D81645" w:rsidRPr="00FE4080" w:rsidRDefault="00D81645" w:rsidP="00FE4080">
            <w:pPr>
              <w:pStyle w:val="Tabletext"/>
              <w:keepNext/>
              <w:jc w:val="left"/>
              <w:rPr>
                <w:sz w:val="20"/>
              </w:rPr>
            </w:pPr>
            <w:r w:rsidRPr="00FE4080">
              <w:rPr>
                <w:sz w:val="20"/>
              </w:rPr>
              <w:t>Aeropuertos</w:t>
            </w:r>
          </w:p>
        </w:tc>
        <w:tc>
          <w:tcPr>
            <w:tcW w:w="882" w:type="pct"/>
            <w:vAlign w:val="center"/>
            <w:hideMark/>
          </w:tcPr>
          <w:p w14:paraId="6266BDBE" w14:textId="77777777" w:rsidR="00D81645" w:rsidRPr="00FE4080" w:rsidRDefault="00D81645" w:rsidP="002A110F">
            <w:pPr>
              <w:pStyle w:val="Tabletext"/>
              <w:keepNext/>
              <w:jc w:val="center"/>
              <w:rPr>
                <w:color w:val="000000"/>
                <w:sz w:val="20"/>
              </w:rPr>
            </w:pPr>
            <w:r w:rsidRPr="00FE4080">
              <w:rPr>
                <w:sz w:val="20"/>
              </w:rPr>
              <w:t>3</w:t>
            </w:r>
          </w:p>
        </w:tc>
        <w:tc>
          <w:tcPr>
            <w:tcW w:w="809" w:type="pct"/>
            <w:vAlign w:val="center"/>
            <w:hideMark/>
          </w:tcPr>
          <w:p w14:paraId="1A8A0A2D" w14:textId="77777777" w:rsidR="00D81645" w:rsidRPr="00FE4080" w:rsidRDefault="00D81645" w:rsidP="002A110F">
            <w:pPr>
              <w:pStyle w:val="Tabletext"/>
              <w:keepNext/>
              <w:jc w:val="center"/>
              <w:rPr>
                <w:color w:val="000000"/>
                <w:sz w:val="20"/>
              </w:rPr>
            </w:pPr>
            <w:r w:rsidRPr="00FE4080">
              <w:rPr>
                <w:sz w:val="20"/>
              </w:rPr>
              <w:t>−53,5</w:t>
            </w:r>
          </w:p>
        </w:tc>
        <w:tc>
          <w:tcPr>
            <w:tcW w:w="808" w:type="pct"/>
            <w:vAlign w:val="center"/>
            <w:hideMark/>
          </w:tcPr>
          <w:p w14:paraId="3CB52642" w14:textId="0734C116" w:rsidR="00D81645" w:rsidRPr="00FE4080" w:rsidRDefault="00FE4080" w:rsidP="002A110F">
            <w:pPr>
              <w:pStyle w:val="Tabletext"/>
              <w:keepNext/>
              <w:jc w:val="center"/>
              <w:rPr>
                <w:color w:val="000000"/>
                <w:sz w:val="20"/>
              </w:rPr>
            </w:pPr>
            <w:r w:rsidRPr="004029B6">
              <w:rPr>
                <w:sz w:val="20"/>
              </w:rPr>
              <w:t>−</w:t>
            </w:r>
            <w:r w:rsidR="00D81645" w:rsidRPr="00FE4080">
              <w:rPr>
                <w:sz w:val="20"/>
              </w:rPr>
              <w:t>63,4</w:t>
            </w:r>
          </w:p>
        </w:tc>
        <w:tc>
          <w:tcPr>
            <w:tcW w:w="808" w:type="pct"/>
            <w:vAlign w:val="center"/>
            <w:hideMark/>
          </w:tcPr>
          <w:p w14:paraId="0C897783" w14:textId="029CF4CC" w:rsidR="00D81645" w:rsidRPr="00FE4080" w:rsidRDefault="00FE4080" w:rsidP="002A110F">
            <w:pPr>
              <w:pStyle w:val="Tabletext"/>
              <w:keepNext/>
              <w:jc w:val="center"/>
              <w:rPr>
                <w:color w:val="000000"/>
                <w:sz w:val="20"/>
              </w:rPr>
            </w:pPr>
            <w:r w:rsidRPr="004029B6">
              <w:rPr>
                <w:sz w:val="20"/>
              </w:rPr>
              <w:t>−</w:t>
            </w:r>
            <w:r w:rsidR="00D81645" w:rsidRPr="00FE4080">
              <w:rPr>
                <w:sz w:val="20"/>
              </w:rPr>
              <w:t>30,9</w:t>
            </w:r>
          </w:p>
        </w:tc>
        <w:tc>
          <w:tcPr>
            <w:tcW w:w="813" w:type="pct"/>
            <w:vAlign w:val="center"/>
            <w:hideMark/>
          </w:tcPr>
          <w:p w14:paraId="10BAA5A6" w14:textId="11975776" w:rsidR="00D81645" w:rsidRPr="00FE4080" w:rsidRDefault="00FE4080" w:rsidP="002A110F">
            <w:pPr>
              <w:pStyle w:val="Tabletext"/>
              <w:keepNext/>
              <w:jc w:val="center"/>
              <w:rPr>
                <w:color w:val="000000"/>
                <w:sz w:val="20"/>
              </w:rPr>
            </w:pPr>
            <w:r w:rsidRPr="004029B6">
              <w:rPr>
                <w:sz w:val="20"/>
              </w:rPr>
              <w:t>−</w:t>
            </w:r>
            <w:r w:rsidR="00D81645" w:rsidRPr="00FE4080">
              <w:rPr>
                <w:sz w:val="20"/>
              </w:rPr>
              <w:t>40,9</w:t>
            </w:r>
          </w:p>
        </w:tc>
      </w:tr>
      <w:tr w:rsidR="00D356B2" w:rsidRPr="00FE4080" w14:paraId="46E610AC" w14:textId="77777777" w:rsidTr="00D356B2">
        <w:trPr>
          <w:jc w:val="center"/>
        </w:trPr>
        <w:tc>
          <w:tcPr>
            <w:tcW w:w="880" w:type="pct"/>
            <w:vMerge/>
            <w:tcBorders>
              <w:bottom w:val="single" w:sz="4" w:space="0" w:color="auto"/>
            </w:tcBorders>
            <w:vAlign w:val="center"/>
            <w:hideMark/>
          </w:tcPr>
          <w:p w14:paraId="159257BC" w14:textId="77777777" w:rsidR="00D81645" w:rsidRPr="00FE4080" w:rsidRDefault="00D81645" w:rsidP="002A110F">
            <w:pPr>
              <w:pStyle w:val="Tabletext"/>
              <w:jc w:val="center"/>
              <w:rPr>
                <w:sz w:val="20"/>
                <w:lang w:eastAsia="de-DE"/>
              </w:rPr>
            </w:pPr>
          </w:p>
        </w:tc>
        <w:tc>
          <w:tcPr>
            <w:tcW w:w="882" w:type="pct"/>
            <w:tcBorders>
              <w:bottom w:val="single" w:sz="4" w:space="0" w:color="auto"/>
            </w:tcBorders>
            <w:vAlign w:val="center"/>
            <w:hideMark/>
          </w:tcPr>
          <w:p w14:paraId="2A3C8E55" w14:textId="77777777" w:rsidR="00D81645" w:rsidRPr="00FE4080" w:rsidRDefault="00D81645" w:rsidP="002A110F">
            <w:pPr>
              <w:pStyle w:val="Tabletext"/>
              <w:jc w:val="center"/>
              <w:rPr>
                <w:color w:val="000000"/>
                <w:sz w:val="20"/>
              </w:rPr>
            </w:pPr>
            <w:r w:rsidRPr="00FE4080">
              <w:rPr>
                <w:sz w:val="20"/>
              </w:rPr>
              <w:t xml:space="preserve">3-17 </w:t>
            </w:r>
            <w:r w:rsidRPr="00FE4080">
              <w:rPr>
                <w:sz w:val="20"/>
                <w:vertAlign w:val="superscript"/>
              </w:rPr>
              <w:t>(1)</w:t>
            </w:r>
          </w:p>
        </w:tc>
        <w:tc>
          <w:tcPr>
            <w:tcW w:w="809" w:type="pct"/>
            <w:tcBorders>
              <w:bottom w:val="single" w:sz="4" w:space="0" w:color="auto"/>
            </w:tcBorders>
            <w:vAlign w:val="center"/>
            <w:hideMark/>
          </w:tcPr>
          <w:p w14:paraId="702D0DD8" w14:textId="72DD4432" w:rsidR="00D81645" w:rsidRPr="00FE4080" w:rsidRDefault="00FE4080" w:rsidP="002A110F">
            <w:pPr>
              <w:pStyle w:val="Tabletext"/>
              <w:jc w:val="center"/>
              <w:rPr>
                <w:color w:val="000000"/>
                <w:sz w:val="20"/>
              </w:rPr>
            </w:pPr>
            <w:r w:rsidRPr="004029B6">
              <w:rPr>
                <w:sz w:val="20"/>
              </w:rPr>
              <w:t>−</w:t>
            </w:r>
            <w:r w:rsidR="00D81645" w:rsidRPr="00FE4080">
              <w:rPr>
                <w:sz w:val="20"/>
              </w:rPr>
              <w:t xml:space="preserve">53,5 a </w:t>
            </w:r>
            <w:r w:rsidRPr="004029B6">
              <w:rPr>
                <w:sz w:val="20"/>
              </w:rPr>
              <w:t>−</w:t>
            </w:r>
            <w:r w:rsidR="00D81645" w:rsidRPr="00FE4080">
              <w:rPr>
                <w:sz w:val="20"/>
              </w:rPr>
              <w:t>67,5</w:t>
            </w:r>
          </w:p>
        </w:tc>
        <w:tc>
          <w:tcPr>
            <w:tcW w:w="808" w:type="pct"/>
            <w:tcBorders>
              <w:bottom w:val="single" w:sz="4" w:space="0" w:color="auto"/>
            </w:tcBorders>
            <w:vAlign w:val="center"/>
            <w:hideMark/>
          </w:tcPr>
          <w:p w14:paraId="0B7915CD" w14:textId="280C57C6" w:rsidR="00D81645" w:rsidRPr="00FE4080" w:rsidRDefault="00FE4080" w:rsidP="002A110F">
            <w:pPr>
              <w:pStyle w:val="Tabletext"/>
              <w:jc w:val="center"/>
              <w:rPr>
                <w:color w:val="000000"/>
                <w:sz w:val="20"/>
              </w:rPr>
            </w:pPr>
            <w:r w:rsidRPr="004029B6">
              <w:rPr>
                <w:sz w:val="20"/>
              </w:rPr>
              <w:t>−</w:t>
            </w:r>
            <w:r w:rsidR="00D81645" w:rsidRPr="00FE4080">
              <w:rPr>
                <w:sz w:val="20"/>
              </w:rPr>
              <w:t xml:space="preserve">63,4 a </w:t>
            </w:r>
            <w:r w:rsidRPr="004029B6">
              <w:rPr>
                <w:sz w:val="20"/>
              </w:rPr>
              <w:t>−</w:t>
            </w:r>
            <w:r w:rsidR="00D81645" w:rsidRPr="00FE4080">
              <w:rPr>
                <w:sz w:val="20"/>
              </w:rPr>
              <w:t>77,4</w:t>
            </w:r>
          </w:p>
        </w:tc>
        <w:tc>
          <w:tcPr>
            <w:tcW w:w="808" w:type="pct"/>
            <w:tcBorders>
              <w:bottom w:val="single" w:sz="4" w:space="0" w:color="auto"/>
            </w:tcBorders>
            <w:vAlign w:val="center"/>
            <w:hideMark/>
          </w:tcPr>
          <w:p w14:paraId="3F46168A" w14:textId="339F0EF8" w:rsidR="00D81645" w:rsidRPr="00FE4080" w:rsidRDefault="00FE4080" w:rsidP="002A110F">
            <w:pPr>
              <w:pStyle w:val="Tabletext"/>
              <w:jc w:val="center"/>
              <w:rPr>
                <w:color w:val="000000"/>
                <w:sz w:val="20"/>
              </w:rPr>
            </w:pPr>
            <w:r w:rsidRPr="004029B6">
              <w:rPr>
                <w:sz w:val="20"/>
              </w:rPr>
              <w:t>−</w:t>
            </w:r>
            <w:r w:rsidR="00D81645" w:rsidRPr="00FE4080">
              <w:rPr>
                <w:sz w:val="20"/>
              </w:rPr>
              <w:t xml:space="preserve">30,9 a </w:t>
            </w:r>
            <w:r w:rsidRPr="004029B6">
              <w:rPr>
                <w:sz w:val="20"/>
              </w:rPr>
              <w:t>−</w:t>
            </w:r>
            <w:r w:rsidR="00D81645" w:rsidRPr="00FE4080">
              <w:rPr>
                <w:sz w:val="20"/>
              </w:rPr>
              <w:t>44,9</w:t>
            </w:r>
          </w:p>
        </w:tc>
        <w:tc>
          <w:tcPr>
            <w:tcW w:w="813" w:type="pct"/>
            <w:tcBorders>
              <w:bottom w:val="single" w:sz="4" w:space="0" w:color="auto"/>
            </w:tcBorders>
            <w:vAlign w:val="center"/>
            <w:hideMark/>
          </w:tcPr>
          <w:p w14:paraId="7EDB8764" w14:textId="439DF852" w:rsidR="00D81645" w:rsidRPr="00FE4080" w:rsidRDefault="00FE4080" w:rsidP="002A110F">
            <w:pPr>
              <w:pStyle w:val="Tabletext"/>
              <w:jc w:val="center"/>
              <w:rPr>
                <w:color w:val="000000"/>
                <w:sz w:val="20"/>
              </w:rPr>
            </w:pPr>
            <w:r w:rsidRPr="004029B6">
              <w:rPr>
                <w:sz w:val="20"/>
              </w:rPr>
              <w:t>−</w:t>
            </w:r>
            <w:r w:rsidR="00D81645" w:rsidRPr="00FE4080">
              <w:rPr>
                <w:sz w:val="20"/>
              </w:rPr>
              <w:t xml:space="preserve">40,9 a </w:t>
            </w:r>
            <w:r w:rsidRPr="004029B6">
              <w:rPr>
                <w:sz w:val="20"/>
              </w:rPr>
              <w:t>−</w:t>
            </w:r>
            <w:r w:rsidR="00D81645" w:rsidRPr="00FE4080">
              <w:rPr>
                <w:sz w:val="20"/>
              </w:rPr>
              <w:t>54,9</w:t>
            </w:r>
          </w:p>
        </w:tc>
      </w:tr>
      <w:tr w:rsidR="00D81645" w:rsidRPr="00D356B2" w14:paraId="28093530" w14:textId="77777777" w:rsidTr="00FE4080">
        <w:trPr>
          <w:jc w:val="center"/>
        </w:trPr>
        <w:tc>
          <w:tcPr>
            <w:tcW w:w="5000" w:type="pct"/>
            <w:gridSpan w:val="6"/>
            <w:tcBorders>
              <w:top w:val="single" w:sz="4" w:space="0" w:color="auto"/>
              <w:left w:val="nil"/>
              <w:bottom w:val="nil"/>
              <w:right w:val="nil"/>
            </w:tcBorders>
            <w:hideMark/>
          </w:tcPr>
          <w:p w14:paraId="031A6E61" w14:textId="34F27968" w:rsidR="00D81645" w:rsidRPr="00D356B2" w:rsidRDefault="00D81645" w:rsidP="00D356B2">
            <w:pPr>
              <w:pStyle w:val="Tabletext"/>
              <w:ind w:left="284" w:hanging="284"/>
              <w:rPr>
                <w:sz w:val="20"/>
              </w:rPr>
            </w:pPr>
            <w:r w:rsidRPr="00D356B2">
              <w:rPr>
                <w:sz w:val="20"/>
                <w:vertAlign w:val="superscript"/>
              </w:rPr>
              <w:t>(1)</w:t>
            </w:r>
            <w:r w:rsidRPr="00D356B2">
              <w:rPr>
                <w:sz w:val="20"/>
              </w:rPr>
              <w:tab/>
              <w:t>Los valores de dfp basados en una ganancia de antena de la ETM de 3</w:t>
            </w:r>
            <w:r w:rsidR="00D356B2">
              <w:rPr>
                <w:sz w:val="20"/>
              </w:rPr>
              <w:t> </w:t>
            </w:r>
            <w:r w:rsidRPr="00D356B2">
              <w:rPr>
                <w:sz w:val="20"/>
              </w:rPr>
              <w:t>dBi se aplican en la mayoría de las situaciones, pero hay lugares del mundo donde la ganancia de antena hacia el horizonte puede superar los 3</w:t>
            </w:r>
            <w:r w:rsidR="00D356B2">
              <w:rPr>
                <w:sz w:val="20"/>
              </w:rPr>
              <w:t> </w:t>
            </w:r>
            <w:r w:rsidRPr="00D356B2">
              <w:rPr>
                <w:sz w:val="20"/>
              </w:rPr>
              <w:t>dBi (hasta 19</w:t>
            </w:r>
            <w:r w:rsidR="00D356B2">
              <w:rPr>
                <w:sz w:val="20"/>
              </w:rPr>
              <w:t> </w:t>
            </w:r>
            <w:r w:rsidRPr="00D356B2">
              <w:rPr>
                <w:sz w:val="20"/>
              </w:rPr>
              <w:t>dBi o 17</w:t>
            </w:r>
            <w:r w:rsidR="00D356B2">
              <w:rPr>
                <w:sz w:val="20"/>
              </w:rPr>
              <w:t> </w:t>
            </w:r>
            <w:r w:rsidRPr="00D356B2">
              <w:rPr>
                <w:sz w:val="20"/>
              </w:rPr>
              <w:t>dBi). Aquí es donde hay un ángulo de elevación bajo para la ETM y donde podría desplegarse una EB IMT en dirección del satélite del SMS visto desde la ETM. En estos casos, deben tenerse en cuenta los ángulos reales con respecto al satélite y el despliegue de las IMT y ajustar la dfp a un valor comprendido en las gamas indicadas.</w:t>
            </w:r>
          </w:p>
        </w:tc>
      </w:tr>
    </w:tbl>
    <w:p w14:paraId="044A43E4" w14:textId="77777777" w:rsidR="00D81645" w:rsidRPr="00DF0B08" w:rsidRDefault="00D81645" w:rsidP="005720AD">
      <w:pPr>
        <w:pStyle w:val="Tablefin"/>
        <w:rPr>
          <w:lang w:val="es-ES"/>
        </w:rPr>
      </w:pPr>
    </w:p>
    <w:p w14:paraId="301B36F4" w14:textId="4384ECFF" w:rsidR="00D81645" w:rsidRPr="00DF0B08" w:rsidRDefault="00D81645" w:rsidP="00053593">
      <w:pPr>
        <w:pStyle w:val="Headingb"/>
        <w:rPr>
          <w:rFonts w:eastAsia="Calibri"/>
        </w:rPr>
      </w:pPr>
      <w:r>
        <w:rPr>
          <w:bCs/>
        </w:rPr>
        <w:t>Opción B</w:t>
      </w:r>
    </w:p>
    <w:p w14:paraId="1F18002A" w14:textId="456CF2A0" w:rsidR="00D81645" w:rsidRPr="00DF0B08" w:rsidRDefault="00D81645" w:rsidP="005720AD">
      <w:pPr>
        <w:overflowPunct/>
        <w:autoSpaceDE/>
        <w:autoSpaceDN/>
        <w:adjustRightInd/>
        <w:textAlignment w:val="auto"/>
        <w:rPr>
          <w:szCs w:val="24"/>
        </w:rPr>
      </w:pPr>
      <w:r>
        <w:t>Los límites de dfp para esta opción figuran en el Cuadro</w:t>
      </w:r>
      <w:r w:rsidR="00D356B2">
        <w:t> </w:t>
      </w:r>
      <w:r>
        <w:t>6 y se obtienen con referencia a las mediciones de terminales del SMS realizadas por la FCC de Estados Unidos en 2004. El documento FCC 05-30</w:t>
      </w:r>
      <w:r w:rsidR="00D356B2">
        <w:rPr>
          <w:rStyle w:val="FootnoteReference"/>
        </w:rPr>
        <w:footnoteReference w:customMarkFollows="1" w:id="4"/>
        <w:t>3</w:t>
      </w:r>
      <w:r>
        <w:t xml:space="preserve"> de la FCC registra pruebas basadas en la arquitectura de sistemas móviles CDMA-2000, GSM/TDMA 800 y GSM 1</w:t>
      </w:r>
      <w:r w:rsidR="00D356B2">
        <w:t> </w:t>
      </w:r>
      <w:r>
        <w:t>800. Se observó que CDMA-2000 corresponde a un nivel de bloqueo de −52</w:t>
      </w:r>
      <w:r w:rsidR="00D356B2">
        <w:t> </w:t>
      </w:r>
      <w:r>
        <w:t>dBm para una separación de frecuencia de 1 a 2</w:t>
      </w:r>
      <w:r w:rsidR="00D356B2">
        <w:t> </w:t>
      </w:r>
      <w:r>
        <w:t xml:space="preserve">MHz. El nivel de bloqueo utilizado para esta opción es de </w:t>
      </w:r>
      <w:r w:rsidR="00D356B2">
        <w:t>−</w:t>
      </w:r>
      <w:r>
        <w:t>50</w:t>
      </w:r>
      <w:r w:rsidR="00D356B2">
        <w:t> </w:t>
      </w:r>
      <w:r>
        <w:t>dBm para las IMT en la banda 1</w:t>
      </w:r>
      <w:r w:rsidR="00D356B2">
        <w:t> </w:t>
      </w:r>
      <w:r>
        <w:t>512-1</w:t>
      </w:r>
      <w:r w:rsidR="00D356B2">
        <w:t> </w:t>
      </w:r>
      <w:r>
        <w:t>517</w:t>
      </w:r>
      <w:r w:rsidR="00D356B2">
        <w:t> </w:t>
      </w:r>
      <w:r>
        <w:t>MHz y de −35</w:t>
      </w:r>
      <w:r w:rsidR="00D356B2">
        <w:t> </w:t>
      </w:r>
      <w:r>
        <w:t>dBm para las frecuencias siguientes. Las terminales marítimas y aeronáuticas actualmente utilizadas (por ejemplo, las terminales aeronáuticas Inmarsat-C e Inmarsat) no se incluyeron en las pruebas realizadas en 2004. Cabe señalar que las señales IMT-2020 e IMT-Avanzadas podrían tener una anchura de banda mayor que la señal CDMA-2000 utilizada.</w:t>
      </w:r>
    </w:p>
    <w:p w14:paraId="68331A95" w14:textId="77777777" w:rsidR="00D81645" w:rsidRPr="00DF0B08" w:rsidRDefault="00D81645" w:rsidP="005720AD">
      <w:pPr>
        <w:pStyle w:val="TableNo"/>
      </w:pPr>
      <w:r>
        <w:lastRenderedPageBreak/>
        <w:t>CUADRO 6</w:t>
      </w:r>
    </w:p>
    <w:p w14:paraId="0B8FB7A6" w14:textId="77777777" w:rsidR="00D81645" w:rsidRPr="00DF0B08" w:rsidRDefault="00D81645" w:rsidP="005720AD">
      <w:pPr>
        <w:pStyle w:val="Tabletitle"/>
      </w:pPr>
      <w:r>
        <w:rPr>
          <w:bCs/>
        </w:rPr>
        <w:t>Límites de dfp para las EB IMT que transmiten uno o varios canales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275"/>
        <w:gridCol w:w="1276"/>
        <w:gridCol w:w="1276"/>
        <w:gridCol w:w="1442"/>
        <w:gridCol w:w="1324"/>
        <w:gridCol w:w="1349"/>
      </w:tblGrid>
      <w:tr w:rsidR="00D81645" w:rsidRPr="00DB27A8" w14:paraId="437C88C5" w14:textId="77777777" w:rsidTr="00DB27A8">
        <w:tc>
          <w:tcPr>
            <w:tcW w:w="880" w:type="pct"/>
            <w:vAlign w:val="center"/>
            <w:hideMark/>
          </w:tcPr>
          <w:p w14:paraId="238515E7" w14:textId="77777777" w:rsidR="00D81645" w:rsidRPr="00DB27A8" w:rsidRDefault="00D81645" w:rsidP="002A110F">
            <w:pPr>
              <w:pStyle w:val="Tablehead"/>
              <w:rPr>
                <w:sz w:val="20"/>
              </w:rPr>
            </w:pPr>
            <w:r w:rsidRPr="00DB27A8">
              <w:rPr>
                <w:bCs/>
                <w:sz w:val="20"/>
              </w:rPr>
              <w:t>Fase</w:t>
            </w:r>
          </w:p>
        </w:tc>
        <w:tc>
          <w:tcPr>
            <w:tcW w:w="1985" w:type="pct"/>
            <w:gridSpan w:val="3"/>
            <w:vAlign w:val="center"/>
            <w:hideMark/>
          </w:tcPr>
          <w:p w14:paraId="43A5F40B" w14:textId="77777777" w:rsidR="00D81645" w:rsidRPr="00DB27A8" w:rsidRDefault="00D81645" w:rsidP="002A110F">
            <w:pPr>
              <w:pStyle w:val="Tablehead"/>
              <w:rPr>
                <w:sz w:val="20"/>
              </w:rPr>
            </w:pPr>
            <w:r w:rsidRPr="00DB27A8">
              <w:rPr>
                <w:bCs/>
                <w:sz w:val="20"/>
              </w:rPr>
              <w:t>Fase 1</w:t>
            </w:r>
          </w:p>
        </w:tc>
        <w:tc>
          <w:tcPr>
            <w:tcW w:w="2135" w:type="pct"/>
            <w:gridSpan w:val="3"/>
            <w:vAlign w:val="center"/>
            <w:hideMark/>
          </w:tcPr>
          <w:p w14:paraId="50901B84" w14:textId="77777777" w:rsidR="00D81645" w:rsidRPr="00DB27A8" w:rsidRDefault="00D81645" w:rsidP="002A110F">
            <w:pPr>
              <w:pStyle w:val="Tablehead"/>
              <w:rPr>
                <w:sz w:val="20"/>
              </w:rPr>
            </w:pPr>
            <w:r w:rsidRPr="00DB27A8">
              <w:rPr>
                <w:bCs/>
                <w:sz w:val="20"/>
              </w:rPr>
              <w:t>Fase 2</w:t>
            </w:r>
          </w:p>
        </w:tc>
      </w:tr>
      <w:tr w:rsidR="00D81645" w:rsidRPr="00DB27A8" w14:paraId="217D4B58" w14:textId="77777777" w:rsidTr="00DB27A8">
        <w:tc>
          <w:tcPr>
            <w:tcW w:w="880" w:type="pct"/>
            <w:vAlign w:val="center"/>
          </w:tcPr>
          <w:p w14:paraId="1B97C409" w14:textId="77777777" w:rsidR="00D81645" w:rsidRPr="00DB27A8" w:rsidRDefault="00D81645" w:rsidP="002A110F">
            <w:pPr>
              <w:pStyle w:val="Tablehead"/>
              <w:rPr>
                <w:sz w:val="20"/>
              </w:rPr>
            </w:pPr>
          </w:p>
        </w:tc>
        <w:tc>
          <w:tcPr>
            <w:tcW w:w="661" w:type="pct"/>
            <w:vAlign w:val="center"/>
            <w:hideMark/>
          </w:tcPr>
          <w:p w14:paraId="28485846" w14:textId="3D65410C" w:rsidR="00D81645" w:rsidRPr="00DB27A8" w:rsidRDefault="00D81645" w:rsidP="002A110F">
            <w:pPr>
              <w:pStyle w:val="Tablehead"/>
              <w:rPr>
                <w:sz w:val="20"/>
              </w:rPr>
            </w:pPr>
            <w:r w:rsidRPr="00DB27A8">
              <w:rPr>
                <w:bCs/>
                <w:sz w:val="20"/>
              </w:rPr>
              <w:t>Límites de dfp para las emisiones de la EB en la banda 1 492-1 502</w:t>
            </w:r>
            <w:r w:rsidR="00DB27A8">
              <w:rPr>
                <w:bCs/>
                <w:sz w:val="20"/>
              </w:rPr>
              <w:t> </w:t>
            </w:r>
            <w:r w:rsidRPr="00DB27A8">
              <w:rPr>
                <w:bCs/>
                <w:sz w:val="20"/>
              </w:rPr>
              <w:t>MHz (dBW/m</w:t>
            </w:r>
            <w:r w:rsidRPr="00DB27A8">
              <w:rPr>
                <w:bCs/>
                <w:sz w:val="20"/>
                <w:vertAlign w:val="superscript"/>
              </w:rPr>
              <w:t>2</w:t>
            </w:r>
            <w:r w:rsidRPr="00DB27A8">
              <w:rPr>
                <w:bCs/>
                <w:sz w:val="20"/>
              </w:rPr>
              <w:t>)</w:t>
            </w:r>
          </w:p>
        </w:tc>
        <w:tc>
          <w:tcPr>
            <w:tcW w:w="662" w:type="pct"/>
            <w:vAlign w:val="center"/>
            <w:hideMark/>
          </w:tcPr>
          <w:p w14:paraId="7A6F4872" w14:textId="4624CE3E" w:rsidR="00D81645" w:rsidRPr="00DB27A8" w:rsidRDefault="00D81645" w:rsidP="002A110F">
            <w:pPr>
              <w:pStyle w:val="Tablehead"/>
              <w:rPr>
                <w:sz w:val="20"/>
              </w:rPr>
            </w:pPr>
            <w:r w:rsidRPr="00DB27A8">
              <w:rPr>
                <w:bCs/>
                <w:sz w:val="20"/>
              </w:rPr>
              <w:t>Límite de dfp para las emisiones de la EB en la banda 1 502-1 512</w:t>
            </w:r>
            <w:r w:rsidR="00DB27A8">
              <w:rPr>
                <w:bCs/>
                <w:sz w:val="20"/>
              </w:rPr>
              <w:t> </w:t>
            </w:r>
            <w:r w:rsidRPr="00DB27A8">
              <w:rPr>
                <w:bCs/>
                <w:sz w:val="20"/>
              </w:rPr>
              <w:t>MHz (dBW/m</w:t>
            </w:r>
            <w:r w:rsidRPr="00DB27A8">
              <w:rPr>
                <w:bCs/>
                <w:sz w:val="20"/>
                <w:vertAlign w:val="superscript"/>
              </w:rPr>
              <w:t>2</w:t>
            </w:r>
            <w:r w:rsidRPr="00DB27A8">
              <w:rPr>
                <w:bCs/>
                <w:sz w:val="20"/>
              </w:rPr>
              <w:t>)</w:t>
            </w:r>
          </w:p>
        </w:tc>
        <w:tc>
          <w:tcPr>
            <w:tcW w:w="662" w:type="pct"/>
            <w:vAlign w:val="center"/>
            <w:hideMark/>
          </w:tcPr>
          <w:p w14:paraId="1A3B4782" w14:textId="2447B7EC" w:rsidR="00D81645" w:rsidRPr="00DB27A8" w:rsidRDefault="00D81645" w:rsidP="002A110F">
            <w:pPr>
              <w:pStyle w:val="Tablehead"/>
              <w:rPr>
                <w:sz w:val="20"/>
              </w:rPr>
            </w:pPr>
            <w:r w:rsidRPr="00DB27A8">
              <w:rPr>
                <w:bCs/>
                <w:sz w:val="20"/>
              </w:rPr>
              <w:t>Límite de dfp para las emisiones de la EB en la banda 1 512-1</w:t>
            </w:r>
            <w:r w:rsidR="00DB27A8">
              <w:rPr>
                <w:bCs/>
                <w:sz w:val="20"/>
              </w:rPr>
              <w:t> </w:t>
            </w:r>
            <w:r w:rsidRPr="00DB27A8">
              <w:rPr>
                <w:bCs/>
                <w:sz w:val="20"/>
              </w:rPr>
              <w:t>517</w:t>
            </w:r>
            <w:r w:rsidR="00DB27A8">
              <w:rPr>
                <w:bCs/>
                <w:sz w:val="20"/>
              </w:rPr>
              <w:t> </w:t>
            </w:r>
            <w:r w:rsidRPr="00DB27A8">
              <w:rPr>
                <w:bCs/>
                <w:sz w:val="20"/>
              </w:rPr>
              <w:t>MHz (dBW/m</w:t>
            </w:r>
            <w:r w:rsidRPr="00DB27A8">
              <w:rPr>
                <w:bCs/>
                <w:sz w:val="20"/>
                <w:vertAlign w:val="superscript"/>
              </w:rPr>
              <w:t>2</w:t>
            </w:r>
            <w:r w:rsidRPr="00DB27A8">
              <w:rPr>
                <w:bCs/>
                <w:sz w:val="20"/>
              </w:rPr>
              <w:t>)</w:t>
            </w:r>
          </w:p>
        </w:tc>
        <w:tc>
          <w:tcPr>
            <w:tcW w:w="748" w:type="pct"/>
            <w:vAlign w:val="center"/>
            <w:hideMark/>
          </w:tcPr>
          <w:p w14:paraId="6F331712" w14:textId="287753D8" w:rsidR="00D81645" w:rsidRPr="00DB27A8" w:rsidRDefault="00D81645" w:rsidP="002A110F">
            <w:pPr>
              <w:pStyle w:val="Tablehead"/>
              <w:rPr>
                <w:sz w:val="20"/>
              </w:rPr>
            </w:pPr>
            <w:r w:rsidRPr="00DB27A8">
              <w:rPr>
                <w:bCs/>
                <w:sz w:val="20"/>
              </w:rPr>
              <w:t>Límite de dfp para las emisiones de la EB en la banda 1 492-1</w:t>
            </w:r>
            <w:r w:rsidR="00DB27A8">
              <w:rPr>
                <w:bCs/>
                <w:sz w:val="20"/>
              </w:rPr>
              <w:t> </w:t>
            </w:r>
            <w:r w:rsidRPr="00DB27A8">
              <w:rPr>
                <w:bCs/>
                <w:sz w:val="20"/>
              </w:rPr>
              <w:t>502</w:t>
            </w:r>
            <w:r w:rsidR="00DB27A8">
              <w:rPr>
                <w:bCs/>
                <w:sz w:val="20"/>
              </w:rPr>
              <w:t> </w:t>
            </w:r>
            <w:r w:rsidRPr="00DB27A8">
              <w:rPr>
                <w:bCs/>
                <w:sz w:val="20"/>
              </w:rPr>
              <w:t>MHz (dBW/m</w:t>
            </w:r>
            <w:r w:rsidRPr="00DB27A8">
              <w:rPr>
                <w:bCs/>
                <w:sz w:val="20"/>
                <w:vertAlign w:val="superscript"/>
              </w:rPr>
              <w:t>2</w:t>
            </w:r>
            <w:r w:rsidRPr="00DB27A8">
              <w:rPr>
                <w:bCs/>
                <w:sz w:val="20"/>
              </w:rPr>
              <w:t>)</w:t>
            </w:r>
          </w:p>
        </w:tc>
        <w:tc>
          <w:tcPr>
            <w:tcW w:w="687" w:type="pct"/>
            <w:vAlign w:val="center"/>
            <w:hideMark/>
          </w:tcPr>
          <w:p w14:paraId="16090D5F" w14:textId="6E131408" w:rsidR="00D81645" w:rsidRPr="00DB27A8" w:rsidRDefault="00D81645" w:rsidP="002A110F">
            <w:pPr>
              <w:pStyle w:val="Tablehead"/>
              <w:rPr>
                <w:sz w:val="20"/>
              </w:rPr>
            </w:pPr>
            <w:r w:rsidRPr="00DB27A8">
              <w:rPr>
                <w:bCs/>
                <w:sz w:val="20"/>
              </w:rPr>
              <w:t>Límite de dfp para las emisiones de la EB en la banda 1 502-1</w:t>
            </w:r>
            <w:r w:rsidR="00DB27A8">
              <w:rPr>
                <w:bCs/>
                <w:sz w:val="20"/>
              </w:rPr>
              <w:t> </w:t>
            </w:r>
            <w:r w:rsidRPr="00DB27A8">
              <w:rPr>
                <w:bCs/>
                <w:sz w:val="20"/>
              </w:rPr>
              <w:t>512</w:t>
            </w:r>
            <w:r w:rsidR="00DB27A8">
              <w:rPr>
                <w:bCs/>
                <w:sz w:val="20"/>
              </w:rPr>
              <w:t> </w:t>
            </w:r>
            <w:r w:rsidRPr="00DB27A8">
              <w:rPr>
                <w:bCs/>
                <w:sz w:val="20"/>
              </w:rPr>
              <w:t>MHz (dBW/m</w:t>
            </w:r>
            <w:r w:rsidRPr="00DB27A8">
              <w:rPr>
                <w:bCs/>
                <w:sz w:val="20"/>
                <w:vertAlign w:val="superscript"/>
              </w:rPr>
              <w:t>2</w:t>
            </w:r>
            <w:r w:rsidRPr="00DB27A8">
              <w:rPr>
                <w:bCs/>
                <w:sz w:val="20"/>
              </w:rPr>
              <w:t>)</w:t>
            </w:r>
          </w:p>
        </w:tc>
        <w:tc>
          <w:tcPr>
            <w:tcW w:w="700" w:type="pct"/>
            <w:vAlign w:val="center"/>
            <w:hideMark/>
          </w:tcPr>
          <w:p w14:paraId="7452A47D" w14:textId="5D7FFE09" w:rsidR="00D81645" w:rsidRPr="00DB27A8" w:rsidRDefault="00D81645" w:rsidP="002A110F">
            <w:pPr>
              <w:pStyle w:val="Tablehead"/>
              <w:rPr>
                <w:sz w:val="20"/>
              </w:rPr>
            </w:pPr>
            <w:r w:rsidRPr="00DB27A8">
              <w:rPr>
                <w:bCs/>
                <w:sz w:val="20"/>
              </w:rPr>
              <w:t>Límite de dfp para las emisiones de la EB en la banda 1 512-1</w:t>
            </w:r>
            <w:r w:rsidR="00DB27A8">
              <w:rPr>
                <w:bCs/>
                <w:sz w:val="20"/>
              </w:rPr>
              <w:t> </w:t>
            </w:r>
            <w:r w:rsidRPr="00DB27A8">
              <w:rPr>
                <w:bCs/>
                <w:sz w:val="20"/>
              </w:rPr>
              <w:t>517</w:t>
            </w:r>
            <w:r w:rsidR="00DB27A8">
              <w:rPr>
                <w:bCs/>
                <w:sz w:val="20"/>
              </w:rPr>
              <w:t> </w:t>
            </w:r>
            <w:r w:rsidRPr="00DB27A8">
              <w:rPr>
                <w:bCs/>
                <w:sz w:val="20"/>
              </w:rPr>
              <w:t>MHz (dBW/m</w:t>
            </w:r>
            <w:r w:rsidRPr="00DB27A8">
              <w:rPr>
                <w:bCs/>
                <w:sz w:val="20"/>
                <w:vertAlign w:val="superscript"/>
              </w:rPr>
              <w:t>2</w:t>
            </w:r>
            <w:r w:rsidRPr="00DB27A8">
              <w:rPr>
                <w:bCs/>
                <w:sz w:val="20"/>
              </w:rPr>
              <w:t>)</w:t>
            </w:r>
          </w:p>
        </w:tc>
      </w:tr>
      <w:tr w:rsidR="00D81645" w:rsidRPr="00DB27A8" w14:paraId="130B7D89" w14:textId="77777777" w:rsidTr="00DB27A8">
        <w:tc>
          <w:tcPr>
            <w:tcW w:w="880" w:type="pct"/>
            <w:vAlign w:val="center"/>
            <w:hideMark/>
          </w:tcPr>
          <w:p w14:paraId="5EC0333A" w14:textId="77777777" w:rsidR="00D81645" w:rsidRPr="00DB27A8" w:rsidRDefault="00D81645" w:rsidP="00053593">
            <w:pPr>
              <w:pStyle w:val="Tabletext"/>
              <w:jc w:val="left"/>
              <w:rPr>
                <w:sz w:val="20"/>
              </w:rPr>
            </w:pPr>
            <w:r w:rsidRPr="00DB27A8">
              <w:rPr>
                <w:sz w:val="20"/>
              </w:rPr>
              <w:t>Puertos y zonas marítimas, a determinar por las administraciones</w:t>
            </w:r>
          </w:p>
        </w:tc>
        <w:tc>
          <w:tcPr>
            <w:tcW w:w="661" w:type="pct"/>
            <w:vAlign w:val="center"/>
            <w:hideMark/>
          </w:tcPr>
          <w:p w14:paraId="0E7A241F" w14:textId="77777777" w:rsidR="00D81645" w:rsidRPr="00DB27A8" w:rsidRDefault="00D81645" w:rsidP="002A110F">
            <w:pPr>
              <w:pStyle w:val="Tabletext"/>
              <w:jc w:val="center"/>
              <w:rPr>
                <w:sz w:val="20"/>
              </w:rPr>
            </w:pPr>
            <w:r w:rsidRPr="00DB27A8">
              <w:rPr>
                <w:sz w:val="20"/>
              </w:rPr>
              <w:t>−42,9</w:t>
            </w:r>
          </w:p>
        </w:tc>
        <w:tc>
          <w:tcPr>
            <w:tcW w:w="662" w:type="pct"/>
            <w:vAlign w:val="center"/>
            <w:hideMark/>
          </w:tcPr>
          <w:p w14:paraId="7EC869E3" w14:textId="77777777" w:rsidR="00D81645" w:rsidRPr="00DB27A8" w:rsidRDefault="00D81645" w:rsidP="002A110F">
            <w:pPr>
              <w:pStyle w:val="Tabletext"/>
              <w:jc w:val="center"/>
              <w:rPr>
                <w:sz w:val="20"/>
              </w:rPr>
            </w:pPr>
            <w:r w:rsidRPr="00DB27A8">
              <w:rPr>
                <w:sz w:val="20"/>
              </w:rPr>
              <w:t>−42,9</w:t>
            </w:r>
          </w:p>
        </w:tc>
        <w:tc>
          <w:tcPr>
            <w:tcW w:w="662" w:type="pct"/>
            <w:vAlign w:val="center"/>
            <w:hideMark/>
          </w:tcPr>
          <w:p w14:paraId="6993253F" w14:textId="77777777" w:rsidR="00D81645" w:rsidRPr="00DB27A8" w:rsidRDefault="00D81645" w:rsidP="002A110F">
            <w:pPr>
              <w:pStyle w:val="Tabletext"/>
              <w:jc w:val="center"/>
              <w:rPr>
                <w:sz w:val="20"/>
              </w:rPr>
            </w:pPr>
            <w:r w:rsidRPr="00DB27A8">
              <w:rPr>
                <w:sz w:val="20"/>
              </w:rPr>
              <w:t>−57,9</w:t>
            </w:r>
          </w:p>
        </w:tc>
        <w:tc>
          <w:tcPr>
            <w:tcW w:w="748" w:type="pct"/>
            <w:vAlign w:val="center"/>
            <w:hideMark/>
          </w:tcPr>
          <w:p w14:paraId="4D08BE6C" w14:textId="35214284" w:rsidR="00D81645" w:rsidRPr="00DB27A8" w:rsidRDefault="00D81645" w:rsidP="00053593">
            <w:pPr>
              <w:pStyle w:val="Tabletext"/>
              <w:jc w:val="left"/>
              <w:rPr>
                <w:sz w:val="20"/>
              </w:rPr>
            </w:pPr>
            <w:r w:rsidRPr="00DB27A8">
              <w:rPr>
                <w:sz w:val="20"/>
              </w:rPr>
              <w:t>No se requiere límite siempre que la p.i.r.e. de la EB no supere los 68</w:t>
            </w:r>
            <w:r w:rsidR="00DB27A8">
              <w:rPr>
                <w:sz w:val="20"/>
              </w:rPr>
              <w:t> </w:t>
            </w:r>
            <w:r w:rsidRPr="00DB27A8">
              <w:rPr>
                <w:sz w:val="20"/>
              </w:rPr>
              <w:t>dBm</w:t>
            </w:r>
          </w:p>
        </w:tc>
        <w:tc>
          <w:tcPr>
            <w:tcW w:w="687" w:type="pct"/>
            <w:vAlign w:val="center"/>
            <w:hideMark/>
          </w:tcPr>
          <w:p w14:paraId="637E1B96" w14:textId="77777777" w:rsidR="00D81645" w:rsidRPr="00DB27A8" w:rsidRDefault="00D81645" w:rsidP="002A110F">
            <w:pPr>
              <w:pStyle w:val="Tabletext"/>
              <w:jc w:val="center"/>
              <w:rPr>
                <w:sz w:val="20"/>
              </w:rPr>
            </w:pPr>
            <w:r w:rsidRPr="00DB27A8">
              <w:rPr>
                <w:sz w:val="20"/>
              </w:rPr>
              <w:t>–27,9</w:t>
            </w:r>
          </w:p>
        </w:tc>
        <w:tc>
          <w:tcPr>
            <w:tcW w:w="700" w:type="pct"/>
            <w:vAlign w:val="center"/>
            <w:hideMark/>
          </w:tcPr>
          <w:p w14:paraId="77F527F9" w14:textId="77777777" w:rsidR="00D81645" w:rsidRPr="00DB27A8" w:rsidRDefault="00D81645" w:rsidP="002A110F">
            <w:pPr>
              <w:pStyle w:val="Tabletext"/>
              <w:jc w:val="center"/>
              <w:rPr>
                <w:sz w:val="20"/>
              </w:rPr>
            </w:pPr>
            <w:r w:rsidRPr="00DB27A8">
              <w:rPr>
                <w:rFonts w:eastAsiaTheme="minorEastAsia"/>
                <w:sz w:val="20"/>
              </w:rPr>
              <w:t>–</w:t>
            </w:r>
            <w:r w:rsidRPr="00DB27A8">
              <w:rPr>
                <w:sz w:val="20"/>
              </w:rPr>
              <w:t>37,9</w:t>
            </w:r>
          </w:p>
        </w:tc>
      </w:tr>
      <w:tr w:rsidR="00D81645" w:rsidRPr="00DB27A8" w14:paraId="6E735265" w14:textId="77777777" w:rsidTr="00DB27A8">
        <w:tc>
          <w:tcPr>
            <w:tcW w:w="880" w:type="pct"/>
            <w:tcBorders>
              <w:bottom w:val="single" w:sz="4" w:space="0" w:color="auto"/>
            </w:tcBorders>
            <w:vAlign w:val="center"/>
            <w:hideMark/>
          </w:tcPr>
          <w:p w14:paraId="3ADBB0D5" w14:textId="77777777" w:rsidR="00D81645" w:rsidRPr="00DB27A8" w:rsidRDefault="00D81645" w:rsidP="00053593">
            <w:pPr>
              <w:pStyle w:val="Tabletext"/>
              <w:jc w:val="left"/>
              <w:rPr>
                <w:sz w:val="20"/>
              </w:rPr>
            </w:pPr>
            <w:r w:rsidRPr="00DB27A8">
              <w:rPr>
                <w:sz w:val="20"/>
              </w:rPr>
              <w:t>Aeropuertos</w:t>
            </w:r>
          </w:p>
        </w:tc>
        <w:tc>
          <w:tcPr>
            <w:tcW w:w="661" w:type="pct"/>
            <w:tcBorders>
              <w:bottom w:val="single" w:sz="4" w:space="0" w:color="auto"/>
            </w:tcBorders>
            <w:vAlign w:val="center"/>
            <w:hideMark/>
          </w:tcPr>
          <w:p w14:paraId="191BC0D6" w14:textId="77777777" w:rsidR="00D81645" w:rsidRPr="00DB27A8" w:rsidRDefault="00D81645" w:rsidP="002A110F">
            <w:pPr>
              <w:pStyle w:val="Tabletext"/>
              <w:jc w:val="center"/>
              <w:rPr>
                <w:sz w:val="20"/>
              </w:rPr>
            </w:pPr>
            <w:r w:rsidRPr="00DB27A8">
              <w:rPr>
                <w:sz w:val="20"/>
              </w:rPr>
              <w:t>−42,9</w:t>
            </w:r>
          </w:p>
        </w:tc>
        <w:tc>
          <w:tcPr>
            <w:tcW w:w="662" w:type="pct"/>
            <w:tcBorders>
              <w:bottom w:val="single" w:sz="4" w:space="0" w:color="auto"/>
            </w:tcBorders>
            <w:vAlign w:val="center"/>
            <w:hideMark/>
          </w:tcPr>
          <w:p w14:paraId="58C182F8" w14:textId="77777777" w:rsidR="00D81645" w:rsidRPr="00DB27A8" w:rsidRDefault="00D81645" w:rsidP="002A110F">
            <w:pPr>
              <w:pStyle w:val="Tabletext"/>
              <w:jc w:val="center"/>
              <w:rPr>
                <w:sz w:val="20"/>
              </w:rPr>
            </w:pPr>
            <w:r w:rsidRPr="00DB27A8">
              <w:rPr>
                <w:sz w:val="20"/>
              </w:rPr>
              <w:t>−42,9</w:t>
            </w:r>
          </w:p>
        </w:tc>
        <w:tc>
          <w:tcPr>
            <w:tcW w:w="662" w:type="pct"/>
            <w:tcBorders>
              <w:bottom w:val="single" w:sz="4" w:space="0" w:color="auto"/>
            </w:tcBorders>
            <w:vAlign w:val="center"/>
            <w:hideMark/>
          </w:tcPr>
          <w:p w14:paraId="12CA4AE6" w14:textId="77777777" w:rsidR="00D81645" w:rsidRPr="00DB27A8" w:rsidRDefault="00D81645" w:rsidP="002A110F">
            <w:pPr>
              <w:pStyle w:val="Tabletext"/>
              <w:jc w:val="center"/>
              <w:rPr>
                <w:sz w:val="20"/>
              </w:rPr>
            </w:pPr>
            <w:r w:rsidRPr="00DB27A8">
              <w:rPr>
                <w:sz w:val="20"/>
              </w:rPr>
              <w:t>−57,9</w:t>
            </w:r>
          </w:p>
        </w:tc>
        <w:tc>
          <w:tcPr>
            <w:tcW w:w="748" w:type="pct"/>
            <w:tcBorders>
              <w:bottom w:val="single" w:sz="4" w:space="0" w:color="auto"/>
            </w:tcBorders>
            <w:vAlign w:val="center"/>
            <w:hideMark/>
          </w:tcPr>
          <w:p w14:paraId="75A8151F" w14:textId="641E4C29" w:rsidR="00D81645" w:rsidRPr="00DB27A8" w:rsidRDefault="00D81645" w:rsidP="00053593">
            <w:pPr>
              <w:pStyle w:val="Tabletext"/>
              <w:jc w:val="left"/>
              <w:rPr>
                <w:sz w:val="20"/>
              </w:rPr>
            </w:pPr>
            <w:r w:rsidRPr="00DB27A8">
              <w:rPr>
                <w:sz w:val="20"/>
              </w:rPr>
              <w:t>No se requiere límite siempre que la p.i.r.e. de la EB no supere los 68</w:t>
            </w:r>
            <w:r w:rsidR="00DB27A8">
              <w:rPr>
                <w:sz w:val="20"/>
              </w:rPr>
              <w:t> </w:t>
            </w:r>
            <w:r w:rsidRPr="00DB27A8">
              <w:rPr>
                <w:sz w:val="20"/>
              </w:rPr>
              <w:t>dBm</w:t>
            </w:r>
          </w:p>
        </w:tc>
        <w:tc>
          <w:tcPr>
            <w:tcW w:w="687" w:type="pct"/>
            <w:tcBorders>
              <w:bottom w:val="single" w:sz="4" w:space="0" w:color="auto"/>
            </w:tcBorders>
            <w:vAlign w:val="center"/>
            <w:hideMark/>
          </w:tcPr>
          <w:p w14:paraId="4C3F2F9C" w14:textId="77777777" w:rsidR="00D81645" w:rsidRPr="00DB27A8" w:rsidRDefault="00D81645" w:rsidP="002A110F">
            <w:pPr>
              <w:pStyle w:val="Tabletext"/>
              <w:jc w:val="center"/>
              <w:rPr>
                <w:sz w:val="20"/>
              </w:rPr>
            </w:pPr>
            <w:r w:rsidRPr="00DB27A8">
              <w:rPr>
                <w:sz w:val="20"/>
              </w:rPr>
              <w:t>–27,9</w:t>
            </w:r>
          </w:p>
        </w:tc>
        <w:tc>
          <w:tcPr>
            <w:tcW w:w="700" w:type="pct"/>
            <w:tcBorders>
              <w:bottom w:val="single" w:sz="4" w:space="0" w:color="auto"/>
            </w:tcBorders>
            <w:vAlign w:val="center"/>
            <w:hideMark/>
          </w:tcPr>
          <w:p w14:paraId="2F125C7F" w14:textId="77777777" w:rsidR="00D81645" w:rsidRPr="00DB27A8" w:rsidRDefault="00D81645" w:rsidP="002A110F">
            <w:pPr>
              <w:pStyle w:val="Tabletext"/>
              <w:jc w:val="center"/>
              <w:rPr>
                <w:sz w:val="20"/>
              </w:rPr>
            </w:pPr>
            <w:r w:rsidRPr="00DB27A8">
              <w:rPr>
                <w:rFonts w:eastAsiaTheme="minorEastAsia"/>
                <w:sz w:val="20"/>
              </w:rPr>
              <w:t>–</w:t>
            </w:r>
            <w:r w:rsidRPr="00DB27A8">
              <w:rPr>
                <w:sz w:val="20"/>
              </w:rPr>
              <w:t>37,9</w:t>
            </w:r>
          </w:p>
        </w:tc>
      </w:tr>
      <w:tr w:rsidR="00D81645" w:rsidRPr="00DB27A8" w14:paraId="28AEBFCA" w14:textId="77777777" w:rsidTr="00DB27A8">
        <w:tc>
          <w:tcPr>
            <w:tcW w:w="5000" w:type="pct"/>
            <w:gridSpan w:val="7"/>
            <w:tcBorders>
              <w:top w:val="single" w:sz="4" w:space="0" w:color="auto"/>
              <w:left w:val="nil"/>
              <w:bottom w:val="nil"/>
              <w:right w:val="nil"/>
            </w:tcBorders>
            <w:vAlign w:val="center"/>
          </w:tcPr>
          <w:p w14:paraId="592CD9DC" w14:textId="752F0F70" w:rsidR="00D81645" w:rsidRPr="00DB27A8" w:rsidRDefault="00D81645" w:rsidP="00DB27A8">
            <w:pPr>
              <w:pStyle w:val="Tabletext"/>
              <w:rPr>
                <w:sz w:val="20"/>
              </w:rPr>
            </w:pPr>
            <w:r w:rsidRPr="00DB27A8">
              <w:rPr>
                <w:i/>
                <w:iCs/>
                <w:sz w:val="20"/>
              </w:rPr>
              <w:t>Nota:</w:t>
            </w:r>
            <w:r w:rsidRPr="00DB27A8">
              <w:rPr>
                <w:sz w:val="20"/>
              </w:rPr>
              <w:t xml:space="preserve"> Los valores de dfp basados en una ganancia de antena de ETS de 3</w:t>
            </w:r>
            <w:r w:rsidR="00DB27A8">
              <w:rPr>
                <w:sz w:val="20"/>
              </w:rPr>
              <w:t> </w:t>
            </w:r>
            <w:r w:rsidRPr="00DB27A8">
              <w:rPr>
                <w:sz w:val="20"/>
              </w:rPr>
              <w:t>dBi se aplican en la mayoría de las situaciones, pero hay lugares del mundo donde la ganancia de antena hacia el horizonte puede superar los 3</w:t>
            </w:r>
            <w:r w:rsidR="00DB27A8">
              <w:rPr>
                <w:sz w:val="20"/>
              </w:rPr>
              <w:t> </w:t>
            </w:r>
            <w:r w:rsidRPr="00DB27A8">
              <w:rPr>
                <w:sz w:val="20"/>
              </w:rPr>
              <w:t>dBi (hasta 19</w:t>
            </w:r>
            <w:r w:rsidR="00DB27A8">
              <w:rPr>
                <w:sz w:val="20"/>
              </w:rPr>
              <w:t> </w:t>
            </w:r>
            <w:r w:rsidRPr="00DB27A8">
              <w:rPr>
                <w:sz w:val="20"/>
              </w:rPr>
              <w:t>dBi para las ETM marítimas o 17</w:t>
            </w:r>
            <w:r w:rsidR="00DB27A8">
              <w:rPr>
                <w:sz w:val="20"/>
              </w:rPr>
              <w:t> </w:t>
            </w:r>
            <w:r w:rsidRPr="00DB27A8">
              <w:rPr>
                <w:sz w:val="20"/>
              </w:rPr>
              <w:t>dBi para las ETM aeronáuticas). Aquí es donde hay un ángulo de elevación bajo para la ETM y donde podría desplegarse una EB IMT en dirección del satélite del SMS visto desde la ETM. En estos casos, deben tenerse en cuenta los ángulos reales con respecto al satélite y el despliegue de las IMT, y la dfp debe ajustarse a un valor que lo refleje.</w:t>
            </w:r>
          </w:p>
        </w:tc>
      </w:tr>
    </w:tbl>
    <w:p w14:paraId="53006D51" w14:textId="77777777" w:rsidR="00D81645" w:rsidRDefault="00D81645" w:rsidP="005720AD">
      <w:pPr>
        <w:pStyle w:val="Tablefin"/>
        <w:rPr>
          <w:lang w:val="es-ES"/>
        </w:rPr>
      </w:pPr>
    </w:p>
    <w:p w14:paraId="45F2C376" w14:textId="77777777" w:rsidR="00DB27A8" w:rsidRDefault="00DB27A8" w:rsidP="00DB27A8"/>
    <w:p w14:paraId="0F1786BC" w14:textId="77777777" w:rsidR="00DB27A8" w:rsidRPr="00DB27A8" w:rsidRDefault="00DB27A8" w:rsidP="00DB27A8"/>
    <w:p w14:paraId="526E9A76" w14:textId="53BC2178" w:rsidR="00D81645" w:rsidRPr="00DF0B08" w:rsidRDefault="00D81645" w:rsidP="005720AD">
      <w:pPr>
        <w:pStyle w:val="AnnexNoTitle"/>
      </w:pPr>
      <w:r>
        <w:rPr>
          <w:bCs/>
        </w:rPr>
        <w:t xml:space="preserve">Adjunto </w:t>
      </w:r>
      <w:r w:rsidR="00DB27A8">
        <w:rPr>
          <w:bCs/>
        </w:rPr>
        <w:br/>
      </w:r>
      <w:r>
        <w:rPr>
          <w:bCs/>
        </w:rPr>
        <w:t>al Anexo 3</w:t>
      </w:r>
      <w:r>
        <w:rPr>
          <w:bCs/>
        </w:rPr>
        <w:br/>
      </w:r>
      <w:r>
        <w:rPr>
          <w:bCs/>
        </w:rPr>
        <w:br/>
        <w:t>Hipótesis sobre las características de bloqueo de los terminales ETM consideradas en los Cuadros 4 a 6</w:t>
      </w:r>
    </w:p>
    <w:p w14:paraId="78287921" w14:textId="1DB1CBA8" w:rsidR="00D81645" w:rsidRPr="00DF0B08" w:rsidRDefault="00D81645" w:rsidP="005720AD">
      <w:pPr>
        <w:pStyle w:val="Normalaftertitle"/>
      </w:pPr>
      <w:r>
        <w:t>En los Cuadros 7 y 8 se indican las hipótesis de calidad de bloqueo de los terminales ETM aeronáuticos y marítimos para la respectiva gama de frecuencias de la señal IMT. Las fuentes de los valores de la fase 1 se describen en el Anexo 3. Si bien los valores de la fase 2 para las IMT en la banda 1</w:t>
      </w:r>
      <w:r w:rsidR="00DB27A8">
        <w:t> </w:t>
      </w:r>
      <w:r>
        <w:t>512-1</w:t>
      </w:r>
      <w:r w:rsidR="00DB27A8">
        <w:t> </w:t>
      </w:r>
      <w:r>
        <w:t>517</w:t>
      </w:r>
      <w:r w:rsidR="00DB27A8">
        <w:t> </w:t>
      </w:r>
      <w:r>
        <w:t>MHz se basan en las ETM que cumplen los niveles técnicos de bloqueo de esta Recomendación proporcionados en el Anexo 2, los valores para la banda 1</w:t>
      </w:r>
      <w:r w:rsidR="00DB27A8">
        <w:t> </w:t>
      </w:r>
      <w:r>
        <w:t>492-1</w:t>
      </w:r>
      <w:r w:rsidR="00DB27A8">
        <w:t> </w:t>
      </w:r>
      <w:r>
        <w:t>512</w:t>
      </w:r>
      <w:r w:rsidR="00DB27A8">
        <w:t> </w:t>
      </w:r>
      <w:r>
        <w:t>MHz se basan en hipótesis. Por consiguiente, cuando se disponga de terminales ETM que satisfagan los niveles técnicos de bloqueo del Anexo 2, las administraciones tal vez tengan que revisar sus características de bloqueo para la banda 1</w:t>
      </w:r>
      <w:r w:rsidR="00DB27A8">
        <w:t> </w:t>
      </w:r>
      <w:r>
        <w:t>492-1</w:t>
      </w:r>
      <w:r w:rsidR="00DB27A8">
        <w:t> </w:t>
      </w:r>
      <w:r>
        <w:t>512</w:t>
      </w:r>
      <w:r w:rsidR="00DB27A8">
        <w:t> </w:t>
      </w:r>
      <w:r>
        <w:t>MHz y los correspondientes valores de dfp del Anexo</w:t>
      </w:r>
      <w:r w:rsidR="00DB27A8">
        <w:t> </w:t>
      </w:r>
      <w:r>
        <w:t>3.</w:t>
      </w:r>
    </w:p>
    <w:p w14:paraId="43BBE624" w14:textId="77777777" w:rsidR="00D81645" w:rsidRPr="00DF0B08" w:rsidRDefault="00D81645" w:rsidP="005720AD">
      <w:pPr>
        <w:pStyle w:val="TableNo"/>
      </w:pPr>
      <w:r>
        <w:lastRenderedPageBreak/>
        <w:t>CUADRO 7</w:t>
      </w:r>
    </w:p>
    <w:p w14:paraId="1A78D65C" w14:textId="4123F086" w:rsidR="00D81645" w:rsidRPr="00DF0B08" w:rsidRDefault="00D81645" w:rsidP="005720AD">
      <w:pPr>
        <w:pStyle w:val="Tabletitle"/>
      </w:pPr>
      <w:r>
        <w:rPr>
          <w:bCs/>
        </w:rPr>
        <w:t xml:space="preserve">Hipótesis sobre la característica de bloqueo (dBm) de los terminales ETM </w:t>
      </w:r>
      <w:r w:rsidR="00DB27A8">
        <w:rPr>
          <w:bCs/>
        </w:rPr>
        <w:br/>
      </w:r>
      <w:r>
        <w:rPr>
          <w:bCs/>
        </w:rPr>
        <w:t>aeronáuticos y marítimos en la Opción A</w:t>
      </w:r>
    </w:p>
    <w:tbl>
      <w:tblPr>
        <w:tblStyle w:val="TableGrid"/>
        <w:tblW w:w="9639" w:type="dxa"/>
        <w:jc w:val="center"/>
        <w:tblLayout w:type="fixed"/>
        <w:tblLook w:val="04A0" w:firstRow="1" w:lastRow="0" w:firstColumn="1" w:lastColumn="0" w:noHBand="0" w:noVBand="1"/>
      </w:tblPr>
      <w:tblGrid>
        <w:gridCol w:w="1482"/>
        <w:gridCol w:w="1850"/>
        <w:gridCol w:w="1205"/>
        <w:gridCol w:w="1277"/>
        <w:gridCol w:w="1277"/>
        <w:gridCol w:w="1277"/>
        <w:gridCol w:w="1271"/>
      </w:tblGrid>
      <w:tr w:rsidR="00D81645" w:rsidRPr="00DB27A8" w14:paraId="3570280C" w14:textId="77777777" w:rsidTr="00DB27A8">
        <w:trPr>
          <w:jc w:val="center"/>
        </w:trPr>
        <w:tc>
          <w:tcPr>
            <w:tcW w:w="3327" w:type="dxa"/>
            <w:gridSpan w:val="2"/>
            <w:vAlign w:val="center"/>
          </w:tcPr>
          <w:p w14:paraId="28C454C0" w14:textId="77777777" w:rsidR="00D81645" w:rsidRPr="00DB27A8" w:rsidRDefault="00D81645" w:rsidP="002A110F">
            <w:pPr>
              <w:pStyle w:val="Tablehead"/>
              <w:rPr>
                <w:rFonts w:ascii="Times New Roman" w:hAnsi="Times New Roman" w:cs="Times New Roman"/>
                <w:sz w:val="20"/>
                <w:szCs w:val="20"/>
              </w:rPr>
            </w:pPr>
            <w:r w:rsidRPr="00DB27A8">
              <w:rPr>
                <w:rFonts w:ascii="Times New Roman" w:hAnsi="Times New Roman" w:cs="Times New Roman"/>
                <w:bCs/>
                <w:sz w:val="20"/>
                <w:szCs w:val="20"/>
              </w:rPr>
              <w:t>Fase</w:t>
            </w:r>
          </w:p>
        </w:tc>
        <w:tc>
          <w:tcPr>
            <w:tcW w:w="3756" w:type="dxa"/>
            <w:gridSpan w:val="3"/>
            <w:vAlign w:val="center"/>
          </w:tcPr>
          <w:p w14:paraId="0EF40E9D" w14:textId="77777777" w:rsidR="00D81645" w:rsidRPr="00DB27A8" w:rsidRDefault="00D81645" w:rsidP="002A110F">
            <w:pPr>
              <w:pStyle w:val="Tablehead"/>
              <w:rPr>
                <w:rFonts w:ascii="Times New Roman" w:hAnsi="Times New Roman" w:cs="Times New Roman"/>
                <w:sz w:val="20"/>
                <w:szCs w:val="20"/>
              </w:rPr>
            </w:pPr>
            <w:r w:rsidRPr="00DB27A8">
              <w:rPr>
                <w:rFonts w:ascii="Times New Roman" w:hAnsi="Times New Roman" w:cs="Times New Roman"/>
                <w:bCs/>
                <w:sz w:val="20"/>
                <w:szCs w:val="20"/>
              </w:rPr>
              <w:t>Fase 1</w:t>
            </w:r>
          </w:p>
        </w:tc>
        <w:tc>
          <w:tcPr>
            <w:tcW w:w="2546" w:type="dxa"/>
            <w:gridSpan w:val="2"/>
            <w:vAlign w:val="center"/>
          </w:tcPr>
          <w:p w14:paraId="43E14DBD" w14:textId="77777777" w:rsidR="00D81645" w:rsidRPr="00DB27A8" w:rsidRDefault="00D81645" w:rsidP="002A110F">
            <w:pPr>
              <w:pStyle w:val="Tablehead"/>
              <w:rPr>
                <w:rFonts w:ascii="Times New Roman" w:hAnsi="Times New Roman" w:cs="Times New Roman"/>
                <w:sz w:val="20"/>
                <w:szCs w:val="20"/>
              </w:rPr>
            </w:pPr>
            <w:r w:rsidRPr="00DB27A8">
              <w:rPr>
                <w:rFonts w:ascii="Times New Roman" w:hAnsi="Times New Roman" w:cs="Times New Roman"/>
                <w:bCs/>
                <w:sz w:val="20"/>
                <w:szCs w:val="20"/>
              </w:rPr>
              <w:t>Fase 2</w:t>
            </w:r>
          </w:p>
        </w:tc>
      </w:tr>
      <w:tr w:rsidR="00D81645" w:rsidRPr="00DB27A8" w14:paraId="0FCAB84B" w14:textId="77777777" w:rsidTr="00DB27A8">
        <w:trPr>
          <w:jc w:val="center"/>
        </w:trPr>
        <w:tc>
          <w:tcPr>
            <w:tcW w:w="3327" w:type="dxa"/>
            <w:gridSpan w:val="2"/>
            <w:vAlign w:val="center"/>
          </w:tcPr>
          <w:p w14:paraId="2ABD2CC7" w14:textId="77777777" w:rsidR="00D81645" w:rsidRPr="00DB27A8" w:rsidRDefault="00D81645" w:rsidP="002A110F">
            <w:pPr>
              <w:pStyle w:val="Tablehead"/>
              <w:rPr>
                <w:rFonts w:ascii="Times New Roman" w:hAnsi="Times New Roman" w:cs="Times New Roman"/>
                <w:sz w:val="20"/>
                <w:szCs w:val="20"/>
              </w:rPr>
            </w:pPr>
            <w:r w:rsidRPr="00DB27A8">
              <w:rPr>
                <w:rFonts w:ascii="Times New Roman" w:hAnsi="Times New Roman" w:cs="Times New Roman"/>
                <w:bCs/>
                <w:sz w:val="20"/>
                <w:szCs w:val="20"/>
              </w:rPr>
              <w:t>Gama de frecuencias (MHz)</w:t>
            </w:r>
          </w:p>
        </w:tc>
        <w:tc>
          <w:tcPr>
            <w:tcW w:w="1204" w:type="dxa"/>
            <w:vAlign w:val="center"/>
          </w:tcPr>
          <w:p w14:paraId="366B8EA8" w14:textId="77777777" w:rsidR="00D81645" w:rsidRPr="00DB27A8" w:rsidRDefault="00D81645" w:rsidP="002A110F">
            <w:pPr>
              <w:pStyle w:val="Tablehead"/>
              <w:rPr>
                <w:rFonts w:ascii="Times New Roman" w:hAnsi="Times New Roman" w:cs="Times New Roman"/>
                <w:sz w:val="20"/>
                <w:szCs w:val="20"/>
              </w:rPr>
            </w:pPr>
            <w:r w:rsidRPr="00DB27A8">
              <w:rPr>
                <w:rFonts w:ascii="Times New Roman" w:hAnsi="Times New Roman" w:cs="Times New Roman"/>
                <w:bCs/>
                <w:sz w:val="20"/>
                <w:szCs w:val="20"/>
              </w:rPr>
              <w:t>1 492-1 502</w:t>
            </w:r>
          </w:p>
        </w:tc>
        <w:tc>
          <w:tcPr>
            <w:tcW w:w="1276" w:type="dxa"/>
            <w:vAlign w:val="center"/>
          </w:tcPr>
          <w:p w14:paraId="574C9DFE" w14:textId="77777777" w:rsidR="00D81645" w:rsidRPr="00DB27A8" w:rsidRDefault="00D81645" w:rsidP="002A110F">
            <w:pPr>
              <w:pStyle w:val="Tablehead"/>
              <w:rPr>
                <w:rFonts w:ascii="Times New Roman" w:hAnsi="Times New Roman" w:cs="Times New Roman"/>
                <w:sz w:val="20"/>
                <w:szCs w:val="20"/>
              </w:rPr>
            </w:pPr>
            <w:r w:rsidRPr="00DB27A8">
              <w:rPr>
                <w:rFonts w:ascii="Times New Roman" w:hAnsi="Times New Roman" w:cs="Times New Roman"/>
                <w:bCs/>
                <w:sz w:val="20"/>
                <w:szCs w:val="20"/>
              </w:rPr>
              <w:t>1 502-1 512</w:t>
            </w:r>
          </w:p>
        </w:tc>
        <w:tc>
          <w:tcPr>
            <w:tcW w:w="1276" w:type="dxa"/>
            <w:vAlign w:val="center"/>
          </w:tcPr>
          <w:p w14:paraId="315606BF" w14:textId="77777777" w:rsidR="00D81645" w:rsidRPr="00DB27A8" w:rsidRDefault="00D81645" w:rsidP="002A110F">
            <w:pPr>
              <w:pStyle w:val="Tablehead"/>
              <w:rPr>
                <w:rFonts w:ascii="Times New Roman" w:hAnsi="Times New Roman" w:cs="Times New Roman"/>
                <w:sz w:val="20"/>
                <w:szCs w:val="20"/>
              </w:rPr>
            </w:pPr>
            <w:r w:rsidRPr="00DB27A8">
              <w:rPr>
                <w:rFonts w:ascii="Times New Roman" w:hAnsi="Times New Roman" w:cs="Times New Roman"/>
                <w:bCs/>
                <w:sz w:val="20"/>
                <w:szCs w:val="20"/>
              </w:rPr>
              <w:t>1 512-1 517</w:t>
            </w:r>
          </w:p>
        </w:tc>
        <w:tc>
          <w:tcPr>
            <w:tcW w:w="1276" w:type="dxa"/>
            <w:vAlign w:val="center"/>
          </w:tcPr>
          <w:p w14:paraId="4C4D8F53" w14:textId="77777777" w:rsidR="00D81645" w:rsidRPr="00DB27A8" w:rsidRDefault="00D81645" w:rsidP="002A110F">
            <w:pPr>
              <w:pStyle w:val="Tablehead"/>
              <w:rPr>
                <w:rFonts w:ascii="Times New Roman" w:hAnsi="Times New Roman" w:cs="Times New Roman"/>
                <w:sz w:val="20"/>
                <w:szCs w:val="20"/>
              </w:rPr>
            </w:pPr>
            <w:r w:rsidRPr="00DB27A8">
              <w:rPr>
                <w:rFonts w:ascii="Times New Roman" w:hAnsi="Times New Roman" w:cs="Times New Roman"/>
                <w:bCs/>
                <w:sz w:val="20"/>
                <w:szCs w:val="20"/>
              </w:rPr>
              <w:t>1 492-1 512</w:t>
            </w:r>
          </w:p>
        </w:tc>
        <w:tc>
          <w:tcPr>
            <w:tcW w:w="1270" w:type="dxa"/>
            <w:vAlign w:val="center"/>
          </w:tcPr>
          <w:p w14:paraId="568036FF" w14:textId="77777777" w:rsidR="00D81645" w:rsidRPr="00DB27A8" w:rsidRDefault="00D81645" w:rsidP="002A110F">
            <w:pPr>
              <w:pStyle w:val="Tablehead"/>
              <w:rPr>
                <w:rFonts w:ascii="Times New Roman" w:hAnsi="Times New Roman" w:cs="Times New Roman"/>
                <w:sz w:val="20"/>
                <w:szCs w:val="20"/>
              </w:rPr>
            </w:pPr>
            <w:r w:rsidRPr="00DB27A8">
              <w:rPr>
                <w:rFonts w:ascii="Times New Roman" w:hAnsi="Times New Roman" w:cs="Times New Roman"/>
                <w:bCs/>
                <w:sz w:val="20"/>
                <w:szCs w:val="20"/>
              </w:rPr>
              <w:t>1 512-1 517</w:t>
            </w:r>
          </w:p>
        </w:tc>
      </w:tr>
      <w:tr w:rsidR="00D81645" w:rsidRPr="00DB27A8" w14:paraId="33F6506E" w14:textId="77777777" w:rsidTr="00DB27A8">
        <w:trPr>
          <w:jc w:val="center"/>
        </w:trPr>
        <w:tc>
          <w:tcPr>
            <w:tcW w:w="1479" w:type="dxa"/>
            <w:vMerge w:val="restart"/>
            <w:vAlign w:val="center"/>
          </w:tcPr>
          <w:p w14:paraId="6F0CDF0C" w14:textId="1A895AEB"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Para el Cuadro</w:t>
            </w:r>
            <w:r w:rsidR="00EF1D53">
              <w:rPr>
                <w:rFonts w:ascii="Times New Roman" w:hAnsi="Times New Roman" w:cs="Times New Roman"/>
                <w:sz w:val="20"/>
                <w:szCs w:val="20"/>
              </w:rPr>
              <w:t> </w:t>
            </w:r>
            <w:r w:rsidRPr="00DB27A8">
              <w:rPr>
                <w:rFonts w:ascii="Times New Roman" w:hAnsi="Times New Roman" w:cs="Times New Roman"/>
                <w:sz w:val="20"/>
                <w:szCs w:val="20"/>
              </w:rPr>
              <w:t>4</w:t>
            </w:r>
          </w:p>
        </w:tc>
        <w:tc>
          <w:tcPr>
            <w:tcW w:w="1848" w:type="dxa"/>
            <w:vAlign w:val="center"/>
          </w:tcPr>
          <w:p w14:paraId="5BD5CC57" w14:textId="77777777" w:rsidR="00D81645" w:rsidRPr="00DB27A8" w:rsidRDefault="00D81645" w:rsidP="002A110F">
            <w:pPr>
              <w:pStyle w:val="Tabletext"/>
              <w:rPr>
                <w:rFonts w:ascii="Times New Roman" w:hAnsi="Times New Roman" w:cs="Times New Roman"/>
                <w:sz w:val="20"/>
                <w:szCs w:val="20"/>
              </w:rPr>
            </w:pPr>
            <w:r w:rsidRPr="00DB27A8">
              <w:rPr>
                <w:rFonts w:ascii="Times New Roman" w:hAnsi="Times New Roman" w:cs="Times New Roman"/>
                <w:sz w:val="20"/>
                <w:szCs w:val="20"/>
              </w:rPr>
              <w:t>ETM marítimas</w:t>
            </w:r>
          </w:p>
        </w:tc>
        <w:tc>
          <w:tcPr>
            <w:tcW w:w="1204" w:type="dxa"/>
            <w:vAlign w:val="center"/>
          </w:tcPr>
          <w:p w14:paraId="340CFE8C"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–53</w:t>
            </w:r>
          </w:p>
        </w:tc>
        <w:tc>
          <w:tcPr>
            <w:tcW w:w="1276" w:type="dxa"/>
            <w:vAlign w:val="center"/>
          </w:tcPr>
          <w:p w14:paraId="718E0BA3"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–68</w:t>
            </w:r>
          </w:p>
        </w:tc>
        <w:tc>
          <w:tcPr>
            <w:tcW w:w="1276" w:type="dxa"/>
            <w:vAlign w:val="center"/>
          </w:tcPr>
          <w:p w14:paraId="716150B1"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–76</w:t>
            </w:r>
          </w:p>
        </w:tc>
        <w:tc>
          <w:tcPr>
            <w:tcW w:w="1276" w:type="dxa"/>
            <w:vAlign w:val="center"/>
          </w:tcPr>
          <w:p w14:paraId="3D618678"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–20</w:t>
            </w:r>
          </w:p>
        </w:tc>
        <w:tc>
          <w:tcPr>
            <w:tcW w:w="1270" w:type="dxa"/>
            <w:vAlign w:val="center"/>
          </w:tcPr>
          <w:p w14:paraId="61708049"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–30</w:t>
            </w:r>
          </w:p>
        </w:tc>
      </w:tr>
      <w:tr w:rsidR="00D81645" w:rsidRPr="00DB27A8" w14:paraId="1E0DDDE9" w14:textId="77777777" w:rsidTr="00DB27A8">
        <w:trPr>
          <w:jc w:val="center"/>
        </w:trPr>
        <w:tc>
          <w:tcPr>
            <w:tcW w:w="1479" w:type="dxa"/>
            <w:vMerge/>
            <w:vAlign w:val="center"/>
          </w:tcPr>
          <w:p w14:paraId="0B78529F" w14:textId="77777777" w:rsidR="00D81645" w:rsidRPr="00DB27A8" w:rsidRDefault="00D81645" w:rsidP="002A110F">
            <w:pPr>
              <w:pStyle w:val="Tabletext"/>
              <w:jc w:val="center"/>
              <w:rPr>
                <w:rFonts w:ascii="Times New Roman" w:hAnsi="Times New Roman" w:cs="Times New Roman"/>
                <w:sz w:val="20"/>
                <w:szCs w:val="20"/>
              </w:rPr>
            </w:pPr>
          </w:p>
        </w:tc>
        <w:tc>
          <w:tcPr>
            <w:tcW w:w="1848" w:type="dxa"/>
            <w:vAlign w:val="center"/>
          </w:tcPr>
          <w:p w14:paraId="22065C41" w14:textId="77777777" w:rsidR="00D81645" w:rsidRPr="00DB27A8" w:rsidRDefault="00D81645" w:rsidP="002A110F">
            <w:pPr>
              <w:pStyle w:val="Tabletext"/>
              <w:rPr>
                <w:rFonts w:ascii="Times New Roman" w:hAnsi="Times New Roman" w:cs="Times New Roman"/>
                <w:sz w:val="20"/>
                <w:szCs w:val="20"/>
              </w:rPr>
            </w:pPr>
            <w:r w:rsidRPr="00DB27A8">
              <w:rPr>
                <w:rFonts w:ascii="Times New Roman" w:hAnsi="Times New Roman" w:cs="Times New Roman"/>
                <w:sz w:val="20"/>
                <w:szCs w:val="20"/>
              </w:rPr>
              <w:t>ETM aeronáuticas</w:t>
            </w:r>
          </w:p>
        </w:tc>
        <w:tc>
          <w:tcPr>
            <w:tcW w:w="1204" w:type="dxa"/>
            <w:vAlign w:val="center"/>
          </w:tcPr>
          <w:p w14:paraId="690DEFD2"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–21</w:t>
            </w:r>
          </w:p>
        </w:tc>
        <w:tc>
          <w:tcPr>
            <w:tcW w:w="1276" w:type="dxa"/>
            <w:vAlign w:val="center"/>
          </w:tcPr>
          <w:p w14:paraId="56B62CB2"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–35</w:t>
            </w:r>
          </w:p>
        </w:tc>
        <w:tc>
          <w:tcPr>
            <w:tcW w:w="1276" w:type="dxa"/>
            <w:vAlign w:val="center"/>
          </w:tcPr>
          <w:p w14:paraId="25DD879A"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–50,3</w:t>
            </w:r>
          </w:p>
        </w:tc>
        <w:tc>
          <w:tcPr>
            <w:tcW w:w="1276" w:type="dxa"/>
            <w:vAlign w:val="center"/>
          </w:tcPr>
          <w:p w14:paraId="3EA7D7BE"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–20</w:t>
            </w:r>
          </w:p>
        </w:tc>
        <w:tc>
          <w:tcPr>
            <w:tcW w:w="1270" w:type="dxa"/>
            <w:vAlign w:val="center"/>
          </w:tcPr>
          <w:p w14:paraId="480C61B9"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–30</w:t>
            </w:r>
          </w:p>
        </w:tc>
      </w:tr>
      <w:tr w:rsidR="00D81645" w:rsidRPr="00DB27A8" w14:paraId="4499E92A" w14:textId="77777777" w:rsidTr="00DB27A8">
        <w:trPr>
          <w:jc w:val="center"/>
        </w:trPr>
        <w:tc>
          <w:tcPr>
            <w:tcW w:w="1479" w:type="dxa"/>
            <w:vMerge w:val="restart"/>
            <w:vAlign w:val="center"/>
          </w:tcPr>
          <w:p w14:paraId="1506F61C" w14:textId="48507C6F"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Para el Cuadro</w:t>
            </w:r>
            <w:r w:rsidR="00EF1D53">
              <w:rPr>
                <w:rFonts w:ascii="Times New Roman" w:hAnsi="Times New Roman" w:cs="Times New Roman"/>
                <w:sz w:val="20"/>
                <w:szCs w:val="20"/>
              </w:rPr>
              <w:t> </w:t>
            </w:r>
            <w:r w:rsidRPr="00DB27A8">
              <w:rPr>
                <w:rFonts w:ascii="Times New Roman" w:hAnsi="Times New Roman" w:cs="Times New Roman"/>
                <w:sz w:val="20"/>
                <w:szCs w:val="20"/>
              </w:rPr>
              <w:t>5</w:t>
            </w:r>
          </w:p>
        </w:tc>
        <w:tc>
          <w:tcPr>
            <w:tcW w:w="1848" w:type="dxa"/>
            <w:vAlign w:val="center"/>
          </w:tcPr>
          <w:p w14:paraId="471C4811" w14:textId="77777777" w:rsidR="00D81645" w:rsidRPr="00DB27A8" w:rsidRDefault="00D81645" w:rsidP="002A110F">
            <w:pPr>
              <w:pStyle w:val="Tabletext"/>
              <w:rPr>
                <w:rFonts w:ascii="Times New Roman" w:hAnsi="Times New Roman" w:cs="Times New Roman"/>
                <w:sz w:val="20"/>
                <w:szCs w:val="20"/>
              </w:rPr>
            </w:pPr>
            <w:r w:rsidRPr="00DB27A8">
              <w:rPr>
                <w:rFonts w:ascii="Times New Roman" w:hAnsi="Times New Roman" w:cs="Times New Roman"/>
                <w:sz w:val="20"/>
                <w:szCs w:val="20"/>
              </w:rPr>
              <w:t>ETM marítimas</w:t>
            </w:r>
          </w:p>
        </w:tc>
        <w:tc>
          <w:tcPr>
            <w:tcW w:w="2480" w:type="dxa"/>
            <w:gridSpan w:val="2"/>
            <w:vAlign w:val="center"/>
          </w:tcPr>
          <w:p w14:paraId="2305A159"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–67</w:t>
            </w:r>
          </w:p>
        </w:tc>
        <w:tc>
          <w:tcPr>
            <w:tcW w:w="1276" w:type="dxa"/>
            <w:vAlign w:val="center"/>
          </w:tcPr>
          <w:p w14:paraId="2A0B9FC3"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–78</w:t>
            </w:r>
          </w:p>
        </w:tc>
        <w:tc>
          <w:tcPr>
            <w:tcW w:w="1276" w:type="dxa"/>
            <w:vAlign w:val="center"/>
          </w:tcPr>
          <w:p w14:paraId="1AFCB9CF"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–23</w:t>
            </w:r>
          </w:p>
        </w:tc>
        <w:tc>
          <w:tcPr>
            <w:tcW w:w="1270" w:type="dxa"/>
            <w:vAlign w:val="center"/>
          </w:tcPr>
          <w:p w14:paraId="6C70F5FD"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–33</w:t>
            </w:r>
          </w:p>
        </w:tc>
      </w:tr>
      <w:tr w:rsidR="00D81645" w:rsidRPr="00DB27A8" w14:paraId="091B99F1" w14:textId="77777777" w:rsidTr="00DB27A8">
        <w:trPr>
          <w:jc w:val="center"/>
        </w:trPr>
        <w:tc>
          <w:tcPr>
            <w:tcW w:w="1479" w:type="dxa"/>
            <w:vMerge/>
            <w:vAlign w:val="center"/>
          </w:tcPr>
          <w:p w14:paraId="5F92CCA5" w14:textId="77777777" w:rsidR="00D81645" w:rsidRPr="00DB27A8" w:rsidRDefault="00D81645" w:rsidP="002A110F">
            <w:pPr>
              <w:pStyle w:val="Tabletext"/>
              <w:jc w:val="center"/>
              <w:rPr>
                <w:rFonts w:ascii="Times New Roman" w:hAnsi="Times New Roman" w:cs="Times New Roman"/>
                <w:sz w:val="20"/>
                <w:szCs w:val="20"/>
                <w:lang w:eastAsia="ja-JP"/>
              </w:rPr>
            </w:pPr>
          </w:p>
        </w:tc>
        <w:tc>
          <w:tcPr>
            <w:tcW w:w="1848" w:type="dxa"/>
            <w:vAlign w:val="center"/>
          </w:tcPr>
          <w:p w14:paraId="1DC1AE5C" w14:textId="77777777" w:rsidR="00D81645" w:rsidRPr="00DB27A8" w:rsidRDefault="00D81645" w:rsidP="002A110F">
            <w:pPr>
              <w:pStyle w:val="Tabletext"/>
              <w:rPr>
                <w:rFonts w:ascii="Times New Roman" w:hAnsi="Times New Roman" w:cs="Times New Roman"/>
                <w:sz w:val="20"/>
                <w:szCs w:val="20"/>
              </w:rPr>
            </w:pPr>
            <w:r w:rsidRPr="00DB27A8">
              <w:rPr>
                <w:rFonts w:ascii="Times New Roman" w:hAnsi="Times New Roman" w:cs="Times New Roman"/>
                <w:sz w:val="20"/>
                <w:szCs w:val="20"/>
              </w:rPr>
              <w:t>ETM aeronáuticas</w:t>
            </w:r>
          </w:p>
        </w:tc>
        <w:tc>
          <w:tcPr>
            <w:tcW w:w="2480" w:type="dxa"/>
            <w:gridSpan w:val="2"/>
            <w:vAlign w:val="center"/>
          </w:tcPr>
          <w:p w14:paraId="2A4ABFC9"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–45,6</w:t>
            </w:r>
          </w:p>
        </w:tc>
        <w:tc>
          <w:tcPr>
            <w:tcW w:w="1276" w:type="dxa"/>
            <w:vAlign w:val="center"/>
          </w:tcPr>
          <w:p w14:paraId="10AC5CFC"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–55,5</w:t>
            </w:r>
          </w:p>
        </w:tc>
        <w:tc>
          <w:tcPr>
            <w:tcW w:w="1276" w:type="dxa"/>
            <w:vAlign w:val="center"/>
          </w:tcPr>
          <w:p w14:paraId="3F77F6A7"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–23</w:t>
            </w:r>
          </w:p>
        </w:tc>
        <w:tc>
          <w:tcPr>
            <w:tcW w:w="1270" w:type="dxa"/>
            <w:vAlign w:val="center"/>
          </w:tcPr>
          <w:p w14:paraId="783E4CF7" w14:textId="77777777" w:rsidR="00D81645" w:rsidRPr="00DB27A8" w:rsidRDefault="00D81645" w:rsidP="002A110F">
            <w:pPr>
              <w:pStyle w:val="Tabletext"/>
              <w:jc w:val="center"/>
              <w:rPr>
                <w:rFonts w:ascii="Times New Roman" w:hAnsi="Times New Roman" w:cs="Times New Roman"/>
                <w:sz w:val="20"/>
                <w:szCs w:val="20"/>
              </w:rPr>
            </w:pPr>
            <w:r w:rsidRPr="00DB27A8">
              <w:rPr>
                <w:rFonts w:ascii="Times New Roman" w:hAnsi="Times New Roman" w:cs="Times New Roman"/>
                <w:sz w:val="20"/>
                <w:szCs w:val="20"/>
              </w:rPr>
              <w:t>–33</w:t>
            </w:r>
          </w:p>
        </w:tc>
      </w:tr>
    </w:tbl>
    <w:p w14:paraId="02ED6FEC" w14:textId="17CFAED5" w:rsidR="00D81645" w:rsidRDefault="00D81645" w:rsidP="005720AD">
      <w:pPr>
        <w:pStyle w:val="Tablefin"/>
      </w:pPr>
    </w:p>
    <w:p w14:paraId="69EB5B24" w14:textId="77777777" w:rsidR="00D81645" w:rsidRPr="00216E0D" w:rsidRDefault="00D81645" w:rsidP="005720AD">
      <w:pPr>
        <w:pStyle w:val="TableNo"/>
      </w:pPr>
      <w:r>
        <w:t>CUADRO 8</w:t>
      </w:r>
    </w:p>
    <w:p w14:paraId="05146CF2" w14:textId="7CEAD152" w:rsidR="00D81645" w:rsidRPr="00DF0B08" w:rsidRDefault="00D81645" w:rsidP="005720AD">
      <w:pPr>
        <w:pStyle w:val="Tabletitle"/>
      </w:pPr>
      <w:r>
        <w:rPr>
          <w:bCs/>
        </w:rPr>
        <w:t xml:space="preserve">Hipótesis sobre la característica de bloqueo (dBm) de los terminales ETM </w:t>
      </w:r>
      <w:r w:rsidR="00EF1D53">
        <w:rPr>
          <w:bCs/>
        </w:rPr>
        <w:br/>
      </w:r>
      <w:r>
        <w:rPr>
          <w:bCs/>
        </w:rPr>
        <w:t>aeronáuticos y marítimos en la Opción B</w:t>
      </w:r>
    </w:p>
    <w:tbl>
      <w:tblPr>
        <w:tblStyle w:val="TableGrid"/>
        <w:tblW w:w="9639" w:type="dxa"/>
        <w:jc w:val="center"/>
        <w:tblLayout w:type="fixed"/>
        <w:tblLook w:val="04A0" w:firstRow="1" w:lastRow="0" w:firstColumn="1" w:lastColumn="0" w:noHBand="0" w:noVBand="1"/>
      </w:tblPr>
      <w:tblGrid>
        <w:gridCol w:w="1482"/>
        <w:gridCol w:w="1850"/>
        <w:gridCol w:w="1205"/>
        <w:gridCol w:w="1277"/>
        <w:gridCol w:w="1277"/>
        <w:gridCol w:w="1277"/>
        <w:gridCol w:w="1271"/>
      </w:tblGrid>
      <w:tr w:rsidR="00D81645" w:rsidRPr="00EF1D53" w14:paraId="58C7B14F" w14:textId="77777777" w:rsidTr="00EF1D53">
        <w:trPr>
          <w:jc w:val="center"/>
        </w:trPr>
        <w:tc>
          <w:tcPr>
            <w:tcW w:w="3327" w:type="dxa"/>
            <w:gridSpan w:val="2"/>
            <w:vAlign w:val="center"/>
          </w:tcPr>
          <w:p w14:paraId="7BA42380" w14:textId="77777777" w:rsidR="00D81645" w:rsidRPr="00EF1D53" w:rsidRDefault="00D81645" w:rsidP="002A110F">
            <w:pPr>
              <w:pStyle w:val="Tablehead"/>
              <w:rPr>
                <w:rFonts w:ascii="Times New Roman" w:hAnsi="Times New Roman" w:cs="Times New Roman"/>
                <w:sz w:val="20"/>
                <w:szCs w:val="20"/>
              </w:rPr>
            </w:pPr>
            <w:r w:rsidRPr="00EF1D53">
              <w:rPr>
                <w:rFonts w:ascii="Times New Roman" w:hAnsi="Times New Roman" w:cs="Times New Roman"/>
                <w:bCs/>
                <w:sz w:val="20"/>
                <w:szCs w:val="20"/>
              </w:rPr>
              <w:t>Fase</w:t>
            </w:r>
          </w:p>
        </w:tc>
        <w:tc>
          <w:tcPr>
            <w:tcW w:w="3756" w:type="dxa"/>
            <w:gridSpan w:val="3"/>
            <w:vAlign w:val="center"/>
          </w:tcPr>
          <w:p w14:paraId="62F2F06A" w14:textId="77777777" w:rsidR="00D81645" w:rsidRPr="00EF1D53" w:rsidRDefault="00D81645" w:rsidP="002A110F">
            <w:pPr>
              <w:pStyle w:val="Tablehead"/>
              <w:rPr>
                <w:rFonts w:ascii="Times New Roman" w:hAnsi="Times New Roman" w:cs="Times New Roman"/>
                <w:sz w:val="20"/>
                <w:szCs w:val="20"/>
              </w:rPr>
            </w:pPr>
            <w:r w:rsidRPr="00EF1D53">
              <w:rPr>
                <w:rFonts w:ascii="Times New Roman" w:hAnsi="Times New Roman" w:cs="Times New Roman"/>
                <w:bCs/>
                <w:sz w:val="20"/>
                <w:szCs w:val="20"/>
              </w:rPr>
              <w:t>Fase 1</w:t>
            </w:r>
          </w:p>
        </w:tc>
        <w:tc>
          <w:tcPr>
            <w:tcW w:w="2546" w:type="dxa"/>
            <w:gridSpan w:val="2"/>
            <w:vAlign w:val="center"/>
          </w:tcPr>
          <w:p w14:paraId="1CFE09B9" w14:textId="77777777" w:rsidR="00D81645" w:rsidRPr="00EF1D53" w:rsidRDefault="00D81645" w:rsidP="002A110F">
            <w:pPr>
              <w:pStyle w:val="Tablehead"/>
              <w:rPr>
                <w:rFonts w:ascii="Times New Roman" w:hAnsi="Times New Roman" w:cs="Times New Roman"/>
                <w:sz w:val="20"/>
                <w:szCs w:val="20"/>
              </w:rPr>
            </w:pPr>
            <w:r w:rsidRPr="00EF1D53">
              <w:rPr>
                <w:rFonts w:ascii="Times New Roman" w:hAnsi="Times New Roman" w:cs="Times New Roman"/>
                <w:bCs/>
                <w:sz w:val="20"/>
                <w:szCs w:val="20"/>
              </w:rPr>
              <w:t>Fase 2</w:t>
            </w:r>
          </w:p>
        </w:tc>
      </w:tr>
      <w:tr w:rsidR="00D81645" w:rsidRPr="00EF1D53" w14:paraId="29586126" w14:textId="77777777" w:rsidTr="00EF1D53">
        <w:trPr>
          <w:jc w:val="center"/>
        </w:trPr>
        <w:tc>
          <w:tcPr>
            <w:tcW w:w="3327" w:type="dxa"/>
            <w:gridSpan w:val="2"/>
            <w:vAlign w:val="center"/>
          </w:tcPr>
          <w:p w14:paraId="7FE9F8E4" w14:textId="77777777" w:rsidR="00D81645" w:rsidRPr="00EF1D53" w:rsidRDefault="00D81645" w:rsidP="002A110F">
            <w:pPr>
              <w:pStyle w:val="Tablehead"/>
              <w:rPr>
                <w:rFonts w:ascii="Times New Roman" w:hAnsi="Times New Roman" w:cs="Times New Roman"/>
                <w:sz w:val="20"/>
                <w:szCs w:val="20"/>
              </w:rPr>
            </w:pPr>
            <w:r w:rsidRPr="00EF1D53">
              <w:rPr>
                <w:rFonts w:ascii="Times New Roman" w:hAnsi="Times New Roman" w:cs="Times New Roman"/>
                <w:bCs/>
                <w:sz w:val="20"/>
                <w:szCs w:val="20"/>
              </w:rPr>
              <w:t>Gama de frecuencias (MHz)</w:t>
            </w:r>
          </w:p>
        </w:tc>
        <w:tc>
          <w:tcPr>
            <w:tcW w:w="1204" w:type="dxa"/>
            <w:vAlign w:val="center"/>
          </w:tcPr>
          <w:p w14:paraId="4DFE30D3" w14:textId="77777777" w:rsidR="00D81645" w:rsidRPr="00EF1D53" w:rsidRDefault="00D81645" w:rsidP="002A110F">
            <w:pPr>
              <w:pStyle w:val="Tablehead"/>
              <w:rPr>
                <w:rFonts w:ascii="Times New Roman" w:hAnsi="Times New Roman" w:cs="Times New Roman"/>
                <w:sz w:val="20"/>
                <w:szCs w:val="20"/>
              </w:rPr>
            </w:pPr>
            <w:r w:rsidRPr="00EF1D53">
              <w:rPr>
                <w:rFonts w:ascii="Times New Roman" w:hAnsi="Times New Roman" w:cs="Times New Roman"/>
                <w:bCs/>
                <w:sz w:val="20"/>
                <w:szCs w:val="20"/>
              </w:rPr>
              <w:t>1 492-1 502</w:t>
            </w:r>
          </w:p>
        </w:tc>
        <w:tc>
          <w:tcPr>
            <w:tcW w:w="1276" w:type="dxa"/>
            <w:vAlign w:val="center"/>
          </w:tcPr>
          <w:p w14:paraId="2BA3DB01" w14:textId="77777777" w:rsidR="00D81645" w:rsidRPr="00EF1D53" w:rsidRDefault="00D81645" w:rsidP="002A110F">
            <w:pPr>
              <w:pStyle w:val="Tablehead"/>
              <w:rPr>
                <w:rFonts w:ascii="Times New Roman" w:hAnsi="Times New Roman" w:cs="Times New Roman"/>
                <w:sz w:val="20"/>
                <w:szCs w:val="20"/>
              </w:rPr>
            </w:pPr>
            <w:r w:rsidRPr="00EF1D53">
              <w:rPr>
                <w:rFonts w:ascii="Times New Roman" w:hAnsi="Times New Roman" w:cs="Times New Roman"/>
                <w:bCs/>
                <w:sz w:val="20"/>
                <w:szCs w:val="20"/>
              </w:rPr>
              <w:t>1 502-1 512</w:t>
            </w:r>
          </w:p>
        </w:tc>
        <w:tc>
          <w:tcPr>
            <w:tcW w:w="1276" w:type="dxa"/>
            <w:vAlign w:val="center"/>
          </w:tcPr>
          <w:p w14:paraId="481592B9" w14:textId="77777777" w:rsidR="00D81645" w:rsidRPr="00EF1D53" w:rsidRDefault="00D81645" w:rsidP="002A110F">
            <w:pPr>
              <w:pStyle w:val="Tablehead"/>
              <w:rPr>
                <w:rFonts w:ascii="Times New Roman" w:hAnsi="Times New Roman" w:cs="Times New Roman"/>
                <w:sz w:val="20"/>
                <w:szCs w:val="20"/>
              </w:rPr>
            </w:pPr>
            <w:r w:rsidRPr="00EF1D53">
              <w:rPr>
                <w:rFonts w:ascii="Times New Roman" w:hAnsi="Times New Roman" w:cs="Times New Roman"/>
                <w:bCs/>
                <w:sz w:val="20"/>
                <w:szCs w:val="20"/>
              </w:rPr>
              <w:t>1 512-1 517</w:t>
            </w:r>
          </w:p>
        </w:tc>
        <w:tc>
          <w:tcPr>
            <w:tcW w:w="1276" w:type="dxa"/>
            <w:vAlign w:val="center"/>
          </w:tcPr>
          <w:p w14:paraId="7EAAA97B" w14:textId="77777777" w:rsidR="00D81645" w:rsidRPr="00EF1D53" w:rsidRDefault="00D81645" w:rsidP="002A110F">
            <w:pPr>
              <w:pStyle w:val="Tablehead"/>
              <w:rPr>
                <w:rFonts w:ascii="Times New Roman" w:hAnsi="Times New Roman" w:cs="Times New Roman"/>
                <w:sz w:val="20"/>
                <w:szCs w:val="20"/>
              </w:rPr>
            </w:pPr>
            <w:r w:rsidRPr="00EF1D53">
              <w:rPr>
                <w:rFonts w:ascii="Times New Roman" w:hAnsi="Times New Roman" w:cs="Times New Roman"/>
                <w:bCs/>
                <w:sz w:val="20"/>
                <w:szCs w:val="20"/>
              </w:rPr>
              <w:t>1 492-1 512</w:t>
            </w:r>
          </w:p>
        </w:tc>
        <w:tc>
          <w:tcPr>
            <w:tcW w:w="1270" w:type="dxa"/>
            <w:vAlign w:val="center"/>
          </w:tcPr>
          <w:p w14:paraId="7434D18F" w14:textId="77777777" w:rsidR="00D81645" w:rsidRPr="00EF1D53" w:rsidRDefault="00D81645" w:rsidP="002A110F">
            <w:pPr>
              <w:pStyle w:val="Tablehead"/>
              <w:rPr>
                <w:rFonts w:ascii="Times New Roman" w:hAnsi="Times New Roman" w:cs="Times New Roman"/>
                <w:sz w:val="20"/>
                <w:szCs w:val="20"/>
              </w:rPr>
            </w:pPr>
            <w:r w:rsidRPr="00EF1D53">
              <w:rPr>
                <w:rFonts w:ascii="Times New Roman" w:hAnsi="Times New Roman" w:cs="Times New Roman"/>
                <w:bCs/>
                <w:sz w:val="20"/>
                <w:szCs w:val="20"/>
              </w:rPr>
              <w:t>1 512-1 517</w:t>
            </w:r>
          </w:p>
        </w:tc>
      </w:tr>
      <w:tr w:rsidR="00D81645" w:rsidRPr="00EF1D53" w14:paraId="4D2B7CB3" w14:textId="77777777" w:rsidTr="00EF1D53">
        <w:trPr>
          <w:jc w:val="center"/>
        </w:trPr>
        <w:tc>
          <w:tcPr>
            <w:tcW w:w="1479" w:type="dxa"/>
            <w:vMerge w:val="restart"/>
            <w:vAlign w:val="center"/>
          </w:tcPr>
          <w:p w14:paraId="3E93AE92" w14:textId="5D5FEAED" w:rsidR="00D81645" w:rsidRPr="00EF1D53" w:rsidRDefault="00D81645" w:rsidP="002A110F">
            <w:pPr>
              <w:pStyle w:val="Tabletext"/>
              <w:jc w:val="center"/>
              <w:rPr>
                <w:rFonts w:ascii="Times New Roman" w:hAnsi="Times New Roman" w:cs="Times New Roman"/>
                <w:sz w:val="20"/>
                <w:szCs w:val="20"/>
              </w:rPr>
            </w:pPr>
            <w:r w:rsidRPr="00EF1D53">
              <w:rPr>
                <w:rFonts w:ascii="Times New Roman" w:hAnsi="Times New Roman" w:cs="Times New Roman"/>
                <w:sz w:val="20"/>
                <w:szCs w:val="20"/>
              </w:rPr>
              <w:t>Para el Cuadro</w:t>
            </w:r>
            <w:r w:rsidR="00EF1D53">
              <w:rPr>
                <w:rFonts w:ascii="Times New Roman" w:hAnsi="Times New Roman" w:cs="Times New Roman"/>
                <w:sz w:val="20"/>
                <w:szCs w:val="20"/>
              </w:rPr>
              <w:t> </w:t>
            </w:r>
            <w:r w:rsidRPr="00EF1D53">
              <w:rPr>
                <w:rFonts w:ascii="Times New Roman" w:hAnsi="Times New Roman" w:cs="Times New Roman"/>
                <w:sz w:val="20"/>
                <w:szCs w:val="20"/>
              </w:rPr>
              <w:t>6</w:t>
            </w:r>
          </w:p>
        </w:tc>
        <w:tc>
          <w:tcPr>
            <w:tcW w:w="1848" w:type="dxa"/>
            <w:vAlign w:val="center"/>
          </w:tcPr>
          <w:p w14:paraId="429CE09E" w14:textId="77777777" w:rsidR="00D81645" w:rsidRPr="00EF1D53" w:rsidRDefault="00D81645" w:rsidP="002A110F">
            <w:pPr>
              <w:pStyle w:val="Tabletext"/>
              <w:rPr>
                <w:rFonts w:ascii="Times New Roman" w:hAnsi="Times New Roman" w:cs="Times New Roman"/>
                <w:sz w:val="20"/>
                <w:szCs w:val="20"/>
              </w:rPr>
            </w:pPr>
            <w:r w:rsidRPr="00EF1D53">
              <w:rPr>
                <w:rFonts w:ascii="Times New Roman" w:hAnsi="Times New Roman" w:cs="Times New Roman"/>
                <w:sz w:val="20"/>
                <w:szCs w:val="20"/>
              </w:rPr>
              <w:t>ETM marítimas</w:t>
            </w:r>
          </w:p>
        </w:tc>
        <w:tc>
          <w:tcPr>
            <w:tcW w:w="1204" w:type="dxa"/>
            <w:vAlign w:val="center"/>
          </w:tcPr>
          <w:p w14:paraId="1761F57A" w14:textId="77777777" w:rsidR="00D81645" w:rsidRPr="00EF1D53" w:rsidRDefault="00D81645" w:rsidP="002A110F">
            <w:pPr>
              <w:pStyle w:val="Tabletext"/>
              <w:jc w:val="center"/>
              <w:rPr>
                <w:rFonts w:ascii="Times New Roman" w:hAnsi="Times New Roman" w:cs="Times New Roman"/>
                <w:sz w:val="20"/>
                <w:szCs w:val="20"/>
              </w:rPr>
            </w:pPr>
            <w:r w:rsidRPr="00EF1D53">
              <w:rPr>
                <w:rFonts w:ascii="Times New Roman" w:hAnsi="Times New Roman" w:cs="Times New Roman"/>
                <w:sz w:val="20"/>
                <w:szCs w:val="20"/>
              </w:rPr>
              <w:t>−35</w:t>
            </w:r>
          </w:p>
        </w:tc>
        <w:tc>
          <w:tcPr>
            <w:tcW w:w="1276" w:type="dxa"/>
            <w:vAlign w:val="center"/>
          </w:tcPr>
          <w:p w14:paraId="24130843" w14:textId="77777777" w:rsidR="00D81645" w:rsidRPr="00EF1D53" w:rsidRDefault="00D81645" w:rsidP="002A110F">
            <w:pPr>
              <w:pStyle w:val="Tabletext"/>
              <w:jc w:val="center"/>
              <w:rPr>
                <w:rFonts w:ascii="Times New Roman" w:hAnsi="Times New Roman" w:cs="Times New Roman"/>
                <w:sz w:val="20"/>
                <w:szCs w:val="20"/>
              </w:rPr>
            </w:pPr>
            <w:r w:rsidRPr="00EF1D53">
              <w:rPr>
                <w:rFonts w:ascii="Times New Roman" w:hAnsi="Times New Roman" w:cs="Times New Roman"/>
                <w:sz w:val="20"/>
                <w:szCs w:val="20"/>
              </w:rPr>
              <w:t>−35</w:t>
            </w:r>
          </w:p>
        </w:tc>
        <w:tc>
          <w:tcPr>
            <w:tcW w:w="1276" w:type="dxa"/>
            <w:vAlign w:val="center"/>
          </w:tcPr>
          <w:p w14:paraId="0930BBFF" w14:textId="77777777" w:rsidR="00D81645" w:rsidRPr="00EF1D53" w:rsidRDefault="00D81645" w:rsidP="002A110F">
            <w:pPr>
              <w:pStyle w:val="Tabletext"/>
              <w:jc w:val="center"/>
              <w:rPr>
                <w:rFonts w:ascii="Times New Roman" w:hAnsi="Times New Roman" w:cs="Times New Roman"/>
                <w:sz w:val="20"/>
                <w:szCs w:val="20"/>
              </w:rPr>
            </w:pPr>
            <w:r w:rsidRPr="00EF1D53">
              <w:rPr>
                <w:rFonts w:ascii="Times New Roman" w:hAnsi="Times New Roman" w:cs="Times New Roman"/>
                <w:sz w:val="20"/>
                <w:szCs w:val="20"/>
              </w:rPr>
              <w:t>−50</w:t>
            </w:r>
          </w:p>
        </w:tc>
        <w:tc>
          <w:tcPr>
            <w:tcW w:w="1276" w:type="dxa"/>
            <w:vAlign w:val="center"/>
          </w:tcPr>
          <w:p w14:paraId="2DA8EE52" w14:textId="77777777" w:rsidR="00D81645" w:rsidRPr="00EF1D53" w:rsidRDefault="00D81645" w:rsidP="002A110F">
            <w:pPr>
              <w:pStyle w:val="Tabletext"/>
              <w:jc w:val="center"/>
              <w:rPr>
                <w:rFonts w:ascii="Times New Roman" w:hAnsi="Times New Roman" w:cs="Times New Roman"/>
                <w:sz w:val="20"/>
                <w:szCs w:val="20"/>
              </w:rPr>
            </w:pPr>
            <w:r w:rsidRPr="00EF1D53">
              <w:rPr>
                <w:rFonts w:ascii="Times New Roman" w:hAnsi="Times New Roman" w:cs="Times New Roman"/>
                <w:sz w:val="20"/>
                <w:szCs w:val="20"/>
              </w:rPr>
              <w:t>–20</w:t>
            </w:r>
          </w:p>
        </w:tc>
        <w:tc>
          <w:tcPr>
            <w:tcW w:w="1270" w:type="dxa"/>
            <w:vAlign w:val="center"/>
          </w:tcPr>
          <w:p w14:paraId="44CB7A9C" w14:textId="77777777" w:rsidR="00D81645" w:rsidRPr="00EF1D53" w:rsidRDefault="00D81645" w:rsidP="002A110F">
            <w:pPr>
              <w:pStyle w:val="Tabletext"/>
              <w:jc w:val="center"/>
              <w:rPr>
                <w:rFonts w:ascii="Times New Roman" w:hAnsi="Times New Roman" w:cs="Times New Roman"/>
                <w:sz w:val="20"/>
                <w:szCs w:val="20"/>
              </w:rPr>
            </w:pPr>
            <w:r w:rsidRPr="00EF1D53">
              <w:rPr>
                <w:rFonts w:ascii="Times New Roman" w:hAnsi="Times New Roman" w:cs="Times New Roman"/>
                <w:sz w:val="20"/>
                <w:szCs w:val="20"/>
              </w:rPr>
              <w:t>–30</w:t>
            </w:r>
          </w:p>
        </w:tc>
      </w:tr>
      <w:tr w:rsidR="00D81645" w:rsidRPr="00EF1D53" w14:paraId="56F64378" w14:textId="77777777" w:rsidTr="00EF1D53">
        <w:trPr>
          <w:jc w:val="center"/>
        </w:trPr>
        <w:tc>
          <w:tcPr>
            <w:tcW w:w="1479" w:type="dxa"/>
            <w:vMerge/>
            <w:vAlign w:val="center"/>
          </w:tcPr>
          <w:p w14:paraId="185BCA8D" w14:textId="77777777" w:rsidR="00D81645" w:rsidRPr="00EF1D53" w:rsidRDefault="00D81645" w:rsidP="002A110F">
            <w:pPr>
              <w:pStyle w:val="Tabletext"/>
              <w:jc w:val="center"/>
              <w:rPr>
                <w:rFonts w:ascii="Times New Roman" w:hAnsi="Times New Roman" w:cs="Times New Roman"/>
                <w:sz w:val="20"/>
                <w:szCs w:val="20"/>
              </w:rPr>
            </w:pPr>
          </w:p>
        </w:tc>
        <w:tc>
          <w:tcPr>
            <w:tcW w:w="1848" w:type="dxa"/>
            <w:vAlign w:val="center"/>
          </w:tcPr>
          <w:p w14:paraId="14764FCD" w14:textId="77777777" w:rsidR="00D81645" w:rsidRPr="00EF1D53" w:rsidRDefault="00D81645" w:rsidP="002A110F">
            <w:pPr>
              <w:pStyle w:val="Tabletext"/>
              <w:rPr>
                <w:rFonts w:ascii="Times New Roman" w:hAnsi="Times New Roman" w:cs="Times New Roman"/>
                <w:sz w:val="20"/>
                <w:szCs w:val="20"/>
              </w:rPr>
            </w:pPr>
            <w:r w:rsidRPr="00EF1D53">
              <w:rPr>
                <w:rFonts w:ascii="Times New Roman" w:hAnsi="Times New Roman" w:cs="Times New Roman"/>
                <w:sz w:val="20"/>
                <w:szCs w:val="20"/>
              </w:rPr>
              <w:t>ETM aeronáuticas</w:t>
            </w:r>
          </w:p>
        </w:tc>
        <w:tc>
          <w:tcPr>
            <w:tcW w:w="1204" w:type="dxa"/>
            <w:vAlign w:val="center"/>
          </w:tcPr>
          <w:p w14:paraId="19E03761" w14:textId="77777777" w:rsidR="00D81645" w:rsidRPr="00EF1D53" w:rsidRDefault="00D81645" w:rsidP="002A110F">
            <w:pPr>
              <w:pStyle w:val="Tabletext"/>
              <w:jc w:val="center"/>
              <w:rPr>
                <w:rFonts w:ascii="Times New Roman" w:hAnsi="Times New Roman" w:cs="Times New Roman"/>
                <w:sz w:val="20"/>
                <w:szCs w:val="20"/>
              </w:rPr>
            </w:pPr>
            <w:r w:rsidRPr="00EF1D53">
              <w:rPr>
                <w:rFonts w:ascii="Times New Roman" w:hAnsi="Times New Roman" w:cs="Times New Roman"/>
                <w:sz w:val="20"/>
                <w:szCs w:val="20"/>
              </w:rPr>
              <w:t>−35</w:t>
            </w:r>
          </w:p>
        </w:tc>
        <w:tc>
          <w:tcPr>
            <w:tcW w:w="1276" w:type="dxa"/>
            <w:vAlign w:val="center"/>
          </w:tcPr>
          <w:p w14:paraId="49B937CA" w14:textId="77777777" w:rsidR="00D81645" w:rsidRPr="00EF1D53" w:rsidRDefault="00D81645" w:rsidP="002A110F">
            <w:pPr>
              <w:pStyle w:val="Tabletext"/>
              <w:jc w:val="center"/>
              <w:rPr>
                <w:rFonts w:ascii="Times New Roman" w:hAnsi="Times New Roman" w:cs="Times New Roman"/>
                <w:sz w:val="20"/>
                <w:szCs w:val="20"/>
              </w:rPr>
            </w:pPr>
            <w:r w:rsidRPr="00EF1D53">
              <w:rPr>
                <w:rFonts w:ascii="Times New Roman" w:hAnsi="Times New Roman" w:cs="Times New Roman"/>
                <w:sz w:val="20"/>
                <w:szCs w:val="20"/>
              </w:rPr>
              <w:t>−35</w:t>
            </w:r>
          </w:p>
        </w:tc>
        <w:tc>
          <w:tcPr>
            <w:tcW w:w="1276" w:type="dxa"/>
            <w:vAlign w:val="center"/>
          </w:tcPr>
          <w:p w14:paraId="619E1905" w14:textId="77777777" w:rsidR="00D81645" w:rsidRPr="00EF1D53" w:rsidRDefault="00D81645" w:rsidP="002A110F">
            <w:pPr>
              <w:pStyle w:val="Tabletext"/>
              <w:jc w:val="center"/>
              <w:rPr>
                <w:rFonts w:ascii="Times New Roman" w:hAnsi="Times New Roman" w:cs="Times New Roman"/>
                <w:sz w:val="20"/>
                <w:szCs w:val="20"/>
              </w:rPr>
            </w:pPr>
            <w:r w:rsidRPr="00EF1D53">
              <w:rPr>
                <w:rFonts w:ascii="Times New Roman" w:hAnsi="Times New Roman" w:cs="Times New Roman"/>
                <w:sz w:val="20"/>
                <w:szCs w:val="20"/>
              </w:rPr>
              <w:t>−50</w:t>
            </w:r>
          </w:p>
        </w:tc>
        <w:tc>
          <w:tcPr>
            <w:tcW w:w="1276" w:type="dxa"/>
            <w:vAlign w:val="center"/>
          </w:tcPr>
          <w:p w14:paraId="0932D074" w14:textId="77777777" w:rsidR="00D81645" w:rsidRPr="00EF1D53" w:rsidRDefault="00D81645" w:rsidP="002A110F">
            <w:pPr>
              <w:pStyle w:val="Tabletext"/>
              <w:jc w:val="center"/>
              <w:rPr>
                <w:rFonts w:ascii="Times New Roman" w:hAnsi="Times New Roman" w:cs="Times New Roman"/>
                <w:sz w:val="20"/>
                <w:szCs w:val="20"/>
              </w:rPr>
            </w:pPr>
            <w:r w:rsidRPr="00EF1D53">
              <w:rPr>
                <w:rFonts w:ascii="Times New Roman" w:hAnsi="Times New Roman" w:cs="Times New Roman"/>
                <w:sz w:val="20"/>
                <w:szCs w:val="20"/>
              </w:rPr>
              <w:t>–20</w:t>
            </w:r>
          </w:p>
        </w:tc>
        <w:tc>
          <w:tcPr>
            <w:tcW w:w="1270" w:type="dxa"/>
            <w:vAlign w:val="center"/>
          </w:tcPr>
          <w:p w14:paraId="7D739A60" w14:textId="77777777" w:rsidR="00D81645" w:rsidRPr="00EF1D53" w:rsidRDefault="00D81645" w:rsidP="002A110F">
            <w:pPr>
              <w:pStyle w:val="Tabletext"/>
              <w:jc w:val="center"/>
              <w:rPr>
                <w:rFonts w:ascii="Times New Roman" w:hAnsi="Times New Roman" w:cs="Times New Roman"/>
                <w:sz w:val="20"/>
                <w:szCs w:val="20"/>
              </w:rPr>
            </w:pPr>
            <w:r w:rsidRPr="00EF1D53">
              <w:rPr>
                <w:rFonts w:ascii="Times New Roman" w:hAnsi="Times New Roman" w:cs="Times New Roman"/>
                <w:sz w:val="20"/>
                <w:szCs w:val="20"/>
              </w:rPr>
              <w:t>–30</w:t>
            </w:r>
          </w:p>
        </w:tc>
      </w:tr>
    </w:tbl>
    <w:p w14:paraId="40873054" w14:textId="77777777" w:rsidR="00D81645" w:rsidRDefault="00D81645" w:rsidP="005720AD">
      <w:pPr>
        <w:pStyle w:val="Tablefin"/>
      </w:pPr>
    </w:p>
    <w:p w14:paraId="35F83368" w14:textId="77777777" w:rsidR="00EF1D53" w:rsidRDefault="00EF1D53" w:rsidP="00EF1D53">
      <w:pPr>
        <w:rPr>
          <w:lang w:val="en-GB"/>
        </w:rPr>
      </w:pPr>
    </w:p>
    <w:p w14:paraId="14C42977" w14:textId="77777777" w:rsidR="00EF1D53" w:rsidRPr="00EF1D53" w:rsidRDefault="00EF1D53" w:rsidP="00EF1D53">
      <w:pPr>
        <w:rPr>
          <w:lang w:val="en-GB"/>
        </w:rPr>
      </w:pPr>
    </w:p>
    <w:p w14:paraId="1D55E946" w14:textId="1F83F866" w:rsidR="00D81645" w:rsidRPr="00DF0B08" w:rsidRDefault="00D81645" w:rsidP="005720AD">
      <w:pPr>
        <w:pStyle w:val="AnnexNoTitle"/>
      </w:pPr>
      <w:r>
        <w:rPr>
          <w:bCs/>
        </w:rPr>
        <w:t xml:space="preserve">Anexo 4 </w:t>
      </w:r>
      <w:r>
        <w:rPr>
          <w:bCs/>
        </w:rPr>
        <w:br/>
      </w:r>
      <w:r>
        <w:rPr>
          <w:bCs/>
        </w:rPr>
        <w:br/>
        <w:t xml:space="preserve">Medidas reglamentarias adicionales para la compatibilidad </w:t>
      </w:r>
      <w:r w:rsidR="00EF1D53">
        <w:rPr>
          <w:bCs/>
        </w:rPr>
        <w:br/>
      </w:r>
      <w:r>
        <w:rPr>
          <w:bCs/>
        </w:rPr>
        <w:t>con las ETM terrestres</w:t>
      </w:r>
    </w:p>
    <w:p w14:paraId="03E2E558" w14:textId="77777777" w:rsidR="00D81645" w:rsidRPr="00DF0B08" w:rsidRDefault="00D81645" w:rsidP="00053593">
      <w:pPr>
        <w:pStyle w:val="Heading2"/>
      </w:pPr>
      <w:r>
        <w:rPr>
          <w:bCs/>
        </w:rPr>
        <w:t>A4-1</w:t>
      </w:r>
      <w:r>
        <w:tab/>
      </w:r>
      <w:r>
        <w:rPr>
          <w:bCs/>
        </w:rPr>
        <w:t>Introducción</w:t>
      </w:r>
    </w:p>
    <w:p w14:paraId="32851C50" w14:textId="77777777" w:rsidR="00D81645" w:rsidRPr="00DF0B08" w:rsidRDefault="00D81645" w:rsidP="005720AD">
      <w:r>
        <w:t>Las medidas indicadas en este Anexo abordan la situación en la que la administración decide aplicar medidas adicionales de compatibilidad reglamentaria para reducir el riesgo de interferencia en zonas geográficas específicas para las ETM terrestres. Puede tratarse de zonas locales o de todo el país. Estas medidas pueden utilizarse por sí solas o conjuntamente en diferentes zonas de un país para complementarse entre sí. Incluyen:</w:t>
      </w:r>
    </w:p>
    <w:p w14:paraId="379BFD82" w14:textId="17B84778" w:rsidR="00D81645" w:rsidRPr="00DF0B08" w:rsidRDefault="00D81645" w:rsidP="005720AD">
      <w:pPr>
        <w:pStyle w:val="enumlev1"/>
      </w:pPr>
      <w:r>
        <w:t>1)</w:t>
      </w:r>
      <w:r>
        <w:tab/>
        <w:t>Aplicación de los límites de dfp para determinadas zonas utilizadas por las ETM terrestres.</w:t>
      </w:r>
    </w:p>
    <w:p w14:paraId="765932E6" w14:textId="4B04CD2F" w:rsidR="00D81645" w:rsidRPr="00DF0B08" w:rsidRDefault="00D81645" w:rsidP="005720AD">
      <w:pPr>
        <w:pStyle w:val="enumlev1"/>
        <w:rPr>
          <w:sz w:val="22"/>
        </w:rPr>
      </w:pPr>
      <w:r>
        <w:t>2)</w:t>
      </w:r>
      <w:r>
        <w:tab/>
        <w:t>Aplicación de un límite de p.i.r.e. dentro de banda para las EB IMT.</w:t>
      </w:r>
    </w:p>
    <w:p w14:paraId="5702971E" w14:textId="2DD26580" w:rsidR="00D81645" w:rsidRPr="00DF0B08" w:rsidRDefault="00D81645" w:rsidP="005720AD">
      <w:r>
        <w:t>En general, las ETM terrestres están implantadas de manera ubicua y funcionan en todo el país. Por</w:t>
      </w:r>
      <w:r w:rsidR="00EF1D53">
        <w:t> </w:t>
      </w:r>
      <w:r>
        <w:t>consiguiente, el funcionamiento de las IMT puede no ser viable en la banda 1</w:t>
      </w:r>
      <w:r w:rsidR="00EF1D53">
        <w:t> </w:t>
      </w:r>
      <w:r>
        <w:t>512-1</w:t>
      </w:r>
      <w:r w:rsidR="00EF1D53">
        <w:t> </w:t>
      </w:r>
      <w:r>
        <w:t>518</w:t>
      </w:r>
      <w:r w:rsidR="00EF1D53">
        <w:t> </w:t>
      </w:r>
      <w:r>
        <w:t>MHz en tales casos.</w:t>
      </w:r>
    </w:p>
    <w:p w14:paraId="196C3397" w14:textId="77777777" w:rsidR="00D81645" w:rsidRPr="00DF0B08" w:rsidRDefault="00D81645" w:rsidP="005720AD">
      <w:pPr>
        <w:rPr>
          <w:szCs w:val="24"/>
        </w:rPr>
      </w:pPr>
      <w:r>
        <w:t>Para la aplicabilidad de este Anexo, véase la nota al pie del título. A continuación se ofrece información más detallada sobre la definición y aplicación de estas medidas.</w:t>
      </w:r>
    </w:p>
    <w:p w14:paraId="6703EB97" w14:textId="77777777" w:rsidR="00D81645" w:rsidRPr="00DF0B08" w:rsidRDefault="00D81645" w:rsidP="00053593">
      <w:pPr>
        <w:pStyle w:val="Heading2"/>
      </w:pPr>
      <w:r>
        <w:rPr>
          <w:bCs/>
        </w:rPr>
        <w:lastRenderedPageBreak/>
        <w:t>A4-2</w:t>
      </w:r>
      <w:r>
        <w:tab/>
      </w:r>
      <w:r>
        <w:rPr>
          <w:bCs/>
        </w:rPr>
        <w:t>Medida 1 – Límites de dfp</w:t>
      </w:r>
    </w:p>
    <w:p w14:paraId="1C71E17D" w14:textId="60332AAB" w:rsidR="00D81645" w:rsidRPr="00DF0B08" w:rsidRDefault="00D81645" w:rsidP="005720AD">
      <w:r>
        <w:t>Las administraciones deben definir las zonas geográficas (partes del país o la totalidad) en las que se aplican los límites de dfp. Estos niveles máximos de dfp se aplican a las emisiones de la estación de base IMT que llegan a las zonas definidas, independientemente de dónde se encuentren las EB IMT. Los niveles máximos de dfp deben alcanzarse a una altura definida sobre el suelo (por ejemplo, 1,5 m), en el límite de la zona y dentro de ella. Los límites de dfp mejoran la compatibilidad con las emisiones de las IMT y se añaden a los requisitos técnicos del Anexo</w:t>
      </w:r>
      <w:r w:rsidR="00EF1D53">
        <w:t> </w:t>
      </w:r>
      <w:r>
        <w:t>1. Dado que los UE IMT sólo pueden transmitir cuando están conectados a la red, la distancia de separación geográfica resultante de los niveles de dfp para las EB IMT también puede proporcionar una separación entre los equipos de usuario y las ETM, junto con una atenuación adicional resultante de la altura de la antena del equipo de usuario y la ocupación del suelo en los alrededores.</w:t>
      </w:r>
    </w:p>
    <w:p w14:paraId="57E445E3" w14:textId="0567E933" w:rsidR="00D81645" w:rsidRPr="00DF0B08" w:rsidRDefault="00D81645" w:rsidP="005720AD">
      <w:r>
        <w:t>Los límites de dfp se aplican en dos fases. Para la fase</w:t>
      </w:r>
      <w:r w:rsidR="00EF1D53">
        <w:t> </w:t>
      </w:r>
      <w:r>
        <w:t>1, los valores de dfp se basan en las características de bloqueo medidas de las ETM terrestres actuales. Para la fase</w:t>
      </w:r>
      <w:r w:rsidR="00EF1D53">
        <w:t> </w:t>
      </w:r>
      <w:r>
        <w:t>2, los valores de dfp se basan en ETM que cumplen los niveles de resistencia al bloqueo del Anexo 1. Los valores de dfp de la fase</w:t>
      </w:r>
      <w:r w:rsidR="00EF1D53">
        <w:t> </w:t>
      </w:r>
      <w:r>
        <w:t>2 son menos restrictivos para la implantación de las IMT y deben utilizarse cuando así lo requiera la administración correspondiente en un momento en que se considera que los terminales ETM resilientes están desplegados más ampliamente. Los límites de dfp se refieren a las emisiones de las estaciones base IMT en la banda 1</w:t>
      </w:r>
      <w:r w:rsidR="00EF1D53">
        <w:t> </w:t>
      </w:r>
      <w:r>
        <w:t>502-1</w:t>
      </w:r>
      <w:r w:rsidR="00EF1D53">
        <w:t> </w:t>
      </w:r>
      <w:r>
        <w:t>517</w:t>
      </w:r>
      <w:r w:rsidR="00EF1D53">
        <w:t> </w:t>
      </w:r>
      <w:r>
        <w:t>MHz.</w:t>
      </w:r>
    </w:p>
    <w:p w14:paraId="6B59E842" w14:textId="02B67E72" w:rsidR="00D81645" w:rsidRPr="00DF0B08" w:rsidRDefault="00D81645" w:rsidP="005720AD">
      <w:r>
        <w:t>Las operaciones del SMS terrestre suelen autorizarse en todo el país, en cuyo caso los límites de dfp pueden aplicarse a todo el territorio nacional. En este caso, las operaciones de las IMT pueden no ser viables en la banda 1</w:t>
      </w:r>
      <w:r w:rsidR="00EF1D53">
        <w:t> </w:t>
      </w:r>
      <w:r>
        <w:t>512-1</w:t>
      </w:r>
      <w:r w:rsidR="00EF1D53">
        <w:t> </w:t>
      </w:r>
      <w:r>
        <w:t>518</w:t>
      </w:r>
      <w:r w:rsidR="00EF1D53">
        <w:t> </w:t>
      </w:r>
      <w:r>
        <w:t>MHz.</w:t>
      </w:r>
    </w:p>
    <w:p w14:paraId="73302129" w14:textId="040FB180" w:rsidR="00D81645" w:rsidRPr="00DF0B08" w:rsidRDefault="00D81645" w:rsidP="005720AD">
      <w:pPr>
        <w:rPr>
          <w:iCs/>
        </w:rPr>
      </w:pPr>
      <w:r>
        <w:t>Los límites de dfp indicados en el Cuadro</w:t>
      </w:r>
      <w:r w:rsidR="00EF1D53">
        <w:t> </w:t>
      </w:r>
      <w:r>
        <w:t xml:space="preserve">9 corresponden a los valores máximo y mínimo de ganancia de antena de las ETM que figuran en el Informe </w:t>
      </w:r>
      <w:hyperlink r:id="rId22" w:history="1">
        <w:r w:rsidRPr="00EF1D53">
          <w:t>UIT-R M.2529</w:t>
        </w:r>
      </w:hyperlink>
      <w:r>
        <w:t>.</w:t>
      </w:r>
    </w:p>
    <w:p w14:paraId="18752565" w14:textId="77777777" w:rsidR="00D81645" w:rsidRPr="00DF0B08" w:rsidRDefault="00D81645" w:rsidP="005720AD">
      <w:pPr>
        <w:pStyle w:val="TableNo"/>
      </w:pPr>
      <w:r>
        <w:t>CUADRO 9</w:t>
      </w:r>
    </w:p>
    <w:p w14:paraId="61286523" w14:textId="77777777" w:rsidR="00D81645" w:rsidRPr="00DF0B08" w:rsidRDefault="00D81645" w:rsidP="005720AD">
      <w:pPr>
        <w:pStyle w:val="Tabletitle"/>
        <w:rPr>
          <w:rFonts w:cs="Times New Roman Bold"/>
          <w:bCs/>
        </w:rPr>
      </w:pPr>
      <w:r>
        <w:rPr>
          <w:bCs/>
        </w:rPr>
        <w:t>Límites de dfp para las emisiones de las EB IMT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531"/>
        <w:gridCol w:w="1195"/>
        <w:gridCol w:w="1211"/>
        <w:gridCol w:w="1245"/>
        <w:gridCol w:w="1195"/>
        <w:gridCol w:w="1195"/>
        <w:gridCol w:w="1286"/>
      </w:tblGrid>
      <w:tr w:rsidR="00D81645" w:rsidRPr="00EF1D53" w14:paraId="4DEBF664" w14:textId="77777777" w:rsidTr="00EF1D53">
        <w:trPr>
          <w:jc w:val="center"/>
        </w:trPr>
        <w:tc>
          <w:tcPr>
            <w:tcW w:w="405" w:type="pct"/>
            <w:vAlign w:val="center"/>
            <w:hideMark/>
          </w:tcPr>
          <w:p w14:paraId="65BCDA90" w14:textId="77777777" w:rsidR="00D81645" w:rsidRPr="00EF1D53" w:rsidRDefault="00D81645" w:rsidP="004A7BEA">
            <w:pPr>
              <w:pStyle w:val="Tablehead"/>
              <w:rPr>
                <w:sz w:val="20"/>
              </w:rPr>
            </w:pPr>
            <w:r w:rsidRPr="00EF1D53">
              <w:rPr>
                <w:sz w:val="20"/>
              </w:rPr>
              <w:t>Fase</w:t>
            </w:r>
          </w:p>
        </w:tc>
        <w:tc>
          <w:tcPr>
            <w:tcW w:w="794" w:type="pct"/>
            <w:vAlign w:val="center"/>
          </w:tcPr>
          <w:p w14:paraId="1919A0E7" w14:textId="77777777" w:rsidR="00D81645" w:rsidRPr="00EF1D53" w:rsidRDefault="00D81645" w:rsidP="004A7BEA">
            <w:pPr>
              <w:pStyle w:val="Tablehead"/>
              <w:rPr>
                <w:sz w:val="20"/>
              </w:rPr>
            </w:pPr>
          </w:p>
        </w:tc>
        <w:tc>
          <w:tcPr>
            <w:tcW w:w="1894" w:type="pct"/>
            <w:gridSpan w:val="3"/>
            <w:vAlign w:val="center"/>
            <w:hideMark/>
          </w:tcPr>
          <w:p w14:paraId="073E888D" w14:textId="77777777" w:rsidR="00D81645" w:rsidRPr="00EF1D53" w:rsidRDefault="00D81645" w:rsidP="004A7BEA">
            <w:pPr>
              <w:pStyle w:val="Tablehead"/>
              <w:rPr>
                <w:sz w:val="20"/>
              </w:rPr>
            </w:pPr>
            <w:r w:rsidRPr="00EF1D53">
              <w:rPr>
                <w:sz w:val="20"/>
              </w:rPr>
              <w:t>Fase 1</w:t>
            </w:r>
          </w:p>
        </w:tc>
        <w:tc>
          <w:tcPr>
            <w:tcW w:w="1907" w:type="pct"/>
            <w:gridSpan w:val="3"/>
            <w:vAlign w:val="center"/>
            <w:hideMark/>
          </w:tcPr>
          <w:p w14:paraId="05093968" w14:textId="77777777" w:rsidR="00D81645" w:rsidRPr="00EF1D53" w:rsidRDefault="00D81645" w:rsidP="004A7BEA">
            <w:pPr>
              <w:pStyle w:val="Tablehead"/>
              <w:rPr>
                <w:sz w:val="20"/>
              </w:rPr>
            </w:pPr>
            <w:r w:rsidRPr="00EF1D53">
              <w:rPr>
                <w:sz w:val="20"/>
              </w:rPr>
              <w:t>Fase 2</w:t>
            </w:r>
          </w:p>
        </w:tc>
      </w:tr>
      <w:tr w:rsidR="00D81645" w:rsidRPr="00EF1D53" w14:paraId="6DF2600F" w14:textId="77777777" w:rsidTr="00EF1D53">
        <w:trPr>
          <w:jc w:val="center"/>
        </w:trPr>
        <w:tc>
          <w:tcPr>
            <w:tcW w:w="405" w:type="pct"/>
            <w:vAlign w:val="center"/>
          </w:tcPr>
          <w:p w14:paraId="7058293A" w14:textId="77777777" w:rsidR="00D81645" w:rsidRPr="00EF1D53" w:rsidRDefault="00D81645" w:rsidP="004A7BEA">
            <w:pPr>
              <w:pStyle w:val="Tablehead"/>
              <w:rPr>
                <w:sz w:val="20"/>
              </w:rPr>
            </w:pPr>
          </w:p>
        </w:tc>
        <w:tc>
          <w:tcPr>
            <w:tcW w:w="794" w:type="pct"/>
            <w:vAlign w:val="center"/>
            <w:hideMark/>
          </w:tcPr>
          <w:p w14:paraId="01327A2E" w14:textId="77777777" w:rsidR="00D81645" w:rsidRPr="00EF1D53" w:rsidRDefault="00D81645" w:rsidP="004A7BEA">
            <w:pPr>
              <w:pStyle w:val="Tablehead"/>
              <w:rPr>
                <w:sz w:val="20"/>
              </w:rPr>
            </w:pPr>
            <w:r w:rsidRPr="00EF1D53">
              <w:rPr>
                <w:sz w:val="20"/>
              </w:rPr>
              <w:t>Ganancia de la antena del terminal ETM (dBi) en dirección de la estación base IMT</w:t>
            </w:r>
          </w:p>
        </w:tc>
        <w:tc>
          <w:tcPr>
            <w:tcW w:w="620" w:type="pct"/>
            <w:vAlign w:val="center"/>
            <w:hideMark/>
          </w:tcPr>
          <w:p w14:paraId="0885DD9A" w14:textId="7434183B" w:rsidR="00D81645" w:rsidRPr="00EF1D53" w:rsidRDefault="00D81645" w:rsidP="004A7BEA">
            <w:pPr>
              <w:pStyle w:val="Tablehead"/>
              <w:rPr>
                <w:sz w:val="20"/>
              </w:rPr>
            </w:pPr>
            <w:r w:rsidRPr="00EF1D53">
              <w:rPr>
                <w:sz w:val="20"/>
              </w:rPr>
              <w:t>Límite de dfp para las emisiones de la EB en la banda 1 502-1 507</w:t>
            </w:r>
            <w:r w:rsidR="00EF1D53">
              <w:rPr>
                <w:sz w:val="20"/>
              </w:rPr>
              <w:t> </w:t>
            </w:r>
            <w:r w:rsidRPr="00EF1D53">
              <w:rPr>
                <w:sz w:val="20"/>
              </w:rPr>
              <w:t>MHz (dBW/m</w:t>
            </w:r>
            <w:r w:rsidRPr="00EF1D53">
              <w:rPr>
                <w:sz w:val="20"/>
                <w:vertAlign w:val="superscript"/>
              </w:rPr>
              <w:t>2</w:t>
            </w:r>
            <w:r w:rsidRPr="00EF1D53">
              <w:rPr>
                <w:sz w:val="20"/>
              </w:rPr>
              <w:t>)</w:t>
            </w:r>
          </w:p>
        </w:tc>
        <w:tc>
          <w:tcPr>
            <w:tcW w:w="628" w:type="pct"/>
            <w:vAlign w:val="center"/>
            <w:hideMark/>
          </w:tcPr>
          <w:p w14:paraId="12931AD7" w14:textId="27A6DD1A" w:rsidR="00D81645" w:rsidRPr="00EF1D53" w:rsidRDefault="00D81645" w:rsidP="004A7BEA">
            <w:pPr>
              <w:pStyle w:val="Tablehead"/>
              <w:rPr>
                <w:sz w:val="20"/>
              </w:rPr>
            </w:pPr>
            <w:r w:rsidRPr="00EF1D53">
              <w:rPr>
                <w:sz w:val="20"/>
              </w:rPr>
              <w:t>Límite de dfp para las emisiones de la EB en la banda 1 507-1 512</w:t>
            </w:r>
            <w:r w:rsidR="00EF1D53">
              <w:rPr>
                <w:sz w:val="20"/>
              </w:rPr>
              <w:t> </w:t>
            </w:r>
            <w:r w:rsidRPr="00EF1D53">
              <w:rPr>
                <w:sz w:val="20"/>
              </w:rPr>
              <w:t>MHz (dBW/m</w:t>
            </w:r>
            <w:r w:rsidR="00EF1D53" w:rsidRPr="00EF1D53">
              <w:rPr>
                <w:sz w:val="20"/>
                <w:vertAlign w:val="superscript"/>
              </w:rPr>
              <w:t>2</w:t>
            </w:r>
            <w:r w:rsidRPr="00EF1D53">
              <w:rPr>
                <w:sz w:val="20"/>
              </w:rPr>
              <w:t>)</w:t>
            </w:r>
          </w:p>
        </w:tc>
        <w:tc>
          <w:tcPr>
            <w:tcW w:w="646" w:type="pct"/>
            <w:vAlign w:val="center"/>
            <w:hideMark/>
          </w:tcPr>
          <w:p w14:paraId="30796A6F" w14:textId="57703C37" w:rsidR="00D81645" w:rsidRPr="00EF1D53" w:rsidRDefault="00D81645" w:rsidP="004A7BEA">
            <w:pPr>
              <w:pStyle w:val="Tablehead"/>
              <w:rPr>
                <w:sz w:val="20"/>
              </w:rPr>
            </w:pPr>
            <w:r w:rsidRPr="00EF1D53">
              <w:rPr>
                <w:sz w:val="20"/>
              </w:rPr>
              <w:t>Límite de dfp para las emisiones de la EB en la banda 1 512-1 517</w:t>
            </w:r>
            <w:r w:rsidR="00EF1D53">
              <w:rPr>
                <w:sz w:val="20"/>
              </w:rPr>
              <w:t> </w:t>
            </w:r>
            <w:r w:rsidRPr="00EF1D53">
              <w:rPr>
                <w:sz w:val="20"/>
              </w:rPr>
              <w:t>MHz (dBW/m</w:t>
            </w:r>
            <w:r w:rsidR="00EF1D53" w:rsidRPr="00EF1D53">
              <w:rPr>
                <w:sz w:val="20"/>
                <w:vertAlign w:val="superscript"/>
              </w:rPr>
              <w:t>2</w:t>
            </w:r>
            <w:r w:rsidRPr="00EF1D53">
              <w:rPr>
                <w:sz w:val="20"/>
              </w:rPr>
              <w:t>)</w:t>
            </w:r>
          </w:p>
        </w:tc>
        <w:tc>
          <w:tcPr>
            <w:tcW w:w="620" w:type="pct"/>
            <w:vAlign w:val="center"/>
            <w:hideMark/>
          </w:tcPr>
          <w:p w14:paraId="3CF4E89F" w14:textId="24D1C191" w:rsidR="00D81645" w:rsidRPr="00EF1D53" w:rsidRDefault="00D81645" w:rsidP="004A7BEA">
            <w:pPr>
              <w:pStyle w:val="Tablehead"/>
              <w:rPr>
                <w:sz w:val="20"/>
              </w:rPr>
            </w:pPr>
            <w:r w:rsidRPr="00EF1D53">
              <w:rPr>
                <w:sz w:val="20"/>
              </w:rPr>
              <w:t>Límite de dfp para las emisiones de la EB en la banda 1 502-1 507</w:t>
            </w:r>
            <w:r w:rsidR="00EF1D53">
              <w:rPr>
                <w:sz w:val="20"/>
              </w:rPr>
              <w:t> </w:t>
            </w:r>
            <w:r w:rsidRPr="00EF1D53">
              <w:rPr>
                <w:sz w:val="20"/>
              </w:rPr>
              <w:t>MHz (dBW/m</w:t>
            </w:r>
            <w:r w:rsidR="00EF1D53" w:rsidRPr="00EF1D53">
              <w:rPr>
                <w:sz w:val="20"/>
                <w:vertAlign w:val="superscript"/>
              </w:rPr>
              <w:t>2</w:t>
            </w:r>
            <w:r w:rsidRPr="00EF1D53">
              <w:rPr>
                <w:sz w:val="20"/>
              </w:rPr>
              <w:t>)</w:t>
            </w:r>
          </w:p>
        </w:tc>
        <w:tc>
          <w:tcPr>
            <w:tcW w:w="620" w:type="pct"/>
            <w:vAlign w:val="center"/>
            <w:hideMark/>
          </w:tcPr>
          <w:p w14:paraId="1A8CF81D" w14:textId="6C4265D1" w:rsidR="00D81645" w:rsidRPr="00EF1D53" w:rsidRDefault="00D81645" w:rsidP="004A7BEA">
            <w:pPr>
              <w:pStyle w:val="Tablehead"/>
              <w:rPr>
                <w:sz w:val="20"/>
              </w:rPr>
            </w:pPr>
            <w:r w:rsidRPr="00EF1D53">
              <w:rPr>
                <w:sz w:val="20"/>
              </w:rPr>
              <w:t>Límite de dfp para las emisiones de la EB en la banda 1 507-1 512</w:t>
            </w:r>
            <w:r w:rsidR="00EF1D53">
              <w:rPr>
                <w:sz w:val="20"/>
              </w:rPr>
              <w:t> </w:t>
            </w:r>
            <w:r w:rsidRPr="00EF1D53">
              <w:rPr>
                <w:sz w:val="20"/>
              </w:rPr>
              <w:t>MHz (dBW/m</w:t>
            </w:r>
            <w:r w:rsidR="00EF1D53" w:rsidRPr="00EF1D53">
              <w:rPr>
                <w:sz w:val="20"/>
                <w:vertAlign w:val="superscript"/>
              </w:rPr>
              <w:t>2</w:t>
            </w:r>
            <w:r w:rsidRPr="00EF1D53">
              <w:rPr>
                <w:sz w:val="20"/>
              </w:rPr>
              <w:t>)</w:t>
            </w:r>
          </w:p>
        </w:tc>
        <w:tc>
          <w:tcPr>
            <w:tcW w:w="667" w:type="pct"/>
            <w:vAlign w:val="center"/>
            <w:hideMark/>
          </w:tcPr>
          <w:p w14:paraId="2D173253" w14:textId="02AC57FA" w:rsidR="00D81645" w:rsidRPr="00EF1D53" w:rsidRDefault="00D81645" w:rsidP="004A7BEA">
            <w:pPr>
              <w:pStyle w:val="Tablehead"/>
              <w:rPr>
                <w:sz w:val="20"/>
              </w:rPr>
            </w:pPr>
            <w:r w:rsidRPr="00EF1D53">
              <w:rPr>
                <w:sz w:val="20"/>
              </w:rPr>
              <w:t>Límite de dfp para las emisiones de la EB en la banda 1 512-1</w:t>
            </w:r>
            <w:r w:rsidR="00EF1D53">
              <w:rPr>
                <w:sz w:val="20"/>
              </w:rPr>
              <w:t> </w:t>
            </w:r>
            <w:r w:rsidRPr="00EF1D53">
              <w:rPr>
                <w:sz w:val="20"/>
              </w:rPr>
              <w:t>517</w:t>
            </w:r>
            <w:r w:rsidR="00EF1D53">
              <w:rPr>
                <w:sz w:val="20"/>
              </w:rPr>
              <w:t> </w:t>
            </w:r>
            <w:r w:rsidRPr="00EF1D53">
              <w:rPr>
                <w:sz w:val="20"/>
              </w:rPr>
              <w:t>MHz (dBW/m</w:t>
            </w:r>
            <w:r w:rsidR="00EF1D53" w:rsidRPr="00EF1D53">
              <w:rPr>
                <w:sz w:val="20"/>
                <w:vertAlign w:val="superscript"/>
              </w:rPr>
              <w:t>2</w:t>
            </w:r>
            <w:r w:rsidRPr="00EF1D53">
              <w:rPr>
                <w:sz w:val="20"/>
              </w:rPr>
              <w:t>)</w:t>
            </w:r>
          </w:p>
        </w:tc>
      </w:tr>
      <w:tr w:rsidR="00D81645" w:rsidRPr="00EF1D53" w14:paraId="1F08289D" w14:textId="77777777" w:rsidTr="00EF1D53">
        <w:trPr>
          <w:jc w:val="center"/>
        </w:trPr>
        <w:tc>
          <w:tcPr>
            <w:tcW w:w="405" w:type="pct"/>
            <w:vMerge w:val="restart"/>
            <w:vAlign w:val="center"/>
            <w:hideMark/>
          </w:tcPr>
          <w:p w14:paraId="065C0B5A" w14:textId="77777777" w:rsidR="00D81645" w:rsidRPr="00EF1D53" w:rsidRDefault="00D81645" w:rsidP="002A110F">
            <w:pPr>
              <w:pStyle w:val="Tabletext"/>
              <w:rPr>
                <w:sz w:val="20"/>
              </w:rPr>
            </w:pPr>
            <w:r w:rsidRPr="00EF1D53">
              <w:rPr>
                <w:sz w:val="20"/>
              </w:rPr>
              <w:t>ETM en tierra</w:t>
            </w:r>
          </w:p>
        </w:tc>
        <w:tc>
          <w:tcPr>
            <w:tcW w:w="794" w:type="pct"/>
            <w:vAlign w:val="center"/>
            <w:hideMark/>
          </w:tcPr>
          <w:p w14:paraId="142C1E64" w14:textId="77777777" w:rsidR="00D81645" w:rsidRPr="00EF1D53" w:rsidRDefault="00D81645" w:rsidP="002A110F">
            <w:pPr>
              <w:pStyle w:val="Tabletext"/>
              <w:jc w:val="center"/>
              <w:rPr>
                <w:sz w:val="20"/>
              </w:rPr>
            </w:pPr>
            <w:r w:rsidRPr="00EF1D53">
              <w:rPr>
                <w:sz w:val="20"/>
              </w:rPr>
              <w:t>1 (más bajo)</w:t>
            </w:r>
          </w:p>
        </w:tc>
        <w:tc>
          <w:tcPr>
            <w:tcW w:w="620" w:type="pct"/>
            <w:vAlign w:val="center"/>
            <w:hideMark/>
          </w:tcPr>
          <w:p w14:paraId="7B96999F" w14:textId="77777777" w:rsidR="00D81645" w:rsidRPr="00EF1D53" w:rsidRDefault="00D81645" w:rsidP="002A110F">
            <w:pPr>
              <w:pStyle w:val="Tabletext"/>
              <w:jc w:val="center"/>
              <w:rPr>
                <w:sz w:val="20"/>
              </w:rPr>
            </w:pPr>
            <w:r w:rsidRPr="00EF1D53">
              <w:rPr>
                <w:sz w:val="20"/>
              </w:rPr>
              <w:t>−54,9</w:t>
            </w:r>
          </w:p>
        </w:tc>
        <w:tc>
          <w:tcPr>
            <w:tcW w:w="628" w:type="pct"/>
            <w:vAlign w:val="center"/>
            <w:hideMark/>
          </w:tcPr>
          <w:p w14:paraId="5B906AE9" w14:textId="77777777" w:rsidR="00D81645" w:rsidRPr="00EF1D53" w:rsidRDefault="00D81645" w:rsidP="002A110F">
            <w:pPr>
              <w:pStyle w:val="Tabletext"/>
              <w:jc w:val="center"/>
              <w:rPr>
                <w:sz w:val="20"/>
              </w:rPr>
            </w:pPr>
            <w:r w:rsidRPr="00EF1D53">
              <w:rPr>
                <w:sz w:val="20"/>
              </w:rPr>
              <w:t>−61,9</w:t>
            </w:r>
          </w:p>
        </w:tc>
        <w:tc>
          <w:tcPr>
            <w:tcW w:w="646" w:type="pct"/>
            <w:vAlign w:val="center"/>
            <w:hideMark/>
          </w:tcPr>
          <w:p w14:paraId="4E625A1D" w14:textId="77777777" w:rsidR="00D81645" w:rsidRPr="00EF1D53" w:rsidRDefault="00D81645" w:rsidP="002A110F">
            <w:pPr>
              <w:pStyle w:val="Tabletext"/>
              <w:jc w:val="center"/>
              <w:rPr>
                <w:sz w:val="20"/>
              </w:rPr>
            </w:pPr>
            <w:r w:rsidRPr="00EF1D53">
              <w:rPr>
                <w:sz w:val="20"/>
              </w:rPr>
              <w:t>−68,9</w:t>
            </w:r>
          </w:p>
        </w:tc>
        <w:tc>
          <w:tcPr>
            <w:tcW w:w="620" w:type="pct"/>
            <w:vAlign w:val="center"/>
            <w:hideMark/>
          </w:tcPr>
          <w:p w14:paraId="2E27F2D6" w14:textId="77777777" w:rsidR="00D81645" w:rsidRPr="00EF1D53" w:rsidRDefault="00D81645" w:rsidP="002A110F">
            <w:pPr>
              <w:pStyle w:val="Tabletext"/>
              <w:jc w:val="center"/>
              <w:rPr>
                <w:sz w:val="20"/>
              </w:rPr>
            </w:pPr>
            <w:r w:rsidRPr="00EF1D53">
              <w:rPr>
                <w:sz w:val="20"/>
              </w:rPr>
              <w:t>−19,9</w:t>
            </w:r>
          </w:p>
        </w:tc>
        <w:tc>
          <w:tcPr>
            <w:tcW w:w="620" w:type="pct"/>
            <w:vAlign w:val="center"/>
            <w:hideMark/>
          </w:tcPr>
          <w:p w14:paraId="4D9BCF96" w14:textId="77777777" w:rsidR="00D81645" w:rsidRPr="00EF1D53" w:rsidRDefault="00D81645" w:rsidP="002A110F">
            <w:pPr>
              <w:pStyle w:val="Tabletext"/>
              <w:jc w:val="center"/>
              <w:rPr>
                <w:sz w:val="20"/>
              </w:rPr>
            </w:pPr>
            <w:r w:rsidRPr="00EF1D53">
              <w:rPr>
                <w:sz w:val="20"/>
              </w:rPr>
              <w:t>–23,9</w:t>
            </w:r>
          </w:p>
        </w:tc>
        <w:tc>
          <w:tcPr>
            <w:tcW w:w="667" w:type="pct"/>
            <w:vAlign w:val="center"/>
            <w:hideMark/>
          </w:tcPr>
          <w:p w14:paraId="6D779125" w14:textId="77777777" w:rsidR="00D81645" w:rsidRPr="00EF1D53" w:rsidRDefault="00D81645" w:rsidP="002A110F">
            <w:pPr>
              <w:pStyle w:val="Tabletext"/>
              <w:jc w:val="center"/>
              <w:rPr>
                <w:sz w:val="20"/>
              </w:rPr>
            </w:pPr>
            <w:r w:rsidRPr="00EF1D53">
              <w:rPr>
                <w:rFonts w:eastAsiaTheme="minorEastAsia"/>
                <w:sz w:val="20"/>
              </w:rPr>
              <w:t>–</w:t>
            </w:r>
            <w:r w:rsidRPr="00EF1D53">
              <w:rPr>
                <w:sz w:val="20"/>
              </w:rPr>
              <w:t>38,9</w:t>
            </w:r>
          </w:p>
        </w:tc>
      </w:tr>
      <w:tr w:rsidR="00D81645" w:rsidRPr="00EF1D53" w14:paraId="0A7C9C0B" w14:textId="77777777" w:rsidTr="00EF1D53">
        <w:trPr>
          <w:jc w:val="center"/>
        </w:trPr>
        <w:tc>
          <w:tcPr>
            <w:tcW w:w="405" w:type="pct"/>
            <w:vMerge/>
            <w:tcBorders>
              <w:bottom w:val="single" w:sz="4" w:space="0" w:color="auto"/>
            </w:tcBorders>
            <w:hideMark/>
          </w:tcPr>
          <w:p w14:paraId="170ABF5E" w14:textId="77777777" w:rsidR="00D81645" w:rsidRPr="00EF1D53" w:rsidRDefault="00D81645" w:rsidP="002A110F">
            <w:pPr>
              <w:pStyle w:val="Tabletext"/>
              <w:jc w:val="center"/>
              <w:rPr>
                <w:sz w:val="20"/>
              </w:rPr>
            </w:pPr>
          </w:p>
        </w:tc>
        <w:tc>
          <w:tcPr>
            <w:tcW w:w="794" w:type="pct"/>
            <w:tcBorders>
              <w:bottom w:val="single" w:sz="4" w:space="0" w:color="auto"/>
            </w:tcBorders>
            <w:vAlign w:val="center"/>
            <w:hideMark/>
          </w:tcPr>
          <w:p w14:paraId="125C32B2" w14:textId="77777777" w:rsidR="00D81645" w:rsidRPr="00EF1D53" w:rsidRDefault="00D81645" w:rsidP="002A110F">
            <w:pPr>
              <w:pStyle w:val="Tabletext"/>
              <w:jc w:val="center"/>
              <w:rPr>
                <w:sz w:val="20"/>
              </w:rPr>
            </w:pPr>
            <w:r w:rsidRPr="00EF1D53">
              <w:rPr>
                <w:sz w:val="20"/>
              </w:rPr>
              <w:t>32 (más alto)</w:t>
            </w:r>
          </w:p>
        </w:tc>
        <w:tc>
          <w:tcPr>
            <w:tcW w:w="620" w:type="pct"/>
            <w:tcBorders>
              <w:bottom w:val="single" w:sz="4" w:space="0" w:color="auto"/>
            </w:tcBorders>
            <w:vAlign w:val="center"/>
            <w:hideMark/>
          </w:tcPr>
          <w:p w14:paraId="76119D52" w14:textId="77777777" w:rsidR="00D81645" w:rsidRPr="00EF1D53" w:rsidRDefault="00D81645" w:rsidP="002A110F">
            <w:pPr>
              <w:pStyle w:val="Tabletext"/>
              <w:jc w:val="center"/>
              <w:rPr>
                <w:sz w:val="20"/>
              </w:rPr>
            </w:pPr>
            <w:r w:rsidRPr="00EF1D53">
              <w:rPr>
                <w:sz w:val="20"/>
              </w:rPr>
              <w:t>−85,9</w:t>
            </w:r>
          </w:p>
        </w:tc>
        <w:tc>
          <w:tcPr>
            <w:tcW w:w="628" w:type="pct"/>
            <w:tcBorders>
              <w:bottom w:val="single" w:sz="4" w:space="0" w:color="auto"/>
            </w:tcBorders>
            <w:vAlign w:val="center"/>
            <w:hideMark/>
          </w:tcPr>
          <w:p w14:paraId="1CCD37A5" w14:textId="77777777" w:rsidR="00D81645" w:rsidRPr="00EF1D53" w:rsidRDefault="00D81645" w:rsidP="002A110F">
            <w:pPr>
              <w:pStyle w:val="Tabletext"/>
              <w:jc w:val="center"/>
              <w:rPr>
                <w:sz w:val="20"/>
              </w:rPr>
            </w:pPr>
            <w:r w:rsidRPr="00EF1D53">
              <w:rPr>
                <w:sz w:val="20"/>
              </w:rPr>
              <w:t>−92,9</w:t>
            </w:r>
          </w:p>
        </w:tc>
        <w:tc>
          <w:tcPr>
            <w:tcW w:w="646" w:type="pct"/>
            <w:tcBorders>
              <w:bottom w:val="single" w:sz="4" w:space="0" w:color="auto"/>
            </w:tcBorders>
            <w:vAlign w:val="center"/>
            <w:hideMark/>
          </w:tcPr>
          <w:p w14:paraId="07DC7B4E" w14:textId="77777777" w:rsidR="00D81645" w:rsidRPr="00EF1D53" w:rsidRDefault="00D81645" w:rsidP="002A110F">
            <w:pPr>
              <w:pStyle w:val="Tabletext"/>
              <w:jc w:val="center"/>
              <w:rPr>
                <w:sz w:val="20"/>
              </w:rPr>
            </w:pPr>
            <w:r w:rsidRPr="00EF1D53">
              <w:rPr>
                <w:sz w:val="20"/>
              </w:rPr>
              <w:t>−99,9</w:t>
            </w:r>
          </w:p>
        </w:tc>
        <w:tc>
          <w:tcPr>
            <w:tcW w:w="620" w:type="pct"/>
            <w:tcBorders>
              <w:bottom w:val="single" w:sz="4" w:space="0" w:color="auto"/>
            </w:tcBorders>
            <w:vAlign w:val="center"/>
            <w:hideMark/>
          </w:tcPr>
          <w:p w14:paraId="307301F4" w14:textId="77777777" w:rsidR="00D81645" w:rsidRPr="00EF1D53" w:rsidRDefault="00D81645" w:rsidP="002A110F">
            <w:pPr>
              <w:pStyle w:val="Tabletext"/>
              <w:jc w:val="center"/>
              <w:rPr>
                <w:sz w:val="20"/>
              </w:rPr>
            </w:pPr>
            <w:r w:rsidRPr="00EF1D53">
              <w:rPr>
                <w:sz w:val="20"/>
              </w:rPr>
              <w:t>−50,9</w:t>
            </w:r>
          </w:p>
        </w:tc>
        <w:tc>
          <w:tcPr>
            <w:tcW w:w="620" w:type="pct"/>
            <w:tcBorders>
              <w:bottom w:val="single" w:sz="4" w:space="0" w:color="auto"/>
            </w:tcBorders>
            <w:vAlign w:val="center"/>
            <w:hideMark/>
          </w:tcPr>
          <w:p w14:paraId="471EC455" w14:textId="77777777" w:rsidR="00D81645" w:rsidRPr="00EF1D53" w:rsidRDefault="00D81645" w:rsidP="002A110F">
            <w:pPr>
              <w:pStyle w:val="Tabletext"/>
              <w:jc w:val="center"/>
              <w:rPr>
                <w:sz w:val="20"/>
              </w:rPr>
            </w:pPr>
            <w:r w:rsidRPr="00EF1D53">
              <w:rPr>
                <w:sz w:val="20"/>
              </w:rPr>
              <w:t>−54,9</w:t>
            </w:r>
          </w:p>
        </w:tc>
        <w:tc>
          <w:tcPr>
            <w:tcW w:w="667" w:type="pct"/>
            <w:tcBorders>
              <w:bottom w:val="single" w:sz="4" w:space="0" w:color="auto"/>
            </w:tcBorders>
            <w:vAlign w:val="center"/>
            <w:hideMark/>
          </w:tcPr>
          <w:p w14:paraId="025ED0CB" w14:textId="77777777" w:rsidR="00D81645" w:rsidRPr="00EF1D53" w:rsidRDefault="00D81645" w:rsidP="002A110F">
            <w:pPr>
              <w:pStyle w:val="Tabletext"/>
              <w:jc w:val="center"/>
              <w:rPr>
                <w:sz w:val="20"/>
              </w:rPr>
            </w:pPr>
            <w:r w:rsidRPr="00EF1D53">
              <w:rPr>
                <w:sz w:val="20"/>
              </w:rPr>
              <w:t>−69,9</w:t>
            </w:r>
          </w:p>
        </w:tc>
      </w:tr>
      <w:tr w:rsidR="00D81645" w:rsidRPr="00EF1D53" w14:paraId="3134689D" w14:textId="77777777" w:rsidTr="00EF1D53">
        <w:trPr>
          <w:trHeight w:val="345"/>
          <w:jc w:val="center"/>
        </w:trPr>
        <w:tc>
          <w:tcPr>
            <w:tcW w:w="5000" w:type="pct"/>
            <w:gridSpan w:val="8"/>
            <w:tcBorders>
              <w:top w:val="single" w:sz="4" w:space="0" w:color="auto"/>
              <w:left w:val="nil"/>
              <w:bottom w:val="nil"/>
              <w:right w:val="nil"/>
            </w:tcBorders>
          </w:tcPr>
          <w:p w14:paraId="697B107D" w14:textId="1CA3A96B" w:rsidR="00D81645" w:rsidRPr="00EF1D53" w:rsidRDefault="00D81645" w:rsidP="00EF1D53">
            <w:pPr>
              <w:pStyle w:val="Tabletext"/>
              <w:rPr>
                <w:sz w:val="20"/>
              </w:rPr>
            </w:pPr>
            <w:r w:rsidRPr="00EF1D53">
              <w:rPr>
                <w:i/>
                <w:iCs/>
                <w:sz w:val="20"/>
              </w:rPr>
              <w:t>Nota:</w:t>
            </w:r>
            <w:r w:rsidRPr="00EF1D53">
              <w:rPr>
                <w:sz w:val="20"/>
              </w:rPr>
              <w:t xml:space="preserve"> Los límites de dfp se aplican a la potencia total radiada por cualquier estación de base en la banda indicada de 5</w:t>
            </w:r>
            <w:r w:rsidR="00EF1D53">
              <w:rPr>
                <w:sz w:val="20"/>
              </w:rPr>
              <w:t> </w:t>
            </w:r>
            <w:r w:rsidRPr="00EF1D53">
              <w:rPr>
                <w:sz w:val="20"/>
              </w:rPr>
              <w:t>MHz de anchura de banda.</w:t>
            </w:r>
          </w:p>
        </w:tc>
      </w:tr>
    </w:tbl>
    <w:p w14:paraId="429E1817" w14:textId="77777777" w:rsidR="00D81645" w:rsidRPr="00DF0B08" w:rsidRDefault="00D81645" w:rsidP="005720AD">
      <w:pPr>
        <w:pStyle w:val="Tablefin"/>
        <w:rPr>
          <w:lang w:val="es-ES"/>
        </w:rPr>
      </w:pPr>
    </w:p>
    <w:p w14:paraId="460F0804" w14:textId="77777777" w:rsidR="00D81645" w:rsidRPr="00DF0B08" w:rsidRDefault="00D81645" w:rsidP="005720AD">
      <w:r>
        <w:t xml:space="preserve">Es posible que las administraciones tengan que ajustar los valores de acuerdo con las características de las ETM que se prevé que funcionen en su territorio y teniendo en cuenta cualquier discriminación de antena de ETM que pueda suponerse. Cabe señalar que la mayoría de las antenas de las ETM en tierra son de baja ganancia debido a que son pequeñas IoT o dispositivos portátiles. Sin embargo, cuando se utilizan antenas de ETM de alta ganancia, proporcionan un mayor nivel de discriminación. Hay lugares del mundo donde la ganancia de antena hacia el horizonte o hacia una estación de base puede estar próxima al valor máximo. En este caso hay un ángulo de elevación bajo para la ETM y </w:t>
      </w:r>
      <w:r>
        <w:lastRenderedPageBreak/>
        <w:t>donde se despliegan EB IMT en las proximidades del satélite del SMS visto desde la ETM y en dirección del mismo. En estos casos, deben tenerse en cuenta los ángulos reales con respecto al satélite y la dirección y la distancia al despliegue de las IMT, y la dfp debe ajustarse a un valor que refleje esto.</w:t>
      </w:r>
    </w:p>
    <w:p w14:paraId="49B35D3D" w14:textId="01543AC9" w:rsidR="00D81645" w:rsidRPr="00DF0B08" w:rsidRDefault="00D81645" w:rsidP="005720AD">
      <w:r>
        <w:t>Puede ser necesaria una separación geográfica entre la estación base IMT y el límite de las zonas definidas en las que se aplican los límites de dfp. Este es el caso, en particular, de los valores de la fase</w:t>
      </w:r>
      <w:r w:rsidR="00EF1D53">
        <w:t> </w:t>
      </w:r>
      <w:r>
        <w:t>1 y de las estaciones base IMT de potencia superior que utilizan el bloque IMT superior (más próximo a 1</w:t>
      </w:r>
      <w:r w:rsidR="00EF1D53">
        <w:t> </w:t>
      </w:r>
      <w:r>
        <w:t>518</w:t>
      </w:r>
      <w:r w:rsidR="00EF1D53">
        <w:t> </w:t>
      </w:r>
      <w:r>
        <w:t>MHz). La separación geográfica depende de varios factores, entre ellos la p.i.r.e. de la estación de base IMT, la ocupación local y los valores de dfp aplicables (fase</w:t>
      </w:r>
      <w:r w:rsidR="00EF1D53">
        <w:t> </w:t>
      </w:r>
      <w:r>
        <w:t>1 o fase</w:t>
      </w:r>
      <w:r w:rsidR="00EF1D53">
        <w:t> </w:t>
      </w:r>
      <w:r>
        <w:t>2). Para algunos de los valores de dfp y ángulos de elevación de la antena de la ETM (muy bajos), esta separación geográfica puede ser de hasta varias decenas de kilómetros.</w:t>
      </w:r>
    </w:p>
    <w:p w14:paraId="010CDA8F" w14:textId="77777777" w:rsidR="00D81645" w:rsidRPr="00DF0B08" w:rsidRDefault="00D81645" w:rsidP="00757B99">
      <w:pPr>
        <w:pStyle w:val="Heading2"/>
      </w:pPr>
      <w:r>
        <w:rPr>
          <w:bCs/>
        </w:rPr>
        <w:t>A4-3</w:t>
      </w:r>
      <w:r>
        <w:tab/>
      </w:r>
      <w:r>
        <w:rPr>
          <w:bCs/>
        </w:rPr>
        <w:t>Medida 2 – Límites de p.i.r.e. dentro de la banda</w:t>
      </w:r>
    </w:p>
    <w:p w14:paraId="65295AEA" w14:textId="65158E53" w:rsidR="00D81645" w:rsidRPr="00DF0B08" w:rsidRDefault="00D81645" w:rsidP="005720AD">
      <w:pPr>
        <w:rPr>
          <w:bCs/>
        </w:rPr>
      </w:pPr>
      <w:r>
        <w:t>Los límites de p.i.r.e. mostrados en el Cuadro</w:t>
      </w:r>
      <w:r w:rsidR="00EF1D53">
        <w:t> </w:t>
      </w:r>
      <w:r>
        <w:t>10 están destinados a aplicarse a estaciones base y equipo de usuario IMT y pueden utilizarse como medida autónoma en todo un país determinado o pueden utilizarse como suplemento cuando una administración haya decidido no utilizar niveles de dfp para las ETM aeronáuticas, marítimas o terrestres.</w:t>
      </w:r>
    </w:p>
    <w:p w14:paraId="7E91C156" w14:textId="6A0FBF88" w:rsidR="00D81645" w:rsidRPr="00DF0B08" w:rsidRDefault="00D81645" w:rsidP="005720AD">
      <w:pPr>
        <w:rPr>
          <w:bCs/>
        </w:rPr>
      </w:pPr>
      <w:r>
        <w:t>Los valores de p.i.r.e. se basan en la resistencia al bloqueo de las ETM actualmente en funcionamiento y de las ETM de la próxima generación que cumplen los requisitos técnicos de esta Recomendación.</w:t>
      </w:r>
    </w:p>
    <w:p w14:paraId="38B2EEFD" w14:textId="20CD198D" w:rsidR="00D81645" w:rsidRDefault="00D81645" w:rsidP="005720AD">
      <w:r>
        <w:t>Los límites de p.i.r.e. pueden aplicarse en dos fases. Para la fase</w:t>
      </w:r>
      <w:r w:rsidR="00EF1D53">
        <w:t> </w:t>
      </w:r>
      <w:r>
        <w:t>1, los valores de p.i.r.e. se basan en las características de bloqueo medidas de las ETM terrestres actuales. Para la fase</w:t>
      </w:r>
      <w:r w:rsidR="00EF1D53">
        <w:t> </w:t>
      </w:r>
      <w:r>
        <w:t>2, los valores de p.i.r.e. se basan en ETM que cumplen los niveles de resistencia al bloqueo del Anexo</w:t>
      </w:r>
      <w:r w:rsidR="00EF1D53">
        <w:t> </w:t>
      </w:r>
      <w:r>
        <w:t>3.</w:t>
      </w:r>
    </w:p>
    <w:p w14:paraId="4387255E" w14:textId="77777777" w:rsidR="00D81645" w:rsidRPr="00DF0B08" w:rsidRDefault="00D81645" w:rsidP="005720AD">
      <w:pPr>
        <w:pStyle w:val="TableNo"/>
      </w:pPr>
      <w:r>
        <w:t>CUADRO 10</w:t>
      </w:r>
    </w:p>
    <w:p w14:paraId="32B16F9A" w14:textId="306AB90A" w:rsidR="00D81645" w:rsidRPr="00DF0B08" w:rsidRDefault="00D81645" w:rsidP="005720AD">
      <w:pPr>
        <w:pStyle w:val="Tabletitle"/>
      </w:pPr>
      <w:r>
        <w:rPr>
          <w:bCs/>
        </w:rPr>
        <w:t xml:space="preserve">Límites de p.i.r.e. de las EB IMT y potencia de transmisión del equipo de usuario para la compatibilidad con las ETM terrestres (para la señal de transmisión EU/EB IMT </w:t>
      </w:r>
      <w:r w:rsidR="00841F72">
        <w:rPr>
          <w:bCs/>
        </w:rPr>
        <w:br/>
      </w:r>
      <w:r>
        <w:rPr>
          <w:bCs/>
        </w:rPr>
        <w:t>en la banda 1</w:t>
      </w:r>
      <w:r w:rsidR="00841F72">
        <w:rPr>
          <w:bCs/>
        </w:rPr>
        <w:t> </w:t>
      </w:r>
      <w:r>
        <w:rPr>
          <w:bCs/>
        </w:rPr>
        <w:t>512-1</w:t>
      </w:r>
      <w:r w:rsidR="00841F72">
        <w:rPr>
          <w:bCs/>
        </w:rPr>
        <w:t> </w:t>
      </w:r>
      <w:r>
        <w:rPr>
          <w:bCs/>
        </w:rPr>
        <w:t>517</w:t>
      </w:r>
      <w:r w:rsidR="00841F72">
        <w:rPr>
          <w:bCs/>
        </w:rPr>
        <w:t> </w:t>
      </w:r>
      <w:r>
        <w:rPr>
          <w:bCs/>
        </w:rPr>
        <w:t>MHz)</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2017"/>
        <w:gridCol w:w="2190"/>
        <w:gridCol w:w="2070"/>
        <w:gridCol w:w="2494"/>
      </w:tblGrid>
      <w:tr w:rsidR="00D81645" w:rsidRPr="00841F72" w14:paraId="7E326F11" w14:textId="77777777" w:rsidTr="00841F72">
        <w:trPr>
          <w:cantSplit/>
          <w:jc w:val="center"/>
        </w:trPr>
        <w:tc>
          <w:tcPr>
            <w:tcW w:w="703" w:type="pct"/>
            <w:vAlign w:val="center"/>
          </w:tcPr>
          <w:p w14:paraId="5C13225D" w14:textId="77777777" w:rsidR="00D81645" w:rsidRPr="00841F72" w:rsidRDefault="00D81645" w:rsidP="002A110F">
            <w:pPr>
              <w:pStyle w:val="Tablehead"/>
              <w:rPr>
                <w:sz w:val="20"/>
              </w:rPr>
            </w:pPr>
            <w:r w:rsidRPr="00841F72">
              <w:rPr>
                <w:bCs/>
                <w:sz w:val="20"/>
              </w:rPr>
              <w:t>Opción</w:t>
            </w:r>
          </w:p>
        </w:tc>
        <w:tc>
          <w:tcPr>
            <w:tcW w:w="988" w:type="pct"/>
            <w:vAlign w:val="center"/>
          </w:tcPr>
          <w:p w14:paraId="651A2532" w14:textId="5693A138" w:rsidR="00D81645" w:rsidRPr="00841F72" w:rsidRDefault="00D81645" w:rsidP="002A110F">
            <w:pPr>
              <w:pStyle w:val="Tablehead"/>
              <w:rPr>
                <w:sz w:val="20"/>
              </w:rPr>
            </w:pPr>
            <w:r w:rsidRPr="00841F72">
              <w:rPr>
                <w:bCs/>
                <w:sz w:val="20"/>
              </w:rPr>
              <w:t xml:space="preserve">p.i.r.e. máxima de la estación base IMT (dBm) </w:t>
            </w:r>
            <w:r w:rsidR="00841F72">
              <w:rPr>
                <w:bCs/>
                <w:sz w:val="20"/>
              </w:rPr>
              <w:br/>
            </w:r>
            <w:r w:rsidRPr="00841F72">
              <w:rPr>
                <w:bCs/>
                <w:sz w:val="20"/>
              </w:rPr>
              <w:t>Despliegue rural</w:t>
            </w:r>
          </w:p>
        </w:tc>
        <w:tc>
          <w:tcPr>
            <w:tcW w:w="1073" w:type="pct"/>
            <w:vAlign w:val="center"/>
          </w:tcPr>
          <w:p w14:paraId="3711E015" w14:textId="06D843AF" w:rsidR="00D81645" w:rsidRPr="00841F72" w:rsidRDefault="00D81645" w:rsidP="002A110F">
            <w:pPr>
              <w:pStyle w:val="Tablehead"/>
              <w:rPr>
                <w:sz w:val="20"/>
              </w:rPr>
            </w:pPr>
            <w:r w:rsidRPr="00841F72">
              <w:rPr>
                <w:bCs/>
                <w:sz w:val="20"/>
              </w:rPr>
              <w:t xml:space="preserve">p.i.r.e. máxima de la estación base IMT (dBm) </w:t>
            </w:r>
            <w:r w:rsidR="00841F72">
              <w:rPr>
                <w:bCs/>
                <w:sz w:val="20"/>
              </w:rPr>
              <w:br/>
            </w:r>
            <w:r w:rsidRPr="00841F72">
              <w:rPr>
                <w:bCs/>
                <w:sz w:val="20"/>
              </w:rPr>
              <w:t>Despliegue suburbano</w:t>
            </w:r>
          </w:p>
        </w:tc>
        <w:tc>
          <w:tcPr>
            <w:tcW w:w="1014" w:type="pct"/>
            <w:vAlign w:val="center"/>
          </w:tcPr>
          <w:p w14:paraId="43CE5534" w14:textId="352C3904" w:rsidR="00D81645" w:rsidRPr="00841F72" w:rsidRDefault="00D81645" w:rsidP="002A110F">
            <w:pPr>
              <w:pStyle w:val="Tablehead"/>
              <w:rPr>
                <w:sz w:val="20"/>
              </w:rPr>
            </w:pPr>
            <w:r w:rsidRPr="00841F72">
              <w:rPr>
                <w:bCs/>
                <w:sz w:val="20"/>
              </w:rPr>
              <w:t xml:space="preserve">p.i.r.e. máxima de la estación base IMT (dBm) </w:t>
            </w:r>
            <w:r w:rsidR="00841F72">
              <w:rPr>
                <w:bCs/>
                <w:sz w:val="20"/>
              </w:rPr>
              <w:br/>
            </w:r>
            <w:r w:rsidRPr="00841F72">
              <w:rPr>
                <w:bCs/>
                <w:sz w:val="20"/>
              </w:rPr>
              <w:t>Despliegue urbano</w:t>
            </w:r>
          </w:p>
        </w:tc>
        <w:tc>
          <w:tcPr>
            <w:tcW w:w="1222" w:type="pct"/>
          </w:tcPr>
          <w:p w14:paraId="5DA781FB" w14:textId="397571F1" w:rsidR="00D81645" w:rsidRPr="00841F72" w:rsidRDefault="00D81645" w:rsidP="002A110F">
            <w:pPr>
              <w:pStyle w:val="Tablehead"/>
              <w:rPr>
                <w:sz w:val="20"/>
              </w:rPr>
            </w:pPr>
            <w:r w:rsidRPr="00841F72">
              <w:rPr>
                <w:bCs/>
                <w:sz w:val="20"/>
              </w:rPr>
              <w:t xml:space="preserve">Potencia máxima de transmisión del equipo de usuario IMT </w:t>
            </w:r>
            <w:r w:rsidR="00841F72">
              <w:rPr>
                <w:bCs/>
                <w:sz w:val="20"/>
              </w:rPr>
              <w:br/>
            </w:r>
            <w:r w:rsidRPr="00841F72">
              <w:rPr>
                <w:bCs/>
                <w:sz w:val="20"/>
              </w:rPr>
              <w:t>(dBm)</w:t>
            </w:r>
          </w:p>
        </w:tc>
      </w:tr>
      <w:tr w:rsidR="00D81645" w:rsidRPr="00841F72" w14:paraId="6C503C29" w14:textId="77777777" w:rsidTr="00841F72">
        <w:trPr>
          <w:cantSplit/>
          <w:jc w:val="center"/>
        </w:trPr>
        <w:tc>
          <w:tcPr>
            <w:tcW w:w="703" w:type="pct"/>
            <w:vAlign w:val="center"/>
          </w:tcPr>
          <w:p w14:paraId="6FDBED2A" w14:textId="77777777" w:rsidR="00D81645" w:rsidRPr="00841F72" w:rsidRDefault="00D81645" w:rsidP="00757B99">
            <w:pPr>
              <w:pStyle w:val="Tabletext"/>
              <w:jc w:val="left"/>
              <w:rPr>
                <w:sz w:val="20"/>
              </w:rPr>
            </w:pPr>
            <w:r w:rsidRPr="00841F72">
              <w:rPr>
                <w:sz w:val="20"/>
              </w:rPr>
              <w:t>1 (Fase 1)</w:t>
            </w:r>
            <w:r w:rsidRPr="00841F72">
              <w:rPr>
                <w:sz w:val="20"/>
                <w:vertAlign w:val="superscript"/>
              </w:rPr>
              <w:t xml:space="preserve"> (1), (2)</w:t>
            </w:r>
          </w:p>
        </w:tc>
        <w:tc>
          <w:tcPr>
            <w:tcW w:w="988" w:type="pct"/>
            <w:vAlign w:val="center"/>
          </w:tcPr>
          <w:p w14:paraId="63264630" w14:textId="77777777" w:rsidR="00D81645" w:rsidRPr="00841F72" w:rsidRDefault="00D81645" w:rsidP="002A110F">
            <w:pPr>
              <w:pStyle w:val="Tabletext"/>
              <w:jc w:val="center"/>
              <w:rPr>
                <w:sz w:val="20"/>
              </w:rPr>
            </w:pPr>
            <w:r w:rsidRPr="00841F72">
              <w:rPr>
                <w:sz w:val="20"/>
              </w:rPr>
              <w:t>19,5</w:t>
            </w:r>
          </w:p>
        </w:tc>
        <w:tc>
          <w:tcPr>
            <w:tcW w:w="1073" w:type="pct"/>
            <w:vAlign w:val="center"/>
          </w:tcPr>
          <w:p w14:paraId="4E5F88DC" w14:textId="77777777" w:rsidR="00D81645" w:rsidRPr="00841F72" w:rsidRDefault="00D81645" w:rsidP="002A110F">
            <w:pPr>
              <w:pStyle w:val="Tabletext"/>
              <w:jc w:val="center"/>
              <w:rPr>
                <w:sz w:val="20"/>
              </w:rPr>
            </w:pPr>
            <w:r w:rsidRPr="00841F72">
              <w:rPr>
                <w:sz w:val="20"/>
              </w:rPr>
              <w:t>7</w:t>
            </w:r>
          </w:p>
        </w:tc>
        <w:tc>
          <w:tcPr>
            <w:tcW w:w="1014" w:type="pct"/>
            <w:vAlign w:val="center"/>
          </w:tcPr>
          <w:p w14:paraId="42124F91" w14:textId="77777777" w:rsidR="00D81645" w:rsidRPr="00841F72" w:rsidRDefault="00D81645" w:rsidP="002A110F">
            <w:pPr>
              <w:pStyle w:val="Tabletext"/>
              <w:jc w:val="center"/>
              <w:rPr>
                <w:sz w:val="20"/>
              </w:rPr>
            </w:pPr>
            <w:r w:rsidRPr="00841F72">
              <w:rPr>
                <w:sz w:val="20"/>
              </w:rPr>
              <w:t>5,5</w:t>
            </w:r>
          </w:p>
        </w:tc>
        <w:tc>
          <w:tcPr>
            <w:tcW w:w="1222" w:type="pct"/>
          </w:tcPr>
          <w:p w14:paraId="538339E1" w14:textId="77777777" w:rsidR="00D81645" w:rsidRPr="00841F72" w:rsidRDefault="00D81645" w:rsidP="002A110F">
            <w:pPr>
              <w:pStyle w:val="Tabletext"/>
              <w:jc w:val="center"/>
              <w:rPr>
                <w:sz w:val="20"/>
              </w:rPr>
            </w:pPr>
            <w:r w:rsidRPr="00841F72">
              <w:rPr>
                <w:sz w:val="20"/>
              </w:rPr>
              <w:t>No definido</w:t>
            </w:r>
          </w:p>
        </w:tc>
      </w:tr>
      <w:tr w:rsidR="00D81645" w:rsidRPr="00841F72" w14:paraId="46458E78" w14:textId="77777777" w:rsidTr="00841F72">
        <w:trPr>
          <w:cantSplit/>
          <w:jc w:val="center"/>
        </w:trPr>
        <w:tc>
          <w:tcPr>
            <w:tcW w:w="703" w:type="pct"/>
            <w:vAlign w:val="center"/>
          </w:tcPr>
          <w:p w14:paraId="5D20DF6A" w14:textId="77777777" w:rsidR="00D81645" w:rsidRPr="00841F72" w:rsidRDefault="00D81645" w:rsidP="00757B99">
            <w:pPr>
              <w:pStyle w:val="Tabletext"/>
              <w:jc w:val="left"/>
              <w:rPr>
                <w:sz w:val="20"/>
              </w:rPr>
            </w:pPr>
            <w:r w:rsidRPr="00841F72">
              <w:rPr>
                <w:sz w:val="20"/>
              </w:rPr>
              <w:t xml:space="preserve">1 (Fase 2) </w:t>
            </w:r>
            <w:r w:rsidRPr="00841F72">
              <w:rPr>
                <w:sz w:val="20"/>
                <w:vertAlign w:val="superscript"/>
              </w:rPr>
              <w:t>(1), (3)</w:t>
            </w:r>
          </w:p>
        </w:tc>
        <w:tc>
          <w:tcPr>
            <w:tcW w:w="988" w:type="pct"/>
            <w:vAlign w:val="center"/>
          </w:tcPr>
          <w:p w14:paraId="5127BC59" w14:textId="77777777" w:rsidR="00D81645" w:rsidRPr="00841F72" w:rsidRDefault="00D81645" w:rsidP="002A110F">
            <w:pPr>
              <w:pStyle w:val="Tabletext"/>
              <w:jc w:val="center"/>
              <w:rPr>
                <w:sz w:val="20"/>
              </w:rPr>
            </w:pPr>
            <w:r w:rsidRPr="00841F72">
              <w:rPr>
                <w:sz w:val="20"/>
              </w:rPr>
              <w:t>52,5</w:t>
            </w:r>
          </w:p>
        </w:tc>
        <w:tc>
          <w:tcPr>
            <w:tcW w:w="1073" w:type="pct"/>
            <w:vAlign w:val="center"/>
          </w:tcPr>
          <w:p w14:paraId="7C71902C" w14:textId="77777777" w:rsidR="00D81645" w:rsidRPr="00841F72" w:rsidRDefault="00D81645" w:rsidP="002A110F">
            <w:pPr>
              <w:pStyle w:val="Tabletext"/>
              <w:jc w:val="center"/>
              <w:rPr>
                <w:sz w:val="20"/>
              </w:rPr>
            </w:pPr>
            <w:r w:rsidRPr="00841F72">
              <w:rPr>
                <w:sz w:val="20"/>
              </w:rPr>
              <w:t>40</w:t>
            </w:r>
          </w:p>
        </w:tc>
        <w:tc>
          <w:tcPr>
            <w:tcW w:w="1014" w:type="pct"/>
            <w:vAlign w:val="center"/>
          </w:tcPr>
          <w:p w14:paraId="2BB4F321" w14:textId="77777777" w:rsidR="00D81645" w:rsidRPr="00841F72" w:rsidRDefault="00D81645" w:rsidP="002A110F">
            <w:pPr>
              <w:pStyle w:val="Tabletext"/>
              <w:jc w:val="center"/>
              <w:rPr>
                <w:sz w:val="20"/>
              </w:rPr>
            </w:pPr>
            <w:r w:rsidRPr="00841F72">
              <w:rPr>
                <w:sz w:val="20"/>
              </w:rPr>
              <w:t>38,5</w:t>
            </w:r>
          </w:p>
        </w:tc>
        <w:tc>
          <w:tcPr>
            <w:tcW w:w="1222" w:type="pct"/>
          </w:tcPr>
          <w:p w14:paraId="57DFF84D" w14:textId="77777777" w:rsidR="00D81645" w:rsidRPr="00841F72" w:rsidRDefault="00D81645" w:rsidP="002A110F">
            <w:pPr>
              <w:pStyle w:val="Tabletext"/>
              <w:jc w:val="center"/>
              <w:rPr>
                <w:sz w:val="20"/>
              </w:rPr>
            </w:pPr>
            <w:r w:rsidRPr="00841F72">
              <w:rPr>
                <w:sz w:val="20"/>
              </w:rPr>
              <w:t>23</w:t>
            </w:r>
          </w:p>
        </w:tc>
      </w:tr>
      <w:tr w:rsidR="00D81645" w:rsidRPr="00841F72" w14:paraId="4FC75282" w14:textId="77777777" w:rsidTr="00841F72">
        <w:trPr>
          <w:cantSplit/>
          <w:jc w:val="center"/>
        </w:trPr>
        <w:tc>
          <w:tcPr>
            <w:tcW w:w="703" w:type="pct"/>
            <w:vAlign w:val="center"/>
          </w:tcPr>
          <w:p w14:paraId="75776C07" w14:textId="77777777" w:rsidR="00D81645" w:rsidRPr="00841F72" w:rsidRDefault="00D81645" w:rsidP="00757B99">
            <w:pPr>
              <w:pStyle w:val="Tabletext"/>
              <w:jc w:val="left"/>
              <w:rPr>
                <w:sz w:val="20"/>
              </w:rPr>
            </w:pPr>
            <w:r w:rsidRPr="00841F72">
              <w:rPr>
                <w:sz w:val="20"/>
              </w:rPr>
              <w:t>2 (Fase 1)</w:t>
            </w:r>
          </w:p>
        </w:tc>
        <w:tc>
          <w:tcPr>
            <w:tcW w:w="988" w:type="pct"/>
            <w:vAlign w:val="center"/>
          </w:tcPr>
          <w:p w14:paraId="017851F7" w14:textId="77777777" w:rsidR="00D81645" w:rsidRPr="00841F72" w:rsidRDefault="00D81645" w:rsidP="002A110F">
            <w:pPr>
              <w:pStyle w:val="Tabletext"/>
              <w:jc w:val="center"/>
              <w:rPr>
                <w:sz w:val="20"/>
              </w:rPr>
            </w:pPr>
            <w:r w:rsidRPr="00841F72">
              <w:rPr>
                <w:sz w:val="20"/>
              </w:rPr>
              <w:t>No definido</w:t>
            </w:r>
          </w:p>
        </w:tc>
        <w:tc>
          <w:tcPr>
            <w:tcW w:w="1073" w:type="pct"/>
            <w:vAlign w:val="center"/>
          </w:tcPr>
          <w:p w14:paraId="7FED294C" w14:textId="77777777" w:rsidR="00D81645" w:rsidRPr="00841F72" w:rsidRDefault="00D81645" w:rsidP="002A110F">
            <w:pPr>
              <w:pStyle w:val="Tabletext"/>
              <w:jc w:val="center"/>
              <w:rPr>
                <w:sz w:val="20"/>
              </w:rPr>
            </w:pPr>
            <w:r w:rsidRPr="00841F72">
              <w:rPr>
                <w:sz w:val="20"/>
              </w:rPr>
              <w:t>No definido</w:t>
            </w:r>
          </w:p>
        </w:tc>
        <w:tc>
          <w:tcPr>
            <w:tcW w:w="1014" w:type="pct"/>
            <w:vAlign w:val="center"/>
          </w:tcPr>
          <w:p w14:paraId="48564E22" w14:textId="77777777" w:rsidR="00D81645" w:rsidRPr="00841F72" w:rsidRDefault="00D81645" w:rsidP="002A110F">
            <w:pPr>
              <w:pStyle w:val="Tabletext"/>
              <w:jc w:val="center"/>
              <w:rPr>
                <w:sz w:val="20"/>
              </w:rPr>
            </w:pPr>
            <w:r w:rsidRPr="00841F72">
              <w:rPr>
                <w:sz w:val="20"/>
              </w:rPr>
              <w:t>No definido</w:t>
            </w:r>
          </w:p>
        </w:tc>
        <w:tc>
          <w:tcPr>
            <w:tcW w:w="1222" w:type="pct"/>
          </w:tcPr>
          <w:p w14:paraId="32004798" w14:textId="77777777" w:rsidR="00D81645" w:rsidRPr="00841F72" w:rsidRDefault="00D81645" w:rsidP="002A110F">
            <w:pPr>
              <w:pStyle w:val="Tabletext"/>
              <w:jc w:val="center"/>
              <w:rPr>
                <w:sz w:val="20"/>
              </w:rPr>
            </w:pPr>
            <w:r w:rsidRPr="00841F72">
              <w:rPr>
                <w:sz w:val="20"/>
              </w:rPr>
              <w:t>No definido</w:t>
            </w:r>
          </w:p>
        </w:tc>
      </w:tr>
      <w:tr w:rsidR="00D81645" w:rsidRPr="00841F72" w14:paraId="233FD10B" w14:textId="77777777" w:rsidTr="00841F72">
        <w:trPr>
          <w:cantSplit/>
          <w:jc w:val="center"/>
        </w:trPr>
        <w:tc>
          <w:tcPr>
            <w:tcW w:w="703" w:type="pct"/>
            <w:tcBorders>
              <w:bottom w:val="single" w:sz="4" w:space="0" w:color="auto"/>
            </w:tcBorders>
            <w:vAlign w:val="center"/>
          </w:tcPr>
          <w:p w14:paraId="2CB51939" w14:textId="77777777" w:rsidR="00D81645" w:rsidRPr="00841F72" w:rsidRDefault="00D81645" w:rsidP="00757B99">
            <w:pPr>
              <w:pStyle w:val="Tabletext"/>
              <w:jc w:val="left"/>
              <w:rPr>
                <w:sz w:val="20"/>
                <w:vertAlign w:val="superscript"/>
              </w:rPr>
            </w:pPr>
            <w:r w:rsidRPr="00841F72">
              <w:rPr>
                <w:sz w:val="20"/>
              </w:rPr>
              <w:t xml:space="preserve">2 (Fase 2) </w:t>
            </w:r>
            <w:r w:rsidRPr="00841F72">
              <w:rPr>
                <w:sz w:val="20"/>
                <w:vertAlign w:val="superscript"/>
              </w:rPr>
              <w:t>(4)</w:t>
            </w:r>
          </w:p>
        </w:tc>
        <w:tc>
          <w:tcPr>
            <w:tcW w:w="988" w:type="pct"/>
            <w:tcBorders>
              <w:bottom w:val="single" w:sz="4" w:space="0" w:color="auto"/>
            </w:tcBorders>
            <w:vAlign w:val="center"/>
          </w:tcPr>
          <w:p w14:paraId="3A956AF0" w14:textId="77777777" w:rsidR="00D81645" w:rsidRPr="00841F72" w:rsidRDefault="00D81645" w:rsidP="002A110F">
            <w:pPr>
              <w:pStyle w:val="Tabletext"/>
              <w:jc w:val="center"/>
              <w:rPr>
                <w:sz w:val="20"/>
              </w:rPr>
            </w:pPr>
            <w:r w:rsidRPr="00841F72">
              <w:rPr>
                <w:sz w:val="20"/>
              </w:rPr>
              <w:t>58</w:t>
            </w:r>
          </w:p>
        </w:tc>
        <w:tc>
          <w:tcPr>
            <w:tcW w:w="1073" w:type="pct"/>
            <w:tcBorders>
              <w:bottom w:val="single" w:sz="4" w:space="0" w:color="auto"/>
            </w:tcBorders>
            <w:vAlign w:val="center"/>
          </w:tcPr>
          <w:p w14:paraId="11343AC1" w14:textId="77777777" w:rsidR="00D81645" w:rsidRPr="00841F72" w:rsidRDefault="00D81645" w:rsidP="002A110F">
            <w:pPr>
              <w:pStyle w:val="Tabletext"/>
              <w:jc w:val="center"/>
              <w:rPr>
                <w:sz w:val="20"/>
              </w:rPr>
            </w:pPr>
            <w:r w:rsidRPr="00841F72">
              <w:rPr>
                <w:sz w:val="20"/>
              </w:rPr>
              <w:t>58</w:t>
            </w:r>
          </w:p>
        </w:tc>
        <w:tc>
          <w:tcPr>
            <w:tcW w:w="1014" w:type="pct"/>
            <w:tcBorders>
              <w:bottom w:val="single" w:sz="4" w:space="0" w:color="auto"/>
            </w:tcBorders>
            <w:vAlign w:val="center"/>
          </w:tcPr>
          <w:p w14:paraId="1BBEAF1E" w14:textId="77777777" w:rsidR="00D81645" w:rsidRPr="00841F72" w:rsidRDefault="00D81645" w:rsidP="002A110F">
            <w:pPr>
              <w:pStyle w:val="Tabletext"/>
              <w:jc w:val="center"/>
              <w:rPr>
                <w:sz w:val="20"/>
              </w:rPr>
            </w:pPr>
            <w:r w:rsidRPr="00841F72">
              <w:rPr>
                <w:sz w:val="20"/>
              </w:rPr>
              <w:t>58</w:t>
            </w:r>
          </w:p>
        </w:tc>
        <w:tc>
          <w:tcPr>
            <w:tcW w:w="1222" w:type="pct"/>
            <w:tcBorders>
              <w:bottom w:val="single" w:sz="4" w:space="0" w:color="auto"/>
            </w:tcBorders>
          </w:tcPr>
          <w:p w14:paraId="7D50E3CB" w14:textId="77777777" w:rsidR="00D81645" w:rsidRPr="00841F72" w:rsidRDefault="00D81645" w:rsidP="002A110F">
            <w:pPr>
              <w:pStyle w:val="Tabletext"/>
              <w:jc w:val="center"/>
              <w:rPr>
                <w:sz w:val="20"/>
              </w:rPr>
            </w:pPr>
            <w:r w:rsidRPr="00841F72">
              <w:rPr>
                <w:sz w:val="20"/>
              </w:rPr>
              <w:t>23</w:t>
            </w:r>
          </w:p>
        </w:tc>
      </w:tr>
      <w:tr w:rsidR="00D81645" w:rsidRPr="00841F72" w14:paraId="46DD0D54" w14:textId="77777777" w:rsidTr="00841F72">
        <w:trPr>
          <w:cantSplit/>
          <w:trHeight w:val="930"/>
          <w:jc w:val="center"/>
        </w:trPr>
        <w:tc>
          <w:tcPr>
            <w:tcW w:w="5000" w:type="pct"/>
            <w:gridSpan w:val="5"/>
            <w:tcBorders>
              <w:top w:val="single" w:sz="4" w:space="0" w:color="auto"/>
              <w:left w:val="nil"/>
              <w:bottom w:val="nil"/>
              <w:right w:val="nil"/>
            </w:tcBorders>
            <w:vAlign w:val="center"/>
          </w:tcPr>
          <w:p w14:paraId="624354DB" w14:textId="77777777" w:rsidR="00D81645" w:rsidRPr="00841F72" w:rsidRDefault="00D81645" w:rsidP="00841F72">
            <w:pPr>
              <w:pStyle w:val="Tabletext"/>
              <w:ind w:left="284" w:hanging="284"/>
              <w:rPr>
                <w:sz w:val="20"/>
              </w:rPr>
            </w:pPr>
            <w:r w:rsidRPr="00841F72">
              <w:rPr>
                <w:sz w:val="20"/>
                <w:vertAlign w:val="superscript"/>
              </w:rPr>
              <w:t>(1)</w:t>
            </w:r>
            <w:r w:rsidRPr="00841F72">
              <w:rPr>
                <w:sz w:val="20"/>
              </w:rPr>
              <w:tab/>
              <w:t>Los límites de p.i.r.e. no son coherentes con los parámetros normalizados de las IMT, pero pueden permitir la implantación de otras aplicaciones.</w:t>
            </w:r>
          </w:p>
          <w:p w14:paraId="4C1B48CC" w14:textId="77777777" w:rsidR="00D81645" w:rsidRPr="00841F72" w:rsidRDefault="00D81645" w:rsidP="00841F72">
            <w:pPr>
              <w:pStyle w:val="Tabletext"/>
              <w:rPr>
                <w:sz w:val="20"/>
              </w:rPr>
            </w:pPr>
            <w:r w:rsidRPr="00841F72">
              <w:rPr>
                <w:sz w:val="20"/>
                <w:vertAlign w:val="superscript"/>
              </w:rPr>
              <w:t>(2)</w:t>
            </w:r>
            <w:r w:rsidRPr="00841F72">
              <w:rPr>
                <w:sz w:val="20"/>
              </w:rPr>
              <w:tab/>
              <w:t>Mejorar la compatibilidad con las ETM actualmente en funcionamiento.</w:t>
            </w:r>
          </w:p>
          <w:p w14:paraId="4DC4A1E2" w14:textId="77777777" w:rsidR="00D81645" w:rsidRPr="00841F72" w:rsidRDefault="00D81645" w:rsidP="00841F72">
            <w:pPr>
              <w:pStyle w:val="Tabletext"/>
              <w:ind w:left="284" w:hanging="284"/>
              <w:rPr>
                <w:sz w:val="20"/>
              </w:rPr>
            </w:pPr>
            <w:r w:rsidRPr="00841F72">
              <w:rPr>
                <w:sz w:val="20"/>
                <w:vertAlign w:val="superscript"/>
              </w:rPr>
              <w:t>(3)</w:t>
            </w:r>
            <w:r w:rsidRPr="00841F72">
              <w:rPr>
                <w:sz w:val="20"/>
              </w:rPr>
              <w:tab/>
            </w:r>
            <w:r w:rsidRPr="00841F72">
              <w:rPr>
                <w:spacing w:val="-2"/>
                <w:sz w:val="20"/>
              </w:rPr>
              <w:t>Proporcionar una compatibilidad mejorada con la norma de la próxima generación de ETM en comparación con la Opción 2.</w:t>
            </w:r>
          </w:p>
          <w:p w14:paraId="0B834AE6" w14:textId="77777777" w:rsidR="00D81645" w:rsidRPr="00841F72" w:rsidRDefault="00D81645" w:rsidP="00841F72">
            <w:pPr>
              <w:pStyle w:val="Tabletext"/>
              <w:ind w:left="284" w:hanging="284"/>
              <w:rPr>
                <w:sz w:val="20"/>
              </w:rPr>
            </w:pPr>
            <w:r w:rsidRPr="00841F72">
              <w:rPr>
                <w:sz w:val="20"/>
                <w:vertAlign w:val="superscript"/>
              </w:rPr>
              <w:t>(4)</w:t>
            </w:r>
            <w:r w:rsidRPr="00841F72">
              <w:rPr>
                <w:sz w:val="20"/>
              </w:rPr>
              <w:tab/>
            </w:r>
            <w:r w:rsidRPr="00841F72">
              <w:rPr>
                <w:spacing w:val="-2"/>
                <w:sz w:val="20"/>
              </w:rPr>
              <w:t>Proporcionar compatibilidad con la norma de la próxima generación de ETM, pero con mayor interferencia que la Opción 1.</w:t>
            </w:r>
          </w:p>
        </w:tc>
      </w:tr>
    </w:tbl>
    <w:p w14:paraId="29553D10" w14:textId="77777777" w:rsidR="00D81645" w:rsidRPr="00DF0B08" w:rsidRDefault="00D81645" w:rsidP="005720AD">
      <w:pPr>
        <w:pStyle w:val="Tablefin"/>
        <w:rPr>
          <w:lang w:val="es-ES"/>
        </w:rPr>
      </w:pPr>
    </w:p>
    <w:p w14:paraId="32AA01B5" w14:textId="77777777" w:rsidR="00934ED7" w:rsidRPr="00F17CED" w:rsidRDefault="00934ED7" w:rsidP="00B874C6"/>
    <w:p w14:paraId="0EF6928B" w14:textId="77777777" w:rsidR="00B874C6" w:rsidRPr="00F17CED" w:rsidRDefault="00B874C6" w:rsidP="00B874C6">
      <w:pPr>
        <w:pStyle w:val="Line"/>
        <w:rPr>
          <w:lang w:val="es-ES"/>
        </w:rPr>
      </w:pPr>
    </w:p>
    <w:sectPr w:rsidR="00B874C6" w:rsidRPr="00F17CED" w:rsidSect="007565CC">
      <w:footerReference w:type="default" r:id="rId23"/>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61B0" w14:textId="77777777" w:rsidR="00D8631C" w:rsidRDefault="00D8631C">
      <w:r>
        <w:separator/>
      </w:r>
    </w:p>
  </w:endnote>
  <w:endnote w:type="continuationSeparator" w:id="0">
    <w:p w14:paraId="4F2D3339" w14:textId="77777777" w:rsidR="00D8631C" w:rsidRDefault="00D8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AFCD" w14:textId="77777777" w:rsidR="00EC4D79" w:rsidRDefault="00EC4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857D" w14:textId="77777777" w:rsidR="00301DB3" w:rsidRDefault="00301DB3">
    <w:pPr>
      <w:pStyle w:val="Footer"/>
    </w:pPr>
    <w:r>
      <w:drawing>
        <wp:anchor distT="0" distB="0" distL="0" distR="0" simplePos="0" relativeHeight="251656192" behindDoc="0" locked="0" layoutInCell="1" allowOverlap="1" wp14:anchorId="5133CF4D" wp14:editId="4BA4A62C">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E69" w14:textId="77777777" w:rsidR="00EC4D79" w:rsidRDefault="00EC4D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90E4"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0A229" w14:textId="77777777" w:rsidR="00D8631C" w:rsidRDefault="00D8631C">
      <w:r>
        <w:separator/>
      </w:r>
    </w:p>
  </w:footnote>
  <w:footnote w:type="continuationSeparator" w:id="0">
    <w:p w14:paraId="029C56C4" w14:textId="77777777" w:rsidR="00D8631C" w:rsidRDefault="00D8631C">
      <w:r>
        <w:continuationSeparator/>
      </w:r>
    </w:p>
  </w:footnote>
  <w:footnote w:id="1">
    <w:p w14:paraId="29CEBD0B" w14:textId="77777777" w:rsidR="00BD0F1A" w:rsidRPr="00DF0B08" w:rsidRDefault="00BD0F1A" w:rsidP="00BD0F1A">
      <w:pPr>
        <w:pStyle w:val="FootnoteText"/>
      </w:pPr>
      <w:r w:rsidRPr="00E65C85">
        <w:rPr>
          <w:rStyle w:val="FootnoteReference"/>
        </w:rPr>
        <w:sym w:font="Symbol" w:char="F02A"/>
      </w:r>
      <w:r>
        <w:tab/>
        <w:t>Esta Recomendación debería señalarse a la atención de la Organización Marítima Internacional (OMI), la Organización de Aviación Civil Internacional (OACI) y la Organización Internacional de Telecomunicaciones Móviles por Satélite (IMSO).</w:t>
      </w:r>
    </w:p>
  </w:footnote>
  <w:footnote w:id="2">
    <w:p w14:paraId="461457B8" w14:textId="60CADC51" w:rsidR="00D81645" w:rsidRPr="00F9464D" w:rsidRDefault="00D81645">
      <w:pPr>
        <w:pStyle w:val="FootnoteText"/>
      </w:pPr>
      <w:r w:rsidRPr="00F9464D">
        <w:rPr>
          <w:rStyle w:val="FootnoteReference"/>
        </w:rPr>
        <w:t>1</w:t>
      </w:r>
      <w:r>
        <w:tab/>
        <w:t xml:space="preserve">Si bien la Recomendación se basa en los estudios solicitados por la </w:t>
      </w:r>
      <w:r w:rsidRPr="006E1011">
        <w:t>Resolución</w:t>
      </w:r>
      <w:r w:rsidRPr="006E1011">
        <w:rPr>
          <w:b/>
          <w:bCs/>
        </w:rPr>
        <w:t xml:space="preserve"> 223 (Rev.CMR-19)</w:t>
      </w:r>
      <w:r>
        <w:t>, relativos a la coexistencia entre las IMT en la banda 1 492-1 518 MHz y el SMS en la banda 1 518</w:t>
      </w:r>
      <w:r w:rsidR="008D6CBC">
        <w:noBreakHyphen/>
      </w:r>
      <w:r>
        <w:t>1 525</w:t>
      </w:r>
      <w:r w:rsidR="008D6CBC">
        <w:t> </w:t>
      </w:r>
      <w:r>
        <w:t>MHz, los requisitos técnicos y las medidas reglamentarias recomendados son asimismo eficaces y pueden aplicarse a las estaciones móviles terrenas que funcionan en la banda 1 525-1 559 MHz.</w:t>
      </w:r>
    </w:p>
  </w:footnote>
  <w:footnote w:id="3">
    <w:p w14:paraId="1575FD92" w14:textId="77777777" w:rsidR="00D81645" w:rsidRPr="003D00DC" w:rsidRDefault="00D81645">
      <w:pPr>
        <w:pStyle w:val="FootnoteText"/>
      </w:pPr>
      <w:r w:rsidRPr="003D00DC">
        <w:rPr>
          <w:rStyle w:val="FootnoteReference"/>
        </w:rPr>
        <w:t>2</w:t>
      </w:r>
      <w:r w:rsidRPr="003D00DC">
        <w:tab/>
      </w:r>
      <w:r>
        <w:t>Con respecto a la aplicación de este Anexo a países con operaciones del SMS en diferentes partes de la gama de 1,5 GHz, véase también la nota al título de esta Recomendación.</w:t>
      </w:r>
    </w:p>
  </w:footnote>
  <w:footnote w:id="4">
    <w:p w14:paraId="40C86467" w14:textId="77777777" w:rsidR="00D356B2" w:rsidRPr="008B1F7B" w:rsidRDefault="00D356B2" w:rsidP="00D356B2">
      <w:pPr>
        <w:pStyle w:val="FootnoteText"/>
      </w:pPr>
      <w:r w:rsidRPr="008B1F7B">
        <w:rPr>
          <w:rStyle w:val="FootnoteReference"/>
        </w:rPr>
        <w:t>3</w:t>
      </w:r>
      <w:r w:rsidRPr="008B1F7B">
        <w:tab/>
      </w:r>
      <w:r>
        <w:t>FCC 05-30: «Flexibilidad para la entrega de comunicaciones por proveedores de servicios móviles por satélite en las bandas de 2 GHz, L y 1,6/2,4 GHz – Memorandum opinion and order and second order on reconsideration», febrero de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BC9A"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284855F7" w14:textId="77777777" w:rsidTr="0019307B">
      <w:tc>
        <w:tcPr>
          <w:tcW w:w="4634" w:type="dxa"/>
          <w:vAlign w:val="center"/>
        </w:tcPr>
        <w:p w14:paraId="039BDA93"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0D1CE34A"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4C748A28" w14:textId="77777777" w:rsidTr="0019307B">
      <w:tc>
        <w:tcPr>
          <w:tcW w:w="4634" w:type="dxa"/>
          <w:vAlign w:val="center"/>
        </w:tcPr>
        <w:p w14:paraId="7A16B487"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54188A0A"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2DE50948"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333FBCCC" wp14:editId="2F3AB3AE">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7A0BDE51" wp14:editId="345CCDE6">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07DD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6A1E673"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753CFC9" wp14:editId="15574D0E">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3C724"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47AD" w14:textId="77777777" w:rsidR="00EC4D79" w:rsidRDefault="00EC4D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A207" w14:textId="0C2A8E66"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D8631C">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C14501">
      <w:rPr>
        <w:b/>
        <w:bCs/>
        <w:noProof/>
        <w:lang w:val="en-US"/>
      </w:rPr>
      <w:t>UIT-R  M.2159-0</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A6D4" w14:textId="07E486B5"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D8631C">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C14501">
      <w:rPr>
        <w:b/>
        <w:bCs/>
        <w:noProof/>
      </w:rPr>
      <w:t>UIT-R  M.2159-0</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1C"/>
    <w:rsid w:val="0000767B"/>
    <w:rsid w:val="00013002"/>
    <w:rsid w:val="000246E0"/>
    <w:rsid w:val="00036EE3"/>
    <w:rsid w:val="000524F3"/>
    <w:rsid w:val="00072484"/>
    <w:rsid w:val="00095530"/>
    <w:rsid w:val="00096612"/>
    <w:rsid w:val="000A4A32"/>
    <w:rsid w:val="000B1B2B"/>
    <w:rsid w:val="000B7683"/>
    <w:rsid w:val="000D0677"/>
    <w:rsid w:val="000E0548"/>
    <w:rsid w:val="000E6A6E"/>
    <w:rsid w:val="000F4C90"/>
    <w:rsid w:val="00102934"/>
    <w:rsid w:val="00120C75"/>
    <w:rsid w:val="00147110"/>
    <w:rsid w:val="001511A6"/>
    <w:rsid w:val="00171C4D"/>
    <w:rsid w:val="0017562F"/>
    <w:rsid w:val="0019307B"/>
    <w:rsid w:val="001B0927"/>
    <w:rsid w:val="001B164E"/>
    <w:rsid w:val="001B7886"/>
    <w:rsid w:val="001C4108"/>
    <w:rsid w:val="001F38BB"/>
    <w:rsid w:val="002058CE"/>
    <w:rsid w:val="002165F1"/>
    <w:rsid w:val="00233211"/>
    <w:rsid w:val="00236D39"/>
    <w:rsid w:val="00260B24"/>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46EC2"/>
    <w:rsid w:val="00356B5D"/>
    <w:rsid w:val="00357707"/>
    <w:rsid w:val="0036627C"/>
    <w:rsid w:val="003E5516"/>
    <w:rsid w:val="003F4B75"/>
    <w:rsid w:val="004029B6"/>
    <w:rsid w:val="00410651"/>
    <w:rsid w:val="00420DFD"/>
    <w:rsid w:val="00425BC7"/>
    <w:rsid w:val="00437A76"/>
    <w:rsid w:val="004604B2"/>
    <w:rsid w:val="00470E28"/>
    <w:rsid w:val="0047379B"/>
    <w:rsid w:val="00474170"/>
    <w:rsid w:val="00477729"/>
    <w:rsid w:val="004842E2"/>
    <w:rsid w:val="00486EB3"/>
    <w:rsid w:val="004934C5"/>
    <w:rsid w:val="004A6FEB"/>
    <w:rsid w:val="004E61FF"/>
    <w:rsid w:val="005373E0"/>
    <w:rsid w:val="00556548"/>
    <w:rsid w:val="00571B1C"/>
    <w:rsid w:val="00576D47"/>
    <w:rsid w:val="00586EF8"/>
    <w:rsid w:val="005B0371"/>
    <w:rsid w:val="005B49AB"/>
    <w:rsid w:val="005B50E7"/>
    <w:rsid w:val="005C4BAB"/>
    <w:rsid w:val="005E12A5"/>
    <w:rsid w:val="005E69F0"/>
    <w:rsid w:val="005E7B4F"/>
    <w:rsid w:val="005F003B"/>
    <w:rsid w:val="005F2E73"/>
    <w:rsid w:val="00601882"/>
    <w:rsid w:val="00607D68"/>
    <w:rsid w:val="00613212"/>
    <w:rsid w:val="006149B1"/>
    <w:rsid w:val="00640332"/>
    <w:rsid w:val="00680D2B"/>
    <w:rsid w:val="00681B32"/>
    <w:rsid w:val="0069322D"/>
    <w:rsid w:val="00697887"/>
    <w:rsid w:val="006B1D2B"/>
    <w:rsid w:val="006B1E05"/>
    <w:rsid w:val="006B448B"/>
    <w:rsid w:val="006C37D5"/>
    <w:rsid w:val="006E1131"/>
    <w:rsid w:val="006E2037"/>
    <w:rsid w:val="006E6199"/>
    <w:rsid w:val="006F536F"/>
    <w:rsid w:val="00712870"/>
    <w:rsid w:val="00714AC0"/>
    <w:rsid w:val="0074147D"/>
    <w:rsid w:val="00743D85"/>
    <w:rsid w:val="00744F8B"/>
    <w:rsid w:val="00747D6E"/>
    <w:rsid w:val="00750DE2"/>
    <w:rsid w:val="00753CF4"/>
    <w:rsid w:val="007565CC"/>
    <w:rsid w:val="007624B1"/>
    <w:rsid w:val="00763B9A"/>
    <w:rsid w:val="007A0BC8"/>
    <w:rsid w:val="007A6AA8"/>
    <w:rsid w:val="007B1357"/>
    <w:rsid w:val="007B3343"/>
    <w:rsid w:val="008310C9"/>
    <w:rsid w:val="008335F0"/>
    <w:rsid w:val="00834306"/>
    <w:rsid w:val="00841046"/>
    <w:rsid w:val="00841F72"/>
    <w:rsid w:val="00853CC5"/>
    <w:rsid w:val="00877E6E"/>
    <w:rsid w:val="008B083A"/>
    <w:rsid w:val="008B56B2"/>
    <w:rsid w:val="008C7848"/>
    <w:rsid w:val="008D6CBC"/>
    <w:rsid w:val="00906589"/>
    <w:rsid w:val="00906AD6"/>
    <w:rsid w:val="00917AF2"/>
    <w:rsid w:val="0092418A"/>
    <w:rsid w:val="00934ED7"/>
    <w:rsid w:val="00940D16"/>
    <w:rsid w:val="009543C3"/>
    <w:rsid w:val="00966E1B"/>
    <w:rsid w:val="00972F51"/>
    <w:rsid w:val="00984A02"/>
    <w:rsid w:val="009947C0"/>
    <w:rsid w:val="009A4039"/>
    <w:rsid w:val="009A41F9"/>
    <w:rsid w:val="009D4BBD"/>
    <w:rsid w:val="009F2D2C"/>
    <w:rsid w:val="009F2D88"/>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286E"/>
    <w:rsid w:val="00B033C8"/>
    <w:rsid w:val="00B111CE"/>
    <w:rsid w:val="00B33425"/>
    <w:rsid w:val="00B42334"/>
    <w:rsid w:val="00B44E24"/>
    <w:rsid w:val="00B54ECC"/>
    <w:rsid w:val="00B60AC0"/>
    <w:rsid w:val="00B714F3"/>
    <w:rsid w:val="00B75A52"/>
    <w:rsid w:val="00B874C6"/>
    <w:rsid w:val="00B87B6B"/>
    <w:rsid w:val="00B9169E"/>
    <w:rsid w:val="00B96572"/>
    <w:rsid w:val="00BB7886"/>
    <w:rsid w:val="00BC5D77"/>
    <w:rsid w:val="00BD0F1A"/>
    <w:rsid w:val="00BD4283"/>
    <w:rsid w:val="00BF487A"/>
    <w:rsid w:val="00BF5544"/>
    <w:rsid w:val="00C14501"/>
    <w:rsid w:val="00C15F3E"/>
    <w:rsid w:val="00C46BD9"/>
    <w:rsid w:val="00C55258"/>
    <w:rsid w:val="00C73560"/>
    <w:rsid w:val="00C84DB7"/>
    <w:rsid w:val="00C87A35"/>
    <w:rsid w:val="00CB0F14"/>
    <w:rsid w:val="00CD659B"/>
    <w:rsid w:val="00CE0A43"/>
    <w:rsid w:val="00CF130D"/>
    <w:rsid w:val="00D00118"/>
    <w:rsid w:val="00D0483A"/>
    <w:rsid w:val="00D16749"/>
    <w:rsid w:val="00D356B2"/>
    <w:rsid w:val="00D5024B"/>
    <w:rsid w:val="00D61962"/>
    <w:rsid w:val="00D72623"/>
    <w:rsid w:val="00D81645"/>
    <w:rsid w:val="00D83556"/>
    <w:rsid w:val="00D8631C"/>
    <w:rsid w:val="00DB27A8"/>
    <w:rsid w:val="00DE5556"/>
    <w:rsid w:val="00DF4176"/>
    <w:rsid w:val="00E0095C"/>
    <w:rsid w:val="00E17240"/>
    <w:rsid w:val="00E222BE"/>
    <w:rsid w:val="00E2779E"/>
    <w:rsid w:val="00E74595"/>
    <w:rsid w:val="00E77485"/>
    <w:rsid w:val="00EB1CB6"/>
    <w:rsid w:val="00EB7C57"/>
    <w:rsid w:val="00EC4D79"/>
    <w:rsid w:val="00ED2695"/>
    <w:rsid w:val="00ED3CA8"/>
    <w:rsid w:val="00EE04BA"/>
    <w:rsid w:val="00EE47C4"/>
    <w:rsid w:val="00EF1D53"/>
    <w:rsid w:val="00EF2D52"/>
    <w:rsid w:val="00F111D6"/>
    <w:rsid w:val="00F17CED"/>
    <w:rsid w:val="00F30C9B"/>
    <w:rsid w:val="00F354B1"/>
    <w:rsid w:val="00F354D7"/>
    <w:rsid w:val="00F6343F"/>
    <w:rsid w:val="00F72776"/>
    <w:rsid w:val="00F77360"/>
    <w:rsid w:val="00F92A40"/>
    <w:rsid w:val="00FB0E4E"/>
    <w:rsid w:val="00FE4080"/>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20F951C6"/>
  <w15:docId w15:val="{2D8BE080-E9CB-4881-B3CD-F6D0DA75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36F"/>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qFormat/>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8D6CBC"/>
    <w:pPr>
      <w:spacing w:before="240"/>
    </w:pPr>
    <w:rPr>
      <w:bCs/>
      <w:sz w:val="22"/>
      <w:szCs w:val="22"/>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0"/>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A93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8D6CBC"/>
    <w:pPr>
      <w:spacing w:after="480"/>
    </w:pPr>
    <w:rPr>
      <w:sz w:val="22"/>
      <w:szCs w:val="22"/>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D0F1A"/>
    <w:rPr>
      <w:sz w:val="22"/>
      <w:lang w:val="es-ES" w:eastAsia="en-US"/>
    </w:rPr>
  </w:style>
  <w:style w:type="character" w:customStyle="1" w:styleId="TablelegendChar">
    <w:name w:val="Table_legend Char"/>
    <w:link w:val="Tablelegend"/>
    <w:locked/>
    <w:rsid w:val="00D81645"/>
    <w:rPr>
      <w:sz w:val="22"/>
      <w:lang w:val="es-ES" w:eastAsia="en-US"/>
    </w:rPr>
  </w:style>
  <w:style w:type="character" w:customStyle="1" w:styleId="Tabletext0">
    <w:name w:val="Table_text (文字)"/>
    <w:link w:val="Tabletext"/>
    <w:rsid w:val="00D81645"/>
    <w:rPr>
      <w:sz w:val="22"/>
      <w:lang w:val="es-ES" w:eastAsia="en-US"/>
    </w:rPr>
  </w:style>
  <w:style w:type="character" w:customStyle="1" w:styleId="Rectitle0">
    <w:name w:val="Rec_title Знак"/>
    <w:basedOn w:val="DefaultParagraphFont"/>
    <w:link w:val="Rectitle"/>
    <w:locked/>
    <w:rsid w:val="00D81645"/>
    <w:rPr>
      <w:b/>
      <w:sz w:val="28"/>
      <w:lang w:val="es-ES" w:eastAsia="en-US"/>
    </w:rPr>
  </w:style>
  <w:style w:type="paragraph" w:styleId="Revision">
    <w:name w:val="Revision"/>
    <w:hidden/>
    <w:uiPriority w:val="99"/>
    <w:semiHidden/>
    <w:rsid w:val="0000767B"/>
    <w:rPr>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tu.int/ITU-R/go/patents/es" TargetMode="External"/><Relationship Id="rId18" Type="http://schemas.openxmlformats.org/officeDocument/2006/relationships/hyperlink" Target="https://www.itu.int/pub/R-REP-M.2529/es" TargetMode="External"/><Relationship Id="rId3" Type="http://schemas.openxmlformats.org/officeDocument/2006/relationships/settings" Target="settings.xml"/><Relationship Id="rId21" Type="http://schemas.openxmlformats.org/officeDocument/2006/relationships/hyperlink" Target="https://www.itu.int/pub/R-REP-M.2529/e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itu.int/rec/R-REC-M.1036/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www.itu.int/rec/R-REC-M.1036/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www.itu.int/pub/R-REP-M.2529/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publ/R-REC/es" TargetMode="External"/><Relationship Id="rId22" Type="http://schemas.openxmlformats.org/officeDocument/2006/relationships/hyperlink" Target="https://www.itu.int/pub/R-REP-M.2529/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S\2023-ITU-R_REC_M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2023-ITU-R_REC_M_S.dotx</Template>
  <TotalTime>67</TotalTime>
  <Pages>14</Pages>
  <Words>5254</Words>
  <Characters>29953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RECOMENDACIÓN  UIT-R  M.2159-0( - Medidas técnicas y reglamentarias para garantizar la compatibilidad entre las telecomunicaciones móviles internacionales y los servicios móviles por satélite con respecto a las operaciones de los servicios móviles por sat</vt:lpstr>
    </vt:vector>
  </TitlesOfParts>
  <Manager/>
  <Company>ITU</Company>
  <LinksUpToDate>false</LinksUpToDate>
  <CharactersWithSpaces>35137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M.2159-0 (12/2023) - Medidas técnicas y reglamentarias para garantizar la compatibilidad entre las telecomunicaciones móviles internacionales y los servicios móviles por satélite con respecto a las operaciones de los servicios móviles por satélite en la banda de frecuencias 1 518-1 525 MHz a las administraciones que deseen introducir las telecomunicaciones móviles internacionales en la banda de frecuencias 1 492-1 518 MHz</dc:title>
  <dc:subject>Serie M = Servicios móviles, de radiodeterminación y de aficionados, incluidos los correspondientes servicios por satélite</dc:subject>
  <dc:creator>Oficina de Radiocomunicaciones del UIT (BR)</dc:creator>
  <cp:keywords>M,2159-0</cp:keywords>
  <dc:description>Saez, 01.02.2024, ITU51013874</dc:description>
  <cp:lastModifiedBy>Catalano Moreira, Rossana</cp:lastModifiedBy>
  <cp:revision>12</cp:revision>
  <cp:lastPrinted>2023-03-17T15:41:00Z</cp:lastPrinted>
  <dcterms:created xsi:type="dcterms:W3CDTF">2024-02-01T07:47:00Z</dcterms:created>
  <dcterms:modified xsi:type="dcterms:W3CDTF">2024-05-21T14:11:00Z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jeudi, 1 février 2024</vt:lpwstr>
  </property>
</Properties>
</file>