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1546" w14:textId="7D1C7FC0" w:rsidR="005720AD" w:rsidRDefault="005720AD" w:rsidP="005720AD"/>
    <w:p w14:paraId="3C26E6A9" w14:textId="6FF389D7" w:rsidR="005720AD" w:rsidRDefault="005720AD" w:rsidP="005720AD">
      <w:pPr>
        <w:tabs>
          <w:tab w:val="clear" w:pos="794"/>
          <w:tab w:val="clear" w:pos="1191"/>
          <w:tab w:val="clear" w:pos="1588"/>
          <w:tab w:val="clear" w:pos="1985"/>
        </w:tabs>
      </w:pPr>
    </w:p>
    <w:p w14:paraId="3B6BBF21" w14:textId="4269ECE4" w:rsidR="005720AD" w:rsidRPr="003212E0" w:rsidRDefault="003212E0" w:rsidP="005720AD">
      <w:pPr>
        <w:pStyle w:val="CoverNumber"/>
        <w:rPr>
          <w:sz w:val="48"/>
          <w:lang w:val="fr-CH"/>
        </w:rPr>
      </w:pPr>
      <w:r w:rsidRPr="003212E0">
        <w:rPr>
          <w:lang w:val="ru-RU"/>
        </w:rPr>
        <w:t>Рекомендация МСЭ-R M.2159-0</w:t>
      </w:r>
    </w:p>
    <w:p w14:paraId="2F9037BF" w14:textId="638D1F6B" w:rsidR="005720AD" w:rsidRPr="005720AD" w:rsidRDefault="005720AD" w:rsidP="005720AD">
      <w:pPr>
        <w:pStyle w:val="CoverDate"/>
        <w:rPr>
          <w:lang w:val="fr-CH"/>
        </w:rPr>
      </w:pPr>
      <w:r w:rsidRPr="005720AD">
        <w:rPr>
          <w:lang w:val="fr-CH"/>
        </w:rPr>
        <w:t>(</w:t>
      </w:r>
      <w:r>
        <w:rPr>
          <w:lang w:val="fr-CH"/>
        </w:rPr>
        <w:t>12</w:t>
      </w:r>
      <w:r w:rsidRPr="005720AD">
        <w:rPr>
          <w:lang w:val="fr-CH"/>
        </w:rPr>
        <w:t>/</w:t>
      </w:r>
      <w:r>
        <w:rPr>
          <w:lang w:val="fr-CH"/>
        </w:rPr>
        <w:t>2023</w:t>
      </w:r>
      <w:r w:rsidRPr="005720AD">
        <w:rPr>
          <w:lang w:val="fr-CH"/>
        </w:rPr>
        <w:t>)</w:t>
      </w:r>
    </w:p>
    <w:p w14:paraId="4AB75D4C" w14:textId="326E6F57" w:rsidR="005720AD" w:rsidRPr="003212E0" w:rsidRDefault="003212E0" w:rsidP="005720AD">
      <w:pPr>
        <w:pStyle w:val="CoverSeries"/>
        <w:rPr>
          <w:sz w:val="44"/>
          <w:lang w:val="ru-RU"/>
        </w:rPr>
      </w:pPr>
      <w:r w:rsidRPr="003212E0">
        <w:rPr>
          <w:color w:val="auto"/>
          <w:lang w:val="ru-RU"/>
        </w:rPr>
        <w:t>Серия М:</w:t>
      </w:r>
      <w:r w:rsidRPr="003212E0">
        <w:rPr>
          <w:lang w:val="ru-RU"/>
        </w:rPr>
        <w:t xml:space="preserve"> </w:t>
      </w:r>
      <w:r w:rsidRPr="003212E0">
        <w:rPr>
          <w:color w:val="auto"/>
          <w:lang w:val="ru-RU"/>
        </w:rPr>
        <w:t xml:space="preserve">Подвижные службы, служба </w:t>
      </w:r>
      <w:proofErr w:type="spellStart"/>
      <w:r w:rsidRPr="003212E0">
        <w:rPr>
          <w:color w:val="auto"/>
          <w:lang w:val="ru-RU"/>
        </w:rPr>
        <w:t>радиоопределения</w:t>
      </w:r>
      <w:proofErr w:type="spellEnd"/>
      <w:r w:rsidRPr="003212E0">
        <w:rPr>
          <w:color w:val="auto"/>
          <w:lang w:val="ru-RU"/>
        </w:rPr>
        <w:t>, любительская служба и</w:t>
      </w:r>
      <w:r>
        <w:rPr>
          <w:color w:val="auto"/>
          <w:lang w:val="ru-RU"/>
        </w:rPr>
        <w:t> </w:t>
      </w:r>
      <w:r w:rsidRPr="003212E0">
        <w:rPr>
          <w:color w:val="auto"/>
          <w:lang w:val="ru-RU"/>
        </w:rPr>
        <w:t>относящиеся к ним спутниковые службы</w:t>
      </w:r>
    </w:p>
    <w:p w14:paraId="77830E50" w14:textId="2F46222F" w:rsidR="005720AD" w:rsidRPr="003212E0" w:rsidRDefault="003212E0" w:rsidP="005720AD">
      <w:pPr>
        <w:pStyle w:val="CoverTitle"/>
        <w:rPr>
          <w:szCs w:val="40"/>
          <w:lang w:val="ru-RU"/>
        </w:rPr>
      </w:pPr>
      <w:r w:rsidRPr="003212E0">
        <w:rPr>
          <w:sz w:val="40"/>
          <w:szCs w:val="40"/>
          <w:lang w:val="ru-RU"/>
        </w:rPr>
        <w:t xml:space="preserve">Технические и </w:t>
      </w:r>
      <w:proofErr w:type="spellStart"/>
      <w:r w:rsidRPr="003212E0">
        <w:rPr>
          <w:sz w:val="40"/>
          <w:szCs w:val="40"/>
          <w:lang w:val="ru-RU"/>
        </w:rPr>
        <w:t>регламентарные</w:t>
      </w:r>
      <w:proofErr w:type="spellEnd"/>
      <w:r w:rsidRPr="003212E0">
        <w:rPr>
          <w:sz w:val="40"/>
          <w:szCs w:val="40"/>
          <w:lang w:val="ru-RU"/>
        </w:rPr>
        <w:t xml:space="preserve"> меры по</w:t>
      </w:r>
      <w:r>
        <w:rPr>
          <w:sz w:val="40"/>
          <w:szCs w:val="40"/>
          <w:lang w:val="ru-RU"/>
        </w:rPr>
        <w:t> </w:t>
      </w:r>
      <w:r w:rsidRPr="003212E0">
        <w:rPr>
          <w:sz w:val="40"/>
          <w:szCs w:val="40"/>
          <w:lang w:val="ru-RU"/>
        </w:rPr>
        <w:t xml:space="preserve">обеспечению совместимости </w:t>
      </w:r>
      <w:r>
        <w:rPr>
          <w:sz w:val="40"/>
          <w:szCs w:val="40"/>
          <w:lang w:val="ru-RU"/>
        </w:rPr>
        <w:t>систем</w:t>
      </w:r>
      <w:r w:rsidRPr="003212E0">
        <w:rPr>
          <w:sz w:val="40"/>
          <w:szCs w:val="40"/>
          <w:lang w:val="ru-RU"/>
        </w:rPr>
        <w:t xml:space="preserve"> международной подвижной </w:t>
      </w:r>
      <w:r>
        <w:rPr>
          <w:sz w:val="40"/>
          <w:szCs w:val="40"/>
          <w:lang w:val="ru-RU"/>
        </w:rPr>
        <w:t>электросвязи</w:t>
      </w:r>
      <w:r w:rsidRPr="003212E0">
        <w:rPr>
          <w:sz w:val="40"/>
          <w:szCs w:val="40"/>
          <w:lang w:val="ru-RU"/>
        </w:rPr>
        <w:t xml:space="preserve"> и подвижной спутниковой </w:t>
      </w:r>
      <w:r>
        <w:rPr>
          <w:sz w:val="40"/>
          <w:szCs w:val="40"/>
          <w:lang w:val="ru-RU"/>
        </w:rPr>
        <w:t>службы</w:t>
      </w:r>
      <w:r w:rsidRPr="003212E0">
        <w:rPr>
          <w:sz w:val="40"/>
          <w:szCs w:val="40"/>
          <w:lang w:val="ru-RU"/>
        </w:rPr>
        <w:t xml:space="preserve">, предназначенные для администраций, желающих внедрить международную подвижную </w:t>
      </w:r>
      <w:r>
        <w:rPr>
          <w:sz w:val="40"/>
          <w:szCs w:val="40"/>
          <w:lang w:val="ru-RU"/>
        </w:rPr>
        <w:t>электро</w:t>
      </w:r>
      <w:r w:rsidRPr="003212E0">
        <w:rPr>
          <w:sz w:val="40"/>
          <w:szCs w:val="40"/>
          <w:lang w:val="ru-RU"/>
        </w:rPr>
        <w:t>связь в полосе частот 1492</w:t>
      </w:r>
      <w:r>
        <w:rPr>
          <w:sz w:val="40"/>
          <w:szCs w:val="40"/>
          <w:lang w:val="ru-RU"/>
        </w:rPr>
        <w:t>–</w:t>
      </w:r>
      <w:r w:rsidRPr="003212E0">
        <w:rPr>
          <w:sz w:val="40"/>
          <w:szCs w:val="40"/>
          <w:lang w:val="ru-RU"/>
        </w:rPr>
        <w:t xml:space="preserve">1518 МГц с учетом эксплуатации подвижной спутниковой </w:t>
      </w:r>
      <w:r>
        <w:rPr>
          <w:sz w:val="40"/>
          <w:szCs w:val="40"/>
          <w:lang w:val="ru-RU"/>
        </w:rPr>
        <w:t>службы</w:t>
      </w:r>
      <w:r w:rsidRPr="003212E0">
        <w:rPr>
          <w:sz w:val="40"/>
          <w:szCs w:val="40"/>
          <w:lang w:val="ru-RU"/>
        </w:rPr>
        <w:t xml:space="preserve"> в полосе частот 1518−1525 МГц</w:t>
      </w:r>
    </w:p>
    <w:p w14:paraId="79C90DDE" w14:textId="77777777" w:rsidR="005720AD" w:rsidRPr="003212E0" w:rsidRDefault="005720AD" w:rsidP="005720AD">
      <w:pPr>
        <w:rPr>
          <w:lang w:val="ru-RU"/>
        </w:rPr>
      </w:pPr>
    </w:p>
    <w:p w14:paraId="3125F2C3" w14:textId="77777777" w:rsidR="005720AD" w:rsidRPr="003212E0" w:rsidRDefault="005720AD" w:rsidP="005720AD">
      <w:pPr>
        <w:rPr>
          <w:lang w:val="ru-RU"/>
        </w:rPr>
      </w:pPr>
    </w:p>
    <w:p w14:paraId="17DEF916" w14:textId="77777777" w:rsidR="005720AD" w:rsidRPr="003212E0" w:rsidRDefault="005720AD" w:rsidP="005720AD">
      <w:pPr>
        <w:rPr>
          <w:lang w:val="ru-RU"/>
        </w:rPr>
        <w:sectPr w:rsidR="005720AD" w:rsidRPr="003212E0" w:rsidSect="00AE68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089" w:right="1089" w:bottom="284" w:left="1089" w:header="737" w:footer="284" w:gutter="0"/>
          <w:pgNumType w:start="1"/>
          <w:cols w:space="720"/>
          <w:docGrid w:linePitch="326"/>
        </w:sectPr>
      </w:pPr>
    </w:p>
    <w:p w14:paraId="32DA51AF" w14:textId="77777777" w:rsidR="003338C9" w:rsidRPr="00852A54" w:rsidRDefault="003338C9" w:rsidP="003338C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szCs w:val="22"/>
          <w:lang w:val="ru-RU"/>
        </w:rPr>
      </w:pPr>
      <w:bookmarkStart w:id="0" w:name="c2tope"/>
      <w:bookmarkStart w:id="1" w:name="irecnoe"/>
      <w:bookmarkEnd w:id="0"/>
      <w:bookmarkEnd w:id="1"/>
      <w:r w:rsidRPr="00852A54">
        <w:rPr>
          <w:b/>
          <w:bCs/>
          <w:szCs w:val="22"/>
          <w:lang w:val="ru-RU"/>
        </w:rPr>
        <w:lastRenderedPageBreak/>
        <w:t>Предисловие</w:t>
      </w:r>
    </w:p>
    <w:p w14:paraId="7C7C735F" w14:textId="77777777" w:rsidR="003338C9" w:rsidRPr="004E05E5" w:rsidRDefault="003338C9" w:rsidP="003338C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>Роль Сектора радиосвязи заключается в обеспечении рационального, справедливого, эффективного и экономичного использования радиочастотного спектра всеми службами радиосвязи, включая спутниковые службы, и проведении в неограниченном частотном диапазоне исследований, на основании которых принимаются Рекомендации.</w:t>
      </w:r>
    </w:p>
    <w:p w14:paraId="4D630AAF" w14:textId="77777777" w:rsidR="003338C9" w:rsidRPr="004E05E5" w:rsidRDefault="003338C9" w:rsidP="003338C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 xml:space="preserve">Всемирные и региональные конференции радиосвязи и ассамблеи радиосвязи при поддержке исследовательских комиссий выполняют </w:t>
      </w:r>
      <w:proofErr w:type="spellStart"/>
      <w:r w:rsidRPr="004E05E5">
        <w:rPr>
          <w:sz w:val="20"/>
          <w:lang w:val="ru-RU"/>
        </w:rPr>
        <w:t>регламентарную</w:t>
      </w:r>
      <w:proofErr w:type="spellEnd"/>
      <w:r w:rsidRPr="004E05E5">
        <w:rPr>
          <w:sz w:val="20"/>
          <w:lang w:val="ru-RU"/>
        </w:rPr>
        <w:t xml:space="preserve"> и политическую функции Сектора радиосвязи. </w:t>
      </w:r>
    </w:p>
    <w:p w14:paraId="6B9DA91F" w14:textId="77777777" w:rsidR="003338C9" w:rsidRPr="004E05E5" w:rsidRDefault="003338C9" w:rsidP="003338C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jc w:val="center"/>
        <w:textAlignment w:val="auto"/>
        <w:rPr>
          <w:b/>
          <w:bCs/>
          <w:szCs w:val="22"/>
          <w:lang w:val="ru-RU"/>
        </w:rPr>
      </w:pPr>
      <w:r w:rsidRPr="004E05E5">
        <w:rPr>
          <w:b/>
          <w:bCs/>
          <w:szCs w:val="22"/>
          <w:lang w:val="ru-RU"/>
        </w:rPr>
        <w:t>Политика в области прав интеллектуальной собственности (ПИС)</w:t>
      </w:r>
    </w:p>
    <w:p w14:paraId="1A6E0A64" w14:textId="77777777" w:rsidR="003338C9" w:rsidRPr="00135623" w:rsidRDefault="003338C9" w:rsidP="003338C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>Политика МСЭ-</w:t>
      </w:r>
      <w:r w:rsidRPr="00135623">
        <w:rPr>
          <w:sz w:val="20"/>
          <w:lang w:val="en-US"/>
        </w:rPr>
        <w:t>R</w:t>
      </w:r>
      <w:r w:rsidRPr="004E05E5">
        <w:rPr>
          <w:sz w:val="20"/>
          <w:lang w:val="ru-RU"/>
        </w:rPr>
        <w:t xml:space="preserve"> в области ПИС излагается в общей патентной политике МСЭ-Т/МСЭ-</w:t>
      </w:r>
      <w:r w:rsidRPr="00135623">
        <w:rPr>
          <w:sz w:val="20"/>
          <w:lang w:val="en-US"/>
        </w:rPr>
        <w:t>R</w:t>
      </w:r>
      <w:r w:rsidRPr="004E05E5">
        <w:rPr>
          <w:sz w:val="20"/>
          <w:lang w:val="ru-RU"/>
        </w:rPr>
        <w:t>/ИСО/МЭК, упоминаемой в Резолюции МСЭ-</w:t>
      </w:r>
      <w:r w:rsidRPr="00135623">
        <w:rPr>
          <w:sz w:val="20"/>
          <w:lang w:val="en-US"/>
        </w:rPr>
        <w:t>R</w:t>
      </w:r>
      <w:r>
        <w:rPr>
          <w:sz w:val="20"/>
          <w:lang w:val="ru-RU"/>
        </w:rPr>
        <w:t xml:space="preserve"> </w:t>
      </w:r>
      <w:r w:rsidRPr="004E05E5">
        <w:rPr>
          <w:sz w:val="20"/>
          <w:lang w:val="ru-RU"/>
        </w:rPr>
        <w:t xml:space="preserve">1. </w:t>
      </w:r>
      <w:r w:rsidRPr="00135623">
        <w:rPr>
          <w:sz w:val="20"/>
          <w:lang w:val="ru-RU"/>
        </w:rPr>
        <w:t xml:space="preserve">Формы, которые владельцам патентов следует использовать для представления патентных заявлений и деклараций о лицензировании, представлены по адресу: </w:t>
      </w:r>
      <w:hyperlink r:id="rId13" w:history="1">
        <w:r>
          <w:rPr>
            <w:rFonts w:eastAsia="SimSun"/>
            <w:color w:val="0000FF"/>
            <w:sz w:val="20"/>
            <w:u w:val="single"/>
            <w:lang w:val="ru-RU" w:eastAsia="zh-CN"/>
          </w:rPr>
          <w:t>http://www.itu.int/ITU-R/go/patents/ru</w:t>
        </w:r>
      </w:hyperlink>
      <w:r w:rsidRPr="00135623">
        <w:rPr>
          <w:sz w:val="20"/>
          <w:lang w:val="ru-RU"/>
        </w:rPr>
        <w:t>, где также содержатся Руководящие принципы по выполнению общей патентной политики МСЭ-Т/МСЭ-</w:t>
      </w:r>
      <w:r w:rsidRPr="00135623">
        <w:rPr>
          <w:sz w:val="20"/>
          <w:lang w:val="en-US"/>
        </w:rPr>
        <w:t>R</w:t>
      </w:r>
      <w:r w:rsidRPr="00135623">
        <w:rPr>
          <w:sz w:val="20"/>
          <w:lang w:val="ru-RU"/>
        </w:rPr>
        <w:t>/ИСО/МЭК и база данных патентной информации МСЭ-</w:t>
      </w:r>
      <w:r w:rsidRPr="00135623">
        <w:rPr>
          <w:sz w:val="20"/>
          <w:lang w:val="en-US"/>
        </w:rPr>
        <w:t>R</w:t>
      </w:r>
      <w:r w:rsidRPr="00135623">
        <w:rPr>
          <w:sz w:val="20"/>
          <w:lang w:val="ru-RU"/>
        </w:rPr>
        <w:t>.</w:t>
      </w:r>
    </w:p>
    <w:p w14:paraId="0A91692F" w14:textId="77777777" w:rsidR="003338C9" w:rsidRPr="00FD3C61" w:rsidRDefault="003338C9" w:rsidP="003338C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rFonts w:eastAsia="SimSun"/>
          <w:sz w:val="20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1E0" w:firstRow="1" w:lastRow="1" w:firstColumn="1" w:lastColumn="1" w:noHBand="0" w:noVBand="0"/>
      </w:tblPr>
      <w:tblGrid>
        <w:gridCol w:w="1188"/>
        <w:gridCol w:w="7668"/>
      </w:tblGrid>
      <w:tr w:rsidR="003338C9" w:rsidRPr="0027442C" w14:paraId="2CB883E3" w14:textId="77777777" w:rsidTr="00AC6787">
        <w:trPr>
          <w:jc w:val="center"/>
        </w:trPr>
        <w:tc>
          <w:tcPr>
            <w:tcW w:w="8856" w:type="dxa"/>
            <w:gridSpan w:val="2"/>
          </w:tcPr>
          <w:p w14:paraId="077CF529" w14:textId="77777777" w:rsidR="003338C9" w:rsidRPr="006E56A2" w:rsidRDefault="003338C9" w:rsidP="00AC6787">
            <w:pPr>
              <w:spacing w:before="180"/>
              <w:jc w:val="center"/>
              <w:rPr>
                <w:b/>
                <w:bCs/>
                <w:szCs w:val="22"/>
                <w:lang w:val="ru-RU"/>
              </w:rPr>
            </w:pPr>
            <w:r w:rsidRPr="006E56A2">
              <w:rPr>
                <w:b/>
                <w:bCs/>
                <w:szCs w:val="22"/>
                <w:lang w:val="ru-RU"/>
              </w:rPr>
              <w:t>Серии Рекомендаций МСЭ-R</w:t>
            </w:r>
          </w:p>
          <w:p w14:paraId="5FD5EB80" w14:textId="77777777" w:rsidR="003338C9" w:rsidRPr="00854998" w:rsidRDefault="003338C9" w:rsidP="00AC6787">
            <w:pPr>
              <w:spacing w:after="2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54998">
              <w:rPr>
                <w:sz w:val="18"/>
                <w:szCs w:val="18"/>
                <w:lang w:val="ru-RU"/>
              </w:rPr>
              <w:t xml:space="preserve">(Представлены также в онлайновой форме по адресу: </w:t>
            </w:r>
            <w:hyperlink r:id="rId14" w:history="1">
              <w:r>
                <w:rPr>
                  <w:rStyle w:val="Hyperlink"/>
                  <w:sz w:val="18"/>
                  <w:lang w:val="ru-RU"/>
                </w:rPr>
                <w:t>http://www.itu.int/publ/R-REC/ru</w:t>
              </w:r>
            </w:hyperlink>
            <w:r w:rsidRPr="00854998">
              <w:rPr>
                <w:sz w:val="18"/>
                <w:szCs w:val="18"/>
                <w:lang w:val="ru-RU"/>
              </w:rPr>
              <w:t>.)</w:t>
            </w:r>
          </w:p>
        </w:tc>
      </w:tr>
      <w:tr w:rsidR="003338C9" w:rsidRPr="00FD3C61" w14:paraId="6FCB958D" w14:textId="77777777" w:rsidTr="00AC6787">
        <w:trPr>
          <w:jc w:val="center"/>
        </w:trPr>
        <w:tc>
          <w:tcPr>
            <w:tcW w:w="1188" w:type="dxa"/>
          </w:tcPr>
          <w:p w14:paraId="3DA87501" w14:textId="77777777" w:rsidR="003338C9" w:rsidRPr="00D163D5" w:rsidRDefault="003338C9" w:rsidP="00AC678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Серия</w:t>
            </w:r>
          </w:p>
        </w:tc>
        <w:tc>
          <w:tcPr>
            <w:tcW w:w="7668" w:type="dxa"/>
          </w:tcPr>
          <w:p w14:paraId="029D8387" w14:textId="77777777" w:rsidR="003338C9" w:rsidRPr="00D163D5" w:rsidRDefault="003338C9" w:rsidP="00AC6787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Название</w:t>
            </w:r>
          </w:p>
        </w:tc>
      </w:tr>
      <w:tr w:rsidR="003338C9" w:rsidRPr="00FD3C61" w14:paraId="135622D6" w14:textId="77777777" w:rsidTr="00AC6787">
        <w:trPr>
          <w:jc w:val="center"/>
        </w:trPr>
        <w:tc>
          <w:tcPr>
            <w:tcW w:w="1188" w:type="dxa"/>
          </w:tcPr>
          <w:p w14:paraId="70353550" w14:textId="77777777" w:rsidR="003338C9" w:rsidRPr="00D163D5" w:rsidRDefault="003338C9" w:rsidP="00AC678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BO</w:t>
            </w:r>
          </w:p>
        </w:tc>
        <w:tc>
          <w:tcPr>
            <w:tcW w:w="7668" w:type="dxa"/>
          </w:tcPr>
          <w:p w14:paraId="444B2EFB" w14:textId="77777777" w:rsidR="003338C9" w:rsidRPr="00D163D5" w:rsidRDefault="003338C9" w:rsidP="00AC6787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Спутниковое радиовещание</w:t>
            </w:r>
          </w:p>
        </w:tc>
      </w:tr>
      <w:tr w:rsidR="003338C9" w:rsidRPr="0027442C" w14:paraId="2D703124" w14:textId="77777777" w:rsidTr="00AC6787">
        <w:trPr>
          <w:jc w:val="center"/>
        </w:trPr>
        <w:tc>
          <w:tcPr>
            <w:tcW w:w="1188" w:type="dxa"/>
            <w:tcBorders>
              <w:bottom w:val="nil"/>
            </w:tcBorders>
          </w:tcPr>
          <w:p w14:paraId="6A832270" w14:textId="77777777" w:rsidR="003338C9" w:rsidRPr="00D163D5" w:rsidRDefault="003338C9" w:rsidP="00AC678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BR</w:t>
            </w:r>
          </w:p>
        </w:tc>
        <w:tc>
          <w:tcPr>
            <w:tcW w:w="7668" w:type="dxa"/>
            <w:tcBorders>
              <w:bottom w:val="nil"/>
            </w:tcBorders>
          </w:tcPr>
          <w:p w14:paraId="43CD1374" w14:textId="77777777" w:rsidR="003338C9" w:rsidRPr="00D163D5" w:rsidRDefault="003338C9" w:rsidP="00AC6787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Запись для производства, архивирования и воспроизведения; пленки для телевидения</w:t>
            </w:r>
          </w:p>
        </w:tc>
      </w:tr>
      <w:tr w:rsidR="003338C9" w:rsidRPr="00FD3C61" w14:paraId="5CEA38D3" w14:textId="77777777" w:rsidTr="00AC6787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41A106A" w14:textId="77777777" w:rsidR="003338C9" w:rsidRPr="00D163D5" w:rsidRDefault="003338C9" w:rsidP="00AC6787">
            <w:pPr>
              <w:spacing w:before="40" w:after="40"/>
              <w:rPr>
                <w:rFonts w:ascii="Times New Roman Bold" w:hAnsi="Times New Roman Bold" w:cs="Times New Roman Bold"/>
                <w:b/>
                <w:bCs/>
                <w:color w:val="000080"/>
                <w:sz w:val="20"/>
                <w:lang w:val="ru-RU"/>
              </w:rPr>
            </w:pPr>
            <w:r w:rsidRPr="00475345">
              <w:rPr>
                <w:b/>
                <w:bCs/>
                <w:sz w:val="20"/>
                <w:lang w:val="ru-RU"/>
              </w:rPr>
              <w:t>BS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6F48049" w14:textId="77777777" w:rsidR="003338C9" w:rsidRPr="00475345" w:rsidRDefault="003338C9" w:rsidP="00AC6787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475345">
              <w:rPr>
                <w:sz w:val="20"/>
                <w:lang w:val="ru-RU"/>
              </w:rPr>
              <w:t>Радиовещательная служба (звуковая)</w:t>
            </w:r>
          </w:p>
        </w:tc>
      </w:tr>
      <w:tr w:rsidR="003338C9" w:rsidRPr="00FD3C61" w14:paraId="46EB3FF3" w14:textId="77777777" w:rsidTr="00AC6787">
        <w:trPr>
          <w:jc w:val="center"/>
        </w:trPr>
        <w:tc>
          <w:tcPr>
            <w:tcW w:w="1188" w:type="dxa"/>
            <w:tcBorders>
              <w:top w:val="nil"/>
            </w:tcBorders>
          </w:tcPr>
          <w:p w14:paraId="2092DB5C" w14:textId="77777777" w:rsidR="003338C9" w:rsidRPr="00D163D5" w:rsidRDefault="003338C9" w:rsidP="00AC678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BT</w:t>
            </w:r>
          </w:p>
        </w:tc>
        <w:tc>
          <w:tcPr>
            <w:tcW w:w="7668" w:type="dxa"/>
            <w:tcBorders>
              <w:top w:val="nil"/>
            </w:tcBorders>
          </w:tcPr>
          <w:p w14:paraId="3CF610B2" w14:textId="77777777" w:rsidR="003338C9" w:rsidRPr="00D163D5" w:rsidRDefault="003338C9" w:rsidP="00AC6787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Радиовещательная служба (телевизионная)</w:t>
            </w:r>
          </w:p>
        </w:tc>
      </w:tr>
      <w:tr w:rsidR="003338C9" w:rsidRPr="00FD3C61" w14:paraId="0BF36717" w14:textId="77777777" w:rsidTr="00AC6787">
        <w:trPr>
          <w:jc w:val="center"/>
        </w:trPr>
        <w:tc>
          <w:tcPr>
            <w:tcW w:w="1188" w:type="dxa"/>
            <w:tcBorders>
              <w:bottom w:val="nil"/>
            </w:tcBorders>
          </w:tcPr>
          <w:p w14:paraId="4A012B76" w14:textId="77777777" w:rsidR="003338C9" w:rsidRPr="00D163D5" w:rsidRDefault="003338C9" w:rsidP="00AC678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F</w:t>
            </w:r>
          </w:p>
        </w:tc>
        <w:tc>
          <w:tcPr>
            <w:tcW w:w="7668" w:type="dxa"/>
            <w:tcBorders>
              <w:bottom w:val="nil"/>
            </w:tcBorders>
          </w:tcPr>
          <w:p w14:paraId="29ED3412" w14:textId="77777777" w:rsidR="003338C9" w:rsidRPr="00D163D5" w:rsidRDefault="003338C9" w:rsidP="00AC6787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Фиксированная служба</w:t>
            </w:r>
          </w:p>
        </w:tc>
      </w:tr>
      <w:tr w:rsidR="003338C9" w:rsidRPr="0027442C" w14:paraId="54B65C5A" w14:textId="77777777" w:rsidTr="00AC6787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3C69AF3" w14:textId="77777777" w:rsidR="003338C9" w:rsidRPr="00475345" w:rsidRDefault="003338C9" w:rsidP="00AC6787">
            <w:pPr>
              <w:spacing w:before="40" w:after="40"/>
              <w:rPr>
                <w:b/>
                <w:bCs/>
                <w:color w:val="000080"/>
                <w:sz w:val="20"/>
                <w:lang w:val="ru-RU"/>
              </w:rPr>
            </w:pPr>
            <w:r w:rsidRPr="00475345">
              <w:rPr>
                <w:b/>
                <w:bCs/>
                <w:color w:val="000080"/>
                <w:sz w:val="20"/>
                <w:lang w:val="ru-RU"/>
              </w:rPr>
              <w:t>M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5331B97" w14:textId="77777777" w:rsidR="003338C9" w:rsidRPr="00475345" w:rsidRDefault="003338C9" w:rsidP="00AC6787">
            <w:pPr>
              <w:spacing w:before="40" w:after="40"/>
              <w:jc w:val="left"/>
              <w:rPr>
                <w:b/>
                <w:bCs/>
                <w:color w:val="000080"/>
                <w:sz w:val="20"/>
                <w:lang w:val="ru-RU"/>
              </w:rPr>
            </w:pPr>
            <w:r w:rsidRPr="00C847AA">
              <w:rPr>
                <w:b/>
                <w:bCs/>
                <w:color w:val="000080"/>
                <w:sz w:val="20"/>
                <w:lang w:val="ru-RU"/>
              </w:rPr>
              <w:t xml:space="preserve">Подвижные службы, служба </w:t>
            </w:r>
            <w:proofErr w:type="spellStart"/>
            <w:r w:rsidRPr="00C847AA">
              <w:rPr>
                <w:b/>
                <w:bCs/>
                <w:color w:val="000080"/>
                <w:sz w:val="20"/>
                <w:lang w:val="ru-RU"/>
              </w:rPr>
              <w:t>радиоопределения</w:t>
            </w:r>
            <w:proofErr w:type="spellEnd"/>
            <w:r w:rsidRPr="00C847AA">
              <w:rPr>
                <w:b/>
                <w:bCs/>
                <w:color w:val="000080"/>
                <w:sz w:val="20"/>
                <w:lang w:val="ru-RU"/>
              </w:rPr>
              <w:t>, любительская служба и относящиеся к ним спутниковые службы</w:t>
            </w:r>
            <w:r w:rsidRPr="00475345">
              <w:rPr>
                <w:b/>
                <w:bCs/>
                <w:color w:val="000080"/>
                <w:sz w:val="20"/>
                <w:lang w:val="ru-RU"/>
              </w:rPr>
              <w:t xml:space="preserve"> </w:t>
            </w:r>
          </w:p>
        </w:tc>
      </w:tr>
      <w:tr w:rsidR="003338C9" w:rsidRPr="00FD3C61" w14:paraId="323FBEB7" w14:textId="77777777" w:rsidTr="00AC6787">
        <w:trPr>
          <w:jc w:val="center"/>
        </w:trPr>
        <w:tc>
          <w:tcPr>
            <w:tcW w:w="1188" w:type="dxa"/>
            <w:tcBorders>
              <w:top w:val="nil"/>
            </w:tcBorders>
            <w:shd w:val="clear" w:color="auto" w:fill="FFFFFF" w:themeFill="background1"/>
          </w:tcPr>
          <w:p w14:paraId="7301C322" w14:textId="77777777" w:rsidR="003338C9" w:rsidRPr="00D163D5" w:rsidRDefault="003338C9" w:rsidP="00AC678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P</w:t>
            </w:r>
          </w:p>
        </w:tc>
        <w:tc>
          <w:tcPr>
            <w:tcW w:w="7668" w:type="dxa"/>
            <w:tcBorders>
              <w:top w:val="nil"/>
            </w:tcBorders>
            <w:shd w:val="clear" w:color="auto" w:fill="FFFFFF" w:themeFill="background1"/>
          </w:tcPr>
          <w:p w14:paraId="25A7D269" w14:textId="77777777" w:rsidR="003338C9" w:rsidRPr="00D163D5" w:rsidRDefault="003338C9" w:rsidP="00AC6787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Распространение радиоволн</w:t>
            </w:r>
          </w:p>
        </w:tc>
      </w:tr>
      <w:tr w:rsidR="003338C9" w:rsidRPr="00FD3C61" w14:paraId="6CC2617E" w14:textId="77777777" w:rsidTr="00AC6787">
        <w:trPr>
          <w:jc w:val="center"/>
        </w:trPr>
        <w:tc>
          <w:tcPr>
            <w:tcW w:w="1188" w:type="dxa"/>
          </w:tcPr>
          <w:p w14:paraId="528451A3" w14:textId="77777777" w:rsidR="003338C9" w:rsidRPr="00D163D5" w:rsidRDefault="003338C9" w:rsidP="00AC678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RA</w:t>
            </w:r>
          </w:p>
        </w:tc>
        <w:tc>
          <w:tcPr>
            <w:tcW w:w="7668" w:type="dxa"/>
          </w:tcPr>
          <w:p w14:paraId="393CCE48" w14:textId="77777777" w:rsidR="003338C9" w:rsidRPr="00D163D5" w:rsidRDefault="003338C9" w:rsidP="00AC6787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Радиоастрономия</w:t>
            </w:r>
          </w:p>
        </w:tc>
      </w:tr>
      <w:tr w:rsidR="003338C9" w:rsidRPr="00FD3C61" w14:paraId="2FFE4339" w14:textId="77777777" w:rsidTr="00AC6787">
        <w:trPr>
          <w:jc w:val="center"/>
        </w:trPr>
        <w:tc>
          <w:tcPr>
            <w:tcW w:w="1188" w:type="dxa"/>
          </w:tcPr>
          <w:p w14:paraId="78230798" w14:textId="77777777" w:rsidR="003338C9" w:rsidRPr="00D163D5" w:rsidRDefault="003338C9" w:rsidP="00AC678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RS</w:t>
            </w:r>
          </w:p>
        </w:tc>
        <w:tc>
          <w:tcPr>
            <w:tcW w:w="7668" w:type="dxa"/>
          </w:tcPr>
          <w:p w14:paraId="72E756EA" w14:textId="77777777" w:rsidR="003338C9" w:rsidRPr="00D163D5" w:rsidRDefault="003338C9" w:rsidP="00AC6787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Системы дистанционного зондирования</w:t>
            </w:r>
          </w:p>
        </w:tc>
      </w:tr>
      <w:tr w:rsidR="003338C9" w:rsidRPr="00FD3C61" w14:paraId="241D411B" w14:textId="77777777" w:rsidTr="00AC6787">
        <w:trPr>
          <w:jc w:val="center"/>
        </w:trPr>
        <w:tc>
          <w:tcPr>
            <w:tcW w:w="1188" w:type="dxa"/>
          </w:tcPr>
          <w:p w14:paraId="4865B10E" w14:textId="77777777" w:rsidR="003338C9" w:rsidRPr="00D163D5" w:rsidRDefault="003338C9" w:rsidP="00AC678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</w:t>
            </w:r>
          </w:p>
        </w:tc>
        <w:tc>
          <w:tcPr>
            <w:tcW w:w="7668" w:type="dxa"/>
          </w:tcPr>
          <w:p w14:paraId="00464DA4" w14:textId="77777777" w:rsidR="003338C9" w:rsidRPr="00D163D5" w:rsidRDefault="003338C9" w:rsidP="00AC6787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Фиксированная спутниковая служба</w:t>
            </w:r>
          </w:p>
        </w:tc>
      </w:tr>
      <w:tr w:rsidR="003338C9" w:rsidRPr="00FD3C61" w14:paraId="08A8B5E3" w14:textId="77777777" w:rsidTr="00AC6787">
        <w:trPr>
          <w:jc w:val="center"/>
        </w:trPr>
        <w:tc>
          <w:tcPr>
            <w:tcW w:w="1188" w:type="dxa"/>
            <w:shd w:val="clear" w:color="auto" w:fill="auto"/>
          </w:tcPr>
          <w:p w14:paraId="115768F4" w14:textId="77777777" w:rsidR="003338C9" w:rsidRPr="00D163D5" w:rsidRDefault="003338C9" w:rsidP="00AC678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SA</w:t>
            </w:r>
          </w:p>
        </w:tc>
        <w:tc>
          <w:tcPr>
            <w:tcW w:w="7668" w:type="dxa"/>
            <w:shd w:val="clear" w:color="auto" w:fill="auto"/>
          </w:tcPr>
          <w:p w14:paraId="616206B8" w14:textId="77777777" w:rsidR="003338C9" w:rsidRPr="00D163D5" w:rsidRDefault="003338C9" w:rsidP="00AC6787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Космические применения и метеорология</w:t>
            </w:r>
          </w:p>
        </w:tc>
      </w:tr>
      <w:tr w:rsidR="003338C9" w:rsidRPr="0027442C" w14:paraId="19C3B2A0" w14:textId="77777777" w:rsidTr="00AC6787">
        <w:trPr>
          <w:jc w:val="center"/>
        </w:trPr>
        <w:tc>
          <w:tcPr>
            <w:tcW w:w="1188" w:type="dxa"/>
          </w:tcPr>
          <w:p w14:paraId="4B566E4D" w14:textId="77777777" w:rsidR="003338C9" w:rsidRPr="00D163D5" w:rsidRDefault="003338C9" w:rsidP="00AC678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SF</w:t>
            </w:r>
          </w:p>
        </w:tc>
        <w:tc>
          <w:tcPr>
            <w:tcW w:w="7668" w:type="dxa"/>
          </w:tcPr>
          <w:p w14:paraId="4DD25996" w14:textId="77777777" w:rsidR="003338C9" w:rsidRPr="00D163D5" w:rsidRDefault="003338C9" w:rsidP="00AC6787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Совместное использование частот и координация между системами фиксированной спутниковой службы и фиксированной службы</w:t>
            </w:r>
          </w:p>
        </w:tc>
      </w:tr>
      <w:tr w:rsidR="003338C9" w:rsidRPr="00FD3C61" w14:paraId="594FCB67" w14:textId="77777777" w:rsidTr="00AC6787">
        <w:trPr>
          <w:jc w:val="center"/>
        </w:trPr>
        <w:tc>
          <w:tcPr>
            <w:tcW w:w="1188" w:type="dxa"/>
            <w:shd w:val="clear" w:color="auto" w:fill="auto"/>
          </w:tcPr>
          <w:p w14:paraId="03A86385" w14:textId="77777777" w:rsidR="003338C9" w:rsidRPr="00D163D5" w:rsidRDefault="003338C9" w:rsidP="00AC678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SM</w:t>
            </w:r>
          </w:p>
        </w:tc>
        <w:tc>
          <w:tcPr>
            <w:tcW w:w="7668" w:type="dxa"/>
            <w:shd w:val="clear" w:color="auto" w:fill="auto"/>
          </w:tcPr>
          <w:p w14:paraId="6DFE8C0D" w14:textId="77777777" w:rsidR="003338C9" w:rsidRPr="00D163D5" w:rsidRDefault="003338C9" w:rsidP="00AC6787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Управление использованием спектра</w:t>
            </w:r>
          </w:p>
        </w:tc>
      </w:tr>
      <w:tr w:rsidR="003338C9" w:rsidRPr="00FD3C61" w14:paraId="7CB9B4B2" w14:textId="77777777" w:rsidTr="00AC6787">
        <w:trPr>
          <w:jc w:val="center"/>
        </w:trPr>
        <w:tc>
          <w:tcPr>
            <w:tcW w:w="1188" w:type="dxa"/>
          </w:tcPr>
          <w:p w14:paraId="653B11D9" w14:textId="77777777" w:rsidR="003338C9" w:rsidRPr="00D163D5" w:rsidRDefault="003338C9" w:rsidP="00AC678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SNG</w:t>
            </w:r>
          </w:p>
        </w:tc>
        <w:tc>
          <w:tcPr>
            <w:tcW w:w="7668" w:type="dxa"/>
          </w:tcPr>
          <w:p w14:paraId="26288D19" w14:textId="77777777" w:rsidR="003338C9" w:rsidRPr="00D163D5" w:rsidRDefault="003338C9" w:rsidP="00AC6787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Спутниковый сбор новостей</w:t>
            </w:r>
          </w:p>
        </w:tc>
      </w:tr>
      <w:tr w:rsidR="003338C9" w:rsidRPr="0027442C" w14:paraId="01108636" w14:textId="77777777" w:rsidTr="00AC6787">
        <w:trPr>
          <w:jc w:val="center"/>
        </w:trPr>
        <w:tc>
          <w:tcPr>
            <w:tcW w:w="1188" w:type="dxa"/>
          </w:tcPr>
          <w:p w14:paraId="7B560ED7" w14:textId="77777777" w:rsidR="003338C9" w:rsidRPr="00D163D5" w:rsidRDefault="003338C9" w:rsidP="00AC678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TF</w:t>
            </w:r>
          </w:p>
        </w:tc>
        <w:tc>
          <w:tcPr>
            <w:tcW w:w="7668" w:type="dxa"/>
          </w:tcPr>
          <w:p w14:paraId="2F8449D0" w14:textId="77777777" w:rsidR="003338C9" w:rsidRPr="00D163D5" w:rsidRDefault="003338C9" w:rsidP="00AC6787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Передача сигналов времени и эталонных частот</w:t>
            </w:r>
          </w:p>
        </w:tc>
      </w:tr>
      <w:tr w:rsidR="003338C9" w:rsidRPr="0027442C" w14:paraId="75D3E7DE" w14:textId="77777777" w:rsidTr="00AC6787">
        <w:trPr>
          <w:jc w:val="center"/>
        </w:trPr>
        <w:tc>
          <w:tcPr>
            <w:tcW w:w="1188" w:type="dxa"/>
          </w:tcPr>
          <w:p w14:paraId="71F96A54" w14:textId="77777777" w:rsidR="003338C9" w:rsidRPr="00D163D5" w:rsidRDefault="003338C9" w:rsidP="00AC6787">
            <w:pPr>
              <w:spacing w:before="40" w:after="18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V</w:t>
            </w:r>
          </w:p>
        </w:tc>
        <w:tc>
          <w:tcPr>
            <w:tcW w:w="7668" w:type="dxa"/>
          </w:tcPr>
          <w:p w14:paraId="087118DF" w14:textId="77777777" w:rsidR="003338C9" w:rsidRPr="00D163D5" w:rsidRDefault="003338C9" w:rsidP="00AC6787">
            <w:pPr>
              <w:spacing w:before="40" w:after="18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Словарь и связанные с ним вопросы</w:t>
            </w:r>
          </w:p>
        </w:tc>
      </w:tr>
    </w:tbl>
    <w:p w14:paraId="5D732D14" w14:textId="77777777" w:rsidR="003338C9" w:rsidRPr="00FD3C61" w:rsidRDefault="003338C9" w:rsidP="003338C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szCs w:val="24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 w:firstRow="1" w:lastRow="1" w:firstColumn="1" w:lastColumn="1" w:noHBand="0" w:noVBand="0"/>
      </w:tblPr>
      <w:tblGrid>
        <w:gridCol w:w="8856"/>
      </w:tblGrid>
      <w:tr w:rsidR="003338C9" w:rsidRPr="002E2C47" w14:paraId="451782D3" w14:textId="77777777" w:rsidTr="00AC6787">
        <w:trPr>
          <w:jc w:val="center"/>
        </w:trPr>
        <w:tc>
          <w:tcPr>
            <w:tcW w:w="8856" w:type="dxa"/>
          </w:tcPr>
          <w:p w14:paraId="269534CE" w14:textId="77777777" w:rsidR="003338C9" w:rsidRPr="00FD3C61" w:rsidRDefault="003338C9" w:rsidP="00AC6787">
            <w:pPr>
              <w:spacing w:after="120"/>
              <w:jc w:val="left"/>
              <w:rPr>
                <w:rFonts w:eastAsia="SimSun"/>
                <w:i/>
                <w:iCs/>
                <w:sz w:val="20"/>
                <w:lang w:val="ru-RU" w:eastAsia="zh-CN"/>
              </w:rPr>
            </w:pPr>
            <w:r w:rsidRPr="004E05E5">
              <w:rPr>
                <w:b/>
                <w:bCs/>
                <w:i/>
                <w:iCs/>
                <w:sz w:val="20"/>
                <w:lang w:val="ru-RU"/>
              </w:rPr>
              <w:t>Примечание</w:t>
            </w:r>
            <w:r w:rsidRPr="004E05E5">
              <w:rPr>
                <w:i/>
                <w:iCs/>
                <w:sz w:val="20"/>
                <w:lang w:val="ru-RU"/>
              </w:rPr>
              <w:t>. – Настоящая Рекомендация МСЭ-R утверждена на английском языке в</w:t>
            </w:r>
            <w:r>
              <w:rPr>
                <w:i/>
                <w:iCs/>
                <w:sz w:val="20"/>
                <w:lang w:val="en-US"/>
              </w:rPr>
              <w:t> </w:t>
            </w:r>
            <w:r w:rsidRPr="004E05E5">
              <w:rPr>
                <w:i/>
                <w:iCs/>
                <w:sz w:val="20"/>
                <w:lang w:val="ru-RU"/>
              </w:rPr>
              <w:t>соответствии с процедурой, изложенной в Резолюции МСЭ-R</w:t>
            </w:r>
            <w:r>
              <w:rPr>
                <w:i/>
                <w:iCs/>
                <w:sz w:val="20"/>
                <w:lang w:val="ru-RU"/>
              </w:rPr>
              <w:t xml:space="preserve"> </w:t>
            </w:r>
            <w:r w:rsidRPr="004E05E5">
              <w:rPr>
                <w:i/>
                <w:iCs/>
                <w:sz w:val="20"/>
                <w:lang w:val="ru-RU"/>
              </w:rPr>
              <w:t>1.</w:t>
            </w:r>
          </w:p>
        </w:tc>
      </w:tr>
    </w:tbl>
    <w:p w14:paraId="3202B723" w14:textId="1F48F45D" w:rsidR="003338C9" w:rsidRPr="004E05E5" w:rsidRDefault="003338C9" w:rsidP="003338C9">
      <w:pPr>
        <w:spacing w:before="360"/>
        <w:jc w:val="right"/>
        <w:rPr>
          <w:sz w:val="20"/>
          <w:lang w:val="ru-RU"/>
        </w:rPr>
      </w:pPr>
      <w:r w:rsidRPr="004E05E5">
        <w:rPr>
          <w:i/>
          <w:iCs/>
          <w:sz w:val="20"/>
          <w:lang w:val="ru-RU"/>
        </w:rPr>
        <w:t>Электронная публикация</w:t>
      </w:r>
      <w:r w:rsidRPr="004E05E5">
        <w:rPr>
          <w:i/>
          <w:iCs/>
          <w:sz w:val="20"/>
          <w:lang w:val="ru-RU"/>
        </w:rPr>
        <w:br/>
      </w:r>
      <w:r w:rsidRPr="004E05E5">
        <w:rPr>
          <w:sz w:val="20"/>
          <w:lang w:val="ru-RU"/>
        </w:rPr>
        <w:t>Женева, 20</w:t>
      </w:r>
      <w:r>
        <w:rPr>
          <w:sz w:val="20"/>
          <w:lang w:val="en-GB"/>
        </w:rPr>
        <w:t>24</w:t>
      </w:r>
      <w:r w:rsidRPr="004E05E5">
        <w:rPr>
          <w:sz w:val="20"/>
          <w:lang w:val="ru-RU"/>
        </w:rPr>
        <w:t xml:space="preserve"> г.</w:t>
      </w:r>
    </w:p>
    <w:p w14:paraId="2D38956E" w14:textId="7D1A3DD9" w:rsidR="003338C9" w:rsidRPr="009E7C05" w:rsidRDefault="003338C9" w:rsidP="003338C9">
      <w:pPr>
        <w:jc w:val="center"/>
        <w:rPr>
          <w:sz w:val="20"/>
          <w:lang w:val="en-GB"/>
        </w:rPr>
      </w:pPr>
      <w:r w:rsidRPr="00470E28">
        <w:rPr>
          <w:sz w:val="20"/>
          <w:lang w:val="en-US"/>
        </w:rPr>
        <w:sym w:font="Symbol" w:char="F0E3"/>
      </w:r>
      <w:r w:rsidRPr="00CB5488">
        <w:rPr>
          <w:sz w:val="20"/>
          <w:lang w:val="ru-RU"/>
        </w:rPr>
        <w:t xml:space="preserve"> </w:t>
      </w:r>
      <w:r w:rsidRPr="00470E28">
        <w:rPr>
          <w:sz w:val="20"/>
          <w:lang w:val="en-US"/>
        </w:rPr>
        <w:t>ITU</w:t>
      </w:r>
      <w:r w:rsidRPr="00CB5488">
        <w:rPr>
          <w:sz w:val="20"/>
          <w:lang w:val="ru-RU"/>
        </w:rPr>
        <w:t xml:space="preserve"> </w:t>
      </w:r>
      <w:bookmarkStart w:id="2" w:name="iiannee"/>
      <w:bookmarkEnd w:id="2"/>
      <w:r w:rsidRPr="00CB5488">
        <w:rPr>
          <w:sz w:val="20"/>
          <w:lang w:val="ru-RU"/>
        </w:rPr>
        <w:t>20</w:t>
      </w:r>
      <w:r>
        <w:rPr>
          <w:sz w:val="20"/>
          <w:lang w:val="en-GB"/>
        </w:rPr>
        <w:t>24</w:t>
      </w:r>
    </w:p>
    <w:p w14:paraId="6EC95D06" w14:textId="77777777" w:rsidR="003338C9" w:rsidRPr="001D53F9" w:rsidRDefault="003338C9" w:rsidP="003338C9">
      <w:pPr>
        <w:rPr>
          <w:i/>
          <w:sz w:val="20"/>
          <w:lang w:val="ru-RU"/>
        </w:rPr>
      </w:pPr>
      <w:r w:rsidRPr="004E05E5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3E0294A2" w14:textId="77777777" w:rsidR="003338C9" w:rsidRPr="001D53F9" w:rsidRDefault="003338C9" w:rsidP="003338C9">
      <w:pPr>
        <w:spacing w:before="160"/>
        <w:rPr>
          <w:i/>
          <w:sz w:val="20"/>
          <w:lang w:val="ru-RU"/>
        </w:rPr>
        <w:sectPr w:rsidR="003338C9" w:rsidRPr="001D53F9" w:rsidSect="003338C9">
          <w:headerReference w:type="even" r:id="rId15"/>
          <w:headerReference w:type="default" r:id="rId16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</w:p>
    <w:p w14:paraId="505BC988" w14:textId="3B3549AE" w:rsidR="005720AD" w:rsidRPr="00F75F85" w:rsidRDefault="001A6D0F" w:rsidP="008C43C5">
      <w:pPr>
        <w:pStyle w:val="RecNo"/>
        <w:spacing w:before="0"/>
        <w:rPr>
          <w:lang w:val="ru-RU"/>
        </w:rPr>
      </w:pPr>
      <w:proofErr w:type="gramStart"/>
      <w:r w:rsidRPr="001A6D0F">
        <w:rPr>
          <w:szCs w:val="26"/>
          <w:lang w:val="ru-RU"/>
        </w:rPr>
        <w:lastRenderedPageBreak/>
        <w:t xml:space="preserve">РЕКОМЕНДАЦИЯ </w:t>
      </w:r>
      <w:r w:rsidR="003B102E">
        <w:rPr>
          <w:szCs w:val="26"/>
          <w:lang w:val="en-US"/>
        </w:rPr>
        <w:t xml:space="preserve"> </w:t>
      </w:r>
      <w:r w:rsidRPr="003B102E">
        <w:rPr>
          <w:rStyle w:val="href"/>
        </w:rPr>
        <w:t>МСЭ</w:t>
      </w:r>
      <w:proofErr w:type="gramEnd"/>
      <w:r w:rsidRPr="003B102E">
        <w:rPr>
          <w:rStyle w:val="href"/>
        </w:rPr>
        <w:t xml:space="preserve">-R </w:t>
      </w:r>
      <w:r w:rsidR="003B102E" w:rsidRPr="003B102E">
        <w:rPr>
          <w:rStyle w:val="href"/>
        </w:rPr>
        <w:t xml:space="preserve"> </w:t>
      </w:r>
      <w:r w:rsidRPr="003B102E">
        <w:rPr>
          <w:rStyle w:val="href"/>
        </w:rPr>
        <w:t>M.2159-0</w:t>
      </w:r>
      <w:r w:rsidR="005720AD" w:rsidRPr="001A6D0F">
        <w:rPr>
          <w:rStyle w:val="FootnoteReference"/>
          <w:lang w:eastAsia="ja-JP"/>
        </w:rPr>
        <w:footnoteReference w:customMarkFollows="1" w:id="1"/>
        <w:sym w:font="Symbol" w:char="F02A"/>
      </w:r>
    </w:p>
    <w:p w14:paraId="029DD069" w14:textId="398A637D" w:rsidR="005720AD" w:rsidRPr="00F75F85" w:rsidRDefault="00F75F85" w:rsidP="005720AD">
      <w:pPr>
        <w:pStyle w:val="Rectitle"/>
        <w:rPr>
          <w:szCs w:val="26"/>
          <w:lang w:val="ru-RU" w:eastAsia="ja-JP"/>
        </w:rPr>
      </w:pPr>
      <w:r w:rsidRPr="00F75F85">
        <w:rPr>
          <w:szCs w:val="26"/>
          <w:lang w:val="ru-RU" w:eastAsia="ja-JP"/>
        </w:rPr>
        <w:t xml:space="preserve">Технические и </w:t>
      </w:r>
      <w:proofErr w:type="spellStart"/>
      <w:r w:rsidRPr="00F75F85">
        <w:rPr>
          <w:szCs w:val="26"/>
          <w:lang w:val="ru-RU" w:eastAsia="ja-JP"/>
        </w:rPr>
        <w:t>регламентарные</w:t>
      </w:r>
      <w:proofErr w:type="spellEnd"/>
      <w:r w:rsidRPr="00F75F85">
        <w:rPr>
          <w:szCs w:val="26"/>
          <w:lang w:val="ru-RU" w:eastAsia="ja-JP"/>
        </w:rPr>
        <w:t xml:space="preserve"> меры по обеспечению совместимости </w:t>
      </w:r>
      <w:r>
        <w:rPr>
          <w:szCs w:val="26"/>
          <w:lang w:val="ru-RU" w:eastAsia="ja-JP"/>
        </w:rPr>
        <w:t>систем</w:t>
      </w:r>
      <w:r w:rsidRPr="00F75F85">
        <w:rPr>
          <w:szCs w:val="26"/>
          <w:lang w:val="ru-RU" w:eastAsia="ja-JP"/>
        </w:rPr>
        <w:t xml:space="preserve"> международной подвижной </w:t>
      </w:r>
      <w:r>
        <w:rPr>
          <w:szCs w:val="26"/>
          <w:lang w:val="ru-RU" w:eastAsia="ja-JP"/>
        </w:rPr>
        <w:t>электро</w:t>
      </w:r>
      <w:r w:rsidRPr="00F75F85">
        <w:rPr>
          <w:szCs w:val="26"/>
          <w:lang w:val="ru-RU" w:eastAsia="ja-JP"/>
        </w:rPr>
        <w:t xml:space="preserve">связи и подвижной спутниковой </w:t>
      </w:r>
      <w:r>
        <w:rPr>
          <w:szCs w:val="26"/>
          <w:lang w:val="ru-RU" w:eastAsia="ja-JP"/>
        </w:rPr>
        <w:t>службы</w:t>
      </w:r>
      <w:r w:rsidRPr="00F75F85">
        <w:rPr>
          <w:szCs w:val="26"/>
          <w:lang w:val="ru-RU" w:eastAsia="ja-JP"/>
        </w:rPr>
        <w:t xml:space="preserve">, предназначенные для администраций, желающих внедрить международную подвижную </w:t>
      </w:r>
      <w:r>
        <w:rPr>
          <w:szCs w:val="26"/>
          <w:lang w:val="ru-RU" w:eastAsia="ja-JP"/>
        </w:rPr>
        <w:t>электросвя</w:t>
      </w:r>
      <w:r w:rsidRPr="00F75F85">
        <w:rPr>
          <w:szCs w:val="26"/>
          <w:lang w:val="ru-RU" w:eastAsia="ja-JP"/>
        </w:rPr>
        <w:t>зь в полосе частот 1492</w:t>
      </w:r>
      <w:r>
        <w:rPr>
          <w:szCs w:val="26"/>
          <w:lang w:val="ru-RU" w:eastAsia="ja-JP"/>
        </w:rPr>
        <w:t>–</w:t>
      </w:r>
      <w:r w:rsidRPr="00F75F85">
        <w:rPr>
          <w:szCs w:val="26"/>
          <w:lang w:val="ru-RU" w:eastAsia="ja-JP"/>
        </w:rPr>
        <w:t>1518</w:t>
      </w:r>
      <w:r>
        <w:rPr>
          <w:szCs w:val="26"/>
          <w:lang w:val="ru-RU" w:eastAsia="ja-JP"/>
        </w:rPr>
        <w:t> </w:t>
      </w:r>
      <w:r w:rsidRPr="00F75F85">
        <w:rPr>
          <w:szCs w:val="26"/>
          <w:lang w:val="ru-RU" w:eastAsia="ja-JP"/>
        </w:rPr>
        <w:t xml:space="preserve">МГц с учетом эксплуатации подвижной спутниковой </w:t>
      </w:r>
      <w:r w:rsidR="001E7AF5">
        <w:rPr>
          <w:szCs w:val="26"/>
          <w:lang w:val="ru-RU" w:eastAsia="ja-JP"/>
        </w:rPr>
        <w:t>службы</w:t>
      </w:r>
      <w:r w:rsidRPr="00F75F85">
        <w:rPr>
          <w:szCs w:val="26"/>
          <w:lang w:val="ru-RU" w:eastAsia="ja-JP"/>
        </w:rPr>
        <w:t xml:space="preserve"> в полосе частот 1518</w:t>
      </w:r>
      <w:r>
        <w:rPr>
          <w:szCs w:val="26"/>
          <w:lang w:val="ru-RU" w:eastAsia="ja-JP"/>
        </w:rPr>
        <w:t>–</w:t>
      </w:r>
      <w:r w:rsidRPr="00F75F85">
        <w:rPr>
          <w:szCs w:val="26"/>
          <w:lang w:val="ru-RU" w:eastAsia="ja-JP"/>
        </w:rPr>
        <w:t>1525</w:t>
      </w:r>
      <w:r>
        <w:rPr>
          <w:szCs w:val="26"/>
          <w:lang w:val="ru-RU" w:eastAsia="ja-JP"/>
        </w:rPr>
        <w:t> </w:t>
      </w:r>
      <w:r w:rsidRPr="00F75F85">
        <w:rPr>
          <w:szCs w:val="26"/>
          <w:lang w:val="ru-RU" w:eastAsia="ja-JP"/>
        </w:rPr>
        <w:t>МГц</w:t>
      </w:r>
      <w:r w:rsidRPr="00F75F85">
        <w:rPr>
          <w:rStyle w:val="FootnoteReference"/>
          <w:b w:val="0"/>
          <w:szCs w:val="26"/>
          <w:lang w:val="ru-RU" w:eastAsia="ja-JP"/>
        </w:rPr>
        <w:footnoteReference w:id="2"/>
      </w:r>
    </w:p>
    <w:p w14:paraId="7B510E74" w14:textId="77777777" w:rsidR="005720AD" w:rsidRPr="00CB1E30" w:rsidRDefault="005720AD" w:rsidP="005720AD">
      <w:pPr>
        <w:pStyle w:val="Recdate"/>
        <w:rPr>
          <w:lang w:val="ru-RU" w:eastAsia="ja-JP"/>
        </w:rPr>
      </w:pPr>
      <w:r w:rsidRPr="00CB1E30">
        <w:rPr>
          <w:lang w:val="ru-RU" w:eastAsia="ja-JP"/>
        </w:rPr>
        <w:t>(2023)</w:t>
      </w:r>
    </w:p>
    <w:p w14:paraId="123CA125" w14:textId="70CDD546" w:rsidR="005720AD" w:rsidRPr="00884C3B" w:rsidRDefault="00F75F85" w:rsidP="00884C3B">
      <w:pPr>
        <w:pStyle w:val="HeadingSum"/>
        <w:rPr>
          <w:rFonts w:eastAsia="Batang"/>
        </w:rPr>
      </w:pPr>
      <w:proofErr w:type="spellStart"/>
      <w:r w:rsidRPr="00884C3B">
        <w:rPr>
          <w:rFonts w:eastAsia="Batang"/>
        </w:rPr>
        <w:t>Сфера</w:t>
      </w:r>
      <w:proofErr w:type="spellEnd"/>
      <w:r w:rsidRPr="00884C3B">
        <w:rPr>
          <w:rFonts w:eastAsia="Batang"/>
        </w:rPr>
        <w:t xml:space="preserve"> </w:t>
      </w:r>
      <w:proofErr w:type="spellStart"/>
      <w:r w:rsidRPr="00884C3B">
        <w:rPr>
          <w:rFonts w:eastAsia="Batang"/>
        </w:rPr>
        <w:t>применения</w:t>
      </w:r>
      <w:proofErr w:type="spellEnd"/>
    </w:p>
    <w:p w14:paraId="3AFED219" w14:textId="63DE6785" w:rsidR="005720AD" w:rsidRPr="00BB30AC" w:rsidRDefault="00F75F85" w:rsidP="00884C3B">
      <w:pPr>
        <w:pStyle w:val="Summary"/>
        <w:rPr>
          <w:sz w:val="18"/>
        </w:rPr>
      </w:pPr>
      <w:r w:rsidRPr="00F75F85">
        <w:t xml:space="preserve">В </w:t>
      </w:r>
      <w:proofErr w:type="spellStart"/>
      <w:r w:rsidRPr="00F75F85">
        <w:t>настоящей</w:t>
      </w:r>
      <w:proofErr w:type="spellEnd"/>
      <w:r w:rsidRPr="00F75F85">
        <w:t xml:space="preserve"> </w:t>
      </w:r>
      <w:proofErr w:type="spellStart"/>
      <w:r w:rsidRPr="00F75F85">
        <w:t>Рекомендации</w:t>
      </w:r>
      <w:proofErr w:type="spellEnd"/>
      <w:r w:rsidRPr="00F75F85">
        <w:t xml:space="preserve"> </w:t>
      </w:r>
      <w:proofErr w:type="spellStart"/>
      <w:r w:rsidRPr="00F75F85">
        <w:t>представлены</w:t>
      </w:r>
      <w:proofErr w:type="spellEnd"/>
      <w:r w:rsidRPr="00F75F85">
        <w:t xml:space="preserve"> </w:t>
      </w:r>
      <w:proofErr w:type="spellStart"/>
      <w:r w:rsidRPr="00F75F85">
        <w:t>технические</w:t>
      </w:r>
      <w:proofErr w:type="spellEnd"/>
      <w:r w:rsidRPr="00F75F85">
        <w:t xml:space="preserve"> и </w:t>
      </w:r>
      <w:proofErr w:type="spellStart"/>
      <w:r w:rsidRPr="00F75F85">
        <w:t>регламентарные</w:t>
      </w:r>
      <w:proofErr w:type="spellEnd"/>
      <w:r w:rsidRPr="00F75F85">
        <w:t xml:space="preserve"> </w:t>
      </w:r>
      <w:proofErr w:type="spellStart"/>
      <w:r w:rsidRPr="00F75F85">
        <w:t>меры</w:t>
      </w:r>
      <w:proofErr w:type="spellEnd"/>
      <w:r w:rsidRPr="00F75F85">
        <w:t xml:space="preserve"> </w:t>
      </w:r>
      <w:proofErr w:type="spellStart"/>
      <w:r w:rsidRPr="00F75F85">
        <w:t>по</w:t>
      </w:r>
      <w:proofErr w:type="spellEnd"/>
      <w:r w:rsidRPr="00F75F85">
        <w:t xml:space="preserve"> </w:t>
      </w:r>
      <w:proofErr w:type="spellStart"/>
      <w:r w:rsidRPr="00F75F85">
        <w:t>обеспечению</w:t>
      </w:r>
      <w:proofErr w:type="spellEnd"/>
      <w:r w:rsidRPr="00F75F85">
        <w:t xml:space="preserve"> совместимости по соседней полосе частот между </w:t>
      </w:r>
      <w:proofErr w:type="spellStart"/>
      <w:r w:rsidRPr="00F75F85">
        <w:t>спутниковыми</w:t>
      </w:r>
      <w:proofErr w:type="spellEnd"/>
      <w:r w:rsidRPr="00F75F85">
        <w:t xml:space="preserve"> </w:t>
      </w:r>
      <w:proofErr w:type="spellStart"/>
      <w:r w:rsidRPr="00F75F85">
        <w:t>системами</w:t>
      </w:r>
      <w:proofErr w:type="spellEnd"/>
      <w:r w:rsidRPr="00F75F85">
        <w:t xml:space="preserve"> </w:t>
      </w:r>
      <w:proofErr w:type="spellStart"/>
      <w:r w:rsidRPr="00F75F85">
        <w:t>подвижной</w:t>
      </w:r>
      <w:proofErr w:type="spellEnd"/>
      <w:r w:rsidRPr="00F75F85">
        <w:t xml:space="preserve"> </w:t>
      </w:r>
      <w:proofErr w:type="spellStart"/>
      <w:r w:rsidRPr="00F75F85">
        <w:t>спутниковой</w:t>
      </w:r>
      <w:proofErr w:type="spellEnd"/>
      <w:r w:rsidRPr="00F75F85">
        <w:t xml:space="preserve"> </w:t>
      </w:r>
      <w:proofErr w:type="spellStart"/>
      <w:r w:rsidRPr="00F75F85">
        <w:t>службы</w:t>
      </w:r>
      <w:proofErr w:type="spellEnd"/>
      <w:r w:rsidRPr="00F75F85">
        <w:t xml:space="preserve"> (ПСС), </w:t>
      </w:r>
      <w:proofErr w:type="spellStart"/>
      <w:r w:rsidRPr="00884C3B">
        <w:t>работающими</w:t>
      </w:r>
      <w:proofErr w:type="spellEnd"/>
      <w:r w:rsidRPr="00F75F85">
        <w:t xml:space="preserve"> в </w:t>
      </w:r>
      <w:proofErr w:type="spellStart"/>
      <w:r w:rsidRPr="00F75F85">
        <w:t>полосе</w:t>
      </w:r>
      <w:proofErr w:type="spellEnd"/>
      <w:r w:rsidRPr="00F75F85">
        <w:t xml:space="preserve"> </w:t>
      </w:r>
      <w:proofErr w:type="spellStart"/>
      <w:r w:rsidRPr="00F75F85">
        <w:t>частот</w:t>
      </w:r>
      <w:proofErr w:type="spellEnd"/>
      <w:r w:rsidRPr="00F75F85">
        <w:t xml:space="preserve"> 1518</w:t>
      </w:r>
      <w:r w:rsidR="00BB30AC">
        <w:t>–</w:t>
      </w:r>
      <w:r w:rsidRPr="00F75F85">
        <w:t>1525</w:t>
      </w:r>
      <w:r w:rsidR="00BB30AC">
        <w:t> </w:t>
      </w:r>
      <w:proofErr w:type="spellStart"/>
      <w:r w:rsidRPr="00F75F85">
        <w:t>МГц</w:t>
      </w:r>
      <w:proofErr w:type="spellEnd"/>
      <w:r w:rsidRPr="00F75F85">
        <w:t xml:space="preserve">, и наземными системами международной подвижной </w:t>
      </w:r>
      <w:r w:rsidR="00BB30AC">
        <w:t>электросвязи</w:t>
      </w:r>
      <w:r w:rsidRPr="00F75F85">
        <w:t xml:space="preserve"> (IMT), работающими в полосе частот 1492</w:t>
      </w:r>
      <w:r w:rsidR="00BB30AC">
        <w:t>–</w:t>
      </w:r>
      <w:r w:rsidRPr="00F75F85">
        <w:t>1518</w:t>
      </w:r>
      <w:r w:rsidR="00BB30AC">
        <w:t> </w:t>
      </w:r>
      <w:r w:rsidRPr="00F75F85">
        <w:t xml:space="preserve">МГц, как предложено </w:t>
      </w:r>
      <w:proofErr w:type="spellStart"/>
      <w:r w:rsidRPr="00F75F85">
        <w:t>Резолюцией</w:t>
      </w:r>
      <w:proofErr w:type="spellEnd"/>
      <w:r w:rsidRPr="00F75F85">
        <w:t xml:space="preserve"> </w:t>
      </w:r>
      <w:r w:rsidRPr="00F75F85">
        <w:rPr>
          <w:b/>
        </w:rPr>
        <w:t>223 (</w:t>
      </w:r>
      <w:proofErr w:type="spellStart"/>
      <w:r w:rsidRPr="00F75F85">
        <w:rPr>
          <w:b/>
        </w:rPr>
        <w:t>Пересм</w:t>
      </w:r>
      <w:proofErr w:type="spellEnd"/>
      <w:r w:rsidRPr="00F75F85">
        <w:rPr>
          <w:b/>
        </w:rPr>
        <w:t>. ВКР-19)</w:t>
      </w:r>
      <w:r w:rsidRPr="00F75F85">
        <w:t>. См.</w:t>
      </w:r>
      <w:r w:rsidR="00BD6A0F">
        <w:t> </w:t>
      </w:r>
      <w:r w:rsidRPr="00F75F85">
        <w:t>также сноску</w:t>
      </w:r>
      <w:r w:rsidR="00BB30AC">
        <w:t> </w:t>
      </w:r>
      <w:r w:rsidRPr="00F75F85">
        <w:t>1.</w:t>
      </w:r>
    </w:p>
    <w:p w14:paraId="5CCED1C3" w14:textId="06CD7F7C" w:rsidR="005720AD" w:rsidRPr="009976D6" w:rsidRDefault="009976D6" w:rsidP="00302806">
      <w:pPr>
        <w:pStyle w:val="Headingb"/>
        <w:rPr>
          <w:lang w:val="ru-RU" w:eastAsia="zh-CN"/>
        </w:rPr>
      </w:pPr>
      <w:r w:rsidRPr="009976D6">
        <w:rPr>
          <w:lang w:val="ru-RU" w:eastAsia="zh-CN"/>
        </w:rPr>
        <w:t>Ключевые слова</w:t>
      </w:r>
    </w:p>
    <w:p w14:paraId="05520707" w14:textId="5E45C506" w:rsidR="005720AD" w:rsidRPr="009976D6" w:rsidRDefault="009976D6" w:rsidP="005720AD">
      <w:pPr>
        <w:rPr>
          <w:szCs w:val="24"/>
          <w:lang w:val="ru-RU" w:eastAsia="ja-JP"/>
        </w:rPr>
      </w:pPr>
      <w:r w:rsidRPr="009976D6">
        <w:rPr>
          <w:szCs w:val="24"/>
          <w:lang w:val="ru-RU" w:eastAsia="ja-JP"/>
        </w:rPr>
        <w:t>IMT, ПЗС, совместимость по соседней полосе частот</w:t>
      </w:r>
    </w:p>
    <w:p w14:paraId="36E43B36" w14:textId="25B4462C" w:rsidR="005720AD" w:rsidRPr="009976D6" w:rsidRDefault="009976D6" w:rsidP="00302806">
      <w:pPr>
        <w:pStyle w:val="Headingb"/>
        <w:rPr>
          <w:rFonts w:ascii="Times New Roman Bold" w:hAnsi="Times New Roman Bold" w:cs="Times New Roman Bold"/>
          <w:b w:val="0"/>
          <w:lang w:val="ru-RU" w:eastAsia="zh-CN"/>
        </w:rPr>
      </w:pPr>
      <w:r w:rsidRPr="009976D6">
        <w:rPr>
          <w:rFonts w:ascii="Times New Roman Bold" w:hAnsi="Times New Roman Bold" w:cs="Times New Roman Bold"/>
          <w:lang w:val="ru-RU" w:eastAsia="zh-CN"/>
        </w:rPr>
        <w:t>Сокращения/глоссарий</w:t>
      </w:r>
    </w:p>
    <w:tbl>
      <w:tblPr>
        <w:tblStyle w:val="TableGrid"/>
        <w:tblW w:w="5051" w:type="pct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69"/>
        <w:gridCol w:w="851"/>
        <w:gridCol w:w="3969"/>
      </w:tblGrid>
      <w:tr w:rsidR="009976D6" w:rsidRPr="009976D6" w14:paraId="1CA3C33C" w14:textId="77777777" w:rsidTr="00F54A47">
        <w:trPr>
          <w:cantSplit/>
        </w:trPr>
        <w:tc>
          <w:tcPr>
            <w:tcW w:w="487" w:type="pct"/>
          </w:tcPr>
          <w:p w14:paraId="4C7E04AE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9976D6">
              <w:rPr>
                <w:rFonts w:ascii="Times New Roman" w:hAnsi="Times New Roman" w:cs="Times New Roman"/>
                <w:lang w:val="ru-RU"/>
              </w:rPr>
              <w:t>BS</w:t>
            </w:r>
          </w:p>
        </w:tc>
        <w:tc>
          <w:tcPr>
            <w:tcW w:w="2038" w:type="pct"/>
          </w:tcPr>
          <w:p w14:paraId="198670B6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9976D6">
              <w:rPr>
                <w:rFonts w:ascii="Times New Roman" w:hAnsi="Times New Roman" w:cs="Times New Roman"/>
                <w:lang w:val="ru-RU"/>
              </w:rPr>
              <w:t xml:space="preserve">Base </w:t>
            </w:r>
            <w:proofErr w:type="spellStart"/>
            <w:r w:rsidRPr="009976D6">
              <w:rPr>
                <w:rFonts w:ascii="Times New Roman" w:hAnsi="Times New Roman" w:cs="Times New Roman"/>
                <w:lang w:val="ru-RU"/>
              </w:rPr>
              <w:t>station</w:t>
            </w:r>
            <w:proofErr w:type="spellEnd"/>
          </w:p>
        </w:tc>
        <w:tc>
          <w:tcPr>
            <w:tcW w:w="437" w:type="pct"/>
          </w:tcPr>
          <w:p w14:paraId="559EC65D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9976D6">
              <w:rPr>
                <w:rFonts w:ascii="Times New Roman" w:hAnsi="Times New Roman" w:cs="Times New Roman"/>
                <w:lang w:val="ru-RU"/>
              </w:rPr>
              <w:t>БС</w:t>
            </w:r>
          </w:p>
        </w:tc>
        <w:tc>
          <w:tcPr>
            <w:tcW w:w="2038" w:type="pct"/>
          </w:tcPr>
          <w:p w14:paraId="472CCC3B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9976D6">
              <w:rPr>
                <w:rFonts w:ascii="Times New Roman" w:hAnsi="Times New Roman" w:cs="Times New Roman"/>
                <w:lang w:val="ru-RU"/>
              </w:rPr>
              <w:t>Базовая станция</w:t>
            </w:r>
          </w:p>
        </w:tc>
      </w:tr>
      <w:tr w:rsidR="009976D6" w:rsidRPr="009976D6" w14:paraId="11CD6159" w14:textId="77777777" w:rsidTr="00F54A47">
        <w:trPr>
          <w:cantSplit/>
        </w:trPr>
        <w:tc>
          <w:tcPr>
            <w:tcW w:w="487" w:type="pct"/>
          </w:tcPr>
          <w:p w14:paraId="5185996E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976D6">
              <w:rPr>
                <w:rFonts w:ascii="Times New Roman" w:hAnsi="Times New Roman" w:cs="Times New Roman"/>
                <w:lang w:val="ru-RU"/>
              </w:rPr>
              <w:t>e.i.r.p</w:t>
            </w:r>
            <w:proofErr w:type="spellEnd"/>
            <w:r w:rsidRPr="009976D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038" w:type="pct"/>
          </w:tcPr>
          <w:p w14:paraId="0D5BF97D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976D6">
              <w:rPr>
                <w:rFonts w:ascii="Times New Roman" w:hAnsi="Times New Roman" w:cs="Times New Roman"/>
                <w:lang w:val="ru-RU"/>
              </w:rPr>
              <w:t>Equivalent</w:t>
            </w:r>
            <w:proofErr w:type="spellEnd"/>
            <w:r w:rsidRPr="009976D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976D6">
              <w:rPr>
                <w:rFonts w:ascii="Times New Roman" w:hAnsi="Times New Roman" w:cs="Times New Roman"/>
                <w:lang w:val="ru-RU"/>
              </w:rPr>
              <w:t>isotropically</w:t>
            </w:r>
            <w:proofErr w:type="spellEnd"/>
            <w:r w:rsidRPr="009976D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976D6">
              <w:rPr>
                <w:rFonts w:ascii="Times New Roman" w:hAnsi="Times New Roman" w:cs="Times New Roman"/>
                <w:lang w:val="ru-RU"/>
              </w:rPr>
              <w:t>radiated</w:t>
            </w:r>
            <w:proofErr w:type="spellEnd"/>
            <w:r w:rsidRPr="009976D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976D6">
              <w:rPr>
                <w:rFonts w:ascii="Times New Roman" w:hAnsi="Times New Roman" w:cs="Times New Roman"/>
                <w:lang w:val="ru-RU"/>
              </w:rPr>
              <w:t>power</w:t>
            </w:r>
            <w:proofErr w:type="spellEnd"/>
          </w:p>
        </w:tc>
        <w:tc>
          <w:tcPr>
            <w:tcW w:w="437" w:type="pct"/>
          </w:tcPr>
          <w:p w14:paraId="1C7EF2CD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9976D6">
              <w:rPr>
                <w:rFonts w:ascii="Times New Roman" w:hAnsi="Times New Roman" w:cs="Times New Roman"/>
                <w:lang w:val="ru-RU"/>
              </w:rPr>
              <w:t>э.и.и.м</w:t>
            </w:r>
          </w:p>
        </w:tc>
        <w:tc>
          <w:tcPr>
            <w:tcW w:w="2038" w:type="pct"/>
          </w:tcPr>
          <w:p w14:paraId="4D355366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9976D6">
              <w:rPr>
                <w:rFonts w:ascii="Times New Roman" w:hAnsi="Times New Roman" w:cs="Times New Roman"/>
                <w:lang w:val="ru-RU"/>
              </w:rPr>
              <w:t>Эквивалентная изотропно излучаемая мощность</w:t>
            </w:r>
          </w:p>
        </w:tc>
      </w:tr>
      <w:tr w:rsidR="009976D6" w:rsidRPr="009976D6" w14:paraId="7E5B57B9" w14:textId="77777777" w:rsidTr="00F54A47">
        <w:trPr>
          <w:cantSplit/>
        </w:trPr>
        <w:tc>
          <w:tcPr>
            <w:tcW w:w="487" w:type="pct"/>
          </w:tcPr>
          <w:p w14:paraId="0F1C5F63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9976D6">
              <w:rPr>
                <w:rFonts w:ascii="Times New Roman" w:hAnsi="Times New Roman" w:cs="Times New Roman"/>
                <w:lang w:val="ru-RU"/>
              </w:rPr>
              <w:t>FDD</w:t>
            </w:r>
          </w:p>
        </w:tc>
        <w:tc>
          <w:tcPr>
            <w:tcW w:w="2038" w:type="pct"/>
          </w:tcPr>
          <w:p w14:paraId="4E841A74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9976D6">
              <w:rPr>
                <w:rFonts w:ascii="Times New Roman" w:hAnsi="Times New Roman" w:cs="Times New Roman"/>
                <w:lang w:val="ru-RU"/>
              </w:rPr>
              <w:t xml:space="preserve">Frequency </w:t>
            </w:r>
            <w:proofErr w:type="spellStart"/>
            <w:r w:rsidRPr="009976D6">
              <w:rPr>
                <w:rFonts w:ascii="Times New Roman" w:hAnsi="Times New Roman" w:cs="Times New Roman"/>
                <w:lang w:val="ru-RU"/>
              </w:rPr>
              <w:t>division</w:t>
            </w:r>
            <w:proofErr w:type="spellEnd"/>
            <w:r w:rsidRPr="009976D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976D6">
              <w:rPr>
                <w:rFonts w:ascii="Times New Roman" w:hAnsi="Times New Roman" w:cs="Times New Roman"/>
                <w:lang w:val="ru-RU"/>
              </w:rPr>
              <w:t>duplex</w:t>
            </w:r>
            <w:proofErr w:type="spellEnd"/>
          </w:p>
        </w:tc>
        <w:tc>
          <w:tcPr>
            <w:tcW w:w="437" w:type="pct"/>
          </w:tcPr>
          <w:p w14:paraId="3CF7A48A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8" w:type="pct"/>
          </w:tcPr>
          <w:p w14:paraId="03701828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9976D6">
              <w:rPr>
                <w:rFonts w:ascii="Times New Roman" w:hAnsi="Times New Roman" w:cs="Times New Roman"/>
                <w:lang w:val="ru-RU"/>
              </w:rPr>
              <w:t>Дуплекс с частотным разделением</w:t>
            </w:r>
          </w:p>
        </w:tc>
      </w:tr>
      <w:tr w:rsidR="009976D6" w:rsidRPr="009976D6" w14:paraId="0E536C18" w14:textId="77777777" w:rsidTr="00F54A47">
        <w:trPr>
          <w:cantSplit/>
        </w:trPr>
        <w:tc>
          <w:tcPr>
            <w:tcW w:w="487" w:type="pct"/>
          </w:tcPr>
          <w:p w14:paraId="11413FF5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9976D6">
              <w:rPr>
                <w:rFonts w:ascii="Times New Roman" w:hAnsi="Times New Roman" w:cs="Times New Roman"/>
                <w:lang w:val="ru-RU"/>
              </w:rPr>
              <w:t>IMT</w:t>
            </w:r>
          </w:p>
        </w:tc>
        <w:tc>
          <w:tcPr>
            <w:tcW w:w="2038" w:type="pct"/>
          </w:tcPr>
          <w:p w14:paraId="0F3F5547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9976D6">
              <w:rPr>
                <w:rFonts w:ascii="Times New Roman" w:hAnsi="Times New Roman" w:cs="Times New Roman"/>
                <w:lang w:val="ru-RU"/>
              </w:rPr>
              <w:t xml:space="preserve">International </w:t>
            </w:r>
            <w:proofErr w:type="spellStart"/>
            <w:r w:rsidRPr="009976D6">
              <w:rPr>
                <w:rFonts w:ascii="Times New Roman" w:hAnsi="Times New Roman" w:cs="Times New Roman"/>
                <w:lang w:val="ru-RU"/>
              </w:rPr>
              <w:t>mobile</w:t>
            </w:r>
            <w:proofErr w:type="spellEnd"/>
            <w:r w:rsidRPr="009976D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976D6">
              <w:rPr>
                <w:rFonts w:ascii="Times New Roman" w:hAnsi="Times New Roman" w:cs="Times New Roman"/>
                <w:lang w:val="ru-RU"/>
              </w:rPr>
              <w:t>telecommunications</w:t>
            </w:r>
            <w:proofErr w:type="spellEnd"/>
          </w:p>
        </w:tc>
        <w:tc>
          <w:tcPr>
            <w:tcW w:w="437" w:type="pct"/>
          </w:tcPr>
          <w:p w14:paraId="0BB72BE9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8" w:type="pct"/>
          </w:tcPr>
          <w:p w14:paraId="0D1C3615" w14:textId="27109959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9976D6">
              <w:rPr>
                <w:rFonts w:ascii="Times New Roman" w:hAnsi="Times New Roman" w:cs="Times New Roman"/>
                <w:lang w:val="ru-RU"/>
              </w:rPr>
              <w:t xml:space="preserve">Международная подвижная </w:t>
            </w:r>
            <w:r>
              <w:rPr>
                <w:rFonts w:ascii="Times New Roman" w:hAnsi="Times New Roman" w:cs="Times New Roman"/>
                <w:lang w:val="ru-RU"/>
              </w:rPr>
              <w:t>электро</w:t>
            </w:r>
            <w:r w:rsidRPr="009976D6">
              <w:rPr>
                <w:rFonts w:ascii="Times New Roman" w:hAnsi="Times New Roman" w:cs="Times New Roman"/>
                <w:lang w:val="ru-RU"/>
              </w:rPr>
              <w:t>связь</w:t>
            </w:r>
          </w:p>
        </w:tc>
      </w:tr>
      <w:tr w:rsidR="009976D6" w:rsidRPr="009976D6" w14:paraId="28BAA1C1" w14:textId="77777777" w:rsidTr="00F54A47">
        <w:trPr>
          <w:cantSplit/>
        </w:trPr>
        <w:tc>
          <w:tcPr>
            <w:tcW w:w="487" w:type="pct"/>
          </w:tcPr>
          <w:p w14:paraId="31668B7E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9976D6">
              <w:rPr>
                <w:rFonts w:ascii="Times New Roman" w:hAnsi="Times New Roman" w:cs="Times New Roman"/>
                <w:lang w:val="ru-RU"/>
              </w:rPr>
              <w:t>MES</w:t>
            </w:r>
          </w:p>
        </w:tc>
        <w:tc>
          <w:tcPr>
            <w:tcW w:w="2038" w:type="pct"/>
          </w:tcPr>
          <w:p w14:paraId="46023225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9976D6">
              <w:rPr>
                <w:rFonts w:ascii="Times New Roman" w:hAnsi="Times New Roman" w:cs="Times New Roman"/>
                <w:lang w:val="ru-RU"/>
              </w:rPr>
              <w:t xml:space="preserve">Mobile </w:t>
            </w:r>
            <w:proofErr w:type="spellStart"/>
            <w:r w:rsidRPr="009976D6">
              <w:rPr>
                <w:rFonts w:ascii="Times New Roman" w:hAnsi="Times New Roman" w:cs="Times New Roman"/>
                <w:lang w:val="ru-RU"/>
              </w:rPr>
              <w:t>earth</w:t>
            </w:r>
            <w:proofErr w:type="spellEnd"/>
            <w:r w:rsidRPr="009976D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976D6">
              <w:rPr>
                <w:rFonts w:ascii="Times New Roman" w:hAnsi="Times New Roman" w:cs="Times New Roman"/>
                <w:lang w:val="ru-RU"/>
              </w:rPr>
              <w:t>station</w:t>
            </w:r>
            <w:proofErr w:type="spellEnd"/>
          </w:p>
        </w:tc>
        <w:tc>
          <w:tcPr>
            <w:tcW w:w="437" w:type="pct"/>
          </w:tcPr>
          <w:p w14:paraId="5D4A9952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9976D6">
              <w:rPr>
                <w:rFonts w:ascii="Times New Roman" w:hAnsi="Times New Roman" w:cs="Times New Roman"/>
                <w:lang w:val="ru-RU"/>
              </w:rPr>
              <w:t>ПЗС</w:t>
            </w:r>
          </w:p>
        </w:tc>
        <w:tc>
          <w:tcPr>
            <w:tcW w:w="2038" w:type="pct"/>
          </w:tcPr>
          <w:p w14:paraId="11E8BD80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9976D6">
              <w:rPr>
                <w:rFonts w:ascii="Times New Roman" w:hAnsi="Times New Roman" w:cs="Times New Roman"/>
                <w:lang w:val="ru-RU"/>
              </w:rPr>
              <w:t>Подвижная земная станция</w:t>
            </w:r>
          </w:p>
        </w:tc>
      </w:tr>
      <w:tr w:rsidR="009976D6" w:rsidRPr="009976D6" w14:paraId="7979AA01" w14:textId="77777777" w:rsidTr="00F54A47">
        <w:trPr>
          <w:cantSplit/>
        </w:trPr>
        <w:tc>
          <w:tcPr>
            <w:tcW w:w="487" w:type="pct"/>
          </w:tcPr>
          <w:p w14:paraId="1ADC432E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9976D6">
              <w:rPr>
                <w:rFonts w:ascii="Times New Roman" w:hAnsi="Times New Roman" w:cs="Times New Roman"/>
                <w:lang w:val="ru-RU"/>
              </w:rPr>
              <w:t>MSS</w:t>
            </w:r>
          </w:p>
        </w:tc>
        <w:tc>
          <w:tcPr>
            <w:tcW w:w="2038" w:type="pct"/>
          </w:tcPr>
          <w:p w14:paraId="0F09FBEE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9976D6">
              <w:rPr>
                <w:rFonts w:ascii="Times New Roman" w:hAnsi="Times New Roman" w:cs="Times New Roman"/>
                <w:lang w:val="ru-RU"/>
              </w:rPr>
              <w:t>Mobile-</w:t>
            </w:r>
            <w:proofErr w:type="spellStart"/>
            <w:r w:rsidRPr="009976D6">
              <w:rPr>
                <w:rFonts w:ascii="Times New Roman" w:hAnsi="Times New Roman" w:cs="Times New Roman"/>
                <w:lang w:val="ru-RU"/>
              </w:rPr>
              <w:t>satellite</w:t>
            </w:r>
            <w:proofErr w:type="spellEnd"/>
            <w:r w:rsidRPr="009976D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976D6">
              <w:rPr>
                <w:rFonts w:ascii="Times New Roman" w:hAnsi="Times New Roman" w:cs="Times New Roman"/>
                <w:lang w:val="ru-RU"/>
              </w:rPr>
              <w:t>service</w:t>
            </w:r>
            <w:proofErr w:type="spellEnd"/>
          </w:p>
        </w:tc>
        <w:tc>
          <w:tcPr>
            <w:tcW w:w="437" w:type="pct"/>
          </w:tcPr>
          <w:p w14:paraId="0D128021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9976D6">
              <w:rPr>
                <w:rFonts w:ascii="Times New Roman" w:hAnsi="Times New Roman" w:cs="Times New Roman"/>
                <w:lang w:val="ru-RU"/>
              </w:rPr>
              <w:t>ПСС</w:t>
            </w:r>
          </w:p>
        </w:tc>
        <w:tc>
          <w:tcPr>
            <w:tcW w:w="2038" w:type="pct"/>
          </w:tcPr>
          <w:p w14:paraId="19CA1AFA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9976D6">
              <w:rPr>
                <w:rFonts w:ascii="Times New Roman" w:hAnsi="Times New Roman" w:cs="Times New Roman"/>
                <w:lang w:val="ru-RU"/>
              </w:rPr>
              <w:t>Подвижная спутниковая служба</w:t>
            </w:r>
          </w:p>
        </w:tc>
      </w:tr>
      <w:tr w:rsidR="009976D6" w:rsidRPr="009976D6" w14:paraId="6DC79B85" w14:textId="77777777" w:rsidTr="00F54A47">
        <w:trPr>
          <w:cantSplit/>
        </w:trPr>
        <w:tc>
          <w:tcPr>
            <w:tcW w:w="487" w:type="pct"/>
          </w:tcPr>
          <w:p w14:paraId="4B7BE99D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976D6">
              <w:rPr>
                <w:rFonts w:ascii="Times New Roman" w:hAnsi="Times New Roman" w:cs="Times New Roman"/>
                <w:lang w:val="ru-RU"/>
              </w:rPr>
              <w:t>pfd</w:t>
            </w:r>
            <w:proofErr w:type="spellEnd"/>
          </w:p>
        </w:tc>
        <w:tc>
          <w:tcPr>
            <w:tcW w:w="2038" w:type="pct"/>
          </w:tcPr>
          <w:p w14:paraId="6BBE129C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9976D6">
              <w:rPr>
                <w:rFonts w:ascii="Times New Roman" w:hAnsi="Times New Roman" w:cs="Times New Roman"/>
                <w:lang w:val="ru-RU"/>
              </w:rPr>
              <w:t xml:space="preserve">Power </w:t>
            </w:r>
            <w:proofErr w:type="spellStart"/>
            <w:r w:rsidRPr="009976D6">
              <w:rPr>
                <w:rFonts w:ascii="Times New Roman" w:hAnsi="Times New Roman" w:cs="Times New Roman"/>
                <w:lang w:val="ru-RU"/>
              </w:rPr>
              <w:t>flux-density</w:t>
            </w:r>
            <w:proofErr w:type="spellEnd"/>
          </w:p>
        </w:tc>
        <w:tc>
          <w:tcPr>
            <w:tcW w:w="437" w:type="pct"/>
          </w:tcPr>
          <w:p w14:paraId="75DCDE0F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976D6">
              <w:rPr>
                <w:rFonts w:ascii="Times New Roman" w:hAnsi="Times New Roman" w:cs="Times New Roman"/>
                <w:lang w:val="ru-RU"/>
              </w:rPr>
              <w:t>п.п.м</w:t>
            </w:r>
            <w:proofErr w:type="spellEnd"/>
            <w:r w:rsidRPr="009976D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038" w:type="pct"/>
          </w:tcPr>
          <w:p w14:paraId="353FDB2A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9976D6">
              <w:rPr>
                <w:rFonts w:ascii="Times New Roman" w:hAnsi="Times New Roman" w:cs="Times New Roman"/>
                <w:lang w:val="ru-RU"/>
              </w:rPr>
              <w:t>Плотность потока мощности</w:t>
            </w:r>
          </w:p>
        </w:tc>
      </w:tr>
      <w:tr w:rsidR="009976D6" w:rsidRPr="009976D6" w14:paraId="2D10F33E" w14:textId="77777777" w:rsidTr="00F54A47">
        <w:trPr>
          <w:cantSplit/>
        </w:trPr>
        <w:tc>
          <w:tcPr>
            <w:tcW w:w="487" w:type="pct"/>
          </w:tcPr>
          <w:p w14:paraId="1DA61F2D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9976D6">
              <w:rPr>
                <w:rFonts w:ascii="Times New Roman" w:hAnsi="Times New Roman" w:cs="Times New Roman"/>
                <w:lang w:val="ru-RU"/>
              </w:rPr>
              <w:t>SDL</w:t>
            </w:r>
          </w:p>
        </w:tc>
        <w:tc>
          <w:tcPr>
            <w:tcW w:w="2038" w:type="pct"/>
          </w:tcPr>
          <w:p w14:paraId="0906BD85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976D6">
              <w:rPr>
                <w:rFonts w:ascii="Times New Roman" w:hAnsi="Times New Roman" w:cs="Times New Roman"/>
                <w:lang w:val="ru-RU"/>
              </w:rPr>
              <w:t>Supplemental</w:t>
            </w:r>
            <w:proofErr w:type="spellEnd"/>
            <w:r w:rsidRPr="009976D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976D6">
              <w:rPr>
                <w:rFonts w:ascii="Times New Roman" w:hAnsi="Times New Roman" w:cs="Times New Roman"/>
                <w:lang w:val="ru-RU"/>
              </w:rPr>
              <w:t>downlink</w:t>
            </w:r>
            <w:proofErr w:type="spellEnd"/>
          </w:p>
        </w:tc>
        <w:tc>
          <w:tcPr>
            <w:tcW w:w="437" w:type="pct"/>
          </w:tcPr>
          <w:p w14:paraId="62A14552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8" w:type="pct"/>
          </w:tcPr>
          <w:p w14:paraId="5FED48DB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9976D6">
              <w:rPr>
                <w:rFonts w:ascii="Times New Roman" w:hAnsi="Times New Roman" w:cs="Times New Roman"/>
                <w:lang w:val="ru-RU"/>
              </w:rPr>
              <w:t>Дополнительная линия вниз</w:t>
            </w:r>
          </w:p>
        </w:tc>
      </w:tr>
      <w:tr w:rsidR="009976D6" w:rsidRPr="009976D6" w14:paraId="14D75954" w14:textId="77777777" w:rsidTr="00F54A47">
        <w:trPr>
          <w:cantSplit/>
        </w:trPr>
        <w:tc>
          <w:tcPr>
            <w:tcW w:w="487" w:type="pct"/>
          </w:tcPr>
          <w:p w14:paraId="7E506AC2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9976D6">
              <w:rPr>
                <w:rFonts w:ascii="Times New Roman" w:hAnsi="Times New Roman" w:cs="Times New Roman"/>
                <w:lang w:val="ru-RU"/>
              </w:rPr>
              <w:t>TDD</w:t>
            </w:r>
          </w:p>
        </w:tc>
        <w:tc>
          <w:tcPr>
            <w:tcW w:w="2038" w:type="pct"/>
          </w:tcPr>
          <w:p w14:paraId="6E1CA17D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9976D6">
              <w:rPr>
                <w:rFonts w:ascii="Times New Roman" w:hAnsi="Times New Roman" w:cs="Times New Roman"/>
                <w:lang w:val="ru-RU"/>
              </w:rPr>
              <w:t xml:space="preserve">Time </w:t>
            </w:r>
            <w:proofErr w:type="spellStart"/>
            <w:r w:rsidRPr="009976D6">
              <w:rPr>
                <w:rFonts w:ascii="Times New Roman" w:hAnsi="Times New Roman" w:cs="Times New Roman"/>
                <w:lang w:val="ru-RU"/>
              </w:rPr>
              <w:t>division</w:t>
            </w:r>
            <w:proofErr w:type="spellEnd"/>
            <w:r w:rsidRPr="009976D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976D6">
              <w:rPr>
                <w:rFonts w:ascii="Times New Roman" w:hAnsi="Times New Roman" w:cs="Times New Roman"/>
                <w:lang w:val="ru-RU"/>
              </w:rPr>
              <w:t>duplex</w:t>
            </w:r>
            <w:proofErr w:type="spellEnd"/>
          </w:p>
        </w:tc>
        <w:tc>
          <w:tcPr>
            <w:tcW w:w="437" w:type="pct"/>
          </w:tcPr>
          <w:p w14:paraId="5B6C32EB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8" w:type="pct"/>
          </w:tcPr>
          <w:p w14:paraId="60EA3A9C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9976D6">
              <w:rPr>
                <w:rFonts w:ascii="Times New Roman" w:hAnsi="Times New Roman" w:cs="Times New Roman"/>
                <w:lang w:val="ru-RU"/>
              </w:rPr>
              <w:t>Дуплекс с временным разделением</w:t>
            </w:r>
          </w:p>
        </w:tc>
      </w:tr>
      <w:tr w:rsidR="009976D6" w:rsidRPr="009976D6" w14:paraId="65398F27" w14:textId="77777777" w:rsidTr="00F54A47">
        <w:trPr>
          <w:cantSplit/>
        </w:trPr>
        <w:tc>
          <w:tcPr>
            <w:tcW w:w="487" w:type="pct"/>
          </w:tcPr>
          <w:p w14:paraId="248A9926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9976D6">
              <w:rPr>
                <w:rFonts w:ascii="Times New Roman" w:hAnsi="Times New Roman" w:cs="Times New Roman"/>
                <w:lang w:val="ru-RU"/>
              </w:rPr>
              <w:t>UE</w:t>
            </w:r>
          </w:p>
        </w:tc>
        <w:tc>
          <w:tcPr>
            <w:tcW w:w="2038" w:type="pct"/>
          </w:tcPr>
          <w:p w14:paraId="74221208" w14:textId="77777777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9976D6">
              <w:rPr>
                <w:rFonts w:ascii="Times New Roman" w:hAnsi="Times New Roman" w:cs="Times New Roman"/>
                <w:lang w:val="ru-RU"/>
              </w:rPr>
              <w:t xml:space="preserve">User </w:t>
            </w:r>
            <w:proofErr w:type="spellStart"/>
            <w:r w:rsidRPr="009976D6">
              <w:rPr>
                <w:rFonts w:ascii="Times New Roman" w:hAnsi="Times New Roman" w:cs="Times New Roman"/>
                <w:lang w:val="ru-RU"/>
              </w:rPr>
              <w:t>equipment</w:t>
            </w:r>
            <w:proofErr w:type="spellEnd"/>
          </w:p>
        </w:tc>
        <w:tc>
          <w:tcPr>
            <w:tcW w:w="437" w:type="pct"/>
          </w:tcPr>
          <w:p w14:paraId="5A1AA4D5" w14:textId="42D7BC1B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8" w:type="pct"/>
          </w:tcPr>
          <w:p w14:paraId="4B3256D2" w14:textId="3AA08CED" w:rsidR="009976D6" w:rsidRPr="009976D6" w:rsidRDefault="009976D6" w:rsidP="00997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9976D6">
              <w:rPr>
                <w:rFonts w:ascii="Times New Roman" w:hAnsi="Times New Roman" w:cs="Times New Roman"/>
                <w:lang w:val="ru-RU"/>
              </w:rPr>
              <w:t>Оборудование пользователя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lang w:val="ru-RU"/>
              </w:rPr>
              <w:br/>
              <w:t>пользовательское оборудование</w:t>
            </w:r>
          </w:p>
        </w:tc>
      </w:tr>
    </w:tbl>
    <w:p w14:paraId="742C563C" w14:textId="527C10C8" w:rsidR="005720AD" w:rsidRPr="009976D6" w:rsidRDefault="009976D6" w:rsidP="00F54A47">
      <w:pPr>
        <w:pStyle w:val="Headingb"/>
        <w:rPr>
          <w:lang w:val="ru-RU"/>
        </w:rPr>
      </w:pPr>
      <w:r w:rsidRPr="009976D6">
        <w:rPr>
          <w:lang w:val="ru-RU" w:eastAsia="zh-CN"/>
        </w:rPr>
        <w:lastRenderedPageBreak/>
        <w:t>Соответствующие Рекомендации/Отчеты МСЭ-R</w:t>
      </w:r>
    </w:p>
    <w:p w14:paraId="63F53FD2" w14:textId="09DB93D4" w:rsidR="005720AD" w:rsidRPr="009976D6" w:rsidRDefault="009976D6" w:rsidP="00F54A47">
      <w:pPr>
        <w:pStyle w:val="Reftext"/>
        <w:keepNext/>
        <w:keepLines/>
        <w:rPr>
          <w:sz w:val="20"/>
          <w:lang w:val="ru-RU"/>
        </w:rPr>
      </w:pPr>
      <w:r w:rsidRPr="009976D6">
        <w:rPr>
          <w:sz w:val="20"/>
          <w:lang w:val="ru-RU"/>
        </w:rPr>
        <w:t xml:space="preserve">Рекомендация </w:t>
      </w:r>
      <w:hyperlink r:id="rId17" w:history="1">
        <w:r w:rsidRPr="009976D6">
          <w:rPr>
            <w:rStyle w:val="Hyperlink"/>
            <w:color w:val="auto"/>
            <w:sz w:val="20"/>
            <w:u w:val="none"/>
            <w:lang w:val="ru-RU"/>
          </w:rPr>
          <w:t>МСЭ-R M.1036</w:t>
        </w:r>
      </w:hyperlink>
      <w:r>
        <w:rPr>
          <w:rStyle w:val="Hyperlink"/>
          <w:color w:val="auto"/>
          <w:sz w:val="20"/>
          <w:u w:val="none"/>
          <w:lang w:val="ru-RU"/>
        </w:rPr>
        <w:t xml:space="preserve"> "</w:t>
      </w:r>
      <w:r w:rsidRPr="009976D6">
        <w:rPr>
          <w:rStyle w:val="Hyperlink"/>
          <w:color w:val="auto"/>
          <w:sz w:val="20"/>
          <w:u w:val="none"/>
          <w:lang w:val="ru-RU"/>
        </w:rPr>
        <w:t>Планы размещения частот для внедрения наземного сегмента Международной подвижной электросвязи (IМТ) в полосах</w:t>
      </w:r>
      <w:r w:rsidR="00CB1E30">
        <w:rPr>
          <w:rStyle w:val="Hyperlink"/>
          <w:color w:val="auto"/>
          <w:sz w:val="20"/>
          <w:u w:val="none"/>
          <w:lang w:val="ru-RU"/>
        </w:rPr>
        <w:t xml:space="preserve"> частот</w:t>
      </w:r>
      <w:r w:rsidRPr="009976D6">
        <w:rPr>
          <w:rStyle w:val="Hyperlink"/>
          <w:color w:val="auto"/>
          <w:sz w:val="20"/>
          <w:u w:val="none"/>
          <w:lang w:val="ru-RU"/>
        </w:rPr>
        <w:t>, определенных для IMT в Регламенте радиосвязи</w:t>
      </w:r>
      <w:r>
        <w:rPr>
          <w:rStyle w:val="Hyperlink"/>
          <w:color w:val="auto"/>
          <w:sz w:val="20"/>
          <w:u w:val="none"/>
          <w:lang w:val="ru-RU"/>
        </w:rPr>
        <w:t>"</w:t>
      </w:r>
    </w:p>
    <w:p w14:paraId="529E373A" w14:textId="229E4156" w:rsidR="005720AD" w:rsidRPr="005C0DC5" w:rsidRDefault="005C0DC5" w:rsidP="00302806">
      <w:pPr>
        <w:pStyle w:val="Reftext"/>
        <w:rPr>
          <w:sz w:val="20"/>
          <w:lang w:val="ru-RU"/>
        </w:rPr>
      </w:pPr>
      <w:r w:rsidRPr="005C0DC5">
        <w:rPr>
          <w:sz w:val="20"/>
          <w:lang w:val="ru-RU"/>
        </w:rPr>
        <w:t xml:space="preserve">Отчет </w:t>
      </w:r>
      <w:hyperlink r:id="rId18" w:history="1">
        <w:r w:rsidRPr="005C0DC5">
          <w:rPr>
            <w:rStyle w:val="Hyperlink"/>
            <w:color w:val="auto"/>
            <w:sz w:val="20"/>
            <w:u w:val="none"/>
            <w:lang w:val="ru-RU"/>
          </w:rPr>
          <w:t>МСЭ-R M.2529</w:t>
        </w:r>
      </w:hyperlink>
      <w:r>
        <w:rPr>
          <w:rStyle w:val="Hyperlink"/>
          <w:color w:val="auto"/>
          <w:sz w:val="20"/>
          <w:u w:val="none"/>
          <w:lang w:val="ru-RU"/>
        </w:rPr>
        <w:t xml:space="preserve"> "</w:t>
      </w:r>
      <w:r w:rsidRPr="005C0DC5">
        <w:rPr>
          <w:rStyle w:val="Hyperlink"/>
          <w:color w:val="auto"/>
          <w:sz w:val="20"/>
          <w:u w:val="none"/>
          <w:lang w:val="ru-RU"/>
        </w:rPr>
        <w:t>Исследования совместимости при работе в соседней полосе систем IMT подвижной службы в полосе 1492</w:t>
      </w:r>
      <w:r>
        <w:rPr>
          <w:rStyle w:val="Hyperlink"/>
          <w:color w:val="auto"/>
          <w:sz w:val="20"/>
          <w:u w:val="none"/>
          <w:lang w:val="ru-RU"/>
        </w:rPr>
        <w:t>–</w:t>
      </w:r>
      <w:r w:rsidRPr="005C0DC5">
        <w:rPr>
          <w:rStyle w:val="Hyperlink"/>
          <w:color w:val="auto"/>
          <w:sz w:val="20"/>
          <w:u w:val="none"/>
          <w:lang w:val="ru-RU"/>
        </w:rPr>
        <w:t>1518</w:t>
      </w:r>
      <w:r>
        <w:rPr>
          <w:rStyle w:val="Hyperlink"/>
          <w:color w:val="auto"/>
          <w:sz w:val="20"/>
          <w:u w:val="none"/>
          <w:lang w:val="ru-RU"/>
        </w:rPr>
        <w:t> </w:t>
      </w:r>
      <w:r w:rsidRPr="005C0DC5">
        <w:rPr>
          <w:rStyle w:val="Hyperlink"/>
          <w:color w:val="auto"/>
          <w:sz w:val="20"/>
          <w:u w:val="none"/>
          <w:lang w:val="ru-RU"/>
        </w:rPr>
        <w:t>МГц в отношении систем подвижной спутниковой службы в полосе частот 1518</w:t>
      </w:r>
      <w:r>
        <w:rPr>
          <w:rStyle w:val="Hyperlink"/>
          <w:color w:val="auto"/>
          <w:sz w:val="20"/>
          <w:u w:val="none"/>
          <w:lang w:val="ru-RU"/>
        </w:rPr>
        <w:t>–</w:t>
      </w:r>
      <w:r w:rsidRPr="005C0DC5">
        <w:rPr>
          <w:rStyle w:val="Hyperlink"/>
          <w:color w:val="auto"/>
          <w:sz w:val="20"/>
          <w:u w:val="none"/>
          <w:lang w:val="ru-RU"/>
        </w:rPr>
        <w:t>1525</w:t>
      </w:r>
      <w:r>
        <w:rPr>
          <w:rStyle w:val="Hyperlink"/>
          <w:color w:val="auto"/>
          <w:sz w:val="20"/>
          <w:u w:val="none"/>
          <w:lang w:val="ru-RU"/>
        </w:rPr>
        <w:t> </w:t>
      </w:r>
      <w:r w:rsidRPr="005C0DC5">
        <w:rPr>
          <w:rStyle w:val="Hyperlink"/>
          <w:color w:val="auto"/>
          <w:sz w:val="20"/>
          <w:u w:val="none"/>
          <w:lang w:val="ru-RU"/>
        </w:rPr>
        <w:t>МГц</w:t>
      </w:r>
      <w:r>
        <w:rPr>
          <w:rStyle w:val="Hyperlink"/>
          <w:color w:val="auto"/>
          <w:sz w:val="20"/>
          <w:u w:val="none"/>
          <w:lang w:val="ru-RU"/>
        </w:rPr>
        <w:t>"</w:t>
      </w:r>
    </w:p>
    <w:p w14:paraId="1AB9810B" w14:textId="09089BB1" w:rsidR="005720AD" w:rsidRPr="00904C13" w:rsidRDefault="005C0DC5" w:rsidP="005720AD">
      <w:pPr>
        <w:pStyle w:val="Normalaftertitle"/>
        <w:rPr>
          <w:lang w:val="ru-RU"/>
        </w:rPr>
      </w:pPr>
      <w:r w:rsidRPr="00904C13">
        <w:rPr>
          <w:lang w:val="ru-RU"/>
        </w:rPr>
        <w:t>Ассамблея радиосвязи МСЭ</w:t>
      </w:r>
      <w:r w:rsidR="005720AD" w:rsidRPr="00904C13">
        <w:rPr>
          <w:lang w:val="ru-RU"/>
        </w:rPr>
        <w:t>,</w:t>
      </w:r>
    </w:p>
    <w:p w14:paraId="599835B9" w14:textId="088CCCDB" w:rsidR="005720AD" w:rsidRPr="00904C13" w:rsidRDefault="00904C13" w:rsidP="005720AD">
      <w:pPr>
        <w:pStyle w:val="Call"/>
        <w:rPr>
          <w:lang w:val="ru-RU"/>
        </w:rPr>
      </w:pPr>
      <w:r w:rsidRPr="00904C13">
        <w:rPr>
          <w:lang w:val="ru-RU"/>
        </w:rPr>
        <w:t>учитывая</w:t>
      </w:r>
      <w:r w:rsidRPr="00531D61">
        <w:rPr>
          <w:i w:val="0"/>
          <w:iCs/>
          <w:lang w:val="ru-RU"/>
        </w:rPr>
        <w:t>,</w:t>
      </w:r>
    </w:p>
    <w:p w14:paraId="3F51D2EC" w14:textId="0676C14A" w:rsidR="005720AD" w:rsidRPr="00904C13" w:rsidRDefault="005720AD" w:rsidP="005720AD">
      <w:pPr>
        <w:rPr>
          <w:i/>
          <w:lang w:val="ru-RU" w:eastAsia="zh-CN"/>
        </w:rPr>
      </w:pPr>
      <w:r w:rsidRPr="00904C13">
        <w:rPr>
          <w:i/>
          <w:iCs/>
          <w:lang w:eastAsia="zh-CN"/>
        </w:rPr>
        <w:t>a</w:t>
      </w:r>
      <w:r w:rsidRPr="00904C13">
        <w:rPr>
          <w:i/>
          <w:iCs/>
          <w:lang w:val="ru-RU" w:eastAsia="zh-CN"/>
        </w:rPr>
        <w:t>)</w:t>
      </w:r>
      <w:r w:rsidRPr="00904C13">
        <w:rPr>
          <w:i/>
          <w:iCs/>
          <w:lang w:val="ru-RU" w:eastAsia="zh-CN"/>
        </w:rPr>
        <w:tab/>
      </w:r>
      <w:r w:rsidR="00904C13" w:rsidRPr="00904C13">
        <w:rPr>
          <w:lang w:val="ru-RU" w:eastAsia="zh-CN"/>
        </w:rPr>
        <w:t>что полоса частот 1492–1525 МГц распределена подвижной службе в Районах 2 и 3 и</w:t>
      </w:r>
      <w:r w:rsidR="00904C13">
        <w:rPr>
          <w:lang w:val="ru-RU" w:eastAsia="zh-CN"/>
        </w:rPr>
        <w:t> </w:t>
      </w:r>
      <w:r w:rsidR="00904C13" w:rsidRPr="00904C13">
        <w:rPr>
          <w:lang w:val="ru-RU" w:eastAsia="zh-CN"/>
        </w:rPr>
        <w:t>подвижной, за исключением воздушной подвижной, службе в Районе 1 на первичной основе;</w:t>
      </w:r>
    </w:p>
    <w:p w14:paraId="411583F9" w14:textId="3247B622" w:rsidR="005720AD" w:rsidRPr="00904C13" w:rsidRDefault="005720AD" w:rsidP="005720AD">
      <w:pPr>
        <w:rPr>
          <w:lang w:val="ru-RU"/>
        </w:rPr>
      </w:pPr>
      <w:r w:rsidRPr="00904C13">
        <w:rPr>
          <w:i/>
        </w:rPr>
        <w:t>b</w:t>
      </w:r>
      <w:r w:rsidRPr="00904C13">
        <w:rPr>
          <w:i/>
          <w:lang w:val="ru-RU"/>
        </w:rPr>
        <w:t>)</w:t>
      </w:r>
      <w:r w:rsidRPr="00904C13">
        <w:rPr>
          <w:lang w:val="ru-RU"/>
        </w:rPr>
        <w:tab/>
      </w:r>
      <w:r w:rsidR="00904C13" w:rsidRPr="00904C13">
        <w:rPr>
          <w:lang w:val="ru-RU"/>
        </w:rPr>
        <w:t>что ВКР-15 определила полосу частот 1427</w:t>
      </w:r>
      <w:r w:rsidR="00904C13">
        <w:rPr>
          <w:lang w:val="ru-RU"/>
        </w:rPr>
        <w:t>–</w:t>
      </w:r>
      <w:r w:rsidR="00904C13" w:rsidRPr="00904C13">
        <w:rPr>
          <w:lang w:val="ru-RU"/>
        </w:rPr>
        <w:t>1518</w:t>
      </w:r>
      <w:r w:rsidR="00904C13">
        <w:rPr>
          <w:lang w:val="ru-RU"/>
        </w:rPr>
        <w:t> </w:t>
      </w:r>
      <w:r w:rsidR="00904C13" w:rsidRPr="00904C13">
        <w:rPr>
          <w:lang w:val="ru-RU"/>
        </w:rPr>
        <w:t>МГц на глобальном уровне для</w:t>
      </w:r>
      <w:r w:rsidR="00904C13">
        <w:rPr>
          <w:lang w:val="ru-RU"/>
        </w:rPr>
        <w:t> </w:t>
      </w:r>
      <w:r w:rsidR="00904C13" w:rsidRPr="00904C13">
        <w:rPr>
          <w:lang w:val="ru-RU"/>
        </w:rPr>
        <w:t>использования администрациями, желающими внедрить наземные системы IMT;</w:t>
      </w:r>
    </w:p>
    <w:p w14:paraId="7174B1EF" w14:textId="5269A3FC" w:rsidR="005720AD" w:rsidRPr="00587EB4" w:rsidRDefault="005720AD" w:rsidP="005720AD">
      <w:pPr>
        <w:rPr>
          <w:lang w:val="ru-RU" w:eastAsia="zh-CN"/>
        </w:rPr>
      </w:pPr>
      <w:r w:rsidRPr="00587EB4">
        <w:rPr>
          <w:i/>
          <w:iCs/>
          <w:lang w:eastAsia="zh-CN"/>
        </w:rPr>
        <w:t>c</w:t>
      </w:r>
      <w:r w:rsidRPr="00587EB4">
        <w:rPr>
          <w:i/>
          <w:iCs/>
          <w:lang w:val="ru-RU" w:eastAsia="zh-CN"/>
        </w:rPr>
        <w:t>)</w:t>
      </w:r>
      <w:r w:rsidRPr="00587EB4">
        <w:rPr>
          <w:i/>
          <w:iCs/>
          <w:lang w:val="ru-RU" w:eastAsia="zh-CN"/>
        </w:rPr>
        <w:tab/>
      </w:r>
      <w:r w:rsidR="00587EB4" w:rsidRPr="00587EB4">
        <w:rPr>
          <w:lang w:val="ru-RU" w:eastAsia="zh-CN"/>
        </w:rPr>
        <w:t>что полоса частот 1518</w:t>
      </w:r>
      <w:r w:rsidR="00587EB4">
        <w:rPr>
          <w:lang w:val="ru-RU" w:eastAsia="zh-CN"/>
        </w:rPr>
        <w:t>–</w:t>
      </w:r>
      <w:r w:rsidR="00587EB4" w:rsidRPr="00587EB4">
        <w:rPr>
          <w:lang w:val="ru-RU" w:eastAsia="zh-CN"/>
        </w:rPr>
        <w:t>1559</w:t>
      </w:r>
      <w:r w:rsidR="00587EB4">
        <w:rPr>
          <w:lang w:val="ru-RU" w:eastAsia="zh-CN"/>
        </w:rPr>
        <w:t> </w:t>
      </w:r>
      <w:r w:rsidR="00587EB4" w:rsidRPr="00587EB4">
        <w:rPr>
          <w:lang w:val="ru-RU" w:eastAsia="zh-CN"/>
        </w:rPr>
        <w:t>МГц распределена во всех трех Районах подвижной спутниковой службе (ПСС) на первичной основе;</w:t>
      </w:r>
    </w:p>
    <w:p w14:paraId="24DB0CCC" w14:textId="1A2768CA" w:rsidR="005720AD" w:rsidRPr="00587EB4" w:rsidRDefault="005720AD" w:rsidP="005720AD">
      <w:pPr>
        <w:rPr>
          <w:lang w:val="ru-RU" w:eastAsia="zh-CN"/>
        </w:rPr>
      </w:pPr>
      <w:r w:rsidRPr="00587EB4">
        <w:rPr>
          <w:i/>
          <w:iCs/>
          <w:lang w:eastAsia="zh-CN"/>
        </w:rPr>
        <w:t>d</w:t>
      </w:r>
      <w:r w:rsidRPr="00587EB4">
        <w:rPr>
          <w:i/>
          <w:iCs/>
          <w:lang w:val="ru-RU" w:eastAsia="zh-CN"/>
        </w:rPr>
        <w:t>)</w:t>
      </w:r>
      <w:r w:rsidRPr="00587EB4">
        <w:rPr>
          <w:i/>
          <w:iCs/>
          <w:lang w:val="ru-RU" w:eastAsia="zh-CN"/>
        </w:rPr>
        <w:tab/>
      </w:r>
      <w:r w:rsidR="00587EB4" w:rsidRPr="00587EB4">
        <w:rPr>
          <w:lang w:val="ru-RU" w:eastAsia="zh-CN"/>
        </w:rPr>
        <w:t>что полоса частот 1518</w:t>
      </w:r>
      <w:r w:rsidR="00587EB4">
        <w:rPr>
          <w:lang w:val="ru-RU" w:eastAsia="zh-CN"/>
        </w:rPr>
        <w:t>–</w:t>
      </w:r>
      <w:r w:rsidR="00587EB4" w:rsidRPr="00587EB4">
        <w:rPr>
          <w:lang w:val="ru-RU" w:eastAsia="zh-CN"/>
        </w:rPr>
        <w:t>1559</w:t>
      </w:r>
      <w:r w:rsidR="00587EB4">
        <w:rPr>
          <w:lang w:val="ru-RU" w:eastAsia="zh-CN"/>
        </w:rPr>
        <w:t> </w:t>
      </w:r>
      <w:r w:rsidR="00587EB4" w:rsidRPr="00587EB4">
        <w:rPr>
          <w:lang w:val="ru-RU" w:eastAsia="zh-CN"/>
        </w:rPr>
        <w:t xml:space="preserve">МГц может использоваться для </w:t>
      </w:r>
      <w:r w:rsidR="00587EB4">
        <w:rPr>
          <w:lang w:val="ru-RU" w:eastAsia="zh-CN"/>
        </w:rPr>
        <w:t>сухопутных, морских и воздушных применений ПСС</w:t>
      </w:r>
      <w:r w:rsidR="00587EB4" w:rsidRPr="00587EB4">
        <w:rPr>
          <w:lang w:val="ru-RU" w:eastAsia="zh-CN"/>
        </w:rPr>
        <w:t>;</w:t>
      </w:r>
    </w:p>
    <w:p w14:paraId="0286A20A" w14:textId="732AB5B5" w:rsidR="005720AD" w:rsidRPr="00587EB4" w:rsidRDefault="005720AD" w:rsidP="005720AD">
      <w:pPr>
        <w:rPr>
          <w:lang w:val="ru-RU" w:eastAsia="zh-CN"/>
        </w:rPr>
      </w:pPr>
      <w:r w:rsidRPr="00587EB4">
        <w:rPr>
          <w:i/>
          <w:iCs/>
          <w:lang w:eastAsia="zh-CN"/>
        </w:rPr>
        <w:t>e</w:t>
      </w:r>
      <w:r w:rsidRPr="00587EB4">
        <w:rPr>
          <w:i/>
          <w:iCs/>
          <w:lang w:val="ru-RU" w:eastAsia="zh-CN"/>
        </w:rPr>
        <w:t>)</w:t>
      </w:r>
      <w:r w:rsidRPr="00587EB4">
        <w:rPr>
          <w:lang w:val="ru-RU" w:eastAsia="zh-CN"/>
        </w:rPr>
        <w:tab/>
      </w:r>
      <w:r w:rsidR="00587EB4" w:rsidRPr="00587EB4">
        <w:rPr>
          <w:lang w:val="ru-RU" w:eastAsia="zh-CN"/>
        </w:rPr>
        <w:t>что существует необходимость обеспечить непрерывную работу ПСС в полосе частот 1518</w:t>
      </w:r>
      <w:r w:rsidR="00EF5230">
        <w:rPr>
          <w:lang w:val="ru-RU" w:eastAsia="zh-CN"/>
        </w:rPr>
        <w:t>−</w:t>
      </w:r>
      <w:r w:rsidR="00587EB4" w:rsidRPr="00587EB4">
        <w:rPr>
          <w:lang w:val="ru-RU" w:eastAsia="zh-CN"/>
        </w:rPr>
        <w:t>1525</w:t>
      </w:r>
      <w:r w:rsidR="00587EB4">
        <w:rPr>
          <w:lang w:val="ru-RU" w:eastAsia="zh-CN"/>
        </w:rPr>
        <w:t> </w:t>
      </w:r>
      <w:r w:rsidR="00587EB4" w:rsidRPr="00587EB4">
        <w:rPr>
          <w:lang w:val="ru-RU" w:eastAsia="zh-CN"/>
        </w:rPr>
        <w:t>МГц в соответствии с Резолюцией</w:t>
      </w:r>
      <w:r w:rsidR="00587EB4">
        <w:rPr>
          <w:lang w:val="ru-RU" w:eastAsia="zh-CN"/>
        </w:rPr>
        <w:t> </w:t>
      </w:r>
      <w:r w:rsidR="00587EB4" w:rsidRPr="00587EB4">
        <w:rPr>
          <w:b/>
          <w:lang w:val="ru-RU" w:eastAsia="zh-CN"/>
        </w:rPr>
        <w:t>223 (</w:t>
      </w:r>
      <w:proofErr w:type="spellStart"/>
      <w:r w:rsidR="00587EB4" w:rsidRPr="00587EB4">
        <w:rPr>
          <w:b/>
          <w:lang w:val="ru-RU" w:eastAsia="zh-CN"/>
        </w:rPr>
        <w:t>Пересм</w:t>
      </w:r>
      <w:proofErr w:type="spellEnd"/>
      <w:r w:rsidR="00587EB4" w:rsidRPr="00587EB4">
        <w:rPr>
          <w:b/>
          <w:lang w:val="ru-RU" w:eastAsia="zh-CN"/>
        </w:rPr>
        <w:t>. ВКР-19)</w:t>
      </w:r>
      <w:r w:rsidR="00587EB4" w:rsidRPr="00587EB4">
        <w:rPr>
          <w:lang w:val="ru-RU" w:eastAsia="zh-CN"/>
        </w:rPr>
        <w:t>;</w:t>
      </w:r>
    </w:p>
    <w:p w14:paraId="02030864" w14:textId="4087163A" w:rsidR="005720AD" w:rsidRPr="00587EB4" w:rsidRDefault="005720AD" w:rsidP="005720AD">
      <w:pPr>
        <w:rPr>
          <w:lang w:val="ru-RU" w:eastAsia="zh-CN"/>
        </w:rPr>
      </w:pPr>
      <w:r w:rsidRPr="00587EB4">
        <w:rPr>
          <w:i/>
          <w:iCs/>
          <w:lang w:eastAsia="zh-CN"/>
        </w:rPr>
        <w:t>f</w:t>
      </w:r>
      <w:r w:rsidRPr="00587EB4">
        <w:rPr>
          <w:i/>
          <w:iCs/>
          <w:lang w:val="ru-RU" w:eastAsia="zh-CN"/>
        </w:rPr>
        <w:t>)</w:t>
      </w:r>
      <w:r w:rsidRPr="00587EB4">
        <w:rPr>
          <w:lang w:val="ru-RU" w:eastAsia="zh-CN"/>
        </w:rPr>
        <w:tab/>
      </w:r>
      <w:r w:rsidR="00587EB4" w:rsidRPr="00587EB4">
        <w:rPr>
          <w:lang w:val="ru-RU" w:eastAsia="zh-CN"/>
        </w:rPr>
        <w:t xml:space="preserve">что может возникнуть необходимость </w:t>
      </w:r>
      <w:r w:rsidR="00587EB4">
        <w:rPr>
          <w:lang w:val="ru-RU" w:eastAsia="zh-CN"/>
        </w:rPr>
        <w:t>в обеспечении</w:t>
      </w:r>
      <w:r w:rsidR="00587EB4" w:rsidRPr="00587EB4">
        <w:rPr>
          <w:lang w:val="ru-RU" w:eastAsia="zh-CN"/>
        </w:rPr>
        <w:t xml:space="preserve"> </w:t>
      </w:r>
      <w:r w:rsidR="001E7AF5" w:rsidRPr="00587EB4">
        <w:rPr>
          <w:lang w:val="ru-RU" w:eastAsia="zh-CN"/>
        </w:rPr>
        <w:t>совместимост</w:t>
      </w:r>
      <w:r w:rsidR="001E7AF5">
        <w:rPr>
          <w:lang w:val="ru-RU" w:eastAsia="zh-CN"/>
        </w:rPr>
        <w:t>и</w:t>
      </w:r>
      <w:r w:rsidR="00587EB4" w:rsidRPr="00587EB4">
        <w:rPr>
          <w:lang w:val="ru-RU" w:eastAsia="zh-CN"/>
        </w:rPr>
        <w:t xml:space="preserve"> между наземными системами IMT и ПЗС в портах и аэропортах, а также </w:t>
      </w:r>
      <w:r w:rsidR="00587EB4">
        <w:rPr>
          <w:lang w:val="ru-RU" w:eastAsia="zh-CN"/>
        </w:rPr>
        <w:t>сухопутными</w:t>
      </w:r>
      <w:r w:rsidR="00587EB4" w:rsidRPr="00587EB4">
        <w:rPr>
          <w:lang w:val="ru-RU" w:eastAsia="zh-CN"/>
        </w:rPr>
        <w:t xml:space="preserve"> ПЗС. Это особенно актуально для</w:t>
      </w:r>
      <w:r w:rsidR="00587EB4">
        <w:rPr>
          <w:lang w:val="ru-RU" w:eastAsia="zh-CN"/>
        </w:rPr>
        <w:t> </w:t>
      </w:r>
      <w:r w:rsidR="00587EB4" w:rsidRPr="00587EB4">
        <w:rPr>
          <w:lang w:val="ru-RU" w:eastAsia="zh-CN"/>
        </w:rPr>
        <w:t xml:space="preserve">некоторых устаревших ПЗС, </w:t>
      </w:r>
      <w:r w:rsidR="00587EB4">
        <w:rPr>
          <w:lang w:val="ru-RU" w:eastAsia="zh-CN"/>
        </w:rPr>
        <w:t>не имеющих</w:t>
      </w:r>
      <w:r w:rsidR="00587EB4" w:rsidRPr="00587EB4">
        <w:rPr>
          <w:lang w:val="ru-RU" w:eastAsia="zh-CN"/>
        </w:rPr>
        <w:t xml:space="preserve"> адекватной защиты от блокирования;</w:t>
      </w:r>
    </w:p>
    <w:p w14:paraId="4965A4FE" w14:textId="641D710C" w:rsidR="005720AD" w:rsidRPr="00587EB4" w:rsidRDefault="005720AD" w:rsidP="005720AD">
      <w:pPr>
        <w:rPr>
          <w:lang w:val="ru-RU" w:eastAsia="zh-CN"/>
        </w:rPr>
      </w:pPr>
      <w:r w:rsidRPr="00587EB4">
        <w:rPr>
          <w:i/>
        </w:rPr>
        <w:t>g</w:t>
      </w:r>
      <w:r w:rsidRPr="00587EB4">
        <w:rPr>
          <w:i/>
          <w:lang w:val="ru-RU"/>
        </w:rPr>
        <w:t>)</w:t>
      </w:r>
      <w:r w:rsidRPr="00587EB4">
        <w:rPr>
          <w:i/>
          <w:lang w:val="ru-RU"/>
        </w:rPr>
        <w:tab/>
      </w:r>
      <w:r w:rsidR="00587EB4" w:rsidRPr="00587EB4">
        <w:rPr>
          <w:lang w:val="ru-RU" w:eastAsia="zh-CN"/>
        </w:rPr>
        <w:t>что разрабатываются новые подвижные земные станции (ПЗС), обеспечивающие лучшую защиту от блокирующих помех из соседней полосы,</w:t>
      </w:r>
    </w:p>
    <w:p w14:paraId="5B778BBE" w14:textId="45D25072" w:rsidR="005720AD" w:rsidRPr="00587EB4" w:rsidRDefault="00587EB4" w:rsidP="005720AD">
      <w:pPr>
        <w:pStyle w:val="Call"/>
        <w:rPr>
          <w:lang w:val="ru-RU"/>
        </w:rPr>
      </w:pPr>
      <w:r w:rsidRPr="00587EB4">
        <w:rPr>
          <w:lang w:val="ru-RU"/>
        </w:rPr>
        <w:t>признавая</w:t>
      </w:r>
      <w:r w:rsidRPr="00C57FBF">
        <w:rPr>
          <w:i w:val="0"/>
          <w:iCs/>
          <w:lang w:val="ru-RU"/>
        </w:rPr>
        <w:t>,</w:t>
      </w:r>
    </w:p>
    <w:p w14:paraId="1438EAAB" w14:textId="043451AE" w:rsidR="005720AD" w:rsidRPr="00F712C3" w:rsidRDefault="005720AD" w:rsidP="005720AD">
      <w:pPr>
        <w:rPr>
          <w:szCs w:val="24"/>
          <w:lang w:val="ru-RU"/>
        </w:rPr>
      </w:pPr>
      <w:r w:rsidRPr="00F712C3">
        <w:rPr>
          <w:i/>
          <w:iCs/>
          <w:szCs w:val="24"/>
        </w:rPr>
        <w:t>a</w:t>
      </w:r>
      <w:r w:rsidRPr="00F712C3">
        <w:rPr>
          <w:i/>
          <w:iCs/>
          <w:szCs w:val="24"/>
          <w:lang w:val="ru-RU"/>
        </w:rPr>
        <w:t>)</w:t>
      </w:r>
      <w:r w:rsidRPr="00F712C3">
        <w:rPr>
          <w:szCs w:val="24"/>
          <w:lang w:val="ru-RU"/>
        </w:rPr>
        <w:tab/>
      </w:r>
      <w:r w:rsidR="00F712C3" w:rsidRPr="00F712C3">
        <w:rPr>
          <w:spacing w:val="-2"/>
          <w:lang w:val="ru-RU" w:eastAsia="zh-CN"/>
        </w:rPr>
        <w:t xml:space="preserve">что </w:t>
      </w:r>
      <w:r w:rsidR="00F712C3">
        <w:rPr>
          <w:spacing w:val="-2"/>
          <w:lang w:val="ru-RU" w:eastAsia="zh-CN"/>
        </w:rPr>
        <w:t xml:space="preserve">в </w:t>
      </w:r>
      <w:r w:rsidR="00F712C3" w:rsidRPr="00F712C3">
        <w:rPr>
          <w:spacing w:val="-2"/>
          <w:lang w:val="ru-RU" w:eastAsia="zh-CN"/>
        </w:rPr>
        <w:t>Резолюци</w:t>
      </w:r>
      <w:r w:rsidR="00CB1E30">
        <w:rPr>
          <w:spacing w:val="-2"/>
          <w:lang w:val="ru-RU" w:eastAsia="zh-CN"/>
        </w:rPr>
        <w:t>и</w:t>
      </w:r>
      <w:r w:rsidR="00F712C3">
        <w:rPr>
          <w:spacing w:val="-2"/>
          <w:lang w:val="ru-RU" w:eastAsia="zh-CN"/>
        </w:rPr>
        <w:t> </w:t>
      </w:r>
      <w:r w:rsidR="00F712C3" w:rsidRPr="00F712C3">
        <w:rPr>
          <w:b/>
          <w:spacing w:val="-2"/>
          <w:lang w:val="ru-RU" w:eastAsia="zh-CN"/>
        </w:rPr>
        <w:t>223</w:t>
      </w:r>
      <w:r w:rsidR="00F712C3" w:rsidRPr="00F712C3">
        <w:rPr>
          <w:spacing w:val="-2"/>
          <w:lang w:val="ru-RU" w:eastAsia="zh-CN"/>
        </w:rPr>
        <w:t xml:space="preserve"> </w:t>
      </w:r>
      <w:r w:rsidR="00F712C3" w:rsidRPr="00F712C3">
        <w:rPr>
          <w:b/>
          <w:spacing w:val="-2"/>
          <w:lang w:val="ru-RU" w:eastAsia="zh-CN"/>
        </w:rPr>
        <w:t>(</w:t>
      </w:r>
      <w:proofErr w:type="spellStart"/>
      <w:r w:rsidR="00F712C3" w:rsidRPr="00F712C3">
        <w:rPr>
          <w:b/>
          <w:spacing w:val="-2"/>
          <w:lang w:val="ru-RU" w:eastAsia="zh-CN"/>
        </w:rPr>
        <w:t>Пересм</w:t>
      </w:r>
      <w:proofErr w:type="spellEnd"/>
      <w:r w:rsidR="00F712C3" w:rsidRPr="00F712C3">
        <w:rPr>
          <w:b/>
          <w:spacing w:val="-2"/>
          <w:lang w:val="ru-RU" w:eastAsia="zh-CN"/>
        </w:rPr>
        <w:t>. ВКР-19)</w:t>
      </w:r>
      <w:r w:rsidR="00F712C3" w:rsidRPr="00F712C3">
        <w:rPr>
          <w:spacing w:val="-2"/>
          <w:lang w:val="ru-RU" w:eastAsia="zh-CN"/>
        </w:rPr>
        <w:t xml:space="preserve"> МСЭ-R </w:t>
      </w:r>
      <w:r w:rsidR="00F712C3">
        <w:rPr>
          <w:spacing w:val="-2"/>
          <w:lang w:val="ru-RU" w:eastAsia="zh-CN"/>
        </w:rPr>
        <w:t xml:space="preserve">предлагается </w:t>
      </w:r>
      <w:r w:rsidR="00F712C3" w:rsidRPr="00F712C3">
        <w:rPr>
          <w:spacing w:val="-2"/>
          <w:lang w:val="ru-RU" w:eastAsia="zh-CN"/>
        </w:rPr>
        <w:t xml:space="preserve">провести исследования совместимости </w:t>
      </w:r>
      <w:r w:rsidR="00F712C3">
        <w:rPr>
          <w:spacing w:val="-2"/>
          <w:lang w:val="ru-RU" w:eastAsia="zh-CN"/>
        </w:rPr>
        <w:t>для того</w:t>
      </w:r>
      <w:r w:rsidR="00CB1E30">
        <w:rPr>
          <w:spacing w:val="-2"/>
          <w:lang w:val="ru-RU" w:eastAsia="zh-CN"/>
        </w:rPr>
        <w:t>,</w:t>
      </w:r>
      <w:r w:rsidR="00F712C3">
        <w:rPr>
          <w:spacing w:val="-2"/>
          <w:lang w:val="ru-RU" w:eastAsia="zh-CN"/>
        </w:rPr>
        <w:t xml:space="preserve"> чтобы принять</w:t>
      </w:r>
      <w:r w:rsidR="00F712C3" w:rsidRPr="00F712C3">
        <w:rPr>
          <w:spacing w:val="-2"/>
          <w:lang w:val="ru-RU" w:eastAsia="zh-CN"/>
        </w:rPr>
        <w:t xml:space="preserve"> технически</w:t>
      </w:r>
      <w:r w:rsidR="00F712C3">
        <w:rPr>
          <w:spacing w:val="-2"/>
          <w:lang w:val="ru-RU" w:eastAsia="zh-CN"/>
        </w:rPr>
        <w:t>е</w:t>
      </w:r>
      <w:r w:rsidR="00F712C3" w:rsidRPr="00F712C3">
        <w:rPr>
          <w:spacing w:val="-2"/>
          <w:lang w:val="ru-RU" w:eastAsia="zh-CN"/>
        </w:rPr>
        <w:t xml:space="preserve"> мер</w:t>
      </w:r>
      <w:r w:rsidR="00F712C3">
        <w:rPr>
          <w:spacing w:val="-2"/>
          <w:lang w:val="ru-RU" w:eastAsia="zh-CN"/>
        </w:rPr>
        <w:t>ы</w:t>
      </w:r>
      <w:r w:rsidR="00F712C3" w:rsidRPr="00F712C3">
        <w:rPr>
          <w:spacing w:val="-2"/>
          <w:lang w:val="ru-RU" w:eastAsia="zh-CN"/>
        </w:rPr>
        <w:t xml:space="preserve"> по обеспечению сосуществования ПСС в полосе частот 1518</w:t>
      </w:r>
      <w:r w:rsidR="00F712C3">
        <w:rPr>
          <w:spacing w:val="-2"/>
          <w:lang w:val="ru-RU" w:eastAsia="zh-CN"/>
        </w:rPr>
        <w:t>–</w:t>
      </w:r>
      <w:r w:rsidR="00F712C3" w:rsidRPr="00F712C3">
        <w:rPr>
          <w:spacing w:val="-2"/>
          <w:lang w:val="ru-RU" w:eastAsia="zh-CN"/>
        </w:rPr>
        <w:t>1525</w:t>
      </w:r>
      <w:r w:rsidR="00F712C3">
        <w:rPr>
          <w:spacing w:val="-2"/>
          <w:lang w:val="ru-RU" w:eastAsia="zh-CN"/>
        </w:rPr>
        <w:t> </w:t>
      </w:r>
      <w:r w:rsidR="00F712C3" w:rsidRPr="00F712C3">
        <w:rPr>
          <w:spacing w:val="-2"/>
          <w:lang w:val="ru-RU" w:eastAsia="zh-CN"/>
        </w:rPr>
        <w:t>МГц и IMT в полосе частот 1492</w:t>
      </w:r>
      <w:r w:rsidR="00F712C3">
        <w:rPr>
          <w:spacing w:val="-2"/>
          <w:lang w:val="ru-RU" w:eastAsia="zh-CN"/>
        </w:rPr>
        <w:t>–</w:t>
      </w:r>
      <w:r w:rsidR="00F712C3" w:rsidRPr="00F712C3">
        <w:rPr>
          <w:spacing w:val="-2"/>
          <w:lang w:val="ru-RU" w:eastAsia="zh-CN"/>
        </w:rPr>
        <w:t>1518</w:t>
      </w:r>
      <w:r w:rsidR="00F712C3">
        <w:rPr>
          <w:spacing w:val="-2"/>
          <w:lang w:val="ru-RU" w:eastAsia="zh-CN"/>
        </w:rPr>
        <w:t> </w:t>
      </w:r>
      <w:r w:rsidR="00F712C3" w:rsidRPr="00F712C3">
        <w:rPr>
          <w:spacing w:val="-2"/>
          <w:lang w:val="ru-RU" w:eastAsia="zh-CN"/>
        </w:rPr>
        <w:t xml:space="preserve">МГц, </w:t>
      </w:r>
      <w:r w:rsidR="00F712C3">
        <w:rPr>
          <w:spacing w:val="-2"/>
          <w:lang w:val="ru-RU" w:eastAsia="zh-CN"/>
        </w:rPr>
        <w:t xml:space="preserve">в том числе предоставить руководящие указания по реализации планов размещения частот </w:t>
      </w:r>
      <w:r w:rsidR="00CB1E30">
        <w:rPr>
          <w:spacing w:val="-2"/>
          <w:lang w:val="ru-RU" w:eastAsia="zh-CN"/>
        </w:rPr>
        <w:t xml:space="preserve">для развертывания </w:t>
      </w:r>
      <w:r w:rsidR="00F712C3" w:rsidRPr="00F712C3">
        <w:rPr>
          <w:spacing w:val="-2"/>
          <w:lang w:val="ru-RU" w:eastAsia="zh-CN"/>
        </w:rPr>
        <w:t>IMT в полосе частот 1427</w:t>
      </w:r>
      <w:r w:rsidR="00394056">
        <w:rPr>
          <w:spacing w:val="-2"/>
          <w:lang w:val="ru-RU" w:eastAsia="zh-CN"/>
        </w:rPr>
        <w:t>–</w:t>
      </w:r>
      <w:r w:rsidR="00F712C3" w:rsidRPr="00F712C3">
        <w:rPr>
          <w:spacing w:val="-2"/>
          <w:lang w:val="ru-RU" w:eastAsia="zh-CN"/>
        </w:rPr>
        <w:t>1518 МГц, с учетом результатов этих исследований;</w:t>
      </w:r>
    </w:p>
    <w:p w14:paraId="668F5226" w14:textId="7E6B5336" w:rsidR="005720AD" w:rsidRPr="00394056" w:rsidRDefault="005720AD" w:rsidP="005720AD">
      <w:pPr>
        <w:rPr>
          <w:lang w:val="ru-RU" w:eastAsia="zh-CN"/>
        </w:rPr>
      </w:pPr>
      <w:r w:rsidRPr="00394056">
        <w:rPr>
          <w:i/>
          <w:lang w:eastAsia="zh-CN"/>
        </w:rPr>
        <w:t>b</w:t>
      </w:r>
      <w:r w:rsidRPr="00394056">
        <w:rPr>
          <w:i/>
          <w:lang w:val="ru-RU" w:eastAsia="zh-CN"/>
        </w:rPr>
        <w:t>)</w:t>
      </w:r>
      <w:r w:rsidRPr="00394056">
        <w:rPr>
          <w:i/>
          <w:lang w:val="ru-RU" w:eastAsia="zh-CN"/>
        </w:rPr>
        <w:tab/>
      </w:r>
      <w:r w:rsidR="00394056" w:rsidRPr="00394056">
        <w:rPr>
          <w:spacing w:val="-2"/>
          <w:lang w:val="ru-RU" w:eastAsia="zh-CN"/>
        </w:rPr>
        <w:t xml:space="preserve">что в Отчете </w:t>
      </w:r>
      <w:hyperlink r:id="rId19" w:history="1">
        <w:r w:rsidR="00394056" w:rsidRPr="00394056">
          <w:rPr>
            <w:spacing w:val="-2"/>
            <w:lang w:val="ru-RU" w:eastAsia="zh-CN"/>
          </w:rPr>
          <w:t>МСЭ-R M.2529</w:t>
        </w:r>
      </w:hyperlink>
      <w:r w:rsidR="00394056" w:rsidRPr="00394056">
        <w:rPr>
          <w:spacing w:val="-2"/>
          <w:lang w:val="ru-RU" w:eastAsia="zh-CN"/>
        </w:rPr>
        <w:t xml:space="preserve"> предложены технические меры по обеспечению сосуществования ПСС в полосе частот 1518</w:t>
      </w:r>
      <w:r w:rsidR="00394056">
        <w:rPr>
          <w:spacing w:val="-2"/>
          <w:lang w:val="ru-RU" w:eastAsia="zh-CN"/>
        </w:rPr>
        <w:t>–</w:t>
      </w:r>
      <w:r w:rsidR="00394056" w:rsidRPr="00394056">
        <w:rPr>
          <w:spacing w:val="-2"/>
          <w:lang w:val="ru-RU" w:eastAsia="zh-CN"/>
        </w:rPr>
        <w:t>1525</w:t>
      </w:r>
      <w:r w:rsidR="00394056">
        <w:rPr>
          <w:spacing w:val="-2"/>
          <w:lang w:val="ru-RU" w:eastAsia="zh-CN"/>
        </w:rPr>
        <w:t> </w:t>
      </w:r>
      <w:r w:rsidR="00394056" w:rsidRPr="00394056">
        <w:rPr>
          <w:spacing w:val="-2"/>
          <w:lang w:val="ru-RU" w:eastAsia="zh-CN"/>
        </w:rPr>
        <w:t>МГц и IMT в полосе частот 1492</w:t>
      </w:r>
      <w:r w:rsidR="00394056">
        <w:rPr>
          <w:spacing w:val="-2"/>
          <w:lang w:val="ru-RU" w:eastAsia="zh-CN"/>
        </w:rPr>
        <w:t>–</w:t>
      </w:r>
      <w:r w:rsidR="00394056" w:rsidRPr="00394056">
        <w:rPr>
          <w:spacing w:val="-2"/>
          <w:lang w:val="ru-RU" w:eastAsia="zh-CN"/>
        </w:rPr>
        <w:t>1518</w:t>
      </w:r>
      <w:r w:rsidR="00394056">
        <w:rPr>
          <w:spacing w:val="-2"/>
          <w:lang w:val="ru-RU" w:eastAsia="zh-CN"/>
        </w:rPr>
        <w:t> </w:t>
      </w:r>
      <w:proofErr w:type="gramStart"/>
      <w:r w:rsidR="00394056" w:rsidRPr="00394056">
        <w:rPr>
          <w:spacing w:val="-2"/>
          <w:lang w:val="ru-RU" w:eastAsia="zh-CN"/>
        </w:rPr>
        <w:t>МГц;</w:t>
      </w:r>
      <w:proofErr w:type="gramEnd"/>
    </w:p>
    <w:p w14:paraId="234F6634" w14:textId="089E173E" w:rsidR="005720AD" w:rsidRPr="0037624F" w:rsidRDefault="005720AD" w:rsidP="005720AD">
      <w:pPr>
        <w:rPr>
          <w:lang w:val="ru-RU" w:eastAsia="zh-CN"/>
        </w:rPr>
      </w:pPr>
      <w:r w:rsidRPr="0037624F">
        <w:rPr>
          <w:i/>
          <w:lang w:eastAsia="zh-CN"/>
        </w:rPr>
        <w:t>c</w:t>
      </w:r>
      <w:r w:rsidRPr="0037624F">
        <w:rPr>
          <w:i/>
          <w:lang w:val="ru-RU" w:eastAsia="zh-CN"/>
        </w:rPr>
        <w:t>)</w:t>
      </w:r>
      <w:r w:rsidRPr="0037624F">
        <w:rPr>
          <w:i/>
          <w:lang w:val="ru-RU" w:eastAsia="zh-CN"/>
        </w:rPr>
        <w:tab/>
      </w:r>
      <w:r w:rsidR="0037624F" w:rsidRPr="0037624F">
        <w:rPr>
          <w:spacing w:val="-2"/>
          <w:lang w:val="ru-RU" w:eastAsia="zh-CN"/>
        </w:rPr>
        <w:t xml:space="preserve">что в Рекомендации </w:t>
      </w:r>
      <w:hyperlink r:id="rId20" w:history="1">
        <w:r w:rsidR="0037624F" w:rsidRPr="0037624F">
          <w:rPr>
            <w:spacing w:val="-2"/>
            <w:lang w:val="ru-RU" w:eastAsia="zh-CN"/>
          </w:rPr>
          <w:t>МСЭ-R M.1036</w:t>
        </w:r>
      </w:hyperlink>
      <w:r w:rsidR="0037624F" w:rsidRPr="0037624F">
        <w:rPr>
          <w:spacing w:val="-2"/>
          <w:lang w:val="ru-RU" w:eastAsia="zh-CN"/>
        </w:rPr>
        <w:t xml:space="preserve">-6 содержится руководство по планированию размещения частот для </w:t>
      </w:r>
      <w:r w:rsidR="0037624F">
        <w:rPr>
          <w:spacing w:val="-2"/>
          <w:lang w:val="ru-RU" w:eastAsia="zh-CN"/>
        </w:rPr>
        <w:t>внедрения</w:t>
      </w:r>
      <w:r w:rsidR="0037624F" w:rsidRPr="0037624F">
        <w:rPr>
          <w:spacing w:val="-2"/>
          <w:lang w:val="ru-RU" w:eastAsia="zh-CN"/>
        </w:rPr>
        <w:t xml:space="preserve"> наземно</w:t>
      </w:r>
      <w:r w:rsidR="0037624F">
        <w:rPr>
          <w:spacing w:val="-2"/>
          <w:lang w:val="ru-RU" w:eastAsia="zh-CN"/>
        </w:rPr>
        <w:t>го сегмента</w:t>
      </w:r>
      <w:r w:rsidR="0037624F" w:rsidRPr="0037624F">
        <w:rPr>
          <w:spacing w:val="-2"/>
          <w:lang w:val="ru-RU" w:eastAsia="zh-CN"/>
        </w:rPr>
        <w:t xml:space="preserve"> IMT,</w:t>
      </w:r>
    </w:p>
    <w:p w14:paraId="3810B008" w14:textId="24675D80" w:rsidR="005720AD" w:rsidRPr="00C45E8D" w:rsidRDefault="00C45E8D" w:rsidP="005720AD">
      <w:pPr>
        <w:pStyle w:val="Call"/>
        <w:rPr>
          <w:lang w:val="ru-RU" w:eastAsia="zh-CN"/>
        </w:rPr>
      </w:pPr>
      <w:r w:rsidRPr="00C45E8D">
        <w:rPr>
          <w:lang w:val="ru-RU" w:eastAsia="zh-CN"/>
        </w:rPr>
        <w:t>отмечая</w:t>
      </w:r>
      <w:r w:rsidRPr="00394474">
        <w:rPr>
          <w:i w:val="0"/>
          <w:iCs/>
          <w:lang w:val="ru-RU" w:eastAsia="zh-CN"/>
        </w:rPr>
        <w:t>,</w:t>
      </w:r>
    </w:p>
    <w:p w14:paraId="733E0642" w14:textId="662E393B" w:rsidR="005720AD" w:rsidRPr="00C45E8D" w:rsidRDefault="00C45E8D" w:rsidP="005720AD">
      <w:pPr>
        <w:rPr>
          <w:iCs/>
          <w:lang w:val="ru-RU" w:eastAsia="zh-CN"/>
        </w:rPr>
      </w:pPr>
      <w:r w:rsidRPr="00C45E8D">
        <w:rPr>
          <w:lang w:val="ru-RU" w:eastAsia="zh-CN"/>
        </w:rPr>
        <w:t>что хотя рекомендации по оборудованию IMT и ПЗС способны обеспечить определенный уровень совместимости, в некоторых районах страны могут применяться дополнительные меры для улучшения совместимости,</w:t>
      </w:r>
    </w:p>
    <w:p w14:paraId="2D830CA3" w14:textId="2B064D2E" w:rsidR="005720AD" w:rsidRPr="00C362F3" w:rsidRDefault="00C362F3" w:rsidP="005720AD">
      <w:pPr>
        <w:pStyle w:val="Call"/>
        <w:rPr>
          <w:lang w:val="ru-RU"/>
        </w:rPr>
      </w:pPr>
      <w:r w:rsidRPr="00C362F3">
        <w:rPr>
          <w:lang w:val="ru-RU"/>
        </w:rPr>
        <w:t>рекомендует</w:t>
      </w:r>
    </w:p>
    <w:p w14:paraId="17888A08" w14:textId="1C8EC29A" w:rsidR="005720AD" w:rsidRPr="00C362F3" w:rsidRDefault="005720AD" w:rsidP="005720AD">
      <w:pPr>
        <w:rPr>
          <w:iCs/>
          <w:lang w:val="ru-RU" w:eastAsia="zh-CN"/>
        </w:rPr>
      </w:pPr>
      <w:r w:rsidRPr="00C362F3">
        <w:rPr>
          <w:iCs/>
          <w:lang w:val="ru-RU" w:eastAsia="zh-CN"/>
        </w:rPr>
        <w:t>1</w:t>
      </w:r>
      <w:r w:rsidRPr="00C362F3">
        <w:rPr>
          <w:iCs/>
          <w:lang w:val="ru-RU" w:eastAsia="zh-CN"/>
        </w:rPr>
        <w:tab/>
      </w:r>
      <w:r w:rsidR="00C362F3" w:rsidRPr="00C362F3">
        <w:rPr>
          <w:iCs/>
          <w:lang w:val="ru-RU" w:eastAsia="zh-CN"/>
        </w:rPr>
        <w:t>администрациям учитывать уровни излучений оборудования IMT, работающего в полосе частот 1492</w:t>
      </w:r>
      <w:r w:rsidR="00C362F3">
        <w:rPr>
          <w:iCs/>
          <w:lang w:val="ru-RU" w:eastAsia="zh-CN"/>
        </w:rPr>
        <w:t>–</w:t>
      </w:r>
      <w:r w:rsidR="00C362F3" w:rsidRPr="00C362F3">
        <w:rPr>
          <w:iCs/>
          <w:lang w:val="ru-RU" w:eastAsia="zh-CN"/>
        </w:rPr>
        <w:t>1518</w:t>
      </w:r>
      <w:r w:rsidR="00C362F3">
        <w:rPr>
          <w:iCs/>
          <w:lang w:val="ru-RU" w:eastAsia="zh-CN"/>
        </w:rPr>
        <w:t> </w:t>
      </w:r>
      <w:r w:rsidR="00C362F3" w:rsidRPr="00C362F3">
        <w:rPr>
          <w:iCs/>
          <w:lang w:val="ru-RU" w:eastAsia="zh-CN"/>
        </w:rPr>
        <w:t>МГц, как это предусмотрено в Приложении</w:t>
      </w:r>
      <w:r w:rsidR="00C362F3">
        <w:rPr>
          <w:iCs/>
          <w:lang w:val="ru-RU" w:eastAsia="zh-CN"/>
        </w:rPr>
        <w:t> </w:t>
      </w:r>
      <w:r w:rsidR="00C362F3" w:rsidRPr="00C362F3">
        <w:rPr>
          <w:iCs/>
          <w:lang w:val="ru-RU" w:eastAsia="zh-CN"/>
        </w:rPr>
        <w:t>1;</w:t>
      </w:r>
    </w:p>
    <w:p w14:paraId="6C240CF3" w14:textId="323CCE3C" w:rsidR="005720AD" w:rsidRPr="00D56CE8" w:rsidRDefault="005720AD" w:rsidP="005720AD">
      <w:pPr>
        <w:rPr>
          <w:lang w:val="ru-RU"/>
        </w:rPr>
      </w:pPr>
      <w:r w:rsidRPr="00D56CE8">
        <w:rPr>
          <w:lang w:val="ru-RU"/>
        </w:rPr>
        <w:t>2</w:t>
      </w:r>
      <w:r w:rsidRPr="00D56CE8">
        <w:rPr>
          <w:lang w:val="ru-RU"/>
        </w:rPr>
        <w:tab/>
      </w:r>
      <w:r w:rsidR="00D56CE8" w:rsidRPr="00D56CE8">
        <w:rPr>
          <w:lang w:val="ru-RU"/>
        </w:rPr>
        <w:t>администрациям учитывать уровни блокирования ПЗС, указанные в Приложении</w:t>
      </w:r>
      <w:r w:rsidR="00D56CE8">
        <w:rPr>
          <w:lang w:val="ru-RU"/>
        </w:rPr>
        <w:t> </w:t>
      </w:r>
      <w:r w:rsidR="00D56CE8" w:rsidRPr="00D56CE8">
        <w:rPr>
          <w:lang w:val="ru-RU"/>
        </w:rPr>
        <w:t>2;</w:t>
      </w:r>
    </w:p>
    <w:p w14:paraId="3E11C163" w14:textId="2E35326A" w:rsidR="005720AD" w:rsidRPr="00D56CE8" w:rsidRDefault="005720AD" w:rsidP="005720AD">
      <w:pPr>
        <w:rPr>
          <w:iCs/>
          <w:lang w:val="ru-RU" w:eastAsia="zh-CN"/>
        </w:rPr>
      </w:pPr>
      <w:r w:rsidRPr="00D56CE8">
        <w:rPr>
          <w:lang w:val="ru-RU"/>
        </w:rPr>
        <w:t>3</w:t>
      </w:r>
      <w:r w:rsidRPr="00D56CE8">
        <w:rPr>
          <w:lang w:val="ru-RU"/>
        </w:rPr>
        <w:tab/>
      </w:r>
      <w:r w:rsidR="00D56CE8" w:rsidRPr="00D56CE8">
        <w:rPr>
          <w:lang w:val="ru-RU"/>
        </w:rPr>
        <w:t xml:space="preserve">администрациям рассмотреть дальнейшие </w:t>
      </w:r>
      <w:proofErr w:type="spellStart"/>
      <w:r w:rsidR="00D56CE8">
        <w:rPr>
          <w:lang w:val="ru-RU"/>
        </w:rPr>
        <w:t>регламентарные</w:t>
      </w:r>
      <w:proofErr w:type="spellEnd"/>
      <w:r w:rsidR="00D56CE8">
        <w:rPr>
          <w:lang w:val="ru-RU"/>
        </w:rPr>
        <w:t xml:space="preserve"> </w:t>
      </w:r>
      <w:r w:rsidR="00D56CE8" w:rsidRPr="00D56CE8">
        <w:rPr>
          <w:lang w:val="ru-RU"/>
        </w:rPr>
        <w:t>меры, чтобы обеспечить совместимость БС IMT с судовыми земными станциями и земными станциями воздушных судов в</w:t>
      </w:r>
      <w:r w:rsidR="00D56CE8">
        <w:rPr>
          <w:lang w:val="ru-RU"/>
        </w:rPr>
        <w:t> </w:t>
      </w:r>
      <w:r w:rsidR="00D56CE8" w:rsidRPr="00D56CE8">
        <w:rPr>
          <w:lang w:val="ru-RU"/>
        </w:rPr>
        <w:t>выбранных зонах, как указано в Приложении 3;</w:t>
      </w:r>
    </w:p>
    <w:p w14:paraId="4A34B739" w14:textId="4D960BB9" w:rsidR="005720AD" w:rsidRPr="00D56CE8" w:rsidRDefault="005720AD" w:rsidP="005720AD">
      <w:pPr>
        <w:rPr>
          <w:lang w:val="ru-RU"/>
        </w:rPr>
      </w:pPr>
      <w:r w:rsidRPr="00D56CE8">
        <w:rPr>
          <w:lang w:val="ru-RU"/>
        </w:rPr>
        <w:lastRenderedPageBreak/>
        <w:t>4</w:t>
      </w:r>
      <w:r w:rsidRPr="00D56CE8">
        <w:rPr>
          <w:lang w:val="ru-RU"/>
        </w:rPr>
        <w:tab/>
      </w:r>
      <w:r w:rsidR="00D56CE8" w:rsidRPr="00D56CE8">
        <w:rPr>
          <w:lang w:val="ru-RU"/>
        </w:rPr>
        <w:t xml:space="preserve">администрациям рассмотреть дополнительные </w:t>
      </w:r>
      <w:proofErr w:type="spellStart"/>
      <w:r w:rsidR="00D56CE8">
        <w:rPr>
          <w:lang w:val="ru-RU"/>
        </w:rPr>
        <w:t>регламентарные</w:t>
      </w:r>
      <w:proofErr w:type="spellEnd"/>
      <w:r w:rsidR="00D56CE8">
        <w:rPr>
          <w:lang w:val="ru-RU"/>
        </w:rPr>
        <w:t xml:space="preserve"> </w:t>
      </w:r>
      <w:r w:rsidR="00D56CE8" w:rsidRPr="00D56CE8">
        <w:rPr>
          <w:lang w:val="ru-RU"/>
        </w:rPr>
        <w:t xml:space="preserve">меры </w:t>
      </w:r>
      <w:r w:rsidR="00D56CE8">
        <w:rPr>
          <w:lang w:val="ru-RU"/>
        </w:rPr>
        <w:t>в отношении</w:t>
      </w:r>
      <w:r w:rsidR="00D56CE8" w:rsidRPr="00D56CE8">
        <w:rPr>
          <w:lang w:val="ru-RU"/>
        </w:rPr>
        <w:t xml:space="preserve"> IMT в тех случаях, когда настоящая Рекомендация используется для обеспечения совместимости с </w:t>
      </w:r>
      <w:r w:rsidR="00D56CE8">
        <w:rPr>
          <w:lang w:val="ru-RU"/>
        </w:rPr>
        <w:t>сухопутными</w:t>
      </w:r>
      <w:r w:rsidR="00D56CE8" w:rsidRPr="00D56CE8">
        <w:rPr>
          <w:lang w:val="ru-RU"/>
        </w:rPr>
        <w:t xml:space="preserve"> ПЗС, как описано в Приложении</w:t>
      </w:r>
      <w:r w:rsidR="00D56CE8">
        <w:rPr>
          <w:lang w:val="ru-RU"/>
        </w:rPr>
        <w:t> </w:t>
      </w:r>
      <w:r w:rsidR="00D56CE8" w:rsidRPr="00D56CE8">
        <w:rPr>
          <w:lang w:val="ru-RU"/>
        </w:rPr>
        <w:t>4.</w:t>
      </w:r>
    </w:p>
    <w:p w14:paraId="6365F1C0" w14:textId="77777777" w:rsidR="005720AD" w:rsidRPr="00D56CE8" w:rsidRDefault="005720AD" w:rsidP="005720AD">
      <w:pPr>
        <w:rPr>
          <w:szCs w:val="22"/>
          <w:lang w:val="ru-RU" w:eastAsia="ja-JP"/>
        </w:rPr>
      </w:pPr>
    </w:p>
    <w:p w14:paraId="146CD0FB" w14:textId="77777777" w:rsidR="005A3993" w:rsidRPr="00D56CE8" w:rsidRDefault="005A3993" w:rsidP="005720AD">
      <w:pPr>
        <w:rPr>
          <w:szCs w:val="22"/>
          <w:lang w:val="ru-RU" w:eastAsia="ja-JP"/>
        </w:rPr>
      </w:pPr>
    </w:p>
    <w:p w14:paraId="4925F13A" w14:textId="57B16D6D" w:rsidR="005720AD" w:rsidRPr="00D56CE8" w:rsidRDefault="00D56CE8" w:rsidP="005720AD">
      <w:pPr>
        <w:pStyle w:val="AnnexNoTitle"/>
        <w:rPr>
          <w:szCs w:val="26"/>
          <w:lang w:val="ru-RU" w:eastAsia="zh-CN"/>
        </w:rPr>
      </w:pPr>
      <w:r w:rsidRPr="00D56CE8">
        <w:rPr>
          <w:szCs w:val="26"/>
          <w:lang w:val="ru-RU"/>
        </w:rPr>
        <w:t>Приложение 1</w:t>
      </w:r>
      <w:r w:rsidR="005720AD" w:rsidRPr="00D56CE8">
        <w:rPr>
          <w:szCs w:val="26"/>
          <w:lang w:val="ru-RU" w:eastAsia="zh-CN"/>
        </w:rPr>
        <w:br/>
      </w:r>
      <w:r w:rsidR="005720AD" w:rsidRPr="00D56CE8">
        <w:rPr>
          <w:szCs w:val="26"/>
          <w:lang w:val="ru-RU" w:eastAsia="zh-CN"/>
        </w:rPr>
        <w:br/>
      </w:r>
      <w:r w:rsidRPr="00D56CE8">
        <w:rPr>
          <w:szCs w:val="26"/>
          <w:lang w:val="ru-RU"/>
        </w:rPr>
        <w:t>Уровни излучений оборудования IMT, работающего в полосе частот</w:t>
      </w:r>
      <w:r>
        <w:rPr>
          <w:szCs w:val="26"/>
          <w:lang w:val="ru-RU"/>
        </w:rPr>
        <w:br/>
      </w:r>
      <w:r w:rsidRPr="00D56CE8">
        <w:rPr>
          <w:szCs w:val="26"/>
          <w:lang w:val="ru-RU"/>
        </w:rPr>
        <w:t>1492</w:t>
      </w:r>
      <w:r>
        <w:rPr>
          <w:szCs w:val="26"/>
          <w:lang w:val="ru-RU"/>
        </w:rPr>
        <w:t>–</w:t>
      </w:r>
      <w:r w:rsidRPr="00D56CE8">
        <w:rPr>
          <w:szCs w:val="26"/>
          <w:lang w:val="ru-RU"/>
        </w:rPr>
        <w:t>1518</w:t>
      </w:r>
      <w:r>
        <w:rPr>
          <w:szCs w:val="26"/>
          <w:lang w:val="ru-RU"/>
        </w:rPr>
        <w:t> </w:t>
      </w:r>
      <w:r w:rsidRPr="00D56CE8">
        <w:rPr>
          <w:szCs w:val="26"/>
          <w:lang w:val="ru-RU"/>
        </w:rPr>
        <w:t>МГц</w:t>
      </w:r>
    </w:p>
    <w:p w14:paraId="4FA41A9B" w14:textId="16566F0B" w:rsidR="005720AD" w:rsidRPr="00FE3FA5" w:rsidRDefault="00FE3FA5" w:rsidP="00302806">
      <w:pPr>
        <w:pStyle w:val="Normalaftertitle"/>
        <w:rPr>
          <w:lang w:val="ru-RU"/>
        </w:rPr>
      </w:pPr>
      <w:r w:rsidRPr="00FE3FA5">
        <w:rPr>
          <w:lang w:val="ru-RU" w:eastAsia="zh-CN"/>
        </w:rPr>
        <w:t xml:space="preserve">В </w:t>
      </w:r>
      <w:r>
        <w:rPr>
          <w:lang w:val="ru-RU" w:eastAsia="zh-CN"/>
        </w:rPr>
        <w:t>настоящем</w:t>
      </w:r>
      <w:r w:rsidRPr="00FE3FA5">
        <w:rPr>
          <w:lang w:val="ru-RU" w:eastAsia="zh-CN"/>
        </w:rPr>
        <w:t xml:space="preserve"> Приложении представлены технические требования по нежелательным излучениям оборудования IMT. </w:t>
      </w:r>
      <w:r w:rsidRPr="00FE3FA5">
        <w:rPr>
          <w:lang w:val="ru-RU"/>
        </w:rPr>
        <w:t>Нежелательные излучения базовых станций и пользовательского оборудования IMT в полосе частот 1492</w:t>
      </w:r>
      <w:r>
        <w:rPr>
          <w:lang w:val="ru-RU"/>
        </w:rPr>
        <w:t>–</w:t>
      </w:r>
      <w:r w:rsidRPr="00FE3FA5">
        <w:rPr>
          <w:lang w:val="ru-RU"/>
        </w:rPr>
        <w:t>1518</w:t>
      </w:r>
      <w:r>
        <w:rPr>
          <w:lang w:val="ru-RU"/>
        </w:rPr>
        <w:t> </w:t>
      </w:r>
      <w:r w:rsidRPr="00FE3FA5">
        <w:rPr>
          <w:lang w:val="ru-RU"/>
        </w:rPr>
        <w:t>МГц могут создавать помехи работе ПСС на частотах выше 1518</w:t>
      </w:r>
      <w:r>
        <w:rPr>
          <w:lang w:val="ru-RU"/>
        </w:rPr>
        <w:t> </w:t>
      </w:r>
      <w:r w:rsidRPr="00FE3FA5">
        <w:rPr>
          <w:lang w:val="ru-RU"/>
        </w:rPr>
        <w:t xml:space="preserve"> МГц. Администрациям следует рассмотреть возможность применения пределов нежелательных излучений для базовых станций и пользовательского оборудования IMT из </w:t>
      </w:r>
      <w:r>
        <w:rPr>
          <w:lang w:val="ru-RU"/>
        </w:rPr>
        <w:t xml:space="preserve">тех </w:t>
      </w:r>
      <w:r w:rsidRPr="00FE3FA5">
        <w:rPr>
          <w:lang w:val="ru-RU"/>
        </w:rPr>
        <w:t xml:space="preserve">вариантов, </w:t>
      </w:r>
      <w:r w:rsidR="00640AB7">
        <w:rPr>
          <w:lang w:val="ru-RU"/>
        </w:rPr>
        <w:t>к</w:t>
      </w:r>
      <w:r w:rsidR="00CB1E30">
        <w:rPr>
          <w:lang w:val="ru-RU"/>
        </w:rPr>
        <w:t>оторые представлены</w:t>
      </w:r>
      <w:r w:rsidRPr="00FE3FA5">
        <w:rPr>
          <w:lang w:val="ru-RU"/>
        </w:rPr>
        <w:t xml:space="preserve"> в настоящем Приложении.</w:t>
      </w:r>
    </w:p>
    <w:p w14:paraId="659D92A9" w14:textId="3B94ED0B" w:rsidR="005720AD" w:rsidRPr="00640AB7" w:rsidRDefault="00640AB7" w:rsidP="005720AD">
      <w:pPr>
        <w:rPr>
          <w:lang w:val="ru-RU"/>
        </w:rPr>
      </w:pPr>
      <w:r w:rsidRPr="00640AB7">
        <w:rPr>
          <w:lang w:val="ru-RU"/>
        </w:rPr>
        <w:t>В следующих таблицах представлены различные варианты</w:t>
      </w:r>
      <w:r>
        <w:rPr>
          <w:lang w:val="ru-RU"/>
        </w:rPr>
        <w:t xml:space="preserve"> таких пределов</w:t>
      </w:r>
      <w:r w:rsidRPr="00640AB7">
        <w:rPr>
          <w:lang w:val="ru-RU"/>
        </w:rPr>
        <w:t xml:space="preserve">, основанные на приведенных в Отчете </w:t>
      </w:r>
      <w:hyperlink r:id="rId21" w:history="1">
        <w:r w:rsidRPr="00640AB7">
          <w:rPr>
            <w:rStyle w:val="Hyperlink"/>
            <w:color w:val="auto"/>
            <w:u w:val="none"/>
            <w:lang w:val="ru-RU"/>
          </w:rPr>
          <w:t>МСЭ-R M.2529</w:t>
        </w:r>
      </w:hyperlink>
      <w:r>
        <w:rPr>
          <w:rStyle w:val="Hyperlink"/>
          <w:color w:val="auto"/>
          <w:u w:val="none"/>
          <w:lang w:val="ru-RU"/>
        </w:rPr>
        <w:t xml:space="preserve"> </w:t>
      </w:r>
      <w:r w:rsidRPr="00640AB7">
        <w:rPr>
          <w:lang w:val="ru-RU"/>
        </w:rPr>
        <w:t>результатах исследовани</w:t>
      </w:r>
      <w:r w:rsidR="00CB1E30">
        <w:rPr>
          <w:lang w:val="ru-RU"/>
        </w:rPr>
        <w:t>й</w:t>
      </w:r>
      <w:r w:rsidRPr="00640AB7">
        <w:rPr>
          <w:rStyle w:val="Hyperlink"/>
          <w:color w:val="auto"/>
          <w:u w:val="none"/>
          <w:lang w:val="ru-RU"/>
        </w:rPr>
        <w:t>.</w:t>
      </w:r>
      <w:r w:rsidRPr="00640AB7">
        <w:rPr>
          <w:lang w:val="ru-RU"/>
        </w:rPr>
        <w:t xml:space="preserve"> Следует отметить, что требования, выраженные в различных изложенных ниже</w:t>
      </w:r>
      <w:r>
        <w:rPr>
          <w:lang w:val="ru-RU"/>
        </w:rPr>
        <w:t xml:space="preserve"> вариантах</w:t>
      </w:r>
      <w:r w:rsidRPr="00640AB7">
        <w:rPr>
          <w:lang w:val="ru-RU"/>
        </w:rPr>
        <w:t>, основаны на результатах исследований совместимости, относящихся к помехам, вызванным нежелательными излучениями. Потенциальные помехи</w:t>
      </w:r>
      <w:r>
        <w:rPr>
          <w:lang w:val="ru-RU"/>
        </w:rPr>
        <w:t xml:space="preserve"> в результате </w:t>
      </w:r>
      <w:r w:rsidR="001E7AF5">
        <w:rPr>
          <w:lang w:val="ru-RU"/>
        </w:rPr>
        <w:t>блокирования</w:t>
      </w:r>
      <w:r>
        <w:rPr>
          <w:lang w:val="ru-RU"/>
        </w:rPr>
        <w:t xml:space="preserve"> </w:t>
      </w:r>
      <w:r w:rsidRPr="00640AB7">
        <w:rPr>
          <w:lang w:val="ru-RU"/>
        </w:rPr>
        <w:t xml:space="preserve">приемника ПЗС рассматриваются отдельно, однако снижение уровня </w:t>
      </w:r>
      <w:proofErr w:type="spellStart"/>
      <w:r w:rsidRPr="00640AB7">
        <w:rPr>
          <w:lang w:val="ru-RU"/>
        </w:rPr>
        <w:t>внутриполосного</w:t>
      </w:r>
      <w:proofErr w:type="spellEnd"/>
      <w:r w:rsidRPr="00640AB7">
        <w:rPr>
          <w:lang w:val="ru-RU"/>
        </w:rPr>
        <w:t xml:space="preserve"> сигнала IMT, необходимое для обеспечения соответствия </w:t>
      </w:r>
      <w:r>
        <w:rPr>
          <w:lang w:val="ru-RU"/>
        </w:rPr>
        <w:t xml:space="preserve">уровню </w:t>
      </w:r>
      <w:r w:rsidRPr="00640AB7">
        <w:rPr>
          <w:lang w:val="ru-RU"/>
        </w:rPr>
        <w:t xml:space="preserve">плотности потока мощности, </w:t>
      </w:r>
      <w:r>
        <w:rPr>
          <w:lang w:val="ru-RU"/>
        </w:rPr>
        <w:t>связанному с</w:t>
      </w:r>
      <w:r w:rsidRPr="00640AB7">
        <w:rPr>
          <w:lang w:val="ru-RU"/>
        </w:rPr>
        <w:t xml:space="preserve"> требованиями по блокированию, будет влиять на нежелательные излучения базовых станций IMT.</w:t>
      </w:r>
    </w:p>
    <w:p w14:paraId="69103BE0" w14:textId="217C8C10" w:rsidR="005720AD" w:rsidRPr="002E3D18" w:rsidRDefault="002E3D18" w:rsidP="005720AD">
      <w:pPr>
        <w:rPr>
          <w:lang w:val="ru-RU"/>
        </w:rPr>
      </w:pPr>
      <w:r w:rsidRPr="002E3D18">
        <w:rPr>
          <w:lang w:val="ru-RU"/>
        </w:rPr>
        <w:t>Варианты для базовых станций IMT определены в таблице</w:t>
      </w:r>
      <w:r>
        <w:rPr>
          <w:lang w:val="ru-RU"/>
        </w:rPr>
        <w:t> </w:t>
      </w:r>
      <w:r w:rsidRPr="002E3D18">
        <w:rPr>
          <w:lang w:val="ru-RU"/>
        </w:rPr>
        <w:t xml:space="preserve">1. В этой таблице варианты с более низкими пределами нежелательных излучений базовых станций IMT уменьшают риск </w:t>
      </w:r>
      <w:r>
        <w:rPr>
          <w:lang w:val="ru-RU"/>
        </w:rPr>
        <w:t xml:space="preserve">создания </w:t>
      </w:r>
      <w:r w:rsidRPr="002E3D18">
        <w:rPr>
          <w:lang w:val="ru-RU"/>
        </w:rPr>
        <w:t xml:space="preserve">вредных помех </w:t>
      </w:r>
      <w:r>
        <w:rPr>
          <w:lang w:val="ru-RU"/>
        </w:rPr>
        <w:t>в работе</w:t>
      </w:r>
      <w:r w:rsidRPr="002E3D18">
        <w:rPr>
          <w:lang w:val="ru-RU"/>
        </w:rPr>
        <w:t xml:space="preserve"> ПСС в полосе частот выше 1518 МГц. Однако для того чтобы базовые станции IMT соответствовали пределам нежелательных излучений, указанным в </w:t>
      </w:r>
      <w:r w:rsidR="00214ECE">
        <w:rPr>
          <w:lang w:val="ru-RU"/>
        </w:rPr>
        <w:t>данной</w:t>
      </w:r>
      <w:r w:rsidRPr="002E3D18">
        <w:rPr>
          <w:lang w:val="ru-RU"/>
        </w:rPr>
        <w:t xml:space="preserve"> таблице, необходимы технические или эксплуатационные меры (</w:t>
      </w:r>
      <w:r w:rsidR="00214ECE">
        <w:rPr>
          <w:lang w:val="ru-RU"/>
        </w:rPr>
        <w:t xml:space="preserve">такие, как </w:t>
      </w:r>
      <w:r w:rsidRPr="002E3D18">
        <w:rPr>
          <w:lang w:val="ru-RU"/>
        </w:rPr>
        <w:t xml:space="preserve">фильтрация, снижение </w:t>
      </w:r>
      <w:proofErr w:type="spellStart"/>
      <w:r w:rsidRPr="002E3D18">
        <w:rPr>
          <w:lang w:val="ru-RU"/>
        </w:rPr>
        <w:t>внутриполосной</w:t>
      </w:r>
      <w:proofErr w:type="spellEnd"/>
      <w:r w:rsidRPr="002E3D18">
        <w:rPr>
          <w:lang w:val="ru-RU"/>
        </w:rPr>
        <w:t xml:space="preserve"> мощности</w:t>
      </w:r>
      <w:r w:rsidR="00214ECE">
        <w:rPr>
          <w:lang w:val="ru-RU"/>
        </w:rPr>
        <w:t xml:space="preserve"> или</w:t>
      </w:r>
      <w:r w:rsidRPr="002E3D18">
        <w:rPr>
          <w:lang w:val="ru-RU"/>
        </w:rPr>
        <w:t xml:space="preserve"> защитная полос</w:t>
      </w:r>
      <w:r w:rsidR="00214ECE">
        <w:rPr>
          <w:lang w:val="ru-RU"/>
        </w:rPr>
        <w:t>а</w:t>
      </w:r>
      <w:r w:rsidRPr="002E3D18">
        <w:rPr>
          <w:lang w:val="ru-RU"/>
        </w:rPr>
        <w:t>), особенно для тех базовых станций, которые используют каналы с частотой выше 1502 МГц или 1507 МГц в зависимости от характеристик оборудования конкретного производителя.</w:t>
      </w:r>
    </w:p>
    <w:p w14:paraId="2ED60274" w14:textId="1C1C1638" w:rsidR="005720AD" w:rsidRPr="00214ECE" w:rsidRDefault="00214ECE" w:rsidP="005720AD">
      <w:pPr>
        <w:pStyle w:val="TableNo"/>
        <w:rPr>
          <w:rFonts w:eastAsia="Calibri"/>
          <w:lang w:val="ru-RU"/>
        </w:rPr>
      </w:pPr>
      <w:r w:rsidRPr="00214ECE">
        <w:rPr>
          <w:rFonts w:eastAsia="Calibri"/>
          <w:lang w:val="ru-RU"/>
        </w:rPr>
        <w:t>ТАБЛИЦА</w:t>
      </w:r>
      <w:r w:rsidR="005A3993" w:rsidRPr="00214ECE">
        <w:rPr>
          <w:rFonts w:eastAsia="Calibri"/>
          <w:lang w:val="ru-RU"/>
        </w:rPr>
        <w:t xml:space="preserve"> </w:t>
      </w:r>
      <w:r w:rsidR="005720AD" w:rsidRPr="00214ECE">
        <w:rPr>
          <w:rFonts w:eastAsia="Calibri"/>
          <w:lang w:val="ru-RU"/>
        </w:rPr>
        <w:t>1</w:t>
      </w:r>
    </w:p>
    <w:p w14:paraId="6328DC34" w14:textId="0BDD3AF4" w:rsidR="005720AD" w:rsidRPr="00214ECE" w:rsidRDefault="00214ECE" w:rsidP="005720AD">
      <w:pPr>
        <w:pStyle w:val="Tabletitle"/>
        <w:rPr>
          <w:rFonts w:eastAsia="Calibri"/>
          <w:lang w:val="ru-RU"/>
        </w:rPr>
      </w:pPr>
      <w:r w:rsidRPr="00214ECE">
        <w:rPr>
          <w:rFonts w:eastAsia="Calibri"/>
          <w:lang w:val="ru-RU"/>
        </w:rPr>
        <w:t>Варианты пределов нежелательных излучений для базовых станций IMT</w:t>
      </w:r>
    </w:p>
    <w:tbl>
      <w:tblPr>
        <w:tblStyle w:val="TableGrid"/>
        <w:tblW w:w="964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5680"/>
      </w:tblGrid>
      <w:tr w:rsidR="005720AD" w:rsidRPr="00D6207E" w14:paraId="6C7BB6AE" w14:textId="77777777" w:rsidTr="006D2543">
        <w:trPr>
          <w:jc w:val="center"/>
        </w:trPr>
        <w:tc>
          <w:tcPr>
            <w:tcW w:w="1271" w:type="dxa"/>
            <w:vAlign w:val="center"/>
          </w:tcPr>
          <w:p w14:paraId="31949C58" w14:textId="0BA24A3C" w:rsidR="005720AD" w:rsidRPr="00214ECE" w:rsidRDefault="00214ECE" w:rsidP="00AE6864">
            <w:pPr>
              <w:pStyle w:val="Tablehead"/>
              <w:tabs>
                <w:tab w:val="clear" w:pos="1134"/>
                <w:tab w:val="clear" w:pos="2268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Вариант</w:t>
            </w:r>
          </w:p>
        </w:tc>
        <w:tc>
          <w:tcPr>
            <w:tcW w:w="2693" w:type="dxa"/>
          </w:tcPr>
          <w:p w14:paraId="2D3EB390" w14:textId="6E7FC50C" w:rsidR="005720AD" w:rsidRPr="00214ECE" w:rsidRDefault="00214ECE" w:rsidP="00214ECE">
            <w:pPr>
              <w:pStyle w:val="Tablehead"/>
              <w:tabs>
                <w:tab w:val="clear" w:pos="1134"/>
                <w:tab w:val="clear" w:pos="2268"/>
              </w:tabs>
              <w:rPr>
                <w:rFonts w:ascii="Times New Roman" w:hAnsi="Times New Roman" w:cs="Times New Roman"/>
                <w:lang w:val="ru-RU"/>
              </w:rPr>
            </w:pPr>
            <w:r w:rsidRPr="00214ECE">
              <w:rPr>
                <w:rFonts w:ascii="Times New Roman" w:hAnsi="Times New Roman" w:cs="Times New Roman"/>
                <w:lang w:val="ru-RU"/>
              </w:rPr>
              <w:t>Работа ПСС в полосе частот 1</w:t>
            </w:r>
            <w:r w:rsidR="00CC6970">
              <w:rPr>
                <w:rFonts w:ascii="Times New Roman" w:hAnsi="Times New Roman" w:cs="Times New Roman"/>
                <w:lang w:val="en-US"/>
              </w:rPr>
              <w:t> </w:t>
            </w:r>
            <w:r w:rsidRPr="00214ECE">
              <w:rPr>
                <w:rFonts w:ascii="Times New Roman" w:hAnsi="Times New Roman" w:cs="Times New Roman"/>
                <w:lang w:val="ru-RU"/>
              </w:rPr>
              <w:t>518–1</w:t>
            </w:r>
            <w:r w:rsidR="00CC6970">
              <w:rPr>
                <w:rFonts w:ascii="Times New Roman" w:hAnsi="Times New Roman" w:cs="Times New Roman"/>
                <w:lang w:val="en-US"/>
              </w:rPr>
              <w:t> </w:t>
            </w:r>
            <w:r w:rsidRPr="00214ECE">
              <w:rPr>
                <w:rFonts w:ascii="Times New Roman" w:hAnsi="Times New Roman" w:cs="Times New Roman"/>
                <w:lang w:val="ru-RU"/>
              </w:rPr>
              <w:t>525 МГц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 w:rsidRPr="00214ECE">
              <w:rPr>
                <w:rFonts w:ascii="Times New Roman" w:hAnsi="Times New Roman" w:cs="Times New Roman"/>
                <w:lang w:val="ru-RU"/>
              </w:rPr>
              <w:t>(Да/Нет)</w:t>
            </w:r>
          </w:p>
        </w:tc>
        <w:tc>
          <w:tcPr>
            <w:tcW w:w="5680" w:type="dxa"/>
          </w:tcPr>
          <w:p w14:paraId="597B5BC0" w14:textId="6B8F9C77" w:rsidR="005720AD" w:rsidRPr="00214ECE" w:rsidRDefault="00214ECE" w:rsidP="00214ECE">
            <w:pPr>
              <w:pStyle w:val="Tablehead"/>
              <w:tabs>
                <w:tab w:val="clear" w:pos="1134"/>
                <w:tab w:val="clear" w:pos="2268"/>
              </w:tabs>
              <w:rPr>
                <w:rFonts w:ascii="Times New Roman" w:hAnsi="Times New Roman" w:cs="Times New Roman"/>
                <w:lang w:val="ru-RU"/>
              </w:rPr>
            </w:pPr>
            <w:r w:rsidRPr="00214ECE">
              <w:rPr>
                <w:rFonts w:ascii="Times New Roman" w:hAnsi="Times New Roman" w:cs="Times New Roman"/>
                <w:lang w:val="ru-RU"/>
              </w:rPr>
              <w:t xml:space="preserve">Максимальный уровень нежелательных </w:t>
            </w:r>
            <w:r w:rsidR="006D2543">
              <w:rPr>
                <w:rFonts w:ascii="Times New Roman" w:hAnsi="Times New Roman" w:cs="Times New Roman"/>
                <w:lang w:val="en-US"/>
              </w:rPr>
              <w:br/>
            </w:r>
            <w:r w:rsidRPr="00214ECE">
              <w:rPr>
                <w:rFonts w:ascii="Times New Roman" w:hAnsi="Times New Roman" w:cs="Times New Roman"/>
                <w:lang w:val="ru-RU"/>
              </w:rPr>
              <w:t>излучений (</w:t>
            </w:r>
            <w:proofErr w:type="spellStart"/>
            <w:r w:rsidRPr="00214ECE">
              <w:rPr>
                <w:rFonts w:ascii="Times New Roman" w:hAnsi="Times New Roman" w:cs="Times New Roman"/>
                <w:lang w:val="ru-RU"/>
              </w:rPr>
              <w:t>э.и.и.м</w:t>
            </w:r>
            <w:proofErr w:type="spellEnd"/>
            <w:r w:rsidRPr="00214ECE">
              <w:rPr>
                <w:rFonts w:ascii="Times New Roman" w:hAnsi="Times New Roman" w:cs="Times New Roman"/>
                <w:lang w:val="ru-RU"/>
              </w:rPr>
              <w:t xml:space="preserve">.) </w:t>
            </w:r>
            <w:r w:rsidRPr="00214ECE">
              <w:rPr>
                <w:rFonts w:ascii="Times New Roman" w:hAnsi="Times New Roman" w:cs="Times New Roman"/>
                <w:lang w:val="ru-RU"/>
              </w:rPr>
              <w:br/>
              <w:t>(</w:t>
            </w:r>
            <w:proofErr w:type="spellStart"/>
            <w:r w:rsidRPr="00214ECE">
              <w:rPr>
                <w:rFonts w:ascii="Times New Roman" w:hAnsi="Times New Roman" w:cs="Times New Roman"/>
                <w:lang w:val="ru-RU"/>
              </w:rPr>
              <w:t>Δ</w:t>
            </w:r>
            <w:r w:rsidRPr="00214ECE">
              <w:rPr>
                <w:rFonts w:ascii="Times New Roman" w:hAnsi="Times New Roman" w:cs="Times New Roman"/>
                <w:i/>
                <w:iCs/>
                <w:lang w:val="ru-RU"/>
              </w:rPr>
              <w:t>f</w:t>
            </w:r>
            <w:proofErr w:type="spellEnd"/>
            <w:r w:rsidRPr="00214EC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– частота относительно и выше</w:t>
            </w:r>
            <w:r w:rsidRPr="00214ECE">
              <w:rPr>
                <w:rFonts w:ascii="Times New Roman" w:hAnsi="Times New Roman" w:cs="Times New Roman"/>
                <w:lang w:val="ru-RU"/>
              </w:rPr>
              <w:t xml:space="preserve"> 1</w:t>
            </w:r>
            <w:r w:rsidR="00CC6970">
              <w:rPr>
                <w:rFonts w:ascii="Times New Roman" w:hAnsi="Times New Roman" w:cs="Times New Roman"/>
                <w:lang w:val="en-US"/>
              </w:rPr>
              <w:t> </w:t>
            </w:r>
            <w:r w:rsidRPr="00214ECE">
              <w:rPr>
                <w:rFonts w:ascii="Times New Roman" w:hAnsi="Times New Roman" w:cs="Times New Roman"/>
                <w:lang w:val="ru-RU"/>
              </w:rPr>
              <w:t>518 МГц)</w:t>
            </w:r>
          </w:p>
        </w:tc>
      </w:tr>
      <w:tr w:rsidR="005720AD" w:rsidRPr="00D6207E" w14:paraId="3372552D" w14:textId="77777777" w:rsidTr="006D2543">
        <w:trPr>
          <w:jc w:val="center"/>
        </w:trPr>
        <w:tc>
          <w:tcPr>
            <w:tcW w:w="1271" w:type="dxa"/>
            <w:vAlign w:val="center"/>
          </w:tcPr>
          <w:p w14:paraId="611C1A8F" w14:textId="1BADE494" w:rsidR="005720AD" w:rsidRPr="00214ECE" w:rsidRDefault="005720AD" w:rsidP="00214E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="Times New Roman" w:hAnsi="Times New Roman" w:cs="Times New Roman"/>
              </w:rPr>
            </w:pPr>
            <w:r w:rsidRPr="00214ECE">
              <w:rPr>
                <w:rFonts w:ascii="Times New Roman" w:hAnsi="Times New Roman" w:cs="Times New Roman"/>
              </w:rPr>
              <w:t>1</w:t>
            </w:r>
            <w:r w:rsidRPr="00214ECE">
              <w:rPr>
                <w:rFonts w:ascii="Times New Roman" w:hAnsi="Times New Roman" w:cs="Times New Roman"/>
                <w:color w:val="000000"/>
                <w:vertAlign w:val="superscript"/>
              </w:rPr>
              <w:t>(1)</w:t>
            </w:r>
          </w:p>
        </w:tc>
        <w:tc>
          <w:tcPr>
            <w:tcW w:w="2693" w:type="dxa"/>
            <w:vAlign w:val="center"/>
          </w:tcPr>
          <w:p w14:paraId="0E33C8C7" w14:textId="36D9BA18" w:rsidR="005720AD" w:rsidRPr="00214ECE" w:rsidRDefault="00214ECE" w:rsidP="00AE686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5680" w:type="dxa"/>
            <w:vAlign w:val="center"/>
          </w:tcPr>
          <w:p w14:paraId="57F26373" w14:textId="77777777" w:rsidR="00214ECE" w:rsidRPr="00214ECE" w:rsidRDefault="00214ECE" w:rsidP="00D72C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214ECE">
              <w:rPr>
                <w:rFonts w:ascii="Times New Roman" w:hAnsi="Times New Roman" w:cs="Times New Roman"/>
                <w:lang w:val="ru-RU" w:eastAsia="en-GB"/>
              </w:rPr>
              <w:t>−</w:t>
            </w:r>
            <w:r w:rsidRPr="00214ECE">
              <w:rPr>
                <w:rFonts w:ascii="Times New Roman" w:hAnsi="Times New Roman" w:cs="Times New Roman"/>
                <w:lang w:val="ru-RU"/>
              </w:rPr>
              <w:t>0,8 </w:t>
            </w:r>
            <w:proofErr w:type="spellStart"/>
            <w:r w:rsidRPr="00214ECE">
              <w:rPr>
                <w:rFonts w:ascii="Times New Roman" w:hAnsi="Times New Roman" w:cs="Times New Roman"/>
                <w:lang w:val="ru-RU"/>
              </w:rPr>
              <w:t>дБм</w:t>
            </w:r>
            <w:proofErr w:type="spellEnd"/>
            <w:r w:rsidRPr="00214ECE">
              <w:rPr>
                <w:rFonts w:ascii="Times New Roman" w:hAnsi="Times New Roman" w:cs="Times New Roman"/>
                <w:lang w:val="ru-RU"/>
              </w:rPr>
              <w:t xml:space="preserve">/МГц (0 МГц ≤ </w:t>
            </w:r>
            <w:proofErr w:type="spellStart"/>
            <w:r w:rsidRPr="00214ECE">
              <w:rPr>
                <w:rFonts w:ascii="Times New Roman" w:hAnsi="Times New Roman" w:cs="Times New Roman"/>
                <w:lang w:val="ru-RU"/>
              </w:rPr>
              <w:t>Δ</w:t>
            </w:r>
            <w:r w:rsidRPr="00214ECE">
              <w:rPr>
                <w:rFonts w:ascii="Times New Roman" w:hAnsi="Times New Roman" w:cs="Times New Roman"/>
                <w:i/>
                <w:iCs/>
                <w:lang w:val="ru-RU"/>
              </w:rPr>
              <w:t>f</w:t>
            </w:r>
            <w:proofErr w:type="spellEnd"/>
            <w:r w:rsidRPr="00214ECE">
              <w:rPr>
                <w:rFonts w:ascii="Times New Roman" w:hAnsi="Times New Roman" w:cs="Times New Roman"/>
                <w:lang w:val="ru-RU"/>
              </w:rPr>
              <w:t xml:space="preserve"> ≤ 2 МГц),</w:t>
            </w:r>
          </w:p>
          <w:p w14:paraId="6354489B" w14:textId="08DE0726" w:rsidR="005720AD" w:rsidRPr="00214ECE" w:rsidRDefault="00214ECE" w:rsidP="00D72C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214ECE">
              <w:rPr>
                <w:rFonts w:ascii="Times New Roman" w:hAnsi="Times New Roman" w:cs="Times New Roman"/>
                <w:lang w:val="ru-RU" w:eastAsia="en-GB"/>
              </w:rPr>
              <w:t>−</w:t>
            </w:r>
            <w:r w:rsidRPr="00214ECE">
              <w:rPr>
                <w:rFonts w:ascii="Times New Roman" w:hAnsi="Times New Roman" w:cs="Times New Roman"/>
                <w:lang w:val="ru-RU"/>
              </w:rPr>
              <w:t>30 </w:t>
            </w:r>
            <w:proofErr w:type="spellStart"/>
            <w:r w:rsidRPr="00214ECE">
              <w:rPr>
                <w:rFonts w:ascii="Times New Roman" w:hAnsi="Times New Roman" w:cs="Times New Roman"/>
                <w:lang w:val="ru-RU"/>
              </w:rPr>
              <w:t>дБм</w:t>
            </w:r>
            <w:proofErr w:type="spellEnd"/>
            <w:r w:rsidRPr="00214ECE">
              <w:rPr>
                <w:rFonts w:ascii="Times New Roman" w:hAnsi="Times New Roman" w:cs="Times New Roman"/>
                <w:lang w:val="ru-RU"/>
              </w:rPr>
              <w:t xml:space="preserve">/МГц (2 МГц &lt; </w:t>
            </w:r>
            <w:proofErr w:type="spellStart"/>
            <w:r w:rsidRPr="00214ECE">
              <w:rPr>
                <w:rFonts w:ascii="Times New Roman" w:hAnsi="Times New Roman" w:cs="Times New Roman"/>
                <w:lang w:val="ru-RU"/>
              </w:rPr>
              <w:t>Δ</w:t>
            </w:r>
            <w:r w:rsidRPr="00214ECE">
              <w:rPr>
                <w:rFonts w:ascii="Times New Roman" w:hAnsi="Times New Roman" w:cs="Times New Roman"/>
                <w:i/>
                <w:iCs/>
                <w:lang w:val="ru-RU"/>
              </w:rPr>
              <w:t>f</w:t>
            </w:r>
            <w:proofErr w:type="spellEnd"/>
            <w:r w:rsidRPr="00214ECE">
              <w:rPr>
                <w:rFonts w:ascii="Times New Roman" w:hAnsi="Times New Roman" w:cs="Times New Roman"/>
                <w:lang w:val="ru-RU"/>
              </w:rPr>
              <w:t xml:space="preserve"> ≤ 41 МГц)</w:t>
            </w:r>
          </w:p>
        </w:tc>
      </w:tr>
      <w:tr w:rsidR="005720AD" w:rsidRPr="00D6207E" w14:paraId="5F88D6EF" w14:textId="77777777" w:rsidTr="006D2543">
        <w:trPr>
          <w:jc w:val="center"/>
        </w:trPr>
        <w:tc>
          <w:tcPr>
            <w:tcW w:w="1271" w:type="dxa"/>
            <w:vAlign w:val="center"/>
          </w:tcPr>
          <w:p w14:paraId="443A6448" w14:textId="77777777" w:rsidR="005720AD" w:rsidRPr="00214ECE" w:rsidRDefault="005720AD" w:rsidP="00AE686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="Times New Roman" w:hAnsi="Times New Roman" w:cs="Times New Roman"/>
              </w:rPr>
            </w:pPr>
            <w:r w:rsidRPr="00214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Align w:val="center"/>
          </w:tcPr>
          <w:p w14:paraId="0F25FC32" w14:textId="521A86C3" w:rsidR="005720AD" w:rsidRPr="00214ECE" w:rsidRDefault="00214ECE" w:rsidP="00AE686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5680" w:type="dxa"/>
            <w:vAlign w:val="center"/>
          </w:tcPr>
          <w:p w14:paraId="306C971C" w14:textId="324E23BF" w:rsidR="00214ECE" w:rsidRPr="00214ECE" w:rsidRDefault="00214ECE" w:rsidP="00D72C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214ECE">
              <w:rPr>
                <w:rFonts w:ascii="Times New Roman" w:hAnsi="Times New Roman" w:cs="Times New Roman"/>
                <w:lang w:val="ru-RU"/>
              </w:rPr>
              <w:t>Дополнительное требование отсутствует</w:t>
            </w:r>
            <w:r w:rsidR="006D254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14ECE">
              <w:rPr>
                <w:rFonts w:ascii="Times New Roman" w:hAnsi="Times New Roman" w:cs="Times New Roman"/>
                <w:lang w:val="ru-RU"/>
              </w:rPr>
              <w:t>(0</w:t>
            </w:r>
            <w:r w:rsidR="00D72C59">
              <w:rPr>
                <w:rFonts w:ascii="Times New Roman" w:hAnsi="Times New Roman" w:cs="Times New Roman"/>
                <w:lang w:val="en-US"/>
              </w:rPr>
              <w:t> </w:t>
            </w:r>
            <w:r w:rsidR="00D72C59">
              <w:rPr>
                <w:rFonts w:ascii="Times New Roman" w:hAnsi="Times New Roman" w:cs="Times New Roman"/>
                <w:lang w:val="ru-RU"/>
              </w:rPr>
              <w:t xml:space="preserve">МГц </w:t>
            </w:r>
            <w:r w:rsidRPr="00214ECE">
              <w:rPr>
                <w:rFonts w:ascii="Times New Roman" w:hAnsi="Times New Roman" w:cs="Times New Roman"/>
                <w:lang w:val="ru-RU"/>
              </w:rPr>
              <w:t xml:space="preserve">≤ </w:t>
            </w:r>
            <w:proofErr w:type="spellStart"/>
            <w:r w:rsidRPr="00214ECE">
              <w:rPr>
                <w:rFonts w:ascii="Times New Roman" w:hAnsi="Times New Roman" w:cs="Times New Roman"/>
                <w:lang w:val="ru-RU"/>
              </w:rPr>
              <w:t>Δ</w:t>
            </w:r>
            <w:r w:rsidRPr="00214ECE">
              <w:rPr>
                <w:rFonts w:ascii="Times New Roman" w:hAnsi="Times New Roman" w:cs="Times New Roman"/>
                <w:i/>
                <w:iCs/>
                <w:lang w:val="ru-RU"/>
              </w:rPr>
              <w:t>f</w:t>
            </w:r>
            <w:proofErr w:type="spellEnd"/>
            <w:r w:rsidRPr="00214ECE">
              <w:rPr>
                <w:rFonts w:ascii="Times New Roman" w:hAnsi="Times New Roman" w:cs="Times New Roman"/>
                <w:lang w:val="ru-RU"/>
              </w:rPr>
              <w:t xml:space="preserve"> ≤ 7 МГц),</w:t>
            </w:r>
          </w:p>
          <w:p w14:paraId="6463B0F7" w14:textId="50EDD866" w:rsidR="005720AD" w:rsidRPr="00214ECE" w:rsidRDefault="00214ECE" w:rsidP="00D72C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214ECE">
              <w:rPr>
                <w:rFonts w:ascii="Times New Roman" w:hAnsi="Times New Roman" w:cs="Times New Roman"/>
                <w:lang w:val="ru-RU" w:eastAsia="en-GB"/>
              </w:rPr>
              <w:t>−</w:t>
            </w:r>
            <w:r w:rsidRPr="00214ECE">
              <w:rPr>
                <w:rFonts w:ascii="Times New Roman" w:hAnsi="Times New Roman" w:cs="Times New Roman"/>
                <w:lang w:val="ru-RU"/>
              </w:rPr>
              <w:t>30 </w:t>
            </w:r>
            <w:proofErr w:type="spellStart"/>
            <w:r w:rsidRPr="00214ECE">
              <w:rPr>
                <w:rFonts w:ascii="Times New Roman" w:hAnsi="Times New Roman" w:cs="Times New Roman"/>
                <w:lang w:val="ru-RU"/>
              </w:rPr>
              <w:t>дБм</w:t>
            </w:r>
            <w:proofErr w:type="spellEnd"/>
            <w:r w:rsidRPr="00214ECE">
              <w:rPr>
                <w:rFonts w:ascii="Times New Roman" w:hAnsi="Times New Roman" w:cs="Times New Roman"/>
                <w:lang w:val="ru-RU"/>
              </w:rPr>
              <w:t xml:space="preserve">/МГц (7 МГц &lt; </w:t>
            </w:r>
            <w:proofErr w:type="spellStart"/>
            <w:r w:rsidRPr="00214ECE">
              <w:rPr>
                <w:rFonts w:ascii="Times New Roman" w:hAnsi="Times New Roman" w:cs="Times New Roman"/>
                <w:lang w:val="ru-RU"/>
              </w:rPr>
              <w:t>Δ</w:t>
            </w:r>
            <w:r w:rsidRPr="00214ECE">
              <w:rPr>
                <w:rFonts w:ascii="Times New Roman" w:hAnsi="Times New Roman" w:cs="Times New Roman"/>
                <w:i/>
                <w:iCs/>
                <w:lang w:val="ru-RU"/>
              </w:rPr>
              <w:t>f</w:t>
            </w:r>
            <w:proofErr w:type="spellEnd"/>
            <w:r w:rsidRPr="00214ECE">
              <w:rPr>
                <w:rFonts w:ascii="Times New Roman" w:hAnsi="Times New Roman" w:cs="Times New Roman"/>
                <w:lang w:val="ru-RU"/>
              </w:rPr>
              <w:t xml:space="preserve"> ≤ 41 МГц)</w:t>
            </w:r>
          </w:p>
        </w:tc>
      </w:tr>
      <w:tr w:rsidR="005720AD" w:rsidRPr="00D6207E" w14:paraId="11830A05" w14:textId="77777777" w:rsidTr="006D2543">
        <w:trPr>
          <w:jc w:val="center"/>
        </w:trPr>
        <w:tc>
          <w:tcPr>
            <w:tcW w:w="1271" w:type="dxa"/>
            <w:vAlign w:val="center"/>
          </w:tcPr>
          <w:p w14:paraId="1FAA7B8C" w14:textId="77777777" w:rsidR="005720AD" w:rsidRPr="00214ECE" w:rsidRDefault="005720AD" w:rsidP="00AE686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="Times New Roman" w:hAnsi="Times New Roman" w:cs="Times New Roman"/>
              </w:rPr>
            </w:pPr>
            <w:r w:rsidRPr="00214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Align w:val="center"/>
          </w:tcPr>
          <w:p w14:paraId="6A5272D6" w14:textId="54AE4B7D" w:rsidR="005720AD" w:rsidRPr="00214ECE" w:rsidRDefault="00214ECE" w:rsidP="00AE686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5680" w:type="dxa"/>
            <w:vAlign w:val="center"/>
          </w:tcPr>
          <w:p w14:paraId="780C78CB" w14:textId="45D22B15" w:rsidR="005720AD" w:rsidRPr="00214ECE" w:rsidRDefault="00214ECE" w:rsidP="00D72C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214ECE">
              <w:rPr>
                <w:rFonts w:ascii="Times New Roman" w:hAnsi="Times New Roman" w:cs="Times New Roman"/>
                <w:lang w:val="ru-RU" w:eastAsia="en-GB"/>
              </w:rPr>
              <w:t>−</w:t>
            </w:r>
            <w:r w:rsidRPr="00214ECE">
              <w:rPr>
                <w:rFonts w:ascii="Times New Roman" w:hAnsi="Times New Roman" w:cs="Times New Roman"/>
                <w:lang w:val="ru-RU"/>
              </w:rPr>
              <w:t>41 </w:t>
            </w:r>
            <w:proofErr w:type="spellStart"/>
            <w:r w:rsidRPr="00214ECE">
              <w:rPr>
                <w:rFonts w:ascii="Times New Roman" w:hAnsi="Times New Roman" w:cs="Times New Roman"/>
                <w:lang w:val="ru-RU"/>
              </w:rPr>
              <w:t>дБм</w:t>
            </w:r>
            <w:proofErr w:type="spellEnd"/>
            <w:r w:rsidRPr="00214ECE">
              <w:rPr>
                <w:rFonts w:ascii="Times New Roman" w:hAnsi="Times New Roman" w:cs="Times New Roman"/>
                <w:lang w:val="ru-RU"/>
              </w:rPr>
              <w:t xml:space="preserve">/МГц (0 МГц &lt; </w:t>
            </w:r>
            <w:proofErr w:type="spellStart"/>
            <w:r w:rsidRPr="00214ECE">
              <w:rPr>
                <w:rFonts w:ascii="Times New Roman" w:hAnsi="Times New Roman" w:cs="Times New Roman"/>
                <w:lang w:val="ru-RU"/>
              </w:rPr>
              <w:t>Δ</w:t>
            </w:r>
            <w:r w:rsidRPr="00214ECE">
              <w:rPr>
                <w:rFonts w:ascii="Times New Roman" w:hAnsi="Times New Roman" w:cs="Times New Roman"/>
                <w:i/>
                <w:iCs/>
                <w:lang w:val="ru-RU"/>
              </w:rPr>
              <w:t>f</w:t>
            </w:r>
            <w:proofErr w:type="spellEnd"/>
            <w:r w:rsidRPr="00214ECE">
              <w:rPr>
                <w:rFonts w:ascii="Times New Roman" w:hAnsi="Times New Roman" w:cs="Times New Roman"/>
                <w:lang w:val="ru-RU"/>
              </w:rPr>
              <w:t xml:space="preserve"> ≤ 41 МГц)</w:t>
            </w:r>
          </w:p>
        </w:tc>
      </w:tr>
      <w:tr w:rsidR="005720AD" w:rsidRPr="00D6207E" w14:paraId="719F102B" w14:textId="77777777" w:rsidTr="006D2543">
        <w:trPr>
          <w:jc w:val="center"/>
        </w:trPr>
        <w:tc>
          <w:tcPr>
            <w:tcW w:w="1271" w:type="dxa"/>
            <w:vAlign w:val="center"/>
          </w:tcPr>
          <w:p w14:paraId="6B242879" w14:textId="77777777" w:rsidR="005720AD" w:rsidRPr="00214ECE" w:rsidRDefault="005720AD" w:rsidP="00AE686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="Times New Roman" w:hAnsi="Times New Roman" w:cs="Times New Roman"/>
              </w:rPr>
            </w:pPr>
            <w:r w:rsidRPr="00214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Align w:val="center"/>
          </w:tcPr>
          <w:p w14:paraId="65318ECF" w14:textId="78C21E16" w:rsidR="005720AD" w:rsidRPr="00214ECE" w:rsidRDefault="00214ECE" w:rsidP="00AE686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5680" w:type="dxa"/>
            <w:vAlign w:val="center"/>
          </w:tcPr>
          <w:p w14:paraId="57717190" w14:textId="2A12A897" w:rsidR="00214ECE" w:rsidRPr="00214ECE" w:rsidRDefault="00214ECE" w:rsidP="00D72C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214ECE">
              <w:rPr>
                <w:rFonts w:ascii="Times New Roman" w:hAnsi="Times New Roman" w:cs="Times New Roman"/>
                <w:lang w:val="ru-RU"/>
              </w:rPr>
              <w:t>Дополнительное требование отсутствует</w:t>
            </w:r>
            <w:r w:rsidR="006D254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14ECE">
              <w:rPr>
                <w:rFonts w:ascii="Times New Roman" w:hAnsi="Times New Roman" w:cs="Times New Roman"/>
                <w:lang w:val="ru-RU"/>
              </w:rPr>
              <w:t>(0</w:t>
            </w:r>
            <w:r w:rsidR="00D72C59">
              <w:rPr>
                <w:rFonts w:ascii="Times New Roman" w:hAnsi="Times New Roman" w:cs="Times New Roman"/>
                <w:lang w:val="ru-RU"/>
              </w:rPr>
              <w:t> МГц</w:t>
            </w:r>
            <w:r w:rsidRPr="00214ECE">
              <w:rPr>
                <w:rFonts w:ascii="Times New Roman" w:hAnsi="Times New Roman" w:cs="Times New Roman"/>
                <w:lang w:val="ru-RU"/>
              </w:rPr>
              <w:t xml:space="preserve"> ≤ </w:t>
            </w:r>
            <w:proofErr w:type="spellStart"/>
            <w:r w:rsidRPr="00214ECE">
              <w:rPr>
                <w:rFonts w:ascii="Times New Roman" w:hAnsi="Times New Roman" w:cs="Times New Roman"/>
                <w:lang w:val="ru-RU"/>
              </w:rPr>
              <w:t>Δ</w:t>
            </w:r>
            <w:r w:rsidRPr="00214ECE">
              <w:rPr>
                <w:rFonts w:ascii="Times New Roman" w:hAnsi="Times New Roman" w:cs="Times New Roman"/>
                <w:i/>
                <w:iCs/>
                <w:lang w:val="ru-RU"/>
              </w:rPr>
              <w:t>f</w:t>
            </w:r>
            <w:proofErr w:type="spellEnd"/>
            <w:r w:rsidRPr="00214ECE">
              <w:rPr>
                <w:rFonts w:ascii="Times New Roman" w:hAnsi="Times New Roman" w:cs="Times New Roman"/>
                <w:lang w:val="ru-RU"/>
              </w:rPr>
              <w:t xml:space="preserve"> ≤ 7 МГц),</w:t>
            </w:r>
          </w:p>
          <w:p w14:paraId="7BAB31B6" w14:textId="361E75E8" w:rsidR="005720AD" w:rsidRPr="00214ECE" w:rsidRDefault="00214ECE" w:rsidP="00D72C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214ECE">
              <w:rPr>
                <w:rFonts w:ascii="Times New Roman" w:hAnsi="Times New Roman" w:cs="Times New Roman"/>
                <w:lang w:val="ru-RU" w:eastAsia="en-GB"/>
              </w:rPr>
              <w:t>−</w:t>
            </w:r>
            <w:r w:rsidRPr="00214ECE">
              <w:rPr>
                <w:rFonts w:ascii="Times New Roman" w:hAnsi="Times New Roman" w:cs="Times New Roman"/>
                <w:lang w:val="ru-RU"/>
              </w:rPr>
              <w:t>41 </w:t>
            </w:r>
            <w:proofErr w:type="spellStart"/>
            <w:r w:rsidRPr="00214ECE">
              <w:rPr>
                <w:rFonts w:ascii="Times New Roman" w:hAnsi="Times New Roman" w:cs="Times New Roman"/>
                <w:lang w:val="ru-RU"/>
              </w:rPr>
              <w:t>дБм</w:t>
            </w:r>
            <w:proofErr w:type="spellEnd"/>
            <w:r w:rsidRPr="00214ECE">
              <w:rPr>
                <w:rFonts w:ascii="Times New Roman" w:hAnsi="Times New Roman" w:cs="Times New Roman"/>
                <w:lang w:val="ru-RU"/>
              </w:rPr>
              <w:t xml:space="preserve">/МГц (7 МГц &lt; </w:t>
            </w:r>
            <w:proofErr w:type="spellStart"/>
            <w:r w:rsidRPr="00214ECE">
              <w:rPr>
                <w:rFonts w:ascii="Times New Roman" w:hAnsi="Times New Roman" w:cs="Times New Roman"/>
                <w:lang w:val="ru-RU"/>
              </w:rPr>
              <w:t>Δ</w:t>
            </w:r>
            <w:r w:rsidRPr="00214ECE">
              <w:rPr>
                <w:rFonts w:ascii="Times New Roman" w:hAnsi="Times New Roman" w:cs="Times New Roman"/>
                <w:i/>
                <w:iCs/>
                <w:lang w:val="ru-RU"/>
              </w:rPr>
              <w:t>f</w:t>
            </w:r>
            <w:proofErr w:type="spellEnd"/>
            <w:r w:rsidRPr="00214ECE">
              <w:rPr>
                <w:rFonts w:ascii="Times New Roman" w:hAnsi="Times New Roman" w:cs="Times New Roman"/>
                <w:lang w:val="ru-RU"/>
              </w:rPr>
              <w:t xml:space="preserve"> ≤ 41 МГц)</w:t>
            </w:r>
          </w:p>
        </w:tc>
      </w:tr>
    </w:tbl>
    <w:p w14:paraId="188B106A" w14:textId="77777777" w:rsidR="003A4E4F" w:rsidRPr="00CB1E30" w:rsidRDefault="003A4E4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CB1E30">
        <w:rPr>
          <w:lang w:val="ru-RU"/>
        </w:rPr>
        <w:br w:type="page"/>
      </w:r>
    </w:p>
    <w:p w14:paraId="43F6DA1D" w14:textId="55BA8B92" w:rsidR="003A4E4F" w:rsidRPr="00214ECE" w:rsidRDefault="003A4E4F" w:rsidP="003A4E4F">
      <w:pPr>
        <w:pStyle w:val="TableNo"/>
        <w:rPr>
          <w:rFonts w:eastAsia="Calibri"/>
          <w:lang w:val="ru-RU"/>
        </w:rPr>
      </w:pPr>
      <w:r w:rsidRPr="00214ECE">
        <w:rPr>
          <w:rFonts w:eastAsia="Calibri"/>
          <w:lang w:val="ru-RU"/>
        </w:rPr>
        <w:lastRenderedPageBreak/>
        <w:t>ТАБЛИЦА 1</w:t>
      </w:r>
      <w:r>
        <w:rPr>
          <w:rFonts w:eastAsia="Calibri"/>
          <w:lang w:val="ru-RU"/>
        </w:rPr>
        <w:t xml:space="preserve"> (</w:t>
      </w:r>
      <w:r w:rsidRPr="003A4E4F">
        <w:rPr>
          <w:rFonts w:eastAsia="Calibri"/>
          <w:i/>
          <w:lang w:val="ru-RU"/>
        </w:rPr>
        <w:t>окончание</w:t>
      </w:r>
      <w:r>
        <w:rPr>
          <w:rFonts w:eastAsia="Calibri"/>
          <w:lang w:val="ru-RU"/>
        </w:rPr>
        <w:t>)</w:t>
      </w:r>
    </w:p>
    <w:tbl>
      <w:tblPr>
        <w:tblStyle w:val="TableGrid"/>
        <w:tblW w:w="964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5685"/>
      </w:tblGrid>
      <w:tr w:rsidR="003A4E4F" w:rsidRPr="00D6207E" w14:paraId="68593EFE" w14:textId="77777777" w:rsidTr="0004438A">
        <w:trPr>
          <w:jc w:val="center"/>
        </w:trPr>
        <w:tc>
          <w:tcPr>
            <w:tcW w:w="1271" w:type="dxa"/>
            <w:vAlign w:val="center"/>
          </w:tcPr>
          <w:p w14:paraId="402D612D" w14:textId="77777777" w:rsidR="003A4E4F" w:rsidRPr="00214ECE" w:rsidRDefault="003A4E4F" w:rsidP="009B600B">
            <w:pPr>
              <w:pStyle w:val="Tablehead"/>
              <w:tabs>
                <w:tab w:val="clear" w:pos="1134"/>
                <w:tab w:val="clear" w:pos="2268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Вариант</w:t>
            </w:r>
          </w:p>
        </w:tc>
        <w:tc>
          <w:tcPr>
            <w:tcW w:w="2693" w:type="dxa"/>
          </w:tcPr>
          <w:p w14:paraId="27F5D018" w14:textId="60F6A54C" w:rsidR="003A4E4F" w:rsidRPr="00214ECE" w:rsidRDefault="003A4E4F" w:rsidP="009B600B">
            <w:pPr>
              <w:pStyle w:val="Tablehead"/>
              <w:tabs>
                <w:tab w:val="clear" w:pos="1134"/>
                <w:tab w:val="clear" w:pos="2268"/>
              </w:tabs>
              <w:rPr>
                <w:rFonts w:ascii="Times New Roman" w:hAnsi="Times New Roman" w:cs="Times New Roman"/>
                <w:lang w:val="ru-RU"/>
              </w:rPr>
            </w:pPr>
            <w:r w:rsidRPr="00214ECE">
              <w:rPr>
                <w:rFonts w:ascii="Times New Roman" w:hAnsi="Times New Roman" w:cs="Times New Roman"/>
                <w:lang w:val="ru-RU"/>
              </w:rPr>
              <w:t>Работа ПСС в полосе частот 1</w:t>
            </w:r>
            <w:r w:rsidR="00CC6970">
              <w:rPr>
                <w:rFonts w:ascii="Times New Roman" w:hAnsi="Times New Roman" w:cs="Times New Roman"/>
                <w:lang w:val="en-US"/>
              </w:rPr>
              <w:t> </w:t>
            </w:r>
            <w:r w:rsidRPr="00214ECE">
              <w:rPr>
                <w:rFonts w:ascii="Times New Roman" w:hAnsi="Times New Roman" w:cs="Times New Roman"/>
                <w:lang w:val="ru-RU"/>
              </w:rPr>
              <w:t>518–1</w:t>
            </w:r>
            <w:r w:rsidR="00CC6970">
              <w:rPr>
                <w:rFonts w:ascii="Times New Roman" w:hAnsi="Times New Roman" w:cs="Times New Roman"/>
                <w:lang w:val="en-US"/>
              </w:rPr>
              <w:t> </w:t>
            </w:r>
            <w:r w:rsidRPr="00214ECE">
              <w:rPr>
                <w:rFonts w:ascii="Times New Roman" w:hAnsi="Times New Roman" w:cs="Times New Roman"/>
                <w:lang w:val="ru-RU"/>
              </w:rPr>
              <w:t>525 МГц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 w:rsidRPr="00214ECE">
              <w:rPr>
                <w:rFonts w:ascii="Times New Roman" w:hAnsi="Times New Roman" w:cs="Times New Roman"/>
                <w:lang w:val="ru-RU"/>
              </w:rPr>
              <w:t>(Да/Нет)</w:t>
            </w:r>
          </w:p>
        </w:tc>
        <w:tc>
          <w:tcPr>
            <w:tcW w:w="5685" w:type="dxa"/>
          </w:tcPr>
          <w:p w14:paraId="1C3CECE8" w14:textId="76CBF3DC" w:rsidR="003A4E4F" w:rsidRPr="00214ECE" w:rsidRDefault="003A4E4F" w:rsidP="009B600B">
            <w:pPr>
              <w:pStyle w:val="Tablehead"/>
              <w:tabs>
                <w:tab w:val="clear" w:pos="1134"/>
                <w:tab w:val="clear" w:pos="2268"/>
              </w:tabs>
              <w:rPr>
                <w:rFonts w:ascii="Times New Roman" w:hAnsi="Times New Roman" w:cs="Times New Roman"/>
                <w:lang w:val="ru-RU"/>
              </w:rPr>
            </w:pPr>
            <w:r w:rsidRPr="00214ECE">
              <w:rPr>
                <w:rFonts w:ascii="Times New Roman" w:hAnsi="Times New Roman" w:cs="Times New Roman"/>
                <w:lang w:val="ru-RU"/>
              </w:rPr>
              <w:t xml:space="preserve">Максимальный уровень нежелательных </w:t>
            </w:r>
            <w:r w:rsidR="006D2543">
              <w:rPr>
                <w:rFonts w:ascii="Times New Roman" w:hAnsi="Times New Roman" w:cs="Times New Roman"/>
                <w:lang w:val="en-US"/>
              </w:rPr>
              <w:br/>
            </w:r>
            <w:r w:rsidRPr="00214ECE">
              <w:rPr>
                <w:rFonts w:ascii="Times New Roman" w:hAnsi="Times New Roman" w:cs="Times New Roman"/>
                <w:lang w:val="ru-RU"/>
              </w:rPr>
              <w:t>излучений (</w:t>
            </w:r>
            <w:proofErr w:type="spellStart"/>
            <w:r w:rsidRPr="00214ECE">
              <w:rPr>
                <w:rFonts w:ascii="Times New Roman" w:hAnsi="Times New Roman" w:cs="Times New Roman"/>
                <w:lang w:val="ru-RU"/>
              </w:rPr>
              <w:t>э.и.и.м</w:t>
            </w:r>
            <w:proofErr w:type="spellEnd"/>
            <w:r w:rsidRPr="00214ECE">
              <w:rPr>
                <w:rFonts w:ascii="Times New Roman" w:hAnsi="Times New Roman" w:cs="Times New Roman"/>
                <w:lang w:val="ru-RU"/>
              </w:rPr>
              <w:t xml:space="preserve">.) </w:t>
            </w:r>
            <w:r w:rsidRPr="00214ECE">
              <w:rPr>
                <w:rFonts w:ascii="Times New Roman" w:hAnsi="Times New Roman" w:cs="Times New Roman"/>
                <w:lang w:val="ru-RU"/>
              </w:rPr>
              <w:br/>
              <w:t>(</w:t>
            </w:r>
            <w:proofErr w:type="spellStart"/>
            <w:r w:rsidRPr="00214ECE">
              <w:rPr>
                <w:rFonts w:ascii="Times New Roman" w:hAnsi="Times New Roman" w:cs="Times New Roman"/>
                <w:lang w:val="ru-RU"/>
              </w:rPr>
              <w:t>Δ</w:t>
            </w:r>
            <w:r w:rsidRPr="00214ECE">
              <w:rPr>
                <w:rFonts w:ascii="Times New Roman" w:hAnsi="Times New Roman" w:cs="Times New Roman"/>
                <w:i/>
                <w:iCs/>
                <w:lang w:val="ru-RU"/>
              </w:rPr>
              <w:t>f</w:t>
            </w:r>
            <w:proofErr w:type="spellEnd"/>
            <w:r w:rsidRPr="00214EC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– частота относительно и выше</w:t>
            </w:r>
            <w:r w:rsidRPr="00214ECE">
              <w:rPr>
                <w:rFonts w:ascii="Times New Roman" w:hAnsi="Times New Roman" w:cs="Times New Roman"/>
                <w:lang w:val="ru-RU"/>
              </w:rPr>
              <w:t xml:space="preserve"> 1</w:t>
            </w:r>
            <w:r w:rsidR="00CC6970">
              <w:rPr>
                <w:rFonts w:ascii="Times New Roman" w:hAnsi="Times New Roman" w:cs="Times New Roman"/>
                <w:lang w:val="en-US"/>
              </w:rPr>
              <w:t> </w:t>
            </w:r>
            <w:r w:rsidRPr="00214ECE">
              <w:rPr>
                <w:rFonts w:ascii="Times New Roman" w:hAnsi="Times New Roman" w:cs="Times New Roman"/>
                <w:lang w:val="ru-RU"/>
              </w:rPr>
              <w:t>518 МГц)</w:t>
            </w:r>
          </w:p>
        </w:tc>
      </w:tr>
      <w:tr w:rsidR="005720AD" w:rsidRPr="00D6207E" w14:paraId="06946F40" w14:textId="77777777" w:rsidTr="0004438A">
        <w:trPr>
          <w:jc w:val="center"/>
        </w:trPr>
        <w:tc>
          <w:tcPr>
            <w:tcW w:w="1271" w:type="dxa"/>
            <w:vAlign w:val="center"/>
          </w:tcPr>
          <w:p w14:paraId="7E3C47F7" w14:textId="77777777" w:rsidR="005720AD" w:rsidRPr="00214ECE" w:rsidRDefault="005720AD" w:rsidP="00AE686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="Times New Roman" w:hAnsi="Times New Roman" w:cs="Times New Roman"/>
              </w:rPr>
            </w:pPr>
            <w:r w:rsidRPr="0021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Align w:val="center"/>
          </w:tcPr>
          <w:p w14:paraId="69A1C2CB" w14:textId="46A3CC68" w:rsidR="005720AD" w:rsidRPr="00214ECE" w:rsidRDefault="00214ECE" w:rsidP="00AE686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5685" w:type="dxa"/>
            <w:vAlign w:val="center"/>
          </w:tcPr>
          <w:p w14:paraId="2073343F" w14:textId="77777777" w:rsidR="00214ECE" w:rsidRPr="00214ECE" w:rsidRDefault="00214ECE" w:rsidP="00D72C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214ECE">
              <w:rPr>
                <w:rFonts w:ascii="Times New Roman" w:hAnsi="Times New Roman" w:cs="Times New Roman"/>
                <w:lang w:val="ru-RU" w:eastAsia="en-GB"/>
              </w:rPr>
              <w:t>−</w:t>
            </w:r>
            <w:r w:rsidRPr="00214ECE">
              <w:rPr>
                <w:rFonts w:ascii="Times New Roman" w:hAnsi="Times New Roman" w:cs="Times New Roman"/>
                <w:lang w:val="ru-RU"/>
              </w:rPr>
              <w:t>30 </w:t>
            </w:r>
            <w:proofErr w:type="spellStart"/>
            <w:r w:rsidRPr="00214ECE">
              <w:rPr>
                <w:rFonts w:ascii="Times New Roman" w:hAnsi="Times New Roman" w:cs="Times New Roman"/>
                <w:lang w:val="ru-RU"/>
              </w:rPr>
              <w:t>дБм</w:t>
            </w:r>
            <w:proofErr w:type="spellEnd"/>
            <w:r w:rsidRPr="00214ECE">
              <w:rPr>
                <w:rFonts w:ascii="Times New Roman" w:hAnsi="Times New Roman" w:cs="Times New Roman"/>
                <w:lang w:val="ru-RU"/>
              </w:rPr>
              <w:t xml:space="preserve">/МГц (0 МГц ≤ </w:t>
            </w:r>
            <w:proofErr w:type="spellStart"/>
            <w:r w:rsidRPr="00214ECE">
              <w:rPr>
                <w:rFonts w:ascii="Times New Roman" w:hAnsi="Times New Roman" w:cs="Times New Roman"/>
                <w:lang w:val="ru-RU"/>
              </w:rPr>
              <w:t>Δ</w:t>
            </w:r>
            <w:r w:rsidRPr="00214ECE">
              <w:rPr>
                <w:rFonts w:ascii="Times New Roman" w:hAnsi="Times New Roman" w:cs="Times New Roman"/>
                <w:i/>
                <w:iCs/>
                <w:lang w:val="ru-RU"/>
              </w:rPr>
              <w:t>f</w:t>
            </w:r>
            <w:proofErr w:type="spellEnd"/>
            <w:r w:rsidRPr="00214ECE">
              <w:rPr>
                <w:rFonts w:ascii="Times New Roman" w:hAnsi="Times New Roman" w:cs="Times New Roman"/>
                <w:lang w:val="ru-RU"/>
              </w:rPr>
              <w:t xml:space="preserve"> ≤ 2 МГц),</w:t>
            </w:r>
          </w:p>
          <w:p w14:paraId="7EA807FC" w14:textId="77777777" w:rsidR="00214ECE" w:rsidRPr="00214ECE" w:rsidRDefault="00214ECE" w:rsidP="00D72C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214ECE">
              <w:rPr>
                <w:rFonts w:ascii="Times New Roman" w:hAnsi="Times New Roman" w:cs="Times New Roman"/>
                <w:lang w:val="ru-RU" w:eastAsia="en-GB"/>
              </w:rPr>
              <w:t>−</w:t>
            </w:r>
            <w:r w:rsidRPr="00214ECE">
              <w:rPr>
                <w:rFonts w:ascii="Times New Roman" w:hAnsi="Times New Roman" w:cs="Times New Roman"/>
                <w:lang w:val="ru-RU"/>
              </w:rPr>
              <w:t>41 </w:t>
            </w:r>
            <w:proofErr w:type="spellStart"/>
            <w:r w:rsidRPr="00214ECE">
              <w:rPr>
                <w:rFonts w:ascii="Times New Roman" w:hAnsi="Times New Roman" w:cs="Times New Roman"/>
                <w:lang w:val="ru-RU"/>
              </w:rPr>
              <w:t>дБм</w:t>
            </w:r>
            <w:proofErr w:type="spellEnd"/>
            <w:r w:rsidRPr="00214ECE">
              <w:rPr>
                <w:rFonts w:ascii="Times New Roman" w:hAnsi="Times New Roman" w:cs="Times New Roman"/>
                <w:lang w:val="ru-RU"/>
              </w:rPr>
              <w:t xml:space="preserve">/МГц (2 МГц &lt; </w:t>
            </w:r>
            <w:proofErr w:type="spellStart"/>
            <w:r w:rsidRPr="00214ECE">
              <w:rPr>
                <w:rFonts w:ascii="Times New Roman" w:hAnsi="Times New Roman" w:cs="Times New Roman"/>
                <w:lang w:val="ru-RU"/>
              </w:rPr>
              <w:t>Δ</w:t>
            </w:r>
            <w:r w:rsidRPr="00214ECE">
              <w:rPr>
                <w:rFonts w:ascii="Times New Roman" w:hAnsi="Times New Roman" w:cs="Times New Roman"/>
                <w:i/>
                <w:iCs/>
                <w:lang w:val="ru-RU"/>
              </w:rPr>
              <w:t>f</w:t>
            </w:r>
            <w:proofErr w:type="spellEnd"/>
            <w:r w:rsidRPr="00214ECE">
              <w:rPr>
                <w:rFonts w:ascii="Times New Roman" w:hAnsi="Times New Roman" w:cs="Times New Roman"/>
                <w:lang w:val="ru-RU"/>
              </w:rPr>
              <w:t xml:space="preserve"> ≤ 7 МГц),</w:t>
            </w:r>
          </w:p>
          <w:p w14:paraId="6AF9A74F" w14:textId="0F474A1B" w:rsidR="005720AD" w:rsidRPr="00214ECE" w:rsidRDefault="00214ECE" w:rsidP="00D72C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214ECE">
              <w:rPr>
                <w:rFonts w:ascii="Times New Roman" w:hAnsi="Times New Roman" w:cs="Times New Roman"/>
                <w:lang w:val="ru-RU" w:eastAsia="en-GB"/>
              </w:rPr>
              <w:t>−</w:t>
            </w:r>
            <w:r w:rsidRPr="00214ECE">
              <w:rPr>
                <w:rFonts w:ascii="Times New Roman" w:hAnsi="Times New Roman" w:cs="Times New Roman"/>
                <w:lang w:val="ru-RU"/>
              </w:rPr>
              <w:t>52 </w:t>
            </w:r>
            <w:proofErr w:type="spellStart"/>
            <w:r w:rsidRPr="00214ECE">
              <w:rPr>
                <w:rFonts w:ascii="Times New Roman" w:hAnsi="Times New Roman" w:cs="Times New Roman"/>
                <w:lang w:val="ru-RU"/>
              </w:rPr>
              <w:t>дБм</w:t>
            </w:r>
            <w:proofErr w:type="spellEnd"/>
            <w:r w:rsidRPr="00214ECE">
              <w:rPr>
                <w:rFonts w:ascii="Times New Roman" w:hAnsi="Times New Roman" w:cs="Times New Roman"/>
                <w:lang w:val="ru-RU"/>
              </w:rPr>
              <w:t xml:space="preserve">/МГц (7 МГц &lt; </w:t>
            </w:r>
            <w:proofErr w:type="spellStart"/>
            <w:r w:rsidRPr="00214ECE">
              <w:rPr>
                <w:rFonts w:ascii="Times New Roman" w:hAnsi="Times New Roman" w:cs="Times New Roman"/>
                <w:lang w:val="ru-RU"/>
              </w:rPr>
              <w:t>Δ</w:t>
            </w:r>
            <w:r w:rsidRPr="00214ECE">
              <w:rPr>
                <w:rFonts w:ascii="Times New Roman" w:hAnsi="Times New Roman" w:cs="Times New Roman"/>
                <w:i/>
                <w:iCs/>
                <w:lang w:val="ru-RU"/>
              </w:rPr>
              <w:t>f</w:t>
            </w:r>
            <w:proofErr w:type="spellEnd"/>
            <w:r w:rsidRPr="00214ECE">
              <w:rPr>
                <w:rFonts w:ascii="Times New Roman" w:hAnsi="Times New Roman" w:cs="Times New Roman"/>
                <w:lang w:val="ru-RU"/>
              </w:rPr>
              <w:t xml:space="preserve"> ≤ 41 МГц)</w:t>
            </w:r>
          </w:p>
        </w:tc>
      </w:tr>
      <w:tr w:rsidR="005720AD" w:rsidRPr="00D6207E" w14:paraId="044BE5D0" w14:textId="77777777" w:rsidTr="0004438A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77CA3E0" w14:textId="7F7CF40B" w:rsidR="005720AD" w:rsidRPr="00214ECE" w:rsidRDefault="005720AD" w:rsidP="00AE686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="Times New Roman" w:hAnsi="Times New Roman" w:cs="Times New Roman"/>
              </w:rPr>
            </w:pPr>
            <w:r w:rsidRPr="00214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3A76FA3" w14:textId="6904F86E" w:rsidR="005720AD" w:rsidRPr="00214ECE" w:rsidRDefault="00214ECE" w:rsidP="00AE686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5685" w:type="dxa"/>
            <w:tcBorders>
              <w:bottom w:val="single" w:sz="4" w:space="0" w:color="auto"/>
            </w:tcBorders>
            <w:vAlign w:val="center"/>
          </w:tcPr>
          <w:p w14:paraId="39CE41D9" w14:textId="6ECF6A02" w:rsidR="003A4E4F" w:rsidRPr="003A4E4F" w:rsidRDefault="003A4E4F" w:rsidP="00D72C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3A4E4F">
              <w:rPr>
                <w:rFonts w:ascii="Times New Roman" w:hAnsi="Times New Roman" w:cs="Times New Roman"/>
                <w:lang w:val="ru-RU"/>
              </w:rPr>
              <w:t>Дополнительное требование отсутствует</w:t>
            </w:r>
            <w:r w:rsidR="0004438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A4E4F">
              <w:rPr>
                <w:rFonts w:ascii="Times New Roman" w:hAnsi="Times New Roman" w:cs="Times New Roman"/>
                <w:lang w:val="ru-RU"/>
              </w:rPr>
              <w:t>(0</w:t>
            </w:r>
            <w:r w:rsidR="00D72C59">
              <w:rPr>
                <w:rFonts w:ascii="Times New Roman" w:hAnsi="Times New Roman" w:cs="Times New Roman"/>
                <w:lang w:val="ru-RU"/>
              </w:rPr>
              <w:t xml:space="preserve"> МГц </w:t>
            </w:r>
            <w:r w:rsidRPr="003A4E4F">
              <w:rPr>
                <w:rFonts w:ascii="Times New Roman" w:hAnsi="Times New Roman" w:cs="Times New Roman"/>
                <w:lang w:val="ru-RU"/>
              </w:rPr>
              <w:t xml:space="preserve">≤ </w:t>
            </w:r>
            <w:proofErr w:type="spellStart"/>
            <w:r w:rsidRPr="003A4E4F">
              <w:rPr>
                <w:rFonts w:ascii="Times New Roman" w:hAnsi="Times New Roman" w:cs="Times New Roman"/>
                <w:lang w:val="ru-RU"/>
              </w:rPr>
              <w:t>Δ</w:t>
            </w:r>
            <w:r w:rsidRPr="003A4E4F">
              <w:rPr>
                <w:rFonts w:ascii="Times New Roman" w:hAnsi="Times New Roman" w:cs="Times New Roman"/>
                <w:i/>
                <w:iCs/>
                <w:lang w:val="ru-RU"/>
              </w:rPr>
              <w:t>f</w:t>
            </w:r>
            <w:proofErr w:type="spellEnd"/>
            <w:r w:rsidRPr="003A4E4F">
              <w:rPr>
                <w:rFonts w:ascii="Times New Roman" w:hAnsi="Times New Roman" w:cs="Times New Roman"/>
                <w:lang w:val="ru-RU"/>
              </w:rPr>
              <w:t xml:space="preserve"> ≤ 7 МГц),</w:t>
            </w:r>
          </w:p>
          <w:p w14:paraId="1D9550DD" w14:textId="357AA91B" w:rsidR="005720AD" w:rsidRPr="003A4E4F" w:rsidRDefault="003A4E4F" w:rsidP="00D72C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3A4E4F">
              <w:rPr>
                <w:rFonts w:ascii="Times New Roman" w:hAnsi="Times New Roman" w:cs="Times New Roman"/>
                <w:lang w:val="ru-RU" w:eastAsia="en-GB"/>
              </w:rPr>
              <w:t>−</w:t>
            </w:r>
            <w:r w:rsidRPr="003A4E4F">
              <w:rPr>
                <w:rFonts w:ascii="Times New Roman" w:hAnsi="Times New Roman" w:cs="Times New Roman"/>
                <w:lang w:val="ru-RU"/>
              </w:rPr>
              <w:t>52 </w:t>
            </w:r>
            <w:proofErr w:type="spellStart"/>
            <w:r w:rsidRPr="003A4E4F">
              <w:rPr>
                <w:rFonts w:ascii="Times New Roman" w:hAnsi="Times New Roman" w:cs="Times New Roman"/>
                <w:lang w:val="ru-RU"/>
              </w:rPr>
              <w:t>дБм</w:t>
            </w:r>
            <w:proofErr w:type="spellEnd"/>
            <w:r w:rsidRPr="003A4E4F">
              <w:rPr>
                <w:rFonts w:ascii="Times New Roman" w:hAnsi="Times New Roman" w:cs="Times New Roman"/>
                <w:lang w:val="ru-RU"/>
              </w:rPr>
              <w:t>/МГц (7</w:t>
            </w:r>
            <w:r>
              <w:rPr>
                <w:rFonts w:ascii="Times New Roman" w:hAnsi="Times New Roman" w:cs="Times New Roman"/>
                <w:lang w:val="ru-RU"/>
              </w:rPr>
              <w:t> </w:t>
            </w:r>
            <w:r w:rsidRPr="003A4E4F">
              <w:rPr>
                <w:rFonts w:ascii="Times New Roman" w:hAnsi="Times New Roman" w:cs="Times New Roman"/>
                <w:lang w:val="ru-RU"/>
              </w:rPr>
              <w:t xml:space="preserve">МГц &lt; </w:t>
            </w:r>
            <w:proofErr w:type="spellStart"/>
            <w:r w:rsidRPr="003A4E4F">
              <w:rPr>
                <w:rFonts w:ascii="Times New Roman" w:hAnsi="Times New Roman" w:cs="Times New Roman"/>
                <w:lang w:val="ru-RU"/>
              </w:rPr>
              <w:t>Δ</w:t>
            </w:r>
            <w:r w:rsidRPr="003A4E4F">
              <w:rPr>
                <w:rFonts w:ascii="Times New Roman" w:hAnsi="Times New Roman" w:cs="Times New Roman"/>
                <w:i/>
                <w:iCs/>
                <w:lang w:val="ru-RU"/>
              </w:rPr>
              <w:t>f</w:t>
            </w:r>
            <w:proofErr w:type="spellEnd"/>
            <w:r w:rsidRPr="003A4E4F">
              <w:rPr>
                <w:rFonts w:ascii="Times New Roman" w:hAnsi="Times New Roman" w:cs="Times New Roman"/>
                <w:lang w:val="ru-RU"/>
              </w:rPr>
              <w:t xml:space="preserve"> ≤ 41</w:t>
            </w:r>
            <w:r>
              <w:rPr>
                <w:rFonts w:ascii="Times New Roman" w:hAnsi="Times New Roman" w:cs="Times New Roman"/>
                <w:lang w:val="ru-RU"/>
              </w:rPr>
              <w:t> </w:t>
            </w:r>
            <w:r w:rsidRPr="003A4E4F">
              <w:rPr>
                <w:rFonts w:ascii="Times New Roman" w:hAnsi="Times New Roman" w:cs="Times New Roman"/>
                <w:lang w:val="ru-RU"/>
              </w:rPr>
              <w:t>МГц)</w:t>
            </w:r>
          </w:p>
        </w:tc>
      </w:tr>
      <w:tr w:rsidR="005720AD" w:rsidRPr="00D6207E" w14:paraId="3D6D1C13" w14:textId="77777777" w:rsidTr="003A4E4F">
        <w:trPr>
          <w:jc w:val="center"/>
        </w:trPr>
        <w:tc>
          <w:tcPr>
            <w:tcW w:w="9649" w:type="dxa"/>
            <w:gridSpan w:val="3"/>
            <w:tcBorders>
              <w:left w:val="nil"/>
              <w:bottom w:val="nil"/>
              <w:right w:val="nil"/>
            </w:tcBorders>
          </w:tcPr>
          <w:p w14:paraId="6EBC0087" w14:textId="79EFE08D" w:rsidR="005720AD" w:rsidRPr="003A4E4F" w:rsidRDefault="005720AD" w:rsidP="003A4E4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ru-RU" w:eastAsia="zh-CN"/>
              </w:rPr>
            </w:pPr>
            <w:r w:rsidRPr="00162D58">
              <w:rPr>
                <w:rFonts w:ascii="Times New Roman" w:hAnsi="Times New Roman" w:cs="Times New Roman"/>
                <w:color w:val="000000"/>
                <w:szCs w:val="18"/>
                <w:vertAlign w:val="superscript"/>
                <w:lang w:val="ru-RU"/>
              </w:rPr>
              <w:t>(1)</w:t>
            </w:r>
            <w:r w:rsidRPr="00162D58">
              <w:rPr>
                <w:rFonts w:ascii="Times New Roman" w:hAnsi="Times New Roman" w:cs="Times New Roman"/>
                <w:color w:val="000000"/>
                <w:szCs w:val="18"/>
                <w:lang w:val="ru-RU"/>
              </w:rPr>
              <w:tab/>
            </w:r>
            <w:r w:rsidR="003A4E4F" w:rsidRPr="00162D58">
              <w:rPr>
                <w:rFonts w:ascii="Times New Roman" w:hAnsi="Times New Roman" w:cs="Times New Roman"/>
                <w:szCs w:val="18"/>
                <w:lang w:val="ru-RU"/>
              </w:rPr>
              <w:t>Этот вариант предполагает, что верхняя граница блока частот IMT находится на частоте 1</w:t>
            </w:r>
            <w:r w:rsidR="00CC6970">
              <w:rPr>
                <w:rFonts w:ascii="Times New Roman" w:hAnsi="Times New Roman" w:cs="Times New Roman"/>
                <w:szCs w:val="18"/>
                <w:lang w:val="en-US"/>
              </w:rPr>
              <w:t> </w:t>
            </w:r>
            <w:r w:rsidR="003A4E4F" w:rsidRPr="00162D58">
              <w:rPr>
                <w:rFonts w:ascii="Times New Roman" w:hAnsi="Times New Roman" w:cs="Times New Roman"/>
                <w:szCs w:val="18"/>
                <w:lang w:val="ru-RU"/>
              </w:rPr>
              <w:t xml:space="preserve">517 МГц при максимальном значении </w:t>
            </w:r>
            <w:proofErr w:type="spellStart"/>
            <w:r w:rsidR="003A4E4F" w:rsidRPr="00162D58">
              <w:rPr>
                <w:rFonts w:ascii="Times New Roman" w:hAnsi="Times New Roman" w:cs="Times New Roman"/>
                <w:szCs w:val="18"/>
                <w:lang w:val="ru-RU"/>
              </w:rPr>
              <w:t>внутриполосной</w:t>
            </w:r>
            <w:proofErr w:type="spellEnd"/>
            <w:r w:rsidR="003A4E4F" w:rsidRPr="00162D58">
              <w:rPr>
                <w:rFonts w:ascii="Times New Roman" w:hAnsi="Times New Roman" w:cs="Times New Roman"/>
                <w:szCs w:val="18"/>
                <w:lang w:val="ru-RU"/>
              </w:rPr>
              <w:t xml:space="preserve"> </w:t>
            </w:r>
            <w:proofErr w:type="spellStart"/>
            <w:r w:rsidR="003A4E4F" w:rsidRPr="00162D58">
              <w:rPr>
                <w:rFonts w:ascii="Times New Roman" w:hAnsi="Times New Roman" w:cs="Times New Roman"/>
                <w:szCs w:val="18"/>
                <w:lang w:val="ru-RU"/>
              </w:rPr>
              <w:t>э.и.и.м</w:t>
            </w:r>
            <w:proofErr w:type="spellEnd"/>
            <w:r w:rsidR="003A4E4F" w:rsidRPr="00162D58">
              <w:rPr>
                <w:rFonts w:ascii="Times New Roman" w:hAnsi="Times New Roman" w:cs="Times New Roman"/>
                <w:szCs w:val="18"/>
                <w:lang w:val="ru-RU"/>
              </w:rPr>
              <w:t>. 58 </w:t>
            </w:r>
            <w:proofErr w:type="spellStart"/>
            <w:r w:rsidR="003A4E4F" w:rsidRPr="00162D58">
              <w:rPr>
                <w:rFonts w:ascii="Times New Roman" w:hAnsi="Times New Roman" w:cs="Times New Roman"/>
                <w:szCs w:val="18"/>
                <w:lang w:val="ru-RU"/>
              </w:rPr>
              <w:t>дБм</w:t>
            </w:r>
            <w:proofErr w:type="spellEnd"/>
            <w:r w:rsidR="003A4E4F" w:rsidRPr="00162D58">
              <w:rPr>
                <w:rFonts w:ascii="Times New Roman" w:hAnsi="Times New Roman" w:cs="Times New Roman"/>
                <w:szCs w:val="18"/>
                <w:lang w:val="ru-RU"/>
              </w:rPr>
              <w:t>/5 МГц для полосы 1</w:t>
            </w:r>
            <w:r w:rsidR="00CC6970">
              <w:rPr>
                <w:rFonts w:ascii="Times New Roman" w:hAnsi="Times New Roman" w:cs="Times New Roman"/>
                <w:szCs w:val="18"/>
                <w:lang w:val="en-US"/>
              </w:rPr>
              <w:t> </w:t>
            </w:r>
            <w:r w:rsidR="003A4E4F" w:rsidRPr="00162D58">
              <w:rPr>
                <w:rFonts w:ascii="Times New Roman" w:hAnsi="Times New Roman" w:cs="Times New Roman"/>
                <w:szCs w:val="18"/>
                <w:lang w:val="ru-RU"/>
              </w:rPr>
              <w:t>512–1</w:t>
            </w:r>
            <w:r w:rsidR="00CC6970">
              <w:rPr>
                <w:rFonts w:ascii="Times New Roman" w:hAnsi="Times New Roman" w:cs="Times New Roman"/>
                <w:szCs w:val="18"/>
                <w:lang w:val="en-US"/>
              </w:rPr>
              <w:t> </w:t>
            </w:r>
            <w:r w:rsidR="003A4E4F" w:rsidRPr="00162D58">
              <w:rPr>
                <w:rFonts w:ascii="Times New Roman" w:hAnsi="Times New Roman" w:cs="Times New Roman"/>
                <w:szCs w:val="18"/>
                <w:lang w:val="ru-RU"/>
              </w:rPr>
              <w:t>517 МГц. В результате применения уровня нежелательных излучений –0,8 </w:t>
            </w:r>
            <w:proofErr w:type="spellStart"/>
            <w:r w:rsidR="003A4E4F" w:rsidRPr="00162D58">
              <w:rPr>
                <w:rFonts w:ascii="Times New Roman" w:hAnsi="Times New Roman" w:cs="Times New Roman"/>
                <w:szCs w:val="18"/>
                <w:lang w:val="ru-RU"/>
              </w:rPr>
              <w:t>дБм</w:t>
            </w:r>
            <w:proofErr w:type="spellEnd"/>
            <w:r w:rsidR="003A4E4F" w:rsidRPr="00162D58">
              <w:rPr>
                <w:rFonts w:ascii="Times New Roman" w:hAnsi="Times New Roman" w:cs="Times New Roman"/>
                <w:szCs w:val="18"/>
                <w:lang w:val="ru-RU"/>
              </w:rPr>
              <w:t>/МГц ПСС не сможет работать в этом участке полосы частот 1</w:t>
            </w:r>
            <w:r w:rsidR="00CC6970">
              <w:rPr>
                <w:rFonts w:ascii="Times New Roman" w:hAnsi="Times New Roman" w:cs="Times New Roman"/>
                <w:szCs w:val="18"/>
                <w:lang w:val="en-US"/>
              </w:rPr>
              <w:t> </w:t>
            </w:r>
            <w:r w:rsidR="003A4E4F" w:rsidRPr="00162D58">
              <w:rPr>
                <w:rFonts w:ascii="Times New Roman" w:hAnsi="Times New Roman" w:cs="Times New Roman"/>
                <w:szCs w:val="18"/>
                <w:lang w:val="ru-RU"/>
              </w:rPr>
              <w:t>518–1</w:t>
            </w:r>
            <w:r w:rsidR="00CC6970">
              <w:rPr>
                <w:rFonts w:ascii="Times New Roman" w:hAnsi="Times New Roman" w:cs="Times New Roman"/>
                <w:szCs w:val="18"/>
                <w:lang w:val="en-US"/>
              </w:rPr>
              <w:t> </w:t>
            </w:r>
            <w:r w:rsidR="003A4E4F" w:rsidRPr="00162D58">
              <w:rPr>
                <w:rFonts w:ascii="Times New Roman" w:hAnsi="Times New Roman" w:cs="Times New Roman"/>
                <w:szCs w:val="18"/>
                <w:lang w:val="ru-RU"/>
              </w:rPr>
              <w:t>520 МГц в одной географической зоне с IMT.</w:t>
            </w:r>
          </w:p>
        </w:tc>
      </w:tr>
    </w:tbl>
    <w:p w14:paraId="5E9697E8" w14:textId="77777777" w:rsidR="005A3993" w:rsidRPr="003A4E4F" w:rsidRDefault="005A3993" w:rsidP="005A3993">
      <w:pPr>
        <w:pStyle w:val="Tablefin"/>
        <w:rPr>
          <w:sz w:val="18"/>
          <w:lang w:val="ru-RU"/>
        </w:rPr>
      </w:pPr>
    </w:p>
    <w:p w14:paraId="1DDAE76F" w14:textId="60DBD634" w:rsidR="005720AD" w:rsidRPr="003A4E4F" w:rsidRDefault="003A4E4F" w:rsidP="005720AD">
      <w:pPr>
        <w:rPr>
          <w:lang w:val="ru-RU"/>
        </w:rPr>
      </w:pPr>
      <w:r w:rsidRPr="003A4E4F">
        <w:rPr>
          <w:lang w:val="ru-RU"/>
        </w:rPr>
        <w:t>Варианты для пользовательского оборудования IMT определены в таблице</w:t>
      </w:r>
      <w:r>
        <w:rPr>
          <w:lang w:val="ru-RU"/>
        </w:rPr>
        <w:t> </w:t>
      </w:r>
      <w:r w:rsidRPr="003A4E4F">
        <w:rPr>
          <w:lang w:val="ru-RU"/>
        </w:rPr>
        <w:t>2.</w:t>
      </w:r>
    </w:p>
    <w:p w14:paraId="76D797D8" w14:textId="77777777" w:rsidR="00162D58" w:rsidRPr="00162D58" w:rsidRDefault="00162D58" w:rsidP="00162D58">
      <w:pPr>
        <w:pStyle w:val="TableNo"/>
        <w:rPr>
          <w:rFonts w:eastAsia="Calibri"/>
          <w:lang w:val="ru-RU"/>
        </w:rPr>
      </w:pPr>
      <w:r w:rsidRPr="00162D58">
        <w:rPr>
          <w:rFonts w:eastAsia="Calibri"/>
          <w:lang w:val="ru-RU"/>
        </w:rPr>
        <w:t>ТАБЛИЦА 2</w:t>
      </w:r>
    </w:p>
    <w:p w14:paraId="3AC9B15F" w14:textId="47E93553" w:rsidR="005720AD" w:rsidRPr="00162D58" w:rsidRDefault="00162D58" w:rsidP="00162D58">
      <w:pPr>
        <w:pStyle w:val="Tabletitle"/>
        <w:rPr>
          <w:rFonts w:eastAsia="Calibri"/>
          <w:lang w:val="ru-RU"/>
        </w:rPr>
      </w:pPr>
      <w:r w:rsidRPr="00162D58">
        <w:rPr>
          <w:rFonts w:eastAsia="Calibri"/>
          <w:lang w:val="ru-RU"/>
        </w:rPr>
        <w:t>Варианты пределов нежелательных излучений для пользовательского оборудования IMT</w:t>
      </w: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6242"/>
      </w:tblGrid>
      <w:tr w:rsidR="00162D58" w:rsidRPr="00D6207E" w14:paraId="54968AEB" w14:textId="77777777" w:rsidTr="0004438A">
        <w:trPr>
          <w:jc w:val="center"/>
        </w:trPr>
        <w:tc>
          <w:tcPr>
            <w:tcW w:w="1271" w:type="dxa"/>
          </w:tcPr>
          <w:p w14:paraId="66A65CE8" w14:textId="56557542" w:rsidR="00162D58" w:rsidRPr="00162D58" w:rsidRDefault="00162D58" w:rsidP="00162D58">
            <w:pPr>
              <w:pStyle w:val="Tablehead"/>
              <w:tabs>
                <w:tab w:val="clear" w:pos="1134"/>
                <w:tab w:val="clear" w:pos="2268"/>
              </w:tabs>
              <w:rPr>
                <w:rFonts w:ascii="Times New Roman" w:hAnsi="Times New Roman" w:cs="Times New Roman"/>
              </w:rPr>
            </w:pPr>
            <w:r w:rsidRPr="00162D58">
              <w:rPr>
                <w:rFonts w:ascii="Times New Roman" w:hAnsi="Times New Roman" w:cs="Times New Roman"/>
                <w:lang w:val="ru-RU"/>
              </w:rPr>
              <w:t>Вариант</w:t>
            </w:r>
          </w:p>
        </w:tc>
        <w:tc>
          <w:tcPr>
            <w:tcW w:w="2126" w:type="dxa"/>
          </w:tcPr>
          <w:p w14:paraId="1747107E" w14:textId="6C395FCC" w:rsidR="00162D58" w:rsidRPr="00162D58" w:rsidDel="00D95693" w:rsidRDefault="00162D58" w:rsidP="00162D58">
            <w:pPr>
              <w:pStyle w:val="Tablehead"/>
              <w:tabs>
                <w:tab w:val="clear" w:pos="1134"/>
                <w:tab w:val="clear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Применение</w:t>
            </w:r>
          </w:p>
        </w:tc>
        <w:tc>
          <w:tcPr>
            <w:tcW w:w="6242" w:type="dxa"/>
          </w:tcPr>
          <w:p w14:paraId="1C506DF2" w14:textId="23EB4041" w:rsidR="00162D58" w:rsidRPr="00162D58" w:rsidRDefault="00162D58" w:rsidP="00162D58">
            <w:pPr>
              <w:pStyle w:val="Tablehead"/>
              <w:tabs>
                <w:tab w:val="clear" w:pos="1134"/>
                <w:tab w:val="clear" w:pos="2268"/>
              </w:tabs>
              <w:rPr>
                <w:rFonts w:ascii="Times New Roman" w:hAnsi="Times New Roman" w:cs="Times New Roman"/>
                <w:lang w:val="ru-RU"/>
              </w:rPr>
            </w:pPr>
            <w:r w:rsidRPr="00162D58">
              <w:rPr>
                <w:rFonts w:ascii="Times New Roman" w:hAnsi="Times New Roman" w:cs="Times New Roman"/>
                <w:lang w:val="ru-RU"/>
              </w:rPr>
              <w:t>Максимальный уровень нежелательных излучений</w:t>
            </w:r>
            <w:r w:rsidRPr="00162D58">
              <w:rPr>
                <w:rFonts w:ascii="Times New Roman" w:hAnsi="Times New Roman" w:cs="Times New Roman"/>
                <w:lang w:val="ru-RU"/>
              </w:rPr>
              <w:br/>
              <w:t>(</w:t>
            </w:r>
            <w:proofErr w:type="spellStart"/>
            <w:r w:rsidRPr="00162D58">
              <w:rPr>
                <w:rFonts w:ascii="Times New Roman" w:hAnsi="Times New Roman" w:cs="Times New Roman"/>
                <w:lang w:val="ru-RU"/>
              </w:rPr>
              <w:t>Δ</w:t>
            </w:r>
            <w:r w:rsidRPr="00162D58">
              <w:rPr>
                <w:rFonts w:ascii="Times New Roman" w:hAnsi="Times New Roman" w:cs="Times New Roman"/>
                <w:i/>
                <w:iCs/>
                <w:lang w:val="ru-RU"/>
              </w:rPr>
              <w:t>f</w:t>
            </w:r>
            <w:proofErr w:type="spellEnd"/>
            <w:r w:rsidRPr="00162D58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162D58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частота относительно и выше</w:t>
            </w:r>
            <w:r w:rsidRPr="00162D58">
              <w:rPr>
                <w:rFonts w:ascii="Times New Roman" w:hAnsi="Times New Roman" w:cs="Times New Roman"/>
                <w:lang w:val="ru-RU"/>
              </w:rPr>
              <w:t xml:space="preserve"> 1</w:t>
            </w:r>
            <w:r w:rsidR="00CC6970">
              <w:rPr>
                <w:rFonts w:ascii="Times New Roman" w:hAnsi="Times New Roman" w:cs="Times New Roman"/>
                <w:lang w:val="en-US"/>
              </w:rPr>
              <w:t> </w:t>
            </w:r>
            <w:r w:rsidRPr="00162D58">
              <w:rPr>
                <w:rFonts w:ascii="Times New Roman" w:hAnsi="Times New Roman" w:cs="Times New Roman"/>
                <w:lang w:val="ru-RU"/>
              </w:rPr>
              <w:t>518</w:t>
            </w:r>
            <w:r>
              <w:rPr>
                <w:rFonts w:ascii="Times New Roman" w:hAnsi="Times New Roman" w:cs="Times New Roman"/>
                <w:lang w:val="ru-RU"/>
              </w:rPr>
              <w:t> </w:t>
            </w:r>
            <w:r w:rsidRPr="00162D58">
              <w:rPr>
                <w:rFonts w:ascii="Times New Roman" w:hAnsi="Times New Roman" w:cs="Times New Roman"/>
                <w:lang w:val="ru-RU"/>
              </w:rPr>
              <w:t>МГц)</w:t>
            </w:r>
          </w:p>
        </w:tc>
      </w:tr>
      <w:tr w:rsidR="00162D58" w:rsidRPr="005A3993" w14:paraId="7DFB0266" w14:textId="77777777" w:rsidTr="0004438A">
        <w:trPr>
          <w:jc w:val="center"/>
        </w:trPr>
        <w:tc>
          <w:tcPr>
            <w:tcW w:w="1271" w:type="dxa"/>
            <w:vAlign w:val="center"/>
          </w:tcPr>
          <w:p w14:paraId="2E5C4771" w14:textId="568A4BC5" w:rsidR="00162D58" w:rsidRPr="00162D58" w:rsidRDefault="00162D58" w:rsidP="00162D5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="Times New Roman" w:hAnsi="Times New Roman" w:cs="Times New Roman"/>
              </w:rPr>
            </w:pPr>
            <w:r w:rsidRPr="00162D58">
              <w:rPr>
                <w:rFonts w:ascii="Times New Roman" w:hAnsi="Times New Roman" w:cs="Times New Roman"/>
              </w:rPr>
              <w:t>1</w:t>
            </w:r>
            <w:r w:rsidRPr="00162D58">
              <w:rPr>
                <w:rFonts w:ascii="Times New Roman" w:hAnsi="Times New Roman" w:cs="Times New Roman"/>
                <w:color w:val="000000"/>
                <w:vertAlign w:val="superscript"/>
              </w:rPr>
              <w:t>(1),</w:t>
            </w:r>
            <w:r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 </w:t>
            </w:r>
            <w:r w:rsidRPr="00162D58">
              <w:rPr>
                <w:rFonts w:ascii="Times New Roman" w:hAnsi="Times New Roman" w:cs="Times New Roman"/>
                <w:color w:val="000000"/>
                <w:vertAlign w:val="superscript"/>
              </w:rPr>
              <w:t>(2)</w:t>
            </w:r>
          </w:p>
        </w:tc>
        <w:tc>
          <w:tcPr>
            <w:tcW w:w="2126" w:type="dxa"/>
            <w:vAlign w:val="center"/>
          </w:tcPr>
          <w:p w14:paraId="252D8D5F" w14:textId="77777777" w:rsidR="00162D58" w:rsidRPr="00162D58" w:rsidRDefault="00162D58" w:rsidP="00162D5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="Times New Roman" w:hAnsi="Times New Roman" w:cs="Times New Roman"/>
              </w:rPr>
            </w:pPr>
            <w:r w:rsidRPr="00162D58">
              <w:rPr>
                <w:rFonts w:ascii="Times New Roman" w:hAnsi="Times New Roman" w:cs="Times New Roman"/>
              </w:rPr>
              <w:t>IMT TDD</w:t>
            </w:r>
          </w:p>
        </w:tc>
        <w:tc>
          <w:tcPr>
            <w:tcW w:w="6242" w:type="dxa"/>
            <w:vAlign w:val="center"/>
          </w:tcPr>
          <w:p w14:paraId="5F954EC0" w14:textId="3419398A" w:rsidR="00162D58" w:rsidRPr="00162D58" w:rsidRDefault="00162D58" w:rsidP="00D72C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="Times New Roman" w:hAnsi="Times New Roman" w:cs="Times New Roman"/>
              </w:rPr>
            </w:pPr>
            <w:r w:rsidRPr="00162D58">
              <w:rPr>
                <w:rFonts w:ascii="Times New Roman" w:hAnsi="Times New Roman" w:cs="Times New Roman"/>
              </w:rPr>
              <w:t>−70</w:t>
            </w:r>
            <w:r w:rsidR="00A76E03" w:rsidRPr="00A76E03">
              <w:rPr>
                <w:rFonts w:ascii="Times New Roman" w:hAnsi="Times New Roman" w:cs="Times New Roman"/>
              </w:rPr>
              <w:t> </w:t>
            </w:r>
            <w:proofErr w:type="spellStart"/>
            <w:r w:rsidRPr="00162D58">
              <w:rPr>
                <w:rFonts w:ascii="Times New Roman" w:hAnsi="Times New Roman" w:cs="Times New Roman"/>
                <w:lang w:val="ru-RU"/>
              </w:rPr>
              <w:t>дБм</w:t>
            </w:r>
            <w:proofErr w:type="spellEnd"/>
            <w:r w:rsidRPr="00162D58">
              <w:rPr>
                <w:rFonts w:ascii="Times New Roman" w:hAnsi="Times New Roman" w:cs="Times New Roman"/>
              </w:rPr>
              <w:t>/</w:t>
            </w:r>
            <w:r w:rsidRPr="00162D58">
              <w:rPr>
                <w:rFonts w:ascii="Times New Roman" w:hAnsi="Times New Roman" w:cs="Times New Roman"/>
                <w:lang w:val="ru-RU"/>
              </w:rPr>
              <w:t>МГц</w:t>
            </w:r>
            <w:r w:rsidRPr="00162D58">
              <w:rPr>
                <w:rFonts w:ascii="Times New Roman" w:hAnsi="Times New Roman" w:cs="Times New Roman"/>
              </w:rPr>
              <w:t xml:space="preserve"> (0</w:t>
            </w:r>
            <w:r w:rsidR="00A76E03" w:rsidRPr="00A76E03">
              <w:rPr>
                <w:rFonts w:ascii="Times New Roman" w:hAnsi="Times New Roman" w:cs="Times New Roman"/>
              </w:rPr>
              <w:t> </w:t>
            </w:r>
            <w:r w:rsidRPr="00162D58">
              <w:rPr>
                <w:rFonts w:ascii="Times New Roman" w:hAnsi="Times New Roman" w:cs="Times New Roman"/>
                <w:lang w:val="ru-RU"/>
              </w:rPr>
              <w:t>МГц</w:t>
            </w:r>
            <w:r w:rsidRPr="00162D58">
              <w:rPr>
                <w:rFonts w:ascii="Times New Roman" w:hAnsi="Times New Roman" w:cs="Times New Roman"/>
              </w:rPr>
              <w:t xml:space="preserve"> &lt; </w:t>
            </w:r>
            <w:r w:rsidRPr="00162D58">
              <w:rPr>
                <w:rFonts w:ascii="Times New Roman" w:hAnsi="Times New Roman" w:cs="Times New Roman"/>
                <w:lang w:val="ru-RU"/>
              </w:rPr>
              <w:t>Δ</w:t>
            </w:r>
            <w:r w:rsidRPr="00162D58">
              <w:rPr>
                <w:rFonts w:ascii="Times New Roman" w:hAnsi="Times New Roman" w:cs="Times New Roman"/>
                <w:i/>
                <w:iCs/>
              </w:rPr>
              <w:t>f</w:t>
            </w:r>
            <w:r w:rsidRPr="00162D58">
              <w:rPr>
                <w:rFonts w:ascii="Times New Roman" w:hAnsi="Times New Roman" w:cs="Times New Roman"/>
              </w:rPr>
              <w:t xml:space="preserve"> ≤ 41</w:t>
            </w:r>
            <w:r w:rsidR="00A76E03" w:rsidRPr="00A76E03">
              <w:rPr>
                <w:rFonts w:ascii="Times New Roman" w:hAnsi="Times New Roman" w:cs="Times New Roman"/>
              </w:rPr>
              <w:t> </w:t>
            </w:r>
            <w:r w:rsidRPr="00162D58">
              <w:rPr>
                <w:rFonts w:ascii="Times New Roman" w:hAnsi="Times New Roman" w:cs="Times New Roman"/>
                <w:lang w:val="ru-RU"/>
              </w:rPr>
              <w:t>МГц</w:t>
            </w:r>
            <w:r w:rsidRPr="00162D58">
              <w:rPr>
                <w:rFonts w:ascii="Times New Roman" w:hAnsi="Times New Roman" w:cs="Times New Roman"/>
              </w:rPr>
              <w:t>)</w:t>
            </w:r>
          </w:p>
        </w:tc>
      </w:tr>
      <w:tr w:rsidR="00162D58" w:rsidRPr="005A3993" w14:paraId="751CD5F6" w14:textId="77777777" w:rsidTr="0004438A">
        <w:trPr>
          <w:jc w:val="center"/>
        </w:trPr>
        <w:tc>
          <w:tcPr>
            <w:tcW w:w="1271" w:type="dxa"/>
            <w:vAlign w:val="center"/>
          </w:tcPr>
          <w:p w14:paraId="2197FD6A" w14:textId="1289A2E7" w:rsidR="00162D58" w:rsidRPr="00162D58" w:rsidRDefault="00162D58" w:rsidP="00162D5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="Times New Roman" w:hAnsi="Times New Roman" w:cs="Times New Roman"/>
              </w:rPr>
            </w:pPr>
            <w:r w:rsidRPr="00162D58">
              <w:rPr>
                <w:rFonts w:ascii="Times New Roman" w:hAnsi="Times New Roman" w:cs="Times New Roman"/>
              </w:rPr>
              <w:t>2</w:t>
            </w:r>
            <w:r w:rsidRPr="00162D58">
              <w:rPr>
                <w:rFonts w:ascii="Times New Roman" w:hAnsi="Times New Roman" w:cs="Times New Roman"/>
                <w:color w:val="000000"/>
                <w:vertAlign w:val="superscript"/>
              </w:rPr>
              <w:t>(3)</w:t>
            </w:r>
          </w:p>
        </w:tc>
        <w:tc>
          <w:tcPr>
            <w:tcW w:w="2126" w:type="dxa"/>
            <w:vAlign w:val="center"/>
          </w:tcPr>
          <w:p w14:paraId="5EE196CF" w14:textId="77777777" w:rsidR="00162D58" w:rsidRPr="00162D58" w:rsidRDefault="00162D58" w:rsidP="00162D5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="Times New Roman" w:hAnsi="Times New Roman" w:cs="Times New Roman"/>
              </w:rPr>
            </w:pPr>
            <w:r w:rsidRPr="00162D58">
              <w:rPr>
                <w:rFonts w:ascii="Times New Roman" w:hAnsi="Times New Roman" w:cs="Times New Roman"/>
              </w:rPr>
              <w:t>IMT TDD</w:t>
            </w:r>
          </w:p>
        </w:tc>
        <w:tc>
          <w:tcPr>
            <w:tcW w:w="6242" w:type="dxa"/>
            <w:vAlign w:val="center"/>
          </w:tcPr>
          <w:p w14:paraId="0F637219" w14:textId="1E3A5283" w:rsidR="00162D58" w:rsidRPr="00162D58" w:rsidRDefault="00162D58" w:rsidP="00D72C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="Times New Roman" w:hAnsi="Times New Roman" w:cs="Times New Roman"/>
              </w:rPr>
            </w:pPr>
            <w:r w:rsidRPr="00162D58">
              <w:rPr>
                <w:rFonts w:ascii="Times New Roman" w:hAnsi="Times New Roman" w:cs="Times New Roman"/>
              </w:rPr>
              <w:t>−20</w:t>
            </w:r>
            <w:r w:rsidR="00A76E03" w:rsidRPr="00A76E03">
              <w:rPr>
                <w:rFonts w:ascii="Times New Roman" w:hAnsi="Times New Roman" w:cs="Times New Roman"/>
              </w:rPr>
              <w:t> </w:t>
            </w:r>
            <w:proofErr w:type="spellStart"/>
            <w:r w:rsidRPr="00162D58">
              <w:rPr>
                <w:rFonts w:ascii="Times New Roman" w:hAnsi="Times New Roman" w:cs="Times New Roman"/>
                <w:lang w:val="ru-RU"/>
              </w:rPr>
              <w:t>дБм</w:t>
            </w:r>
            <w:proofErr w:type="spellEnd"/>
            <w:r w:rsidRPr="00162D58">
              <w:rPr>
                <w:rFonts w:ascii="Times New Roman" w:hAnsi="Times New Roman" w:cs="Times New Roman"/>
              </w:rPr>
              <w:t>/</w:t>
            </w:r>
            <w:r w:rsidRPr="00162D58">
              <w:rPr>
                <w:rFonts w:ascii="Times New Roman" w:hAnsi="Times New Roman" w:cs="Times New Roman"/>
                <w:lang w:val="ru-RU"/>
              </w:rPr>
              <w:t>МГц</w:t>
            </w:r>
            <w:r w:rsidRPr="00162D58">
              <w:rPr>
                <w:rFonts w:ascii="Times New Roman" w:hAnsi="Times New Roman" w:cs="Times New Roman"/>
              </w:rPr>
              <w:t xml:space="preserve"> (2</w:t>
            </w:r>
            <w:r w:rsidR="00A76E03" w:rsidRPr="00A76E03">
              <w:rPr>
                <w:rFonts w:ascii="Times New Roman" w:hAnsi="Times New Roman" w:cs="Times New Roman"/>
              </w:rPr>
              <w:t> </w:t>
            </w:r>
            <w:r w:rsidRPr="00162D58">
              <w:rPr>
                <w:rFonts w:ascii="Times New Roman" w:hAnsi="Times New Roman" w:cs="Times New Roman"/>
                <w:lang w:val="ru-RU"/>
              </w:rPr>
              <w:t>МГц</w:t>
            </w:r>
            <w:r w:rsidRPr="00162D58">
              <w:rPr>
                <w:rFonts w:ascii="Times New Roman" w:hAnsi="Times New Roman" w:cs="Times New Roman"/>
              </w:rPr>
              <w:t xml:space="preserve"> &lt; </w:t>
            </w:r>
            <w:r w:rsidRPr="00162D58">
              <w:rPr>
                <w:rFonts w:ascii="Times New Roman" w:hAnsi="Times New Roman" w:cs="Times New Roman"/>
                <w:lang w:val="ru-RU"/>
              </w:rPr>
              <w:t>Δ</w:t>
            </w:r>
            <w:r w:rsidRPr="00162D58">
              <w:rPr>
                <w:rFonts w:ascii="Times New Roman" w:hAnsi="Times New Roman" w:cs="Times New Roman"/>
                <w:i/>
                <w:iCs/>
              </w:rPr>
              <w:t>f</w:t>
            </w:r>
            <w:r w:rsidRPr="00162D58">
              <w:rPr>
                <w:rFonts w:ascii="Times New Roman" w:hAnsi="Times New Roman" w:cs="Times New Roman"/>
              </w:rPr>
              <w:t xml:space="preserve"> ≤ 41</w:t>
            </w:r>
            <w:r w:rsidR="00A76E03" w:rsidRPr="00A76E03">
              <w:rPr>
                <w:rFonts w:ascii="Times New Roman" w:hAnsi="Times New Roman" w:cs="Times New Roman"/>
              </w:rPr>
              <w:t> </w:t>
            </w:r>
            <w:r w:rsidRPr="00162D58">
              <w:rPr>
                <w:rFonts w:ascii="Times New Roman" w:hAnsi="Times New Roman" w:cs="Times New Roman"/>
                <w:lang w:val="ru-RU"/>
              </w:rPr>
              <w:t>МГц</w:t>
            </w:r>
            <w:r w:rsidRPr="00162D58">
              <w:rPr>
                <w:rFonts w:ascii="Times New Roman" w:hAnsi="Times New Roman" w:cs="Times New Roman"/>
              </w:rPr>
              <w:t>)</w:t>
            </w:r>
          </w:p>
        </w:tc>
      </w:tr>
      <w:tr w:rsidR="00162D58" w:rsidRPr="00D6207E" w14:paraId="304793A0" w14:textId="77777777" w:rsidTr="0004438A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E493700" w14:textId="77777777" w:rsidR="00162D58" w:rsidRPr="00162D58" w:rsidRDefault="00162D58" w:rsidP="00162D5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="Times New Roman" w:hAnsi="Times New Roman" w:cs="Times New Roman"/>
              </w:rPr>
            </w:pPr>
            <w:r w:rsidRPr="00162D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9CFE5ED" w14:textId="05BFB9CC" w:rsidR="00162D58" w:rsidRPr="00162D58" w:rsidRDefault="00162D58" w:rsidP="00162D5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="Times New Roman" w:hAnsi="Times New Roman" w:cs="Times New Roman"/>
              </w:rPr>
            </w:pPr>
            <w:r w:rsidRPr="00162D58">
              <w:rPr>
                <w:rFonts w:ascii="Times New Roman" w:hAnsi="Times New Roman" w:cs="Times New Roman"/>
              </w:rPr>
              <w:t xml:space="preserve">IMT SDL </w:t>
            </w:r>
            <w:r>
              <w:rPr>
                <w:rFonts w:ascii="Times New Roman" w:hAnsi="Times New Roman" w:cs="Times New Roman"/>
                <w:lang w:val="ru-RU"/>
              </w:rPr>
              <w:t>или </w:t>
            </w:r>
            <w:r w:rsidRPr="00162D58">
              <w:rPr>
                <w:rFonts w:ascii="Times New Roman" w:hAnsi="Times New Roman" w:cs="Times New Roman"/>
              </w:rPr>
              <w:t>FDD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07B4705F" w14:textId="56BD86EA" w:rsidR="00162D58" w:rsidRPr="00A76E03" w:rsidRDefault="00162D58" w:rsidP="00D72C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162D58">
              <w:rPr>
                <w:rFonts w:ascii="Times New Roman" w:hAnsi="Times New Roman" w:cs="Times New Roman"/>
                <w:lang w:val="ru-RU"/>
              </w:rPr>
              <w:t>Отсутствует, учитывая</w:t>
            </w:r>
            <w:r w:rsidR="00A76E03">
              <w:rPr>
                <w:rFonts w:ascii="Times New Roman" w:hAnsi="Times New Roman" w:cs="Times New Roman"/>
                <w:lang w:val="ru-RU"/>
              </w:rPr>
              <w:t xml:space="preserve"> отсутствие </w:t>
            </w:r>
            <w:r w:rsidR="00A76E03">
              <w:rPr>
                <w:rFonts w:ascii="Times New Roman" w:hAnsi="Times New Roman" w:cs="Times New Roman"/>
                <w:lang w:val="en-US"/>
              </w:rPr>
              <w:t>UE</w:t>
            </w:r>
            <w:r w:rsidR="00A76E03">
              <w:rPr>
                <w:rFonts w:ascii="Times New Roman" w:hAnsi="Times New Roman" w:cs="Times New Roman"/>
                <w:lang w:val="ru-RU"/>
              </w:rPr>
              <w:t>, осуществляющ</w:t>
            </w:r>
            <w:r w:rsidR="00D72C59">
              <w:rPr>
                <w:rFonts w:ascii="Times New Roman" w:hAnsi="Times New Roman" w:cs="Times New Roman"/>
                <w:lang w:val="ru-RU"/>
              </w:rPr>
              <w:t>его</w:t>
            </w:r>
            <w:r w:rsidR="00A76E03">
              <w:rPr>
                <w:rFonts w:ascii="Times New Roman" w:hAnsi="Times New Roman" w:cs="Times New Roman"/>
                <w:lang w:val="ru-RU"/>
              </w:rPr>
              <w:t xml:space="preserve"> передачу данных, в полосе частот 1</w:t>
            </w:r>
            <w:r w:rsidR="00CC6970">
              <w:rPr>
                <w:rFonts w:ascii="Times New Roman" w:hAnsi="Times New Roman" w:cs="Times New Roman"/>
                <w:lang w:val="en-US"/>
              </w:rPr>
              <w:t> </w:t>
            </w:r>
            <w:r w:rsidR="00A76E03">
              <w:rPr>
                <w:rFonts w:ascii="Times New Roman" w:hAnsi="Times New Roman" w:cs="Times New Roman"/>
                <w:lang w:val="ru-RU"/>
              </w:rPr>
              <w:t>492–1</w:t>
            </w:r>
            <w:r w:rsidR="00CC6970">
              <w:rPr>
                <w:rFonts w:ascii="Times New Roman" w:hAnsi="Times New Roman" w:cs="Times New Roman"/>
                <w:lang w:val="en-US"/>
              </w:rPr>
              <w:t> </w:t>
            </w:r>
            <w:r w:rsidR="00A76E03">
              <w:rPr>
                <w:rFonts w:ascii="Times New Roman" w:hAnsi="Times New Roman" w:cs="Times New Roman"/>
                <w:lang w:val="ru-RU"/>
              </w:rPr>
              <w:t>518 МГц</w:t>
            </w:r>
          </w:p>
        </w:tc>
      </w:tr>
      <w:tr w:rsidR="005720AD" w:rsidRPr="00D6207E" w14:paraId="4CA1E75D" w14:textId="77777777" w:rsidTr="00162D58">
        <w:trPr>
          <w:jc w:val="center"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</w:tcPr>
          <w:p w14:paraId="44F733EC" w14:textId="67A6F6BA" w:rsidR="005720AD" w:rsidRPr="00A76E03" w:rsidRDefault="005720AD" w:rsidP="00AE6864">
            <w:pPr>
              <w:pStyle w:val="Tablelegend"/>
              <w:tabs>
                <w:tab w:val="clear" w:pos="567"/>
                <w:tab w:val="clear" w:pos="851"/>
                <w:tab w:val="clear" w:pos="1134"/>
                <w:tab w:val="clear" w:pos="2268"/>
              </w:tabs>
              <w:rPr>
                <w:rFonts w:ascii="Times New Roman" w:hAnsi="Times New Roman" w:cs="Times New Roman"/>
                <w:lang w:val="ru-RU"/>
              </w:rPr>
            </w:pPr>
            <w:r w:rsidRPr="00A76E03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(1)</w:t>
            </w:r>
            <w:r w:rsidRPr="00A76E03">
              <w:rPr>
                <w:rFonts w:ascii="Times New Roman" w:hAnsi="Times New Roman" w:cs="Times New Roman"/>
                <w:color w:val="000000"/>
                <w:lang w:val="ru-RU"/>
              </w:rPr>
              <w:tab/>
            </w:r>
            <w:r w:rsidR="00A76E03" w:rsidRPr="00A76E03">
              <w:rPr>
                <w:rFonts w:ascii="Times New Roman" w:hAnsi="Times New Roman" w:cs="Times New Roman"/>
                <w:lang w:val="ru-RU"/>
              </w:rPr>
              <w:t xml:space="preserve">Этот вариант должен применяться с дополнительным </w:t>
            </w:r>
            <w:proofErr w:type="spellStart"/>
            <w:r w:rsidR="00A76E03">
              <w:rPr>
                <w:rFonts w:ascii="Times New Roman" w:hAnsi="Times New Roman" w:cs="Times New Roman"/>
                <w:lang w:val="ru-RU"/>
              </w:rPr>
              <w:t>регламентарным</w:t>
            </w:r>
            <w:proofErr w:type="spellEnd"/>
            <w:r w:rsidR="00A76E03" w:rsidRPr="00A76E03">
              <w:rPr>
                <w:rFonts w:ascii="Times New Roman" w:hAnsi="Times New Roman" w:cs="Times New Roman"/>
                <w:lang w:val="ru-RU"/>
              </w:rPr>
              <w:t xml:space="preserve"> требованием, согласно которому </w:t>
            </w:r>
            <w:r w:rsidR="00A76E03">
              <w:rPr>
                <w:rFonts w:ascii="Times New Roman" w:hAnsi="Times New Roman" w:cs="Times New Roman"/>
                <w:lang w:val="en-US"/>
              </w:rPr>
              <w:t>UE</w:t>
            </w:r>
            <w:r w:rsidR="00A76E03" w:rsidRPr="00A76E03">
              <w:rPr>
                <w:rFonts w:ascii="Times New Roman" w:hAnsi="Times New Roman" w:cs="Times New Roman"/>
                <w:lang w:val="ru-RU"/>
              </w:rPr>
              <w:t xml:space="preserve"> не должно использоваться в пределах 10</w:t>
            </w:r>
            <w:r w:rsidR="00A76E03">
              <w:rPr>
                <w:rFonts w:ascii="Times New Roman" w:hAnsi="Times New Roman" w:cs="Times New Roman"/>
                <w:lang w:val="ru-RU"/>
              </w:rPr>
              <w:t> </w:t>
            </w:r>
            <w:r w:rsidR="00A76E03" w:rsidRPr="00A76E03">
              <w:rPr>
                <w:rFonts w:ascii="Times New Roman" w:hAnsi="Times New Roman" w:cs="Times New Roman"/>
                <w:lang w:val="ru-RU"/>
              </w:rPr>
              <w:t>м от судовой земной станции.</w:t>
            </w:r>
          </w:p>
          <w:p w14:paraId="5A8FB38F" w14:textId="771527E8" w:rsidR="005720AD" w:rsidRPr="00B14E4B" w:rsidRDefault="005720AD" w:rsidP="00AE6864">
            <w:pPr>
              <w:pStyle w:val="Tablelegend"/>
              <w:tabs>
                <w:tab w:val="clear" w:pos="567"/>
                <w:tab w:val="clear" w:pos="851"/>
                <w:tab w:val="clear" w:pos="1134"/>
                <w:tab w:val="clear" w:pos="2268"/>
              </w:tabs>
              <w:rPr>
                <w:rFonts w:ascii="Times New Roman" w:hAnsi="Times New Roman" w:cs="Times New Roman"/>
                <w:sz w:val="18"/>
                <w:lang w:val="ru-RU"/>
              </w:rPr>
            </w:pPr>
            <w:r w:rsidRPr="00A76E03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(2)</w:t>
            </w:r>
            <w:r w:rsidRPr="00A76E03">
              <w:rPr>
                <w:rFonts w:ascii="Times New Roman" w:hAnsi="Times New Roman" w:cs="Times New Roman"/>
                <w:color w:val="000000"/>
                <w:lang w:val="ru-RU"/>
              </w:rPr>
              <w:tab/>
            </w:r>
            <w:r w:rsidR="00A76E03" w:rsidRPr="00B14E4B">
              <w:rPr>
                <w:rFonts w:ascii="Times New Roman" w:hAnsi="Times New Roman" w:cs="Times New Roman"/>
                <w:lang w:val="ru-RU"/>
              </w:rPr>
              <w:t xml:space="preserve">Вариант, в котором используется нижний предел нежелательных излучений для пользовательского оборудования IMT, снизит риск </w:t>
            </w:r>
            <w:r w:rsidR="00B14E4B">
              <w:rPr>
                <w:rFonts w:ascii="Times New Roman" w:hAnsi="Times New Roman" w:cs="Times New Roman"/>
                <w:lang w:val="ru-RU"/>
              </w:rPr>
              <w:t xml:space="preserve">создания </w:t>
            </w:r>
            <w:r w:rsidR="00A76E03" w:rsidRPr="00B14E4B">
              <w:rPr>
                <w:rFonts w:ascii="Times New Roman" w:hAnsi="Times New Roman" w:cs="Times New Roman"/>
                <w:lang w:val="ru-RU"/>
              </w:rPr>
              <w:t xml:space="preserve">вредных помех </w:t>
            </w:r>
            <w:r w:rsidR="00B14E4B">
              <w:rPr>
                <w:rFonts w:ascii="Times New Roman" w:hAnsi="Times New Roman" w:cs="Times New Roman"/>
                <w:lang w:val="ru-RU"/>
              </w:rPr>
              <w:t>работе</w:t>
            </w:r>
            <w:r w:rsidR="00A76E03" w:rsidRPr="00B14E4B">
              <w:rPr>
                <w:rFonts w:ascii="Times New Roman" w:hAnsi="Times New Roman" w:cs="Times New Roman"/>
                <w:lang w:val="ru-RU"/>
              </w:rPr>
              <w:t xml:space="preserve"> ПСС в полосе частот выше 1</w:t>
            </w:r>
            <w:r w:rsidR="00CC6970">
              <w:rPr>
                <w:rFonts w:ascii="Times New Roman" w:hAnsi="Times New Roman" w:cs="Times New Roman"/>
                <w:lang w:val="en-US"/>
              </w:rPr>
              <w:t> </w:t>
            </w:r>
            <w:r w:rsidR="00A76E03" w:rsidRPr="00B14E4B">
              <w:rPr>
                <w:rFonts w:ascii="Times New Roman" w:hAnsi="Times New Roman" w:cs="Times New Roman"/>
                <w:lang w:val="ru-RU"/>
              </w:rPr>
              <w:t>518 МГц. Однако соблюдение нижнего предела нежелательных излучений затруднит внедрение пользовательского оборудования IMT.</w:t>
            </w:r>
          </w:p>
          <w:p w14:paraId="55E85216" w14:textId="47185365" w:rsidR="005720AD" w:rsidRPr="00830723" w:rsidRDefault="005720AD" w:rsidP="00830723">
            <w:pPr>
              <w:pStyle w:val="Tablelegend"/>
              <w:tabs>
                <w:tab w:val="clear" w:pos="567"/>
                <w:tab w:val="clear" w:pos="851"/>
                <w:tab w:val="clear" w:pos="1134"/>
                <w:tab w:val="clear" w:pos="2268"/>
              </w:tabs>
              <w:rPr>
                <w:rFonts w:ascii="Times New Roman" w:hAnsi="Times New Roman" w:cs="Times New Roman"/>
                <w:lang w:val="ru-RU"/>
              </w:rPr>
            </w:pPr>
            <w:r w:rsidRPr="00830723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(3)</w:t>
            </w:r>
            <w:r w:rsidRPr="00830723">
              <w:rPr>
                <w:rFonts w:ascii="Times New Roman" w:hAnsi="Times New Roman" w:cs="Times New Roman"/>
                <w:color w:val="000000"/>
                <w:lang w:val="ru-RU"/>
              </w:rPr>
              <w:tab/>
            </w:r>
            <w:r w:rsidR="00830723" w:rsidRPr="00830723">
              <w:rPr>
                <w:rFonts w:ascii="Times New Roman" w:hAnsi="Times New Roman" w:cs="Times New Roman"/>
                <w:lang w:val="ru-RU"/>
              </w:rPr>
              <w:t xml:space="preserve">При использовании более высоких пределов нежелательных излучений для пользовательского оборудования IMT риск </w:t>
            </w:r>
            <w:r w:rsidR="00830723">
              <w:rPr>
                <w:rFonts w:ascii="Times New Roman" w:hAnsi="Times New Roman" w:cs="Times New Roman"/>
                <w:lang w:val="ru-RU"/>
              </w:rPr>
              <w:t xml:space="preserve">создания </w:t>
            </w:r>
            <w:r w:rsidR="00830723" w:rsidRPr="00830723">
              <w:rPr>
                <w:rFonts w:ascii="Times New Roman" w:hAnsi="Times New Roman" w:cs="Times New Roman"/>
                <w:lang w:val="ru-RU"/>
              </w:rPr>
              <w:t xml:space="preserve">вредных помех </w:t>
            </w:r>
            <w:r w:rsidR="00830723">
              <w:rPr>
                <w:rFonts w:ascii="Times New Roman" w:hAnsi="Times New Roman" w:cs="Times New Roman"/>
                <w:lang w:val="ru-RU"/>
              </w:rPr>
              <w:t>работе</w:t>
            </w:r>
            <w:r w:rsidR="00830723" w:rsidRPr="00830723">
              <w:rPr>
                <w:rFonts w:ascii="Times New Roman" w:hAnsi="Times New Roman" w:cs="Times New Roman"/>
                <w:lang w:val="ru-RU"/>
              </w:rPr>
              <w:t xml:space="preserve"> ПСС в полосе частот выше 1</w:t>
            </w:r>
            <w:r w:rsidR="00CC6970">
              <w:rPr>
                <w:rFonts w:ascii="Times New Roman" w:hAnsi="Times New Roman" w:cs="Times New Roman"/>
                <w:lang w:val="en-US"/>
              </w:rPr>
              <w:t> </w:t>
            </w:r>
            <w:r w:rsidR="00830723" w:rsidRPr="00830723">
              <w:rPr>
                <w:rFonts w:ascii="Times New Roman" w:hAnsi="Times New Roman" w:cs="Times New Roman"/>
                <w:lang w:val="ru-RU"/>
              </w:rPr>
              <w:t>518</w:t>
            </w:r>
            <w:r w:rsidR="00830723">
              <w:rPr>
                <w:rFonts w:ascii="Times New Roman" w:hAnsi="Times New Roman" w:cs="Times New Roman"/>
                <w:lang w:val="ru-RU"/>
              </w:rPr>
              <w:t> </w:t>
            </w:r>
            <w:r w:rsidR="00830723" w:rsidRPr="00830723">
              <w:rPr>
                <w:rFonts w:ascii="Times New Roman" w:hAnsi="Times New Roman" w:cs="Times New Roman"/>
                <w:lang w:val="ru-RU"/>
              </w:rPr>
              <w:t xml:space="preserve">МГц повысится, хотя соблюдение более высоких пределов нежелательных излучений в пользовательском оборудовании IMT легче обеспечить. Следовательно, этот вариант затруднит эксплуатацию систем ПСС. Кроме того, </w:t>
            </w:r>
            <w:r w:rsidR="00830723">
              <w:rPr>
                <w:rFonts w:ascii="Times New Roman" w:hAnsi="Times New Roman" w:cs="Times New Roman"/>
                <w:lang w:val="ru-RU"/>
              </w:rPr>
              <w:t>данный</w:t>
            </w:r>
            <w:r w:rsidR="00830723" w:rsidRPr="00830723">
              <w:rPr>
                <w:rFonts w:ascii="Times New Roman" w:hAnsi="Times New Roman" w:cs="Times New Roman"/>
                <w:lang w:val="ru-RU"/>
              </w:rPr>
              <w:t xml:space="preserve"> вариант не обеспечивает уровень нежелательных излучений для полосы частот ПСС в диапазоне </w:t>
            </w:r>
            <w:proofErr w:type="gramStart"/>
            <w:r w:rsidR="00830723" w:rsidRPr="00830723">
              <w:rPr>
                <w:rFonts w:ascii="Times New Roman" w:hAnsi="Times New Roman" w:cs="Times New Roman"/>
                <w:lang w:val="ru-RU"/>
              </w:rPr>
              <w:t>1</w:t>
            </w:r>
            <w:r w:rsidR="00CC6970">
              <w:rPr>
                <w:rFonts w:ascii="Times New Roman" w:hAnsi="Times New Roman" w:cs="Times New Roman"/>
                <w:lang w:val="en-US"/>
              </w:rPr>
              <w:t> </w:t>
            </w:r>
            <w:r w:rsidR="00830723" w:rsidRPr="00830723">
              <w:rPr>
                <w:rFonts w:ascii="Times New Roman" w:hAnsi="Times New Roman" w:cs="Times New Roman"/>
                <w:lang w:val="ru-RU"/>
              </w:rPr>
              <w:t>518</w:t>
            </w:r>
            <w:r w:rsidR="00433426">
              <w:rPr>
                <w:rFonts w:ascii="Times New Roman" w:hAnsi="Times New Roman" w:cs="Times New Roman"/>
                <w:lang w:val="ru-RU"/>
              </w:rPr>
              <w:t>−</w:t>
            </w:r>
            <w:r w:rsidR="00830723" w:rsidRPr="00830723">
              <w:rPr>
                <w:rFonts w:ascii="Times New Roman" w:hAnsi="Times New Roman" w:cs="Times New Roman"/>
                <w:lang w:val="ru-RU"/>
              </w:rPr>
              <w:t>1</w:t>
            </w:r>
            <w:r w:rsidR="00CC6970">
              <w:rPr>
                <w:rFonts w:ascii="Times New Roman" w:hAnsi="Times New Roman" w:cs="Times New Roman"/>
                <w:lang w:val="en-US"/>
              </w:rPr>
              <w:t> </w:t>
            </w:r>
            <w:r w:rsidR="00830723" w:rsidRPr="00830723">
              <w:rPr>
                <w:rFonts w:ascii="Times New Roman" w:hAnsi="Times New Roman" w:cs="Times New Roman"/>
                <w:lang w:val="ru-RU"/>
              </w:rPr>
              <w:t>520</w:t>
            </w:r>
            <w:proofErr w:type="gramEnd"/>
            <w:r w:rsidR="00830723">
              <w:rPr>
                <w:rFonts w:ascii="Times New Roman" w:hAnsi="Times New Roman" w:cs="Times New Roman"/>
                <w:lang w:val="ru-RU"/>
              </w:rPr>
              <w:t> </w:t>
            </w:r>
            <w:r w:rsidR="00830723" w:rsidRPr="00830723">
              <w:rPr>
                <w:rFonts w:ascii="Times New Roman" w:hAnsi="Times New Roman" w:cs="Times New Roman"/>
                <w:lang w:val="ru-RU"/>
              </w:rPr>
              <w:t>МГц.</w:t>
            </w:r>
          </w:p>
        </w:tc>
      </w:tr>
    </w:tbl>
    <w:p w14:paraId="7AE05E77" w14:textId="77777777" w:rsidR="005720AD" w:rsidRPr="00830723" w:rsidRDefault="005720AD" w:rsidP="005720AD">
      <w:pPr>
        <w:rPr>
          <w:lang w:val="ru-RU" w:eastAsia="zh-CN"/>
        </w:rPr>
      </w:pPr>
    </w:p>
    <w:p w14:paraId="0C94EBDA" w14:textId="266A1089" w:rsidR="005720AD" w:rsidRPr="00830723" w:rsidRDefault="00830723" w:rsidP="005720AD">
      <w:pPr>
        <w:pStyle w:val="AnnexNoTitle"/>
        <w:rPr>
          <w:szCs w:val="26"/>
          <w:lang w:val="ru-RU" w:eastAsia="zh-CN"/>
        </w:rPr>
      </w:pPr>
      <w:r w:rsidRPr="00830723">
        <w:rPr>
          <w:szCs w:val="26"/>
          <w:lang w:val="ru-RU" w:eastAsia="zh-CN"/>
        </w:rPr>
        <w:t>Приложение</w:t>
      </w:r>
      <w:r w:rsidR="005720AD" w:rsidRPr="00830723">
        <w:rPr>
          <w:szCs w:val="26"/>
          <w:lang w:val="ru-RU" w:eastAsia="zh-CN"/>
        </w:rPr>
        <w:t xml:space="preserve"> 2</w:t>
      </w:r>
      <w:r w:rsidR="005720AD" w:rsidRPr="00830723">
        <w:rPr>
          <w:szCs w:val="26"/>
          <w:lang w:val="ru-RU" w:eastAsia="zh-CN"/>
        </w:rPr>
        <w:br/>
      </w:r>
      <w:r w:rsidR="005720AD" w:rsidRPr="00830723">
        <w:rPr>
          <w:szCs w:val="26"/>
          <w:lang w:val="ru-RU" w:eastAsia="zh-CN"/>
        </w:rPr>
        <w:br/>
      </w:r>
      <w:r w:rsidRPr="00830723">
        <w:rPr>
          <w:szCs w:val="26"/>
          <w:lang w:val="ru-RU" w:eastAsia="zh-CN"/>
        </w:rPr>
        <w:t>Уровни устойчивости к блокированию приемника ПЗС</w:t>
      </w:r>
    </w:p>
    <w:p w14:paraId="4828BDF8" w14:textId="331F9C5B" w:rsidR="005720AD" w:rsidRPr="00CC40D4" w:rsidRDefault="00CC40D4" w:rsidP="005720AD">
      <w:pPr>
        <w:pStyle w:val="Normalaftertitle"/>
        <w:rPr>
          <w:lang w:val="ru-RU" w:eastAsia="zh-CN"/>
        </w:rPr>
      </w:pPr>
      <w:r w:rsidRPr="00CC40D4">
        <w:rPr>
          <w:lang w:val="ru-RU" w:eastAsia="zh-CN"/>
        </w:rPr>
        <w:t xml:space="preserve">В </w:t>
      </w:r>
      <w:r>
        <w:rPr>
          <w:lang w:val="ru-RU" w:eastAsia="zh-CN"/>
        </w:rPr>
        <w:t>настоящем</w:t>
      </w:r>
      <w:r w:rsidRPr="00CC40D4">
        <w:rPr>
          <w:lang w:val="ru-RU" w:eastAsia="zh-CN"/>
        </w:rPr>
        <w:t xml:space="preserve"> Приложении представлены уровни блокирования приемников в оборудовании ПЗС. Меры по ограничению </w:t>
      </w:r>
      <w:proofErr w:type="spellStart"/>
      <w:r w:rsidRPr="00CC40D4">
        <w:rPr>
          <w:lang w:val="ru-RU" w:eastAsia="zh-CN"/>
        </w:rPr>
        <w:t>п.п.м</w:t>
      </w:r>
      <w:proofErr w:type="spellEnd"/>
      <w:r w:rsidRPr="00CC40D4">
        <w:rPr>
          <w:lang w:val="ru-RU" w:eastAsia="zh-CN"/>
        </w:rPr>
        <w:t xml:space="preserve">. и э.и.и.м., обеспечивающие непрерывную работу ПСС, </w:t>
      </w:r>
      <w:r>
        <w:rPr>
          <w:lang w:val="ru-RU" w:eastAsia="zh-CN"/>
        </w:rPr>
        <w:t>которые определены</w:t>
      </w:r>
      <w:r w:rsidRPr="00CC40D4">
        <w:rPr>
          <w:lang w:val="ru-RU" w:eastAsia="zh-CN"/>
        </w:rPr>
        <w:t xml:space="preserve"> в Приложениях</w:t>
      </w:r>
      <w:r>
        <w:rPr>
          <w:lang w:val="ru-RU" w:eastAsia="zh-CN"/>
        </w:rPr>
        <w:t> </w:t>
      </w:r>
      <w:r w:rsidRPr="00CC40D4">
        <w:rPr>
          <w:lang w:val="ru-RU" w:eastAsia="zh-CN"/>
        </w:rPr>
        <w:t xml:space="preserve">3 и 4, включают меры, основанные на ожидаемом улучшении характеристик устойчивости к блокированию приемника подвижных земных станций. В частности, </w:t>
      </w:r>
      <w:r>
        <w:rPr>
          <w:lang w:val="ru-RU" w:eastAsia="zh-CN"/>
        </w:rPr>
        <w:t xml:space="preserve">пределы этапа 2 применяются, </w:t>
      </w:r>
      <w:r w:rsidRPr="00CC40D4">
        <w:rPr>
          <w:lang w:val="ru-RU" w:eastAsia="zh-CN"/>
        </w:rPr>
        <w:t xml:space="preserve">когда ПЗС могут допускать более высокий уровень излучений IMT. Следовательно, </w:t>
      </w:r>
      <w:r w:rsidR="00680959">
        <w:rPr>
          <w:lang w:val="ru-RU" w:eastAsia="zh-CN"/>
        </w:rPr>
        <w:t>выбор времени для</w:t>
      </w:r>
      <w:r w:rsidRPr="00CC40D4">
        <w:rPr>
          <w:lang w:val="ru-RU" w:eastAsia="zh-CN"/>
        </w:rPr>
        <w:t xml:space="preserve"> перехода от </w:t>
      </w:r>
      <w:r w:rsidR="00680959">
        <w:rPr>
          <w:lang w:val="ru-RU" w:eastAsia="zh-CN"/>
        </w:rPr>
        <w:t>пределов</w:t>
      </w:r>
      <w:r w:rsidRPr="00CC40D4">
        <w:rPr>
          <w:lang w:val="ru-RU" w:eastAsia="zh-CN"/>
        </w:rPr>
        <w:t xml:space="preserve"> этапа</w:t>
      </w:r>
      <w:r w:rsidR="00680959">
        <w:rPr>
          <w:lang w:val="ru-RU" w:eastAsia="zh-CN"/>
        </w:rPr>
        <w:t> </w:t>
      </w:r>
      <w:r w:rsidRPr="00CC40D4">
        <w:rPr>
          <w:lang w:val="ru-RU" w:eastAsia="zh-CN"/>
        </w:rPr>
        <w:t xml:space="preserve">1 к </w:t>
      </w:r>
      <w:r w:rsidR="00680959">
        <w:rPr>
          <w:lang w:val="ru-RU" w:eastAsia="zh-CN"/>
        </w:rPr>
        <w:t>пределам</w:t>
      </w:r>
      <w:r w:rsidRPr="00CC40D4">
        <w:rPr>
          <w:lang w:val="ru-RU" w:eastAsia="zh-CN"/>
        </w:rPr>
        <w:t xml:space="preserve"> этапа</w:t>
      </w:r>
      <w:r w:rsidR="00680959">
        <w:rPr>
          <w:lang w:val="ru-RU" w:eastAsia="zh-CN"/>
        </w:rPr>
        <w:t> </w:t>
      </w:r>
      <w:r w:rsidRPr="00CC40D4">
        <w:rPr>
          <w:lang w:val="ru-RU" w:eastAsia="zh-CN"/>
        </w:rPr>
        <w:t>2 зависит от</w:t>
      </w:r>
      <w:r w:rsidR="00680959">
        <w:rPr>
          <w:lang w:val="ru-RU" w:eastAsia="zh-CN"/>
        </w:rPr>
        <w:t> </w:t>
      </w:r>
      <w:r w:rsidRPr="00CC40D4">
        <w:rPr>
          <w:lang w:val="ru-RU" w:eastAsia="zh-CN"/>
        </w:rPr>
        <w:t>развертывания ПЗС с улучшенными характеристиками приемника.</w:t>
      </w:r>
    </w:p>
    <w:p w14:paraId="5E0CC0A3" w14:textId="724D40DA" w:rsidR="005720AD" w:rsidRPr="0099018E" w:rsidRDefault="0099018E" w:rsidP="005720AD">
      <w:pPr>
        <w:rPr>
          <w:lang w:val="ru-RU" w:eastAsia="zh-CN"/>
        </w:rPr>
      </w:pPr>
      <w:r>
        <w:rPr>
          <w:lang w:val="ru-RU" w:eastAsia="zh-CN"/>
        </w:rPr>
        <w:lastRenderedPageBreak/>
        <w:t>Администрациям предлагается планировать</w:t>
      </w:r>
      <w:r w:rsidRPr="0099018E">
        <w:rPr>
          <w:lang w:val="ru-RU" w:eastAsia="zh-CN"/>
        </w:rPr>
        <w:t xml:space="preserve"> переход от </w:t>
      </w:r>
      <w:r>
        <w:rPr>
          <w:lang w:val="ru-RU" w:eastAsia="zh-CN"/>
        </w:rPr>
        <w:t>пределов</w:t>
      </w:r>
      <w:r w:rsidRPr="0099018E">
        <w:rPr>
          <w:lang w:val="ru-RU" w:eastAsia="zh-CN"/>
        </w:rPr>
        <w:t xml:space="preserve"> этапа</w:t>
      </w:r>
      <w:r>
        <w:rPr>
          <w:lang w:val="ru-RU" w:eastAsia="zh-CN"/>
        </w:rPr>
        <w:t> </w:t>
      </w:r>
      <w:r w:rsidRPr="0099018E">
        <w:rPr>
          <w:lang w:val="ru-RU" w:eastAsia="zh-CN"/>
        </w:rPr>
        <w:t xml:space="preserve">1 к </w:t>
      </w:r>
      <w:r>
        <w:rPr>
          <w:lang w:val="ru-RU" w:eastAsia="zh-CN"/>
        </w:rPr>
        <w:t>пределам этапа </w:t>
      </w:r>
      <w:r w:rsidRPr="0099018E">
        <w:rPr>
          <w:lang w:val="ru-RU" w:eastAsia="zh-CN"/>
        </w:rPr>
        <w:t xml:space="preserve">2 для </w:t>
      </w:r>
      <w:r>
        <w:rPr>
          <w:lang w:val="ru-RU" w:eastAsia="zh-CN"/>
        </w:rPr>
        <w:t>сухопутных</w:t>
      </w:r>
      <w:r w:rsidRPr="0099018E">
        <w:rPr>
          <w:lang w:val="ru-RU" w:eastAsia="zh-CN"/>
        </w:rPr>
        <w:t>, морских и воздушных терминалов ПЗС</w:t>
      </w:r>
      <w:r>
        <w:rPr>
          <w:lang w:val="ru-RU" w:eastAsia="zh-CN"/>
        </w:rPr>
        <w:t xml:space="preserve"> с учетом разных циклов замены </w:t>
      </w:r>
      <w:r w:rsidRPr="0099018E">
        <w:rPr>
          <w:lang w:val="ru-RU" w:eastAsia="zh-CN"/>
        </w:rPr>
        <w:t xml:space="preserve">оборудования этих категорий. В целях установления соответствующих условий и графиков работы администрации могут консультироваться с международными и национальными авиационными и морскими ведомствами, авиакомпаниями, </w:t>
      </w:r>
      <w:r>
        <w:rPr>
          <w:lang w:val="ru-RU" w:eastAsia="zh-CN"/>
        </w:rPr>
        <w:t>представителями отрасли</w:t>
      </w:r>
      <w:r w:rsidRPr="0099018E">
        <w:rPr>
          <w:lang w:val="ru-RU" w:eastAsia="zh-CN"/>
        </w:rPr>
        <w:t xml:space="preserve"> подвижной связи и другими соответствующими организациями.</w:t>
      </w:r>
    </w:p>
    <w:p w14:paraId="2BB9C969" w14:textId="77777777" w:rsidR="00D82088" w:rsidRPr="00D82088" w:rsidRDefault="00D82088" w:rsidP="00D82088">
      <w:pPr>
        <w:pStyle w:val="TableNo"/>
        <w:rPr>
          <w:lang w:val="ru-RU"/>
        </w:rPr>
      </w:pPr>
      <w:r w:rsidRPr="00D82088">
        <w:rPr>
          <w:lang w:val="ru-RU"/>
        </w:rPr>
        <w:t>ТАБЛИЦА 3</w:t>
      </w:r>
    </w:p>
    <w:p w14:paraId="051C90C6" w14:textId="11708B40" w:rsidR="005720AD" w:rsidRPr="00D82088" w:rsidRDefault="00D82088" w:rsidP="00D82088">
      <w:pPr>
        <w:pStyle w:val="Tabletitle"/>
        <w:rPr>
          <w:lang w:eastAsia="zh-CN"/>
        </w:rPr>
      </w:pPr>
      <w:r w:rsidRPr="00D82088">
        <w:rPr>
          <w:lang w:val="ru-RU"/>
        </w:rPr>
        <w:t>Уровень блокирования приемника ПЗС</w:t>
      </w: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834"/>
        <w:gridCol w:w="3547"/>
        <w:gridCol w:w="3258"/>
      </w:tblGrid>
      <w:tr w:rsidR="00D82088" w:rsidRPr="00D82088" w14:paraId="660E8435" w14:textId="77777777" w:rsidTr="00D82088">
        <w:trPr>
          <w:jc w:val="center"/>
        </w:trPr>
        <w:tc>
          <w:tcPr>
            <w:tcW w:w="2834" w:type="dxa"/>
            <w:vAlign w:val="center"/>
          </w:tcPr>
          <w:p w14:paraId="33EAB999" w14:textId="3A8431EF" w:rsidR="00D82088" w:rsidRPr="00D82088" w:rsidRDefault="00D82088" w:rsidP="00D8208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8208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Уровень блокирующего сигнала </w:t>
            </w:r>
          </w:p>
        </w:tc>
        <w:tc>
          <w:tcPr>
            <w:tcW w:w="3547" w:type="dxa"/>
            <w:vAlign w:val="center"/>
          </w:tcPr>
          <w:p w14:paraId="4EDEE8DD" w14:textId="4C191CAC" w:rsidR="00D82088" w:rsidRPr="00D82088" w:rsidRDefault="00D82088" w:rsidP="00D8208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82088">
              <w:rPr>
                <w:rFonts w:ascii="Times New Roman" w:hAnsi="Times New Roman" w:cs="Times New Roman"/>
                <w:b/>
                <w:bCs/>
                <w:lang w:val="ru-RU"/>
              </w:rPr>
              <w:t>Сигнал IMT</w:t>
            </w:r>
          </w:p>
        </w:tc>
        <w:tc>
          <w:tcPr>
            <w:tcW w:w="3258" w:type="dxa"/>
            <w:vAlign w:val="center"/>
          </w:tcPr>
          <w:p w14:paraId="58984EA9" w14:textId="63F63EC9" w:rsidR="00D82088" w:rsidRPr="00D82088" w:rsidRDefault="00D82088" w:rsidP="00D8208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82088">
              <w:rPr>
                <w:rFonts w:ascii="Times New Roman" w:hAnsi="Times New Roman" w:cs="Times New Roman"/>
                <w:b/>
                <w:bCs/>
                <w:lang w:val="ru-RU"/>
              </w:rPr>
              <w:t>Рабочее состояние ПЗС</w:t>
            </w:r>
          </w:p>
        </w:tc>
      </w:tr>
      <w:tr w:rsidR="005720AD" w:rsidRPr="00D6207E" w14:paraId="44A5867B" w14:textId="77777777" w:rsidTr="00D82088">
        <w:trPr>
          <w:jc w:val="center"/>
        </w:trPr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55F2C4C9" w14:textId="6EF113F0" w:rsidR="005720AD" w:rsidRPr="00D82088" w:rsidRDefault="005720AD" w:rsidP="00D8208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D82088">
              <w:rPr>
                <w:rFonts w:ascii="Times New Roman" w:hAnsi="Times New Roman" w:cs="Times New Roman"/>
                <w:szCs w:val="20"/>
              </w:rPr>
              <w:t>–30 </w:t>
            </w:r>
            <w:proofErr w:type="spellStart"/>
            <w:r w:rsidR="00D82088">
              <w:rPr>
                <w:rFonts w:ascii="Times New Roman" w:hAnsi="Times New Roman" w:cs="Times New Roman"/>
                <w:szCs w:val="20"/>
                <w:lang w:val="ru-RU"/>
              </w:rPr>
              <w:t>дБм</w:t>
            </w:r>
            <w:proofErr w:type="spellEnd"/>
            <w:r w:rsidR="003A65B7">
              <w:fldChar w:fldCharType="begin"/>
            </w:r>
            <w:r w:rsidR="003A65B7">
              <w:instrText xml:space="preserve"> HYPERLINK \l "_ftn1" </w:instrText>
            </w:r>
            <w:r w:rsidR="003A65B7">
              <w:fldChar w:fldCharType="end"/>
            </w:r>
            <w:r w:rsidRPr="00D82088">
              <w:rPr>
                <w:rFonts w:ascii="Times New Roman" w:hAnsi="Times New Roman" w:cs="Times New Roman"/>
                <w:color w:val="000000"/>
                <w:szCs w:val="20"/>
                <w:vertAlign w:val="superscript"/>
              </w:rPr>
              <w:t>(1)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vAlign w:val="center"/>
          </w:tcPr>
          <w:p w14:paraId="5D74438F" w14:textId="2A8438EF" w:rsidR="005720AD" w:rsidRPr="00D82088" w:rsidRDefault="00D82088" w:rsidP="00D8208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82088">
              <w:rPr>
                <w:rFonts w:ascii="Times New Roman" w:hAnsi="Times New Roman" w:cs="Times New Roman"/>
                <w:lang w:val="ru-RU"/>
              </w:rPr>
              <w:t>Сигнал IMT с шириной полосы 5 МГц на частотах ниже 1</w:t>
            </w:r>
            <w:r w:rsidR="00CC6970">
              <w:rPr>
                <w:rFonts w:ascii="Times New Roman" w:hAnsi="Times New Roman" w:cs="Times New Roman"/>
                <w:lang w:val="en-US"/>
              </w:rPr>
              <w:t> </w:t>
            </w:r>
            <w:r w:rsidRPr="00D82088">
              <w:rPr>
                <w:rFonts w:ascii="Times New Roman" w:hAnsi="Times New Roman" w:cs="Times New Roman"/>
                <w:lang w:val="ru-RU"/>
              </w:rPr>
              <w:t>517</w:t>
            </w:r>
            <w:r>
              <w:rPr>
                <w:rFonts w:ascii="Times New Roman" w:hAnsi="Times New Roman" w:cs="Times New Roman"/>
                <w:lang w:val="ru-RU"/>
              </w:rPr>
              <w:t> </w:t>
            </w:r>
            <w:r w:rsidRPr="00D82088">
              <w:rPr>
                <w:rFonts w:ascii="Times New Roman" w:hAnsi="Times New Roman" w:cs="Times New Roman"/>
                <w:lang w:val="ru-RU"/>
              </w:rPr>
              <w:t>МГц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5050BE68" w14:textId="2C0035C8" w:rsidR="005720AD" w:rsidRPr="00D82088" w:rsidRDefault="00D82088" w:rsidP="00D8208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82088">
              <w:rPr>
                <w:rFonts w:ascii="Times New Roman" w:hAnsi="Times New Roman" w:cs="Times New Roman"/>
                <w:lang w:val="ru-RU"/>
              </w:rPr>
              <w:t>Полезный сигнал с частотой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 w:rsidRPr="00D82088">
              <w:rPr>
                <w:rFonts w:ascii="Times New Roman" w:hAnsi="Times New Roman" w:cs="Times New Roman"/>
                <w:lang w:val="ru-RU"/>
              </w:rPr>
              <w:t>выше 1</w:t>
            </w:r>
            <w:r w:rsidR="00CC6970">
              <w:rPr>
                <w:rFonts w:ascii="Times New Roman" w:hAnsi="Times New Roman" w:cs="Times New Roman"/>
                <w:lang w:val="en-US"/>
              </w:rPr>
              <w:t> </w:t>
            </w:r>
            <w:r w:rsidRPr="00D82088">
              <w:rPr>
                <w:rFonts w:ascii="Times New Roman" w:hAnsi="Times New Roman" w:cs="Times New Roman"/>
                <w:lang w:val="ru-RU"/>
              </w:rPr>
              <w:t>518 </w:t>
            </w:r>
            <w:proofErr w:type="gramStart"/>
            <w:r w:rsidRPr="00D82088">
              <w:rPr>
                <w:rFonts w:ascii="Times New Roman" w:hAnsi="Times New Roman" w:cs="Times New Roman"/>
                <w:lang w:val="ru-RU"/>
              </w:rPr>
              <w:t>МГц</w:t>
            </w:r>
            <w:r w:rsidRPr="00D82088">
              <w:rPr>
                <w:rFonts w:ascii="Times New Roman" w:hAnsi="Times New Roman" w:cs="Times New Roman"/>
                <w:vertAlign w:val="superscript"/>
                <w:lang w:val="ru-RU"/>
              </w:rPr>
              <w:t>(</w:t>
            </w:r>
            <w:proofErr w:type="gramEnd"/>
            <w:r w:rsidRPr="00D82088">
              <w:rPr>
                <w:rFonts w:ascii="Times New Roman" w:hAnsi="Times New Roman" w:cs="Times New Roman"/>
                <w:vertAlign w:val="superscript"/>
                <w:lang w:val="ru-RU"/>
              </w:rPr>
              <w:t>2)</w:t>
            </w:r>
          </w:p>
        </w:tc>
      </w:tr>
      <w:tr w:rsidR="005720AD" w:rsidRPr="00D6207E" w14:paraId="3D6C3D54" w14:textId="77777777" w:rsidTr="00D82088">
        <w:trPr>
          <w:jc w:val="center"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</w:tcPr>
          <w:p w14:paraId="1D24E956" w14:textId="7CAF20AC" w:rsidR="005720AD" w:rsidRPr="00D82088" w:rsidRDefault="005720AD" w:rsidP="000535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63"/>
              </w:tabs>
              <w:ind w:left="263" w:hanging="263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D82088">
              <w:rPr>
                <w:rFonts w:ascii="Times New Roman" w:hAnsi="Times New Roman" w:cs="Times New Roman"/>
                <w:color w:val="000000"/>
                <w:szCs w:val="20"/>
                <w:vertAlign w:val="superscript"/>
                <w:lang w:val="ru-RU"/>
              </w:rPr>
              <w:t>(1)</w:t>
            </w:r>
            <w:r w:rsidRPr="00D82088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ab/>
            </w:r>
            <w:r w:rsidR="00D82088" w:rsidRPr="00D82088">
              <w:rPr>
                <w:rFonts w:ascii="Times New Roman" w:hAnsi="Times New Roman" w:cs="Times New Roman"/>
                <w:lang w:val="ru-RU"/>
              </w:rPr>
              <w:t>К малым терминалам может применяться уровень блокирования ПЗС –40</w:t>
            </w:r>
            <w:r w:rsidR="00D82088">
              <w:rPr>
                <w:rFonts w:ascii="Times New Roman" w:hAnsi="Times New Roman" w:cs="Times New Roman"/>
                <w:lang w:val="ru-RU"/>
              </w:rPr>
              <w:t> </w:t>
            </w:r>
            <w:proofErr w:type="spellStart"/>
            <w:r w:rsidR="00D82088" w:rsidRPr="00D82088">
              <w:rPr>
                <w:rFonts w:ascii="Times New Roman" w:hAnsi="Times New Roman" w:cs="Times New Roman"/>
                <w:lang w:val="ru-RU"/>
              </w:rPr>
              <w:t>дБм</w:t>
            </w:r>
            <w:proofErr w:type="spellEnd"/>
            <w:r w:rsidR="00D82088" w:rsidRPr="00D82088">
              <w:rPr>
                <w:rFonts w:ascii="Times New Roman" w:hAnsi="Times New Roman" w:cs="Times New Roman"/>
                <w:lang w:val="ru-RU"/>
              </w:rPr>
              <w:t xml:space="preserve"> и ниже без изменения мер </w:t>
            </w:r>
            <w:r w:rsidR="00172686">
              <w:rPr>
                <w:rFonts w:ascii="Times New Roman" w:hAnsi="Times New Roman" w:cs="Times New Roman"/>
                <w:lang w:val="ru-RU"/>
              </w:rPr>
              <w:t xml:space="preserve">по обеспечению </w:t>
            </w:r>
            <w:r w:rsidR="00D82088" w:rsidRPr="00D82088">
              <w:rPr>
                <w:rFonts w:ascii="Times New Roman" w:hAnsi="Times New Roman" w:cs="Times New Roman"/>
                <w:lang w:val="ru-RU"/>
              </w:rPr>
              <w:t>сосуществования, определенных в других разделах настоящей Рекомендации.</w:t>
            </w:r>
          </w:p>
          <w:p w14:paraId="2C185B1D" w14:textId="3EB65937" w:rsidR="005720AD" w:rsidRPr="00D82088" w:rsidRDefault="005720AD" w:rsidP="001735D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63" w:hanging="263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82088">
              <w:rPr>
                <w:rFonts w:ascii="Times New Roman" w:hAnsi="Times New Roman" w:cs="Times New Roman"/>
                <w:color w:val="000000"/>
                <w:szCs w:val="20"/>
                <w:vertAlign w:val="superscript"/>
                <w:lang w:val="ru-RU"/>
              </w:rPr>
              <w:t>(2)</w:t>
            </w:r>
            <w:r w:rsidRPr="00D82088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ab/>
            </w:r>
            <w:r w:rsidR="00D82088" w:rsidRPr="00D82088">
              <w:rPr>
                <w:rFonts w:ascii="Times New Roman" w:hAnsi="Times New Roman" w:cs="Times New Roman"/>
                <w:lang w:val="ru-RU"/>
              </w:rPr>
              <w:t>Для целей тестирования применяется полезный сигнал ПЗС с частотой выше 1</w:t>
            </w:r>
            <w:r w:rsidR="00CC6970">
              <w:rPr>
                <w:rFonts w:ascii="Times New Roman" w:hAnsi="Times New Roman" w:cs="Times New Roman"/>
                <w:lang w:val="en-US"/>
              </w:rPr>
              <w:t> </w:t>
            </w:r>
            <w:r w:rsidR="00D82088" w:rsidRPr="00D82088">
              <w:rPr>
                <w:rFonts w:ascii="Times New Roman" w:hAnsi="Times New Roman" w:cs="Times New Roman"/>
                <w:lang w:val="ru-RU"/>
              </w:rPr>
              <w:t>520</w:t>
            </w:r>
            <w:r w:rsidR="001735D7">
              <w:rPr>
                <w:rFonts w:ascii="Times New Roman" w:hAnsi="Times New Roman" w:cs="Times New Roman"/>
                <w:lang w:val="ru-RU"/>
              </w:rPr>
              <w:t> </w:t>
            </w:r>
            <w:r w:rsidR="00D82088" w:rsidRPr="00D82088">
              <w:rPr>
                <w:rFonts w:ascii="Times New Roman" w:hAnsi="Times New Roman" w:cs="Times New Roman"/>
                <w:lang w:val="ru-RU"/>
              </w:rPr>
              <w:t>МГц.</w:t>
            </w:r>
          </w:p>
        </w:tc>
      </w:tr>
    </w:tbl>
    <w:p w14:paraId="5FDD6B27" w14:textId="77777777" w:rsidR="005720AD" w:rsidRPr="00D82088" w:rsidRDefault="005720AD" w:rsidP="0004438A">
      <w:pPr>
        <w:pStyle w:val="Tablefin"/>
      </w:pPr>
    </w:p>
    <w:p w14:paraId="4C64979A" w14:textId="77777777" w:rsidR="005720AD" w:rsidRDefault="005720AD" w:rsidP="005720AD">
      <w:pPr>
        <w:rPr>
          <w:lang w:val="en-US"/>
        </w:rPr>
      </w:pPr>
    </w:p>
    <w:p w14:paraId="7C7C055A" w14:textId="77777777" w:rsidR="0004438A" w:rsidRPr="0004438A" w:rsidRDefault="0004438A" w:rsidP="005720AD">
      <w:pPr>
        <w:rPr>
          <w:lang w:val="en-US"/>
        </w:rPr>
      </w:pPr>
    </w:p>
    <w:p w14:paraId="4A18C004" w14:textId="4FDA1D62" w:rsidR="005720AD" w:rsidRPr="001735D7" w:rsidRDefault="00172686" w:rsidP="005720AD">
      <w:pPr>
        <w:pStyle w:val="AnnexNoTitle"/>
        <w:rPr>
          <w:szCs w:val="26"/>
          <w:lang w:val="ru-RU" w:eastAsia="zh-CN"/>
        </w:rPr>
      </w:pPr>
      <w:r w:rsidRPr="001735D7">
        <w:rPr>
          <w:szCs w:val="26"/>
          <w:lang w:val="ru-RU" w:eastAsia="zh-CN"/>
        </w:rPr>
        <w:t>Приложение</w:t>
      </w:r>
      <w:r w:rsidR="005720AD" w:rsidRPr="001735D7">
        <w:rPr>
          <w:szCs w:val="26"/>
          <w:lang w:val="ru-RU" w:eastAsia="zh-CN"/>
        </w:rPr>
        <w:t xml:space="preserve"> 3</w:t>
      </w:r>
      <w:r w:rsidR="005720AD" w:rsidRPr="001735D7">
        <w:rPr>
          <w:szCs w:val="26"/>
          <w:lang w:val="ru-RU" w:eastAsia="zh-CN"/>
        </w:rPr>
        <w:br/>
      </w:r>
      <w:r w:rsidR="005720AD" w:rsidRPr="001735D7">
        <w:rPr>
          <w:szCs w:val="26"/>
          <w:lang w:val="ru-RU" w:eastAsia="zh-CN"/>
        </w:rPr>
        <w:br/>
      </w:r>
      <w:r w:rsidR="001735D7" w:rsidRPr="001735D7">
        <w:rPr>
          <w:szCs w:val="26"/>
          <w:lang w:val="ru-RU" w:eastAsia="zh-CN"/>
        </w:rPr>
        <w:t>Дополнительные меры по обеспечению совместимости базовых станций IMT с</w:t>
      </w:r>
      <w:r w:rsidR="001735D7">
        <w:rPr>
          <w:szCs w:val="26"/>
          <w:lang w:val="ru-RU" w:eastAsia="zh-CN"/>
        </w:rPr>
        <w:t> </w:t>
      </w:r>
      <w:r w:rsidR="001735D7" w:rsidRPr="001735D7">
        <w:rPr>
          <w:szCs w:val="26"/>
          <w:lang w:val="ru-RU" w:eastAsia="zh-CN"/>
        </w:rPr>
        <w:t>судовыми земными станциями и земными станциями воздушных судов в</w:t>
      </w:r>
      <w:r w:rsidR="001735D7">
        <w:rPr>
          <w:szCs w:val="26"/>
          <w:lang w:val="ru-RU" w:eastAsia="zh-CN"/>
        </w:rPr>
        <w:t> </w:t>
      </w:r>
      <w:r w:rsidR="001735D7" w:rsidRPr="001735D7">
        <w:rPr>
          <w:szCs w:val="26"/>
          <w:lang w:val="ru-RU" w:eastAsia="zh-CN"/>
        </w:rPr>
        <w:t>отдельных районах</w:t>
      </w:r>
      <w:r w:rsidR="001735D7" w:rsidRPr="001735D7">
        <w:rPr>
          <w:b w:val="0"/>
          <w:position w:val="6"/>
          <w:sz w:val="16"/>
          <w:szCs w:val="26"/>
          <w:lang w:val="ru-RU" w:eastAsia="zh-CN"/>
        </w:rPr>
        <w:footnoteReference w:id="3"/>
      </w:r>
    </w:p>
    <w:p w14:paraId="328B47D3" w14:textId="13BCE091" w:rsidR="005720AD" w:rsidRPr="003617B7" w:rsidRDefault="003617B7" w:rsidP="005720AD">
      <w:pPr>
        <w:pStyle w:val="Normalaftertitle"/>
        <w:rPr>
          <w:lang w:val="ru-RU"/>
        </w:rPr>
      </w:pPr>
      <w:r w:rsidRPr="003617B7">
        <w:rPr>
          <w:lang w:val="ru-RU"/>
        </w:rPr>
        <w:t xml:space="preserve">Меры по обеспечению совместимости, </w:t>
      </w:r>
      <w:r>
        <w:rPr>
          <w:lang w:val="ru-RU"/>
        </w:rPr>
        <w:t>приведенные в настоящем</w:t>
      </w:r>
      <w:r w:rsidRPr="003617B7">
        <w:rPr>
          <w:lang w:val="ru-RU"/>
        </w:rPr>
        <w:t xml:space="preserve"> Приложении, дополняют технические требования </w:t>
      </w:r>
      <w:r>
        <w:rPr>
          <w:lang w:val="ru-RU"/>
        </w:rPr>
        <w:t>к</w:t>
      </w:r>
      <w:r w:rsidRPr="003617B7">
        <w:rPr>
          <w:lang w:val="ru-RU"/>
        </w:rPr>
        <w:t xml:space="preserve"> ПЗС и IMT, изложенные в (Приложениях</w:t>
      </w:r>
      <w:r>
        <w:rPr>
          <w:lang w:val="ru-RU"/>
        </w:rPr>
        <w:t> </w:t>
      </w:r>
      <w:r w:rsidRPr="003617B7">
        <w:rPr>
          <w:lang w:val="ru-RU"/>
        </w:rPr>
        <w:t xml:space="preserve">1, 2 и 4), и основаны на максимальных уровнях </w:t>
      </w:r>
      <w:proofErr w:type="spellStart"/>
      <w:r w:rsidRPr="003617B7">
        <w:rPr>
          <w:lang w:val="ru-RU"/>
        </w:rPr>
        <w:t>п.п.м</w:t>
      </w:r>
      <w:proofErr w:type="spellEnd"/>
      <w:r w:rsidRPr="003617B7">
        <w:rPr>
          <w:lang w:val="ru-RU"/>
        </w:rPr>
        <w:t xml:space="preserve">., применяемых в качестве </w:t>
      </w:r>
      <w:proofErr w:type="spellStart"/>
      <w:r w:rsidRPr="003617B7">
        <w:rPr>
          <w:lang w:val="ru-RU"/>
        </w:rPr>
        <w:t>регламентарного</w:t>
      </w:r>
      <w:proofErr w:type="spellEnd"/>
      <w:r w:rsidRPr="003617B7">
        <w:rPr>
          <w:lang w:val="ru-RU"/>
        </w:rPr>
        <w:t xml:space="preserve"> условия в выбранных администрациями географических зонах. Ограничения </w:t>
      </w:r>
      <w:proofErr w:type="spellStart"/>
      <w:r w:rsidRPr="003617B7">
        <w:rPr>
          <w:lang w:val="ru-RU"/>
        </w:rPr>
        <w:t>п.п.м</w:t>
      </w:r>
      <w:proofErr w:type="spellEnd"/>
      <w:r w:rsidRPr="003617B7">
        <w:rPr>
          <w:lang w:val="ru-RU"/>
        </w:rPr>
        <w:t xml:space="preserve">. </w:t>
      </w:r>
      <w:r>
        <w:rPr>
          <w:lang w:val="ru-RU"/>
        </w:rPr>
        <w:t>имеют целью снизить риск</w:t>
      </w:r>
      <w:r w:rsidRPr="003617B7">
        <w:rPr>
          <w:lang w:val="ru-RU"/>
        </w:rPr>
        <w:t xml:space="preserve"> помех для морских ПЗС и должны применяться на границах выбранных географических зон, где суда используют терминалы ПЗС, </w:t>
      </w:r>
      <w:r>
        <w:rPr>
          <w:lang w:val="ru-RU"/>
        </w:rPr>
        <w:t xml:space="preserve">то есть </w:t>
      </w:r>
      <w:r w:rsidRPr="003617B7">
        <w:rPr>
          <w:lang w:val="ru-RU"/>
        </w:rPr>
        <w:t xml:space="preserve">в портах, а также могут охватывать прибрежные районы и некоторые внутренние водные пути. Ограничения </w:t>
      </w:r>
      <w:proofErr w:type="spellStart"/>
      <w:r w:rsidRPr="003617B7">
        <w:rPr>
          <w:lang w:val="ru-RU"/>
        </w:rPr>
        <w:t>п.п.м</w:t>
      </w:r>
      <w:proofErr w:type="spellEnd"/>
      <w:r w:rsidRPr="003617B7">
        <w:rPr>
          <w:lang w:val="ru-RU"/>
        </w:rPr>
        <w:t xml:space="preserve">. </w:t>
      </w:r>
      <w:r>
        <w:rPr>
          <w:lang w:val="ru-RU"/>
        </w:rPr>
        <w:t xml:space="preserve">также </w:t>
      </w:r>
      <w:r w:rsidRPr="003617B7">
        <w:rPr>
          <w:lang w:val="ru-RU"/>
        </w:rPr>
        <w:t xml:space="preserve">направлены на снижение риска помех воздушным системам ПЗС и должны применяться на границах зон, где воздушные суда находятся на земле, </w:t>
      </w:r>
      <w:r>
        <w:rPr>
          <w:lang w:val="ru-RU"/>
        </w:rPr>
        <w:t>то есть</w:t>
      </w:r>
      <w:r w:rsidRPr="003617B7">
        <w:rPr>
          <w:lang w:val="ru-RU"/>
        </w:rPr>
        <w:t xml:space="preserve"> в аэропортах, а также могут охватывать некоторые объекты технического обслуживания. Базовые станции IMT должны развертываться с учетом выбранных зон так</w:t>
      </w:r>
      <w:r>
        <w:rPr>
          <w:lang w:val="ru-RU"/>
        </w:rPr>
        <w:t>,</w:t>
      </w:r>
      <w:r w:rsidRPr="003617B7">
        <w:rPr>
          <w:lang w:val="ru-RU"/>
        </w:rPr>
        <w:t xml:space="preserve"> чтобы избежать превышения пределов </w:t>
      </w:r>
      <w:proofErr w:type="spellStart"/>
      <w:r w:rsidRPr="003617B7">
        <w:rPr>
          <w:lang w:val="ru-RU"/>
        </w:rPr>
        <w:t>п.п.м</w:t>
      </w:r>
      <w:proofErr w:type="spellEnd"/>
      <w:r w:rsidRPr="003617B7">
        <w:rPr>
          <w:lang w:val="ru-RU"/>
        </w:rPr>
        <w:t>. внутри этих зон. Помимо любых национальных требований к судовым земным станциям и земным станциям воздушных судов могут существовать обязательства по отношению к иностранным морским и воздушным судам, посещающим эти места.</w:t>
      </w:r>
    </w:p>
    <w:p w14:paraId="244F327C" w14:textId="295F9C71" w:rsidR="005720AD" w:rsidRPr="006E6BAF" w:rsidRDefault="006E6BAF" w:rsidP="005720AD">
      <w:pPr>
        <w:rPr>
          <w:lang w:val="ru-RU"/>
        </w:rPr>
      </w:pPr>
      <w:r>
        <w:rPr>
          <w:lang w:val="ru-RU"/>
        </w:rPr>
        <w:t>В случае если</w:t>
      </w:r>
      <w:r w:rsidRPr="006E6BAF">
        <w:rPr>
          <w:lang w:val="ru-RU"/>
        </w:rPr>
        <w:t xml:space="preserve"> администрация </w:t>
      </w:r>
      <w:r>
        <w:rPr>
          <w:lang w:val="ru-RU"/>
        </w:rPr>
        <w:t>решает</w:t>
      </w:r>
      <w:r w:rsidRPr="006E6BAF">
        <w:rPr>
          <w:lang w:val="ru-RU"/>
        </w:rPr>
        <w:t xml:space="preserve"> использовать меры </w:t>
      </w:r>
      <w:r>
        <w:rPr>
          <w:lang w:val="ru-RU"/>
        </w:rPr>
        <w:t xml:space="preserve">по обеспечению </w:t>
      </w:r>
      <w:r w:rsidRPr="006E6BAF">
        <w:rPr>
          <w:lang w:val="ru-RU"/>
        </w:rPr>
        <w:t xml:space="preserve">совместимости, изложенные в настоящем Приложении, обычно требуется географическое </w:t>
      </w:r>
      <w:r>
        <w:rPr>
          <w:lang w:val="ru-RU"/>
        </w:rPr>
        <w:t>разнесение</w:t>
      </w:r>
      <w:r w:rsidRPr="006E6BAF">
        <w:rPr>
          <w:lang w:val="ru-RU"/>
        </w:rPr>
        <w:t xml:space="preserve"> между базовой станцией IMT и границей географических зон. Географическое </w:t>
      </w:r>
      <w:r>
        <w:rPr>
          <w:lang w:val="ru-RU"/>
        </w:rPr>
        <w:t>разнесение</w:t>
      </w:r>
      <w:r w:rsidRPr="006E6BAF">
        <w:rPr>
          <w:lang w:val="ru-RU"/>
        </w:rPr>
        <w:t xml:space="preserve"> зависит от ряда факторов, включая э.и.и.м. базовой станции IMT, местные препятствия и применимые пределы </w:t>
      </w:r>
      <w:proofErr w:type="spellStart"/>
      <w:r w:rsidRPr="006E6BAF">
        <w:rPr>
          <w:lang w:val="ru-RU"/>
        </w:rPr>
        <w:t>п.п.м</w:t>
      </w:r>
      <w:proofErr w:type="spellEnd"/>
      <w:r w:rsidRPr="006E6BAF">
        <w:rPr>
          <w:lang w:val="ru-RU"/>
        </w:rPr>
        <w:t>. (этапа</w:t>
      </w:r>
      <w:r>
        <w:rPr>
          <w:lang w:val="ru-RU"/>
        </w:rPr>
        <w:t> </w:t>
      </w:r>
      <w:r w:rsidRPr="006E6BAF">
        <w:rPr>
          <w:lang w:val="ru-RU"/>
        </w:rPr>
        <w:t>1 или этапа</w:t>
      </w:r>
      <w:r>
        <w:rPr>
          <w:lang w:val="ru-RU"/>
        </w:rPr>
        <w:t> </w:t>
      </w:r>
      <w:r w:rsidRPr="006E6BAF">
        <w:rPr>
          <w:lang w:val="ru-RU"/>
        </w:rPr>
        <w:t>2).</w:t>
      </w:r>
      <w:r w:rsidRPr="006E6BAF" w:rsidDel="00232CC2">
        <w:rPr>
          <w:lang w:val="ru-RU"/>
        </w:rPr>
        <w:t xml:space="preserve"> </w:t>
      </w:r>
      <w:r w:rsidRPr="006E6BAF">
        <w:rPr>
          <w:lang w:val="ru-RU"/>
        </w:rPr>
        <w:t>Для</w:t>
      </w:r>
      <w:r>
        <w:rPr>
          <w:lang w:val="ru-RU"/>
        </w:rPr>
        <w:t> </w:t>
      </w:r>
      <w:r w:rsidRPr="006E6BAF">
        <w:rPr>
          <w:lang w:val="ru-RU"/>
        </w:rPr>
        <w:t xml:space="preserve">некоторых значений </w:t>
      </w:r>
      <w:proofErr w:type="spellStart"/>
      <w:r w:rsidRPr="006E6BAF">
        <w:rPr>
          <w:lang w:val="ru-RU"/>
        </w:rPr>
        <w:t>п.п.м</w:t>
      </w:r>
      <w:proofErr w:type="spellEnd"/>
      <w:r w:rsidRPr="006E6BAF">
        <w:rPr>
          <w:lang w:val="ru-RU"/>
        </w:rPr>
        <w:t xml:space="preserve">. расстояние </w:t>
      </w:r>
      <w:r>
        <w:rPr>
          <w:lang w:val="ru-RU"/>
        </w:rPr>
        <w:t xml:space="preserve">географического разнесения </w:t>
      </w:r>
      <w:r w:rsidRPr="006E6BAF">
        <w:rPr>
          <w:lang w:val="ru-RU"/>
        </w:rPr>
        <w:t>может достигать нескольких десятков километров.</w:t>
      </w:r>
    </w:p>
    <w:p w14:paraId="0D5087CE" w14:textId="23466605" w:rsidR="005720AD" w:rsidRPr="009B600B" w:rsidRDefault="009B600B" w:rsidP="005720AD">
      <w:pPr>
        <w:rPr>
          <w:lang w:val="ru-RU"/>
        </w:rPr>
      </w:pPr>
      <w:r w:rsidRPr="009B600B">
        <w:rPr>
          <w:lang w:val="ru-RU"/>
        </w:rPr>
        <w:lastRenderedPageBreak/>
        <w:t>Например, одна администрация разрешила использовать системы IMT в полосе частот 1492</w:t>
      </w:r>
      <w:r>
        <w:rPr>
          <w:lang w:val="ru-RU"/>
        </w:rPr>
        <w:t>–</w:t>
      </w:r>
      <w:r w:rsidRPr="009B600B">
        <w:rPr>
          <w:lang w:val="ru-RU"/>
        </w:rPr>
        <w:t>1517 МГц</w:t>
      </w:r>
      <w:r w:rsidR="00D10CEB">
        <w:rPr>
          <w:lang w:val="ru-RU"/>
        </w:rPr>
        <w:t>,</w:t>
      </w:r>
      <w:r w:rsidRPr="009B600B">
        <w:rPr>
          <w:lang w:val="ru-RU"/>
        </w:rPr>
        <w:t xml:space="preserve"> </w:t>
      </w:r>
      <w:r w:rsidR="00D10CEB">
        <w:rPr>
          <w:lang w:val="ru-RU"/>
        </w:rPr>
        <w:t>указав</w:t>
      </w:r>
      <w:r w:rsidRPr="009B600B">
        <w:rPr>
          <w:lang w:val="ru-RU"/>
        </w:rPr>
        <w:t>, что</w:t>
      </w:r>
      <w:r w:rsidR="00D10CEB">
        <w:rPr>
          <w:lang w:val="ru-RU"/>
        </w:rPr>
        <w:t xml:space="preserve"> для соответствия</w:t>
      </w:r>
      <w:r w:rsidRPr="009B600B">
        <w:rPr>
          <w:lang w:val="ru-RU"/>
        </w:rPr>
        <w:t xml:space="preserve"> пределам </w:t>
      </w:r>
      <w:proofErr w:type="spellStart"/>
      <w:r w:rsidRPr="009B600B">
        <w:rPr>
          <w:lang w:val="ru-RU"/>
        </w:rPr>
        <w:t>п.п.м</w:t>
      </w:r>
      <w:proofErr w:type="spellEnd"/>
      <w:r w:rsidRPr="009B600B">
        <w:rPr>
          <w:lang w:val="ru-RU"/>
        </w:rPr>
        <w:t xml:space="preserve">., указанным в настоящей Рекомендации, </w:t>
      </w:r>
      <w:r w:rsidR="00D10CEB" w:rsidRPr="009B600B">
        <w:rPr>
          <w:lang w:val="ru-RU"/>
        </w:rPr>
        <w:t xml:space="preserve">базовые станции IMT </w:t>
      </w:r>
      <w:r w:rsidRPr="009B600B">
        <w:rPr>
          <w:lang w:val="ru-RU"/>
        </w:rPr>
        <w:t xml:space="preserve">должны находиться на расстоянии от </w:t>
      </w:r>
      <w:r w:rsidR="00CB1E30">
        <w:rPr>
          <w:lang w:val="ru-RU"/>
        </w:rPr>
        <w:t>3</w:t>
      </w:r>
      <w:r w:rsidRPr="009B600B">
        <w:rPr>
          <w:lang w:val="ru-RU"/>
        </w:rPr>
        <w:t xml:space="preserve"> до 12</w:t>
      </w:r>
      <w:r w:rsidR="00D10CEB">
        <w:rPr>
          <w:lang w:val="ru-RU"/>
        </w:rPr>
        <w:t> </w:t>
      </w:r>
      <w:r w:rsidRPr="009B600B">
        <w:rPr>
          <w:lang w:val="ru-RU"/>
        </w:rPr>
        <w:t>км от аэропортов.</w:t>
      </w:r>
    </w:p>
    <w:p w14:paraId="6576AB9F" w14:textId="0602D9B6" w:rsidR="005720AD" w:rsidRPr="00BB1840" w:rsidRDefault="00BB1840" w:rsidP="005720AD">
      <w:pPr>
        <w:rPr>
          <w:lang w:val="ru-RU"/>
        </w:rPr>
      </w:pPr>
      <w:r>
        <w:rPr>
          <w:lang w:val="ru-RU"/>
        </w:rPr>
        <w:t xml:space="preserve">В данном Приложении не рассматривается использование БС </w:t>
      </w:r>
      <w:r w:rsidRPr="009B600B">
        <w:rPr>
          <w:lang w:val="ru-RU"/>
        </w:rPr>
        <w:t>IMT</w:t>
      </w:r>
      <w:r>
        <w:rPr>
          <w:lang w:val="ru-RU"/>
        </w:rPr>
        <w:t>, расположенных на морских или воздушных платформах, в полосе частот 1492–1518 МГц.</w:t>
      </w:r>
    </w:p>
    <w:p w14:paraId="14A2DF09" w14:textId="3388D7BB" w:rsidR="005720AD" w:rsidRPr="00F81CFD" w:rsidRDefault="00F81CFD" w:rsidP="005720AD">
      <w:pPr>
        <w:rPr>
          <w:lang w:val="ru-RU"/>
        </w:rPr>
      </w:pPr>
      <w:r w:rsidRPr="00F81CFD">
        <w:rPr>
          <w:lang w:val="ru-RU"/>
        </w:rPr>
        <w:t xml:space="preserve">Пределы </w:t>
      </w:r>
      <w:proofErr w:type="spellStart"/>
      <w:r w:rsidRPr="00F81CFD">
        <w:rPr>
          <w:lang w:val="ru-RU"/>
        </w:rPr>
        <w:t>п.п.м</w:t>
      </w:r>
      <w:proofErr w:type="spellEnd"/>
      <w:r w:rsidRPr="00F81CFD">
        <w:rPr>
          <w:lang w:val="ru-RU"/>
        </w:rPr>
        <w:t>. применяются последовательно в два этапа. Пределы этапа</w:t>
      </w:r>
      <w:r>
        <w:rPr>
          <w:lang w:val="ru-RU"/>
        </w:rPr>
        <w:t> </w:t>
      </w:r>
      <w:r w:rsidRPr="00F81CFD">
        <w:rPr>
          <w:lang w:val="ru-RU"/>
        </w:rPr>
        <w:t>1 основаны на характеристиках действующих в настоящее время</w:t>
      </w:r>
      <w:r>
        <w:rPr>
          <w:lang w:val="ru-RU"/>
        </w:rPr>
        <w:t xml:space="preserve"> ПЗС</w:t>
      </w:r>
      <w:r w:rsidRPr="00F81CFD">
        <w:rPr>
          <w:lang w:val="ru-RU"/>
        </w:rPr>
        <w:t>, а пределы этапа</w:t>
      </w:r>
      <w:r>
        <w:rPr>
          <w:lang w:val="ru-RU"/>
        </w:rPr>
        <w:t> </w:t>
      </w:r>
      <w:r w:rsidRPr="00F81CFD">
        <w:rPr>
          <w:lang w:val="ru-RU"/>
        </w:rPr>
        <w:t>2 – на характеристиках терминалов, соответствующих уровням техническо</w:t>
      </w:r>
      <w:r>
        <w:rPr>
          <w:lang w:val="ru-RU"/>
        </w:rPr>
        <w:t>го</w:t>
      </w:r>
      <w:r w:rsidRPr="00F81CFD">
        <w:rPr>
          <w:lang w:val="ru-RU"/>
        </w:rPr>
        <w:t xml:space="preserve"> блокирования, указанным в настоящей Рекомендации, которые, как ожидается, будут более устойчивыми к блокированию и, следовательно, будут допускать менее строгие </w:t>
      </w:r>
      <w:r>
        <w:rPr>
          <w:lang w:val="ru-RU"/>
        </w:rPr>
        <w:t>предельные значения</w:t>
      </w:r>
      <w:r w:rsidRPr="00F81CFD">
        <w:rPr>
          <w:lang w:val="ru-RU"/>
        </w:rPr>
        <w:t xml:space="preserve"> </w:t>
      </w:r>
      <w:proofErr w:type="spellStart"/>
      <w:r w:rsidRPr="00F81CFD">
        <w:rPr>
          <w:lang w:val="ru-RU"/>
        </w:rPr>
        <w:t>п.п.м</w:t>
      </w:r>
      <w:proofErr w:type="spellEnd"/>
      <w:r w:rsidRPr="00F81CFD">
        <w:rPr>
          <w:lang w:val="ru-RU"/>
        </w:rPr>
        <w:t>.</w:t>
      </w:r>
    </w:p>
    <w:p w14:paraId="475321CE" w14:textId="1953E46C" w:rsidR="005720AD" w:rsidRPr="00B310F4" w:rsidRDefault="00B310F4" w:rsidP="005720AD">
      <w:pPr>
        <w:rPr>
          <w:lang w:val="ru-RU"/>
        </w:rPr>
      </w:pPr>
      <w:r>
        <w:rPr>
          <w:lang w:val="ru-RU"/>
        </w:rPr>
        <w:t xml:space="preserve">Для этапа 1 </w:t>
      </w:r>
      <w:r w:rsidRPr="00B310F4">
        <w:rPr>
          <w:lang w:val="ru-RU"/>
        </w:rPr>
        <w:t xml:space="preserve">представлены два варианта конкретных значений </w:t>
      </w:r>
      <w:proofErr w:type="spellStart"/>
      <w:r w:rsidRPr="00B310F4">
        <w:rPr>
          <w:lang w:val="ru-RU"/>
        </w:rPr>
        <w:t>п.п.м</w:t>
      </w:r>
      <w:proofErr w:type="spellEnd"/>
      <w:r w:rsidRPr="00B310F4">
        <w:rPr>
          <w:lang w:val="ru-RU"/>
        </w:rPr>
        <w:t xml:space="preserve">., основанные на разных предположениях относительно устойчивости к блокированию действующих в настоящее время терминалов ПЗС, которые описаны ниже. Значения </w:t>
      </w:r>
      <w:proofErr w:type="spellStart"/>
      <w:r w:rsidRPr="00B310F4">
        <w:rPr>
          <w:lang w:val="ru-RU"/>
        </w:rPr>
        <w:t>п.п.м</w:t>
      </w:r>
      <w:proofErr w:type="spellEnd"/>
      <w:r w:rsidRPr="00B310F4">
        <w:rPr>
          <w:lang w:val="ru-RU"/>
        </w:rPr>
        <w:t>. этапа</w:t>
      </w:r>
      <w:r>
        <w:rPr>
          <w:lang w:val="ru-RU"/>
        </w:rPr>
        <w:t> </w:t>
      </w:r>
      <w:r w:rsidRPr="00B310F4">
        <w:rPr>
          <w:lang w:val="ru-RU"/>
        </w:rPr>
        <w:t xml:space="preserve">2 </w:t>
      </w:r>
      <w:r>
        <w:rPr>
          <w:lang w:val="ru-RU"/>
        </w:rPr>
        <w:t xml:space="preserve">в </w:t>
      </w:r>
      <w:r w:rsidRPr="00B310F4">
        <w:rPr>
          <w:lang w:val="ru-RU"/>
        </w:rPr>
        <w:t>обоих вариант</w:t>
      </w:r>
      <w:r>
        <w:rPr>
          <w:lang w:val="ru-RU"/>
        </w:rPr>
        <w:t>ах</w:t>
      </w:r>
      <w:r w:rsidRPr="00B310F4">
        <w:rPr>
          <w:lang w:val="ru-RU"/>
        </w:rPr>
        <w:t xml:space="preserve"> определяют пределы </w:t>
      </w:r>
      <w:proofErr w:type="spellStart"/>
      <w:r w:rsidRPr="00B310F4">
        <w:rPr>
          <w:lang w:val="ru-RU"/>
        </w:rPr>
        <w:t>п.п.м</w:t>
      </w:r>
      <w:proofErr w:type="spellEnd"/>
      <w:r w:rsidRPr="00B310F4">
        <w:rPr>
          <w:lang w:val="ru-RU"/>
        </w:rPr>
        <w:t xml:space="preserve">., основанные на </w:t>
      </w:r>
      <w:r>
        <w:rPr>
          <w:lang w:val="ru-RU"/>
        </w:rPr>
        <w:t>характеристиках устойчивости</w:t>
      </w:r>
      <w:r w:rsidRPr="00B310F4">
        <w:rPr>
          <w:lang w:val="ru-RU"/>
        </w:rPr>
        <w:t xml:space="preserve"> к блокированию терминалов ПЗС, соответствующих уровням технического блокирования из настоящей Рекомендации.</w:t>
      </w:r>
    </w:p>
    <w:p w14:paraId="5B44A4E4" w14:textId="0B772CCC" w:rsidR="005720AD" w:rsidRPr="00F3227A" w:rsidRDefault="00EB0B41" w:rsidP="005720AD">
      <w:pPr>
        <w:rPr>
          <w:sz w:val="20"/>
          <w:lang w:val="ru-RU"/>
        </w:rPr>
      </w:pPr>
      <w:r>
        <w:rPr>
          <w:lang w:val="ru-RU"/>
        </w:rPr>
        <w:t xml:space="preserve">Терминалы ПЗС более восприимчивы к помехам, </w:t>
      </w:r>
      <w:r w:rsidR="00CB1E30">
        <w:rPr>
          <w:lang w:val="ru-RU"/>
        </w:rPr>
        <w:t>создаваемым</w:t>
      </w:r>
      <w:r>
        <w:rPr>
          <w:lang w:val="ru-RU"/>
        </w:rPr>
        <w:t xml:space="preserve"> несколькими каналами </w:t>
      </w:r>
      <w:r>
        <w:rPr>
          <w:lang w:val="en-US"/>
        </w:rPr>
        <w:t>IMT</w:t>
      </w:r>
      <w:r>
        <w:rPr>
          <w:lang w:val="ru-RU"/>
        </w:rPr>
        <w:t xml:space="preserve"> в полосе частот 1492–1517 МГц. Были проведены измерения для оценки блокирования, вызванного </w:t>
      </w:r>
      <w:proofErr w:type="spellStart"/>
      <w:r>
        <w:rPr>
          <w:lang w:val="ru-RU"/>
        </w:rPr>
        <w:t>интермодуляцией</w:t>
      </w:r>
      <w:proofErr w:type="spellEnd"/>
      <w:r>
        <w:rPr>
          <w:lang w:val="ru-RU"/>
        </w:rPr>
        <w:t xml:space="preserve">, возникающей при передаче базовой станцией сигналов по нескольким каналам. В первом </w:t>
      </w:r>
      <w:r w:rsidR="001E7AF5">
        <w:rPr>
          <w:lang w:val="ru-RU"/>
        </w:rPr>
        <w:t>варианте</w:t>
      </w:r>
      <w:r>
        <w:rPr>
          <w:lang w:val="ru-RU"/>
        </w:rPr>
        <w:t xml:space="preserve"> (А) пределы </w:t>
      </w:r>
      <w:proofErr w:type="spellStart"/>
      <w:r>
        <w:rPr>
          <w:lang w:val="ru-RU"/>
        </w:rPr>
        <w:t>п.п.м</w:t>
      </w:r>
      <w:proofErr w:type="spellEnd"/>
      <w:r>
        <w:rPr>
          <w:lang w:val="ru-RU"/>
        </w:rPr>
        <w:t xml:space="preserve">. представлены в двух таблицах: таблице 4 для базовой станции </w:t>
      </w:r>
      <w:r w:rsidR="00A95FE9">
        <w:rPr>
          <w:lang w:val="en-US"/>
        </w:rPr>
        <w:t>IMT</w:t>
      </w:r>
      <w:r w:rsidR="00F3227A">
        <w:rPr>
          <w:lang w:val="ru-RU"/>
        </w:rPr>
        <w:t>, ведущей передачи по одному каналу в этой полосе частот</w:t>
      </w:r>
      <w:r w:rsidR="00CB1E30">
        <w:rPr>
          <w:lang w:val="ru-RU"/>
        </w:rPr>
        <w:t>,</w:t>
      </w:r>
      <w:r w:rsidR="00F3227A">
        <w:rPr>
          <w:lang w:val="ru-RU"/>
        </w:rPr>
        <w:t xml:space="preserve"> и таблице 5 для базовой станции </w:t>
      </w:r>
      <w:r w:rsidR="00F3227A">
        <w:rPr>
          <w:lang w:val="en-US"/>
        </w:rPr>
        <w:t>IMT</w:t>
      </w:r>
      <w:r w:rsidR="00F3227A">
        <w:rPr>
          <w:lang w:val="ru-RU"/>
        </w:rPr>
        <w:t xml:space="preserve">, ведущей передачи в этой полосе по нескольким каналам, когда условия распространения сигналов в каналах одинаковы и сигналы принимаются с одними и теми же относительными уровнями сигнала на терминале ПЗС. Во втором варианте (В) пределы </w:t>
      </w:r>
      <w:proofErr w:type="spellStart"/>
      <w:r w:rsidR="00F3227A">
        <w:rPr>
          <w:lang w:val="ru-RU"/>
        </w:rPr>
        <w:t>п.п.м</w:t>
      </w:r>
      <w:proofErr w:type="spellEnd"/>
      <w:r w:rsidR="00F3227A">
        <w:rPr>
          <w:lang w:val="ru-RU"/>
        </w:rPr>
        <w:t xml:space="preserve">. представлены в одной таблице (см. таблицу 6), применимой в случае как одного, так и нескольких каналов. Она основана на предположении, что когда терминал ПЗС принимает сигналы БС </w:t>
      </w:r>
      <w:r w:rsidR="00F3227A">
        <w:rPr>
          <w:lang w:val="en-US"/>
        </w:rPr>
        <w:t>IMT</w:t>
      </w:r>
      <w:r w:rsidR="00F3227A">
        <w:rPr>
          <w:lang w:val="ru-RU"/>
        </w:rPr>
        <w:t>, передаваемые по нескольким каналам, один канал ввиду характеристик распространения является доминирующим и, следовательно, влиянием многоканальности можно пренебречь.</w:t>
      </w:r>
    </w:p>
    <w:p w14:paraId="73769C7C" w14:textId="119DED2E" w:rsidR="005720AD" w:rsidRPr="00D15F01" w:rsidRDefault="00F3227A" w:rsidP="00053593">
      <w:pPr>
        <w:pStyle w:val="Headingb"/>
        <w:rPr>
          <w:lang w:val="ru-RU"/>
        </w:rPr>
      </w:pPr>
      <w:r w:rsidRPr="00F3227A">
        <w:rPr>
          <w:lang w:val="ru-RU"/>
        </w:rPr>
        <w:t xml:space="preserve">Вариант </w:t>
      </w:r>
      <w:r w:rsidR="005720AD" w:rsidRPr="00F3227A">
        <w:t>A</w:t>
      </w:r>
    </w:p>
    <w:p w14:paraId="285E4333" w14:textId="1BD9F010" w:rsidR="005720AD" w:rsidRPr="00D15F01" w:rsidRDefault="005720AD" w:rsidP="005720AD">
      <w:pPr>
        <w:pStyle w:val="enumlev1"/>
        <w:rPr>
          <w:lang w:val="ru-RU"/>
        </w:rPr>
      </w:pPr>
      <w:r w:rsidRPr="00D15F01">
        <w:rPr>
          <w:lang w:val="ru-RU"/>
        </w:rPr>
        <w:t>–</w:t>
      </w:r>
      <w:r w:rsidRPr="00D15F01">
        <w:rPr>
          <w:lang w:val="ru-RU"/>
        </w:rPr>
        <w:tab/>
      </w:r>
      <w:r w:rsidR="00D15F01" w:rsidRPr="00D15F01">
        <w:rPr>
          <w:lang w:val="ru-RU"/>
        </w:rPr>
        <w:t xml:space="preserve">Значения </w:t>
      </w:r>
      <w:proofErr w:type="spellStart"/>
      <w:r w:rsidR="00D15F01" w:rsidRPr="00D15F01">
        <w:rPr>
          <w:lang w:val="ru-RU"/>
        </w:rPr>
        <w:t>п.п.м</w:t>
      </w:r>
      <w:proofErr w:type="spellEnd"/>
      <w:r w:rsidR="00D15F01" w:rsidRPr="00D15F01">
        <w:rPr>
          <w:lang w:val="ru-RU"/>
        </w:rPr>
        <w:t xml:space="preserve">. </w:t>
      </w:r>
      <w:r w:rsidR="00D15F01">
        <w:rPr>
          <w:lang w:val="ru-RU"/>
        </w:rPr>
        <w:t xml:space="preserve">для этапа 1 </w:t>
      </w:r>
      <w:r w:rsidR="00D15F01" w:rsidRPr="00D15F01">
        <w:rPr>
          <w:lang w:val="ru-RU"/>
        </w:rPr>
        <w:t xml:space="preserve">основаны на </w:t>
      </w:r>
      <w:r w:rsidR="00D15F01">
        <w:rPr>
          <w:lang w:val="ru-RU"/>
        </w:rPr>
        <w:t>проведенных</w:t>
      </w:r>
      <w:r w:rsidR="00D15F01" w:rsidRPr="00D15F01">
        <w:rPr>
          <w:lang w:val="ru-RU"/>
        </w:rPr>
        <w:t xml:space="preserve"> некоторыми производителями измерениях уровней блокирования действующих терминалов. В результате этих измерений было установлено, что в отношении излучений IMT в полосе частот 1512–1517</w:t>
      </w:r>
      <w:r w:rsidR="00D15F01">
        <w:rPr>
          <w:lang w:val="ru-RU"/>
        </w:rPr>
        <w:t> </w:t>
      </w:r>
      <w:r w:rsidR="00D15F01" w:rsidRPr="00D15F01">
        <w:rPr>
          <w:lang w:val="ru-RU"/>
        </w:rPr>
        <w:t>МГц блокирование происходит на уровне −76</w:t>
      </w:r>
      <w:r w:rsidR="00D15F01">
        <w:rPr>
          <w:lang w:val="ru-RU"/>
        </w:rPr>
        <w:t> </w:t>
      </w:r>
      <w:proofErr w:type="spellStart"/>
      <w:r w:rsidR="00D15F01" w:rsidRPr="00D15F01">
        <w:rPr>
          <w:lang w:val="ru-RU"/>
        </w:rPr>
        <w:t>дБм</w:t>
      </w:r>
      <w:proofErr w:type="spellEnd"/>
      <w:r w:rsidR="00D15F01" w:rsidRPr="00D15F01">
        <w:rPr>
          <w:lang w:val="ru-RU"/>
        </w:rPr>
        <w:t xml:space="preserve"> для действующих морских терминалов и −50,3</w:t>
      </w:r>
      <w:r w:rsidR="00D15F01">
        <w:rPr>
          <w:lang w:val="ru-RU"/>
        </w:rPr>
        <w:t> </w:t>
      </w:r>
      <w:proofErr w:type="spellStart"/>
      <w:r w:rsidR="00D15F01" w:rsidRPr="00D15F01">
        <w:rPr>
          <w:lang w:val="ru-RU"/>
        </w:rPr>
        <w:t>дБм</w:t>
      </w:r>
      <w:proofErr w:type="spellEnd"/>
      <w:r w:rsidR="00D15F01" w:rsidRPr="00D15F01">
        <w:rPr>
          <w:lang w:val="ru-RU"/>
        </w:rPr>
        <w:t xml:space="preserve"> для действующих воздушных терминалов. Для излучений IMT в полосе </w:t>
      </w:r>
      <w:proofErr w:type="gramStart"/>
      <w:r w:rsidR="00D15F01" w:rsidRPr="00D15F01">
        <w:rPr>
          <w:lang w:val="ru-RU"/>
        </w:rPr>
        <w:t>1502</w:t>
      </w:r>
      <w:r w:rsidR="00351CFC">
        <w:rPr>
          <w:lang w:val="ru-RU"/>
        </w:rPr>
        <w:t>−</w:t>
      </w:r>
      <w:r w:rsidR="00D15F01" w:rsidRPr="00D15F01">
        <w:rPr>
          <w:lang w:val="ru-RU"/>
        </w:rPr>
        <w:t>1512</w:t>
      </w:r>
      <w:proofErr w:type="gramEnd"/>
      <w:r w:rsidR="00D15F01">
        <w:rPr>
          <w:lang w:val="ru-RU"/>
        </w:rPr>
        <w:t> </w:t>
      </w:r>
      <w:r w:rsidR="00D15F01" w:rsidRPr="00D15F01">
        <w:rPr>
          <w:lang w:val="ru-RU"/>
        </w:rPr>
        <w:t>МГц блокирование происходит на уровнях –68</w:t>
      </w:r>
      <w:r w:rsidR="00D15F01">
        <w:rPr>
          <w:lang w:val="ru-RU"/>
        </w:rPr>
        <w:t> </w:t>
      </w:r>
      <w:proofErr w:type="spellStart"/>
      <w:r w:rsidR="00D15F01" w:rsidRPr="00D15F01">
        <w:rPr>
          <w:lang w:val="ru-RU"/>
        </w:rPr>
        <w:t>дБм</w:t>
      </w:r>
      <w:proofErr w:type="spellEnd"/>
      <w:r w:rsidR="00D15F01" w:rsidRPr="00D15F01">
        <w:rPr>
          <w:lang w:val="ru-RU"/>
        </w:rPr>
        <w:t xml:space="preserve"> и </w:t>
      </w:r>
      <w:r w:rsidR="00D15F01">
        <w:rPr>
          <w:lang w:val="ru-RU"/>
        </w:rPr>
        <w:t>–</w:t>
      </w:r>
      <w:r w:rsidR="00D15F01" w:rsidRPr="00D15F01">
        <w:rPr>
          <w:lang w:val="ru-RU"/>
        </w:rPr>
        <w:t>35 </w:t>
      </w:r>
      <w:proofErr w:type="spellStart"/>
      <w:r w:rsidR="00D15F01" w:rsidRPr="00D15F01">
        <w:rPr>
          <w:lang w:val="ru-RU"/>
        </w:rPr>
        <w:t>дБм</w:t>
      </w:r>
      <w:proofErr w:type="spellEnd"/>
      <w:r w:rsidR="00D15F01" w:rsidRPr="00D15F01">
        <w:rPr>
          <w:lang w:val="ru-RU"/>
        </w:rPr>
        <w:t xml:space="preserve"> соответственно для морских и воздушных терминалов. Для излучений IMT в полосе 1492</w:t>
      </w:r>
      <w:r w:rsidR="00D15F01">
        <w:rPr>
          <w:lang w:val="ru-RU"/>
        </w:rPr>
        <w:t>–</w:t>
      </w:r>
      <w:r w:rsidR="00D15F01" w:rsidRPr="00D15F01">
        <w:rPr>
          <w:lang w:val="ru-RU"/>
        </w:rPr>
        <w:t>1502</w:t>
      </w:r>
      <w:r w:rsidR="00D15F01">
        <w:rPr>
          <w:lang w:val="ru-RU"/>
        </w:rPr>
        <w:t> </w:t>
      </w:r>
      <w:r w:rsidR="00D15F01" w:rsidRPr="00D15F01">
        <w:rPr>
          <w:lang w:val="ru-RU"/>
        </w:rPr>
        <w:t>МГц блокирование происходит на уровнях –53</w:t>
      </w:r>
      <w:r w:rsidR="00D15F01">
        <w:rPr>
          <w:lang w:val="ru-RU"/>
        </w:rPr>
        <w:t> </w:t>
      </w:r>
      <w:proofErr w:type="spellStart"/>
      <w:r w:rsidR="00D15F01" w:rsidRPr="00D15F01">
        <w:rPr>
          <w:lang w:val="ru-RU"/>
        </w:rPr>
        <w:t>дБм</w:t>
      </w:r>
      <w:proofErr w:type="spellEnd"/>
      <w:r w:rsidR="00D15F01" w:rsidRPr="00D15F01">
        <w:rPr>
          <w:lang w:val="ru-RU"/>
        </w:rPr>
        <w:t xml:space="preserve"> и –21</w:t>
      </w:r>
      <w:r w:rsidR="00D15F01">
        <w:rPr>
          <w:lang w:val="ru-RU"/>
        </w:rPr>
        <w:t> </w:t>
      </w:r>
      <w:proofErr w:type="spellStart"/>
      <w:r w:rsidR="00D15F01" w:rsidRPr="00D15F01">
        <w:rPr>
          <w:lang w:val="ru-RU"/>
        </w:rPr>
        <w:t>дБм</w:t>
      </w:r>
      <w:proofErr w:type="spellEnd"/>
      <w:r w:rsidR="00D15F01" w:rsidRPr="00D15F01">
        <w:rPr>
          <w:lang w:val="ru-RU"/>
        </w:rPr>
        <w:t xml:space="preserve"> соответственно для морских и воздушных терминалов.</w:t>
      </w:r>
    </w:p>
    <w:p w14:paraId="4344C2A2" w14:textId="568F4D3D" w:rsidR="005720AD" w:rsidRPr="00961E7D" w:rsidRDefault="005720AD" w:rsidP="005720AD">
      <w:pPr>
        <w:pStyle w:val="enumlev1"/>
        <w:rPr>
          <w:lang w:val="ru-RU" w:eastAsia="zh-CN"/>
        </w:rPr>
      </w:pPr>
      <w:r w:rsidRPr="00961E7D">
        <w:rPr>
          <w:lang w:val="ru-RU"/>
        </w:rPr>
        <w:t>–</w:t>
      </w:r>
      <w:r w:rsidRPr="00961E7D">
        <w:rPr>
          <w:lang w:val="ru-RU"/>
        </w:rPr>
        <w:tab/>
      </w:r>
      <w:r w:rsidR="00961E7D" w:rsidRPr="00961E7D">
        <w:rPr>
          <w:lang w:val="ru-RU"/>
        </w:rPr>
        <w:t xml:space="preserve">Ограничения </w:t>
      </w:r>
      <w:proofErr w:type="spellStart"/>
      <w:r w:rsidR="00961E7D" w:rsidRPr="00961E7D">
        <w:rPr>
          <w:lang w:val="ru-RU"/>
        </w:rPr>
        <w:t>п.п.м</w:t>
      </w:r>
      <w:proofErr w:type="spellEnd"/>
      <w:r w:rsidR="00961E7D" w:rsidRPr="00961E7D">
        <w:rPr>
          <w:lang w:val="ru-RU"/>
        </w:rPr>
        <w:t>., применяемые на этапе</w:t>
      </w:r>
      <w:r w:rsidR="00961E7D">
        <w:rPr>
          <w:lang w:val="ru-RU"/>
        </w:rPr>
        <w:t> </w:t>
      </w:r>
      <w:r w:rsidR="00961E7D" w:rsidRPr="00961E7D">
        <w:rPr>
          <w:lang w:val="ru-RU"/>
        </w:rPr>
        <w:t>2, основаны на предполагаемой устойчивости к блокированию ПЗС нового поколения. Для этапа</w:t>
      </w:r>
      <w:r w:rsidR="00961E7D">
        <w:rPr>
          <w:lang w:val="ru-RU"/>
        </w:rPr>
        <w:t> </w:t>
      </w:r>
      <w:r w:rsidR="00961E7D" w:rsidRPr="00961E7D">
        <w:rPr>
          <w:lang w:val="ru-RU"/>
        </w:rPr>
        <w:t xml:space="preserve">2 пределы </w:t>
      </w:r>
      <w:proofErr w:type="spellStart"/>
      <w:r w:rsidR="00961E7D" w:rsidRPr="00961E7D">
        <w:rPr>
          <w:lang w:val="ru-RU"/>
        </w:rPr>
        <w:t>п.п.м</w:t>
      </w:r>
      <w:proofErr w:type="spellEnd"/>
      <w:r w:rsidR="00961E7D" w:rsidRPr="00961E7D">
        <w:rPr>
          <w:lang w:val="ru-RU"/>
        </w:rPr>
        <w:t>., указанные в таблице</w:t>
      </w:r>
      <w:r w:rsidR="00961E7D">
        <w:rPr>
          <w:lang w:val="ru-RU"/>
        </w:rPr>
        <w:t> </w:t>
      </w:r>
      <w:r w:rsidR="007F23F2">
        <w:rPr>
          <w:lang w:val="ru-RU"/>
        </w:rPr>
        <w:t>4</w:t>
      </w:r>
      <w:r w:rsidR="00961E7D" w:rsidRPr="00961E7D">
        <w:rPr>
          <w:lang w:val="ru-RU"/>
        </w:rPr>
        <w:t xml:space="preserve">, основаны на уровнях блокирования </w:t>
      </w:r>
      <w:r w:rsidR="00961E7D">
        <w:rPr>
          <w:lang w:val="ru-RU"/>
        </w:rPr>
        <w:t>–</w:t>
      </w:r>
      <w:r w:rsidR="00961E7D" w:rsidRPr="00961E7D">
        <w:rPr>
          <w:lang w:val="ru-RU"/>
        </w:rPr>
        <w:t>20 </w:t>
      </w:r>
      <w:proofErr w:type="spellStart"/>
      <w:r w:rsidR="00961E7D" w:rsidRPr="00961E7D">
        <w:rPr>
          <w:lang w:val="ru-RU"/>
        </w:rPr>
        <w:t>дБм</w:t>
      </w:r>
      <w:proofErr w:type="spellEnd"/>
      <w:r w:rsidR="00961E7D" w:rsidRPr="00961E7D">
        <w:rPr>
          <w:lang w:val="ru-RU"/>
        </w:rPr>
        <w:t xml:space="preserve"> и </w:t>
      </w:r>
      <w:r w:rsidR="00961E7D">
        <w:rPr>
          <w:lang w:val="ru-RU"/>
        </w:rPr>
        <w:t>–</w:t>
      </w:r>
      <w:r w:rsidR="00961E7D" w:rsidRPr="00961E7D">
        <w:rPr>
          <w:lang w:val="ru-RU"/>
        </w:rPr>
        <w:t>30</w:t>
      </w:r>
      <w:r w:rsidR="00961E7D">
        <w:rPr>
          <w:lang w:val="ru-RU"/>
        </w:rPr>
        <w:t> </w:t>
      </w:r>
      <w:proofErr w:type="spellStart"/>
      <w:r w:rsidR="00961E7D" w:rsidRPr="00961E7D">
        <w:rPr>
          <w:lang w:val="ru-RU"/>
        </w:rPr>
        <w:t>дБм</w:t>
      </w:r>
      <w:proofErr w:type="spellEnd"/>
      <w:r w:rsidR="00961E7D" w:rsidRPr="00961E7D">
        <w:rPr>
          <w:lang w:val="ru-RU"/>
        </w:rPr>
        <w:t xml:space="preserve"> соответственно в полосах частот 1502</w:t>
      </w:r>
      <w:r w:rsidR="0004438A">
        <w:rPr>
          <w:lang w:val="ru-RU"/>
        </w:rPr>
        <w:t>−</w:t>
      </w:r>
      <w:r w:rsidR="00961E7D" w:rsidRPr="00961E7D">
        <w:rPr>
          <w:lang w:val="ru-RU"/>
        </w:rPr>
        <w:t>1512</w:t>
      </w:r>
      <w:r w:rsidR="00961E7D">
        <w:rPr>
          <w:lang w:val="ru-RU"/>
        </w:rPr>
        <w:t> </w:t>
      </w:r>
      <w:r w:rsidR="00961E7D" w:rsidRPr="00961E7D">
        <w:rPr>
          <w:lang w:val="ru-RU"/>
        </w:rPr>
        <w:t>МГц и 1512–1517</w:t>
      </w:r>
      <w:r w:rsidR="00961E7D">
        <w:rPr>
          <w:lang w:val="ru-RU"/>
        </w:rPr>
        <w:t> </w:t>
      </w:r>
      <w:r w:rsidR="00961E7D" w:rsidRPr="00961E7D">
        <w:rPr>
          <w:lang w:val="ru-RU"/>
        </w:rPr>
        <w:t xml:space="preserve">МГц; значения </w:t>
      </w:r>
      <w:proofErr w:type="spellStart"/>
      <w:r w:rsidR="00961E7D" w:rsidRPr="00961E7D">
        <w:rPr>
          <w:lang w:val="ru-RU"/>
        </w:rPr>
        <w:t>п.п.м</w:t>
      </w:r>
      <w:proofErr w:type="spellEnd"/>
      <w:r w:rsidR="00961E7D" w:rsidRPr="00961E7D">
        <w:rPr>
          <w:lang w:val="ru-RU"/>
        </w:rPr>
        <w:t>., указанные в таблице</w:t>
      </w:r>
      <w:r w:rsidR="00961E7D">
        <w:rPr>
          <w:lang w:val="ru-RU"/>
        </w:rPr>
        <w:t> </w:t>
      </w:r>
      <w:r w:rsidR="00D84D70">
        <w:rPr>
          <w:lang w:val="ru-RU"/>
        </w:rPr>
        <w:t>5</w:t>
      </w:r>
      <w:r w:rsidR="00961E7D" w:rsidRPr="00961E7D">
        <w:rPr>
          <w:lang w:val="ru-RU"/>
        </w:rPr>
        <w:t xml:space="preserve">, основаны на уровнях блокирования </w:t>
      </w:r>
      <w:r w:rsidR="00961E7D">
        <w:rPr>
          <w:lang w:val="ru-RU"/>
        </w:rPr>
        <w:t>–</w:t>
      </w:r>
      <w:r w:rsidR="00961E7D" w:rsidRPr="00961E7D">
        <w:rPr>
          <w:lang w:val="ru-RU"/>
        </w:rPr>
        <w:t>23</w:t>
      </w:r>
      <w:r w:rsidR="00961E7D">
        <w:rPr>
          <w:lang w:val="ru-RU"/>
        </w:rPr>
        <w:t> </w:t>
      </w:r>
      <w:proofErr w:type="spellStart"/>
      <w:r w:rsidR="00961E7D" w:rsidRPr="00961E7D">
        <w:rPr>
          <w:lang w:val="ru-RU"/>
        </w:rPr>
        <w:t>дБм</w:t>
      </w:r>
      <w:proofErr w:type="spellEnd"/>
      <w:r w:rsidR="00961E7D" w:rsidRPr="00961E7D">
        <w:rPr>
          <w:lang w:val="ru-RU"/>
        </w:rPr>
        <w:t xml:space="preserve"> и –33</w:t>
      </w:r>
      <w:r w:rsidR="00961E7D">
        <w:rPr>
          <w:lang w:val="ru-RU"/>
        </w:rPr>
        <w:t> </w:t>
      </w:r>
      <w:proofErr w:type="spellStart"/>
      <w:r w:rsidR="00961E7D" w:rsidRPr="00961E7D">
        <w:rPr>
          <w:lang w:val="ru-RU"/>
        </w:rPr>
        <w:t>дБм</w:t>
      </w:r>
      <w:proofErr w:type="spellEnd"/>
      <w:r w:rsidR="00961E7D" w:rsidRPr="00961E7D">
        <w:rPr>
          <w:lang w:val="ru-RU"/>
        </w:rPr>
        <w:t xml:space="preserve"> соответственно в полосах частот 1492–1512</w:t>
      </w:r>
      <w:r w:rsidR="00961E7D">
        <w:rPr>
          <w:lang w:val="ru-RU"/>
        </w:rPr>
        <w:t> </w:t>
      </w:r>
      <w:r w:rsidR="00961E7D" w:rsidRPr="00961E7D">
        <w:rPr>
          <w:lang w:val="ru-RU"/>
        </w:rPr>
        <w:t>МГц и 1512–1517</w:t>
      </w:r>
      <w:r w:rsidR="00961E7D">
        <w:rPr>
          <w:lang w:val="ru-RU"/>
        </w:rPr>
        <w:t> </w:t>
      </w:r>
      <w:r w:rsidR="00961E7D" w:rsidRPr="00961E7D">
        <w:rPr>
          <w:lang w:val="ru-RU"/>
        </w:rPr>
        <w:t>МГц.</w:t>
      </w:r>
    </w:p>
    <w:p w14:paraId="5FD93016" w14:textId="77777777" w:rsidR="00961E7D" w:rsidRPr="00961E7D" w:rsidRDefault="00961E7D" w:rsidP="00961E7D">
      <w:pPr>
        <w:pStyle w:val="TableNo"/>
        <w:keepLines/>
        <w:rPr>
          <w:lang w:val="ru-RU"/>
        </w:rPr>
      </w:pPr>
      <w:r w:rsidRPr="00961E7D">
        <w:rPr>
          <w:lang w:val="ru-RU"/>
        </w:rPr>
        <w:lastRenderedPageBreak/>
        <w:t>ТАБЛИЦА 4</w:t>
      </w:r>
    </w:p>
    <w:p w14:paraId="4EC51103" w14:textId="2A16B275" w:rsidR="005720AD" w:rsidRPr="00961E7D" w:rsidRDefault="00961E7D" w:rsidP="00961E7D">
      <w:pPr>
        <w:pStyle w:val="Tabletitle"/>
        <w:keepLines/>
        <w:rPr>
          <w:lang w:val="ru-RU"/>
        </w:rPr>
      </w:pPr>
      <w:r w:rsidRPr="00961E7D">
        <w:rPr>
          <w:lang w:val="ru-RU"/>
        </w:rPr>
        <w:t xml:space="preserve">Пределы </w:t>
      </w:r>
      <w:proofErr w:type="spellStart"/>
      <w:r w:rsidRPr="00961E7D">
        <w:rPr>
          <w:lang w:val="ru-RU"/>
        </w:rPr>
        <w:t>п.п.м</w:t>
      </w:r>
      <w:proofErr w:type="spellEnd"/>
      <w:r w:rsidRPr="00961E7D">
        <w:rPr>
          <w:lang w:val="ru-RU"/>
        </w:rPr>
        <w:t>. для БС IMT, ведущих передачи по одному каналу</w:t>
      </w:r>
    </w:p>
    <w:tbl>
      <w:tblPr>
        <w:tblStyle w:val="TableGrid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207"/>
        <w:gridCol w:w="1056"/>
        <w:gridCol w:w="1276"/>
        <w:gridCol w:w="1134"/>
        <w:gridCol w:w="1223"/>
        <w:gridCol w:w="1247"/>
        <w:gridCol w:w="1247"/>
        <w:gridCol w:w="1249"/>
      </w:tblGrid>
      <w:tr w:rsidR="005720AD" w:rsidRPr="00961E7D" w14:paraId="7A681B19" w14:textId="77777777" w:rsidTr="007D458B">
        <w:trPr>
          <w:tblHeader/>
          <w:jc w:val="center"/>
        </w:trPr>
        <w:tc>
          <w:tcPr>
            <w:tcW w:w="1207" w:type="dxa"/>
            <w:vAlign w:val="center"/>
            <w:hideMark/>
          </w:tcPr>
          <w:p w14:paraId="792A83BE" w14:textId="5EAAED74" w:rsidR="005720AD" w:rsidRPr="00961E7D" w:rsidRDefault="00961E7D" w:rsidP="00053593">
            <w:pPr>
              <w:pStyle w:val="Tablehead"/>
              <w:keepLines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Этап</w:t>
            </w:r>
          </w:p>
        </w:tc>
        <w:tc>
          <w:tcPr>
            <w:tcW w:w="1056" w:type="dxa"/>
            <w:vAlign w:val="center"/>
          </w:tcPr>
          <w:p w14:paraId="6F0D0030" w14:textId="77777777" w:rsidR="005720AD" w:rsidRPr="00961E7D" w:rsidRDefault="005720AD" w:rsidP="00053593">
            <w:pPr>
              <w:pStyle w:val="Tablehead"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3" w:type="dxa"/>
            <w:gridSpan w:val="3"/>
            <w:vAlign w:val="center"/>
            <w:hideMark/>
          </w:tcPr>
          <w:p w14:paraId="60CD2E7E" w14:textId="31569E27" w:rsidR="005720AD" w:rsidRPr="00961E7D" w:rsidRDefault="00961E7D" w:rsidP="00053593">
            <w:pPr>
              <w:pStyle w:val="Tablehead"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Этап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3743" w:type="dxa"/>
            <w:gridSpan w:val="3"/>
            <w:vAlign w:val="center"/>
            <w:hideMark/>
          </w:tcPr>
          <w:p w14:paraId="3A7D77C2" w14:textId="7738D154" w:rsidR="005720AD" w:rsidRPr="00961E7D" w:rsidRDefault="00961E7D" w:rsidP="00053593">
            <w:pPr>
              <w:pStyle w:val="Tablehead"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Этап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</w:tr>
      <w:tr w:rsidR="00961E7D" w:rsidRPr="00D6207E" w14:paraId="76A91AA8" w14:textId="77777777" w:rsidTr="007D458B">
        <w:trPr>
          <w:tblHeader/>
          <w:jc w:val="center"/>
        </w:trPr>
        <w:tc>
          <w:tcPr>
            <w:tcW w:w="1207" w:type="dxa"/>
            <w:vAlign w:val="center"/>
          </w:tcPr>
          <w:p w14:paraId="06E4952E" w14:textId="77777777" w:rsidR="00961E7D" w:rsidRPr="00961E7D" w:rsidRDefault="00961E7D" w:rsidP="00961E7D">
            <w:pPr>
              <w:pStyle w:val="Tablehead"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  <w:hideMark/>
          </w:tcPr>
          <w:p w14:paraId="0A3BCC5F" w14:textId="0F1ECDE9" w:rsidR="00961E7D" w:rsidRPr="00961E7D" w:rsidRDefault="00961E7D" w:rsidP="00CC6970">
            <w:pPr>
              <w:pStyle w:val="Tablehead"/>
              <w:keepLines/>
              <w:ind w:left="-57"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Усиление антенны терминала ПЗС (</w:t>
            </w:r>
            <w:proofErr w:type="spellStart"/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дБи</w:t>
            </w:r>
            <w:proofErr w:type="spellEnd"/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14:paraId="331C1701" w14:textId="59FFCB7C" w:rsidR="00961E7D" w:rsidRPr="00961E7D" w:rsidRDefault="00961E7D" w:rsidP="00961E7D">
            <w:pPr>
              <w:pStyle w:val="Tablehead"/>
              <w:keepLines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Предел </w:t>
            </w:r>
            <w:proofErr w:type="spellStart"/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п.п.м</w:t>
            </w:r>
            <w:proofErr w:type="spellEnd"/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. для</w:t>
            </w:r>
            <w:r w:rsidR="007D458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излучений БС в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полосе частот 1</w:t>
            </w:r>
            <w:r w:rsidR="00CC6970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492–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br/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1</w:t>
            </w:r>
            <w:r w:rsidR="00CC6970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502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МГц (</w:t>
            </w:r>
            <w:proofErr w:type="spellStart"/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дБВт</w:t>
            </w:r>
            <w:proofErr w:type="spellEnd"/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/м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ru-RU"/>
              </w:rPr>
              <w:t>2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57AB4792" w14:textId="07213ACB" w:rsidR="00961E7D" w:rsidRPr="00961E7D" w:rsidRDefault="00961E7D" w:rsidP="007D458B">
            <w:pPr>
              <w:pStyle w:val="Tablehead"/>
              <w:keepLines/>
              <w:ind w:left="-57"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Предел </w:t>
            </w:r>
            <w:proofErr w:type="spellStart"/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п.п.м</w:t>
            </w:r>
            <w:proofErr w:type="spellEnd"/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. для</w:t>
            </w:r>
            <w:r w:rsidR="00CC6970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излучений БС в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полосе частот 1</w:t>
            </w:r>
            <w:r w:rsidR="00CC6970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502–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br/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1</w:t>
            </w:r>
            <w:r w:rsidR="00CC6970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512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МГц (</w:t>
            </w:r>
            <w:proofErr w:type="spellStart"/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дБВт</w:t>
            </w:r>
            <w:proofErr w:type="spellEnd"/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/м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ru-RU"/>
              </w:rPr>
              <w:t>2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)</w:t>
            </w:r>
          </w:p>
        </w:tc>
        <w:tc>
          <w:tcPr>
            <w:tcW w:w="1223" w:type="dxa"/>
            <w:vAlign w:val="center"/>
            <w:hideMark/>
          </w:tcPr>
          <w:p w14:paraId="60E58D72" w14:textId="3297788B" w:rsidR="00961E7D" w:rsidRPr="00961E7D" w:rsidRDefault="00961E7D" w:rsidP="00961E7D">
            <w:pPr>
              <w:pStyle w:val="Tablehead"/>
              <w:keepLines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Предел </w:t>
            </w:r>
            <w:proofErr w:type="spellStart"/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п.п.м</w:t>
            </w:r>
            <w:proofErr w:type="spellEnd"/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. для</w:t>
            </w:r>
            <w:r w:rsidR="00CC6970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излучений БС в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полосе частот 1</w:t>
            </w:r>
            <w:r w:rsidR="00CC6970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512–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br/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1</w:t>
            </w:r>
            <w:r w:rsidR="00CC6970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517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МГц (</w:t>
            </w:r>
            <w:proofErr w:type="spellStart"/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дБВт</w:t>
            </w:r>
            <w:proofErr w:type="spellEnd"/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/м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ru-RU"/>
              </w:rPr>
              <w:t>2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)</w:t>
            </w:r>
          </w:p>
        </w:tc>
        <w:tc>
          <w:tcPr>
            <w:tcW w:w="1247" w:type="dxa"/>
            <w:vAlign w:val="center"/>
            <w:hideMark/>
          </w:tcPr>
          <w:p w14:paraId="61702D59" w14:textId="1C793281" w:rsidR="00961E7D" w:rsidRPr="00961E7D" w:rsidRDefault="00961E7D" w:rsidP="00961E7D">
            <w:pPr>
              <w:pStyle w:val="Tablehead"/>
              <w:keepLines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Предел </w:t>
            </w:r>
            <w:proofErr w:type="spellStart"/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п.п.м</w:t>
            </w:r>
            <w:proofErr w:type="spellEnd"/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. для</w:t>
            </w:r>
            <w:r w:rsidR="00CC6970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излучений БС в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полосе частот 1</w:t>
            </w:r>
            <w:r w:rsidR="00CC6970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492–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br/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1</w:t>
            </w:r>
            <w:r w:rsidR="00CC6970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502 МГц (</w:t>
            </w:r>
            <w:proofErr w:type="spellStart"/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дБВт</w:t>
            </w:r>
            <w:proofErr w:type="spellEnd"/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/м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ru-RU"/>
              </w:rPr>
              <w:t>2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)</w:t>
            </w:r>
          </w:p>
        </w:tc>
        <w:tc>
          <w:tcPr>
            <w:tcW w:w="1247" w:type="dxa"/>
            <w:vAlign w:val="center"/>
            <w:hideMark/>
          </w:tcPr>
          <w:p w14:paraId="27888E7E" w14:textId="7AA2A9FC" w:rsidR="00961E7D" w:rsidRPr="00961E7D" w:rsidRDefault="00961E7D" w:rsidP="00961E7D">
            <w:pPr>
              <w:pStyle w:val="Tablehead"/>
              <w:keepLines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Предел </w:t>
            </w:r>
            <w:proofErr w:type="spellStart"/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п.п.м</w:t>
            </w:r>
            <w:proofErr w:type="spellEnd"/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. для</w:t>
            </w:r>
            <w:r w:rsidR="00CC6970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излучений БС в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полосе частот 1</w:t>
            </w:r>
            <w:r w:rsidR="00CC6970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502–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br/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1</w:t>
            </w:r>
            <w:r w:rsidR="00CC6970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512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МГц (</w:t>
            </w:r>
            <w:proofErr w:type="spellStart"/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дБВт</w:t>
            </w:r>
            <w:proofErr w:type="spellEnd"/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/м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ru-RU"/>
              </w:rPr>
              <w:t>2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)</w:t>
            </w:r>
          </w:p>
        </w:tc>
        <w:tc>
          <w:tcPr>
            <w:tcW w:w="1249" w:type="dxa"/>
            <w:vAlign w:val="center"/>
            <w:hideMark/>
          </w:tcPr>
          <w:p w14:paraId="3CCF4579" w14:textId="781EF48B" w:rsidR="00961E7D" w:rsidRPr="00961E7D" w:rsidRDefault="00961E7D" w:rsidP="00961E7D">
            <w:pPr>
              <w:pStyle w:val="Tablehead"/>
              <w:keepLines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Предел </w:t>
            </w:r>
            <w:proofErr w:type="spellStart"/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п.п.м</w:t>
            </w:r>
            <w:proofErr w:type="spellEnd"/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. для</w:t>
            </w:r>
            <w:r w:rsidR="00CC6970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излучений БС в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полосе частот 1</w:t>
            </w:r>
            <w:r w:rsidR="00CC6970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512–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br/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1</w:t>
            </w:r>
            <w:r w:rsidR="00CC6970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517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МГц (</w:t>
            </w:r>
            <w:proofErr w:type="spellStart"/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дБВт</w:t>
            </w:r>
            <w:proofErr w:type="spellEnd"/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/м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ru-RU"/>
              </w:rPr>
              <w:t>2</w:t>
            </w:r>
            <w:r w:rsidRPr="00961E7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)</w:t>
            </w:r>
          </w:p>
        </w:tc>
      </w:tr>
      <w:tr w:rsidR="005720AD" w:rsidRPr="00961E7D" w14:paraId="44ED2529" w14:textId="77777777" w:rsidTr="007D458B">
        <w:trPr>
          <w:jc w:val="center"/>
        </w:trPr>
        <w:tc>
          <w:tcPr>
            <w:tcW w:w="1207" w:type="dxa"/>
            <w:vMerge w:val="restart"/>
            <w:vAlign w:val="center"/>
            <w:hideMark/>
          </w:tcPr>
          <w:p w14:paraId="507087DB" w14:textId="355269F7" w:rsidR="005720AD" w:rsidRPr="00961E7D" w:rsidRDefault="00961E7D" w:rsidP="00961E7D">
            <w:pPr>
              <w:pStyle w:val="Tabletext"/>
              <w:keepNext/>
              <w:keepLines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Порты</w:t>
            </w:r>
            <w:r w:rsidR="00A404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961E7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внутренние</w:t>
            </w:r>
            <w:r w:rsidRPr="00961E7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водные</w:t>
            </w:r>
            <w:r w:rsidRPr="00961E7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пути</w:t>
            </w:r>
          </w:p>
        </w:tc>
        <w:tc>
          <w:tcPr>
            <w:tcW w:w="1056" w:type="dxa"/>
            <w:vAlign w:val="center"/>
            <w:hideMark/>
          </w:tcPr>
          <w:p w14:paraId="0818BAE6" w14:textId="77777777" w:rsidR="005720AD" w:rsidRPr="00961E7D" w:rsidRDefault="005720AD" w:rsidP="00053593">
            <w:pPr>
              <w:pStyle w:val="Tabletext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E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37C6B0F8" w14:textId="4517F09C" w:rsidR="005720AD" w:rsidRPr="00961E7D" w:rsidRDefault="005720AD" w:rsidP="00961E7D">
            <w:pPr>
              <w:pStyle w:val="Tabletext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E7D">
              <w:rPr>
                <w:rFonts w:ascii="Times New Roman" w:hAnsi="Times New Roman" w:cs="Times New Roman"/>
                <w:sz w:val="18"/>
                <w:szCs w:val="18"/>
              </w:rPr>
              <w:t>−60</w:t>
            </w:r>
            <w:r w:rsidR="00961E7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961E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14:paraId="5C7FE266" w14:textId="2CEBCF7F" w:rsidR="005720AD" w:rsidRPr="00961E7D" w:rsidRDefault="005720AD" w:rsidP="00660B8E">
            <w:pPr>
              <w:pStyle w:val="Tabletext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E7D">
              <w:rPr>
                <w:rFonts w:ascii="Times New Roman" w:hAnsi="Times New Roman" w:cs="Times New Roman"/>
                <w:sz w:val="18"/>
                <w:szCs w:val="18"/>
              </w:rPr>
              <w:t>−75</w:t>
            </w:r>
            <w:r w:rsidR="00660B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961E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23" w:type="dxa"/>
            <w:vAlign w:val="center"/>
            <w:hideMark/>
          </w:tcPr>
          <w:p w14:paraId="311D47C2" w14:textId="7E6AC348" w:rsidR="005720AD" w:rsidRPr="00961E7D" w:rsidRDefault="005720AD" w:rsidP="00660B8E">
            <w:pPr>
              <w:pStyle w:val="Tabletext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E7D">
              <w:rPr>
                <w:rFonts w:ascii="Times New Roman" w:hAnsi="Times New Roman" w:cs="Times New Roman"/>
                <w:sz w:val="18"/>
                <w:szCs w:val="18"/>
              </w:rPr>
              <w:t>−83</w:t>
            </w:r>
            <w:r w:rsidR="00660B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961E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47" w:type="dxa"/>
            <w:vAlign w:val="center"/>
            <w:hideMark/>
          </w:tcPr>
          <w:p w14:paraId="4B56BC1C" w14:textId="0069DF84" w:rsidR="005720AD" w:rsidRPr="00660B8E" w:rsidRDefault="00660B8E" w:rsidP="00660B8E">
            <w:pPr>
              <w:pStyle w:val="Tabletext"/>
              <w:keepNext/>
              <w:keepLines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0B8E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Ограничение не требуется при условии, что э.и.и.м. БС не </w:t>
            </w:r>
            <w:proofErr w:type="spellStart"/>
            <w:r w:rsidRPr="00660B8E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превы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-</w:t>
            </w:r>
            <w:r w:rsidRPr="00660B8E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шает</w:t>
            </w:r>
            <w:proofErr w:type="spellEnd"/>
            <w:r w:rsidRPr="00660B8E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 68 </w:t>
            </w:r>
            <w:proofErr w:type="spellStart"/>
            <w:r w:rsidRPr="00660B8E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дБм</w:t>
            </w:r>
            <w:proofErr w:type="spellEnd"/>
          </w:p>
        </w:tc>
        <w:tc>
          <w:tcPr>
            <w:tcW w:w="1247" w:type="dxa"/>
            <w:vAlign w:val="center"/>
            <w:hideMark/>
          </w:tcPr>
          <w:p w14:paraId="597B67D2" w14:textId="60A754B9" w:rsidR="005720AD" w:rsidRPr="00961E7D" w:rsidRDefault="005720AD" w:rsidP="00053593">
            <w:pPr>
              <w:pStyle w:val="Tabletext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E7D">
              <w:rPr>
                <w:rFonts w:ascii="Times New Roman" w:hAnsi="Times New Roman" w:cs="Times New Roman"/>
                <w:sz w:val="18"/>
                <w:szCs w:val="18"/>
              </w:rPr>
              <w:t>−27</w:t>
            </w:r>
            <w:r w:rsidR="00660B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961E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49" w:type="dxa"/>
            <w:vAlign w:val="center"/>
            <w:hideMark/>
          </w:tcPr>
          <w:p w14:paraId="6E4AC179" w14:textId="297021C0" w:rsidR="005720AD" w:rsidRPr="00961E7D" w:rsidRDefault="005720AD" w:rsidP="00053593">
            <w:pPr>
              <w:pStyle w:val="Tabletext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E7D">
              <w:rPr>
                <w:rFonts w:ascii="Times New Roman" w:hAnsi="Times New Roman" w:cs="Times New Roman"/>
                <w:sz w:val="18"/>
                <w:szCs w:val="18"/>
              </w:rPr>
              <w:t>−37</w:t>
            </w:r>
            <w:r w:rsidR="00660B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961E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720AD" w:rsidRPr="00961E7D" w14:paraId="4F0B5ABA" w14:textId="77777777" w:rsidTr="007D458B">
        <w:trPr>
          <w:jc w:val="center"/>
        </w:trPr>
        <w:tc>
          <w:tcPr>
            <w:tcW w:w="1207" w:type="dxa"/>
            <w:vMerge/>
            <w:vAlign w:val="center"/>
            <w:hideMark/>
          </w:tcPr>
          <w:p w14:paraId="58B76671" w14:textId="77777777" w:rsidR="005720AD" w:rsidRPr="00961E7D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56" w:type="dxa"/>
            <w:vAlign w:val="center"/>
            <w:hideMark/>
          </w:tcPr>
          <w:p w14:paraId="0EE1E102" w14:textId="14C6D16C" w:rsidR="005720AD" w:rsidRPr="00961E7D" w:rsidRDefault="005720AD" w:rsidP="00961E7D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E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61E7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</w:t>
            </w:r>
            <w:r w:rsidRPr="00961E7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961E7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76" w:type="dxa"/>
            <w:vAlign w:val="center"/>
            <w:hideMark/>
          </w:tcPr>
          <w:p w14:paraId="0A81C90B" w14:textId="79D6B001" w:rsidR="005720AD" w:rsidRPr="00961E7D" w:rsidRDefault="00961E7D" w:rsidP="00961E7D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 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>−60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 xml:space="preserve"> −76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14:paraId="300A7121" w14:textId="36C93528" w:rsidR="005720AD" w:rsidRPr="00961E7D" w:rsidRDefault="00961E7D" w:rsidP="00961E7D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 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>−75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 xml:space="preserve"> −91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23" w:type="dxa"/>
            <w:vAlign w:val="center"/>
            <w:hideMark/>
          </w:tcPr>
          <w:p w14:paraId="1BA2D96E" w14:textId="421D3BB9" w:rsidR="005720AD" w:rsidRPr="00961E7D" w:rsidRDefault="00660B8E" w:rsidP="00660B8E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 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>−83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 xml:space="preserve"> −99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47" w:type="dxa"/>
            <w:vAlign w:val="center"/>
            <w:hideMark/>
          </w:tcPr>
          <w:p w14:paraId="517C0DA7" w14:textId="66ED99B8" w:rsidR="005720AD" w:rsidRPr="00660B8E" w:rsidRDefault="00660B8E" w:rsidP="00053593">
            <w:pPr>
              <w:pStyle w:val="Tabletext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0B8E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Ограничение не требуется при условии, что э.и.и.м. БС не </w:t>
            </w:r>
            <w:proofErr w:type="spellStart"/>
            <w:r w:rsidRPr="00660B8E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превы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-</w:t>
            </w:r>
            <w:r w:rsidRPr="00660B8E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шает</w:t>
            </w:r>
            <w:proofErr w:type="spellEnd"/>
            <w:r w:rsidRPr="00660B8E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 68 </w:t>
            </w:r>
            <w:proofErr w:type="spellStart"/>
            <w:r w:rsidRPr="00660B8E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дБм</w:t>
            </w:r>
            <w:proofErr w:type="spellEnd"/>
          </w:p>
        </w:tc>
        <w:tc>
          <w:tcPr>
            <w:tcW w:w="1247" w:type="dxa"/>
            <w:vAlign w:val="center"/>
            <w:hideMark/>
          </w:tcPr>
          <w:p w14:paraId="1F249E74" w14:textId="25C3549E" w:rsidR="005720AD" w:rsidRPr="00961E7D" w:rsidRDefault="00660B8E" w:rsidP="00660B8E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 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>−27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 xml:space="preserve"> −43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49" w:type="dxa"/>
            <w:vAlign w:val="center"/>
            <w:hideMark/>
          </w:tcPr>
          <w:p w14:paraId="5ADF995D" w14:textId="75241481" w:rsidR="005720AD" w:rsidRPr="00961E7D" w:rsidRDefault="00660B8E" w:rsidP="00660B8E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 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>−37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 xml:space="preserve"> −53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720AD" w:rsidRPr="00961E7D" w14:paraId="5064AE48" w14:textId="77777777" w:rsidTr="007D458B">
        <w:trPr>
          <w:jc w:val="center"/>
        </w:trPr>
        <w:tc>
          <w:tcPr>
            <w:tcW w:w="1207" w:type="dxa"/>
            <w:vMerge w:val="restart"/>
            <w:vAlign w:val="center"/>
            <w:hideMark/>
          </w:tcPr>
          <w:p w14:paraId="01A47887" w14:textId="2F19D7BD" w:rsidR="005720AD" w:rsidRPr="00CB1E30" w:rsidRDefault="00CB1E30" w:rsidP="00AE6864">
            <w:pPr>
              <w:pStyle w:val="Tabletex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Аэропорты</w:t>
            </w:r>
          </w:p>
        </w:tc>
        <w:tc>
          <w:tcPr>
            <w:tcW w:w="1056" w:type="dxa"/>
            <w:vAlign w:val="center"/>
            <w:hideMark/>
          </w:tcPr>
          <w:p w14:paraId="1DB07630" w14:textId="77777777" w:rsidR="005720AD" w:rsidRPr="00961E7D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E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15B2CA2F" w14:textId="14E01D04" w:rsidR="005720AD" w:rsidRPr="00961E7D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E7D">
              <w:rPr>
                <w:rFonts w:ascii="Times New Roman" w:hAnsi="Times New Roman" w:cs="Times New Roman"/>
                <w:sz w:val="18"/>
                <w:szCs w:val="18"/>
              </w:rPr>
              <w:t>−28</w:t>
            </w:r>
            <w:r w:rsidR="00660B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961E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14:paraId="07033BA4" w14:textId="73497560" w:rsidR="005720AD" w:rsidRPr="00961E7D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E7D">
              <w:rPr>
                <w:rFonts w:ascii="Times New Roman" w:hAnsi="Times New Roman" w:cs="Times New Roman"/>
                <w:sz w:val="18"/>
                <w:szCs w:val="18"/>
              </w:rPr>
              <w:t>−42</w:t>
            </w:r>
            <w:r w:rsidR="00660B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961E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23" w:type="dxa"/>
            <w:vAlign w:val="center"/>
            <w:hideMark/>
          </w:tcPr>
          <w:p w14:paraId="2213B425" w14:textId="4F231341" w:rsidR="005720AD" w:rsidRPr="00961E7D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E7D">
              <w:rPr>
                <w:rFonts w:ascii="Times New Roman" w:hAnsi="Times New Roman" w:cs="Times New Roman"/>
                <w:sz w:val="18"/>
                <w:szCs w:val="18"/>
              </w:rPr>
              <w:t>−58</w:t>
            </w:r>
            <w:r w:rsidR="00660B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961E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7" w:type="dxa"/>
            <w:vAlign w:val="center"/>
            <w:hideMark/>
          </w:tcPr>
          <w:p w14:paraId="68F2BC0E" w14:textId="5ECA156B" w:rsidR="005720AD" w:rsidRPr="00660B8E" w:rsidRDefault="00660B8E" w:rsidP="00053593">
            <w:pPr>
              <w:pStyle w:val="Tabletext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0B8E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Ограничение не требуется при условии, что э.и.и.м. БС не </w:t>
            </w:r>
            <w:proofErr w:type="spellStart"/>
            <w:r w:rsidRPr="00660B8E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превы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-</w:t>
            </w:r>
            <w:r w:rsidRPr="00660B8E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шает</w:t>
            </w:r>
            <w:proofErr w:type="spellEnd"/>
            <w:r w:rsidRPr="00660B8E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 68 </w:t>
            </w:r>
            <w:proofErr w:type="spellStart"/>
            <w:r w:rsidRPr="00660B8E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дБм</w:t>
            </w:r>
            <w:proofErr w:type="spellEnd"/>
          </w:p>
        </w:tc>
        <w:tc>
          <w:tcPr>
            <w:tcW w:w="1247" w:type="dxa"/>
            <w:vAlign w:val="center"/>
            <w:hideMark/>
          </w:tcPr>
          <w:p w14:paraId="432547A7" w14:textId="6F834206" w:rsidR="005720AD" w:rsidRPr="00961E7D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E7D">
              <w:rPr>
                <w:rFonts w:ascii="Times New Roman" w:hAnsi="Times New Roman" w:cs="Times New Roman"/>
                <w:sz w:val="18"/>
                <w:szCs w:val="18"/>
              </w:rPr>
              <w:t>−27</w:t>
            </w:r>
            <w:r w:rsidR="00660B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961E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49" w:type="dxa"/>
            <w:vAlign w:val="center"/>
            <w:hideMark/>
          </w:tcPr>
          <w:p w14:paraId="083ABCAB" w14:textId="55FB4607" w:rsidR="005720AD" w:rsidRPr="00961E7D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E7D">
              <w:rPr>
                <w:rFonts w:ascii="Times New Roman" w:hAnsi="Times New Roman" w:cs="Times New Roman"/>
                <w:sz w:val="18"/>
                <w:szCs w:val="18"/>
              </w:rPr>
              <w:t>−37</w:t>
            </w:r>
            <w:r w:rsidR="00660B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961E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720AD" w:rsidRPr="00961E7D" w14:paraId="2FE51175" w14:textId="77777777" w:rsidTr="007D458B">
        <w:trPr>
          <w:jc w:val="center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17EE8E8" w14:textId="77777777" w:rsidR="005720AD" w:rsidRPr="00961E7D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  <w:hideMark/>
          </w:tcPr>
          <w:p w14:paraId="3CB9E393" w14:textId="1B44E8B5" w:rsidR="005720AD" w:rsidRPr="00961E7D" w:rsidRDefault="005720AD" w:rsidP="00660B8E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E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60B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</w:t>
            </w:r>
            <w:r w:rsidRPr="00961E7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961E7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425C4955" w14:textId="2CDAD74C" w:rsidR="005720AD" w:rsidRPr="00961E7D" w:rsidRDefault="00660B8E" w:rsidP="00660B8E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 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>−28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 xml:space="preserve"> −42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69760DEE" w14:textId="7D315857" w:rsidR="005720AD" w:rsidRPr="00961E7D" w:rsidRDefault="00660B8E" w:rsidP="00660B8E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 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>−42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 xml:space="preserve"> −56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  <w:hideMark/>
          </w:tcPr>
          <w:p w14:paraId="71014B4F" w14:textId="2056A50A" w:rsidR="005720AD" w:rsidRPr="00961E7D" w:rsidRDefault="00660B8E" w:rsidP="00660B8E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 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>−58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 xml:space="preserve"> −72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  <w:hideMark/>
          </w:tcPr>
          <w:p w14:paraId="59B30C76" w14:textId="0BCD1BB5" w:rsidR="005720AD" w:rsidRPr="00660B8E" w:rsidRDefault="00660B8E" w:rsidP="00053593">
            <w:pPr>
              <w:pStyle w:val="Tabletext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0B8E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Ограничение не требуется при условии, что э.и.и.м. БС не </w:t>
            </w:r>
            <w:proofErr w:type="spellStart"/>
            <w:r w:rsidRPr="00660B8E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превы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-</w:t>
            </w:r>
            <w:r w:rsidRPr="00660B8E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шает</w:t>
            </w:r>
            <w:proofErr w:type="spellEnd"/>
            <w:r w:rsidRPr="00660B8E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 68 </w:t>
            </w:r>
            <w:proofErr w:type="spellStart"/>
            <w:r w:rsidRPr="00660B8E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дБм</w:t>
            </w:r>
            <w:proofErr w:type="spellEnd"/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  <w:hideMark/>
          </w:tcPr>
          <w:p w14:paraId="44F1E0F6" w14:textId="25CAE6C5" w:rsidR="005720AD" w:rsidRPr="00961E7D" w:rsidRDefault="00660B8E" w:rsidP="00660B8E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 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>−27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 xml:space="preserve"> −41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  <w:hideMark/>
          </w:tcPr>
          <w:p w14:paraId="0E500BE5" w14:textId="4824A138" w:rsidR="005720AD" w:rsidRPr="00961E7D" w:rsidRDefault="00660B8E" w:rsidP="00660B8E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 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>−37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 xml:space="preserve"> −51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5720AD" w:rsidRPr="00961E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720AD" w:rsidRPr="00D6207E" w14:paraId="5A8AC904" w14:textId="77777777" w:rsidTr="00961E7D">
        <w:trPr>
          <w:jc w:val="center"/>
        </w:trPr>
        <w:tc>
          <w:tcPr>
            <w:tcW w:w="9639" w:type="dxa"/>
            <w:gridSpan w:val="8"/>
            <w:tcBorders>
              <w:left w:val="nil"/>
              <w:bottom w:val="nil"/>
              <w:right w:val="nil"/>
            </w:tcBorders>
            <w:hideMark/>
          </w:tcPr>
          <w:p w14:paraId="01DB7100" w14:textId="7F3AF872" w:rsidR="005720AD" w:rsidRPr="00660B8E" w:rsidRDefault="005720AD" w:rsidP="00660B8E">
            <w:pPr>
              <w:pStyle w:val="Tabletext"/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0B8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ru-RU"/>
              </w:rPr>
              <w:t>(1)</w:t>
            </w:r>
            <w:r w:rsidRPr="00660B8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="00660B8E" w:rsidRPr="00660B8E">
              <w:rPr>
                <w:rFonts w:ascii="Times New Roman" w:hAnsi="Times New Roman" w:cs="Times New Roman"/>
                <w:sz w:val="18"/>
                <w:lang w:val="ru-RU"/>
              </w:rPr>
              <w:t xml:space="preserve">В большинстве ситуаций применимы значения </w:t>
            </w:r>
            <w:proofErr w:type="spellStart"/>
            <w:r w:rsidR="00660B8E" w:rsidRPr="00660B8E">
              <w:rPr>
                <w:rFonts w:ascii="Times New Roman" w:hAnsi="Times New Roman" w:cs="Times New Roman"/>
                <w:sz w:val="18"/>
                <w:lang w:val="ru-RU"/>
              </w:rPr>
              <w:t>п.п.м</w:t>
            </w:r>
            <w:proofErr w:type="spellEnd"/>
            <w:r w:rsidR="00660B8E" w:rsidRPr="00660B8E">
              <w:rPr>
                <w:rFonts w:ascii="Times New Roman" w:hAnsi="Times New Roman" w:cs="Times New Roman"/>
                <w:sz w:val="18"/>
                <w:lang w:val="ru-RU"/>
              </w:rPr>
              <w:t xml:space="preserve">., основанные на </w:t>
            </w:r>
            <w:r w:rsidR="00660B8E">
              <w:rPr>
                <w:rFonts w:ascii="Times New Roman" w:hAnsi="Times New Roman" w:cs="Times New Roman"/>
                <w:sz w:val="18"/>
                <w:lang w:val="ru-RU"/>
              </w:rPr>
              <w:t>усилении</w:t>
            </w:r>
            <w:r w:rsidR="00660B8E" w:rsidRPr="00660B8E">
              <w:rPr>
                <w:rFonts w:ascii="Times New Roman" w:hAnsi="Times New Roman" w:cs="Times New Roman"/>
                <w:sz w:val="18"/>
                <w:lang w:val="ru-RU"/>
              </w:rPr>
              <w:t xml:space="preserve"> антенны ПЗС, равном 3</w:t>
            </w:r>
            <w:r w:rsidR="00660B8E">
              <w:rPr>
                <w:rFonts w:ascii="Times New Roman" w:hAnsi="Times New Roman" w:cs="Times New Roman"/>
                <w:sz w:val="18"/>
                <w:lang w:val="ru-RU"/>
              </w:rPr>
              <w:t> </w:t>
            </w:r>
            <w:proofErr w:type="spellStart"/>
            <w:r w:rsidR="00660B8E" w:rsidRPr="00660B8E">
              <w:rPr>
                <w:rFonts w:ascii="Times New Roman" w:hAnsi="Times New Roman" w:cs="Times New Roman"/>
                <w:sz w:val="18"/>
                <w:lang w:val="ru-RU"/>
              </w:rPr>
              <w:t>дБи</w:t>
            </w:r>
            <w:proofErr w:type="spellEnd"/>
            <w:r w:rsidR="00660B8E" w:rsidRPr="00660B8E">
              <w:rPr>
                <w:rFonts w:ascii="Times New Roman" w:hAnsi="Times New Roman" w:cs="Times New Roman"/>
                <w:sz w:val="18"/>
                <w:lang w:val="ru-RU"/>
              </w:rPr>
              <w:t xml:space="preserve">, но </w:t>
            </w:r>
            <w:r w:rsidR="00660B8E">
              <w:rPr>
                <w:rFonts w:ascii="Times New Roman" w:hAnsi="Times New Roman" w:cs="Times New Roman"/>
                <w:sz w:val="18"/>
                <w:lang w:val="ru-RU"/>
              </w:rPr>
              <w:t>в мире существуют</w:t>
            </w:r>
            <w:r w:rsidR="00660B8E" w:rsidRPr="00660B8E">
              <w:rPr>
                <w:rFonts w:ascii="Times New Roman" w:hAnsi="Times New Roman" w:cs="Times New Roman"/>
                <w:sz w:val="18"/>
                <w:lang w:val="ru-RU"/>
              </w:rPr>
              <w:t xml:space="preserve"> места, где усиление антенны в направлении горизонта может превышать 3</w:t>
            </w:r>
            <w:r w:rsidR="00660B8E">
              <w:rPr>
                <w:rFonts w:ascii="Times New Roman" w:hAnsi="Times New Roman" w:cs="Times New Roman"/>
                <w:sz w:val="18"/>
                <w:lang w:val="ru-RU"/>
              </w:rPr>
              <w:t> </w:t>
            </w:r>
            <w:proofErr w:type="spellStart"/>
            <w:r w:rsidR="00660B8E" w:rsidRPr="00660B8E">
              <w:rPr>
                <w:rFonts w:ascii="Times New Roman" w:hAnsi="Times New Roman" w:cs="Times New Roman"/>
                <w:sz w:val="18"/>
                <w:lang w:val="ru-RU"/>
              </w:rPr>
              <w:t>дБи</w:t>
            </w:r>
            <w:proofErr w:type="spellEnd"/>
            <w:r w:rsidR="00660B8E" w:rsidRPr="00660B8E">
              <w:rPr>
                <w:rFonts w:ascii="Times New Roman" w:hAnsi="Times New Roman" w:cs="Times New Roman"/>
                <w:sz w:val="18"/>
                <w:lang w:val="ru-RU"/>
              </w:rPr>
              <w:t xml:space="preserve"> (до 19 </w:t>
            </w:r>
            <w:proofErr w:type="spellStart"/>
            <w:r w:rsidR="00660B8E" w:rsidRPr="00660B8E">
              <w:rPr>
                <w:rFonts w:ascii="Times New Roman" w:hAnsi="Times New Roman" w:cs="Times New Roman"/>
                <w:sz w:val="18"/>
                <w:lang w:val="ru-RU"/>
              </w:rPr>
              <w:t>дБи</w:t>
            </w:r>
            <w:proofErr w:type="spellEnd"/>
            <w:r w:rsidR="00660B8E" w:rsidRPr="00660B8E">
              <w:rPr>
                <w:rFonts w:ascii="Times New Roman" w:hAnsi="Times New Roman" w:cs="Times New Roman"/>
                <w:sz w:val="18"/>
                <w:lang w:val="ru-RU"/>
              </w:rPr>
              <w:t xml:space="preserve"> или 17</w:t>
            </w:r>
            <w:r w:rsidR="00660B8E">
              <w:rPr>
                <w:rFonts w:ascii="Times New Roman" w:hAnsi="Times New Roman" w:cs="Times New Roman"/>
                <w:sz w:val="18"/>
                <w:lang w:val="ru-RU"/>
              </w:rPr>
              <w:t> </w:t>
            </w:r>
            <w:proofErr w:type="spellStart"/>
            <w:r w:rsidR="00660B8E" w:rsidRPr="00660B8E">
              <w:rPr>
                <w:rFonts w:ascii="Times New Roman" w:hAnsi="Times New Roman" w:cs="Times New Roman"/>
                <w:sz w:val="18"/>
                <w:lang w:val="ru-RU"/>
              </w:rPr>
              <w:t>дБи</w:t>
            </w:r>
            <w:proofErr w:type="spellEnd"/>
            <w:r w:rsidR="00660B8E" w:rsidRPr="00660B8E">
              <w:rPr>
                <w:rFonts w:ascii="Times New Roman" w:hAnsi="Times New Roman" w:cs="Times New Roman"/>
                <w:sz w:val="18"/>
                <w:lang w:val="ru-RU"/>
              </w:rPr>
              <w:t xml:space="preserve">). Это </w:t>
            </w:r>
            <w:r w:rsidR="00660B8E">
              <w:rPr>
                <w:rFonts w:ascii="Times New Roman" w:hAnsi="Times New Roman" w:cs="Times New Roman"/>
                <w:sz w:val="18"/>
                <w:lang w:val="ru-RU"/>
              </w:rPr>
              <w:t xml:space="preserve">те </w:t>
            </w:r>
            <w:r w:rsidR="00660B8E" w:rsidRPr="00660B8E">
              <w:rPr>
                <w:rFonts w:ascii="Times New Roman" w:hAnsi="Times New Roman" w:cs="Times New Roman"/>
                <w:sz w:val="18"/>
                <w:lang w:val="ru-RU"/>
              </w:rPr>
              <w:t xml:space="preserve">места, где угол места ПЗС мал и где БС IMT может быть направлена на спутник ПСС, если смотреть со стороны ПЗС. В этих случаях следует </w:t>
            </w:r>
            <w:r w:rsidR="00660B8E">
              <w:rPr>
                <w:rFonts w:ascii="Times New Roman" w:hAnsi="Times New Roman" w:cs="Times New Roman"/>
                <w:sz w:val="18"/>
                <w:lang w:val="ru-RU"/>
              </w:rPr>
              <w:t>учитывать</w:t>
            </w:r>
            <w:r w:rsidR="00660B8E" w:rsidRPr="00660B8E">
              <w:rPr>
                <w:rFonts w:ascii="Times New Roman" w:hAnsi="Times New Roman" w:cs="Times New Roman"/>
                <w:sz w:val="18"/>
                <w:lang w:val="ru-RU"/>
              </w:rPr>
              <w:t xml:space="preserve"> фактические углы направления на спутник и установки IMT и </w:t>
            </w:r>
            <w:r w:rsidR="001E7AF5">
              <w:rPr>
                <w:rFonts w:ascii="Times New Roman" w:hAnsi="Times New Roman" w:cs="Times New Roman"/>
                <w:sz w:val="18"/>
                <w:lang w:val="ru-RU"/>
              </w:rPr>
              <w:t>скорректировать</w:t>
            </w:r>
            <w:r w:rsidR="00660B8E" w:rsidRPr="00660B8E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proofErr w:type="spellStart"/>
            <w:r w:rsidR="00660B8E" w:rsidRPr="00660B8E">
              <w:rPr>
                <w:rFonts w:ascii="Times New Roman" w:hAnsi="Times New Roman" w:cs="Times New Roman"/>
                <w:sz w:val="18"/>
                <w:lang w:val="ru-RU"/>
              </w:rPr>
              <w:t>п.п.м</w:t>
            </w:r>
            <w:proofErr w:type="spellEnd"/>
            <w:r w:rsidR="00660B8E" w:rsidRPr="00660B8E">
              <w:rPr>
                <w:rFonts w:ascii="Times New Roman" w:hAnsi="Times New Roman" w:cs="Times New Roman"/>
                <w:sz w:val="18"/>
                <w:lang w:val="ru-RU"/>
              </w:rPr>
              <w:t>. до значения, попадающего в указанные диапазоны.</w:t>
            </w:r>
          </w:p>
        </w:tc>
      </w:tr>
    </w:tbl>
    <w:p w14:paraId="194E8B41" w14:textId="77777777" w:rsidR="005720AD" w:rsidRPr="00660B8E" w:rsidRDefault="005720AD" w:rsidP="005720AD">
      <w:pPr>
        <w:pStyle w:val="Tablefin"/>
        <w:rPr>
          <w:lang w:val="ru-RU"/>
        </w:rPr>
      </w:pPr>
    </w:p>
    <w:p w14:paraId="67CD84E5" w14:textId="77777777" w:rsidR="00866F79" w:rsidRPr="00866F79" w:rsidRDefault="00866F79" w:rsidP="00866F79">
      <w:pPr>
        <w:pStyle w:val="TableNo"/>
        <w:rPr>
          <w:lang w:val="ru-RU"/>
        </w:rPr>
      </w:pPr>
      <w:r w:rsidRPr="00866F79">
        <w:rPr>
          <w:lang w:val="ru-RU"/>
        </w:rPr>
        <w:t>ТАБЛИЦА 5</w:t>
      </w:r>
    </w:p>
    <w:p w14:paraId="4D5D6CDF" w14:textId="52703D13" w:rsidR="005720AD" w:rsidRPr="00866F79" w:rsidRDefault="00866F79" w:rsidP="00866F79">
      <w:pPr>
        <w:pStyle w:val="Tabletitle"/>
        <w:rPr>
          <w:lang w:val="ru-RU"/>
        </w:rPr>
      </w:pPr>
      <w:r w:rsidRPr="00866F79">
        <w:rPr>
          <w:lang w:val="ru-RU"/>
        </w:rPr>
        <w:t xml:space="preserve">Пределы </w:t>
      </w:r>
      <w:proofErr w:type="spellStart"/>
      <w:r w:rsidRPr="00866F79">
        <w:rPr>
          <w:lang w:val="ru-RU"/>
        </w:rPr>
        <w:t>п.п.м</w:t>
      </w:r>
      <w:proofErr w:type="spellEnd"/>
      <w:r w:rsidRPr="00866F79">
        <w:rPr>
          <w:lang w:val="ru-RU"/>
        </w:rPr>
        <w:t>. для БС IMT, ведущих передачи по нескольким каналам</w:t>
      </w:r>
    </w:p>
    <w:tbl>
      <w:tblPr>
        <w:tblStyle w:val="TableGrid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157"/>
        <w:gridCol w:w="1106"/>
        <w:gridCol w:w="1781"/>
        <w:gridCol w:w="1864"/>
        <w:gridCol w:w="1864"/>
        <w:gridCol w:w="1867"/>
      </w:tblGrid>
      <w:tr w:rsidR="005720AD" w:rsidRPr="00656304" w14:paraId="54F870BE" w14:textId="77777777" w:rsidTr="006F044D">
        <w:trPr>
          <w:jc w:val="center"/>
        </w:trPr>
        <w:tc>
          <w:tcPr>
            <w:tcW w:w="1157" w:type="dxa"/>
            <w:vAlign w:val="center"/>
            <w:hideMark/>
          </w:tcPr>
          <w:p w14:paraId="14269768" w14:textId="0DBF0DFE" w:rsidR="005720AD" w:rsidRPr="00656304" w:rsidRDefault="00656304" w:rsidP="00AE6864">
            <w:pPr>
              <w:pStyle w:val="Tablehead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Этап</w:t>
            </w:r>
          </w:p>
        </w:tc>
        <w:tc>
          <w:tcPr>
            <w:tcW w:w="1106" w:type="dxa"/>
            <w:vMerge w:val="restart"/>
            <w:vAlign w:val="center"/>
            <w:hideMark/>
          </w:tcPr>
          <w:p w14:paraId="278B35F1" w14:textId="106F072A" w:rsidR="005720AD" w:rsidRPr="00656304" w:rsidRDefault="00656304" w:rsidP="006F044D">
            <w:pPr>
              <w:pStyle w:val="Tablehead"/>
              <w:ind w:left="-57" w:right="-57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Усиление антенны терминала ПЗС (</w:t>
            </w:r>
            <w:proofErr w:type="spellStart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дБи</w:t>
            </w:r>
            <w:proofErr w:type="spellEnd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)</w:t>
            </w:r>
          </w:p>
        </w:tc>
        <w:tc>
          <w:tcPr>
            <w:tcW w:w="3645" w:type="dxa"/>
            <w:gridSpan w:val="2"/>
            <w:vAlign w:val="center"/>
            <w:hideMark/>
          </w:tcPr>
          <w:p w14:paraId="22A12B21" w14:textId="3EB45A38" w:rsidR="005720AD" w:rsidRPr="00656304" w:rsidRDefault="00656304" w:rsidP="00AE6864">
            <w:pPr>
              <w:pStyle w:val="Tablehead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Этап </w:t>
            </w:r>
            <w:r w:rsidR="005720AD" w:rsidRPr="00656304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731" w:type="dxa"/>
            <w:gridSpan w:val="2"/>
            <w:vAlign w:val="center"/>
            <w:hideMark/>
          </w:tcPr>
          <w:p w14:paraId="1C005CE5" w14:textId="399A6E74" w:rsidR="005720AD" w:rsidRPr="00656304" w:rsidRDefault="00656304" w:rsidP="00AE6864">
            <w:pPr>
              <w:pStyle w:val="Tablehead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Этап</w:t>
            </w:r>
            <w:r w:rsidR="005720AD" w:rsidRPr="00656304">
              <w:rPr>
                <w:rFonts w:ascii="Times New Roman" w:hAnsi="Times New Roman" w:cs="Times New Roman"/>
                <w:sz w:val="18"/>
                <w:szCs w:val="20"/>
              </w:rPr>
              <w:t xml:space="preserve"> 2</w:t>
            </w:r>
          </w:p>
        </w:tc>
      </w:tr>
      <w:tr w:rsidR="00656304" w:rsidRPr="00D6207E" w14:paraId="00A8BD3B" w14:textId="77777777" w:rsidTr="006F044D">
        <w:trPr>
          <w:jc w:val="center"/>
        </w:trPr>
        <w:tc>
          <w:tcPr>
            <w:tcW w:w="1157" w:type="dxa"/>
            <w:vAlign w:val="center"/>
          </w:tcPr>
          <w:p w14:paraId="5A0A01AA" w14:textId="77777777" w:rsidR="00656304" w:rsidRPr="00656304" w:rsidRDefault="00656304" w:rsidP="00656304">
            <w:pPr>
              <w:pStyle w:val="Tablehead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14:paraId="4CEEAC07" w14:textId="77777777" w:rsidR="00656304" w:rsidRPr="00656304" w:rsidRDefault="00656304" w:rsidP="00656304">
            <w:pPr>
              <w:pStyle w:val="Tablehead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781" w:type="dxa"/>
            <w:vAlign w:val="center"/>
            <w:hideMark/>
          </w:tcPr>
          <w:p w14:paraId="7B4A5724" w14:textId="1AA98C89" w:rsidR="00656304" w:rsidRPr="00656304" w:rsidRDefault="00656304" w:rsidP="00656304">
            <w:pPr>
              <w:pStyle w:val="Tablehead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Предел </w:t>
            </w:r>
            <w:proofErr w:type="spellStart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п.п.м</w:t>
            </w:r>
            <w:proofErr w:type="spellEnd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. для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излучений БС в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полосе частот 1</w:t>
            </w:r>
            <w:r w:rsidR="004303F7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492–1</w:t>
            </w:r>
            <w:r w:rsidR="004303F7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512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МГц (</w:t>
            </w:r>
            <w:proofErr w:type="spellStart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дБВт</w:t>
            </w:r>
            <w:proofErr w:type="spellEnd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/м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ru-RU"/>
              </w:rPr>
              <w:t>2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)</w:t>
            </w:r>
          </w:p>
        </w:tc>
        <w:tc>
          <w:tcPr>
            <w:tcW w:w="1864" w:type="dxa"/>
            <w:vAlign w:val="center"/>
            <w:hideMark/>
          </w:tcPr>
          <w:p w14:paraId="6DFDEEAB" w14:textId="32EA2983" w:rsidR="00656304" w:rsidRPr="00656304" w:rsidRDefault="00656304" w:rsidP="00656304">
            <w:pPr>
              <w:pStyle w:val="Tablehead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Предел </w:t>
            </w:r>
            <w:proofErr w:type="spellStart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п.п.м</w:t>
            </w:r>
            <w:proofErr w:type="spellEnd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. для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излучений БС в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полосе частот 1</w:t>
            </w:r>
            <w:r w:rsidR="004303F7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512–1</w:t>
            </w:r>
            <w:r w:rsidR="004303F7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517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МГц (</w:t>
            </w:r>
            <w:proofErr w:type="spellStart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дБВт</w:t>
            </w:r>
            <w:proofErr w:type="spellEnd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/м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ru-RU"/>
              </w:rPr>
              <w:t>2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)</w:t>
            </w:r>
          </w:p>
        </w:tc>
        <w:tc>
          <w:tcPr>
            <w:tcW w:w="1864" w:type="dxa"/>
            <w:vAlign w:val="center"/>
            <w:hideMark/>
          </w:tcPr>
          <w:p w14:paraId="41BA1A38" w14:textId="355B3A1C" w:rsidR="00656304" w:rsidRPr="00656304" w:rsidRDefault="00656304" w:rsidP="00656304">
            <w:pPr>
              <w:pStyle w:val="Tablehead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Предел </w:t>
            </w:r>
            <w:proofErr w:type="spellStart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п.п.м</w:t>
            </w:r>
            <w:proofErr w:type="spellEnd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. для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излучений БС в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полосе частот 1</w:t>
            </w:r>
            <w:r w:rsidR="004303F7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492–1</w:t>
            </w:r>
            <w:r w:rsidR="004303F7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512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МГц (</w:t>
            </w:r>
            <w:proofErr w:type="spellStart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дБВт</w:t>
            </w:r>
            <w:proofErr w:type="spellEnd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/м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ru-RU"/>
              </w:rPr>
              <w:t>2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)</w:t>
            </w:r>
          </w:p>
        </w:tc>
        <w:tc>
          <w:tcPr>
            <w:tcW w:w="1867" w:type="dxa"/>
            <w:vAlign w:val="center"/>
            <w:hideMark/>
          </w:tcPr>
          <w:p w14:paraId="1B8CB92D" w14:textId="39586DF1" w:rsidR="00656304" w:rsidRPr="00656304" w:rsidRDefault="00656304" w:rsidP="00656304">
            <w:pPr>
              <w:pStyle w:val="Tablehead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Предел </w:t>
            </w:r>
            <w:proofErr w:type="spellStart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п.п.м</w:t>
            </w:r>
            <w:proofErr w:type="spellEnd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. для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излучений БС в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полосе частот 1</w:t>
            </w:r>
            <w:r w:rsidR="004303F7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512–1</w:t>
            </w:r>
            <w:r w:rsidR="004303F7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517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МГц (</w:t>
            </w:r>
            <w:proofErr w:type="spellStart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дБВт</w:t>
            </w:r>
            <w:proofErr w:type="spellEnd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/м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ru-RU"/>
              </w:rPr>
              <w:t>2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)</w:t>
            </w:r>
          </w:p>
        </w:tc>
      </w:tr>
      <w:tr w:rsidR="005720AD" w:rsidRPr="00656304" w14:paraId="4930A92E" w14:textId="77777777" w:rsidTr="006F044D">
        <w:trPr>
          <w:jc w:val="center"/>
        </w:trPr>
        <w:tc>
          <w:tcPr>
            <w:tcW w:w="1157" w:type="dxa"/>
            <w:vMerge w:val="restart"/>
            <w:vAlign w:val="center"/>
            <w:hideMark/>
          </w:tcPr>
          <w:p w14:paraId="647037A7" w14:textId="5B7372AC" w:rsidR="005720AD" w:rsidRPr="00656304" w:rsidRDefault="00656304" w:rsidP="004303F7">
            <w:pPr>
              <w:pStyle w:val="Tabletext"/>
              <w:ind w:right="-57"/>
              <w:jc w:val="left"/>
              <w:rPr>
                <w:rFonts w:ascii="Times New Roman" w:hAnsi="Times New Roman" w:cs="Times New Roman"/>
                <w:sz w:val="18"/>
                <w:szCs w:val="20"/>
                <w:lang w:val="ru-RU" w:eastAsia="de-D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ru-RU" w:eastAsia="de-DE"/>
              </w:rPr>
              <w:t>Порты</w:t>
            </w:r>
            <w:r w:rsidR="004303F7">
              <w:rPr>
                <w:rFonts w:ascii="Times New Roman" w:hAnsi="Times New Roman" w:cs="Times New Roman"/>
                <w:sz w:val="18"/>
                <w:szCs w:val="20"/>
                <w:lang w:val="en-US" w:eastAsia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ru-RU" w:eastAsia="de-DE"/>
              </w:rPr>
              <w:t>и внутренние водные пути</w:t>
            </w:r>
          </w:p>
        </w:tc>
        <w:tc>
          <w:tcPr>
            <w:tcW w:w="1106" w:type="dxa"/>
            <w:vAlign w:val="center"/>
            <w:hideMark/>
          </w:tcPr>
          <w:p w14:paraId="4013FCDA" w14:textId="77777777" w:rsidR="005720AD" w:rsidRPr="00656304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1781" w:type="dxa"/>
            <w:vAlign w:val="center"/>
            <w:hideMark/>
          </w:tcPr>
          <w:p w14:paraId="59D80DD0" w14:textId="4868C959" w:rsidR="005720AD" w:rsidRPr="00656304" w:rsidRDefault="005720AD" w:rsidP="00656304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656304">
              <w:rPr>
                <w:rFonts w:ascii="Times New Roman" w:hAnsi="Times New Roman" w:cs="Times New Roman"/>
                <w:sz w:val="18"/>
                <w:szCs w:val="20"/>
              </w:rPr>
              <w:t>−74</w:t>
            </w:r>
            <w:r w:rsid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,</w:t>
            </w:r>
            <w:r w:rsidRPr="00656304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864" w:type="dxa"/>
            <w:vAlign w:val="center"/>
            <w:hideMark/>
          </w:tcPr>
          <w:p w14:paraId="5096BD80" w14:textId="3533C2D9" w:rsidR="005720AD" w:rsidRPr="00656304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56304">
              <w:rPr>
                <w:rFonts w:ascii="Times New Roman" w:hAnsi="Times New Roman" w:cs="Times New Roman"/>
                <w:sz w:val="18"/>
                <w:szCs w:val="20"/>
              </w:rPr>
              <w:t>−85</w:t>
            </w:r>
            <w:r w:rsid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,</w:t>
            </w:r>
            <w:r w:rsidRPr="00656304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864" w:type="dxa"/>
            <w:vAlign w:val="center"/>
            <w:hideMark/>
          </w:tcPr>
          <w:p w14:paraId="41F0C8A4" w14:textId="54152488" w:rsidR="005720AD" w:rsidRPr="00656304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−30</w:t>
            </w:r>
            <w:r w:rsid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,</w:t>
            </w:r>
            <w:r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1867" w:type="dxa"/>
            <w:vAlign w:val="center"/>
            <w:hideMark/>
          </w:tcPr>
          <w:p w14:paraId="4D4E200E" w14:textId="5766F8A3" w:rsidR="005720AD" w:rsidRPr="00656304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−40</w:t>
            </w:r>
            <w:r w:rsid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,</w:t>
            </w:r>
            <w:r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</w:t>
            </w:r>
          </w:p>
        </w:tc>
      </w:tr>
      <w:tr w:rsidR="005720AD" w:rsidRPr="00656304" w14:paraId="6634AABF" w14:textId="77777777" w:rsidTr="006F044D">
        <w:trPr>
          <w:jc w:val="center"/>
        </w:trPr>
        <w:tc>
          <w:tcPr>
            <w:tcW w:w="1157" w:type="dxa"/>
            <w:vMerge/>
            <w:vAlign w:val="center"/>
            <w:hideMark/>
          </w:tcPr>
          <w:p w14:paraId="6AD7195C" w14:textId="77777777" w:rsidR="005720AD" w:rsidRPr="00656304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20"/>
                <w:lang w:eastAsia="de-DE"/>
              </w:rPr>
            </w:pPr>
          </w:p>
        </w:tc>
        <w:tc>
          <w:tcPr>
            <w:tcW w:w="1106" w:type="dxa"/>
            <w:vAlign w:val="center"/>
            <w:hideMark/>
          </w:tcPr>
          <w:p w14:paraId="58F4BB7B" w14:textId="2A43D338" w:rsidR="005720AD" w:rsidRPr="00656304" w:rsidRDefault="005720AD" w:rsidP="00656304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  <w:r w:rsidR="0065630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>–</w:t>
            </w:r>
            <w:r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19</w:t>
            </w:r>
            <w:r w:rsidRPr="00656304">
              <w:rPr>
                <w:rFonts w:ascii="Times New Roman" w:hAnsi="Times New Roman" w:cs="Times New Roman"/>
                <w:color w:val="000000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1781" w:type="dxa"/>
            <w:vAlign w:val="center"/>
            <w:hideMark/>
          </w:tcPr>
          <w:p w14:paraId="3FC94E9A" w14:textId="0D656DE4" w:rsidR="005720AD" w:rsidRPr="00656304" w:rsidRDefault="00656304" w:rsidP="00656304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От </w:t>
            </w:r>
            <w:r w:rsidR="00CB1E30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–</w:t>
            </w:r>
            <w:r w:rsidR="005720AD" w:rsidRPr="00656304">
              <w:rPr>
                <w:rFonts w:ascii="Times New Roman" w:hAnsi="Times New Roman" w:cs="Times New Roman"/>
                <w:sz w:val="18"/>
                <w:szCs w:val="20"/>
              </w:rPr>
              <w:t>74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,</w:t>
            </w:r>
            <w:r w:rsidR="005720AD" w:rsidRPr="00656304"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до</w:t>
            </w:r>
            <w:r w:rsidR="005720AD" w:rsidRPr="00656304">
              <w:rPr>
                <w:rFonts w:ascii="Times New Roman" w:hAnsi="Times New Roman" w:cs="Times New Roman"/>
                <w:sz w:val="18"/>
                <w:szCs w:val="20"/>
              </w:rPr>
              <w:t xml:space="preserve"> −90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,</w:t>
            </w:r>
            <w:r w:rsidR="005720AD" w:rsidRPr="00656304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864" w:type="dxa"/>
            <w:vAlign w:val="center"/>
            <w:hideMark/>
          </w:tcPr>
          <w:p w14:paraId="28D93985" w14:textId="5F41F5EF" w:rsidR="005720AD" w:rsidRPr="00656304" w:rsidRDefault="00656304" w:rsidP="00656304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От </w:t>
            </w:r>
            <w:r w:rsidR="005720AD" w:rsidRPr="00656304">
              <w:rPr>
                <w:rFonts w:ascii="Times New Roman" w:hAnsi="Times New Roman" w:cs="Times New Roman"/>
                <w:sz w:val="18"/>
                <w:szCs w:val="20"/>
              </w:rPr>
              <w:t>−85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,</w:t>
            </w:r>
            <w:r w:rsidR="005720AD" w:rsidRPr="00656304"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до</w:t>
            </w:r>
            <w:r w:rsidR="005720AD" w:rsidRPr="00656304">
              <w:rPr>
                <w:rFonts w:ascii="Times New Roman" w:hAnsi="Times New Roman" w:cs="Times New Roman"/>
                <w:sz w:val="18"/>
                <w:szCs w:val="20"/>
              </w:rPr>
              <w:t xml:space="preserve"> −101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,</w:t>
            </w:r>
            <w:r w:rsidR="005720AD" w:rsidRPr="00656304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864" w:type="dxa"/>
            <w:vAlign w:val="center"/>
            <w:hideMark/>
          </w:tcPr>
          <w:p w14:paraId="30807969" w14:textId="280C6C0A" w:rsidR="005720AD" w:rsidRPr="00656304" w:rsidRDefault="00656304" w:rsidP="00656304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От </w:t>
            </w:r>
            <w:r w:rsidR="005720AD"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−30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>,</w:t>
            </w:r>
            <w:r w:rsidR="005720AD"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>до</w:t>
            </w:r>
            <w:r w:rsidR="005720AD"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−46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>,</w:t>
            </w:r>
            <w:r w:rsidR="005720AD"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1867" w:type="dxa"/>
            <w:vAlign w:val="center"/>
            <w:hideMark/>
          </w:tcPr>
          <w:p w14:paraId="4BBE7FAB" w14:textId="064B03B9" w:rsidR="005720AD" w:rsidRPr="00656304" w:rsidRDefault="00656304" w:rsidP="00656304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От </w:t>
            </w:r>
            <w:r w:rsidR="005720AD"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−40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>,</w:t>
            </w:r>
            <w:r w:rsidR="005720AD"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>до</w:t>
            </w:r>
            <w:r w:rsidR="005720AD"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−56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>,</w:t>
            </w:r>
            <w:r w:rsidR="005720AD"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</w:t>
            </w:r>
          </w:p>
        </w:tc>
      </w:tr>
    </w:tbl>
    <w:p w14:paraId="5FAE1DDF" w14:textId="259AAC72" w:rsidR="00656304" w:rsidRDefault="00656304"/>
    <w:p w14:paraId="39D66329" w14:textId="77777777" w:rsidR="00656304" w:rsidRDefault="006563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14:paraId="0D733D1A" w14:textId="7E4AE8F6" w:rsidR="00656304" w:rsidRPr="00866F79" w:rsidRDefault="00656304" w:rsidP="00656304">
      <w:pPr>
        <w:pStyle w:val="TableNo"/>
        <w:rPr>
          <w:lang w:val="ru-RU"/>
        </w:rPr>
      </w:pPr>
      <w:r w:rsidRPr="00866F79">
        <w:rPr>
          <w:lang w:val="ru-RU"/>
        </w:rPr>
        <w:lastRenderedPageBreak/>
        <w:t>ТАБЛИЦА 5</w:t>
      </w:r>
      <w:r>
        <w:rPr>
          <w:lang w:val="ru-RU"/>
        </w:rPr>
        <w:t xml:space="preserve"> (</w:t>
      </w:r>
      <w:r w:rsidRPr="00656304">
        <w:rPr>
          <w:i/>
          <w:lang w:val="ru-RU"/>
        </w:rPr>
        <w:t>окончание</w:t>
      </w:r>
      <w:r>
        <w:rPr>
          <w:lang w:val="ru-RU"/>
        </w:rPr>
        <w:t>)</w:t>
      </w:r>
    </w:p>
    <w:tbl>
      <w:tblPr>
        <w:tblStyle w:val="TableGrid1"/>
        <w:tblW w:w="9644" w:type="dxa"/>
        <w:jc w:val="center"/>
        <w:tblLayout w:type="fixed"/>
        <w:tblLook w:val="04A0" w:firstRow="1" w:lastRow="0" w:firstColumn="1" w:lastColumn="0" w:noHBand="0" w:noVBand="1"/>
      </w:tblPr>
      <w:tblGrid>
        <w:gridCol w:w="1157"/>
        <w:gridCol w:w="1106"/>
        <w:gridCol w:w="1783"/>
        <w:gridCol w:w="1865"/>
        <w:gridCol w:w="1865"/>
        <w:gridCol w:w="1868"/>
      </w:tblGrid>
      <w:tr w:rsidR="00656304" w:rsidRPr="00656304" w14:paraId="534DA9D8" w14:textId="77777777" w:rsidTr="006F044D">
        <w:trPr>
          <w:jc w:val="center"/>
        </w:trPr>
        <w:tc>
          <w:tcPr>
            <w:tcW w:w="1157" w:type="dxa"/>
            <w:vAlign w:val="center"/>
            <w:hideMark/>
          </w:tcPr>
          <w:p w14:paraId="0C2BD958" w14:textId="77777777" w:rsidR="00656304" w:rsidRPr="00656304" w:rsidRDefault="00656304" w:rsidP="00A04A4E">
            <w:pPr>
              <w:pStyle w:val="Tablehead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Этап</w:t>
            </w:r>
          </w:p>
        </w:tc>
        <w:tc>
          <w:tcPr>
            <w:tcW w:w="1106" w:type="dxa"/>
            <w:vMerge w:val="restart"/>
            <w:vAlign w:val="center"/>
            <w:hideMark/>
          </w:tcPr>
          <w:p w14:paraId="093DAE1C" w14:textId="40A2A1C7" w:rsidR="00656304" w:rsidRPr="00656304" w:rsidRDefault="00656304" w:rsidP="00A04A4E">
            <w:pPr>
              <w:pStyle w:val="Tablehead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Усиление антенны терминала ПЗС (</w:t>
            </w:r>
            <w:proofErr w:type="spellStart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дБи</w:t>
            </w:r>
            <w:proofErr w:type="spellEnd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)</w:t>
            </w:r>
          </w:p>
        </w:tc>
        <w:tc>
          <w:tcPr>
            <w:tcW w:w="3648" w:type="dxa"/>
            <w:gridSpan w:val="2"/>
            <w:vAlign w:val="center"/>
            <w:hideMark/>
          </w:tcPr>
          <w:p w14:paraId="1E4D10EF" w14:textId="77777777" w:rsidR="00656304" w:rsidRPr="00656304" w:rsidRDefault="00656304" w:rsidP="00A04A4E">
            <w:pPr>
              <w:pStyle w:val="Tablehead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Этап </w:t>
            </w:r>
            <w:r w:rsidRPr="00656304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733" w:type="dxa"/>
            <w:gridSpan w:val="2"/>
            <w:vAlign w:val="center"/>
            <w:hideMark/>
          </w:tcPr>
          <w:p w14:paraId="0D8F7379" w14:textId="77777777" w:rsidR="00656304" w:rsidRPr="00656304" w:rsidRDefault="00656304" w:rsidP="00A04A4E">
            <w:pPr>
              <w:pStyle w:val="Tablehead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Этап</w:t>
            </w:r>
            <w:r w:rsidRPr="00656304">
              <w:rPr>
                <w:rFonts w:ascii="Times New Roman" w:hAnsi="Times New Roman" w:cs="Times New Roman"/>
                <w:sz w:val="18"/>
                <w:szCs w:val="20"/>
              </w:rPr>
              <w:t xml:space="preserve"> 2</w:t>
            </w:r>
          </w:p>
        </w:tc>
      </w:tr>
      <w:tr w:rsidR="00656304" w:rsidRPr="00D6207E" w14:paraId="1D0A2CC0" w14:textId="77777777" w:rsidTr="006F044D">
        <w:trPr>
          <w:jc w:val="center"/>
        </w:trPr>
        <w:tc>
          <w:tcPr>
            <w:tcW w:w="1157" w:type="dxa"/>
            <w:vAlign w:val="center"/>
          </w:tcPr>
          <w:p w14:paraId="6579A8D8" w14:textId="77777777" w:rsidR="00656304" w:rsidRPr="00656304" w:rsidRDefault="00656304" w:rsidP="00A04A4E">
            <w:pPr>
              <w:pStyle w:val="Tablehead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14:paraId="074F5D75" w14:textId="77777777" w:rsidR="00656304" w:rsidRPr="00656304" w:rsidRDefault="00656304" w:rsidP="00A04A4E">
            <w:pPr>
              <w:pStyle w:val="Tablehead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783" w:type="dxa"/>
            <w:vAlign w:val="center"/>
            <w:hideMark/>
          </w:tcPr>
          <w:p w14:paraId="0AC11611" w14:textId="1B76F54A" w:rsidR="00656304" w:rsidRPr="00656304" w:rsidRDefault="00656304" w:rsidP="00A04A4E">
            <w:pPr>
              <w:pStyle w:val="Tablehead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Предел </w:t>
            </w:r>
            <w:proofErr w:type="spellStart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п.п.м</w:t>
            </w:r>
            <w:proofErr w:type="spellEnd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. для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излучений БС в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полосе частот 1</w:t>
            </w:r>
            <w:r w:rsidR="0097672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492–1</w:t>
            </w:r>
            <w:r w:rsidR="0097672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512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МГц (</w:t>
            </w:r>
            <w:proofErr w:type="spellStart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дБВт</w:t>
            </w:r>
            <w:proofErr w:type="spellEnd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/м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ru-RU"/>
              </w:rPr>
              <w:t>2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)</w:t>
            </w:r>
          </w:p>
        </w:tc>
        <w:tc>
          <w:tcPr>
            <w:tcW w:w="1865" w:type="dxa"/>
            <w:vAlign w:val="center"/>
            <w:hideMark/>
          </w:tcPr>
          <w:p w14:paraId="2C78455F" w14:textId="5A7D5FE1" w:rsidR="00656304" w:rsidRPr="00656304" w:rsidRDefault="00656304" w:rsidP="00A04A4E">
            <w:pPr>
              <w:pStyle w:val="Tablehead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Предел </w:t>
            </w:r>
            <w:proofErr w:type="spellStart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п.п.м</w:t>
            </w:r>
            <w:proofErr w:type="spellEnd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. для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излучений БС в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полосе частот 1</w:t>
            </w:r>
            <w:r w:rsidR="0097672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512–1</w:t>
            </w:r>
            <w:r w:rsidR="0097672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517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МГц (</w:t>
            </w:r>
            <w:proofErr w:type="spellStart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дБВт</w:t>
            </w:r>
            <w:proofErr w:type="spellEnd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/м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ru-RU"/>
              </w:rPr>
              <w:t>2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)</w:t>
            </w:r>
          </w:p>
        </w:tc>
        <w:tc>
          <w:tcPr>
            <w:tcW w:w="1865" w:type="dxa"/>
            <w:vAlign w:val="center"/>
            <w:hideMark/>
          </w:tcPr>
          <w:p w14:paraId="1D0A1406" w14:textId="4A48BAE3" w:rsidR="00656304" w:rsidRPr="00656304" w:rsidRDefault="00656304" w:rsidP="00A04A4E">
            <w:pPr>
              <w:pStyle w:val="Tablehead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Предел </w:t>
            </w:r>
            <w:proofErr w:type="spellStart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п.п.м</w:t>
            </w:r>
            <w:proofErr w:type="spellEnd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. для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излучений БС в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полосе частот 1</w:t>
            </w:r>
            <w:r w:rsidR="0097672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492–1</w:t>
            </w:r>
            <w:r w:rsidR="0097672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512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МГц (</w:t>
            </w:r>
            <w:proofErr w:type="spellStart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дБВт</w:t>
            </w:r>
            <w:proofErr w:type="spellEnd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/м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ru-RU"/>
              </w:rPr>
              <w:t>2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)</w:t>
            </w:r>
          </w:p>
        </w:tc>
        <w:tc>
          <w:tcPr>
            <w:tcW w:w="1868" w:type="dxa"/>
            <w:vAlign w:val="center"/>
            <w:hideMark/>
          </w:tcPr>
          <w:p w14:paraId="26AEDABC" w14:textId="7D4641E7" w:rsidR="00656304" w:rsidRPr="00656304" w:rsidRDefault="00656304" w:rsidP="00A04A4E">
            <w:pPr>
              <w:pStyle w:val="Tablehead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Предел </w:t>
            </w:r>
            <w:proofErr w:type="spellStart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п.п.м</w:t>
            </w:r>
            <w:proofErr w:type="spellEnd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. для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излучений БС в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полосе частот 1</w:t>
            </w:r>
            <w:r w:rsidR="0097672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512–1</w:t>
            </w:r>
            <w:r w:rsidR="0097672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517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МГц (</w:t>
            </w:r>
            <w:proofErr w:type="spellStart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дБВт</w:t>
            </w:r>
            <w:proofErr w:type="spellEnd"/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/м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ru-RU"/>
              </w:rPr>
              <w:t>2</w:t>
            </w:r>
            <w:r w:rsidRPr="006563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)</w:t>
            </w:r>
          </w:p>
        </w:tc>
      </w:tr>
      <w:tr w:rsidR="005720AD" w:rsidRPr="00656304" w14:paraId="4CF54170" w14:textId="77777777" w:rsidTr="006F044D">
        <w:trPr>
          <w:jc w:val="center"/>
        </w:trPr>
        <w:tc>
          <w:tcPr>
            <w:tcW w:w="1157" w:type="dxa"/>
            <w:vMerge w:val="restart"/>
            <w:vAlign w:val="center"/>
            <w:hideMark/>
          </w:tcPr>
          <w:p w14:paraId="0D87433F" w14:textId="0C6B9122" w:rsidR="005720AD" w:rsidRPr="00656304" w:rsidRDefault="00656304" w:rsidP="00AE6864">
            <w:pPr>
              <w:pStyle w:val="Tabletext"/>
              <w:keepNext/>
              <w:jc w:val="center"/>
              <w:rPr>
                <w:rFonts w:ascii="Times New Roman" w:hAnsi="Times New Roman" w:cs="Times New Roman"/>
                <w:sz w:val="18"/>
                <w:szCs w:val="20"/>
                <w:lang w:val="ru-RU" w:eastAsia="de-D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ru-RU" w:eastAsia="de-DE"/>
              </w:rPr>
              <w:t>Аэропорты</w:t>
            </w:r>
          </w:p>
        </w:tc>
        <w:tc>
          <w:tcPr>
            <w:tcW w:w="1106" w:type="dxa"/>
            <w:vAlign w:val="center"/>
            <w:hideMark/>
          </w:tcPr>
          <w:p w14:paraId="192B83E8" w14:textId="77777777" w:rsidR="005720AD" w:rsidRPr="00656304" w:rsidRDefault="005720AD" w:rsidP="00AE6864">
            <w:pPr>
              <w:pStyle w:val="Tabletext"/>
              <w:keepNext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1783" w:type="dxa"/>
            <w:vAlign w:val="center"/>
            <w:hideMark/>
          </w:tcPr>
          <w:p w14:paraId="357021B7" w14:textId="6EA32A8C" w:rsidR="005720AD" w:rsidRPr="00656304" w:rsidRDefault="005720AD" w:rsidP="00656304">
            <w:pPr>
              <w:pStyle w:val="Tabletext"/>
              <w:keepNext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−53</w:t>
            </w:r>
            <w:r w:rsidR="0065630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>,</w:t>
            </w:r>
            <w:r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1865" w:type="dxa"/>
            <w:vAlign w:val="center"/>
            <w:hideMark/>
          </w:tcPr>
          <w:p w14:paraId="29CA396E" w14:textId="3E8B9E31" w:rsidR="005720AD" w:rsidRPr="00656304" w:rsidRDefault="005720AD" w:rsidP="00AE6864">
            <w:pPr>
              <w:pStyle w:val="Tabletext"/>
              <w:keepNext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−63</w:t>
            </w:r>
            <w:r w:rsidR="0065630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>,</w:t>
            </w:r>
            <w:r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1865" w:type="dxa"/>
            <w:vAlign w:val="center"/>
            <w:hideMark/>
          </w:tcPr>
          <w:p w14:paraId="4E0A0388" w14:textId="141E3E13" w:rsidR="005720AD" w:rsidRPr="00656304" w:rsidRDefault="005720AD" w:rsidP="00AE6864">
            <w:pPr>
              <w:pStyle w:val="Tabletext"/>
              <w:keepNext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−30</w:t>
            </w:r>
            <w:r w:rsidR="0065630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>,</w:t>
            </w:r>
            <w:r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1868" w:type="dxa"/>
            <w:vAlign w:val="center"/>
            <w:hideMark/>
          </w:tcPr>
          <w:p w14:paraId="713658B0" w14:textId="592B121C" w:rsidR="005720AD" w:rsidRPr="00656304" w:rsidRDefault="005720AD" w:rsidP="00AE6864">
            <w:pPr>
              <w:pStyle w:val="Tabletext"/>
              <w:keepNext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−40</w:t>
            </w:r>
            <w:r w:rsidR="0065630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>,</w:t>
            </w:r>
            <w:r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</w:t>
            </w:r>
          </w:p>
        </w:tc>
      </w:tr>
      <w:tr w:rsidR="005720AD" w:rsidRPr="00656304" w14:paraId="48845B2E" w14:textId="77777777" w:rsidTr="006F044D">
        <w:trPr>
          <w:jc w:val="center"/>
        </w:trPr>
        <w:tc>
          <w:tcPr>
            <w:tcW w:w="115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7DC35EF" w14:textId="77777777" w:rsidR="005720AD" w:rsidRPr="00656304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20"/>
                <w:lang w:eastAsia="de-DE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  <w:hideMark/>
          </w:tcPr>
          <w:p w14:paraId="560E0044" w14:textId="575AD7D7" w:rsidR="005720AD" w:rsidRPr="00656304" w:rsidRDefault="005720AD" w:rsidP="00656304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  <w:r w:rsidR="0065630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>–</w:t>
            </w:r>
            <w:r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17</w:t>
            </w:r>
            <w:r w:rsidRPr="00656304">
              <w:rPr>
                <w:rFonts w:ascii="Times New Roman" w:hAnsi="Times New Roman" w:cs="Times New Roman"/>
                <w:color w:val="000000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  <w:hideMark/>
          </w:tcPr>
          <w:p w14:paraId="722D2703" w14:textId="2CC480B2" w:rsidR="005720AD" w:rsidRPr="00656304" w:rsidRDefault="00656304" w:rsidP="00656304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От </w:t>
            </w:r>
            <w:r w:rsidR="005720AD"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−53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>,</w:t>
            </w:r>
            <w:r w:rsidR="005720AD"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>до</w:t>
            </w:r>
            <w:r w:rsidR="005720AD"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−67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>,</w:t>
            </w:r>
            <w:r w:rsidR="005720AD"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vAlign w:val="center"/>
            <w:hideMark/>
          </w:tcPr>
          <w:p w14:paraId="493E9706" w14:textId="6B514AA6" w:rsidR="005720AD" w:rsidRPr="00656304" w:rsidRDefault="00656304" w:rsidP="00656304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От </w:t>
            </w:r>
            <w:r w:rsidR="005720AD"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−63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>,</w:t>
            </w:r>
            <w:r w:rsidR="005720AD"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>до</w:t>
            </w:r>
            <w:r w:rsidR="005720AD"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−77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>,</w:t>
            </w:r>
            <w:r w:rsidR="005720AD"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vAlign w:val="center"/>
            <w:hideMark/>
          </w:tcPr>
          <w:p w14:paraId="0134A19E" w14:textId="073580AC" w:rsidR="005720AD" w:rsidRPr="00656304" w:rsidRDefault="00656304" w:rsidP="00656304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>От</w:t>
            </w:r>
            <w:r w:rsidR="00CB1E30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 </w:t>
            </w:r>
            <w:r w:rsidR="005720AD"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−30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>,</w:t>
            </w:r>
            <w:r w:rsidR="005720AD"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>до</w:t>
            </w:r>
            <w:r w:rsidR="005720AD"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−44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>,</w:t>
            </w:r>
            <w:r w:rsidR="005720AD"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  <w:hideMark/>
          </w:tcPr>
          <w:p w14:paraId="5B28D51B" w14:textId="4009CA42" w:rsidR="005720AD" w:rsidRPr="00656304" w:rsidRDefault="00656304" w:rsidP="00656304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От </w:t>
            </w:r>
            <w:r w:rsidR="005720AD"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−40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>,</w:t>
            </w:r>
            <w:r w:rsidR="005720AD"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>до</w:t>
            </w:r>
            <w:r w:rsidR="005720AD"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−54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>,</w:t>
            </w:r>
            <w:r w:rsidR="005720AD" w:rsidRPr="006563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</w:t>
            </w:r>
          </w:p>
        </w:tc>
      </w:tr>
      <w:tr w:rsidR="005720AD" w:rsidRPr="00D6207E" w14:paraId="6AC7B576" w14:textId="77777777" w:rsidTr="00656304">
        <w:trPr>
          <w:jc w:val="center"/>
        </w:trPr>
        <w:tc>
          <w:tcPr>
            <w:tcW w:w="9644" w:type="dxa"/>
            <w:gridSpan w:val="6"/>
            <w:tcBorders>
              <w:left w:val="nil"/>
              <w:bottom w:val="nil"/>
              <w:right w:val="nil"/>
            </w:tcBorders>
            <w:hideMark/>
          </w:tcPr>
          <w:p w14:paraId="18AAC802" w14:textId="2A960CD8" w:rsidR="005720AD" w:rsidRPr="00CB7FD2" w:rsidRDefault="005720AD" w:rsidP="00CB7FD2">
            <w:pPr>
              <w:pStyle w:val="Tabletext"/>
              <w:ind w:left="284" w:hanging="284"/>
              <w:rPr>
                <w:rFonts w:ascii="Times New Roman" w:hAnsi="Times New Roman" w:cs="Times New Roman"/>
                <w:color w:val="000000"/>
                <w:sz w:val="18"/>
                <w:lang w:val="ru-RU"/>
              </w:rPr>
            </w:pPr>
            <w:r w:rsidRPr="00CB7FD2">
              <w:rPr>
                <w:rFonts w:ascii="Times New Roman" w:hAnsi="Times New Roman" w:cs="Times New Roman"/>
                <w:color w:val="000000"/>
                <w:sz w:val="18"/>
                <w:vertAlign w:val="superscript"/>
                <w:lang w:val="ru-RU"/>
              </w:rPr>
              <w:t>(1)</w:t>
            </w:r>
            <w:r w:rsidRPr="00CB7FD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ab/>
            </w:r>
            <w:r w:rsidR="00CB7FD2" w:rsidRPr="00CB7FD2">
              <w:rPr>
                <w:rFonts w:ascii="Times New Roman" w:hAnsi="Times New Roman" w:cs="Times New Roman"/>
                <w:sz w:val="18"/>
                <w:lang w:val="ru-RU"/>
              </w:rPr>
              <w:t xml:space="preserve">В большинстве ситуаций применимы значения </w:t>
            </w:r>
            <w:proofErr w:type="spellStart"/>
            <w:r w:rsidR="00CB7FD2" w:rsidRPr="00CB7FD2">
              <w:rPr>
                <w:rFonts w:ascii="Times New Roman" w:hAnsi="Times New Roman" w:cs="Times New Roman"/>
                <w:sz w:val="18"/>
                <w:lang w:val="ru-RU"/>
              </w:rPr>
              <w:t>п.п.м</w:t>
            </w:r>
            <w:proofErr w:type="spellEnd"/>
            <w:r w:rsidR="00CB7FD2" w:rsidRPr="00CB7FD2">
              <w:rPr>
                <w:rFonts w:ascii="Times New Roman" w:hAnsi="Times New Roman" w:cs="Times New Roman"/>
                <w:sz w:val="18"/>
                <w:lang w:val="ru-RU"/>
              </w:rPr>
              <w:t xml:space="preserve">., основанные на </w:t>
            </w:r>
            <w:r w:rsidR="00CB7FD2">
              <w:rPr>
                <w:rFonts w:ascii="Times New Roman" w:hAnsi="Times New Roman" w:cs="Times New Roman"/>
                <w:sz w:val="18"/>
                <w:lang w:val="ru-RU"/>
              </w:rPr>
              <w:t>усилении</w:t>
            </w:r>
            <w:r w:rsidR="00CB7FD2" w:rsidRPr="00CB7FD2">
              <w:rPr>
                <w:rFonts w:ascii="Times New Roman" w:hAnsi="Times New Roman" w:cs="Times New Roman"/>
                <w:sz w:val="18"/>
                <w:lang w:val="ru-RU"/>
              </w:rPr>
              <w:t xml:space="preserve"> антенны ПЗС, равном 3</w:t>
            </w:r>
            <w:r w:rsidR="00CB7FD2">
              <w:rPr>
                <w:rFonts w:ascii="Times New Roman" w:hAnsi="Times New Roman" w:cs="Times New Roman"/>
                <w:sz w:val="18"/>
                <w:lang w:val="ru-RU"/>
              </w:rPr>
              <w:t> </w:t>
            </w:r>
            <w:proofErr w:type="spellStart"/>
            <w:r w:rsidR="00CB7FD2" w:rsidRPr="00CB7FD2">
              <w:rPr>
                <w:rFonts w:ascii="Times New Roman" w:hAnsi="Times New Roman" w:cs="Times New Roman"/>
                <w:sz w:val="18"/>
                <w:lang w:val="ru-RU"/>
              </w:rPr>
              <w:t>дБи</w:t>
            </w:r>
            <w:proofErr w:type="spellEnd"/>
            <w:r w:rsidR="00CB7FD2" w:rsidRPr="00CB7FD2">
              <w:rPr>
                <w:rFonts w:ascii="Times New Roman" w:hAnsi="Times New Roman" w:cs="Times New Roman"/>
                <w:sz w:val="18"/>
                <w:lang w:val="ru-RU"/>
              </w:rPr>
              <w:t>, но</w:t>
            </w:r>
            <w:r w:rsidR="00CB7FD2">
              <w:rPr>
                <w:rFonts w:ascii="Times New Roman" w:hAnsi="Times New Roman" w:cs="Times New Roman"/>
                <w:sz w:val="18"/>
                <w:lang w:val="ru-RU"/>
              </w:rPr>
              <w:t> в мире существуют</w:t>
            </w:r>
            <w:r w:rsidR="00CB7FD2" w:rsidRPr="00CB7FD2">
              <w:rPr>
                <w:rFonts w:ascii="Times New Roman" w:hAnsi="Times New Roman" w:cs="Times New Roman"/>
                <w:sz w:val="18"/>
                <w:lang w:val="ru-RU"/>
              </w:rPr>
              <w:t xml:space="preserve"> места, где усиление антенны в направлении горизонта может превышать 3</w:t>
            </w:r>
            <w:r w:rsidR="00CB7FD2">
              <w:rPr>
                <w:rFonts w:ascii="Times New Roman" w:hAnsi="Times New Roman" w:cs="Times New Roman"/>
                <w:sz w:val="18"/>
                <w:lang w:val="ru-RU"/>
              </w:rPr>
              <w:t> </w:t>
            </w:r>
            <w:proofErr w:type="spellStart"/>
            <w:r w:rsidR="00CB7FD2" w:rsidRPr="00CB7FD2">
              <w:rPr>
                <w:rFonts w:ascii="Times New Roman" w:hAnsi="Times New Roman" w:cs="Times New Roman"/>
                <w:sz w:val="18"/>
                <w:lang w:val="ru-RU"/>
              </w:rPr>
              <w:t>дБи</w:t>
            </w:r>
            <w:proofErr w:type="spellEnd"/>
            <w:r w:rsidR="00CB7FD2" w:rsidRPr="00CB7FD2">
              <w:rPr>
                <w:rFonts w:ascii="Times New Roman" w:hAnsi="Times New Roman" w:cs="Times New Roman"/>
                <w:sz w:val="18"/>
                <w:lang w:val="ru-RU"/>
              </w:rPr>
              <w:t xml:space="preserve"> (до 19 </w:t>
            </w:r>
            <w:proofErr w:type="spellStart"/>
            <w:r w:rsidR="00CB7FD2" w:rsidRPr="00CB7FD2">
              <w:rPr>
                <w:rFonts w:ascii="Times New Roman" w:hAnsi="Times New Roman" w:cs="Times New Roman"/>
                <w:sz w:val="18"/>
                <w:lang w:val="ru-RU"/>
              </w:rPr>
              <w:t>дБи</w:t>
            </w:r>
            <w:proofErr w:type="spellEnd"/>
            <w:r w:rsidR="00CB7FD2" w:rsidRPr="00CB7FD2">
              <w:rPr>
                <w:rFonts w:ascii="Times New Roman" w:hAnsi="Times New Roman" w:cs="Times New Roman"/>
                <w:sz w:val="18"/>
                <w:lang w:val="ru-RU"/>
              </w:rPr>
              <w:t xml:space="preserve"> или 17</w:t>
            </w:r>
            <w:r w:rsidR="00CB7FD2">
              <w:rPr>
                <w:rFonts w:ascii="Times New Roman" w:hAnsi="Times New Roman" w:cs="Times New Roman"/>
                <w:sz w:val="18"/>
                <w:lang w:val="ru-RU"/>
              </w:rPr>
              <w:t> </w:t>
            </w:r>
            <w:proofErr w:type="spellStart"/>
            <w:r w:rsidR="00CB7FD2" w:rsidRPr="00CB7FD2">
              <w:rPr>
                <w:rFonts w:ascii="Times New Roman" w:hAnsi="Times New Roman" w:cs="Times New Roman"/>
                <w:sz w:val="18"/>
                <w:lang w:val="ru-RU"/>
              </w:rPr>
              <w:t>дБи</w:t>
            </w:r>
            <w:proofErr w:type="spellEnd"/>
            <w:r w:rsidR="00CB7FD2" w:rsidRPr="00CB7FD2">
              <w:rPr>
                <w:rFonts w:ascii="Times New Roman" w:hAnsi="Times New Roman" w:cs="Times New Roman"/>
                <w:sz w:val="18"/>
                <w:lang w:val="ru-RU"/>
              </w:rPr>
              <w:t xml:space="preserve">). Это </w:t>
            </w:r>
            <w:r w:rsidR="00CB1E30">
              <w:rPr>
                <w:rFonts w:ascii="Times New Roman" w:hAnsi="Times New Roman" w:cs="Times New Roman"/>
                <w:sz w:val="18"/>
                <w:lang w:val="ru-RU"/>
              </w:rPr>
              <w:t xml:space="preserve">те </w:t>
            </w:r>
            <w:r w:rsidR="00CB7FD2" w:rsidRPr="00CB7FD2">
              <w:rPr>
                <w:rFonts w:ascii="Times New Roman" w:hAnsi="Times New Roman" w:cs="Times New Roman"/>
                <w:sz w:val="18"/>
                <w:lang w:val="ru-RU"/>
              </w:rPr>
              <w:t xml:space="preserve">места, где угол места ПЗС мал и где БС IMT может быть направлена на спутник ПСС, если смотреть со стороны ПЗС. В этих случаях следует </w:t>
            </w:r>
            <w:r w:rsidR="00CB7FD2">
              <w:rPr>
                <w:rFonts w:ascii="Times New Roman" w:hAnsi="Times New Roman" w:cs="Times New Roman"/>
                <w:sz w:val="18"/>
                <w:lang w:val="ru-RU"/>
              </w:rPr>
              <w:t>учитывать</w:t>
            </w:r>
            <w:r w:rsidR="00CB7FD2" w:rsidRPr="00CB7FD2">
              <w:rPr>
                <w:rFonts w:ascii="Times New Roman" w:hAnsi="Times New Roman" w:cs="Times New Roman"/>
                <w:sz w:val="18"/>
                <w:lang w:val="ru-RU"/>
              </w:rPr>
              <w:t xml:space="preserve"> фактические углы направления на спутник и установки IMT и </w:t>
            </w:r>
            <w:r w:rsidR="00CB7FD2">
              <w:rPr>
                <w:rFonts w:ascii="Times New Roman" w:hAnsi="Times New Roman" w:cs="Times New Roman"/>
                <w:sz w:val="18"/>
                <w:lang w:val="ru-RU"/>
              </w:rPr>
              <w:t>скорректировать</w:t>
            </w:r>
            <w:r w:rsidR="00CB7FD2" w:rsidRPr="00CB7FD2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proofErr w:type="spellStart"/>
            <w:r w:rsidR="00CB7FD2" w:rsidRPr="00CB7FD2">
              <w:rPr>
                <w:rFonts w:ascii="Times New Roman" w:hAnsi="Times New Roman" w:cs="Times New Roman"/>
                <w:sz w:val="18"/>
                <w:lang w:val="ru-RU"/>
              </w:rPr>
              <w:t>п.п.м</w:t>
            </w:r>
            <w:proofErr w:type="spellEnd"/>
            <w:r w:rsidR="00CB7FD2" w:rsidRPr="00CB7FD2">
              <w:rPr>
                <w:rFonts w:ascii="Times New Roman" w:hAnsi="Times New Roman" w:cs="Times New Roman"/>
                <w:sz w:val="18"/>
                <w:lang w:val="ru-RU"/>
              </w:rPr>
              <w:t>. до значения, попадающего в указанные диапазоны.</w:t>
            </w:r>
          </w:p>
        </w:tc>
      </w:tr>
    </w:tbl>
    <w:p w14:paraId="0A896DAD" w14:textId="77777777" w:rsidR="005720AD" w:rsidRPr="00CB7FD2" w:rsidRDefault="005720AD" w:rsidP="005720AD">
      <w:pPr>
        <w:pStyle w:val="Tablefin"/>
        <w:rPr>
          <w:lang w:val="ru-RU"/>
        </w:rPr>
      </w:pPr>
    </w:p>
    <w:p w14:paraId="5541386C" w14:textId="33A51F06" w:rsidR="005720AD" w:rsidRPr="00CB7FD2" w:rsidRDefault="00CB7FD2" w:rsidP="00053593">
      <w:pPr>
        <w:pStyle w:val="Headingb"/>
        <w:rPr>
          <w:rFonts w:eastAsia="Calibri"/>
          <w:lang w:val="ru-RU"/>
        </w:rPr>
      </w:pPr>
      <w:r w:rsidRPr="00CB7FD2">
        <w:rPr>
          <w:lang w:val="ru-RU"/>
        </w:rPr>
        <w:t>Вариант В</w:t>
      </w:r>
    </w:p>
    <w:p w14:paraId="421E7860" w14:textId="4C913B96" w:rsidR="005720AD" w:rsidRPr="00CB7FD2" w:rsidRDefault="00CB7FD2" w:rsidP="005720AD">
      <w:pPr>
        <w:overflowPunct/>
        <w:autoSpaceDE/>
        <w:autoSpaceDN/>
        <w:adjustRightInd/>
        <w:textAlignment w:val="auto"/>
        <w:rPr>
          <w:szCs w:val="24"/>
          <w:lang w:val="ru-RU" w:eastAsia="en-GB"/>
        </w:rPr>
      </w:pPr>
      <w:r w:rsidRPr="00CB7FD2">
        <w:rPr>
          <w:lang w:val="ru-RU"/>
        </w:rPr>
        <w:t xml:space="preserve">Пределы </w:t>
      </w:r>
      <w:proofErr w:type="spellStart"/>
      <w:r w:rsidRPr="00CB7FD2">
        <w:rPr>
          <w:lang w:val="ru-RU"/>
        </w:rPr>
        <w:t>п.п.м</w:t>
      </w:r>
      <w:proofErr w:type="spellEnd"/>
      <w:r w:rsidRPr="00CB7FD2">
        <w:rPr>
          <w:lang w:val="ru-RU"/>
        </w:rPr>
        <w:t>. для этого варианта представлены в таблице</w:t>
      </w:r>
      <w:r>
        <w:rPr>
          <w:lang w:val="ru-RU"/>
        </w:rPr>
        <w:t> </w:t>
      </w:r>
      <w:r w:rsidRPr="00CB7FD2">
        <w:rPr>
          <w:lang w:val="ru-RU"/>
        </w:rPr>
        <w:t>6 и получены на основе измерений терминалов ПСС, проведенных Федеральной комиссией по связи США в 2004</w:t>
      </w:r>
      <w:r>
        <w:rPr>
          <w:lang w:val="ru-RU"/>
        </w:rPr>
        <w:t> </w:t>
      </w:r>
      <w:r w:rsidRPr="00CB7FD2">
        <w:rPr>
          <w:lang w:val="ru-RU"/>
        </w:rPr>
        <w:t xml:space="preserve">году. В документе </w:t>
      </w:r>
      <w:r w:rsidRPr="00CB7FD2">
        <w:rPr>
          <w:lang w:val="en-US"/>
        </w:rPr>
        <w:t>FCC</w:t>
      </w:r>
      <w:r>
        <w:rPr>
          <w:lang w:val="ru-RU"/>
        </w:rPr>
        <w:t> </w:t>
      </w:r>
      <w:r w:rsidRPr="00CB7FD2">
        <w:rPr>
          <w:lang w:val="ru-RU"/>
        </w:rPr>
        <w:t>05-30</w:t>
      </w:r>
      <w:r w:rsidR="005720AD" w:rsidRPr="00CB7FD2">
        <w:rPr>
          <w:rStyle w:val="FootnoteReference"/>
        </w:rPr>
        <w:footnoteReference w:id="4"/>
      </w:r>
      <w:r w:rsidR="005720AD" w:rsidRPr="00CB7FD2">
        <w:rPr>
          <w:lang w:val="ru-RU"/>
        </w:rPr>
        <w:t xml:space="preserve"> </w:t>
      </w:r>
      <w:r w:rsidRPr="00CB7FD2">
        <w:rPr>
          <w:lang w:val="ru-RU"/>
        </w:rPr>
        <w:t xml:space="preserve">описаны испытания на основе архитектуры систем </w:t>
      </w:r>
      <w:r>
        <w:rPr>
          <w:lang w:val="ru-RU"/>
        </w:rPr>
        <w:t xml:space="preserve">подвижной связи </w:t>
      </w:r>
      <w:r w:rsidRPr="00CB7FD2">
        <w:rPr>
          <w:lang w:val="ru-RU"/>
        </w:rPr>
        <w:t xml:space="preserve">CDMA-2000, GSM/TDMA 800 и GSM 1800. Они показали, что CDMA-2000 соответствует уровню блокирования </w:t>
      </w:r>
      <w:r w:rsidR="00F54C11">
        <w:rPr>
          <w:lang w:val="ru-RU"/>
        </w:rPr>
        <w:t>−</w:t>
      </w:r>
      <w:r w:rsidRPr="00CB7FD2">
        <w:rPr>
          <w:lang w:val="ru-RU"/>
        </w:rPr>
        <w:t>52</w:t>
      </w:r>
      <w:r>
        <w:rPr>
          <w:lang w:val="ru-RU"/>
        </w:rPr>
        <w:t> </w:t>
      </w:r>
      <w:proofErr w:type="spellStart"/>
      <w:r w:rsidRPr="00CB7FD2">
        <w:rPr>
          <w:lang w:val="ru-RU"/>
        </w:rPr>
        <w:t>дБм</w:t>
      </w:r>
      <w:proofErr w:type="spellEnd"/>
      <w:r w:rsidRPr="00CB7FD2">
        <w:rPr>
          <w:lang w:val="ru-RU"/>
        </w:rPr>
        <w:t xml:space="preserve"> при разносе частот от 1 до 2</w:t>
      </w:r>
      <w:r>
        <w:rPr>
          <w:lang w:val="ru-RU"/>
        </w:rPr>
        <w:t> </w:t>
      </w:r>
      <w:r w:rsidRPr="00CB7FD2">
        <w:rPr>
          <w:lang w:val="ru-RU"/>
        </w:rPr>
        <w:t>МГц. Уровень блокирования, используемый для этого варианта, составляет –50</w:t>
      </w:r>
      <w:r>
        <w:rPr>
          <w:lang w:val="ru-RU"/>
        </w:rPr>
        <w:t> </w:t>
      </w:r>
      <w:proofErr w:type="spellStart"/>
      <w:r w:rsidRPr="00CB7FD2">
        <w:rPr>
          <w:lang w:val="ru-RU"/>
        </w:rPr>
        <w:t>дБм</w:t>
      </w:r>
      <w:proofErr w:type="spellEnd"/>
      <w:r w:rsidRPr="00CB7FD2">
        <w:rPr>
          <w:lang w:val="ru-RU"/>
        </w:rPr>
        <w:t xml:space="preserve"> для IMT в полосе частот 1512–1517 МГц и –35</w:t>
      </w:r>
      <w:r>
        <w:rPr>
          <w:lang w:val="ru-RU"/>
        </w:rPr>
        <w:t> </w:t>
      </w:r>
      <w:proofErr w:type="spellStart"/>
      <w:r w:rsidRPr="00CB7FD2">
        <w:rPr>
          <w:lang w:val="ru-RU"/>
        </w:rPr>
        <w:t>дБм</w:t>
      </w:r>
      <w:proofErr w:type="spellEnd"/>
      <w:r w:rsidRPr="00CB7FD2">
        <w:rPr>
          <w:lang w:val="ru-RU"/>
        </w:rPr>
        <w:t xml:space="preserve"> для более низких частот. Используемые в настоящее время морские и воздушные терминалы (например</w:t>
      </w:r>
      <w:r>
        <w:rPr>
          <w:lang w:val="ru-RU"/>
        </w:rPr>
        <w:t>,</w:t>
      </w:r>
      <w:r w:rsidRPr="00CB7FD2">
        <w:rPr>
          <w:lang w:val="ru-RU"/>
        </w:rPr>
        <w:t xml:space="preserve"> воздушные терминалы </w:t>
      </w:r>
      <w:proofErr w:type="spellStart"/>
      <w:r w:rsidRPr="00CB7FD2">
        <w:rPr>
          <w:lang w:val="ru-RU"/>
        </w:rPr>
        <w:t>Инмарсат</w:t>
      </w:r>
      <w:proofErr w:type="spellEnd"/>
      <w:r w:rsidRPr="00CB7FD2">
        <w:rPr>
          <w:lang w:val="ru-RU"/>
        </w:rPr>
        <w:t xml:space="preserve">-С и </w:t>
      </w:r>
      <w:proofErr w:type="spellStart"/>
      <w:r w:rsidRPr="00CB7FD2">
        <w:rPr>
          <w:lang w:val="ru-RU"/>
        </w:rPr>
        <w:t>Инмарсат</w:t>
      </w:r>
      <w:proofErr w:type="spellEnd"/>
      <w:r w:rsidRPr="00CB7FD2">
        <w:rPr>
          <w:lang w:val="ru-RU"/>
        </w:rPr>
        <w:t>) не были включены в испытания, которые проводились еще в 2004</w:t>
      </w:r>
      <w:r>
        <w:rPr>
          <w:lang w:val="ru-RU"/>
        </w:rPr>
        <w:t> </w:t>
      </w:r>
      <w:r w:rsidRPr="00CB7FD2">
        <w:rPr>
          <w:lang w:val="ru-RU"/>
        </w:rPr>
        <w:t>году. Отмечается, что сигналы IMT-2020 и IMT-Advanced могут иметь более широкую полосу частот, чем</w:t>
      </w:r>
      <w:r>
        <w:rPr>
          <w:lang w:val="ru-RU"/>
        </w:rPr>
        <w:t> </w:t>
      </w:r>
      <w:r w:rsidRPr="00CB7FD2">
        <w:rPr>
          <w:lang w:val="ru-RU"/>
        </w:rPr>
        <w:t>использовавшийся сигнал CDMA-2000.</w:t>
      </w:r>
    </w:p>
    <w:p w14:paraId="25FCDF5B" w14:textId="5B99049F" w:rsidR="005720AD" w:rsidRPr="00CB7FD2" w:rsidRDefault="005720AD" w:rsidP="005720AD">
      <w:pPr>
        <w:overflowPunct/>
        <w:autoSpaceDE/>
        <w:autoSpaceDN/>
        <w:adjustRightInd/>
        <w:spacing w:before="0"/>
        <w:textAlignment w:val="auto"/>
        <w:rPr>
          <w:caps/>
          <w:sz w:val="20"/>
          <w:lang w:val="ru-RU"/>
        </w:rPr>
      </w:pPr>
    </w:p>
    <w:p w14:paraId="336CC57A" w14:textId="77777777" w:rsidR="00BF174C" w:rsidRPr="00BF174C" w:rsidRDefault="00BF174C" w:rsidP="00BF174C">
      <w:pPr>
        <w:pStyle w:val="TableNo"/>
        <w:rPr>
          <w:lang w:val="ru-RU"/>
        </w:rPr>
      </w:pPr>
      <w:r w:rsidRPr="00BF174C">
        <w:rPr>
          <w:lang w:val="ru-RU"/>
        </w:rPr>
        <w:t>ТАБЛИЦА 6</w:t>
      </w:r>
    </w:p>
    <w:p w14:paraId="44FA6808" w14:textId="58FAA978" w:rsidR="005720AD" w:rsidRPr="00BF174C" w:rsidRDefault="00BF174C" w:rsidP="00BF174C">
      <w:pPr>
        <w:pStyle w:val="Tabletitle"/>
        <w:rPr>
          <w:lang w:val="ru-RU"/>
        </w:rPr>
      </w:pPr>
      <w:r w:rsidRPr="00BF174C">
        <w:rPr>
          <w:lang w:val="ru-RU"/>
        </w:rPr>
        <w:t xml:space="preserve">Пределы </w:t>
      </w:r>
      <w:proofErr w:type="spellStart"/>
      <w:r w:rsidRPr="00BF174C">
        <w:rPr>
          <w:lang w:val="ru-RU"/>
        </w:rPr>
        <w:t>п.п.м</w:t>
      </w:r>
      <w:proofErr w:type="spellEnd"/>
      <w:r w:rsidRPr="00BF174C">
        <w:rPr>
          <w:lang w:val="ru-RU"/>
        </w:rPr>
        <w:t xml:space="preserve">. для БС IMT, </w:t>
      </w:r>
      <w:r>
        <w:rPr>
          <w:lang w:val="ru-RU"/>
        </w:rPr>
        <w:t>ведущих передач</w:t>
      </w:r>
      <w:r w:rsidR="00CB1E30">
        <w:rPr>
          <w:lang w:val="ru-RU"/>
        </w:rPr>
        <w:t>и</w:t>
      </w:r>
      <w:r>
        <w:rPr>
          <w:lang w:val="ru-RU"/>
        </w:rPr>
        <w:t xml:space="preserve"> по</w:t>
      </w:r>
      <w:r w:rsidRPr="00BF174C">
        <w:rPr>
          <w:lang w:val="ru-RU"/>
        </w:rPr>
        <w:t xml:space="preserve"> </w:t>
      </w:r>
      <w:r>
        <w:rPr>
          <w:lang w:val="ru-RU"/>
        </w:rPr>
        <w:t>одному</w:t>
      </w:r>
      <w:r w:rsidRPr="00BF174C">
        <w:rPr>
          <w:lang w:val="ru-RU"/>
        </w:rPr>
        <w:t xml:space="preserve"> или нескольк</w:t>
      </w:r>
      <w:r w:rsidR="00591695">
        <w:rPr>
          <w:lang w:val="ru-RU"/>
        </w:rPr>
        <w:t>им</w:t>
      </w:r>
      <w:r w:rsidRPr="00BF174C">
        <w:rPr>
          <w:lang w:val="ru-RU"/>
        </w:rPr>
        <w:t xml:space="preserve"> канал</w:t>
      </w:r>
      <w:r w:rsidR="00591695">
        <w:rPr>
          <w:lang w:val="ru-RU"/>
        </w:rPr>
        <w:t>ам</w:t>
      </w:r>
    </w:p>
    <w:tbl>
      <w:tblPr>
        <w:tblStyle w:val="TableGrid15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385"/>
        <w:gridCol w:w="1409"/>
        <w:gridCol w:w="1396"/>
        <w:gridCol w:w="1334"/>
        <w:gridCol w:w="1359"/>
        <w:gridCol w:w="1378"/>
        <w:gridCol w:w="1378"/>
      </w:tblGrid>
      <w:tr w:rsidR="005720AD" w:rsidRPr="00053593" w14:paraId="6E3A6440" w14:textId="77777777" w:rsidTr="00BF0A55">
        <w:trPr>
          <w:jc w:val="center"/>
        </w:trPr>
        <w:tc>
          <w:tcPr>
            <w:tcW w:w="718" w:type="pct"/>
            <w:vAlign w:val="center"/>
            <w:hideMark/>
          </w:tcPr>
          <w:p w14:paraId="5575D80B" w14:textId="46DB85A1" w:rsidR="005720AD" w:rsidRPr="00591695" w:rsidRDefault="00591695" w:rsidP="00AE6864">
            <w:pPr>
              <w:pStyle w:val="Tablehead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Этап</w:t>
            </w:r>
          </w:p>
        </w:tc>
        <w:tc>
          <w:tcPr>
            <w:tcW w:w="2147" w:type="pct"/>
            <w:gridSpan w:val="3"/>
            <w:vAlign w:val="center"/>
            <w:hideMark/>
          </w:tcPr>
          <w:p w14:paraId="24EDEF5F" w14:textId="73F3EBFC" w:rsidR="005720AD" w:rsidRPr="00591695" w:rsidRDefault="00591695" w:rsidP="00AE6864">
            <w:pPr>
              <w:pStyle w:val="Tablehea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Этап</w:t>
            </w:r>
            <w:r w:rsidR="005720AD" w:rsidRPr="00591695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2135" w:type="pct"/>
            <w:gridSpan w:val="3"/>
            <w:vAlign w:val="center"/>
            <w:hideMark/>
          </w:tcPr>
          <w:p w14:paraId="5704CD07" w14:textId="4B4E471E" w:rsidR="005720AD" w:rsidRPr="00591695" w:rsidRDefault="00591695" w:rsidP="00AE6864">
            <w:pPr>
              <w:pStyle w:val="Tablehea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Этап</w:t>
            </w:r>
            <w:r w:rsidR="005720AD" w:rsidRPr="00591695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</w:tr>
      <w:tr w:rsidR="00591695" w:rsidRPr="00D6207E" w14:paraId="32F88A12" w14:textId="77777777" w:rsidTr="00BF0A55">
        <w:trPr>
          <w:jc w:val="center"/>
        </w:trPr>
        <w:tc>
          <w:tcPr>
            <w:tcW w:w="718" w:type="pct"/>
            <w:vAlign w:val="center"/>
          </w:tcPr>
          <w:p w14:paraId="5124DBDE" w14:textId="77777777" w:rsidR="00591695" w:rsidRPr="00591695" w:rsidRDefault="00591695" w:rsidP="00591695">
            <w:pPr>
              <w:pStyle w:val="Tablehe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pct"/>
            <w:vAlign w:val="center"/>
            <w:hideMark/>
          </w:tcPr>
          <w:p w14:paraId="0E13ADCA" w14:textId="22937A36" w:rsidR="00591695" w:rsidRPr="00591695" w:rsidRDefault="00591695" w:rsidP="00BF0A55">
            <w:pPr>
              <w:pStyle w:val="Tablehead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 xml:space="preserve">Предел </w:t>
            </w:r>
            <w:proofErr w:type="spellStart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п.п.м</w:t>
            </w:r>
            <w:proofErr w:type="spellEnd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. для излучений БС в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полосе частот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br/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1</w:t>
            </w:r>
            <w:r w:rsidR="00254116">
              <w:rPr>
                <w:rFonts w:ascii="Times New Roman" w:hAnsi="Times New Roman"/>
                <w:sz w:val="18"/>
                <w:szCs w:val="21"/>
                <w:lang w:val="en-US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492–1</w:t>
            </w:r>
            <w:r w:rsidR="00254116">
              <w:rPr>
                <w:rFonts w:ascii="Times New Roman" w:hAnsi="Times New Roman"/>
                <w:sz w:val="18"/>
                <w:szCs w:val="21"/>
                <w:lang w:val="en-US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502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МГц (</w:t>
            </w:r>
            <w:proofErr w:type="spellStart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дБВт</w:t>
            </w:r>
            <w:proofErr w:type="spellEnd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/м</w:t>
            </w:r>
            <w:r w:rsidRPr="00591695">
              <w:rPr>
                <w:rFonts w:ascii="Times New Roman" w:hAnsi="Times New Roman"/>
                <w:sz w:val="18"/>
                <w:szCs w:val="21"/>
                <w:vertAlign w:val="superscript"/>
                <w:lang w:val="ru-RU"/>
              </w:rPr>
              <w:t>2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)</w:t>
            </w:r>
          </w:p>
        </w:tc>
        <w:tc>
          <w:tcPr>
            <w:tcW w:w="724" w:type="pct"/>
            <w:vAlign w:val="center"/>
            <w:hideMark/>
          </w:tcPr>
          <w:p w14:paraId="23FEE591" w14:textId="59AB7B7C" w:rsidR="00591695" w:rsidRPr="00591695" w:rsidRDefault="00591695" w:rsidP="00BF0A55">
            <w:pPr>
              <w:pStyle w:val="Tablehead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 xml:space="preserve">Предел </w:t>
            </w:r>
            <w:proofErr w:type="spellStart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п.п.м</w:t>
            </w:r>
            <w:proofErr w:type="spellEnd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. для излучений БС в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полосе частот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br/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1</w:t>
            </w:r>
            <w:r w:rsidR="00254116">
              <w:rPr>
                <w:rFonts w:ascii="Times New Roman" w:hAnsi="Times New Roman"/>
                <w:sz w:val="18"/>
                <w:szCs w:val="21"/>
                <w:lang w:val="en-US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502–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br/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1</w:t>
            </w:r>
            <w:r w:rsidR="00254116">
              <w:rPr>
                <w:rFonts w:ascii="Times New Roman" w:hAnsi="Times New Roman"/>
                <w:sz w:val="18"/>
                <w:szCs w:val="21"/>
                <w:lang w:val="en-US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512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МГц (</w:t>
            </w:r>
            <w:proofErr w:type="spellStart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дБВт</w:t>
            </w:r>
            <w:proofErr w:type="spellEnd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/м</w:t>
            </w:r>
            <w:r w:rsidRPr="00591695">
              <w:rPr>
                <w:rFonts w:ascii="Times New Roman" w:hAnsi="Times New Roman"/>
                <w:sz w:val="18"/>
                <w:szCs w:val="21"/>
                <w:vertAlign w:val="superscript"/>
                <w:lang w:val="ru-RU"/>
              </w:rPr>
              <w:t>2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)</w:t>
            </w:r>
          </w:p>
        </w:tc>
        <w:tc>
          <w:tcPr>
            <w:tcW w:w="692" w:type="pct"/>
            <w:vAlign w:val="center"/>
            <w:hideMark/>
          </w:tcPr>
          <w:p w14:paraId="04B9B496" w14:textId="09E8A244" w:rsidR="00591695" w:rsidRPr="00591695" w:rsidRDefault="00591695" w:rsidP="00BF0A55">
            <w:pPr>
              <w:pStyle w:val="Tablehead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 xml:space="preserve">Предел </w:t>
            </w:r>
            <w:proofErr w:type="spellStart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п.п.м</w:t>
            </w:r>
            <w:proofErr w:type="spellEnd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. для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излучений БС в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полосе частот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br/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1</w:t>
            </w:r>
            <w:r w:rsidR="00254116">
              <w:rPr>
                <w:rFonts w:ascii="Times New Roman" w:hAnsi="Times New Roman"/>
                <w:sz w:val="18"/>
                <w:szCs w:val="21"/>
                <w:lang w:val="en-US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512–</w:t>
            </w:r>
            <w:r w:rsidR="00254116">
              <w:rPr>
                <w:rFonts w:ascii="Times New Roman" w:hAnsi="Times New Roman"/>
                <w:sz w:val="18"/>
                <w:szCs w:val="21"/>
                <w:lang w:val="en-US"/>
              </w:rPr>
              <w:br/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1</w:t>
            </w:r>
            <w:r w:rsidR="00254116">
              <w:rPr>
                <w:rFonts w:ascii="Times New Roman" w:hAnsi="Times New Roman"/>
                <w:sz w:val="18"/>
                <w:szCs w:val="21"/>
                <w:lang w:val="en-US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517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МГц (</w:t>
            </w:r>
            <w:proofErr w:type="spellStart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дБВт</w:t>
            </w:r>
            <w:proofErr w:type="spellEnd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/м</w:t>
            </w:r>
            <w:r w:rsidRPr="00591695">
              <w:rPr>
                <w:rFonts w:ascii="Times New Roman" w:hAnsi="Times New Roman"/>
                <w:sz w:val="18"/>
                <w:szCs w:val="21"/>
                <w:vertAlign w:val="superscript"/>
                <w:lang w:val="ru-RU"/>
              </w:rPr>
              <w:t>2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)</w:t>
            </w:r>
          </w:p>
        </w:tc>
        <w:tc>
          <w:tcPr>
            <w:tcW w:w="705" w:type="pct"/>
            <w:vAlign w:val="center"/>
            <w:hideMark/>
          </w:tcPr>
          <w:p w14:paraId="635187DA" w14:textId="51922353" w:rsidR="00591695" w:rsidRPr="00591695" w:rsidRDefault="00591695" w:rsidP="00BF0A55">
            <w:pPr>
              <w:pStyle w:val="Tablehead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 xml:space="preserve">Предел </w:t>
            </w:r>
            <w:proofErr w:type="spellStart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п.п.м</w:t>
            </w:r>
            <w:proofErr w:type="spellEnd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. для излучений БС в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полосе частот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br/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1</w:t>
            </w:r>
            <w:r w:rsidR="00254116">
              <w:rPr>
                <w:rFonts w:ascii="Times New Roman" w:hAnsi="Times New Roman"/>
                <w:sz w:val="18"/>
                <w:szCs w:val="21"/>
                <w:lang w:val="en-US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492–1</w:t>
            </w:r>
            <w:r w:rsidR="00254116">
              <w:rPr>
                <w:rFonts w:ascii="Times New Roman" w:hAnsi="Times New Roman"/>
                <w:sz w:val="18"/>
                <w:szCs w:val="21"/>
                <w:lang w:val="en-US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502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МГц (</w:t>
            </w:r>
            <w:proofErr w:type="spellStart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дБВт</w:t>
            </w:r>
            <w:proofErr w:type="spellEnd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/м</w:t>
            </w:r>
            <w:r w:rsidRPr="00591695">
              <w:rPr>
                <w:rFonts w:ascii="Times New Roman" w:hAnsi="Times New Roman"/>
                <w:sz w:val="18"/>
                <w:szCs w:val="21"/>
                <w:vertAlign w:val="superscript"/>
                <w:lang w:val="ru-RU"/>
              </w:rPr>
              <w:t>2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)</w:t>
            </w:r>
          </w:p>
        </w:tc>
        <w:tc>
          <w:tcPr>
            <w:tcW w:w="715" w:type="pct"/>
            <w:vAlign w:val="center"/>
            <w:hideMark/>
          </w:tcPr>
          <w:p w14:paraId="49D59A39" w14:textId="07805BD0" w:rsidR="00591695" w:rsidRPr="00591695" w:rsidRDefault="00591695" w:rsidP="00BF0A55">
            <w:pPr>
              <w:pStyle w:val="Tablehead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 xml:space="preserve">Предел </w:t>
            </w:r>
            <w:proofErr w:type="spellStart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п.п.м</w:t>
            </w:r>
            <w:proofErr w:type="spellEnd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. для излучений БС в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 xml:space="preserve">полосе частот 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br/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1</w:t>
            </w:r>
            <w:r w:rsidR="00254116">
              <w:rPr>
                <w:rFonts w:ascii="Times New Roman" w:hAnsi="Times New Roman"/>
                <w:sz w:val="18"/>
                <w:szCs w:val="21"/>
                <w:lang w:val="en-US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502–1</w:t>
            </w:r>
            <w:r w:rsidR="00254116">
              <w:rPr>
                <w:rFonts w:ascii="Times New Roman" w:hAnsi="Times New Roman"/>
                <w:sz w:val="18"/>
                <w:szCs w:val="21"/>
                <w:lang w:val="en-US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512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МГц (</w:t>
            </w:r>
            <w:proofErr w:type="spellStart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дБВт</w:t>
            </w:r>
            <w:proofErr w:type="spellEnd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/м</w:t>
            </w:r>
            <w:r w:rsidRPr="00591695">
              <w:rPr>
                <w:rFonts w:ascii="Times New Roman" w:hAnsi="Times New Roman"/>
                <w:sz w:val="18"/>
                <w:szCs w:val="21"/>
                <w:vertAlign w:val="superscript"/>
                <w:lang w:val="ru-RU"/>
              </w:rPr>
              <w:t>2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)</w:t>
            </w:r>
          </w:p>
        </w:tc>
        <w:tc>
          <w:tcPr>
            <w:tcW w:w="715" w:type="pct"/>
            <w:vAlign w:val="center"/>
            <w:hideMark/>
          </w:tcPr>
          <w:p w14:paraId="228A695B" w14:textId="72B00C29" w:rsidR="00591695" w:rsidRPr="00591695" w:rsidRDefault="00591695" w:rsidP="00BF0A55">
            <w:pPr>
              <w:pStyle w:val="Tablehead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 xml:space="preserve">Предел </w:t>
            </w:r>
            <w:proofErr w:type="spellStart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п.п.м</w:t>
            </w:r>
            <w:proofErr w:type="spellEnd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. для излучений БС в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полосе частот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br/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1</w:t>
            </w:r>
            <w:r w:rsidR="00254116">
              <w:rPr>
                <w:rFonts w:ascii="Times New Roman" w:hAnsi="Times New Roman"/>
                <w:sz w:val="18"/>
                <w:szCs w:val="21"/>
                <w:lang w:val="en-US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512–1</w:t>
            </w:r>
            <w:r w:rsidR="00254116">
              <w:rPr>
                <w:rFonts w:ascii="Times New Roman" w:hAnsi="Times New Roman"/>
                <w:sz w:val="18"/>
                <w:szCs w:val="21"/>
                <w:lang w:val="en-US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517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МГц (</w:t>
            </w:r>
            <w:proofErr w:type="spellStart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дБВт</w:t>
            </w:r>
            <w:proofErr w:type="spellEnd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/м</w:t>
            </w:r>
            <w:r w:rsidRPr="00591695">
              <w:rPr>
                <w:rFonts w:ascii="Times New Roman" w:hAnsi="Times New Roman"/>
                <w:sz w:val="18"/>
                <w:szCs w:val="21"/>
                <w:vertAlign w:val="superscript"/>
                <w:lang w:val="ru-RU"/>
              </w:rPr>
              <w:t>2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)</w:t>
            </w:r>
          </w:p>
        </w:tc>
      </w:tr>
      <w:tr w:rsidR="005720AD" w:rsidRPr="00053593" w14:paraId="2493325D" w14:textId="77777777" w:rsidTr="00BF0A55">
        <w:trPr>
          <w:jc w:val="center"/>
        </w:trPr>
        <w:tc>
          <w:tcPr>
            <w:tcW w:w="718" w:type="pct"/>
            <w:vAlign w:val="center"/>
            <w:hideMark/>
          </w:tcPr>
          <w:p w14:paraId="03D5AF5B" w14:textId="79701D28" w:rsidR="00591695" w:rsidRPr="00591695" w:rsidRDefault="00591695" w:rsidP="00591695">
            <w:pPr>
              <w:pStyle w:val="Tabletext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Порты и</w:t>
            </w:r>
            <w:r w:rsidR="0059281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морские районы</w:t>
            </w:r>
            <w:r w:rsidR="006F044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определяются</w:t>
            </w:r>
            <w:r w:rsidR="006F044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администра-циями</w:t>
            </w:r>
            <w:proofErr w:type="spellEnd"/>
          </w:p>
        </w:tc>
        <w:tc>
          <w:tcPr>
            <w:tcW w:w="731" w:type="pct"/>
            <w:vAlign w:val="center"/>
            <w:hideMark/>
          </w:tcPr>
          <w:p w14:paraId="37B4EF3B" w14:textId="2233483B" w:rsidR="005720AD" w:rsidRPr="00591695" w:rsidRDefault="005720AD" w:rsidP="00591695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1695">
              <w:rPr>
                <w:rFonts w:ascii="Times New Roman" w:hAnsi="Times New Roman"/>
                <w:sz w:val="18"/>
                <w:szCs w:val="18"/>
              </w:rPr>
              <w:t>−42</w:t>
            </w:r>
            <w:r w:rsidR="00591695" w:rsidRPr="00591695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59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24" w:type="pct"/>
            <w:vAlign w:val="center"/>
            <w:hideMark/>
          </w:tcPr>
          <w:p w14:paraId="334A749D" w14:textId="05F5B262" w:rsidR="005720AD" w:rsidRPr="00591695" w:rsidRDefault="005720AD" w:rsidP="00591695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1695">
              <w:rPr>
                <w:rFonts w:ascii="Times New Roman" w:hAnsi="Times New Roman"/>
                <w:sz w:val="18"/>
                <w:szCs w:val="18"/>
              </w:rPr>
              <w:t>−42</w:t>
            </w:r>
            <w:r w:rsidR="00591695" w:rsidRPr="00591695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59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92" w:type="pct"/>
            <w:vAlign w:val="center"/>
            <w:hideMark/>
          </w:tcPr>
          <w:p w14:paraId="4A687E21" w14:textId="641614CD" w:rsidR="005720AD" w:rsidRPr="00591695" w:rsidRDefault="005720AD" w:rsidP="00591695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1695">
              <w:rPr>
                <w:rFonts w:ascii="Times New Roman" w:hAnsi="Times New Roman"/>
                <w:sz w:val="18"/>
                <w:szCs w:val="18"/>
              </w:rPr>
              <w:t>−57</w:t>
            </w:r>
            <w:r w:rsidR="00591695" w:rsidRPr="00591695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59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5" w:type="pct"/>
            <w:vAlign w:val="center"/>
            <w:hideMark/>
          </w:tcPr>
          <w:p w14:paraId="25BBA2B0" w14:textId="65B6C118" w:rsidR="005720AD" w:rsidRPr="00591695" w:rsidRDefault="00096C91" w:rsidP="00591695">
            <w:pPr>
              <w:pStyle w:val="Tabletext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 xml:space="preserve">Ограничение </w:t>
            </w:r>
            <w:r w:rsidR="00591695" w:rsidRPr="00591695">
              <w:rPr>
                <w:rFonts w:ascii="Times New Roman" w:hAnsi="Times New Roman"/>
                <w:sz w:val="18"/>
                <w:lang w:val="ru-RU"/>
              </w:rPr>
              <w:t>не требуется при условии, что э.и.и.м. БС не превышает 68</w:t>
            </w:r>
            <w:r w:rsidR="00591695">
              <w:rPr>
                <w:rFonts w:ascii="Times New Roman" w:hAnsi="Times New Roman"/>
                <w:sz w:val="18"/>
                <w:lang w:val="ru-RU"/>
              </w:rPr>
              <w:t> </w:t>
            </w:r>
            <w:proofErr w:type="spellStart"/>
            <w:r w:rsidR="00591695" w:rsidRPr="00591695">
              <w:rPr>
                <w:rFonts w:ascii="Times New Roman" w:hAnsi="Times New Roman"/>
                <w:sz w:val="18"/>
                <w:lang w:val="ru-RU"/>
              </w:rPr>
              <w:t>дБм</w:t>
            </w:r>
            <w:proofErr w:type="spellEnd"/>
          </w:p>
        </w:tc>
        <w:tc>
          <w:tcPr>
            <w:tcW w:w="715" w:type="pct"/>
            <w:vAlign w:val="center"/>
            <w:hideMark/>
          </w:tcPr>
          <w:p w14:paraId="2A5D0697" w14:textId="3FC3CBF5" w:rsidR="005720AD" w:rsidRPr="00591695" w:rsidRDefault="005720AD" w:rsidP="00591695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1695">
              <w:rPr>
                <w:rFonts w:ascii="Times New Roman" w:hAnsi="Times New Roman"/>
                <w:sz w:val="18"/>
                <w:szCs w:val="18"/>
              </w:rPr>
              <w:t>−27</w:t>
            </w:r>
            <w:r w:rsidR="00591695" w:rsidRPr="00591695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59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15" w:type="pct"/>
            <w:vAlign w:val="center"/>
            <w:hideMark/>
          </w:tcPr>
          <w:p w14:paraId="4DD2A1BA" w14:textId="3D585D9D" w:rsidR="005720AD" w:rsidRPr="00591695" w:rsidRDefault="005720AD" w:rsidP="001B3CD8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1695">
              <w:rPr>
                <w:rFonts w:ascii="Times New Roman" w:hAnsi="Times New Roman"/>
                <w:sz w:val="18"/>
                <w:szCs w:val="18"/>
              </w:rPr>
              <w:t>−37</w:t>
            </w:r>
            <w:r w:rsidR="00591695" w:rsidRPr="00591695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59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</w:tbl>
    <w:p w14:paraId="57B14827" w14:textId="5701FE15" w:rsidR="00A04A4E" w:rsidRDefault="00A04A4E"/>
    <w:p w14:paraId="027D5A9A" w14:textId="77777777" w:rsidR="00A04A4E" w:rsidRDefault="00A04A4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14:paraId="2274B959" w14:textId="5AA9D281" w:rsidR="00096C91" w:rsidRPr="00BF174C" w:rsidRDefault="00096C91" w:rsidP="00096C91">
      <w:pPr>
        <w:pStyle w:val="TableNo"/>
        <w:rPr>
          <w:lang w:val="ru-RU"/>
        </w:rPr>
      </w:pPr>
      <w:r w:rsidRPr="00BF174C">
        <w:rPr>
          <w:lang w:val="ru-RU"/>
        </w:rPr>
        <w:lastRenderedPageBreak/>
        <w:t>ТАБЛИЦА 6</w:t>
      </w:r>
      <w:r>
        <w:rPr>
          <w:lang w:val="ru-RU"/>
        </w:rPr>
        <w:t xml:space="preserve"> (</w:t>
      </w:r>
      <w:r w:rsidRPr="00096C91">
        <w:rPr>
          <w:i/>
          <w:lang w:val="ru-RU"/>
        </w:rPr>
        <w:t>окончание</w:t>
      </w:r>
      <w:r>
        <w:rPr>
          <w:lang w:val="ru-RU"/>
        </w:rPr>
        <w:t>)</w:t>
      </w:r>
    </w:p>
    <w:tbl>
      <w:tblPr>
        <w:tblStyle w:val="TableGrid15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383"/>
        <w:gridCol w:w="1407"/>
        <w:gridCol w:w="1396"/>
        <w:gridCol w:w="1338"/>
        <w:gridCol w:w="1359"/>
        <w:gridCol w:w="1378"/>
        <w:gridCol w:w="1378"/>
      </w:tblGrid>
      <w:tr w:rsidR="00096C91" w:rsidRPr="00053593" w14:paraId="23BFFC4D" w14:textId="77777777" w:rsidTr="00BF0A55">
        <w:trPr>
          <w:jc w:val="center"/>
        </w:trPr>
        <w:tc>
          <w:tcPr>
            <w:tcW w:w="717" w:type="pct"/>
            <w:vAlign w:val="center"/>
            <w:hideMark/>
          </w:tcPr>
          <w:p w14:paraId="14D4DE7C" w14:textId="77777777" w:rsidR="00096C91" w:rsidRPr="00591695" w:rsidRDefault="00096C91" w:rsidP="003B4615">
            <w:pPr>
              <w:pStyle w:val="Tablehead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Этап</w:t>
            </w:r>
          </w:p>
        </w:tc>
        <w:tc>
          <w:tcPr>
            <w:tcW w:w="2148" w:type="pct"/>
            <w:gridSpan w:val="3"/>
            <w:vAlign w:val="center"/>
            <w:hideMark/>
          </w:tcPr>
          <w:p w14:paraId="4567E4C8" w14:textId="77777777" w:rsidR="00096C91" w:rsidRPr="00591695" w:rsidRDefault="00096C91" w:rsidP="003B4615">
            <w:pPr>
              <w:pStyle w:val="Tablehea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Этап</w:t>
            </w:r>
            <w:r w:rsidRPr="00591695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2135" w:type="pct"/>
            <w:gridSpan w:val="3"/>
            <w:vAlign w:val="center"/>
            <w:hideMark/>
          </w:tcPr>
          <w:p w14:paraId="3DC0AD2A" w14:textId="77777777" w:rsidR="00096C91" w:rsidRPr="00591695" w:rsidRDefault="00096C91" w:rsidP="003B4615">
            <w:pPr>
              <w:pStyle w:val="Tablehea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Этап</w:t>
            </w:r>
            <w:r w:rsidRPr="00591695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</w:tr>
      <w:tr w:rsidR="00096C91" w:rsidRPr="00D6207E" w14:paraId="7D2A1EFF" w14:textId="77777777" w:rsidTr="00BF0A55">
        <w:trPr>
          <w:jc w:val="center"/>
        </w:trPr>
        <w:tc>
          <w:tcPr>
            <w:tcW w:w="717" w:type="pct"/>
            <w:vAlign w:val="center"/>
          </w:tcPr>
          <w:p w14:paraId="173ED9DC" w14:textId="77777777" w:rsidR="00096C91" w:rsidRPr="00591695" w:rsidRDefault="00096C91" w:rsidP="003B4615">
            <w:pPr>
              <w:pStyle w:val="Tablehe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vAlign w:val="center"/>
            <w:hideMark/>
          </w:tcPr>
          <w:p w14:paraId="61389620" w14:textId="3C83F307" w:rsidR="00096C91" w:rsidRPr="00591695" w:rsidRDefault="00096C91" w:rsidP="00BF0A55">
            <w:pPr>
              <w:pStyle w:val="Tablehead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 xml:space="preserve">Предел </w:t>
            </w:r>
            <w:proofErr w:type="spellStart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п.п.м</w:t>
            </w:r>
            <w:proofErr w:type="spellEnd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. для излучений БС в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полосе частот</w:t>
            </w:r>
            <w:r w:rsidR="006F044D">
              <w:rPr>
                <w:rFonts w:ascii="Times New Roman" w:hAnsi="Times New Roman"/>
                <w:sz w:val="18"/>
                <w:szCs w:val="21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br/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1</w:t>
            </w:r>
            <w:r w:rsidR="00512D78"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492–1</w:t>
            </w:r>
            <w:r w:rsidR="00512D78"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502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МГц (</w:t>
            </w:r>
            <w:proofErr w:type="spellStart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дБВт</w:t>
            </w:r>
            <w:proofErr w:type="spellEnd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/м</w:t>
            </w:r>
            <w:r w:rsidRPr="00591695">
              <w:rPr>
                <w:rFonts w:ascii="Times New Roman" w:hAnsi="Times New Roman"/>
                <w:sz w:val="18"/>
                <w:szCs w:val="21"/>
                <w:vertAlign w:val="superscript"/>
                <w:lang w:val="ru-RU"/>
              </w:rPr>
              <w:t>2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)</w:t>
            </w:r>
          </w:p>
        </w:tc>
        <w:tc>
          <w:tcPr>
            <w:tcW w:w="724" w:type="pct"/>
            <w:vAlign w:val="center"/>
            <w:hideMark/>
          </w:tcPr>
          <w:p w14:paraId="52E43539" w14:textId="3EA36B4A" w:rsidR="00096C91" w:rsidRPr="00591695" w:rsidRDefault="00096C91" w:rsidP="00BF0A55">
            <w:pPr>
              <w:pStyle w:val="Tablehead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 xml:space="preserve">Предел </w:t>
            </w:r>
            <w:proofErr w:type="spellStart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п.п.м</w:t>
            </w:r>
            <w:proofErr w:type="spellEnd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. для излучений БС в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полосе частот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br/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1</w:t>
            </w:r>
            <w:r w:rsidR="00824FA6"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502–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br/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1</w:t>
            </w:r>
            <w:r w:rsidR="00824FA6"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512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МГц (</w:t>
            </w:r>
            <w:proofErr w:type="spellStart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дБВт</w:t>
            </w:r>
            <w:proofErr w:type="spellEnd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/м</w:t>
            </w:r>
            <w:r w:rsidRPr="00591695">
              <w:rPr>
                <w:rFonts w:ascii="Times New Roman" w:hAnsi="Times New Roman"/>
                <w:sz w:val="18"/>
                <w:szCs w:val="21"/>
                <w:vertAlign w:val="superscript"/>
                <w:lang w:val="ru-RU"/>
              </w:rPr>
              <w:t>2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)</w:t>
            </w:r>
          </w:p>
        </w:tc>
        <w:tc>
          <w:tcPr>
            <w:tcW w:w="694" w:type="pct"/>
            <w:vAlign w:val="center"/>
            <w:hideMark/>
          </w:tcPr>
          <w:p w14:paraId="17DA9F41" w14:textId="785E099D" w:rsidR="00096C91" w:rsidRPr="00591695" w:rsidRDefault="00096C91" w:rsidP="00BF0A55">
            <w:pPr>
              <w:pStyle w:val="Tablehead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 xml:space="preserve">Предел </w:t>
            </w:r>
            <w:proofErr w:type="spellStart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п.п.м</w:t>
            </w:r>
            <w:proofErr w:type="spellEnd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. для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излучений БС в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полосе частот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br/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1</w:t>
            </w:r>
            <w:r w:rsidR="00824FA6"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512–</w:t>
            </w:r>
            <w:r w:rsidR="00824FA6">
              <w:rPr>
                <w:rFonts w:ascii="Times New Roman" w:hAnsi="Times New Roman"/>
                <w:sz w:val="18"/>
                <w:szCs w:val="21"/>
                <w:lang w:val="ru-RU"/>
              </w:rPr>
              <w:br/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1</w:t>
            </w:r>
            <w:r w:rsidR="00824FA6"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517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МГц (</w:t>
            </w:r>
            <w:proofErr w:type="spellStart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дБВт</w:t>
            </w:r>
            <w:proofErr w:type="spellEnd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/м</w:t>
            </w:r>
            <w:r w:rsidRPr="00591695">
              <w:rPr>
                <w:rFonts w:ascii="Times New Roman" w:hAnsi="Times New Roman"/>
                <w:sz w:val="18"/>
                <w:szCs w:val="21"/>
                <w:vertAlign w:val="superscript"/>
                <w:lang w:val="ru-RU"/>
              </w:rPr>
              <w:t>2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)</w:t>
            </w:r>
          </w:p>
        </w:tc>
        <w:tc>
          <w:tcPr>
            <w:tcW w:w="705" w:type="pct"/>
            <w:vAlign w:val="center"/>
            <w:hideMark/>
          </w:tcPr>
          <w:p w14:paraId="391C4865" w14:textId="769334E8" w:rsidR="00096C91" w:rsidRPr="00591695" w:rsidRDefault="00096C91" w:rsidP="00BF0A55">
            <w:pPr>
              <w:pStyle w:val="Tablehead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 xml:space="preserve">Предел </w:t>
            </w:r>
            <w:proofErr w:type="spellStart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п.п.м</w:t>
            </w:r>
            <w:proofErr w:type="spellEnd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. для излучений БС в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полосе частот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br/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1</w:t>
            </w:r>
            <w:r w:rsidR="00824FA6"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492–1</w:t>
            </w:r>
            <w:r w:rsidR="00824FA6"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502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МГц (</w:t>
            </w:r>
            <w:proofErr w:type="spellStart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дБВт</w:t>
            </w:r>
            <w:proofErr w:type="spellEnd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/м</w:t>
            </w:r>
            <w:r w:rsidRPr="00591695">
              <w:rPr>
                <w:rFonts w:ascii="Times New Roman" w:hAnsi="Times New Roman"/>
                <w:sz w:val="18"/>
                <w:szCs w:val="21"/>
                <w:vertAlign w:val="superscript"/>
                <w:lang w:val="ru-RU"/>
              </w:rPr>
              <w:t>2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)</w:t>
            </w:r>
          </w:p>
        </w:tc>
        <w:tc>
          <w:tcPr>
            <w:tcW w:w="715" w:type="pct"/>
            <w:vAlign w:val="center"/>
            <w:hideMark/>
          </w:tcPr>
          <w:p w14:paraId="0D1224FC" w14:textId="105E93C0" w:rsidR="00096C91" w:rsidRPr="00591695" w:rsidRDefault="00096C91" w:rsidP="00BF0A55">
            <w:pPr>
              <w:pStyle w:val="Tablehead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 xml:space="preserve">Предел </w:t>
            </w:r>
            <w:proofErr w:type="spellStart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п.п.м</w:t>
            </w:r>
            <w:proofErr w:type="spellEnd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. для излучений БС в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 xml:space="preserve">полосе частот 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br/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1</w:t>
            </w:r>
            <w:r w:rsidR="00824FA6"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502–1</w:t>
            </w:r>
            <w:r w:rsidR="00824FA6"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512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МГц (</w:t>
            </w:r>
            <w:proofErr w:type="spellStart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дБВт</w:t>
            </w:r>
            <w:proofErr w:type="spellEnd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/м</w:t>
            </w:r>
            <w:r w:rsidRPr="00591695">
              <w:rPr>
                <w:rFonts w:ascii="Times New Roman" w:hAnsi="Times New Roman"/>
                <w:sz w:val="18"/>
                <w:szCs w:val="21"/>
                <w:vertAlign w:val="superscript"/>
                <w:lang w:val="ru-RU"/>
              </w:rPr>
              <w:t>2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)</w:t>
            </w:r>
          </w:p>
        </w:tc>
        <w:tc>
          <w:tcPr>
            <w:tcW w:w="715" w:type="pct"/>
            <w:vAlign w:val="center"/>
            <w:hideMark/>
          </w:tcPr>
          <w:p w14:paraId="0C21864E" w14:textId="3B743841" w:rsidR="00096C91" w:rsidRPr="00591695" w:rsidRDefault="00096C91" w:rsidP="00BF0A55">
            <w:pPr>
              <w:pStyle w:val="Tablehead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 xml:space="preserve">Предел </w:t>
            </w:r>
            <w:proofErr w:type="spellStart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п.п.м</w:t>
            </w:r>
            <w:proofErr w:type="spellEnd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. для излучений БС в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полосе частот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br/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1</w:t>
            </w:r>
            <w:r w:rsidR="00824FA6"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512–1</w:t>
            </w:r>
            <w:r w:rsidR="00824FA6"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517</w:t>
            </w:r>
            <w:r>
              <w:rPr>
                <w:rFonts w:ascii="Times New Roman" w:hAnsi="Times New Roman"/>
                <w:sz w:val="18"/>
                <w:szCs w:val="21"/>
                <w:lang w:val="ru-RU"/>
              </w:rPr>
              <w:t> 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МГц (</w:t>
            </w:r>
            <w:proofErr w:type="spellStart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дБВт</w:t>
            </w:r>
            <w:proofErr w:type="spellEnd"/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/м</w:t>
            </w:r>
            <w:r w:rsidRPr="00591695">
              <w:rPr>
                <w:rFonts w:ascii="Times New Roman" w:hAnsi="Times New Roman"/>
                <w:sz w:val="18"/>
                <w:szCs w:val="21"/>
                <w:vertAlign w:val="superscript"/>
                <w:lang w:val="ru-RU"/>
              </w:rPr>
              <w:t>2</w:t>
            </w:r>
            <w:r w:rsidRPr="00591695">
              <w:rPr>
                <w:rFonts w:ascii="Times New Roman" w:hAnsi="Times New Roman"/>
                <w:sz w:val="18"/>
                <w:szCs w:val="21"/>
                <w:lang w:val="ru-RU"/>
              </w:rPr>
              <w:t>)</w:t>
            </w:r>
          </w:p>
        </w:tc>
      </w:tr>
      <w:tr w:rsidR="005720AD" w:rsidRPr="00591695" w14:paraId="22711B61" w14:textId="77777777" w:rsidTr="00BF0A55">
        <w:trPr>
          <w:jc w:val="center"/>
        </w:trPr>
        <w:tc>
          <w:tcPr>
            <w:tcW w:w="717" w:type="pct"/>
            <w:tcBorders>
              <w:bottom w:val="single" w:sz="4" w:space="0" w:color="auto"/>
            </w:tcBorders>
            <w:vAlign w:val="center"/>
            <w:hideMark/>
          </w:tcPr>
          <w:p w14:paraId="3DFFF2CD" w14:textId="3BDEF4F7" w:rsidR="005720AD" w:rsidRPr="00096C91" w:rsidRDefault="00096C91" w:rsidP="00053593">
            <w:pPr>
              <w:pStyle w:val="Tabletext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Аэропорты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  <w:hideMark/>
          </w:tcPr>
          <w:p w14:paraId="1F127439" w14:textId="3D31C137" w:rsidR="005720AD" w:rsidRPr="00591695" w:rsidRDefault="005720AD" w:rsidP="00591695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1695">
              <w:rPr>
                <w:rFonts w:ascii="Times New Roman" w:hAnsi="Times New Roman"/>
                <w:sz w:val="18"/>
                <w:szCs w:val="18"/>
              </w:rPr>
              <w:t>−42</w:t>
            </w:r>
            <w:r w:rsidR="00591695" w:rsidRPr="00591695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59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  <w:hideMark/>
          </w:tcPr>
          <w:p w14:paraId="220168B4" w14:textId="2C225E63" w:rsidR="005720AD" w:rsidRPr="00591695" w:rsidRDefault="005720AD" w:rsidP="00AE6864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1695">
              <w:rPr>
                <w:rFonts w:ascii="Times New Roman" w:hAnsi="Times New Roman"/>
                <w:sz w:val="18"/>
                <w:szCs w:val="18"/>
              </w:rPr>
              <w:t>−42</w:t>
            </w:r>
            <w:r w:rsidR="00591695" w:rsidRPr="00591695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59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vAlign w:val="center"/>
            <w:hideMark/>
          </w:tcPr>
          <w:p w14:paraId="2B1A8B7F" w14:textId="4C029F0B" w:rsidR="005720AD" w:rsidRPr="00591695" w:rsidRDefault="005720AD" w:rsidP="00AE6864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1695">
              <w:rPr>
                <w:rFonts w:ascii="Times New Roman" w:hAnsi="Times New Roman"/>
                <w:sz w:val="18"/>
                <w:szCs w:val="18"/>
              </w:rPr>
              <w:t>−57</w:t>
            </w:r>
            <w:r w:rsidR="00591695" w:rsidRPr="00591695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59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vAlign w:val="center"/>
            <w:hideMark/>
          </w:tcPr>
          <w:p w14:paraId="34665344" w14:textId="0396B314" w:rsidR="005720AD" w:rsidRPr="00096C91" w:rsidRDefault="00096C91" w:rsidP="00053593">
            <w:pPr>
              <w:pStyle w:val="Tabletext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 xml:space="preserve">Ограничение </w:t>
            </w:r>
            <w:r w:rsidRPr="00591695">
              <w:rPr>
                <w:rFonts w:ascii="Times New Roman" w:hAnsi="Times New Roman"/>
                <w:sz w:val="18"/>
                <w:lang w:val="ru-RU"/>
              </w:rPr>
              <w:t>не требуется при условии, что э.и.и.м. БС не превышает 68</w:t>
            </w:r>
            <w:r>
              <w:rPr>
                <w:rFonts w:ascii="Times New Roman" w:hAnsi="Times New Roman"/>
                <w:sz w:val="18"/>
                <w:lang w:val="ru-RU"/>
              </w:rPr>
              <w:t> </w:t>
            </w:r>
            <w:proofErr w:type="spellStart"/>
            <w:r w:rsidRPr="00591695">
              <w:rPr>
                <w:rFonts w:ascii="Times New Roman" w:hAnsi="Times New Roman"/>
                <w:sz w:val="18"/>
                <w:lang w:val="ru-RU"/>
              </w:rPr>
              <w:t>дБм</w:t>
            </w:r>
            <w:proofErr w:type="spellEnd"/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  <w:hideMark/>
          </w:tcPr>
          <w:p w14:paraId="54952028" w14:textId="4AEC9155" w:rsidR="005720AD" w:rsidRPr="00591695" w:rsidRDefault="005720AD" w:rsidP="00AE6864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1695">
              <w:rPr>
                <w:rFonts w:ascii="Times New Roman" w:hAnsi="Times New Roman"/>
                <w:sz w:val="18"/>
                <w:szCs w:val="18"/>
              </w:rPr>
              <w:t>−27</w:t>
            </w:r>
            <w:r w:rsidR="00591695" w:rsidRPr="00591695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59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  <w:hideMark/>
          </w:tcPr>
          <w:p w14:paraId="77FF912B" w14:textId="5E90475F" w:rsidR="005720AD" w:rsidRPr="00591695" w:rsidRDefault="005720AD" w:rsidP="00AE6864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1695">
              <w:rPr>
                <w:rFonts w:ascii="Times New Roman" w:hAnsi="Times New Roman"/>
                <w:sz w:val="18"/>
                <w:szCs w:val="18"/>
              </w:rPr>
              <w:t>−37</w:t>
            </w:r>
            <w:r w:rsidR="00591695" w:rsidRPr="00591695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59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5720AD" w:rsidRPr="00D6207E" w14:paraId="32306071" w14:textId="77777777" w:rsidTr="00BF0A55">
        <w:trPr>
          <w:trHeight w:val="904"/>
          <w:jc w:val="center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68341C59" w14:textId="23444081" w:rsidR="005720AD" w:rsidRPr="00096C91" w:rsidRDefault="00096C91" w:rsidP="00096C91">
            <w:pPr>
              <w:pStyle w:val="Tabletext"/>
              <w:rPr>
                <w:sz w:val="18"/>
                <w:szCs w:val="18"/>
                <w:lang w:val="ru-RU"/>
              </w:rPr>
            </w:pPr>
            <w:r w:rsidRPr="00096C91">
              <w:rPr>
                <w:rFonts w:ascii="Times New Roman" w:hAnsi="Times New Roman"/>
                <w:i/>
                <w:iCs/>
                <w:sz w:val="18"/>
                <w:szCs w:val="18"/>
                <w:lang w:val="ru-RU" w:eastAsia="zh-CN"/>
              </w:rPr>
              <w:t>Примечание.</w:t>
            </w:r>
            <w:r w:rsidRPr="00096C91">
              <w:rPr>
                <w:rFonts w:ascii="Times New Roman" w:hAnsi="Times New Roman"/>
                <w:sz w:val="18"/>
                <w:szCs w:val="18"/>
                <w:lang w:val="en-US" w:eastAsia="zh-CN"/>
              </w:rPr>
              <w:t> </w:t>
            </w:r>
            <w:r w:rsidRPr="00096C91">
              <w:rPr>
                <w:rFonts w:ascii="Times New Roman" w:hAnsi="Times New Roman"/>
                <w:sz w:val="18"/>
                <w:szCs w:val="18"/>
                <w:lang w:val="ru-RU" w:eastAsia="zh-CN"/>
              </w:rPr>
              <w:t xml:space="preserve">– </w:t>
            </w:r>
            <w:r w:rsidRPr="00352071">
              <w:rPr>
                <w:rFonts w:ascii="Times New Roman" w:eastAsia="SimSun" w:hAnsi="Times New Roman"/>
                <w:sz w:val="18"/>
                <w:szCs w:val="22"/>
                <w:lang w:val="ru-RU"/>
              </w:rPr>
              <w:t xml:space="preserve">В большинстве ситуаций применимы значения </w:t>
            </w:r>
            <w:proofErr w:type="spellStart"/>
            <w:r w:rsidRPr="00352071">
              <w:rPr>
                <w:rFonts w:ascii="Times New Roman" w:eastAsia="SimSun" w:hAnsi="Times New Roman"/>
                <w:sz w:val="18"/>
                <w:szCs w:val="22"/>
                <w:lang w:val="ru-RU"/>
              </w:rPr>
              <w:t>п.п.м</w:t>
            </w:r>
            <w:proofErr w:type="spellEnd"/>
            <w:r w:rsidRPr="00352071">
              <w:rPr>
                <w:rFonts w:ascii="Times New Roman" w:eastAsia="SimSun" w:hAnsi="Times New Roman"/>
                <w:sz w:val="18"/>
                <w:szCs w:val="22"/>
                <w:lang w:val="ru-RU"/>
              </w:rPr>
              <w:t>., основанные на усилении антенны ПЗС, равном 3 </w:t>
            </w:r>
            <w:proofErr w:type="spellStart"/>
            <w:r w:rsidRPr="00352071">
              <w:rPr>
                <w:rFonts w:ascii="Times New Roman" w:eastAsia="SimSun" w:hAnsi="Times New Roman"/>
                <w:sz w:val="18"/>
                <w:szCs w:val="22"/>
                <w:lang w:val="ru-RU"/>
              </w:rPr>
              <w:t>дБи</w:t>
            </w:r>
            <w:proofErr w:type="spellEnd"/>
            <w:r w:rsidRPr="00352071">
              <w:rPr>
                <w:rFonts w:ascii="Times New Roman" w:eastAsia="SimSun" w:hAnsi="Times New Roman"/>
                <w:sz w:val="18"/>
                <w:szCs w:val="22"/>
                <w:lang w:val="ru-RU"/>
              </w:rPr>
              <w:t>, но в мире существуют места, где усиление антенны в направлении горизонта может превышать 3 </w:t>
            </w:r>
            <w:proofErr w:type="spellStart"/>
            <w:r w:rsidRPr="00352071">
              <w:rPr>
                <w:rFonts w:ascii="Times New Roman" w:eastAsia="SimSun" w:hAnsi="Times New Roman"/>
                <w:sz w:val="18"/>
                <w:szCs w:val="22"/>
                <w:lang w:val="ru-RU"/>
              </w:rPr>
              <w:t>дБи</w:t>
            </w:r>
            <w:proofErr w:type="spellEnd"/>
            <w:r w:rsidRPr="00352071">
              <w:rPr>
                <w:rFonts w:ascii="Times New Roman" w:eastAsia="SimSun" w:hAnsi="Times New Roman"/>
                <w:sz w:val="18"/>
                <w:szCs w:val="22"/>
                <w:lang w:val="ru-RU"/>
              </w:rPr>
              <w:t xml:space="preserve"> (до 19 </w:t>
            </w:r>
            <w:proofErr w:type="spellStart"/>
            <w:r w:rsidRPr="00352071">
              <w:rPr>
                <w:rFonts w:ascii="Times New Roman" w:eastAsia="SimSun" w:hAnsi="Times New Roman"/>
                <w:sz w:val="18"/>
                <w:szCs w:val="22"/>
                <w:lang w:val="ru-RU"/>
              </w:rPr>
              <w:t>дБи</w:t>
            </w:r>
            <w:proofErr w:type="spellEnd"/>
            <w:r w:rsidRPr="00352071">
              <w:rPr>
                <w:rFonts w:ascii="Times New Roman" w:eastAsia="SimSun" w:hAnsi="Times New Roman"/>
                <w:sz w:val="18"/>
                <w:szCs w:val="22"/>
                <w:lang w:val="ru-RU"/>
              </w:rPr>
              <w:t xml:space="preserve"> для морских или 17 </w:t>
            </w:r>
            <w:proofErr w:type="spellStart"/>
            <w:r w:rsidRPr="00352071">
              <w:rPr>
                <w:rFonts w:ascii="Times New Roman" w:eastAsia="SimSun" w:hAnsi="Times New Roman"/>
                <w:sz w:val="18"/>
                <w:szCs w:val="22"/>
                <w:lang w:val="ru-RU"/>
              </w:rPr>
              <w:t>дБи</w:t>
            </w:r>
            <w:proofErr w:type="spellEnd"/>
            <w:r w:rsidRPr="00352071">
              <w:rPr>
                <w:rFonts w:ascii="Times New Roman" w:eastAsia="SimSun" w:hAnsi="Times New Roman"/>
                <w:sz w:val="18"/>
                <w:szCs w:val="22"/>
                <w:lang w:val="ru-RU"/>
              </w:rPr>
              <w:t xml:space="preserve"> для воздушных ПЗС). Это </w:t>
            </w:r>
            <w:r w:rsidR="00CB1E30">
              <w:rPr>
                <w:rFonts w:ascii="Times New Roman" w:eastAsia="SimSun" w:hAnsi="Times New Roman"/>
                <w:sz w:val="18"/>
                <w:szCs w:val="22"/>
                <w:lang w:val="ru-RU"/>
              </w:rPr>
              <w:t xml:space="preserve">те </w:t>
            </w:r>
            <w:r w:rsidRPr="00352071">
              <w:rPr>
                <w:rFonts w:ascii="Times New Roman" w:eastAsia="SimSun" w:hAnsi="Times New Roman"/>
                <w:sz w:val="18"/>
                <w:szCs w:val="22"/>
                <w:lang w:val="ru-RU"/>
              </w:rPr>
              <w:t xml:space="preserve">места, где угол места ПЗС мал и где БС IMT может быть направлена на спутник ПСС, если смотреть со стороны ПЗС. В этих случаях следует учитывать фактические углы направления к спутнику и установки IMT и скорректировать </w:t>
            </w:r>
            <w:proofErr w:type="spellStart"/>
            <w:r w:rsidRPr="00352071">
              <w:rPr>
                <w:rFonts w:ascii="Times New Roman" w:eastAsia="SimSun" w:hAnsi="Times New Roman"/>
                <w:sz w:val="18"/>
                <w:szCs w:val="22"/>
                <w:lang w:val="ru-RU"/>
              </w:rPr>
              <w:t>п.п.м</w:t>
            </w:r>
            <w:proofErr w:type="spellEnd"/>
            <w:r w:rsidRPr="00352071">
              <w:rPr>
                <w:rFonts w:ascii="Times New Roman" w:eastAsia="SimSun" w:hAnsi="Times New Roman"/>
                <w:sz w:val="18"/>
                <w:szCs w:val="22"/>
                <w:lang w:val="ru-RU"/>
              </w:rPr>
              <w:t>. до соответствующего значения.</w:t>
            </w:r>
          </w:p>
        </w:tc>
      </w:tr>
    </w:tbl>
    <w:p w14:paraId="205AFB31" w14:textId="77777777" w:rsidR="005720AD" w:rsidRPr="00096C91" w:rsidRDefault="005720AD" w:rsidP="00BF0A55">
      <w:pPr>
        <w:pStyle w:val="Tablefin"/>
        <w:rPr>
          <w:lang w:eastAsia="ja-JP"/>
        </w:rPr>
      </w:pPr>
    </w:p>
    <w:p w14:paraId="5D634404" w14:textId="77777777" w:rsidR="005720AD" w:rsidRPr="00096C91" w:rsidRDefault="005720AD" w:rsidP="005720AD">
      <w:pPr>
        <w:rPr>
          <w:lang w:val="ru-RU" w:eastAsia="ja-JP"/>
        </w:rPr>
      </w:pPr>
    </w:p>
    <w:p w14:paraId="443536A7" w14:textId="3745E7EE" w:rsidR="005720AD" w:rsidRPr="00FE0138" w:rsidRDefault="00352071" w:rsidP="005720AD">
      <w:pPr>
        <w:pStyle w:val="AnnexNoTitle"/>
        <w:rPr>
          <w:szCs w:val="26"/>
          <w:lang w:val="ru-RU" w:eastAsia="ja-JP"/>
        </w:rPr>
      </w:pPr>
      <w:r w:rsidRPr="00FE0138">
        <w:rPr>
          <w:szCs w:val="26"/>
          <w:lang w:val="ru-RU" w:eastAsia="ja-JP"/>
        </w:rPr>
        <w:t>Прилагаемый</w:t>
      </w:r>
      <w:r w:rsidRPr="00CB1E30">
        <w:rPr>
          <w:szCs w:val="26"/>
          <w:lang w:val="ru-RU" w:eastAsia="ja-JP"/>
        </w:rPr>
        <w:t xml:space="preserve"> </w:t>
      </w:r>
      <w:r w:rsidRPr="00FE0138">
        <w:rPr>
          <w:szCs w:val="26"/>
          <w:lang w:val="ru-RU" w:eastAsia="ja-JP"/>
        </w:rPr>
        <w:t>документ</w:t>
      </w:r>
      <w:r w:rsidR="005720AD" w:rsidRPr="00CB1E30">
        <w:rPr>
          <w:szCs w:val="26"/>
          <w:lang w:val="ru-RU" w:eastAsia="ja-JP"/>
        </w:rPr>
        <w:t xml:space="preserve"> </w:t>
      </w:r>
      <w:r w:rsidR="005720AD" w:rsidRPr="00CB1E30">
        <w:rPr>
          <w:szCs w:val="26"/>
          <w:lang w:val="ru-RU" w:eastAsia="ja-JP"/>
        </w:rPr>
        <w:br/>
      </w:r>
      <w:r w:rsidRPr="00FE0138">
        <w:rPr>
          <w:szCs w:val="26"/>
          <w:lang w:val="ru-RU" w:eastAsia="ja-JP"/>
        </w:rPr>
        <w:t>к</w:t>
      </w:r>
      <w:r w:rsidRPr="00CB1E30">
        <w:rPr>
          <w:szCs w:val="26"/>
          <w:lang w:val="ru-RU" w:eastAsia="ja-JP"/>
        </w:rPr>
        <w:t xml:space="preserve"> </w:t>
      </w:r>
      <w:r w:rsidRPr="00FE0138">
        <w:rPr>
          <w:szCs w:val="26"/>
          <w:lang w:val="ru-RU" w:eastAsia="ja-JP"/>
        </w:rPr>
        <w:t>Приложению</w:t>
      </w:r>
      <w:r w:rsidR="005720AD" w:rsidRPr="00CB1E30">
        <w:rPr>
          <w:szCs w:val="26"/>
          <w:lang w:val="ru-RU" w:eastAsia="ja-JP"/>
        </w:rPr>
        <w:t xml:space="preserve"> </w:t>
      </w:r>
      <w:r w:rsidR="005720AD" w:rsidRPr="00FE0138">
        <w:rPr>
          <w:szCs w:val="26"/>
          <w:lang w:val="ru-RU" w:eastAsia="ja-JP"/>
        </w:rPr>
        <w:t>3</w:t>
      </w:r>
      <w:r w:rsidR="005720AD" w:rsidRPr="00FE0138">
        <w:rPr>
          <w:szCs w:val="26"/>
          <w:lang w:val="ru-RU" w:eastAsia="ja-JP"/>
        </w:rPr>
        <w:br/>
      </w:r>
      <w:r w:rsidR="005720AD" w:rsidRPr="00FE0138">
        <w:rPr>
          <w:szCs w:val="26"/>
          <w:lang w:val="ru-RU" w:eastAsia="ja-JP"/>
        </w:rPr>
        <w:br/>
      </w:r>
      <w:r w:rsidR="00FE0138">
        <w:rPr>
          <w:szCs w:val="26"/>
          <w:lang w:val="ru-RU" w:eastAsia="ja-JP"/>
        </w:rPr>
        <w:t>Предположения относительно устойчивости к блокированию</w:t>
      </w:r>
      <w:r w:rsidR="00FE0138">
        <w:rPr>
          <w:szCs w:val="26"/>
          <w:lang w:val="ru-RU" w:eastAsia="ja-JP"/>
        </w:rPr>
        <w:br/>
        <w:t>терминалов ПЗС, рассмотренных в таблицах 4–6</w:t>
      </w:r>
    </w:p>
    <w:p w14:paraId="487E7F68" w14:textId="247094E4" w:rsidR="005720AD" w:rsidRPr="00FE0138" w:rsidRDefault="00FE0138" w:rsidP="005720AD">
      <w:pPr>
        <w:pStyle w:val="Normalaftertitle"/>
        <w:rPr>
          <w:lang w:val="ru-RU" w:eastAsia="ja-JP"/>
        </w:rPr>
      </w:pPr>
      <w:r>
        <w:rPr>
          <w:lang w:val="ru-RU"/>
        </w:rPr>
        <w:t>В приведенных ниже</w:t>
      </w:r>
      <w:r w:rsidRPr="00FE0138">
        <w:rPr>
          <w:lang w:val="ru-RU"/>
        </w:rPr>
        <w:t xml:space="preserve"> таблицах</w:t>
      </w:r>
      <w:r>
        <w:rPr>
          <w:lang w:val="ru-RU"/>
        </w:rPr>
        <w:t> </w:t>
      </w:r>
      <w:r w:rsidRPr="00FE0138">
        <w:rPr>
          <w:lang w:val="ru-RU"/>
        </w:rPr>
        <w:t xml:space="preserve">7 и 8 представлены </w:t>
      </w:r>
      <w:r w:rsidR="001E7AF5">
        <w:rPr>
          <w:lang w:val="ru-RU"/>
        </w:rPr>
        <w:t>предполагаемые</w:t>
      </w:r>
      <w:r>
        <w:rPr>
          <w:lang w:val="ru-RU"/>
        </w:rPr>
        <w:t xml:space="preserve"> уровни </w:t>
      </w:r>
      <w:r w:rsidRPr="00FE0138">
        <w:rPr>
          <w:lang w:val="ru-RU"/>
        </w:rPr>
        <w:t>устойчивости к блокированию воздушных и морских терминалов ПЗС для соответствующего диапазона частот сигнала IMT. Источники значений для этапа</w:t>
      </w:r>
      <w:r>
        <w:rPr>
          <w:lang w:val="ru-RU"/>
        </w:rPr>
        <w:t> </w:t>
      </w:r>
      <w:r w:rsidRPr="00FE0138">
        <w:rPr>
          <w:lang w:val="ru-RU"/>
        </w:rPr>
        <w:t>1 указаны в Приложении</w:t>
      </w:r>
      <w:r>
        <w:rPr>
          <w:lang w:val="ru-RU"/>
        </w:rPr>
        <w:t> </w:t>
      </w:r>
      <w:r w:rsidRPr="00FE0138">
        <w:rPr>
          <w:lang w:val="ru-RU"/>
        </w:rPr>
        <w:t xml:space="preserve">3. </w:t>
      </w:r>
      <w:r>
        <w:rPr>
          <w:lang w:val="ru-RU"/>
        </w:rPr>
        <w:t>В то время как</w:t>
      </w:r>
      <w:r w:rsidRPr="00FE0138">
        <w:rPr>
          <w:lang w:val="ru-RU"/>
        </w:rPr>
        <w:t xml:space="preserve"> значения этапа</w:t>
      </w:r>
      <w:r>
        <w:rPr>
          <w:lang w:val="ru-RU"/>
        </w:rPr>
        <w:t> </w:t>
      </w:r>
      <w:r w:rsidRPr="00FE0138">
        <w:rPr>
          <w:lang w:val="ru-RU"/>
        </w:rPr>
        <w:t>2 для IMT в полосе частот 1512–1517</w:t>
      </w:r>
      <w:r>
        <w:rPr>
          <w:lang w:val="ru-RU"/>
        </w:rPr>
        <w:t> </w:t>
      </w:r>
      <w:r w:rsidRPr="00FE0138">
        <w:rPr>
          <w:lang w:val="ru-RU"/>
        </w:rPr>
        <w:t>МГц основаны на ПЗС, соответствующих уровням технического блокирования, указанным в Приложении</w:t>
      </w:r>
      <w:r>
        <w:rPr>
          <w:lang w:val="ru-RU"/>
        </w:rPr>
        <w:t> </w:t>
      </w:r>
      <w:r w:rsidRPr="00FE0138">
        <w:rPr>
          <w:lang w:val="ru-RU"/>
        </w:rPr>
        <w:t>2 к настоящей Рекомендации, значения для полосы частот 1492–1512</w:t>
      </w:r>
      <w:r w:rsidR="00D71733">
        <w:rPr>
          <w:lang w:val="ru-RU"/>
        </w:rPr>
        <w:t> </w:t>
      </w:r>
      <w:r w:rsidRPr="00FE0138">
        <w:rPr>
          <w:lang w:val="ru-RU"/>
        </w:rPr>
        <w:t>МГц основываются на предположениях. Поэтому</w:t>
      </w:r>
      <w:r w:rsidR="00D71733">
        <w:rPr>
          <w:lang w:val="ru-RU"/>
        </w:rPr>
        <w:t xml:space="preserve"> при наличии терминалов</w:t>
      </w:r>
      <w:r w:rsidRPr="00FE0138">
        <w:rPr>
          <w:lang w:val="ru-RU"/>
        </w:rPr>
        <w:t xml:space="preserve"> ПЗС, соответствующи</w:t>
      </w:r>
      <w:r w:rsidR="00D71733">
        <w:rPr>
          <w:lang w:val="ru-RU"/>
        </w:rPr>
        <w:t>х</w:t>
      </w:r>
      <w:r w:rsidRPr="00FE0138">
        <w:rPr>
          <w:lang w:val="ru-RU"/>
        </w:rPr>
        <w:t xml:space="preserve"> уровням технического блокирования, указанным в Приложении</w:t>
      </w:r>
      <w:r w:rsidR="00D71733">
        <w:rPr>
          <w:lang w:val="ru-RU"/>
        </w:rPr>
        <w:t> </w:t>
      </w:r>
      <w:r w:rsidRPr="00FE0138">
        <w:rPr>
          <w:lang w:val="ru-RU"/>
        </w:rPr>
        <w:t>2, администрациям, возможно, потребуется пересмотреть их устойчивость к блокированию для полосы частот 1492–1512</w:t>
      </w:r>
      <w:r w:rsidR="00D71733">
        <w:rPr>
          <w:lang w:val="ru-RU"/>
        </w:rPr>
        <w:t> </w:t>
      </w:r>
      <w:r w:rsidRPr="00FE0138">
        <w:rPr>
          <w:lang w:val="ru-RU"/>
        </w:rPr>
        <w:t xml:space="preserve">МГц и соответствующие значения </w:t>
      </w:r>
      <w:proofErr w:type="spellStart"/>
      <w:r w:rsidRPr="00FE0138">
        <w:rPr>
          <w:lang w:val="ru-RU"/>
        </w:rPr>
        <w:t>п.п.м</w:t>
      </w:r>
      <w:proofErr w:type="spellEnd"/>
      <w:r w:rsidRPr="00FE0138">
        <w:rPr>
          <w:lang w:val="ru-RU"/>
        </w:rPr>
        <w:t>., указанные в Приложении</w:t>
      </w:r>
      <w:r w:rsidR="00D71733">
        <w:rPr>
          <w:lang w:val="ru-RU"/>
        </w:rPr>
        <w:t> </w:t>
      </w:r>
      <w:r w:rsidRPr="00FE0138">
        <w:rPr>
          <w:lang w:val="ru-RU"/>
        </w:rPr>
        <w:t>3.</w:t>
      </w:r>
    </w:p>
    <w:p w14:paraId="6941C36A" w14:textId="77777777" w:rsidR="00D71733" w:rsidRPr="00D71733" w:rsidRDefault="00D71733" w:rsidP="00D71733">
      <w:pPr>
        <w:pStyle w:val="TableNo"/>
        <w:rPr>
          <w:lang w:val="ru-RU"/>
        </w:rPr>
      </w:pPr>
      <w:r w:rsidRPr="00D71733">
        <w:rPr>
          <w:lang w:val="ru-RU"/>
        </w:rPr>
        <w:t>ТАБЛИЦА 7</w:t>
      </w:r>
    </w:p>
    <w:p w14:paraId="3CD6D1A2" w14:textId="24A5BE04" w:rsidR="005720AD" w:rsidRPr="00D71733" w:rsidRDefault="00D71733" w:rsidP="00D71733">
      <w:pPr>
        <w:pStyle w:val="Tabletitle"/>
        <w:rPr>
          <w:lang w:val="ru-RU"/>
        </w:rPr>
      </w:pPr>
      <w:r>
        <w:rPr>
          <w:lang w:val="ru-RU"/>
        </w:rPr>
        <w:t xml:space="preserve">Предполагаемые уровни </w:t>
      </w:r>
      <w:r w:rsidRPr="00D71733">
        <w:rPr>
          <w:lang w:val="ru-RU"/>
        </w:rPr>
        <w:t>устойчивости к блокированию (</w:t>
      </w:r>
      <w:proofErr w:type="spellStart"/>
      <w:r w:rsidRPr="00D71733">
        <w:rPr>
          <w:lang w:val="ru-RU"/>
        </w:rPr>
        <w:t>дБм</w:t>
      </w:r>
      <w:proofErr w:type="spellEnd"/>
      <w:r w:rsidRPr="00D71733">
        <w:rPr>
          <w:lang w:val="ru-RU"/>
        </w:rPr>
        <w:t>) для воздушных</w:t>
      </w:r>
      <w:r>
        <w:rPr>
          <w:lang w:val="ru-RU"/>
        </w:rPr>
        <w:br/>
      </w:r>
      <w:r w:rsidRPr="00D71733">
        <w:rPr>
          <w:lang w:val="ru-RU"/>
        </w:rPr>
        <w:t>и морских терминалов ПЗС в варианте</w:t>
      </w:r>
      <w:r>
        <w:rPr>
          <w:lang w:val="ru-RU"/>
        </w:rPr>
        <w:t> </w:t>
      </w:r>
      <w:r w:rsidRPr="00D71733">
        <w:rPr>
          <w:lang w:val="ru-RU"/>
        </w:rPr>
        <w:t>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79"/>
        <w:gridCol w:w="1848"/>
        <w:gridCol w:w="1204"/>
        <w:gridCol w:w="1276"/>
        <w:gridCol w:w="1276"/>
        <w:gridCol w:w="1276"/>
        <w:gridCol w:w="1270"/>
      </w:tblGrid>
      <w:tr w:rsidR="005720AD" w:rsidRPr="00D71733" w14:paraId="1D7A04CC" w14:textId="77777777" w:rsidTr="00D71733">
        <w:tc>
          <w:tcPr>
            <w:tcW w:w="3327" w:type="dxa"/>
            <w:gridSpan w:val="2"/>
            <w:vAlign w:val="center"/>
          </w:tcPr>
          <w:p w14:paraId="18350693" w14:textId="7C9ECBE8" w:rsidR="005720AD" w:rsidRPr="00D71733" w:rsidRDefault="00D71733" w:rsidP="00D71733">
            <w:pPr>
              <w:pStyle w:val="Table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 w:eastAsia="ja-JP"/>
              </w:rPr>
              <w:t>Этап</w:t>
            </w:r>
          </w:p>
        </w:tc>
        <w:tc>
          <w:tcPr>
            <w:tcW w:w="3756" w:type="dxa"/>
            <w:gridSpan w:val="3"/>
            <w:vAlign w:val="center"/>
          </w:tcPr>
          <w:p w14:paraId="4549FD42" w14:textId="498954CB" w:rsidR="005720AD" w:rsidRPr="00D71733" w:rsidRDefault="00D71733" w:rsidP="00AE6864">
            <w:pPr>
              <w:pStyle w:val="Table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 w:eastAsia="ja-JP"/>
              </w:rPr>
              <w:t>Этап </w:t>
            </w:r>
            <w:r w:rsidR="005720AD" w:rsidRPr="00D71733">
              <w:rPr>
                <w:rFonts w:ascii="Times New Roman" w:hAnsi="Times New Roman" w:cs="Times New Roman"/>
                <w:lang w:eastAsia="ja-JP"/>
              </w:rPr>
              <w:t>1</w:t>
            </w:r>
          </w:p>
        </w:tc>
        <w:tc>
          <w:tcPr>
            <w:tcW w:w="2546" w:type="dxa"/>
            <w:gridSpan w:val="2"/>
            <w:vAlign w:val="center"/>
          </w:tcPr>
          <w:p w14:paraId="4285AE3C" w14:textId="39BFF14F" w:rsidR="005720AD" w:rsidRPr="00D71733" w:rsidRDefault="00D71733" w:rsidP="00AE6864">
            <w:pPr>
              <w:pStyle w:val="Table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 w:eastAsia="ja-JP"/>
              </w:rPr>
              <w:t>Этап </w:t>
            </w:r>
            <w:r w:rsidR="005720AD" w:rsidRPr="00D71733">
              <w:rPr>
                <w:rFonts w:ascii="Times New Roman" w:hAnsi="Times New Roman" w:cs="Times New Roman"/>
                <w:lang w:eastAsia="ja-JP"/>
              </w:rPr>
              <w:t>2</w:t>
            </w:r>
          </w:p>
        </w:tc>
      </w:tr>
      <w:tr w:rsidR="00885DEE" w:rsidRPr="00D71733" w14:paraId="490FBB39" w14:textId="77777777" w:rsidTr="00D71733">
        <w:tc>
          <w:tcPr>
            <w:tcW w:w="3327" w:type="dxa"/>
            <w:gridSpan w:val="2"/>
            <w:vAlign w:val="center"/>
          </w:tcPr>
          <w:p w14:paraId="6D16C725" w14:textId="78CD71CD" w:rsidR="00885DEE" w:rsidRPr="00D71733" w:rsidRDefault="00885DEE" w:rsidP="00885DEE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ja-JP"/>
              </w:rPr>
              <w:t>Диапазон частот (МГц)</w:t>
            </w:r>
          </w:p>
        </w:tc>
        <w:tc>
          <w:tcPr>
            <w:tcW w:w="1204" w:type="dxa"/>
            <w:vAlign w:val="center"/>
          </w:tcPr>
          <w:p w14:paraId="1DE2C9C2" w14:textId="2371198B" w:rsidR="00885DEE" w:rsidRPr="00D71733" w:rsidRDefault="00885DEE" w:rsidP="00885DEE">
            <w:pPr>
              <w:pStyle w:val="Tablehead"/>
              <w:ind w:left="-57" w:right="-57"/>
              <w:rPr>
                <w:rFonts w:ascii="Times New Roman" w:hAnsi="Times New Roman" w:cs="Times New Roman"/>
                <w:lang w:eastAsia="ja-JP"/>
              </w:rPr>
            </w:pPr>
            <w:r w:rsidRPr="00053593">
              <w:rPr>
                <w:rFonts w:ascii="Times New Roman" w:hAnsi="Times New Roman" w:cs="Times New Roman"/>
                <w:lang w:eastAsia="ja-JP"/>
              </w:rPr>
              <w:t>1 492</w:t>
            </w:r>
            <w:r w:rsidRPr="00D71733">
              <w:rPr>
                <w:rFonts w:ascii="Times New Roman" w:hAnsi="Times New Roman" w:cs="Times New Roman"/>
                <w:lang w:eastAsia="ja-JP"/>
              </w:rPr>
              <w:t>−</w:t>
            </w:r>
            <w:r w:rsidRPr="00053593">
              <w:rPr>
                <w:rFonts w:ascii="Times New Roman" w:hAnsi="Times New Roman" w:cs="Times New Roman"/>
                <w:lang w:eastAsia="ja-JP"/>
              </w:rPr>
              <w:t>1 502</w:t>
            </w:r>
          </w:p>
        </w:tc>
        <w:tc>
          <w:tcPr>
            <w:tcW w:w="1276" w:type="dxa"/>
            <w:vAlign w:val="center"/>
          </w:tcPr>
          <w:p w14:paraId="2062DFEF" w14:textId="3FD50ACB" w:rsidR="00885DEE" w:rsidRPr="00D71733" w:rsidRDefault="00885DEE" w:rsidP="00885DEE">
            <w:pPr>
              <w:pStyle w:val="Tablehead"/>
              <w:ind w:left="-57" w:right="-57"/>
              <w:rPr>
                <w:rFonts w:ascii="Times New Roman" w:hAnsi="Times New Roman" w:cs="Times New Roman"/>
                <w:lang w:eastAsia="ja-JP"/>
              </w:rPr>
            </w:pPr>
            <w:r w:rsidRPr="00053593">
              <w:rPr>
                <w:rFonts w:ascii="Times New Roman" w:hAnsi="Times New Roman" w:cs="Times New Roman"/>
                <w:lang w:eastAsia="ja-JP"/>
              </w:rPr>
              <w:t>1 502</w:t>
            </w:r>
            <w:r w:rsidRPr="00D71733">
              <w:rPr>
                <w:rFonts w:ascii="Times New Roman" w:hAnsi="Times New Roman" w:cs="Times New Roman"/>
                <w:lang w:eastAsia="ja-JP"/>
              </w:rPr>
              <w:t>−</w:t>
            </w:r>
            <w:r w:rsidRPr="00053593">
              <w:rPr>
                <w:rFonts w:ascii="Times New Roman" w:hAnsi="Times New Roman" w:cs="Times New Roman"/>
                <w:lang w:eastAsia="ja-JP"/>
              </w:rPr>
              <w:t>1 512</w:t>
            </w:r>
          </w:p>
        </w:tc>
        <w:tc>
          <w:tcPr>
            <w:tcW w:w="1276" w:type="dxa"/>
            <w:vAlign w:val="center"/>
          </w:tcPr>
          <w:p w14:paraId="0C35A01B" w14:textId="4A199497" w:rsidR="00885DEE" w:rsidRPr="00D71733" w:rsidRDefault="00885DEE" w:rsidP="00885DEE">
            <w:pPr>
              <w:pStyle w:val="Tablehead"/>
              <w:ind w:left="-57" w:right="-57"/>
              <w:rPr>
                <w:rFonts w:ascii="Times New Roman" w:hAnsi="Times New Roman" w:cs="Times New Roman"/>
                <w:lang w:eastAsia="ja-JP"/>
              </w:rPr>
            </w:pPr>
            <w:r w:rsidRPr="00053593">
              <w:rPr>
                <w:rFonts w:ascii="Times New Roman" w:hAnsi="Times New Roman" w:cs="Times New Roman"/>
                <w:lang w:eastAsia="ja-JP"/>
              </w:rPr>
              <w:t>1 512</w:t>
            </w:r>
            <w:r w:rsidRPr="00D71733">
              <w:rPr>
                <w:rFonts w:ascii="Times New Roman" w:hAnsi="Times New Roman" w:cs="Times New Roman"/>
                <w:lang w:eastAsia="ja-JP"/>
              </w:rPr>
              <w:t>−</w:t>
            </w:r>
            <w:r w:rsidRPr="00053593">
              <w:rPr>
                <w:rFonts w:ascii="Times New Roman" w:hAnsi="Times New Roman" w:cs="Times New Roman"/>
                <w:lang w:eastAsia="ja-JP"/>
              </w:rPr>
              <w:t>1 517</w:t>
            </w:r>
          </w:p>
        </w:tc>
        <w:tc>
          <w:tcPr>
            <w:tcW w:w="1276" w:type="dxa"/>
            <w:vAlign w:val="center"/>
          </w:tcPr>
          <w:p w14:paraId="004BDBD8" w14:textId="0ADC63C9" w:rsidR="00885DEE" w:rsidRPr="00D71733" w:rsidRDefault="00885DEE" w:rsidP="00885DEE">
            <w:pPr>
              <w:pStyle w:val="Tablehead"/>
              <w:ind w:left="-57" w:right="-57"/>
              <w:rPr>
                <w:rFonts w:ascii="Times New Roman" w:hAnsi="Times New Roman" w:cs="Times New Roman"/>
              </w:rPr>
            </w:pPr>
            <w:r w:rsidRPr="00053593">
              <w:rPr>
                <w:rFonts w:ascii="Times New Roman" w:hAnsi="Times New Roman" w:cs="Times New Roman"/>
                <w:lang w:eastAsia="ja-JP"/>
              </w:rPr>
              <w:t>1 492</w:t>
            </w:r>
            <w:r w:rsidRPr="00D71733">
              <w:rPr>
                <w:rFonts w:ascii="Times New Roman" w:hAnsi="Times New Roman" w:cs="Times New Roman"/>
                <w:lang w:eastAsia="ja-JP"/>
              </w:rPr>
              <w:t>−</w:t>
            </w:r>
            <w:r w:rsidRPr="00053593">
              <w:rPr>
                <w:rFonts w:ascii="Times New Roman" w:hAnsi="Times New Roman" w:cs="Times New Roman"/>
                <w:lang w:eastAsia="ja-JP"/>
              </w:rPr>
              <w:t>1 512</w:t>
            </w:r>
          </w:p>
        </w:tc>
        <w:tc>
          <w:tcPr>
            <w:tcW w:w="1270" w:type="dxa"/>
            <w:vAlign w:val="center"/>
          </w:tcPr>
          <w:p w14:paraId="793D8B23" w14:textId="0299A7F8" w:rsidR="00885DEE" w:rsidRPr="00D71733" w:rsidRDefault="00885DEE" w:rsidP="00885DEE">
            <w:pPr>
              <w:pStyle w:val="Tablehead"/>
              <w:ind w:left="-57" w:right="-57"/>
              <w:rPr>
                <w:rFonts w:ascii="Times New Roman" w:hAnsi="Times New Roman" w:cs="Times New Roman"/>
              </w:rPr>
            </w:pPr>
            <w:r w:rsidRPr="00053593">
              <w:rPr>
                <w:rFonts w:ascii="Times New Roman" w:hAnsi="Times New Roman" w:cs="Times New Roman"/>
                <w:lang w:eastAsia="ja-JP"/>
              </w:rPr>
              <w:t>1 512</w:t>
            </w:r>
            <w:r w:rsidRPr="00D71733">
              <w:rPr>
                <w:rFonts w:ascii="Times New Roman" w:hAnsi="Times New Roman" w:cs="Times New Roman"/>
                <w:lang w:eastAsia="ja-JP"/>
              </w:rPr>
              <w:t>−</w:t>
            </w:r>
            <w:r w:rsidRPr="00053593">
              <w:rPr>
                <w:rFonts w:ascii="Times New Roman" w:hAnsi="Times New Roman" w:cs="Times New Roman"/>
                <w:lang w:eastAsia="ja-JP"/>
              </w:rPr>
              <w:t>1 517</w:t>
            </w:r>
          </w:p>
        </w:tc>
      </w:tr>
      <w:tr w:rsidR="005720AD" w:rsidRPr="00D71733" w14:paraId="5F701077" w14:textId="77777777" w:rsidTr="00D71733">
        <w:tc>
          <w:tcPr>
            <w:tcW w:w="1479" w:type="dxa"/>
            <w:vMerge w:val="restart"/>
            <w:vAlign w:val="center"/>
          </w:tcPr>
          <w:p w14:paraId="7B8E4528" w14:textId="5E5FFF57" w:rsidR="005720AD" w:rsidRPr="00D71733" w:rsidRDefault="00D71733" w:rsidP="00AE6864">
            <w:pPr>
              <w:pStyle w:val="Tabletext"/>
              <w:jc w:val="center"/>
              <w:rPr>
                <w:rFonts w:ascii="Times New Roman" w:hAnsi="Times New Roman" w:cs="Times New Roman"/>
                <w:lang w:val="ru-RU" w:eastAsia="ja-JP"/>
              </w:rPr>
            </w:pPr>
            <w:r>
              <w:rPr>
                <w:rFonts w:ascii="Times New Roman" w:hAnsi="Times New Roman" w:cs="Times New Roman"/>
                <w:lang w:val="ru-RU" w:eastAsia="ja-JP"/>
              </w:rPr>
              <w:t>Для таблицы 4</w:t>
            </w:r>
          </w:p>
        </w:tc>
        <w:tc>
          <w:tcPr>
            <w:tcW w:w="1848" w:type="dxa"/>
            <w:vAlign w:val="center"/>
          </w:tcPr>
          <w:p w14:paraId="1C000C5D" w14:textId="4A87D264" w:rsidR="005720AD" w:rsidRPr="00D71733" w:rsidRDefault="00D71733" w:rsidP="00AE6864">
            <w:pPr>
              <w:pStyle w:val="Tabletext"/>
              <w:rPr>
                <w:rFonts w:ascii="Times New Roman" w:hAnsi="Times New Roman" w:cs="Times New Roman"/>
                <w:lang w:val="ru-RU" w:eastAsia="ja-JP"/>
              </w:rPr>
            </w:pPr>
            <w:r>
              <w:rPr>
                <w:rFonts w:ascii="Times New Roman" w:hAnsi="Times New Roman" w:cs="Times New Roman"/>
                <w:lang w:val="ru-RU" w:eastAsia="ja-JP"/>
              </w:rPr>
              <w:t>Морские ПЗС</w:t>
            </w:r>
          </w:p>
        </w:tc>
        <w:tc>
          <w:tcPr>
            <w:tcW w:w="1204" w:type="dxa"/>
            <w:vAlign w:val="center"/>
          </w:tcPr>
          <w:p w14:paraId="48E716F0" w14:textId="77777777" w:rsidR="005720AD" w:rsidRPr="00D71733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D71733">
              <w:rPr>
                <w:rFonts w:ascii="Times New Roman" w:hAnsi="Times New Roman" w:cs="Times New Roman"/>
                <w:lang w:eastAsia="ja-JP"/>
              </w:rPr>
              <w:t>−53</w:t>
            </w:r>
          </w:p>
        </w:tc>
        <w:tc>
          <w:tcPr>
            <w:tcW w:w="1276" w:type="dxa"/>
            <w:vAlign w:val="center"/>
          </w:tcPr>
          <w:p w14:paraId="6467D625" w14:textId="77777777" w:rsidR="005720AD" w:rsidRPr="00D71733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D71733">
              <w:rPr>
                <w:rFonts w:ascii="Times New Roman" w:hAnsi="Times New Roman" w:cs="Times New Roman"/>
                <w:lang w:eastAsia="ja-JP"/>
              </w:rPr>
              <w:t>−68</w:t>
            </w:r>
          </w:p>
        </w:tc>
        <w:tc>
          <w:tcPr>
            <w:tcW w:w="1276" w:type="dxa"/>
            <w:vAlign w:val="center"/>
          </w:tcPr>
          <w:p w14:paraId="7E8F24ED" w14:textId="77777777" w:rsidR="005720AD" w:rsidRPr="00D71733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D71733">
              <w:rPr>
                <w:rFonts w:ascii="Times New Roman" w:hAnsi="Times New Roman" w:cs="Times New Roman"/>
                <w:lang w:eastAsia="ja-JP"/>
              </w:rPr>
              <w:t>−76</w:t>
            </w:r>
          </w:p>
        </w:tc>
        <w:tc>
          <w:tcPr>
            <w:tcW w:w="1276" w:type="dxa"/>
            <w:vAlign w:val="center"/>
          </w:tcPr>
          <w:p w14:paraId="54888FFB" w14:textId="77777777" w:rsidR="005720AD" w:rsidRPr="00D71733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D71733">
              <w:rPr>
                <w:rFonts w:ascii="Times New Roman" w:hAnsi="Times New Roman" w:cs="Times New Roman"/>
                <w:lang w:eastAsia="ja-JP"/>
              </w:rPr>
              <w:t>−20</w:t>
            </w:r>
          </w:p>
        </w:tc>
        <w:tc>
          <w:tcPr>
            <w:tcW w:w="1270" w:type="dxa"/>
            <w:vAlign w:val="center"/>
          </w:tcPr>
          <w:p w14:paraId="16088201" w14:textId="77777777" w:rsidR="005720AD" w:rsidRPr="00D71733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D71733">
              <w:rPr>
                <w:rFonts w:ascii="Times New Roman" w:hAnsi="Times New Roman" w:cs="Times New Roman"/>
                <w:lang w:eastAsia="ja-JP"/>
              </w:rPr>
              <w:t>−30</w:t>
            </w:r>
          </w:p>
        </w:tc>
      </w:tr>
      <w:tr w:rsidR="005720AD" w:rsidRPr="00D71733" w14:paraId="2AAF41BD" w14:textId="77777777" w:rsidTr="00D71733">
        <w:tc>
          <w:tcPr>
            <w:tcW w:w="1479" w:type="dxa"/>
            <w:vMerge/>
            <w:vAlign w:val="center"/>
          </w:tcPr>
          <w:p w14:paraId="69349698" w14:textId="77777777" w:rsidR="005720AD" w:rsidRPr="00D71733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21823E9B" w14:textId="63002A63" w:rsidR="005720AD" w:rsidRPr="00D71733" w:rsidRDefault="00D71733" w:rsidP="00AE6864">
            <w:pPr>
              <w:pStyle w:val="Tabletext"/>
              <w:rPr>
                <w:rFonts w:ascii="Times New Roman" w:hAnsi="Times New Roman" w:cs="Times New Roman"/>
                <w:lang w:val="ru-RU" w:eastAsia="ja-JP"/>
              </w:rPr>
            </w:pPr>
            <w:r>
              <w:rPr>
                <w:rFonts w:ascii="Times New Roman" w:hAnsi="Times New Roman" w:cs="Times New Roman"/>
                <w:lang w:val="ru-RU" w:eastAsia="ja-JP"/>
              </w:rPr>
              <w:t>Воздушные ПЗС</w:t>
            </w:r>
          </w:p>
        </w:tc>
        <w:tc>
          <w:tcPr>
            <w:tcW w:w="1204" w:type="dxa"/>
            <w:vAlign w:val="center"/>
          </w:tcPr>
          <w:p w14:paraId="1CA87DAD" w14:textId="77777777" w:rsidR="005720AD" w:rsidRPr="00D71733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D71733">
              <w:rPr>
                <w:rFonts w:ascii="Times New Roman" w:hAnsi="Times New Roman" w:cs="Times New Roman"/>
                <w:lang w:eastAsia="ja-JP"/>
              </w:rPr>
              <w:t>−21</w:t>
            </w:r>
          </w:p>
        </w:tc>
        <w:tc>
          <w:tcPr>
            <w:tcW w:w="1276" w:type="dxa"/>
            <w:vAlign w:val="center"/>
          </w:tcPr>
          <w:p w14:paraId="06EA26A0" w14:textId="77777777" w:rsidR="005720AD" w:rsidRPr="00D71733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D71733">
              <w:rPr>
                <w:rFonts w:ascii="Times New Roman" w:hAnsi="Times New Roman" w:cs="Times New Roman"/>
                <w:lang w:eastAsia="ja-JP"/>
              </w:rPr>
              <w:t>−35</w:t>
            </w:r>
          </w:p>
        </w:tc>
        <w:tc>
          <w:tcPr>
            <w:tcW w:w="1276" w:type="dxa"/>
            <w:vAlign w:val="center"/>
          </w:tcPr>
          <w:p w14:paraId="5FD87442" w14:textId="4E435612" w:rsidR="005720AD" w:rsidRPr="00D71733" w:rsidRDefault="005720AD" w:rsidP="00D71733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D71733">
              <w:rPr>
                <w:rFonts w:ascii="Times New Roman" w:hAnsi="Times New Roman" w:cs="Times New Roman"/>
                <w:lang w:eastAsia="ja-JP"/>
              </w:rPr>
              <w:t>−50</w:t>
            </w:r>
            <w:r w:rsidR="00D71733">
              <w:rPr>
                <w:rFonts w:ascii="Times New Roman" w:hAnsi="Times New Roman" w:cs="Times New Roman"/>
                <w:lang w:val="ru-RU" w:eastAsia="ja-JP"/>
              </w:rPr>
              <w:t>,</w:t>
            </w:r>
            <w:r w:rsidRPr="00D71733">
              <w:rPr>
                <w:rFonts w:ascii="Times New Roman" w:hAnsi="Times New Roman" w:cs="Times New Roman"/>
                <w:lang w:eastAsia="ja-JP"/>
              </w:rPr>
              <w:t>3</w:t>
            </w:r>
          </w:p>
        </w:tc>
        <w:tc>
          <w:tcPr>
            <w:tcW w:w="1276" w:type="dxa"/>
            <w:vAlign w:val="center"/>
          </w:tcPr>
          <w:p w14:paraId="0DF0E14B" w14:textId="77777777" w:rsidR="005720AD" w:rsidRPr="00D71733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D71733">
              <w:rPr>
                <w:rFonts w:ascii="Times New Roman" w:hAnsi="Times New Roman" w:cs="Times New Roman"/>
                <w:lang w:eastAsia="ja-JP"/>
              </w:rPr>
              <w:t>−20</w:t>
            </w:r>
          </w:p>
        </w:tc>
        <w:tc>
          <w:tcPr>
            <w:tcW w:w="1270" w:type="dxa"/>
            <w:vAlign w:val="center"/>
          </w:tcPr>
          <w:p w14:paraId="6CFFC180" w14:textId="77777777" w:rsidR="005720AD" w:rsidRPr="00D71733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D71733">
              <w:rPr>
                <w:rFonts w:ascii="Times New Roman" w:hAnsi="Times New Roman" w:cs="Times New Roman"/>
                <w:lang w:eastAsia="ja-JP"/>
              </w:rPr>
              <w:t>−30</w:t>
            </w:r>
          </w:p>
        </w:tc>
      </w:tr>
      <w:tr w:rsidR="005720AD" w:rsidRPr="00D71733" w14:paraId="1AFEE8EA" w14:textId="77777777" w:rsidTr="002F117F">
        <w:tc>
          <w:tcPr>
            <w:tcW w:w="1479" w:type="dxa"/>
            <w:vMerge w:val="restart"/>
            <w:vAlign w:val="center"/>
          </w:tcPr>
          <w:p w14:paraId="2079BB6A" w14:textId="51244A3E" w:rsidR="005720AD" w:rsidRPr="00D71733" w:rsidRDefault="00D71733" w:rsidP="00AE6864">
            <w:pPr>
              <w:pStyle w:val="Tabletext"/>
              <w:jc w:val="center"/>
              <w:rPr>
                <w:rFonts w:ascii="Times New Roman" w:hAnsi="Times New Roman" w:cs="Times New Roman"/>
                <w:lang w:val="ru-RU" w:eastAsia="ja-JP"/>
              </w:rPr>
            </w:pPr>
            <w:r>
              <w:rPr>
                <w:rFonts w:ascii="Times New Roman" w:hAnsi="Times New Roman" w:cs="Times New Roman"/>
                <w:lang w:val="ru-RU" w:eastAsia="ja-JP"/>
              </w:rPr>
              <w:t>Для таблицы 5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79179D7B" w14:textId="1AA17A8B" w:rsidR="005720AD" w:rsidRPr="00D71733" w:rsidRDefault="00D71733" w:rsidP="00AE6864">
            <w:pPr>
              <w:pStyle w:val="Tabletext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val="ru-RU" w:eastAsia="ja-JP"/>
              </w:rPr>
              <w:t>Морские ПЗС</w:t>
            </w:r>
          </w:p>
        </w:tc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14:paraId="1A017EEF" w14:textId="77777777" w:rsidR="005720AD" w:rsidRPr="00D71733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D71733">
              <w:rPr>
                <w:rFonts w:ascii="Times New Roman" w:hAnsi="Times New Roman" w:cs="Times New Roman"/>
                <w:lang w:eastAsia="ja-JP"/>
              </w:rPr>
              <w:t>−67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6F450E" w14:textId="77777777" w:rsidR="005720AD" w:rsidRPr="00D71733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D71733">
              <w:rPr>
                <w:rFonts w:ascii="Times New Roman" w:hAnsi="Times New Roman" w:cs="Times New Roman"/>
                <w:lang w:eastAsia="ja-JP"/>
              </w:rPr>
              <w:t>−78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5B906B3" w14:textId="77777777" w:rsidR="005720AD" w:rsidRPr="00D71733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D71733">
              <w:rPr>
                <w:rFonts w:ascii="Times New Roman" w:hAnsi="Times New Roman" w:cs="Times New Roman"/>
                <w:lang w:eastAsia="ja-JP"/>
              </w:rPr>
              <w:t>−23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1642C7FD" w14:textId="77777777" w:rsidR="005720AD" w:rsidRPr="00D71733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D71733">
              <w:rPr>
                <w:rFonts w:ascii="Times New Roman" w:hAnsi="Times New Roman" w:cs="Times New Roman"/>
                <w:lang w:eastAsia="ja-JP"/>
              </w:rPr>
              <w:t>−33</w:t>
            </w:r>
          </w:p>
        </w:tc>
      </w:tr>
      <w:tr w:rsidR="005720AD" w:rsidRPr="00D71733" w14:paraId="548064DC" w14:textId="77777777" w:rsidTr="002F117F">
        <w:tc>
          <w:tcPr>
            <w:tcW w:w="1479" w:type="dxa"/>
            <w:vMerge/>
            <w:vAlign w:val="center"/>
          </w:tcPr>
          <w:p w14:paraId="403A0EBB" w14:textId="77777777" w:rsidR="005720AD" w:rsidRPr="00D71733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0E53FED8" w14:textId="5BC03620" w:rsidR="005720AD" w:rsidRPr="00D71733" w:rsidRDefault="00D71733" w:rsidP="00AE6864">
            <w:pPr>
              <w:pStyle w:val="Tabletext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val="ru-RU" w:eastAsia="ja-JP"/>
              </w:rPr>
              <w:t>Воздушные ПЗС</w:t>
            </w:r>
          </w:p>
        </w:tc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14:paraId="47644EF4" w14:textId="4BF79474" w:rsidR="005720AD" w:rsidRPr="00D71733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D71733">
              <w:rPr>
                <w:rFonts w:ascii="Times New Roman" w:hAnsi="Times New Roman" w:cs="Times New Roman"/>
                <w:lang w:eastAsia="ja-JP"/>
              </w:rPr>
              <w:t>−45</w:t>
            </w:r>
            <w:r w:rsidR="00D71733">
              <w:rPr>
                <w:rFonts w:ascii="Times New Roman" w:hAnsi="Times New Roman" w:cs="Times New Roman"/>
                <w:lang w:val="ru-RU" w:eastAsia="ja-JP"/>
              </w:rPr>
              <w:t>,</w:t>
            </w:r>
            <w:r w:rsidRPr="00D71733">
              <w:rPr>
                <w:rFonts w:ascii="Times New Roman" w:hAnsi="Times New Roman" w:cs="Times New Roman"/>
                <w:lang w:eastAsia="ja-JP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E35C01A" w14:textId="34243A5C" w:rsidR="005720AD" w:rsidRPr="00D71733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D71733">
              <w:rPr>
                <w:rFonts w:ascii="Times New Roman" w:hAnsi="Times New Roman" w:cs="Times New Roman"/>
                <w:lang w:eastAsia="ja-JP"/>
              </w:rPr>
              <w:t>−55</w:t>
            </w:r>
            <w:r w:rsidR="00D71733">
              <w:rPr>
                <w:rFonts w:ascii="Times New Roman" w:hAnsi="Times New Roman" w:cs="Times New Roman"/>
                <w:lang w:val="ru-RU" w:eastAsia="ja-JP"/>
              </w:rPr>
              <w:t>,</w:t>
            </w:r>
            <w:r w:rsidRPr="00D71733">
              <w:rPr>
                <w:rFonts w:ascii="Times New Roman" w:hAnsi="Times New Roman" w:cs="Times New Roman"/>
                <w:lang w:eastAsia="ja-JP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17A101" w14:textId="77777777" w:rsidR="005720AD" w:rsidRPr="00D71733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D71733">
              <w:rPr>
                <w:rFonts w:ascii="Times New Roman" w:hAnsi="Times New Roman" w:cs="Times New Roman"/>
                <w:lang w:eastAsia="ja-JP"/>
              </w:rPr>
              <w:t>−23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68886B11" w14:textId="77777777" w:rsidR="005720AD" w:rsidRPr="00D71733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D71733">
              <w:rPr>
                <w:rFonts w:ascii="Times New Roman" w:hAnsi="Times New Roman" w:cs="Times New Roman"/>
                <w:lang w:eastAsia="ja-JP"/>
              </w:rPr>
              <w:t>−33</w:t>
            </w:r>
          </w:p>
        </w:tc>
      </w:tr>
    </w:tbl>
    <w:p w14:paraId="5CAA2529" w14:textId="77777777" w:rsidR="005720AD" w:rsidRDefault="005720AD" w:rsidP="005720AD">
      <w:pPr>
        <w:pStyle w:val="Tablefin"/>
      </w:pPr>
    </w:p>
    <w:p w14:paraId="1E9FA7E2" w14:textId="77777777" w:rsidR="009E79E2" w:rsidRPr="009E79E2" w:rsidRDefault="009E79E2" w:rsidP="009E79E2">
      <w:pPr>
        <w:pStyle w:val="TableNo"/>
        <w:rPr>
          <w:szCs w:val="22"/>
          <w:lang w:val="ru-RU"/>
        </w:rPr>
      </w:pPr>
      <w:r w:rsidRPr="009E79E2">
        <w:rPr>
          <w:szCs w:val="22"/>
          <w:lang w:val="ru-RU"/>
        </w:rPr>
        <w:lastRenderedPageBreak/>
        <w:t>ТАБЛИЦА 8</w:t>
      </w:r>
    </w:p>
    <w:p w14:paraId="3E96DADB" w14:textId="48C444FE" w:rsidR="005720AD" w:rsidRPr="009E79E2" w:rsidRDefault="009E79E2" w:rsidP="009E79E2">
      <w:pPr>
        <w:pStyle w:val="Tabletitle"/>
        <w:rPr>
          <w:szCs w:val="22"/>
          <w:lang w:val="ru-RU"/>
        </w:rPr>
      </w:pPr>
      <w:r w:rsidRPr="009E79E2">
        <w:rPr>
          <w:szCs w:val="22"/>
          <w:lang w:val="ru-RU"/>
        </w:rPr>
        <w:t>Предполагаемые уровни устойчивости к блокированию (</w:t>
      </w:r>
      <w:proofErr w:type="spellStart"/>
      <w:r w:rsidRPr="009E79E2">
        <w:rPr>
          <w:szCs w:val="22"/>
          <w:lang w:val="ru-RU"/>
        </w:rPr>
        <w:t>дБм</w:t>
      </w:r>
      <w:proofErr w:type="spellEnd"/>
      <w:r w:rsidRPr="009E79E2">
        <w:rPr>
          <w:szCs w:val="22"/>
          <w:lang w:val="ru-RU"/>
        </w:rPr>
        <w:t>) для воздушных</w:t>
      </w:r>
      <w:r w:rsidRPr="009E79E2">
        <w:rPr>
          <w:szCs w:val="22"/>
          <w:lang w:val="ru-RU"/>
        </w:rPr>
        <w:br/>
        <w:t>и морских терминалов ПЗС в варианте </w:t>
      </w:r>
      <w:r>
        <w:rPr>
          <w:szCs w:val="22"/>
          <w:lang w:val="ru-RU"/>
        </w:rPr>
        <w:t>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79"/>
        <w:gridCol w:w="1777"/>
        <w:gridCol w:w="1275"/>
        <w:gridCol w:w="1276"/>
        <w:gridCol w:w="1276"/>
        <w:gridCol w:w="1276"/>
        <w:gridCol w:w="1270"/>
      </w:tblGrid>
      <w:tr w:rsidR="009E79E2" w:rsidRPr="009E79E2" w14:paraId="20C8270E" w14:textId="77777777" w:rsidTr="00121B38">
        <w:tc>
          <w:tcPr>
            <w:tcW w:w="3256" w:type="dxa"/>
            <w:gridSpan w:val="2"/>
            <w:vAlign w:val="center"/>
          </w:tcPr>
          <w:p w14:paraId="3C56CECA" w14:textId="06B8B975" w:rsidR="009E79E2" w:rsidRPr="009E79E2" w:rsidRDefault="009E79E2" w:rsidP="009E79E2">
            <w:pPr>
              <w:pStyle w:val="Tablehead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lang w:val="ru-RU" w:eastAsia="ja-JP"/>
              </w:rPr>
              <w:t>Этап</w:t>
            </w:r>
          </w:p>
        </w:tc>
        <w:tc>
          <w:tcPr>
            <w:tcW w:w="3827" w:type="dxa"/>
            <w:gridSpan w:val="3"/>
            <w:vAlign w:val="center"/>
          </w:tcPr>
          <w:p w14:paraId="6947DCF1" w14:textId="2106D96D" w:rsidR="009E79E2" w:rsidRPr="009E79E2" w:rsidRDefault="009E79E2" w:rsidP="009E79E2">
            <w:pPr>
              <w:pStyle w:val="Tablehead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lang w:val="ru-RU" w:eastAsia="ja-JP"/>
              </w:rPr>
              <w:t>Этап </w:t>
            </w:r>
            <w:r w:rsidRPr="00D71733">
              <w:rPr>
                <w:rFonts w:ascii="Times New Roman" w:hAnsi="Times New Roman" w:cs="Times New Roman"/>
                <w:lang w:eastAsia="ja-JP"/>
              </w:rPr>
              <w:t>1</w:t>
            </w:r>
          </w:p>
        </w:tc>
        <w:tc>
          <w:tcPr>
            <w:tcW w:w="2546" w:type="dxa"/>
            <w:gridSpan w:val="2"/>
            <w:vAlign w:val="center"/>
          </w:tcPr>
          <w:p w14:paraId="04F40749" w14:textId="2A44B105" w:rsidR="009E79E2" w:rsidRPr="009E79E2" w:rsidRDefault="009E79E2" w:rsidP="009E79E2">
            <w:pPr>
              <w:pStyle w:val="Tablehead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lang w:val="ru-RU" w:eastAsia="ja-JP"/>
              </w:rPr>
              <w:t>Этап </w:t>
            </w:r>
            <w:r w:rsidRPr="00D71733">
              <w:rPr>
                <w:rFonts w:ascii="Times New Roman" w:hAnsi="Times New Roman" w:cs="Times New Roman"/>
                <w:lang w:eastAsia="ja-JP"/>
              </w:rPr>
              <w:t>2</w:t>
            </w:r>
          </w:p>
        </w:tc>
      </w:tr>
      <w:tr w:rsidR="00121B38" w:rsidRPr="009E79E2" w14:paraId="12DF1F8E" w14:textId="77777777" w:rsidTr="00121B38">
        <w:tc>
          <w:tcPr>
            <w:tcW w:w="3256" w:type="dxa"/>
            <w:gridSpan w:val="2"/>
            <w:vAlign w:val="center"/>
          </w:tcPr>
          <w:p w14:paraId="398F0C05" w14:textId="4F8F873E" w:rsidR="00121B38" w:rsidRPr="009E79E2" w:rsidRDefault="00121B38" w:rsidP="00121B38">
            <w:pPr>
              <w:pStyle w:val="Tablehead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lang w:val="ru-RU" w:eastAsia="ja-JP"/>
              </w:rPr>
              <w:t>Диапазон частот (МГц)</w:t>
            </w:r>
          </w:p>
        </w:tc>
        <w:tc>
          <w:tcPr>
            <w:tcW w:w="1275" w:type="dxa"/>
            <w:vAlign w:val="center"/>
          </w:tcPr>
          <w:p w14:paraId="3FCCDDAE" w14:textId="2FDC03F3" w:rsidR="00121B38" w:rsidRPr="009E79E2" w:rsidRDefault="00121B38" w:rsidP="00121B38">
            <w:pPr>
              <w:pStyle w:val="Tablehead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053593">
              <w:rPr>
                <w:rFonts w:ascii="Times New Roman" w:hAnsi="Times New Roman" w:cs="Times New Roman"/>
                <w:lang w:eastAsia="ja-JP"/>
              </w:rPr>
              <w:t>1 492</w:t>
            </w:r>
            <w:r w:rsidRPr="00121B38">
              <w:rPr>
                <w:lang w:eastAsia="ja-JP"/>
              </w:rPr>
              <w:t>–</w:t>
            </w:r>
            <w:r w:rsidRPr="00053593">
              <w:rPr>
                <w:rFonts w:ascii="Times New Roman" w:hAnsi="Times New Roman" w:cs="Times New Roman"/>
                <w:lang w:eastAsia="ja-JP"/>
              </w:rPr>
              <w:t>1 502</w:t>
            </w:r>
          </w:p>
        </w:tc>
        <w:tc>
          <w:tcPr>
            <w:tcW w:w="1276" w:type="dxa"/>
            <w:vAlign w:val="center"/>
          </w:tcPr>
          <w:p w14:paraId="31612917" w14:textId="7D435C11" w:rsidR="00121B38" w:rsidRPr="009E79E2" w:rsidRDefault="00121B38" w:rsidP="00121B38">
            <w:pPr>
              <w:pStyle w:val="Tablehead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053593">
              <w:rPr>
                <w:rFonts w:ascii="Times New Roman" w:hAnsi="Times New Roman" w:cs="Times New Roman"/>
                <w:lang w:eastAsia="ja-JP"/>
              </w:rPr>
              <w:t>1 502</w:t>
            </w:r>
            <w:r w:rsidRPr="00121B38">
              <w:rPr>
                <w:lang w:eastAsia="ja-JP"/>
              </w:rPr>
              <w:t>–</w:t>
            </w:r>
            <w:r w:rsidRPr="00053593">
              <w:rPr>
                <w:rFonts w:ascii="Times New Roman" w:hAnsi="Times New Roman" w:cs="Times New Roman"/>
                <w:lang w:eastAsia="ja-JP"/>
              </w:rPr>
              <w:t>1 512</w:t>
            </w:r>
          </w:p>
        </w:tc>
        <w:tc>
          <w:tcPr>
            <w:tcW w:w="1276" w:type="dxa"/>
            <w:vAlign w:val="center"/>
          </w:tcPr>
          <w:p w14:paraId="777218C4" w14:textId="2E8E498D" w:rsidR="00121B38" w:rsidRPr="009E79E2" w:rsidRDefault="00121B38" w:rsidP="00121B38">
            <w:pPr>
              <w:pStyle w:val="Tablehead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053593">
              <w:rPr>
                <w:rFonts w:ascii="Times New Roman" w:hAnsi="Times New Roman" w:cs="Times New Roman"/>
                <w:lang w:eastAsia="ja-JP"/>
              </w:rPr>
              <w:t>1 512</w:t>
            </w:r>
            <w:r w:rsidRPr="00121B38">
              <w:rPr>
                <w:lang w:eastAsia="ja-JP"/>
              </w:rPr>
              <w:t>–</w:t>
            </w:r>
            <w:r w:rsidRPr="00053593">
              <w:rPr>
                <w:rFonts w:ascii="Times New Roman" w:hAnsi="Times New Roman" w:cs="Times New Roman"/>
                <w:lang w:eastAsia="ja-JP"/>
              </w:rPr>
              <w:t>1 517</w:t>
            </w:r>
          </w:p>
        </w:tc>
        <w:tc>
          <w:tcPr>
            <w:tcW w:w="1276" w:type="dxa"/>
            <w:vAlign w:val="center"/>
          </w:tcPr>
          <w:p w14:paraId="6F2D06FE" w14:textId="4805B1B5" w:rsidR="00121B38" w:rsidRPr="009E79E2" w:rsidRDefault="00121B38" w:rsidP="00121B38">
            <w:pPr>
              <w:pStyle w:val="Tablehead"/>
              <w:rPr>
                <w:rFonts w:ascii="Times New Roman" w:hAnsi="Times New Roman" w:cs="Times New Roman"/>
                <w:szCs w:val="20"/>
              </w:rPr>
            </w:pPr>
            <w:r w:rsidRPr="00053593">
              <w:rPr>
                <w:rFonts w:ascii="Times New Roman" w:hAnsi="Times New Roman" w:cs="Times New Roman"/>
                <w:lang w:eastAsia="ja-JP"/>
              </w:rPr>
              <w:t>1 492</w:t>
            </w:r>
            <w:r w:rsidRPr="00121B38">
              <w:rPr>
                <w:lang w:eastAsia="ja-JP"/>
              </w:rPr>
              <w:t>–</w:t>
            </w:r>
            <w:r w:rsidRPr="00053593">
              <w:rPr>
                <w:rFonts w:ascii="Times New Roman" w:hAnsi="Times New Roman" w:cs="Times New Roman"/>
                <w:lang w:eastAsia="ja-JP"/>
              </w:rPr>
              <w:t>1 512</w:t>
            </w:r>
          </w:p>
        </w:tc>
        <w:tc>
          <w:tcPr>
            <w:tcW w:w="1270" w:type="dxa"/>
            <w:vAlign w:val="center"/>
          </w:tcPr>
          <w:p w14:paraId="2D723EC7" w14:textId="3F33B75C" w:rsidR="00121B38" w:rsidRPr="009E79E2" w:rsidRDefault="00121B38" w:rsidP="00121B38">
            <w:pPr>
              <w:pStyle w:val="Tablehead"/>
              <w:rPr>
                <w:rFonts w:ascii="Times New Roman" w:hAnsi="Times New Roman" w:cs="Times New Roman"/>
                <w:szCs w:val="20"/>
              </w:rPr>
            </w:pPr>
            <w:r w:rsidRPr="00053593">
              <w:rPr>
                <w:rFonts w:ascii="Times New Roman" w:hAnsi="Times New Roman" w:cs="Times New Roman"/>
                <w:lang w:eastAsia="ja-JP"/>
              </w:rPr>
              <w:t>1 512</w:t>
            </w:r>
            <w:r w:rsidRPr="00121B38">
              <w:rPr>
                <w:lang w:eastAsia="ja-JP"/>
              </w:rPr>
              <w:t>–</w:t>
            </w:r>
            <w:r w:rsidRPr="00053593">
              <w:rPr>
                <w:rFonts w:ascii="Times New Roman" w:hAnsi="Times New Roman" w:cs="Times New Roman"/>
                <w:lang w:eastAsia="ja-JP"/>
              </w:rPr>
              <w:t>1 517</w:t>
            </w:r>
          </w:p>
        </w:tc>
      </w:tr>
      <w:tr w:rsidR="005720AD" w:rsidRPr="009E79E2" w14:paraId="6D1631B9" w14:textId="77777777" w:rsidTr="00121B38">
        <w:tc>
          <w:tcPr>
            <w:tcW w:w="1479" w:type="dxa"/>
            <w:vMerge w:val="restart"/>
            <w:vAlign w:val="center"/>
          </w:tcPr>
          <w:p w14:paraId="14CA3419" w14:textId="1C995CE3" w:rsidR="005720AD" w:rsidRPr="009E79E2" w:rsidRDefault="009E79E2" w:rsidP="009E79E2">
            <w:pPr>
              <w:pStyle w:val="Tabletext"/>
              <w:jc w:val="center"/>
              <w:rPr>
                <w:rFonts w:ascii="Times New Roman" w:hAnsi="Times New Roman" w:cs="Times New Roman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lang w:val="ru-RU" w:eastAsia="ja-JP"/>
              </w:rPr>
              <w:t>Для таблицы 6</w:t>
            </w:r>
          </w:p>
        </w:tc>
        <w:tc>
          <w:tcPr>
            <w:tcW w:w="1777" w:type="dxa"/>
            <w:vAlign w:val="center"/>
          </w:tcPr>
          <w:p w14:paraId="2C3D6EB0" w14:textId="2C27AC07" w:rsidR="005720AD" w:rsidRPr="009E79E2" w:rsidRDefault="009E79E2" w:rsidP="00AE6864">
            <w:pPr>
              <w:pStyle w:val="Tabletext"/>
              <w:rPr>
                <w:rFonts w:ascii="Times New Roman" w:hAnsi="Times New Roman" w:cs="Times New Roman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lang w:val="ru-RU" w:eastAsia="ja-JP"/>
              </w:rPr>
              <w:t>Морские ПЗС</w:t>
            </w:r>
          </w:p>
        </w:tc>
        <w:tc>
          <w:tcPr>
            <w:tcW w:w="1275" w:type="dxa"/>
            <w:vAlign w:val="center"/>
          </w:tcPr>
          <w:p w14:paraId="4BCC13FA" w14:textId="77777777" w:rsidR="005720AD" w:rsidRPr="009E79E2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szCs w:val="20"/>
                <w:lang w:eastAsia="ja-JP"/>
              </w:rPr>
            </w:pPr>
            <w:r w:rsidRPr="009E79E2">
              <w:rPr>
                <w:rFonts w:ascii="Times New Roman" w:hAnsi="Times New Roman" w:cs="Times New Roman"/>
                <w:szCs w:val="20"/>
                <w:lang w:eastAsia="ja-JP"/>
              </w:rPr>
              <w:t>−35</w:t>
            </w:r>
          </w:p>
        </w:tc>
        <w:tc>
          <w:tcPr>
            <w:tcW w:w="1276" w:type="dxa"/>
            <w:vAlign w:val="center"/>
          </w:tcPr>
          <w:p w14:paraId="6F2746F1" w14:textId="77777777" w:rsidR="005720AD" w:rsidRPr="009E79E2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szCs w:val="20"/>
              </w:rPr>
            </w:pPr>
            <w:r w:rsidRPr="009E79E2">
              <w:rPr>
                <w:rFonts w:ascii="Times New Roman" w:hAnsi="Times New Roman" w:cs="Times New Roman"/>
                <w:szCs w:val="20"/>
                <w:lang w:eastAsia="ja-JP"/>
              </w:rPr>
              <w:t>−35</w:t>
            </w:r>
          </w:p>
        </w:tc>
        <w:tc>
          <w:tcPr>
            <w:tcW w:w="1276" w:type="dxa"/>
            <w:vAlign w:val="center"/>
          </w:tcPr>
          <w:p w14:paraId="50D985AF" w14:textId="77777777" w:rsidR="005720AD" w:rsidRPr="009E79E2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szCs w:val="20"/>
              </w:rPr>
            </w:pPr>
            <w:r w:rsidRPr="009E79E2">
              <w:rPr>
                <w:rFonts w:ascii="Times New Roman" w:hAnsi="Times New Roman" w:cs="Times New Roman"/>
                <w:szCs w:val="20"/>
                <w:lang w:eastAsia="ja-JP"/>
              </w:rPr>
              <w:t>−50</w:t>
            </w:r>
          </w:p>
        </w:tc>
        <w:tc>
          <w:tcPr>
            <w:tcW w:w="1276" w:type="dxa"/>
            <w:vAlign w:val="center"/>
          </w:tcPr>
          <w:p w14:paraId="43EA6769" w14:textId="77777777" w:rsidR="005720AD" w:rsidRPr="009E79E2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szCs w:val="20"/>
              </w:rPr>
            </w:pPr>
            <w:r w:rsidRPr="009E79E2">
              <w:rPr>
                <w:rFonts w:ascii="Times New Roman" w:hAnsi="Times New Roman" w:cs="Times New Roman"/>
                <w:szCs w:val="20"/>
                <w:lang w:eastAsia="ja-JP"/>
              </w:rPr>
              <w:t>−20</w:t>
            </w:r>
          </w:p>
        </w:tc>
        <w:tc>
          <w:tcPr>
            <w:tcW w:w="1270" w:type="dxa"/>
            <w:vAlign w:val="center"/>
          </w:tcPr>
          <w:p w14:paraId="128E0302" w14:textId="77777777" w:rsidR="005720AD" w:rsidRPr="009E79E2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szCs w:val="20"/>
              </w:rPr>
            </w:pPr>
            <w:r w:rsidRPr="009E79E2">
              <w:rPr>
                <w:rFonts w:ascii="Times New Roman" w:hAnsi="Times New Roman" w:cs="Times New Roman"/>
                <w:szCs w:val="20"/>
                <w:lang w:eastAsia="ja-JP"/>
              </w:rPr>
              <w:t>−30</w:t>
            </w:r>
          </w:p>
        </w:tc>
      </w:tr>
      <w:tr w:rsidR="005720AD" w:rsidRPr="009E79E2" w14:paraId="3A0D00B6" w14:textId="77777777" w:rsidTr="00121B38">
        <w:tc>
          <w:tcPr>
            <w:tcW w:w="1479" w:type="dxa"/>
            <w:vMerge/>
            <w:vAlign w:val="center"/>
          </w:tcPr>
          <w:p w14:paraId="077E89C9" w14:textId="77777777" w:rsidR="005720AD" w:rsidRPr="009E79E2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1C789600" w14:textId="2B071F2F" w:rsidR="005720AD" w:rsidRPr="009E79E2" w:rsidRDefault="009E79E2" w:rsidP="00AE6864">
            <w:pPr>
              <w:pStyle w:val="Tabletext"/>
              <w:rPr>
                <w:rFonts w:ascii="Times New Roman" w:hAnsi="Times New Roman" w:cs="Times New Roman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lang w:val="ru-RU" w:eastAsia="ja-JP"/>
              </w:rPr>
              <w:t>Воздушные ПЗС</w:t>
            </w:r>
          </w:p>
        </w:tc>
        <w:tc>
          <w:tcPr>
            <w:tcW w:w="1275" w:type="dxa"/>
            <w:vAlign w:val="center"/>
          </w:tcPr>
          <w:p w14:paraId="591F3765" w14:textId="77777777" w:rsidR="005720AD" w:rsidRPr="009E79E2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szCs w:val="20"/>
              </w:rPr>
            </w:pPr>
            <w:r w:rsidRPr="009E79E2">
              <w:rPr>
                <w:rFonts w:ascii="Times New Roman" w:hAnsi="Times New Roman" w:cs="Times New Roman"/>
                <w:szCs w:val="20"/>
                <w:lang w:eastAsia="ja-JP"/>
              </w:rPr>
              <w:t>−35</w:t>
            </w:r>
          </w:p>
        </w:tc>
        <w:tc>
          <w:tcPr>
            <w:tcW w:w="1276" w:type="dxa"/>
            <w:vAlign w:val="center"/>
          </w:tcPr>
          <w:p w14:paraId="1D9CFCC7" w14:textId="77777777" w:rsidR="005720AD" w:rsidRPr="009E79E2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szCs w:val="20"/>
              </w:rPr>
            </w:pPr>
            <w:r w:rsidRPr="009E79E2">
              <w:rPr>
                <w:rFonts w:ascii="Times New Roman" w:hAnsi="Times New Roman" w:cs="Times New Roman"/>
                <w:szCs w:val="20"/>
                <w:lang w:eastAsia="ja-JP"/>
              </w:rPr>
              <w:t>−35</w:t>
            </w:r>
          </w:p>
        </w:tc>
        <w:tc>
          <w:tcPr>
            <w:tcW w:w="1276" w:type="dxa"/>
            <w:vAlign w:val="center"/>
          </w:tcPr>
          <w:p w14:paraId="2A9A2507" w14:textId="77777777" w:rsidR="005720AD" w:rsidRPr="009E79E2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szCs w:val="20"/>
              </w:rPr>
            </w:pPr>
            <w:r w:rsidRPr="009E79E2">
              <w:rPr>
                <w:rFonts w:ascii="Times New Roman" w:hAnsi="Times New Roman" w:cs="Times New Roman"/>
                <w:szCs w:val="20"/>
                <w:lang w:eastAsia="ja-JP"/>
              </w:rPr>
              <w:t>−50</w:t>
            </w:r>
          </w:p>
        </w:tc>
        <w:tc>
          <w:tcPr>
            <w:tcW w:w="1276" w:type="dxa"/>
            <w:vAlign w:val="center"/>
          </w:tcPr>
          <w:p w14:paraId="768B4300" w14:textId="77777777" w:rsidR="005720AD" w:rsidRPr="009E79E2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szCs w:val="20"/>
              </w:rPr>
            </w:pPr>
            <w:r w:rsidRPr="009E79E2">
              <w:rPr>
                <w:rFonts w:ascii="Times New Roman" w:hAnsi="Times New Roman" w:cs="Times New Roman"/>
                <w:szCs w:val="20"/>
                <w:lang w:eastAsia="ja-JP"/>
              </w:rPr>
              <w:t>−20</w:t>
            </w:r>
          </w:p>
        </w:tc>
        <w:tc>
          <w:tcPr>
            <w:tcW w:w="1270" w:type="dxa"/>
            <w:vAlign w:val="center"/>
          </w:tcPr>
          <w:p w14:paraId="57963F73" w14:textId="77777777" w:rsidR="005720AD" w:rsidRPr="009E79E2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szCs w:val="20"/>
              </w:rPr>
            </w:pPr>
            <w:r w:rsidRPr="009E79E2">
              <w:rPr>
                <w:rFonts w:ascii="Times New Roman" w:hAnsi="Times New Roman" w:cs="Times New Roman"/>
                <w:szCs w:val="20"/>
                <w:lang w:eastAsia="ja-JP"/>
              </w:rPr>
              <w:t>−30</w:t>
            </w:r>
          </w:p>
        </w:tc>
      </w:tr>
    </w:tbl>
    <w:p w14:paraId="1727131F" w14:textId="77777777" w:rsidR="005720AD" w:rsidRDefault="005720AD" w:rsidP="00121B38">
      <w:pPr>
        <w:pStyle w:val="Tablefin"/>
      </w:pPr>
    </w:p>
    <w:p w14:paraId="51155C96" w14:textId="77777777" w:rsidR="005720AD" w:rsidRDefault="005720AD" w:rsidP="005720AD"/>
    <w:p w14:paraId="3B8DB58B" w14:textId="6DBFD864" w:rsidR="005720AD" w:rsidRPr="00645E51" w:rsidRDefault="009E79E2" w:rsidP="005720AD">
      <w:pPr>
        <w:pStyle w:val="AnnexNoTitle"/>
        <w:rPr>
          <w:szCs w:val="26"/>
          <w:lang w:val="ru-RU" w:eastAsia="zh-CN"/>
        </w:rPr>
      </w:pPr>
      <w:r w:rsidRPr="00645E51">
        <w:rPr>
          <w:szCs w:val="26"/>
          <w:lang w:val="ru-RU" w:eastAsia="zh-CN"/>
        </w:rPr>
        <w:t>Приложение 4</w:t>
      </w:r>
      <w:r w:rsidR="005720AD" w:rsidRPr="00645E51">
        <w:rPr>
          <w:szCs w:val="26"/>
          <w:lang w:val="ru-RU" w:eastAsia="zh-CN"/>
        </w:rPr>
        <w:br/>
      </w:r>
      <w:r w:rsidR="005720AD" w:rsidRPr="00645E51">
        <w:rPr>
          <w:szCs w:val="26"/>
          <w:lang w:val="ru-RU" w:eastAsia="zh-CN"/>
        </w:rPr>
        <w:br/>
      </w:r>
      <w:r w:rsidR="00645E51" w:rsidRPr="00645E51">
        <w:rPr>
          <w:szCs w:val="26"/>
          <w:lang w:val="ru-RU" w:eastAsia="zh-CN"/>
        </w:rPr>
        <w:t xml:space="preserve">Дополнительные </w:t>
      </w:r>
      <w:proofErr w:type="spellStart"/>
      <w:r w:rsidR="00645E51">
        <w:rPr>
          <w:szCs w:val="26"/>
          <w:lang w:val="ru-RU" w:eastAsia="zh-CN"/>
        </w:rPr>
        <w:t>регламентарные</w:t>
      </w:r>
      <w:proofErr w:type="spellEnd"/>
      <w:r w:rsidR="00645E51">
        <w:rPr>
          <w:szCs w:val="26"/>
          <w:lang w:val="ru-RU" w:eastAsia="zh-CN"/>
        </w:rPr>
        <w:t xml:space="preserve"> </w:t>
      </w:r>
      <w:r w:rsidR="00645E51" w:rsidRPr="00645E51">
        <w:rPr>
          <w:szCs w:val="26"/>
          <w:lang w:val="ru-RU" w:eastAsia="zh-CN"/>
        </w:rPr>
        <w:t>меры для обеспечения совместимости с</w:t>
      </w:r>
      <w:r w:rsidR="00645E51">
        <w:rPr>
          <w:szCs w:val="26"/>
          <w:lang w:val="ru-RU" w:eastAsia="zh-CN"/>
        </w:rPr>
        <w:t> сухопутными</w:t>
      </w:r>
      <w:r w:rsidR="00645E51" w:rsidRPr="00645E51">
        <w:rPr>
          <w:szCs w:val="26"/>
          <w:lang w:val="ru-RU" w:eastAsia="zh-CN"/>
        </w:rPr>
        <w:t xml:space="preserve"> ПЗС</w:t>
      </w:r>
    </w:p>
    <w:p w14:paraId="467A612C" w14:textId="010D2E09" w:rsidR="005720AD" w:rsidRPr="00A91A2B" w:rsidRDefault="005720AD" w:rsidP="00053593">
      <w:pPr>
        <w:pStyle w:val="Heading2"/>
        <w:rPr>
          <w:lang w:val="ru-RU"/>
        </w:rPr>
      </w:pPr>
      <w:r w:rsidRPr="00A91A2B">
        <w:t>A</w:t>
      </w:r>
      <w:r w:rsidRPr="00A91A2B">
        <w:rPr>
          <w:lang w:val="ru-RU"/>
        </w:rPr>
        <w:t>4-1</w:t>
      </w:r>
      <w:r w:rsidRPr="00A91A2B">
        <w:rPr>
          <w:lang w:val="ru-RU"/>
        </w:rPr>
        <w:tab/>
      </w:r>
      <w:r w:rsidR="00A91A2B" w:rsidRPr="00A91A2B">
        <w:rPr>
          <w:lang w:val="ru-RU"/>
        </w:rPr>
        <w:t>Введение</w:t>
      </w:r>
    </w:p>
    <w:p w14:paraId="5FEEC05B" w14:textId="7725A391" w:rsidR="005720AD" w:rsidRPr="00A91A2B" w:rsidRDefault="00A91A2B" w:rsidP="005720AD">
      <w:pPr>
        <w:rPr>
          <w:lang w:val="ru-RU"/>
        </w:rPr>
      </w:pPr>
      <w:r w:rsidRPr="00A91A2B">
        <w:rPr>
          <w:lang w:val="ru-RU"/>
        </w:rPr>
        <w:t xml:space="preserve">Меры, предусмотренные в настоящем Приложении, касаются ситуации, когда администрация решает применить дополнительные </w:t>
      </w:r>
      <w:proofErr w:type="spellStart"/>
      <w:r w:rsidRPr="00A91A2B">
        <w:rPr>
          <w:lang w:val="ru-RU"/>
        </w:rPr>
        <w:t>регламентарные</w:t>
      </w:r>
      <w:proofErr w:type="spellEnd"/>
      <w:r w:rsidRPr="00A91A2B">
        <w:rPr>
          <w:lang w:val="ru-RU"/>
        </w:rPr>
        <w:t xml:space="preserve"> меры по обеспечению совместимости, чтобы снизить риск создания помех для </w:t>
      </w:r>
      <w:r w:rsidR="001E7AF5">
        <w:rPr>
          <w:lang w:val="ru-RU"/>
        </w:rPr>
        <w:t>сухопутных</w:t>
      </w:r>
      <w:r w:rsidRPr="00A91A2B">
        <w:rPr>
          <w:lang w:val="ru-RU"/>
        </w:rPr>
        <w:t xml:space="preserve"> ПЗС в конкретных географических зонах. Это может быть отдельный регион или вся страна. Эти меры могут использоваться по отдельности или </w:t>
      </w:r>
      <w:r>
        <w:rPr>
          <w:lang w:val="ru-RU"/>
        </w:rPr>
        <w:t>в совокупности</w:t>
      </w:r>
      <w:r w:rsidRPr="00A91A2B">
        <w:rPr>
          <w:lang w:val="ru-RU"/>
        </w:rPr>
        <w:t xml:space="preserve"> в разных </w:t>
      </w:r>
      <w:r>
        <w:rPr>
          <w:lang w:val="ru-RU"/>
        </w:rPr>
        <w:t>регионах</w:t>
      </w:r>
      <w:r w:rsidRPr="00A91A2B">
        <w:rPr>
          <w:lang w:val="ru-RU"/>
        </w:rPr>
        <w:t xml:space="preserve"> страны, дополняя друг друга. Они включают:</w:t>
      </w:r>
    </w:p>
    <w:p w14:paraId="6556480F" w14:textId="79AF83AA" w:rsidR="005720AD" w:rsidRPr="005524D5" w:rsidRDefault="005720AD" w:rsidP="005720AD">
      <w:pPr>
        <w:pStyle w:val="enumlev1"/>
        <w:rPr>
          <w:lang w:val="ru-RU"/>
        </w:rPr>
      </w:pPr>
      <w:r w:rsidRPr="005524D5">
        <w:rPr>
          <w:lang w:val="ru-RU"/>
        </w:rPr>
        <w:t>1)</w:t>
      </w:r>
      <w:r w:rsidRPr="005524D5">
        <w:rPr>
          <w:lang w:val="ru-RU"/>
        </w:rPr>
        <w:tab/>
      </w:r>
      <w:r w:rsidR="005524D5" w:rsidRPr="005524D5">
        <w:rPr>
          <w:lang w:val="ru-RU"/>
        </w:rPr>
        <w:t xml:space="preserve">применение пределов </w:t>
      </w:r>
      <w:proofErr w:type="spellStart"/>
      <w:r w:rsidR="005524D5" w:rsidRPr="005524D5">
        <w:rPr>
          <w:lang w:val="ru-RU"/>
        </w:rPr>
        <w:t>п.п.м</w:t>
      </w:r>
      <w:proofErr w:type="spellEnd"/>
      <w:r w:rsidR="005524D5" w:rsidRPr="005524D5">
        <w:rPr>
          <w:lang w:val="ru-RU"/>
        </w:rPr>
        <w:t xml:space="preserve">. </w:t>
      </w:r>
      <w:r w:rsidR="005524D5">
        <w:rPr>
          <w:lang w:val="ru-RU"/>
        </w:rPr>
        <w:t>в отдельном регионе (регионах)</w:t>
      </w:r>
      <w:r w:rsidR="005524D5" w:rsidRPr="005524D5">
        <w:rPr>
          <w:lang w:val="ru-RU"/>
        </w:rPr>
        <w:t xml:space="preserve">, где используются </w:t>
      </w:r>
      <w:r w:rsidR="005524D5">
        <w:rPr>
          <w:lang w:val="ru-RU"/>
        </w:rPr>
        <w:t>сухопутные</w:t>
      </w:r>
      <w:r w:rsidR="005524D5" w:rsidRPr="005524D5">
        <w:rPr>
          <w:lang w:val="ru-RU"/>
        </w:rPr>
        <w:t xml:space="preserve"> ПЗС;</w:t>
      </w:r>
    </w:p>
    <w:p w14:paraId="3A1761F5" w14:textId="1C564A43" w:rsidR="005720AD" w:rsidRPr="009174C6" w:rsidRDefault="005720AD" w:rsidP="005720AD">
      <w:pPr>
        <w:pStyle w:val="enumlev1"/>
        <w:rPr>
          <w:sz w:val="20"/>
          <w:lang w:val="ru-RU"/>
        </w:rPr>
      </w:pPr>
      <w:r w:rsidRPr="009174C6">
        <w:rPr>
          <w:lang w:val="ru-RU"/>
        </w:rPr>
        <w:t>2)</w:t>
      </w:r>
      <w:r w:rsidRPr="009174C6">
        <w:rPr>
          <w:lang w:val="ru-RU"/>
        </w:rPr>
        <w:tab/>
      </w:r>
      <w:r w:rsidR="009174C6" w:rsidRPr="009174C6">
        <w:rPr>
          <w:lang w:val="ru-RU"/>
        </w:rPr>
        <w:t xml:space="preserve">применение </w:t>
      </w:r>
      <w:proofErr w:type="spellStart"/>
      <w:r w:rsidR="009174C6" w:rsidRPr="009174C6">
        <w:rPr>
          <w:lang w:val="ru-RU"/>
        </w:rPr>
        <w:t>внутриполосного</w:t>
      </w:r>
      <w:proofErr w:type="spellEnd"/>
      <w:r w:rsidR="009174C6" w:rsidRPr="009174C6">
        <w:rPr>
          <w:lang w:val="ru-RU"/>
        </w:rPr>
        <w:t xml:space="preserve"> предела </w:t>
      </w:r>
      <w:proofErr w:type="spellStart"/>
      <w:r w:rsidR="009174C6" w:rsidRPr="009174C6">
        <w:rPr>
          <w:lang w:val="ru-RU"/>
        </w:rPr>
        <w:t>э.и.и.м</w:t>
      </w:r>
      <w:proofErr w:type="spellEnd"/>
      <w:r w:rsidR="009174C6" w:rsidRPr="009174C6">
        <w:rPr>
          <w:lang w:val="ru-RU"/>
        </w:rPr>
        <w:t>. для базовых станций IMT.</w:t>
      </w:r>
    </w:p>
    <w:p w14:paraId="2E15CD2C" w14:textId="521470A8" w:rsidR="005720AD" w:rsidRPr="009174C6" w:rsidRDefault="009174C6" w:rsidP="005720AD">
      <w:pPr>
        <w:rPr>
          <w:lang w:val="ru-RU"/>
        </w:rPr>
      </w:pPr>
      <w:r w:rsidRPr="009174C6">
        <w:rPr>
          <w:lang w:val="ru-RU"/>
        </w:rPr>
        <w:t xml:space="preserve">Обычно </w:t>
      </w:r>
      <w:r>
        <w:rPr>
          <w:lang w:val="ru-RU"/>
        </w:rPr>
        <w:t>сухопутные</w:t>
      </w:r>
      <w:r w:rsidRPr="009174C6">
        <w:rPr>
          <w:lang w:val="ru-RU"/>
        </w:rPr>
        <w:t xml:space="preserve"> ПЗС развернуты повсеместно и работают по всей стране. В таких случаях эксплуатация IMT в полосе частот 1512–1518</w:t>
      </w:r>
      <w:r>
        <w:rPr>
          <w:lang w:val="ru-RU"/>
        </w:rPr>
        <w:t> </w:t>
      </w:r>
      <w:r w:rsidRPr="009174C6">
        <w:rPr>
          <w:lang w:val="ru-RU"/>
        </w:rPr>
        <w:t>МГц может оказаться невозможной.</w:t>
      </w:r>
    </w:p>
    <w:p w14:paraId="156CCA4F" w14:textId="7FD0EAE9" w:rsidR="005720AD" w:rsidRPr="009174C6" w:rsidRDefault="009174C6" w:rsidP="005720AD">
      <w:pPr>
        <w:rPr>
          <w:szCs w:val="24"/>
          <w:lang w:val="ru-RU"/>
        </w:rPr>
      </w:pPr>
      <w:r w:rsidRPr="009174C6">
        <w:rPr>
          <w:szCs w:val="24"/>
          <w:lang w:val="ru-RU"/>
        </w:rPr>
        <w:t>Информацию о применимости настоящего Приложения см.</w:t>
      </w:r>
      <w:r>
        <w:rPr>
          <w:szCs w:val="24"/>
          <w:lang w:val="ru-RU"/>
        </w:rPr>
        <w:t> </w:t>
      </w:r>
      <w:r w:rsidRPr="009174C6">
        <w:rPr>
          <w:szCs w:val="24"/>
          <w:lang w:val="ru-RU"/>
        </w:rPr>
        <w:t>в сноске к заголовку. Ниже представлена более подробная информация об определении и применении этих мер.</w:t>
      </w:r>
    </w:p>
    <w:p w14:paraId="0999EA75" w14:textId="5065C149" w:rsidR="005720AD" w:rsidRPr="009174C6" w:rsidRDefault="005720AD" w:rsidP="00053593">
      <w:pPr>
        <w:pStyle w:val="Heading2"/>
        <w:rPr>
          <w:lang w:val="ru-RU"/>
        </w:rPr>
      </w:pPr>
      <w:r w:rsidRPr="009174C6">
        <w:t>A</w:t>
      </w:r>
      <w:r w:rsidRPr="009174C6">
        <w:rPr>
          <w:lang w:val="ru-RU"/>
        </w:rPr>
        <w:t>4-2</w:t>
      </w:r>
      <w:r w:rsidRPr="009174C6">
        <w:rPr>
          <w:lang w:val="ru-RU"/>
        </w:rPr>
        <w:tab/>
      </w:r>
      <w:r w:rsidR="009174C6" w:rsidRPr="009174C6">
        <w:rPr>
          <w:lang w:val="ru-RU"/>
        </w:rPr>
        <w:t xml:space="preserve">Мера 1 – </w:t>
      </w:r>
      <w:r w:rsidR="009174C6">
        <w:rPr>
          <w:lang w:val="ru-RU"/>
        </w:rPr>
        <w:t>пределы</w:t>
      </w:r>
      <w:r w:rsidR="009174C6" w:rsidRPr="009174C6">
        <w:rPr>
          <w:lang w:val="ru-RU"/>
        </w:rPr>
        <w:t xml:space="preserve"> </w:t>
      </w:r>
      <w:proofErr w:type="spellStart"/>
      <w:r w:rsidR="009174C6" w:rsidRPr="009174C6">
        <w:rPr>
          <w:lang w:val="ru-RU"/>
        </w:rPr>
        <w:t>п.п.м</w:t>
      </w:r>
      <w:proofErr w:type="spellEnd"/>
      <w:r w:rsidR="009174C6" w:rsidRPr="009174C6">
        <w:rPr>
          <w:lang w:val="ru-RU"/>
        </w:rPr>
        <w:t>.</w:t>
      </w:r>
    </w:p>
    <w:p w14:paraId="70C42EFE" w14:textId="5FECB7EA" w:rsidR="005720AD" w:rsidRPr="009174C6" w:rsidRDefault="009174C6" w:rsidP="005720AD">
      <w:pPr>
        <w:rPr>
          <w:lang w:val="ru-RU"/>
        </w:rPr>
      </w:pPr>
      <w:r w:rsidRPr="009174C6">
        <w:rPr>
          <w:lang w:val="ru-RU"/>
        </w:rPr>
        <w:t>Администрациям следует определить географические зоны</w:t>
      </w:r>
      <w:r>
        <w:rPr>
          <w:lang w:val="ru-RU"/>
        </w:rPr>
        <w:t xml:space="preserve"> </w:t>
      </w:r>
      <w:r w:rsidRPr="009174C6">
        <w:rPr>
          <w:lang w:val="ru-RU"/>
        </w:rPr>
        <w:t xml:space="preserve">(отдельные части страны или вся ее территория), в которых применяются пределы </w:t>
      </w:r>
      <w:proofErr w:type="spellStart"/>
      <w:r w:rsidRPr="009174C6">
        <w:rPr>
          <w:lang w:val="ru-RU"/>
        </w:rPr>
        <w:t>п.п.м</w:t>
      </w:r>
      <w:proofErr w:type="spellEnd"/>
      <w:r w:rsidRPr="009174C6">
        <w:rPr>
          <w:lang w:val="ru-RU"/>
        </w:rPr>
        <w:t xml:space="preserve">.. Эти максимальные уровни </w:t>
      </w:r>
      <w:proofErr w:type="spellStart"/>
      <w:r w:rsidRPr="009174C6">
        <w:rPr>
          <w:lang w:val="ru-RU"/>
        </w:rPr>
        <w:t>п.п.м</w:t>
      </w:r>
      <w:proofErr w:type="spellEnd"/>
      <w:r w:rsidRPr="009174C6">
        <w:rPr>
          <w:lang w:val="ru-RU"/>
        </w:rPr>
        <w:t xml:space="preserve">. относятся к излучениям базовой станции IMT, попадающим в определенные зоны, независимо от того, где расположены БС IMT. Максимальные уровни </w:t>
      </w:r>
      <w:proofErr w:type="spellStart"/>
      <w:r w:rsidRPr="009174C6">
        <w:rPr>
          <w:lang w:val="ru-RU"/>
        </w:rPr>
        <w:t>п.п.м</w:t>
      </w:r>
      <w:proofErr w:type="spellEnd"/>
      <w:r w:rsidRPr="009174C6">
        <w:rPr>
          <w:lang w:val="ru-RU"/>
        </w:rPr>
        <w:t>. должны соблюдаться на определенной высоте над землей (например</w:t>
      </w:r>
      <w:r>
        <w:rPr>
          <w:lang w:val="ru-RU"/>
        </w:rPr>
        <w:t>, на высоте</w:t>
      </w:r>
      <w:r w:rsidRPr="009174C6">
        <w:rPr>
          <w:lang w:val="ru-RU"/>
        </w:rPr>
        <w:t xml:space="preserve"> 1,5</w:t>
      </w:r>
      <w:r>
        <w:rPr>
          <w:lang w:val="ru-RU"/>
        </w:rPr>
        <w:t> </w:t>
      </w:r>
      <w:r w:rsidRPr="009174C6">
        <w:rPr>
          <w:lang w:val="ru-RU"/>
        </w:rPr>
        <w:t xml:space="preserve">м), на границе и внутри территории. Пределы </w:t>
      </w:r>
      <w:proofErr w:type="spellStart"/>
      <w:r w:rsidRPr="009174C6">
        <w:rPr>
          <w:lang w:val="ru-RU"/>
        </w:rPr>
        <w:t>п.п.м</w:t>
      </w:r>
      <w:proofErr w:type="spellEnd"/>
      <w:r w:rsidRPr="009174C6">
        <w:rPr>
          <w:lang w:val="ru-RU"/>
        </w:rPr>
        <w:t>. улучшают совместимость с излучениями IMT и дополняют технические требования</w:t>
      </w:r>
      <w:r>
        <w:rPr>
          <w:lang w:val="ru-RU"/>
        </w:rPr>
        <w:t>, изложенные в</w:t>
      </w:r>
      <w:r w:rsidRPr="009174C6">
        <w:rPr>
          <w:lang w:val="ru-RU"/>
        </w:rPr>
        <w:t xml:space="preserve"> Приложени</w:t>
      </w:r>
      <w:r>
        <w:rPr>
          <w:lang w:val="ru-RU"/>
        </w:rPr>
        <w:t>и </w:t>
      </w:r>
      <w:r w:rsidRPr="009174C6">
        <w:rPr>
          <w:lang w:val="ru-RU"/>
        </w:rPr>
        <w:t xml:space="preserve">1. Поскольку IMT </w:t>
      </w:r>
      <w:r>
        <w:rPr>
          <w:lang w:val="en-US"/>
        </w:rPr>
        <w:t>UE</w:t>
      </w:r>
      <w:r w:rsidRPr="009174C6">
        <w:rPr>
          <w:lang w:val="ru-RU"/>
        </w:rPr>
        <w:t xml:space="preserve"> может осуществлять передачу только при подключении к сети, расстояние географического разнесения, рассчитанное исходя из уровней плотности потока мощности для БС IMT, может также обеспечивать </w:t>
      </w:r>
      <w:r>
        <w:rPr>
          <w:lang w:val="ru-RU"/>
        </w:rPr>
        <w:t>разнесение</w:t>
      </w:r>
      <w:r w:rsidRPr="009174C6">
        <w:rPr>
          <w:lang w:val="ru-RU"/>
        </w:rPr>
        <w:t xml:space="preserve"> для </w:t>
      </w:r>
      <w:r w:rsidR="005A345D">
        <w:rPr>
          <w:lang w:val="en-US"/>
        </w:rPr>
        <w:t>UE</w:t>
      </w:r>
      <w:r w:rsidRPr="009174C6">
        <w:rPr>
          <w:lang w:val="ru-RU"/>
        </w:rPr>
        <w:t xml:space="preserve"> относительно станций ПЗС наряду с</w:t>
      </w:r>
      <w:r w:rsidR="005A345D">
        <w:rPr>
          <w:lang w:val="ru-RU"/>
        </w:rPr>
        <w:t> </w:t>
      </w:r>
      <w:r w:rsidRPr="009174C6">
        <w:rPr>
          <w:lang w:val="ru-RU"/>
        </w:rPr>
        <w:t xml:space="preserve">дополнительным ослаблением, обусловленным высотой антенны </w:t>
      </w:r>
      <w:r w:rsidR="005A345D">
        <w:rPr>
          <w:lang w:val="en-US"/>
        </w:rPr>
        <w:t>UE</w:t>
      </w:r>
      <w:r w:rsidR="005A345D" w:rsidRPr="009174C6">
        <w:rPr>
          <w:lang w:val="ru-RU"/>
        </w:rPr>
        <w:t xml:space="preserve"> </w:t>
      </w:r>
      <w:r w:rsidRPr="009174C6">
        <w:rPr>
          <w:lang w:val="ru-RU"/>
        </w:rPr>
        <w:t>и окружающими препятствиями.</w:t>
      </w:r>
    </w:p>
    <w:p w14:paraId="314BB1B9" w14:textId="56DD4F99" w:rsidR="005720AD" w:rsidRPr="005A345D" w:rsidRDefault="005A345D" w:rsidP="005720AD">
      <w:pPr>
        <w:rPr>
          <w:lang w:val="ru-RU"/>
        </w:rPr>
      </w:pPr>
      <w:r w:rsidRPr="005A345D">
        <w:rPr>
          <w:lang w:val="ru-RU"/>
        </w:rPr>
        <w:t xml:space="preserve">Пределы </w:t>
      </w:r>
      <w:proofErr w:type="spellStart"/>
      <w:r w:rsidRPr="005A345D">
        <w:rPr>
          <w:lang w:val="ru-RU"/>
        </w:rPr>
        <w:t>п.п.м</w:t>
      </w:r>
      <w:proofErr w:type="spellEnd"/>
      <w:r w:rsidRPr="005A345D">
        <w:rPr>
          <w:lang w:val="ru-RU"/>
        </w:rPr>
        <w:t xml:space="preserve">. применяются в два этапа. Значения </w:t>
      </w:r>
      <w:proofErr w:type="spellStart"/>
      <w:r w:rsidRPr="005A345D">
        <w:rPr>
          <w:lang w:val="ru-RU"/>
        </w:rPr>
        <w:t>п.п.м</w:t>
      </w:r>
      <w:proofErr w:type="spellEnd"/>
      <w:r w:rsidRPr="005A345D">
        <w:rPr>
          <w:lang w:val="ru-RU"/>
        </w:rPr>
        <w:t>. для этапа</w:t>
      </w:r>
      <w:r>
        <w:rPr>
          <w:lang w:val="ru-RU"/>
        </w:rPr>
        <w:t> </w:t>
      </w:r>
      <w:r w:rsidRPr="005A345D">
        <w:rPr>
          <w:lang w:val="ru-RU"/>
        </w:rPr>
        <w:t xml:space="preserve">1 основаны на измеренной устойчивости к блокированию существующих </w:t>
      </w:r>
      <w:r>
        <w:rPr>
          <w:lang w:val="ru-RU"/>
        </w:rPr>
        <w:t>сухопутных</w:t>
      </w:r>
      <w:r w:rsidRPr="005A345D">
        <w:rPr>
          <w:lang w:val="ru-RU"/>
        </w:rPr>
        <w:t xml:space="preserve"> ПЗС. Значения </w:t>
      </w:r>
      <w:proofErr w:type="spellStart"/>
      <w:r w:rsidRPr="005A345D">
        <w:rPr>
          <w:lang w:val="ru-RU"/>
        </w:rPr>
        <w:t>п.п.м</w:t>
      </w:r>
      <w:proofErr w:type="spellEnd"/>
      <w:r w:rsidRPr="005A345D">
        <w:rPr>
          <w:lang w:val="ru-RU"/>
        </w:rPr>
        <w:t>. для этапа</w:t>
      </w:r>
      <w:r>
        <w:rPr>
          <w:lang w:val="ru-RU"/>
        </w:rPr>
        <w:t> </w:t>
      </w:r>
      <w:r w:rsidRPr="005A345D">
        <w:rPr>
          <w:lang w:val="ru-RU"/>
        </w:rPr>
        <w:t>2 основаны на ПЗС, соответствующих уровням устойчивости к блокированию, указанным в Приложении</w:t>
      </w:r>
      <w:r>
        <w:rPr>
          <w:lang w:val="ru-RU"/>
        </w:rPr>
        <w:t> </w:t>
      </w:r>
      <w:r w:rsidRPr="005A345D">
        <w:rPr>
          <w:lang w:val="ru-RU"/>
        </w:rPr>
        <w:t xml:space="preserve">1. Значения </w:t>
      </w:r>
      <w:proofErr w:type="spellStart"/>
      <w:r w:rsidRPr="005A345D">
        <w:rPr>
          <w:lang w:val="ru-RU"/>
        </w:rPr>
        <w:t>п.п.м</w:t>
      </w:r>
      <w:proofErr w:type="spellEnd"/>
      <w:r w:rsidRPr="005A345D">
        <w:rPr>
          <w:lang w:val="ru-RU"/>
        </w:rPr>
        <w:t>. для этапа</w:t>
      </w:r>
      <w:r>
        <w:rPr>
          <w:lang w:val="ru-RU"/>
        </w:rPr>
        <w:t> </w:t>
      </w:r>
      <w:r w:rsidRPr="005A345D">
        <w:rPr>
          <w:lang w:val="ru-RU"/>
        </w:rPr>
        <w:t>2 меньше ограничивают возможности развертывания IMT и должны использоваться, когда это требуется заинтересованной администраци</w:t>
      </w:r>
      <w:r>
        <w:rPr>
          <w:lang w:val="ru-RU"/>
        </w:rPr>
        <w:t>ей</w:t>
      </w:r>
      <w:r w:rsidRPr="005A345D">
        <w:rPr>
          <w:lang w:val="ru-RU"/>
        </w:rPr>
        <w:t xml:space="preserve"> и когда </w:t>
      </w:r>
      <w:r>
        <w:rPr>
          <w:lang w:val="ru-RU"/>
        </w:rPr>
        <w:t>будет сочтено</w:t>
      </w:r>
      <w:r w:rsidRPr="005A345D">
        <w:rPr>
          <w:lang w:val="ru-RU"/>
        </w:rPr>
        <w:t>, что устойчивые терминалы ПЗС развернуты</w:t>
      </w:r>
      <w:r>
        <w:rPr>
          <w:lang w:val="ru-RU"/>
        </w:rPr>
        <w:t xml:space="preserve"> более широко</w:t>
      </w:r>
      <w:r w:rsidRPr="005A345D">
        <w:rPr>
          <w:lang w:val="ru-RU"/>
        </w:rPr>
        <w:t xml:space="preserve">. Пределы </w:t>
      </w:r>
      <w:proofErr w:type="spellStart"/>
      <w:r w:rsidRPr="005A345D">
        <w:rPr>
          <w:lang w:val="ru-RU"/>
        </w:rPr>
        <w:t>п.п.м</w:t>
      </w:r>
      <w:proofErr w:type="spellEnd"/>
      <w:r w:rsidRPr="005A345D">
        <w:rPr>
          <w:lang w:val="ru-RU"/>
        </w:rPr>
        <w:t>. относятся к излучениям базовых станций IMT в полосе частот 1502–1517 МГц.</w:t>
      </w:r>
    </w:p>
    <w:p w14:paraId="3FEDCBF7" w14:textId="1E5BD3E2" w:rsidR="005720AD" w:rsidRPr="005A345D" w:rsidRDefault="005A345D" w:rsidP="005720AD">
      <w:pPr>
        <w:rPr>
          <w:lang w:val="ru-RU"/>
        </w:rPr>
      </w:pPr>
      <w:r w:rsidRPr="005A345D">
        <w:rPr>
          <w:lang w:val="ru-RU"/>
        </w:rPr>
        <w:lastRenderedPageBreak/>
        <w:t xml:space="preserve">Эксплуатация </w:t>
      </w:r>
      <w:r>
        <w:rPr>
          <w:lang w:val="ru-RU"/>
        </w:rPr>
        <w:t>сухопутной</w:t>
      </w:r>
      <w:r w:rsidRPr="005A345D">
        <w:rPr>
          <w:lang w:val="ru-RU"/>
        </w:rPr>
        <w:t xml:space="preserve"> ПСС обычно разрешается </w:t>
      </w:r>
      <w:r>
        <w:rPr>
          <w:lang w:val="ru-RU"/>
        </w:rPr>
        <w:t>по</w:t>
      </w:r>
      <w:r w:rsidRPr="005A345D">
        <w:rPr>
          <w:lang w:val="ru-RU"/>
        </w:rPr>
        <w:t xml:space="preserve"> всей стран</w:t>
      </w:r>
      <w:r>
        <w:rPr>
          <w:lang w:val="ru-RU"/>
        </w:rPr>
        <w:t>е</w:t>
      </w:r>
      <w:r w:rsidRPr="005A345D">
        <w:rPr>
          <w:lang w:val="ru-RU"/>
        </w:rPr>
        <w:t xml:space="preserve">, и в этом случае </w:t>
      </w:r>
      <w:r>
        <w:rPr>
          <w:lang w:val="ru-RU"/>
        </w:rPr>
        <w:t>пределы</w:t>
      </w:r>
      <w:r w:rsidRPr="005A345D">
        <w:rPr>
          <w:lang w:val="ru-RU"/>
        </w:rPr>
        <w:t xml:space="preserve"> </w:t>
      </w:r>
      <w:proofErr w:type="spellStart"/>
      <w:r w:rsidRPr="005A345D">
        <w:rPr>
          <w:lang w:val="ru-RU"/>
        </w:rPr>
        <w:t>п.п.м</w:t>
      </w:r>
      <w:proofErr w:type="spellEnd"/>
      <w:r w:rsidRPr="005A345D">
        <w:rPr>
          <w:lang w:val="ru-RU"/>
        </w:rPr>
        <w:t>. могут применяться на всей территории страны. Тогда работа IMT в полосе частот 1512–1518</w:t>
      </w:r>
      <w:r>
        <w:rPr>
          <w:lang w:val="ru-RU"/>
        </w:rPr>
        <w:t> </w:t>
      </w:r>
      <w:r w:rsidRPr="005A345D">
        <w:rPr>
          <w:lang w:val="ru-RU"/>
        </w:rPr>
        <w:t>МГц может оказаться невозможной.</w:t>
      </w:r>
    </w:p>
    <w:p w14:paraId="20B6A0B1" w14:textId="68088B14" w:rsidR="005720AD" w:rsidRPr="005A345D" w:rsidRDefault="005A345D" w:rsidP="005720AD">
      <w:pPr>
        <w:rPr>
          <w:iCs/>
          <w:lang w:val="ru-RU"/>
        </w:rPr>
      </w:pPr>
      <w:r w:rsidRPr="005A345D">
        <w:rPr>
          <w:lang w:val="ru-RU"/>
        </w:rPr>
        <w:t xml:space="preserve">Пределы </w:t>
      </w:r>
      <w:proofErr w:type="spellStart"/>
      <w:r w:rsidRPr="005A345D">
        <w:rPr>
          <w:lang w:val="ru-RU"/>
        </w:rPr>
        <w:t>п.п.м</w:t>
      </w:r>
      <w:proofErr w:type="spellEnd"/>
      <w:r w:rsidRPr="005A345D">
        <w:rPr>
          <w:lang w:val="ru-RU"/>
        </w:rPr>
        <w:t xml:space="preserve">., указанные в таблице 9, относятся к наибольшему и наименьшему значениям усиления антенны ПЗС, указанным в Отчете </w:t>
      </w:r>
      <w:hyperlink r:id="rId22" w:history="1">
        <w:r w:rsidRPr="005A345D">
          <w:rPr>
            <w:rStyle w:val="Hyperlink"/>
            <w:color w:val="auto"/>
            <w:u w:val="none"/>
            <w:lang w:val="ru-RU"/>
          </w:rPr>
          <w:t>МСЭ-R M.2529</w:t>
        </w:r>
      </w:hyperlink>
      <w:r w:rsidRPr="005A345D">
        <w:rPr>
          <w:rStyle w:val="Hyperlink"/>
          <w:color w:val="auto"/>
          <w:u w:val="none"/>
          <w:lang w:val="ru-RU"/>
        </w:rPr>
        <w:t>.</w:t>
      </w:r>
    </w:p>
    <w:p w14:paraId="2E1EE812" w14:textId="77777777" w:rsidR="005A345D" w:rsidRPr="005A345D" w:rsidRDefault="005A345D" w:rsidP="005A345D">
      <w:pPr>
        <w:pStyle w:val="TableNo"/>
        <w:rPr>
          <w:lang w:val="ru-RU"/>
        </w:rPr>
      </w:pPr>
      <w:r w:rsidRPr="005A345D">
        <w:rPr>
          <w:lang w:val="ru-RU"/>
        </w:rPr>
        <w:t>ТАБЛИЦА 9</w:t>
      </w:r>
    </w:p>
    <w:p w14:paraId="32DC057F" w14:textId="72B9CDC8" w:rsidR="005720AD" w:rsidRPr="005A345D" w:rsidRDefault="005A345D" w:rsidP="005A345D">
      <w:pPr>
        <w:pStyle w:val="Tabletitle"/>
        <w:rPr>
          <w:rFonts w:cs="Times New Roman Bold"/>
          <w:bCs/>
          <w:lang w:val="ru-RU"/>
        </w:rPr>
      </w:pPr>
      <w:r w:rsidRPr="005A345D">
        <w:rPr>
          <w:lang w:val="ru-RU" w:eastAsia="zh-CN"/>
        </w:rPr>
        <w:t xml:space="preserve">Пределы </w:t>
      </w:r>
      <w:proofErr w:type="spellStart"/>
      <w:r w:rsidRPr="005A345D">
        <w:rPr>
          <w:lang w:val="ru-RU" w:eastAsia="zh-CN"/>
        </w:rPr>
        <w:t>п.п.м</w:t>
      </w:r>
      <w:proofErr w:type="spellEnd"/>
      <w:r w:rsidRPr="005A345D">
        <w:rPr>
          <w:lang w:val="ru-RU" w:eastAsia="zh-CN"/>
        </w:rPr>
        <w:t>. для излучений БС IMT</w:t>
      </w:r>
    </w:p>
    <w:tbl>
      <w:tblPr>
        <w:tblStyle w:val="TableGrid7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2049"/>
        <w:gridCol w:w="1134"/>
        <w:gridCol w:w="1134"/>
        <w:gridCol w:w="1134"/>
        <w:gridCol w:w="1134"/>
        <w:gridCol w:w="1134"/>
        <w:gridCol w:w="1139"/>
      </w:tblGrid>
      <w:tr w:rsidR="005720AD" w:rsidRPr="005A345D" w14:paraId="2E9A3A28" w14:textId="77777777" w:rsidTr="006F044D">
        <w:trPr>
          <w:jc w:val="center"/>
        </w:trPr>
        <w:tc>
          <w:tcPr>
            <w:tcW w:w="781" w:type="dxa"/>
            <w:vAlign w:val="center"/>
            <w:hideMark/>
          </w:tcPr>
          <w:p w14:paraId="3DCB959B" w14:textId="4D70B00C" w:rsidR="005720AD" w:rsidRPr="005A345D" w:rsidRDefault="005A345D" w:rsidP="00AE6864">
            <w:pPr>
              <w:pStyle w:val="Tablehead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Этап</w:t>
            </w:r>
          </w:p>
        </w:tc>
        <w:tc>
          <w:tcPr>
            <w:tcW w:w="2049" w:type="dxa"/>
            <w:vAlign w:val="center"/>
          </w:tcPr>
          <w:p w14:paraId="46372530" w14:textId="77777777" w:rsidR="005720AD" w:rsidRPr="005A345D" w:rsidRDefault="005720AD" w:rsidP="00AE6864">
            <w:pPr>
              <w:pStyle w:val="Tablehe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  <w:hideMark/>
          </w:tcPr>
          <w:p w14:paraId="4C9A8006" w14:textId="77A789AF" w:rsidR="005720AD" w:rsidRPr="005A345D" w:rsidRDefault="005A345D" w:rsidP="005A345D">
            <w:pPr>
              <w:pStyle w:val="Tablehea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Этап </w:t>
            </w:r>
            <w:r w:rsidR="005720AD" w:rsidRPr="005A345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07" w:type="dxa"/>
            <w:gridSpan w:val="3"/>
            <w:vAlign w:val="center"/>
            <w:hideMark/>
          </w:tcPr>
          <w:p w14:paraId="5E2E3AFF" w14:textId="45739AD3" w:rsidR="005720AD" w:rsidRPr="005A345D" w:rsidRDefault="005A345D" w:rsidP="00AE6864">
            <w:pPr>
              <w:pStyle w:val="Tablehea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Этап </w:t>
            </w:r>
            <w:r w:rsidR="005720AD" w:rsidRPr="005A345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A345D" w:rsidRPr="00D6207E" w14:paraId="7B68C346" w14:textId="77777777" w:rsidTr="006F044D">
        <w:trPr>
          <w:jc w:val="center"/>
        </w:trPr>
        <w:tc>
          <w:tcPr>
            <w:tcW w:w="781" w:type="dxa"/>
            <w:vAlign w:val="center"/>
          </w:tcPr>
          <w:p w14:paraId="6DB5CB1F" w14:textId="77777777" w:rsidR="005A345D" w:rsidRPr="005A345D" w:rsidRDefault="005A345D" w:rsidP="005A345D">
            <w:pPr>
              <w:pStyle w:val="Tablehe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  <w:hideMark/>
          </w:tcPr>
          <w:p w14:paraId="723E661C" w14:textId="1C3D62AD" w:rsidR="005A345D" w:rsidRPr="005A345D" w:rsidRDefault="005A345D" w:rsidP="005A345D">
            <w:pPr>
              <w:pStyle w:val="Tablehead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A345D">
              <w:rPr>
                <w:rFonts w:ascii="Times New Roman" w:hAnsi="Times New Roman"/>
                <w:sz w:val="18"/>
                <w:lang w:val="ru-RU"/>
              </w:rPr>
              <w:t>Усиление антенны терминала ПЗС (</w:t>
            </w:r>
            <w:proofErr w:type="spellStart"/>
            <w:r w:rsidRPr="005A345D">
              <w:rPr>
                <w:rFonts w:ascii="Times New Roman" w:hAnsi="Times New Roman"/>
                <w:sz w:val="18"/>
                <w:lang w:val="ru-RU"/>
              </w:rPr>
              <w:t>дБи</w:t>
            </w:r>
            <w:proofErr w:type="spellEnd"/>
            <w:r w:rsidRPr="005A345D">
              <w:rPr>
                <w:rFonts w:ascii="Times New Roman" w:hAnsi="Times New Roman"/>
                <w:sz w:val="18"/>
                <w:lang w:val="ru-RU"/>
              </w:rPr>
              <w:t>) в</w:t>
            </w:r>
            <w:r>
              <w:rPr>
                <w:rFonts w:ascii="Times New Roman" w:hAnsi="Times New Roman"/>
                <w:sz w:val="18"/>
                <w:lang w:val="ru-RU"/>
              </w:rPr>
              <w:t> 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направлении базовой станции IMT</w:t>
            </w:r>
          </w:p>
        </w:tc>
        <w:tc>
          <w:tcPr>
            <w:tcW w:w="1134" w:type="dxa"/>
            <w:vAlign w:val="center"/>
            <w:hideMark/>
          </w:tcPr>
          <w:p w14:paraId="5EE03821" w14:textId="1B19941D" w:rsidR="005A345D" w:rsidRPr="005A345D" w:rsidRDefault="005A345D" w:rsidP="00B20250">
            <w:pPr>
              <w:pStyle w:val="Tablehead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A345D">
              <w:rPr>
                <w:rFonts w:ascii="Times New Roman" w:hAnsi="Times New Roman"/>
                <w:sz w:val="18"/>
                <w:lang w:val="ru-RU"/>
              </w:rPr>
              <w:t xml:space="preserve">Предел </w:t>
            </w:r>
            <w:r w:rsidR="006F044D">
              <w:rPr>
                <w:rFonts w:ascii="Times New Roman" w:hAnsi="Times New Roman"/>
                <w:sz w:val="18"/>
                <w:lang w:val="en-GB"/>
              </w:rPr>
              <w:br/>
            </w:r>
            <w:proofErr w:type="spellStart"/>
            <w:r w:rsidRPr="005A345D">
              <w:rPr>
                <w:rFonts w:ascii="Times New Roman" w:hAnsi="Times New Roman"/>
                <w:sz w:val="18"/>
                <w:lang w:val="ru-RU"/>
              </w:rPr>
              <w:t>п.п.м</w:t>
            </w:r>
            <w:proofErr w:type="spellEnd"/>
            <w:r w:rsidRPr="005A345D">
              <w:rPr>
                <w:rFonts w:ascii="Times New Roman" w:hAnsi="Times New Roman"/>
                <w:sz w:val="18"/>
                <w:lang w:val="ru-RU"/>
              </w:rPr>
              <w:t>. для</w:t>
            </w:r>
            <w:r w:rsidR="00B20250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излучений БС в</w:t>
            </w:r>
            <w:r>
              <w:rPr>
                <w:rFonts w:ascii="Times New Roman" w:hAnsi="Times New Roman"/>
                <w:sz w:val="18"/>
                <w:lang w:val="ru-RU"/>
              </w:rPr>
              <w:t> 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полосе частот 1</w:t>
            </w:r>
            <w:r w:rsidR="00B20250">
              <w:rPr>
                <w:rFonts w:ascii="Times New Roman" w:hAnsi="Times New Roman"/>
                <w:sz w:val="18"/>
                <w:lang w:val="ru-RU"/>
              </w:rPr>
              <w:t> 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502–1</w:t>
            </w:r>
            <w:r w:rsidR="00B20250">
              <w:rPr>
                <w:rFonts w:ascii="Times New Roman" w:hAnsi="Times New Roman"/>
                <w:sz w:val="18"/>
                <w:lang w:val="ru-RU"/>
              </w:rPr>
              <w:t> 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507</w:t>
            </w:r>
            <w:r>
              <w:rPr>
                <w:rFonts w:ascii="Times New Roman" w:hAnsi="Times New Roman"/>
                <w:sz w:val="18"/>
                <w:lang w:val="ru-RU"/>
              </w:rPr>
              <w:t> 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МГц (</w:t>
            </w:r>
            <w:proofErr w:type="spellStart"/>
            <w:r w:rsidRPr="005A345D">
              <w:rPr>
                <w:rFonts w:ascii="Times New Roman" w:hAnsi="Times New Roman"/>
                <w:sz w:val="18"/>
                <w:lang w:val="ru-RU"/>
              </w:rPr>
              <w:t>дБВт</w:t>
            </w:r>
            <w:proofErr w:type="spellEnd"/>
            <w:r w:rsidRPr="005A345D">
              <w:rPr>
                <w:rFonts w:ascii="Times New Roman" w:hAnsi="Times New Roman"/>
                <w:sz w:val="18"/>
                <w:lang w:val="ru-RU"/>
              </w:rPr>
              <w:t>/м</w:t>
            </w:r>
            <w:r w:rsidRPr="005A345D">
              <w:rPr>
                <w:rFonts w:ascii="Times New Roman" w:hAnsi="Times New Roman"/>
                <w:sz w:val="18"/>
                <w:vertAlign w:val="superscript"/>
                <w:lang w:val="ru-RU"/>
              </w:rPr>
              <w:t>2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5AD642D9" w14:textId="4AD72690" w:rsidR="005A345D" w:rsidRPr="005A345D" w:rsidRDefault="005A345D" w:rsidP="00B20250">
            <w:pPr>
              <w:pStyle w:val="Tablehead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A345D">
              <w:rPr>
                <w:rFonts w:ascii="Times New Roman" w:hAnsi="Times New Roman"/>
                <w:sz w:val="18"/>
                <w:lang w:val="ru-RU"/>
              </w:rPr>
              <w:t xml:space="preserve">Предел </w:t>
            </w:r>
            <w:proofErr w:type="spellStart"/>
            <w:r w:rsidRPr="005A345D">
              <w:rPr>
                <w:rFonts w:ascii="Times New Roman" w:hAnsi="Times New Roman"/>
                <w:sz w:val="18"/>
                <w:lang w:val="ru-RU"/>
              </w:rPr>
              <w:t>п.п.м</w:t>
            </w:r>
            <w:proofErr w:type="spellEnd"/>
            <w:r w:rsidRPr="005A345D">
              <w:rPr>
                <w:rFonts w:ascii="Times New Roman" w:hAnsi="Times New Roman"/>
                <w:sz w:val="18"/>
                <w:lang w:val="ru-RU"/>
              </w:rPr>
              <w:t>. для</w:t>
            </w:r>
            <w:r w:rsidR="00B20250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излучений БС в</w:t>
            </w:r>
            <w:r>
              <w:rPr>
                <w:rFonts w:ascii="Times New Roman" w:hAnsi="Times New Roman"/>
                <w:sz w:val="18"/>
                <w:lang w:val="ru-RU"/>
              </w:rPr>
              <w:t> 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полосе частот 1</w:t>
            </w:r>
            <w:r w:rsidR="00B20250">
              <w:rPr>
                <w:rFonts w:ascii="Times New Roman" w:hAnsi="Times New Roman"/>
                <w:sz w:val="18"/>
                <w:lang w:val="ru-RU"/>
              </w:rPr>
              <w:t> 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507–1</w:t>
            </w:r>
            <w:r w:rsidR="00B20250">
              <w:rPr>
                <w:rFonts w:ascii="Times New Roman" w:hAnsi="Times New Roman"/>
                <w:sz w:val="18"/>
                <w:lang w:val="ru-RU"/>
              </w:rPr>
              <w:t> 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512</w:t>
            </w:r>
            <w:r w:rsidR="000E35C5">
              <w:rPr>
                <w:rFonts w:ascii="Times New Roman" w:hAnsi="Times New Roman"/>
                <w:sz w:val="18"/>
                <w:lang w:val="ru-RU"/>
              </w:rPr>
              <w:t> 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МГц (</w:t>
            </w:r>
            <w:proofErr w:type="spellStart"/>
            <w:r w:rsidRPr="005A345D">
              <w:rPr>
                <w:rFonts w:ascii="Times New Roman" w:hAnsi="Times New Roman"/>
                <w:sz w:val="18"/>
                <w:lang w:val="ru-RU"/>
              </w:rPr>
              <w:t>дБВт</w:t>
            </w:r>
            <w:proofErr w:type="spellEnd"/>
            <w:r w:rsidRPr="005A345D">
              <w:rPr>
                <w:rFonts w:ascii="Times New Roman" w:hAnsi="Times New Roman"/>
                <w:sz w:val="18"/>
                <w:lang w:val="ru-RU"/>
              </w:rPr>
              <w:t>/м</w:t>
            </w:r>
            <w:r w:rsidRPr="005A345D">
              <w:rPr>
                <w:rFonts w:ascii="Times New Roman" w:hAnsi="Times New Roman"/>
                <w:sz w:val="18"/>
                <w:vertAlign w:val="superscript"/>
                <w:lang w:val="ru-RU"/>
              </w:rPr>
              <w:t>2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68CF5825" w14:textId="60482713" w:rsidR="005A345D" w:rsidRPr="005A345D" w:rsidRDefault="005A345D" w:rsidP="00B20250">
            <w:pPr>
              <w:pStyle w:val="Tablehead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A345D">
              <w:rPr>
                <w:rFonts w:ascii="Times New Roman" w:hAnsi="Times New Roman"/>
                <w:sz w:val="18"/>
                <w:lang w:val="ru-RU"/>
              </w:rPr>
              <w:t xml:space="preserve">Предел </w:t>
            </w:r>
            <w:proofErr w:type="spellStart"/>
            <w:r w:rsidRPr="005A345D">
              <w:rPr>
                <w:rFonts w:ascii="Times New Roman" w:hAnsi="Times New Roman"/>
                <w:sz w:val="18"/>
                <w:lang w:val="ru-RU"/>
              </w:rPr>
              <w:t>п.п.м</w:t>
            </w:r>
            <w:proofErr w:type="spellEnd"/>
            <w:r w:rsidRPr="005A345D">
              <w:rPr>
                <w:rFonts w:ascii="Times New Roman" w:hAnsi="Times New Roman"/>
                <w:sz w:val="18"/>
                <w:lang w:val="ru-RU"/>
              </w:rPr>
              <w:t>. для</w:t>
            </w:r>
            <w:r w:rsidR="00B20250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излучений БС в</w:t>
            </w:r>
            <w:r>
              <w:rPr>
                <w:rFonts w:ascii="Times New Roman" w:hAnsi="Times New Roman"/>
                <w:sz w:val="18"/>
                <w:lang w:val="ru-RU"/>
              </w:rPr>
              <w:t> 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полосе частот 1</w:t>
            </w:r>
            <w:r w:rsidR="00B20250">
              <w:rPr>
                <w:rFonts w:ascii="Times New Roman" w:hAnsi="Times New Roman"/>
                <w:sz w:val="18"/>
                <w:lang w:val="ru-RU"/>
              </w:rPr>
              <w:t> 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512–1</w:t>
            </w:r>
            <w:r w:rsidR="00B20250">
              <w:rPr>
                <w:rFonts w:ascii="Times New Roman" w:hAnsi="Times New Roman"/>
                <w:sz w:val="18"/>
                <w:lang w:val="ru-RU"/>
              </w:rPr>
              <w:t> 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517</w:t>
            </w:r>
            <w:r>
              <w:rPr>
                <w:rFonts w:ascii="Times New Roman" w:hAnsi="Times New Roman"/>
                <w:sz w:val="18"/>
                <w:lang w:val="ru-RU"/>
              </w:rPr>
              <w:t> 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МГц (</w:t>
            </w:r>
            <w:proofErr w:type="spellStart"/>
            <w:r w:rsidRPr="005A345D">
              <w:rPr>
                <w:rFonts w:ascii="Times New Roman" w:hAnsi="Times New Roman"/>
                <w:sz w:val="18"/>
                <w:lang w:val="ru-RU"/>
              </w:rPr>
              <w:t>дБВт</w:t>
            </w:r>
            <w:proofErr w:type="spellEnd"/>
            <w:r w:rsidRPr="005A345D">
              <w:rPr>
                <w:rFonts w:ascii="Times New Roman" w:hAnsi="Times New Roman"/>
                <w:sz w:val="18"/>
                <w:lang w:val="ru-RU"/>
              </w:rPr>
              <w:t>/м</w:t>
            </w:r>
            <w:r w:rsidRPr="005A345D">
              <w:rPr>
                <w:rFonts w:ascii="Times New Roman" w:hAnsi="Times New Roman"/>
                <w:sz w:val="18"/>
                <w:vertAlign w:val="superscript"/>
                <w:lang w:val="ru-RU"/>
              </w:rPr>
              <w:t>2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7575710F" w14:textId="4E45CD03" w:rsidR="005A345D" w:rsidRPr="005A345D" w:rsidRDefault="005A345D" w:rsidP="00B20250">
            <w:pPr>
              <w:pStyle w:val="Tablehead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A345D">
              <w:rPr>
                <w:rFonts w:ascii="Times New Roman" w:hAnsi="Times New Roman"/>
                <w:sz w:val="18"/>
                <w:lang w:val="ru-RU"/>
              </w:rPr>
              <w:t xml:space="preserve">Предел </w:t>
            </w:r>
            <w:proofErr w:type="spellStart"/>
            <w:r w:rsidRPr="005A345D">
              <w:rPr>
                <w:rFonts w:ascii="Times New Roman" w:hAnsi="Times New Roman"/>
                <w:sz w:val="18"/>
                <w:lang w:val="ru-RU"/>
              </w:rPr>
              <w:t>п.п.м</w:t>
            </w:r>
            <w:proofErr w:type="spellEnd"/>
            <w:r w:rsidRPr="005A345D">
              <w:rPr>
                <w:rFonts w:ascii="Times New Roman" w:hAnsi="Times New Roman"/>
                <w:sz w:val="18"/>
                <w:lang w:val="ru-RU"/>
              </w:rPr>
              <w:t>. для</w:t>
            </w:r>
            <w:r w:rsidR="00B20250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 xml:space="preserve">излучений БС </w:t>
            </w:r>
            <w:proofErr w:type="gramStart"/>
            <w:r w:rsidRPr="005A345D">
              <w:rPr>
                <w:rFonts w:ascii="Times New Roman" w:hAnsi="Times New Roman"/>
                <w:sz w:val="18"/>
                <w:lang w:val="ru-RU"/>
              </w:rPr>
              <w:t>в</w:t>
            </w:r>
            <w:r>
              <w:rPr>
                <w:rFonts w:ascii="Times New Roman" w:hAnsi="Times New Roman"/>
                <w:sz w:val="18"/>
                <w:lang w:val="ru-RU"/>
              </w:rPr>
              <w:t> 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 xml:space="preserve"> полосе</w:t>
            </w:r>
            <w:proofErr w:type="gramEnd"/>
            <w:r w:rsidRPr="005A345D">
              <w:rPr>
                <w:rFonts w:ascii="Times New Roman" w:hAnsi="Times New Roman"/>
                <w:sz w:val="18"/>
                <w:lang w:val="ru-RU"/>
              </w:rPr>
              <w:t xml:space="preserve"> частот 1</w:t>
            </w:r>
            <w:r w:rsidR="00B20250">
              <w:rPr>
                <w:rFonts w:ascii="Times New Roman" w:hAnsi="Times New Roman"/>
                <w:sz w:val="18"/>
                <w:lang w:val="ru-RU"/>
              </w:rPr>
              <w:t> 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502–1</w:t>
            </w:r>
            <w:r w:rsidR="00B20250">
              <w:rPr>
                <w:rFonts w:ascii="Times New Roman" w:hAnsi="Times New Roman"/>
                <w:sz w:val="18"/>
                <w:lang w:val="ru-RU"/>
              </w:rPr>
              <w:t> 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507</w:t>
            </w:r>
            <w:r>
              <w:rPr>
                <w:rFonts w:ascii="Times New Roman" w:hAnsi="Times New Roman"/>
                <w:sz w:val="18"/>
                <w:lang w:val="ru-RU"/>
              </w:rPr>
              <w:t> 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МГц (</w:t>
            </w:r>
            <w:proofErr w:type="spellStart"/>
            <w:r w:rsidRPr="005A345D">
              <w:rPr>
                <w:rFonts w:ascii="Times New Roman" w:hAnsi="Times New Roman"/>
                <w:sz w:val="18"/>
                <w:lang w:val="ru-RU"/>
              </w:rPr>
              <w:t>дБВт</w:t>
            </w:r>
            <w:proofErr w:type="spellEnd"/>
            <w:r w:rsidRPr="005A345D">
              <w:rPr>
                <w:rFonts w:ascii="Times New Roman" w:hAnsi="Times New Roman"/>
                <w:sz w:val="18"/>
                <w:lang w:val="ru-RU"/>
              </w:rPr>
              <w:t>/м</w:t>
            </w:r>
            <w:r w:rsidRPr="00CB1E30">
              <w:rPr>
                <w:rFonts w:ascii="Times New Roman" w:hAnsi="Times New Roman"/>
                <w:sz w:val="18"/>
                <w:vertAlign w:val="superscript"/>
                <w:lang w:val="ru-RU"/>
              </w:rPr>
              <w:t>2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357F42B0" w14:textId="00FF8868" w:rsidR="005A345D" w:rsidRPr="005A345D" w:rsidRDefault="005A345D" w:rsidP="00B20250">
            <w:pPr>
              <w:pStyle w:val="Tablehead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A345D">
              <w:rPr>
                <w:rFonts w:ascii="Times New Roman" w:hAnsi="Times New Roman"/>
                <w:sz w:val="18"/>
                <w:lang w:val="ru-RU"/>
              </w:rPr>
              <w:t xml:space="preserve">Предел </w:t>
            </w:r>
            <w:proofErr w:type="spellStart"/>
            <w:r w:rsidRPr="005A345D">
              <w:rPr>
                <w:rFonts w:ascii="Times New Roman" w:hAnsi="Times New Roman"/>
                <w:sz w:val="18"/>
                <w:lang w:val="ru-RU"/>
              </w:rPr>
              <w:t>п.п.м</w:t>
            </w:r>
            <w:proofErr w:type="spellEnd"/>
            <w:r w:rsidRPr="005A345D">
              <w:rPr>
                <w:rFonts w:ascii="Times New Roman" w:hAnsi="Times New Roman"/>
                <w:sz w:val="18"/>
                <w:lang w:val="ru-RU"/>
              </w:rPr>
              <w:t>. для</w:t>
            </w:r>
            <w:r w:rsidR="00B20250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излучений БС в</w:t>
            </w:r>
            <w:r w:rsidR="000E35C5">
              <w:rPr>
                <w:rFonts w:ascii="Times New Roman" w:hAnsi="Times New Roman"/>
                <w:sz w:val="18"/>
                <w:lang w:val="ru-RU"/>
              </w:rPr>
              <w:t> 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полосе частот 1</w:t>
            </w:r>
            <w:r w:rsidR="00B20250">
              <w:rPr>
                <w:rFonts w:ascii="Times New Roman" w:hAnsi="Times New Roman"/>
                <w:sz w:val="18"/>
                <w:lang w:val="ru-RU"/>
              </w:rPr>
              <w:t> 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507–1</w:t>
            </w:r>
            <w:r w:rsidR="00B20250">
              <w:rPr>
                <w:rFonts w:ascii="Times New Roman" w:hAnsi="Times New Roman"/>
                <w:sz w:val="18"/>
                <w:lang w:val="ru-RU"/>
              </w:rPr>
              <w:t> 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512</w:t>
            </w:r>
            <w:r w:rsidR="000E35C5">
              <w:rPr>
                <w:rFonts w:ascii="Times New Roman" w:hAnsi="Times New Roman"/>
                <w:sz w:val="18"/>
                <w:lang w:val="ru-RU"/>
              </w:rPr>
              <w:t> 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МГц (</w:t>
            </w:r>
            <w:proofErr w:type="spellStart"/>
            <w:r w:rsidRPr="005A345D">
              <w:rPr>
                <w:rFonts w:ascii="Times New Roman" w:hAnsi="Times New Roman"/>
                <w:sz w:val="18"/>
                <w:lang w:val="ru-RU"/>
              </w:rPr>
              <w:t>дБВт</w:t>
            </w:r>
            <w:proofErr w:type="spellEnd"/>
            <w:r w:rsidRPr="005A345D">
              <w:rPr>
                <w:rFonts w:ascii="Times New Roman" w:hAnsi="Times New Roman"/>
                <w:sz w:val="18"/>
                <w:lang w:val="ru-RU"/>
              </w:rPr>
              <w:t>/м</w:t>
            </w:r>
            <w:r w:rsidRPr="005A345D">
              <w:rPr>
                <w:rFonts w:ascii="Times New Roman" w:hAnsi="Times New Roman"/>
                <w:sz w:val="18"/>
                <w:vertAlign w:val="superscript"/>
                <w:lang w:val="ru-RU"/>
              </w:rPr>
              <w:t>2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)</w:t>
            </w:r>
          </w:p>
        </w:tc>
        <w:tc>
          <w:tcPr>
            <w:tcW w:w="1139" w:type="dxa"/>
            <w:vAlign w:val="center"/>
            <w:hideMark/>
          </w:tcPr>
          <w:p w14:paraId="6E2E25B0" w14:textId="4A70AE0E" w:rsidR="005A345D" w:rsidRPr="005A345D" w:rsidRDefault="005A345D" w:rsidP="00B20250">
            <w:pPr>
              <w:pStyle w:val="Tablehead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A345D">
              <w:rPr>
                <w:rFonts w:ascii="Times New Roman" w:hAnsi="Times New Roman"/>
                <w:sz w:val="18"/>
                <w:lang w:val="ru-RU"/>
              </w:rPr>
              <w:t xml:space="preserve">Предел </w:t>
            </w:r>
            <w:proofErr w:type="spellStart"/>
            <w:r w:rsidRPr="005A345D">
              <w:rPr>
                <w:rFonts w:ascii="Times New Roman" w:hAnsi="Times New Roman"/>
                <w:sz w:val="18"/>
                <w:lang w:val="ru-RU"/>
              </w:rPr>
              <w:t>п.п.м</w:t>
            </w:r>
            <w:proofErr w:type="spellEnd"/>
            <w:r w:rsidRPr="005A345D">
              <w:rPr>
                <w:rFonts w:ascii="Times New Roman" w:hAnsi="Times New Roman"/>
                <w:sz w:val="18"/>
                <w:lang w:val="ru-RU"/>
              </w:rPr>
              <w:t>. для</w:t>
            </w:r>
            <w:r w:rsidR="00B20250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излучений БС в</w:t>
            </w:r>
            <w:r w:rsidR="000E35C5">
              <w:rPr>
                <w:rFonts w:ascii="Times New Roman" w:hAnsi="Times New Roman"/>
                <w:sz w:val="18"/>
                <w:lang w:val="ru-RU"/>
              </w:rPr>
              <w:t> 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полосе частот</w:t>
            </w:r>
            <w:r w:rsidR="000E35C5">
              <w:rPr>
                <w:rFonts w:ascii="Times New Roman" w:hAnsi="Times New Roman"/>
                <w:sz w:val="18"/>
                <w:lang w:val="ru-RU"/>
              </w:rPr>
              <w:br/>
            </w:r>
            <w:r w:rsidRPr="005A345D">
              <w:rPr>
                <w:rFonts w:ascii="Times New Roman" w:hAnsi="Times New Roman"/>
                <w:sz w:val="18"/>
                <w:lang w:val="ru-RU"/>
              </w:rPr>
              <w:t>1</w:t>
            </w:r>
            <w:r w:rsidR="00B20250">
              <w:rPr>
                <w:rFonts w:ascii="Times New Roman" w:hAnsi="Times New Roman"/>
                <w:sz w:val="18"/>
                <w:lang w:val="ru-RU"/>
              </w:rPr>
              <w:t> 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512–1</w:t>
            </w:r>
            <w:r w:rsidR="00B20250">
              <w:rPr>
                <w:rFonts w:ascii="Times New Roman" w:hAnsi="Times New Roman"/>
                <w:sz w:val="18"/>
                <w:lang w:val="ru-RU"/>
              </w:rPr>
              <w:t> 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517</w:t>
            </w:r>
            <w:r w:rsidR="000E35C5">
              <w:rPr>
                <w:rFonts w:ascii="Times New Roman" w:hAnsi="Times New Roman"/>
                <w:sz w:val="18"/>
                <w:lang w:val="ru-RU"/>
              </w:rPr>
              <w:t> 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МГц (</w:t>
            </w:r>
            <w:proofErr w:type="spellStart"/>
            <w:r w:rsidRPr="005A345D">
              <w:rPr>
                <w:rFonts w:ascii="Times New Roman" w:hAnsi="Times New Roman"/>
                <w:sz w:val="18"/>
                <w:lang w:val="ru-RU"/>
              </w:rPr>
              <w:t>дБВт</w:t>
            </w:r>
            <w:proofErr w:type="spellEnd"/>
            <w:r w:rsidRPr="005A345D">
              <w:rPr>
                <w:rFonts w:ascii="Times New Roman" w:hAnsi="Times New Roman"/>
                <w:sz w:val="18"/>
                <w:lang w:val="ru-RU"/>
              </w:rPr>
              <w:t>/м</w:t>
            </w:r>
            <w:r w:rsidRPr="005A345D">
              <w:rPr>
                <w:rFonts w:ascii="Times New Roman" w:hAnsi="Times New Roman"/>
                <w:sz w:val="18"/>
                <w:vertAlign w:val="superscript"/>
                <w:lang w:val="ru-RU"/>
              </w:rPr>
              <w:t>2</w:t>
            </w:r>
            <w:r w:rsidRPr="005A345D">
              <w:rPr>
                <w:rFonts w:ascii="Times New Roman" w:hAnsi="Times New Roman"/>
                <w:sz w:val="18"/>
                <w:lang w:val="ru-RU"/>
              </w:rPr>
              <w:t>)</w:t>
            </w:r>
          </w:p>
        </w:tc>
      </w:tr>
      <w:tr w:rsidR="005720AD" w:rsidRPr="005A345D" w14:paraId="150D47FB" w14:textId="77777777" w:rsidTr="006F044D">
        <w:trPr>
          <w:jc w:val="center"/>
        </w:trPr>
        <w:tc>
          <w:tcPr>
            <w:tcW w:w="781" w:type="dxa"/>
            <w:vMerge w:val="restart"/>
            <w:vAlign w:val="center"/>
            <w:hideMark/>
          </w:tcPr>
          <w:p w14:paraId="7D185BD2" w14:textId="40F8ABAA" w:rsidR="005720AD" w:rsidRPr="000E35C5" w:rsidRDefault="000E35C5" w:rsidP="00AE6864">
            <w:pPr>
              <w:pStyle w:val="Tabletext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0E35C5">
              <w:rPr>
                <w:rFonts w:ascii="Times New Roman" w:hAnsi="Times New Roman"/>
                <w:sz w:val="18"/>
                <w:szCs w:val="18"/>
                <w:lang w:val="ru-RU"/>
              </w:rPr>
              <w:t>Сухо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Pr="000E35C5">
              <w:rPr>
                <w:rFonts w:ascii="Times New Roman" w:hAnsi="Times New Roman"/>
                <w:sz w:val="18"/>
                <w:szCs w:val="18"/>
                <w:lang w:val="ru-RU"/>
              </w:rPr>
              <w:t>путные</w:t>
            </w:r>
            <w:proofErr w:type="gramEnd"/>
            <w:r w:rsidRPr="000E35C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ПЗС</w:t>
            </w:r>
          </w:p>
        </w:tc>
        <w:tc>
          <w:tcPr>
            <w:tcW w:w="2049" w:type="dxa"/>
            <w:vAlign w:val="center"/>
            <w:hideMark/>
          </w:tcPr>
          <w:p w14:paraId="2A87902F" w14:textId="20F7867D" w:rsidR="005720AD" w:rsidRPr="005A345D" w:rsidRDefault="005720AD" w:rsidP="000E35C5">
            <w:pPr>
              <w:pStyle w:val="Tabletext"/>
              <w:jc w:val="center"/>
              <w:rPr>
                <w:sz w:val="18"/>
                <w:szCs w:val="18"/>
              </w:rPr>
            </w:pPr>
            <w:r w:rsidRPr="005A345D">
              <w:rPr>
                <w:sz w:val="18"/>
                <w:szCs w:val="18"/>
              </w:rPr>
              <w:t xml:space="preserve">1 </w:t>
            </w:r>
            <w:r w:rsidRPr="000E35C5">
              <w:rPr>
                <w:rFonts w:ascii="Times New Roman" w:hAnsi="Times New Roman"/>
                <w:sz w:val="18"/>
                <w:szCs w:val="18"/>
              </w:rPr>
              <w:t>(</w:t>
            </w:r>
            <w:r w:rsidR="000E35C5" w:rsidRPr="000E35C5">
              <w:rPr>
                <w:rFonts w:ascii="Times New Roman" w:hAnsi="Times New Roman"/>
                <w:sz w:val="18"/>
                <w:szCs w:val="18"/>
                <w:lang w:val="ru-RU"/>
              </w:rPr>
              <w:t>наименьшее</w:t>
            </w:r>
            <w:r w:rsidRPr="000E35C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2DB32F85" w14:textId="40F69CAF" w:rsidR="005720AD" w:rsidRPr="000E35C5" w:rsidRDefault="005720AD" w:rsidP="000E35C5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5C5">
              <w:rPr>
                <w:rFonts w:ascii="Times New Roman" w:hAnsi="Times New Roman"/>
                <w:sz w:val="18"/>
                <w:szCs w:val="18"/>
                <w:lang w:eastAsia="en-GB"/>
              </w:rPr>
              <w:t>−54</w:t>
            </w:r>
            <w:r w:rsidR="000E35C5" w:rsidRPr="000E35C5">
              <w:rPr>
                <w:rFonts w:ascii="Times New Roman" w:hAnsi="Times New Roman"/>
                <w:sz w:val="18"/>
                <w:szCs w:val="18"/>
                <w:lang w:val="ru-RU" w:eastAsia="en-GB"/>
              </w:rPr>
              <w:t>,</w:t>
            </w:r>
            <w:r w:rsidRPr="000E35C5">
              <w:rPr>
                <w:rFonts w:ascii="Times New Roman" w:hAnsi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14:paraId="4E32CFFE" w14:textId="5269EA2C" w:rsidR="005720AD" w:rsidRPr="000E35C5" w:rsidRDefault="005720AD" w:rsidP="00AE6864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5C5">
              <w:rPr>
                <w:rFonts w:ascii="Times New Roman" w:hAnsi="Times New Roman"/>
                <w:sz w:val="18"/>
                <w:szCs w:val="18"/>
                <w:lang w:eastAsia="en-GB"/>
              </w:rPr>
              <w:t>−61</w:t>
            </w:r>
            <w:r w:rsidR="000E35C5" w:rsidRPr="000E35C5">
              <w:rPr>
                <w:rFonts w:ascii="Times New Roman" w:hAnsi="Times New Roman"/>
                <w:sz w:val="18"/>
                <w:szCs w:val="18"/>
                <w:lang w:val="ru-RU" w:eastAsia="en-GB"/>
              </w:rPr>
              <w:t>,</w:t>
            </w:r>
            <w:r w:rsidRPr="000E35C5">
              <w:rPr>
                <w:rFonts w:ascii="Times New Roman" w:hAnsi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14:paraId="0E62127A" w14:textId="556D3313" w:rsidR="005720AD" w:rsidRPr="000E35C5" w:rsidRDefault="005720AD" w:rsidP="00AE6864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5C5">
              <w:rPr>
                <w:rFonts w:ascii="Times New Roman" w:hAnsi="Times New Roman"/>
                <w:sz w:val="18"/>
                <w:szCs w:val="18"/>
                <w:lang w:eastAsia="en-GB"/>
              </w:rPr>
              <w:t>−68</w:t>
            </w:r>
            <w:r w:rsidR="000E35C5" w:rsidRPr="000E35C5">
              <w:rPr>
                <w:rFonts w:ascii="Times New Roman" w:hAnsi="Times New Roman"/>
                <w:sz w:val="18"/>
                <w:szCs w:val="18"/>
                <w:lang w:val="ru-RU" w:eastAsia="en-GB"/>
              </w:rPr>
              <w:t>,</w:t>
            </w:r>
            <w:r w:rsidRPr="000E35C5">
              <w:rPr>
                <w:rFonts w:ascii="Times New Roman" w:hAnsi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14:paraId="636B8592" w14:textId="2B793E5B" w:rsidR="005720AD" w:rsidRPr="000E35C5" w:rsidRDefault="005720AD" w:rsidP="00AE6864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5C5">
              <w:rPr>
                <w:rFonts w:ascii="Times New Roman" w:hAnsi="Times New Roman"/>
                <w:sz w:val="18"/>
                <w:szCs w:val="18"/>
                <w:lang w:eastAsia="en-GB"/>
              </w:rPr>
              <w:t>−19</w:t>
            </w:r>
            <w:r w:rsidR="000E35C5" w:rsidRPr="000E35C5">
              <w:rPr>
                <w:rFonts w:ascii="Times New Roman" w:hAnsi="Times New Roman"/>
                <w:sz w:val="18"/>
                <w:szCs w:val="18"/>
                <w:lang w:val="ru-RU" w:eastAsia="en-GB"/>
              </w:rPr>
              <w:t>,</w:t>
            </w:r>
            <w:r w:rsidRPr="000E35C5">
              <w:rPr>
                <w:rFonts w:ascii="Times New Roman" w:hAnsi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14:paraId="2EF0152C" w14:textId="3DA27621" w:rsidR="005720AD" w:rsidRPr="000E35C5" w:rsidRDefault="005720AD" w:rsidP="00AE6864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5C5">
              <w:rPr>
                <w:rFonts w:ascii="Times New Roman" w:hAnsi="Times New Roman"/>
                <w:sz w:val="18"/>
                <w:szCs w:val="18"/>
                <w:lang w:eastAsia="en-GB"/>
              </w:rPr>
              <w:t>−23</w:t>
            </w:r>
            <w:r w:rsidR="000E35C5" w:rsidRPr="000E35C5">
              <w:rPr>
                <w:rFonts w:ascii="Times New Roman" w:hAnsi="Times New Roman"/>
                <w:sz w:val="18"/>
                <w:szCs w:val="18"/>
                <w:lang w:val="ru-RU" w:eastAsia="en-GB"/>
              </w:rPr>
              <w:t>,</w:t>
            </w:r>
            <w:r w:rsidRPr="000E35C5">
              <w:rPr>
                <w:rFonts w:ascii="Times New Roman" w:hAnsi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139" w:type="dxa"/>
            <w:vAlign w:val="center"/>
            <w:hideMark/>
          </w:tcPr>
          <w:p w14:paraId="4B68F860" w14:textId="1C181630" w:rsidR="005720AD" w:rsidRPr="000E35C5" w:rsidRDefault="005720AD" w:rsidP="00AE6864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5C5">
              <w:rPr>
                <w:rFonts w:ascii="Times New Roman" w:hAnsi="Times New Roman"/>
                <w:sz w:val="18"/>
                <w:szCs w:val="18"/>
                <w:lang w:eastAsia="en-GB"/>
              </w:rPr>
              <w:t>−38</w:t>
            </w:r>
            <w:r w:rsidR="000E35C5" w:rsidRPr="000E35C5">
              <w:rPr>
                <w:rFonts w:ascii="Times New Roman" w:hAnsi="Times New Roman"/>
                <w:sz w:val="18"/>
                <w:szCs w:val="18"/>
                <w:lang w:val="ru-RU" w:eastAsia="en-GB"/>
              </w:rPr>
              <w:t>,</w:t>
            </w:r>
            <w:r w:rsidRPr="000E35C5">
              <w:rPr>
                <w:rFonts w:ascii="Times New Roman" w:hAnsi="Times New Roman"/>
                <w:sz w:val="18"/>
                <w:szCs w:val="18"/>
                <w:lang w:eastAsia="en-GB"/>
              </w:rPr>
              <w:t>9</w:t>
            </w:r>
          </w:p>
        </w:tc>
      </w:tr>
      <w:tr w:rsidR="005720AD" w:rsidRPr="005A345D" w14:paraId="7C149136" w14:textId="77777777" w:rsidTr="006F044D">
        <w:trPr>
          <w:jc w:val="center"/>
        </w:trPr>
        <w:tc>
          <w:tcPr>
            <w:tcW w:w="781" w:type="dxa"/>
            <w:vMerge/>
            <w:tcBorders>
              <w:bottom w:val="single" w:sz="4" w:space="0" w:color="auto"/>
            </w:tcBorders>
            <w:hideMark/>
          </w:tcPr>
          <w:p w14:paraId="398F1823" w14:textId="77777777" w:rsidR="005720AD" w:rsidRPr="005A345D" w:rsidRDefault="005720AD" w:rsidP="00AE6864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  <w:hideMark/>
          </w:tcPr>
          <w:p w14:paraId="419DDA25" w14:textId="55E1C853" w:rsidR="005720AD" w:rsidRPr="005A345D" w:rsidRDefault="005720AD" w:rsidP="000E35C5">
            <w:pPr>
              <w:pStyle w:val="Tabletext"/>
              <w:jc w:val="center"/>
              <w:rPr>
                <w:sz w:val="18"/>
                <w:szCs w:val="18"/>
              </w:rPr>
            </w:pPr>
            <w:r w:rsidRPr="005A345D">
              <w:rPr>
                <w:sz w:val="18"/>
                <w:szCs w:val="18"/>
              </w:rPr>
              <w:t>32 (</w:t>
            </w:r>
            <w:r w:rsidR="000E35C5" w:rsidRPr="000E35C5">
              <w:rPr>
                <w:rFonts w:ascii="Times New Roman" w:hAnsi="Times New Roman"/>
                <w:sz w:val="18"/>
                <w:szCs w:val="18"/>
                <w:lang w:val="ru-RU"/>
              </w:rPr>
              <w:t>наибольшее</w:t>
            </w:r>
            <w:r w:rsidRPr="005A345D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5FC698B4" w14:textId="22A35CFF" w:rsidR="005720AD" w:rsidRPr="000E35C5" w:rsidRDefault="005720AD" w:rsidP="00AE6864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5C5">
              <w:rPr>
                <w:rFonts w:ascii="Times New Roman" w:hAnsi="Times New Roman"/>
                <w:sz w:val="18"/>
                <w:szCs w:val="18"/>
                <w:lang w:eastAsia="en-GB"/>
              </w:rPr>
              <w:t>−85</w:t>
            </w:r>
            <w:r w:rsidR="000E35C5" w:rsidRPr="000E35C5">
              <w:rPr>
                <w:rFonts w:ascii="Times New Roman" w:hAnsi="Times New Roman"/>
                <w:sz w:val="18"/>
                <w:szCs w:val="18"/>
                <w:lang w:val="ru-RU" w:eastAsia="en-GB"/>
              </w:rPr>
              <w:t>,</w:t>
            </w:r>
            <w:r w:rsidRPr="000E35C5">
              <w:rPr>
                <w:rFonts w:ascii="Times New Roman" w:hAnsi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60DD145F" w14:textId="5582BFD1" w:rsidR="005720AD" w:rsidRPr="000E35C5" w:rsidRDefault="005720AD" w:rsidP="00AE6864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5C5">
              <w:rPr>
                <w:rFonts w:ascii="Times New Roman" w:hAnsi="Times New Roman"/>
                <w:sz w:val="18"/>
                <w:szCs w:val="18"/>
                <w:lang w:eastAsia="en-GB"/>
              </w:rPr>
              <w:t>−92</w:t>
            </w:r>
            <w:r w:rsidR="000E35C5" w:rsidRPr="000E35C5">
              <w:rPr>
                <w:rFonts w:ascii="Times New Roman" w:hAnsi="Times New Roman"/>
                <w:sz w:val="18"/>
                <w:szCs w:val="18"/>
                <w:lang w:val="ru-RU" w:eastAsia="en-GB"/>
              </w:rPr>
              <w:t>,</w:t>
            </w:r>
            <w:r w:rsidRPr="000E35C5">
              <w:rPr>
                <w:rFonts w:ascii="Times New Roman" w:hAnsi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1C635855" w14:textId="57DE3BB9" w:rsidR="005720AD" w:rsidRPr="000E35C5" w:rsidRDefault="005720AD" w:rsidP="00AE6864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5C5">
              <w:rPr>
                <w:rFonts w:ascii="Times New Roman" w:hAnsi="Times New Roman"/>
                <w:sz w:val="18"/>
                <w:szCs w:val="18"/>
                <w:lang w:eastAsia="en-GB"/>
              </w:rPr>
              <w:t>−99</w:t>
            </w:r>
            <w:r w:rsidR="000E35C5" w:rsidRPr="000E35C5">
              <w:rPr>
                <w:rFonts w:ascii="Times New Roman" w:hAnsi="Times New Roman"/>
                <w:sz w:val="18"/>
                <w:szCs w:val="18"/>
                <w:lang w:val="ru-RU" w:eastAsia="en-GB"/>
              </w:rPr>
              <w:t>,</w:t>
            </w:r>
            <w:r w:rsidRPr="000E35C5">
              <w:rPr>
                <w:rFonts w:ascii="Times New Roman" w:hAnsi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2A4063DC" w14:textId="71CBECBE" w:rsidR="005720AD" w:rsidRPr="000E35C5" w:rsidRDefault="005720AD" w:rsidP="00AE6864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5C5">
              <w:rPr>
                <w:rFonts w:ascii="Times New Roman" w:hAnsi="Times New Roman"/>
                <w:sz w:val="18"/>
                <w:szCs w:val="18"/>
                <w:lang w:eastAsia="en-GB"/>
              </w:rPr>
              <w:t>−50</w:t>
            </w:r>
            <w:r w:rsidR="000E35C5" w:rsidRPr="000E35C5">
              <w:rPr>
                <w:rFonts w:ascii="Times New Roman" w:hAnsi="Times New Roman"/>
                <w:sz w:val="18"/>
                <w:szCs w:val="18"/>
                <w:lang w:val="ru-RU" w:eastAsia="en-GB"/>
              </w:rPr>
              <w:t>,</w:t>
            </w:r>
            <w:r w:rsidRPr="000E35C5">
              <w:rPr>
                <w:rFonts w:ascii="Times New Roman" w:hAnsi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0343C47E" w14:textId="65865E4A" w:rsidR="005720AD" w:rsidRPr="000E35C5" w:rsidRDefault="005720AD" w:rsidP="00AE6864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5C5">
              <w:rPr>
                <w:rFonts w:ascii="Times New Roman" w:hAnsi="Times New Roman"/>
                <w:sz w:val="18"/>
                <w:szCs w:val="18"/>
                <w:lang w:eastAsia="en-GB"/>
              </w:rPr>
              <w:t>−54</w:t>
            </w:r>
            <w:r w:rsidR="000E35C5" w:rsidRPr="000E35C5">
              <w:rPr>
                <w:rFonts w:ascii="Times New Roman" w:hAnsi="Times New Roman"/>
                <w:sz w:val="18"/>
                <w:szCs w:val="18"/>
                <w:lang w:val="ru-RU" w:eastAsia="en-GB"/>
              </w:rPr>
              <w:t>,</w:t>
            </w:r>
            <w:r w:rsidRPr="000E35C5">
              <w:rPr>
                <w:rFonts w:ascii="Times New Roman" w:hAnsi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  <w:hideMark/>
          </w:tcPr>
          <w:p w14:paraId="59D5D9E2" w14:textId="30A9CC77" w:rsidR="005720AD" w:rsidRPr="000E35C5" w:rsidRDefault="005720AD" w:rsidP="00AE6864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5C5">
              <w:rPr>
                <w:rFonts w:ascii="Times New Roman" w:hAnsi="Times New Roman"/>
                <w:sz w:val="18"/>
                <w:szCs w:val="18"/>
                <w:lang w:eastAsia="en-GB"/>
              </w:rPr>
              <w:t>−69</w:t>
            </w:r>
            <w:r w:rsidR="000E35C5" w:rsidRPr="000E35C5">
              <w:rPr>
                <w:rFonts w:ascii="Times New Roman" w:hAnsi="Times New Roman"/>
                <w:sz w:val="18"/>
                <w:szCs w:val="18"/>
                <w:lang w:val="ru-RU" w:eastAsia="en-GB"/>
              </w:rPr>
              <w:t>,</w:t>
            </w:r>
            <w:r w:rsidRPr="000E35C5">
              <w:rPr>
                <w:rFonts w:ascii="Times New Roman" w:hAnsi="Times New Roman"/>
                <w:sz w:val="18"/>
                <w:szCs w:val="18"/>
                <w:lang w:eastAsia="en-GB"/>
              </w:rPr>
              <w:t>9</w:t>
            </w:r>
          </w:p>
        </w:tc>
      </w:tr>
      <w:tr w:rsidR="005720AD" w:rsidRPr="00D6207E" w14:paraId="5BF42F4F" w14:textId="77777777" w:rsidTr="005A345D">
        <w:trPr>
          <w:jc w:val="center"/>
        </w:trPr>
        <w:tc>
          <w:tcPr>
            <w:tcW w:w="9639" w:type="dxa"/>
            <w:gridSpan w:val="8"/>
            <w:tcBorders>
              <w:left w:val="nil"/>
              <w:bottom w:val="nil"/>
              <w:right w:val="nil"/>
            </w:tcBorders>
          </w:tcPr>
          <w:p w14:paraId="3C13BADB" w14:textId="5582CE92" w:rsidR="005720AD" w:rsidRPr="00507A42" w:rsidRDefault="00507A42" w:rsidP="00507A42">
            <w:pPr>
              <w:pStyle w:val="Tabletext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  <w:r w:rsidRPr="00507A42">
              <w:rPr>
                <w:rFonts w:ascii="Times New Roman" w:hAnsi="Times New Roman"/>
                <w:i/>
                <w:iCs/>
                <w:sz w:val="18"/>
                <w:szCs w:val="18"/>
                <w:lang w:val="ru-RU" w:eastAsia="en-GB"/>
              </w:rPr>
              <w:t>Примечание.</w:t>
            </w:r>
            <w:r w:rsidRPr="00507A42">
              <w:rPr>
                <w:rFonts w:ascii="Times New Roman" w:hAnsi="Times New Roman"/>
                <w:sz w:val="18"/>
                <w:szCs w:val="18"/>
                <w:lang w:val="ru-RU" w:eastAsia="en-GB"/>
              </w:rPr>
              <w:t xml:space="preserve"> – </w:t>
            </w:r>
            <w:r w:rsidRPr="00507A4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Пределы </w:t>
            </w:r>
            <w:proofErr w:type="spellStart"/>
            <w:r w:rsidRPr="00507A42">
              <w:rPr>
                <w:rFonts w:ascii="Times New Roman" w:hAnsi="Times New Roman"/>
                <w:sz w:val="18"/>
                <w:szCs w:val="18"/>
                <w:lang w:val="ru-RU"/>
              </w:rPr>
              <w:t>п.п.м</w:t>
            </w:r>
            <w:proofErr w:type="spellEnd"/>
            <w:r w:rsidRPr="00507A42">
              <w:rPr>
                <w:rFonts w:ascii="Times New Roman" w:hAnsi="Times New Roman"/>
                <w:sz w:val="18"/>
                <w:szCs w:val="18"/>
                <w:lang w:val="ru-RU"/>
              </w:rPr>
              <w:t>. относятся к общей мощности, излучаемой любой базовой станцией в указанной полосе частот шириной 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 </w:t>
            </w:r>
            <w:r w:rsidRPr="00507A42">
              <w:rPr>
                <w:rFonts w:ascii="Times New Roman" w:hAnsi="Times New Roman"/>
                <w:sz w:val="18"/>
                <w:szCs w:val="18"/>
                <w:lang w:val="ru-RU"/>
              </w:rPr>
              <w:t>МГц.</w:t>
            </w:r>
          </w:p>
        </w:tc>
      </w:tr>
    </w:tbl>
    <w:p w14:paraId="41C7DC0A" w14:textId="77777777" w:rsidR="005720AD" w:rsidRPr="00507A42" w:rsidRDefault="005720AD" w:rsidP="005720AD">
      <w:pPr>
        <w:pStyle w:val="Tablefin"/>
        <w:rPr>
          <w:lang w:val="ru-RU"/>
        </w:rPr>
      </w:pPr>
    </w:p>
    <w:p w14:paraId="2B514C84" w14:textId="40A1EB38" w:rsidR="005720AD" w:rsidRPr="00B948C0" w:rsidRDefault="00B948C0" w:rsidP="005720AD">
      <w:pPr>
        <w:rPr>
          <w:lang w:val="ru-RU"/>
        </w:rPr>
      </w:pPr>
      <w:r w:rsidRPr="00B948C0">
        <w:rPr>
          <w:lang w:val="ru-RU"/>
        </w:rPr>
        <w:t xml:space="preserve">Администрациям может потребоваться скорректировать значения в соответствии с характеристиками ПЗС, которые, как ожидается, будут работать на их территории, и с учетом предполагаемой избирательности антенны ПЗС. Можно отметить, что большинство антенн </w:t>
      </w:r>
      <w:r>
        <w:rPr>
          <w:lang w:val="ru-RU"/>
        </w:rPr>
        <w:t>сухопутных</w:t>
      </w:r>
      <w:r w:rsidRPr="00B948C0">
        <w:rPr>
          <w:lang w:val="ru-RU"/>
        </w:rPr>
        <w:t xml:space="preserve"> ПЗС имеют </w:t>
      </w:r>
      <w:r>
        <w:rPr>
          <w:lang w:val="ru-RU"/>
        </w:rPr>
        <w:t>низкое усиление</w:t>
      </w:r>
      <w:r w:rsidRPr="00B948C0">
        <w:rPr>
          <w:lang w:val="ru-RU"/>
        </w:rPr>
        <w:t xml:space="preserve">, поскольку они представляют собой компактные устройства </w:t>
      </w:r>
      <w:r>
        <w:rPr>
          <w:lang w:val="en-US"/>
        </w:rPr>
        <w:t>IoT</w:t>
      </w:r>
      <w:r w:rsidRPr="00B948C0">
        <w:rPr>
          <w:lang w:val="ru-RU"/>
        </w:rPr>
        <w:t xml:space="preserve"> или портативные устройства. Однако антенны ПЗС с высоким усилени</w:t>
      </w:r>
      <w:r>
        <w:rPr>
          <w:lang w:val="ru-RU"/>
        </w:rPr>
        <w:t>ем</w:t>
      </w:r>
      <w:r w:rsidRPr="00B948C0">
        <w:rPr>
          <w:lang w:val="ru-RU"/>
        </w:rPr>
        <w:t xml:space="preserve"> обеспечивают более высокий уровень избирательности. </w:t>
      </w:r>
      <w:r>
        <w:rPr>
          <w:lang w:val="ru-RU"/>
        </w:rPr>
        <w:t>В мире существуют</w:t>
      </w:r>
      <w:r w:rsidRPr="00B948C0">
        <w:rPr>
          <w:lang w:val="ru-RU"/>
        </w:rPr>
        <w:t xml:space="preserve"> места, где усиление антенны в направлении горизонта или базовой станции может быть близким к пиковому значению. Это места с малым углом места ПЗС и близко расположенными базовыми станциями IMT, направленными на спутник ПСС, если смотреть со стороны ПЗС. В этих случаях следует учитывать фактические углы по отношению к спутнику, а также направление и расстояние до БС IMT, и скорректировать </w:t>
      </w:r>
      <w:proofErr w:type="spellStart"/>
      <w:r w:rsidRPr="00B948C0">
        <w:rPr>
          <w:lang w:val="ru-RU"/>
        </w:rPr>
        <w:t>п.п.м</w:t>
      </w:r>
      <w:proofErr w:type="spellEnd"/>
      <w:r w:rsidRPr="00B948C0">
        <w:rPr>
          <w:lang w:val="ru-RU"/>
        </w:rPr>
        <w:t>. до значения, которое отражает эти факторы.</w:t>
      </w:r>
    </w:p>
    <w:p w14:paraId="68F13878" w14:textId="3A6041C5" w:rsidR="005720AD" w:rsidRPr="00EE7069" w:rsidRDefault="00EE7069" w:rsidP="005720AD">
      <w:pPr>
        <w:rPr>
          <w:lang w:val="ru-RU"/>
        </w:rPr>
      </w:pPr>
      <w:r w:rsidRPr="00EE7069">
        <w:rPr>
          <w:lang w:val="ru-RU"/>
        </w:rPr>
        <w:t xml:space="preserve">Может потребоваться географическое разнесение между базовой станцией IMT и границей определенных зон, в которых применяются пределы </w:t>
      </w:r>
      <w:proofErr w:type="spellStart"/>
      <w:r w:rsidRPr="00EE7069">
        <w:rPr>
          <w:lang w:val="ru-RU"/>
        </w:rPr>
        <w:t>п.п.м</w:t>
      </w:r>
      <w:proofErr w:type="spellEnd"/>
      <w:r w:rsidRPr="00EE7069">
        <w:rPr>
          <w:lang w:val="ru-RU"/>
        </w:rPr>
        <w:t>. Это особенно справедливо для значений этапа</w:t>
      </w:r>
      <w:r>
        <w:rPr>
          <w:lang w:val="ru-RU"/>
        </w:rPr>
        <w:t> </w:t>
      </w:r>
      <w:r w:rsidRPr="00EE7069">
        <w:rPr>
          <w:lang w:val="ru-RU"/>
        </w:rPr>
        <w:t>1 и для более мощных базовых станций IMT, использующих верхний блок диапазона частот IMT (ближайший к 1518</w:t>
      </w:r>
      <w:r>
        <w:rPr>
          <w:lang w:val="ru-RU"/>
        </w:rPr>
        <w:t> </w:t>
      </w:r>
      <w:r w:rsidRPr="00EE7069">
        <w:rPr>
          <w:lang w:val="ru-RU"/>
        </w:rPr>
        <w:t xml:space="preserve">МГц). Географическое </w:t>
      </w:r>
      <w:r>
        <w:rPr>
          <w:lang w:val="ru-RU"/>
        </w:rPr>
        <w:t>разнесение</w:t>
      </w:r>
      <w:r w:rsidRPr="00EE7069">
        <w:rPr>
          <w:lang w:val="ru-RU"/>
        </w:rPr>
        <w:t xml:space="preserve"> зависит от ряда факторов, включая э.и.и.м. базовой станции IMT, местные препятствия и применимые пределы </w:t>
      </w:r>
      <w:proofErr w:type="spellStart"/>
      <w:r w:rsidRPr="00EE7069">
        <w:rPr>
          <w:lang w:val="ru-RU"/>
        </w:rPr>
        <w:t>п.п.м</w:t>
      </w:r>
      <w:proofErr w:type="spellEnd"/>
      <w:r w:rsidRPr="00EE7069">
        <w:rPr>
          <w:lang w:val="ru-RU"/>
        </w:rPr>
        <w:t>. (этапа</w:t>
      </w:r>
      <w:r>
        <w:rPr>
          <w:lang w:val="ru-RU"/>
        </w:rPr>
        <w:t> </w:t>
      </w:r>
      <w:r w:rsidRPr="00EE7069">
        <w:rPr>
          <w:lang w:val="ru-RU"/>
        </w:rPr>
        <w:t>1 или этапа</w:t>
      </w:r>
      <w:r>
        <w:rPr>
          <w:lang w:val="ru-RU"/>
        </w:rPr>
        <w:t> </w:t>
      </w:r>
      <w:r w:rsidRPr="00EE7069">
        <w:rPr>
          <w:lang w:val="ru-RU"/>
        </w:rPr>
        <w:t>2).</w:t>
      </w:r>
      <w:r w:rsidRPr="00EE7069" w:rsidDel="00232CC2">
        <w:rPr>
          <w:lang w:val="ru-RU"/>
        </w:rPr>
        <w:t xml:space="preserve"> </w:t>
      </w:r>
      <w:r w:rsidRPr="00EE7069">
        <w:rPr>
          <w:lang w:val="ru-RU"/>
        </w:rPr>
        <w:t>Для</w:t>
      </w:r>
      <w:r>
        <w:rPr>
          <w:lang w:val="ru-RU"/>
        </w:rPr>
        <w:t> </w:t>
      </w:r>
      <w:r w:rsidRPr="00EE7069">
        <w:rPr>
          <w:lang w:val="ru-RU"/>
        </w:rPr>
        <w:t xml:space="preserve">некоторых значений </w:t>
      </w:r>
      <w:proofErr w:type="spellStart"/>
      <w:r w:rsidRPr="00EE7069">
        <w:rPr>
          <w:lang w:val="ru-RU"/>
        </w:rPr>
        <w:t>п.п.м</w:t>
      </w:r>
      <w:proofErr w:type="spellEnd"/>
      <w:r w:rsidRPr="00EE7069">
        <w:rPr>
          <w:lang w:val="ru-RU"/>
        </w:rPr>
        <w:t xml:space="preserve">. и (очень малых) углов места антенны ПЗС </w:t>
      </w:r>
      <w:r>
        <w:rPr>
          <w:lang w:val="ru-RU"/>
        </w:rPr>
        <w:t>расстояние</w:t>
      </w:r>
      <w:r w:rsidRPr="00EE7069">
        <w:rPr>
          <w:lang w:val="ru-RU"/>
        </w:rPr>
        <w:t xml:space="preserve"> географическо</w:t>
      </w:r>
      <w:r>
        <w:rPr>
          <w:lang w:val="ru-RU"/>
        </w:rPr>
        <w:t>го</w:t>
      </w:r>
      <w:r w:rsidRPr="00EE7069">
        <w:rPr>
          <w:lang w:val="ru-RU"/>
        </w:rPr>
        <w:t xml:space="preserve"> разнесени</w:t>
      </w:r>
      <w:r>
        <w:rPr>
          <w:lang w:val="ru-RU"/>
        </w:rPr>
        <w:t>я</w:t>
      </w:r>
      <w:r w:rsidRPr="00EE7069">
        <w:rPr>
          <w:lang w:val="ru-RU"/>
        </w:rPr>
        <w:t xml:space="preserve"> может достигать нескольких десятков километров.</w:t>
      </w:r>
    </w:p>
    <w:p w14:paraId="09104F9B" w14:textId="741DA434" w:rsidR="005720AD" w:rsidRPr="00EE7069" w:rsidRDefault="005720AD" w:rsidP="00757B99">
      <w:pPr>
        <w:pStyle w:val="Heading2"/>
        <w:rPr>
          <w:lang w:val="ru-RU"/>
        </w:rPr>
      </w:pPr>
      <w:r w:rsidRPr="00EE7069">
        <w:t>A</w:t>
      </w:r>
      <w:r w:rsidRPr="00EE7069">
        <w:rPr>
          <w:lang w:val="ru-RU"/>
        </w:rPr>
        <w:t>4-3</w:t>
      </w:r>
      <w:r w:rsidRPr="00EE7069">
        <w:rPr>
          <w:lang w:val="ru-RU"/>
        </w:rPr>
        <w:tab/>
      </w:r>
      <w:r w:rsidR="00EE7069" w:rsidRPr="00EE7069">
        <w:rPr>
          <w:lang w:val="ru-RU"/>
        </w:rPr>
        <w:t xml:space="preserve">Мера 2 – </w:t>
      </w:r>
      <w:r w:rsidR="00EE7069">
        <w:rPr>
          <w:lang w:val="ru-RU"/>
        </w:rPr>
        <w:t>пределы</w:t>
      </w:r>
      <w:r w:rsidR="00EE7069" w:rsidRPr="00EE7069">
        <w:rPr>
          <w:lang w:val="ru-RU"/>
        </w:rPr>
        <w:t xml:space="preserve"> </w:t>
      </w:r>
      <w:proofErr w:type="spellStart"/>
      <w:r w:rsidR="00EE7069" w:rsidRPr="00EE7069">
        <w:rPr>
          <w:lang w:val="ru-RU"/>
        </w:rPr>
        <w:t>внутриполосной</w:t>
      </w:r>
      <w:proofErr w:type="spellEnd"/>
      <w:r w:rsidR="00EE7069" w:rsidRPr="00EE7069">
        <w:rPr>
          <w:lang w:val="ru-RU"/>
        </w:rPr>
        <w:t xml:space="preserve"> </w:t>
      </w:r>
      <w:proofErr w:type="spellStart"/>
      <w:r w:rsidR="00EE7069" w:rsidRPr="00EE7069">
        <w:rPr>
          <w:lang w:val="ru-RU"/>
        </w:rPr>
        <w:t>э.и.и.м</w:t>
      </w:r>
      <w:proofErr w:type="spellEnd"/>
      <w:r w:rsidR="00EE7069" w:rsidRPr="00EE7069">
        <w:rPr>
          <w:lang w:val="ru-RU"/>
        </w:rPr>
        <w:t>.</w:t>
      </w:r>
    </w:p>
    <w:p w14:paraId="51CA9206" w14:textId="60EB2F7D" w:rsidR="005720AD" w:rsidRPr="00EE7069" w:rsidRDefault="00EE7069" w:rsidP="005720AD">
      <w:pPr>
        <w:rPr>
          <w:bCs/>
          <w:lang w:val="ru-RU"/>
        </w:rPr>
      </w:pPr>
      <w:r w:rsidRPr="00EE7069">
        <w:rPr>
          <w:bCs/>
          <w:lang w:val="ru-RU"/>
        </w:rPr>
        <w:t>Пределы э.и.и.м., указанные в таблице</w:t>
      </w:r>
      <w:r>
        <w:rPr>
          <w:bCs/>
          <w:lang w:val="ru-RU"/>
        </w:rPr>
        <w:t> </w:t>
      </w:r>
      <w:r w:rsidRPr="00EE7069">
        <w:rPr>
          <w:bCs/>
          <w:lang w:val="ru-RU"/>
        </w:rPr>
        <w:t xml:space="preserve">10, применяются к базовым станциям IMT и к </w:t>
      </w:r>
      <w:r>
        <w:rPr>
          <w:bCs/>
          <w:lang w:val="en-US"/>
        </w:rPr>
        <w:t>UE</w:t>
      </w:r>
      <w:r w:rsidRPr="00EE7069">
        <w:rPr>
          <w:bCs/>
          <w:lang w:val="ru-RU"/>
        </w:rPr>
        <w:t xml:space="preserve"> и могут использоваться как самостоятельная мера на всей территории данной страны или в качестве дополнения, если администрация решит не использовать уровни </w:t>
      </w:r>
      <w:proofErr w:type="spellStart"/>
      <w:r w:rsidRPr="00EE7069">
        <w:rPr>
          <w:bCs/>
          <w:lang w:val="ru-RU"/>
        </w:rPr>
        <w:t>п.п.м</w:t>
      </w:r>
      <w:proofErr w:type="spellEnd"/>
      <w:r w:rsidRPr="00EE7069">
        <w:rPr>
          <w:bCs/>
          <w:lang w:val="ru-RU"/>
        </w:rPr>
        <w:t xml:space="preserve">. для воздушных, морских или </w:t>
      </w:r>
      <w:r>
        <w:rPr>
          <w:bCs/>
          <w:lang w:val="ru-RU"/>
        </w:rPr>
        <w:t>сухопутных</w:t>
      </w:r>
      <w:r w:rsidRPr="00EE7069">
        <w:rPr>
          <w:bCs/>
          <w:lang w:val="ru-RU"/>
        </w:rPr>
        <w:t xml:space="preserve"> ПЗС.</w:t>
      </w:r>
    </w:p>
    <w:p w14:paraId="4CAF6076" w14:textId="68CE98C5" w:rsidR="00CF5D4C" w:rsidRPr="00CF5D4C" w:rsidRDefault="00CF5D4C" w:rsidP="00CF5D4C">
      <w:pPr>
        <w:rPr>
          <w:bCs/>
          <w:lang w:val="ru-RU"/>
        </w:rPr>
      </w:pPr>
      <w:r w:rsidRPr="00CF5D4C">
        <w:rPr>
          <w:bCs/>
          <w:lang w:val="ru-RU"/>
        </w:rPr>
        <w:t xml:space="preserve">Значения э.и.и.м. основаны на устойчивости к блокированию действующих ПЗС и ПЗС </w:t>
      </w:r>
      <w:r>
        <w:rPr>
          <w:bCs/>
          <w:lang w:val="ru-RU"/>
        </w:rPr>
        <w:t>следующего</w:t>
      </w:r>
      <w:r w:rsidRPr="00CF5D4C">
        <w:rPr>
          <w:bCs/>
          <w:lang w:val="ru-RU"/>
        </w:rPr>
        <w:t xml:space="preserve"> поколения, которые соответствуют техническим требованиям</w:t>
      </w:r>
      <w:r>
        <w:rPr>
          <w:bCs/>
          <w:lang w:val="ru-RU"/>
        </w:rPr>
        <w:t xml:space="preserve">, изложенным в </w:t>
      </w:r>
      <w:r w:rsidRPr="00CF5D4C">
        <w:rPr>
          <w:bCs/>
          <w:lang w:val="ru-RU"/>
        </w:rPr>
        <w:t xml:space="preserve">настоящей Рекомендации. </w:t>
      </w:r>
    </w:p>
    <w:p w14:paraId="2D68B33B" w14:textId="29E57E30" w:rsidR="005720AD" w:rsidRPr="00CF5D4C" w:rsidRDefault="00CF5D4C" w:rsidP="00354773">
      <w:pPr>
        <w:keepNext/>
        <w:keepLines/>
        <w:rPr>
          <w:bCs/>
          <w:lang w:val="ru-RU"/>
        </w:rPr>
      </w:pPr>
      <w:r w:rsidRPr="00CF5D4C">
        <w:rPr>
          <w:lang w:val="ru-RU"/>
        </w:rPr>
        <w:lastRenderedPageBreak/>
        <w:t>Пределы э.и.и.м. могут применяться в два этапа. Значения э.и.и.м. для этапа</w:t>
      </w:r>
      <w:r>
        <w:rPr>
          <w:lang w:val="ru-RU"/>
        </w:rPr>
        <w:t> </w:t>
      </w:r>
      <w:r w:rsidRPr="00CF5D4C">
        <w:rPr>
          <w:lang w:val="ru-RU"/>
        </w:rPr>
        <w:t xml:space="preserve">1 основаны на измеренной устойчивости к блокированию существующих </w:t>
      </w:r>
      <w:r>
        <w:rPr>
          <w:lang w:val="ru-RU"/>
        </w:rPr>
        <w:t>сухопутных</w:t>
      </w:r>
      <w:r w:rsidRPr="00CF5D4C">
        <w:rPr>
          <w:lang w:val="ru-RU"/>
        </w:rPr>
        <w:t xml:space="preserve"> ПЗС. Значения э.и.и.м. для этапа</w:t>
      </w:r>
      <w:r>
        <w:rPr>
          <w:lang w:val="ru-RU"/>
        </w:rPr>
        <w:t> </w:t>
      </w:r>
      <w:r w:rsidRPr="00CF5D4C">
        <w:rPr>
          <w:lang w:val="ru-RU"/>
        </w:rPr>
        <w:t>2 основаны на ПЗС, соответствующих уровням устойчивости к блокированию, указанным в</w:t>
      </w:r>
      <w:r>
        <w:rPr>
          <w:lang w:val="ru-RU"/>
        </w:rPr>
        <w:t> </w:t>
      </w:r>
      <w:r w:rsidRPr="00CF5D4C">
        <w:rPr>
          <w:lang w:val="ru-RU"/>
        </w:rPr>
        <w:t>Приложении</w:t>
      </w:r>
      <w:r>
        <w:rPr>
          <w:lang w:val="ru-RU"/>
        </w:rPr>
        <w:t> </w:t>
      </w:r>
      <w:r w:rsidRPr="00CF5D4C">
        <w:rPr>
          <w:lang w:val="ru-RU"/>
        </w:rPr>
        <w:t>3.</w:t>
      </w:r>
    </w:p>
    <w:p w14:paraId="2D3EAE47" w14:textId="77777777" w:rsidR="00CF5D4C" w:rsidRPr="00CF5D4C" w:rsidRDefault="00CF5D4C" w:rsidP="00CF5D4C">
      <w:pPr>
        <w:pStyle w:val="TableNo"/>
        <w:keepNext w:val="0"/>
        <w:rPr>
          <w:lang w:val="ru-RU" w:eastAsia="zh-CN"/>
        </w:rPr>
      </w:pPr>
      <w:r w:rsidRPr="00CF5D4C">
        <w:rPr>
          <w:lang w:val="ru-RU"/>
        </w:rPr>
        <w:t>ТАБЛИЦА 10</w:t>
      </w:r>
    </w:p>
    <w:p w14:paraId="294CB61B" w14:textId="1FE05319" w:rsidR="005720AD" w:rsidRPr="00CF5D4C" w:rsidRDefault="00CF5D4C" w:rsidP="00CF5D4C">
      <w:pPr>
        <w:pStyle w:val="Tabletitle"/>
        <w:rPr>
          <w:lang w:val="ru-RU" w:eastAsia="zh-CN"/>
        </w:rPr>
      </w:pPr>
      <w:r w:rsidRPr="00CF5D4C">
        <w:rPr>
          <w:lang w:val="ru-RU" w:eastAsia="zh-CN"/>
        </w:rPr>
        <w:t xml:space="preserve">Пределы э.и.и.м. БС IMT и мощность передачи </w:t>
      </w:r>
      <w:r>
        <w:rPr>
          <w:lang w:val="en-US" w:eastAsia="zh-CN"/>
        </w:rPr>
        <w:t>UE</w:t>
      </w:r>
      <w:r w:rsidRPr="00CF5D4C">
        <w:rPr>
          <w:lang w:val="ru-RU" w:eastAsia="zh-CN"/>
        </w:rPr>
        <w:t xml:space="preserve"> для обеспечения совместимости с</w:t>
      </w:r>
      <w:r>
        <w:rPr>
          <w:lang w:val="ru-RU" w:eastAsia="zh-CN"/>
        </w:rPr>
        <w:t> сухопутными</w:t>
      </w:r>
      <w:r w:rsidRPr="00CF5D4C">
        <w:rPr>
          <w:lang w:val="ru-RU" w:eastAsia="zh-CN"/>
        </w:rPr>
        <w:t xml:space="preserve"> станциями ПЗС</w:t>
      </w:r>
      <w:r w:rsidRPr="00CF5D4C">
        <w:rPr>
          <w:lang w:val="ru-RU" w:eastAsia="zh-CN"/>
        </w:rPr>
        <w:br/>
        <w:t>(для передаваемых сигналов БС IMT/</w:t>
      </w:r>
      <w:r>
        <w:rPr>
          <w:lang w:val="en-US" w:eastAsia="zh-CN"/>
        </w:rPr>
        <w:t>UE</w:t>
      </w:r>
      <w:r w:rsidRPr="00CF5D4C">
        <w:rPr>
          <w:lang w:val="ru-RU" w:eastAsia="zh-CN"/>
        </w:rPr>
        <w:t xml:space="preserve"> в полосе частот 1512–1517</w:t>
      </w:r>
      <w:r>
        <w:rPr>
          <w:lang w:val="ru-RU" w:eastAsia="zh-CN"/>
        </w:rPr>
        <w:t> </w:t>
      </w:r>
      <w:r w:rsidRPr="00CF5D4C">
        <w:rPr>
          <w:lang w:val="ru-RU" w:eastAsia="zh-CN"/>
        </w:rPr>
        <w:t>МГц)</w:t>
      </w:r>
    </w:p>
    <w:tbl>
      <w:tblPr>
        <w:tblStyle w:val="TableGrid14"/>
        <w:tblW w:w="9639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35"/>
        <w:gridCol w:w="2016"/>
        <w:gridCol w:w="2190"/>
        <w:gridCol w:w="2070"/>
        <w:gridCol w:w="1928"/>
      </w:tblGrid>
      <w:tr w:rsidR="00CF5D4C" w:rsidRPr="00D6207E" w14:paraId="3B328A12" w14:textId="77777777" w:rsidTr="00354773">
        <w:trPr>
          <w:cantSplit/>
          <w:jc w:val="center"/>
        </w:trPr>
        <w:tc>
          <w:tcPr>
            <w:tcW w:w="1435" w:type="dxa"/>
            <w:vAlign w:val="center"/>
          </w:tcPr>
          <w:p w14:paraId="7EF2EE84" w14:textId="0B8176E3" w:rsidR="00CF5D4C" w:rsidRPr="00CF5D4C" w:rsidRDefault="00CF5D4C" w:rsidP="00CF5D4C">
            <w:pPr>
              <w:pStyle w:val="Tablehead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Вариант</w:t>
            </w:r>
          </w:p>
        </w:tc>
        <w:tc>
          <w:tcPr>
            <w:tcW w:w="2016" w:type="dxa"/>
            <w:vAlign w:val="center"/>
          </w:tcPr>
          <w:p w14:paraId="48B52D72" w14:textId="01B8E0CA" w:rsidR="00CF5D4C" w:rsidRPr="00CF5D4C" w:rsidRDefault="00CF5D4C" w:rsidP="00CF5D4C">
            <w:pPr>
              <w:pStyle w:val="Tablehead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CF5D4C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Максимальная э.и.и.м. базовой станции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 </w:t>
            </w:r>
            <w:r w:rsidRPr="00CF5D4C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IMT (</w:t>
            </w:r>
            <w:proofErr w:type="spellStart"/>
            <w:r w:rsidRPr="00CF5D4C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дБм</w:t>
            </w:r>
            <w:proofErr w:type="spellEnd"/>
            <w:r w:rsidRPr="00CF5D4C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) в сельской местности</w:t>
            </w:r>
          </w:p>
        </w:tc>
        <w:tc>
          <w:tcPr>
            <w:tcW w:w="2190" w:type="dxa"/>
            <w:vAlign w:val="center"/>
          </w:tcPr>
          <w:p w14:paraId="699D530A" w14:textId="6C7023AD" w:rsidR="00CF5D4C" w:rsidRPr="00CF5D4C" w:rsidRDefault="00CF5D4C" w:rsidP="00CF5D4C">
            <w:pPr>
              <w:pStyle w:val="Tablehead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CF5D4C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Максимальная э.и.и.м. базовой станции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 </w:t>
            </w:r>
            <w:r w:rsidRPr="00CF5D4C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IMT (</w:t>
            </w:r>
            <w:proofErr w:type="spellStart"/>
            <w:r w:rsidRPr="00CF5D4C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дБм</w:t>
            </w:r>
            <w:proofErr w:type="spellEnd"/>
            <w:r w:rsidRPr="00CF5D4C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) в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 пригородных районах</w:t>
            </w:r>
          </w:p>
        </w:tc>
        <w:tc>
          <w:tcPr>
            <w:tcW w:w="2070" w:type="dxa"/>
            <w:vAlign w:val="center"/>
          </w:tcPr>
          <w:p w14:paraId="5387A4A9" w14:textId="3A04C0FA" w:rsidR="00CF5D4C" w:rsidRPr="00CF5D4C" w:rsidRDefault="00CF5D4C" w:rsidP="00CF5D4C">
            <w:pPr>
              <w:pStyle w:val="Tablehead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CF5D4C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Максимальная э.и.и.м. базовой станции IMT (</w:t>
            </w:r>
            <w:proofErr w:type="spellStart"/>
            <w:r w:rsidRPr="00CF5D4C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дБм</w:t>
            </w:r>
            <w:proofErr w:type="spellEnd"/>
            <w:r w:rsidRPr="00CF5D4C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) в городской среде</w:t>
            </w:r>
          </w:p>
        </w:tc>
        <w:tc>
          <w:tcPr>
            <w:tcW w:w="1928" w:type="dxa"/>
          </w:tcPr>
          <w:p w14:paraId="15C4D52B" w14:textId="41CE0BD4" w:rsidR="00CF5D4C" w:rsidRPr="00CF5D4C" w:rsidRDefault="00CF5D4C" w:rsidP="00CF5D4C">
            <w:pPr>
              <w:pStyle w:val="Tablehead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CF5D4C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Максимальная мощность передачи пользовательского оборудования IMT (</w:t>
            </w:r>
            <w:proofErr w:type="spellStart"/>
            <w:r w:rsidRPr="00CF5D4C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дБм</w:t>
            </w:r>
            <w:proofErr w:type="spellEnd"/>
            <w:r w:rsidRPr="00CF5D4C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)</w:t>
            </w:r>
          </w:p>
        </w:tc>
      </w:tr>
      <w:tr w:rsidR="005720AD" w:rsidRPr="00CF5D4C" w14:paraId="0145A2C5" w14:textId="77777777" w:rsidTr="00354773">
        <w:trPr>
          <w:cantSplit/>
          <w:jc w:val="center"/>
        </w:trPr>
        <w:tc>
          <w:tcPr>
            <w:tcW w:w="1435" w:type="dxa"/>
            <w:vAlign w:val="center"/>
          </w:tcPr>
          <w:p w14:paraId="1CE797E7" w14:textId="64CED135" w:rsidR="005720AD" w:rsidRPr="00CF5D4C" w:rsidRDefault="005720AD" w:rsidP="00CF5D4C">
            <w:pPr>
              <w:pStyle w:val="Tabletext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CF5D4C">
              <w:rPr>
                <w:rFonts w:ascii="Times New Roman" w:hAnsi="Times New Roman" w:cs="Times New Roman"/>
                <w:sz w:val="18"/>
                <w:szCs w:val="20"/>
              </w:rPr>
              <w:t>1 (</w:t>
            </w:r>
            <w:r w:rsidR="00CB1E30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этап</w:t>
            </w:r>
            <w:r w:rsidR="00CB1E30" w:rsidRPr="00CF5D4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F5D4C">
              <w:rPr>
                <w:rFonts w:ascii="Times New Roman" w:hAnsi="Times New Roman" w:cs="Times New Roman"/>
                <w:sz w:val="18"/>
                <w:szCs w:val="20"/>
              </w:rPr>
              <w:t>1)</w:t>
            </w:r>
            <w:r w:rsidRPr="00CF5D4C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(1),</w:t>
            </w:r>
            <w:r w:rsidR="00CF5D4C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ru-RU"/>
              </w:rPr>
              <w:t> </w:t>
            </w:r>
            <w:r w:rsidRPr="00CF5D4C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016" w:type="dxa"/>
            <w:vAlign w:val="center"/>
          </w:tcPr>
          <w:p w14:paraId="7BBB37B4" w14:textId="175E6706" w:rsidR="005720AD" w:rsidRPr="00CF5D4C" w:rsidRDefault="005720AD" w:rsidP="00CF5D4C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F5D4C">
              <w:rPr>
                <w:rFonts w:ascii="Times New Roman" w:hAnsi="Times New Roman" w:cs="Times New Roman"/>
                <w:sz w:val="18"/>
                <w:szCs w:val="20"/>
              </w:rPr>
              <w:t>19</w:t>
            </w:r>
            <w:r w:rsidR="00CF5D4C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,</w:t>
            </w:r>
            <w:r w:rsidRPr="00CF5D4C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2190" w:type="dxa"/>
            <w:vAlign w:val="center"/>
          </w:tcPr>
          <w:p w14:paraId="5854FCD5" w14:textId="77777777" w:rsidR="005720AD" w:rsidRPr="00CF5D4C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F5D4C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2070" w:type="dxa"/>
            <w:vAlign w:val="center"/>
          </w:tcPr>
          <w:p w14:paraId="4F746EBD" w14:textId="5ACDB1FB" w:rsidR="005720AD" w:rsidRPr="00CF5D4C" w:rsidRDefault="005720AD" w:rsidP="00CF5D4C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F5D4C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CF5D4C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,</w:t>
            </w:r>
            <w:r w:rsidRPr="00CF5D4C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928" w:type="dxa"/>
          </w:tcPr>
          <w:p w14:paraId="40C93010" w14:textId="05A2A6AD" w:rsidR="005720AD" w:rsidRPr="00CF5D4C" w:rsidRDefault="00CF5D4C" w:rsidP="00AE6864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Не определено</w:t>
            </w:r>
          </w:p>
        </w:tc>
      </w:tr>
      <w:tr w:rsidR="005720AD" w:rsidRPr="00CF5D4C" w14:paraId="087FF02A" w14:textId="77777777" w:rsidTr="00354773">
        <w:trPr>
          <w:cantSplit/>
          <w:jc w:val="center"/>
        </w:trPr>
        <w:tc>
          <w:tcPr>
            <w:tcW w:w="1435" w:type="dxa"/>
            <w:vAlign w:val="center"/>
          </w:tcPr>
          <w:p w14:paraId="67820195" w14:textId="2442A19A" w:rsidR="005720AD" w:rsidRPr="00CF5D4C" w:rsidRDefault="005720AD" w:rsidP="00CF5D4C">
            <w:pPr>
              <w:pStyle w:val="Tabletext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CF5D4C">
              <w:rPr>
                <w:rFonts w:ascii="Times New Roman" w:hAnsi="Times New Roman" w:cs="Times New Roman"/>
                <w:sz w:val="18"/>
                <w:szCs w:val="20"/>
              </w:rPr>
              <w:t>1 (</w:t>
            </w:r>
            <w:r w:rsidR="00CB1E30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этап</w:t>
            </w:r>
            <w:r w:rsidR="00CB1E30" w:rsidRPr="00CF5D4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F5D4C">
              <w:rPr>
                <w:rFonts w:ascii="Times New Roman" w:hAnsi="Times New Roman" w:cs="Times New Roman"/>
                <w:sz w:val="18"/>
                <w:szCs w:val="20"/>
              </w:rPr>
              <w:t>2)</w:t>
            </w:r>
            <w:r w:rsidRPr="00CF5D4C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(1),</w:t>
            </w:r>
            <w:r w:rsidR="00CF5D4C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ru-RU"/>
              </w:rPr>
              <w:t> </w:t>
            </w:r>
            <w:r w:rsidRPr="00CF5D4C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(3)</w:t>
            </w:r>
          </w:p>
        </w:tc>
        <w:tc>
          <w:tcPr>
            <w:tcW w:w="2016" w:type="dxa"/>
            <w:vAlign w:val="center"/>
          </w:tcPr>
          <w:p w14:paraId="01839CCE" w14:textId="53FBF6D2" w:rsidR="005720AD" w:rsidRPr="00CF5D4C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F5D4C">
              <w:rPr>
                <w:rFonts w:ascii="Times New Roman" w:hAnsi="Times New Roman" w:cs="Times New Roman"/>
                <w:sz w:val="18"/>
                <w:szCs w:val="20"/>
              </w:rPr>
              <w:t>52</w:t>
            </w:r>
            <w:r w:rsidR="00CF5D4C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,</w:t>
            </w:r>
            <w:r w:rsidRPr="00CF5D4C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2190" w:type="dxa"/>
            <w:vAlign w:val="center"/>
          </w:tcPr>
          <w:p w14:paraId="31234A74" w14:textId="77777777" w:rsidR="005720AD" w:rsidRPr="00CF5D4C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F5D4C"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2070" w:type="dxa"/>
            <w:vAlign w:val="center"/>
          </w:tcPr>
          <w:p w14:paraId="31EBFFC9" w14:textId="14E70185" w:rsidR="005720AD" w:rsidRPr="00CF5D4C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F5D4C">
              <w:rPr>
                <w:rFonts w:ascii="Times New Roman" w:hAnsi="Times New Roman" w:cs="Times New Roman"/>
                <w:sz w:val="18"/>
                <w:szCs w:val="20"/>
              </w:rPr>
              <w:t>38</w:t>
            </w:r>
            <w:r w:rsidR="00CF5D4C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,</w:t>
            </w:r>
            <w:r w:rsidRPr="00CF5D4C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928" w:type="dxa"/>
          </w:tcPr>
          <w:p w14:paraId="45C0977A" w14:textId="77777777" w:rsidR="005720AD" w:rsidRPr="00CF5D4C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F5D4C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</w:tr>
      <w:tr w:rsidR="005720AD" w:rsidRPr="00CF5D4C" w14:paraId="218DB500" w14:textId="77777777" w:rsidTr="00354773">
        <w:trPr>
          <w:cantSplit/>
          <w:jc w:val="center"/>
        </w:trPr>
        <w:tc>
          <w:tcPr>
            <w:tcW w:w="1435" w:type="dxa"/>
            <w:vAlign w:val="center"/>
          </w:tcPr>
          <w:p w14:paraId="2F2D25F8" w14:textId="71B123F5" w:rsidR="005720AD" w:rsidRPr="00CF5D4C" w:rsidRDefault="005720AD" w:rsidP="00CF5D4C">
            <w:pPr>
              <w:pStyle w:val="Tabletext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CF5D4C">
              <w:rPr>
                <w:rFonts w:ascii="Times New Roman" w:hAnsi="Times New Roman" w:cs="Times New Roman"/>
                <w:sz w:val="18"/>
                <w:szCs w:val="20"/>
              </w:rPr>
              <w:t>2 (</w:t>
            </w:r>
            <w:r w:rsidR="00CB1E30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этап</w:t>
            </w:r>
            <w:r w:rsidR="00CB1E30" w:rsidRPr="00CF5D4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F5D4C">
              <w:rPr>
                <w:rFonts w:ascii="Times New Roman" w:hAnsi="Times New Roman" w:cs="Times New Roman"/>
                <w:sz w:val="18"/>
                <w:szCs w:val="20"/>
              </w:rPr>
              <w:t>1)</w:t>
            </w:r>
          </w:p>
        </w:tc>
        <w:tc>
          <w:tcPr>
            <w:tcW w:w="2016" w:type="dxa"/>
            <w:vAlign w:val="center"/>
          </w:tcPr>
          <w:p w14:paraId="72166319" w14:textId="2B87A076" w:rsidR="005720AD" w:rsidRPr="00CF5D4C" w:rsidRDefault="00CF5D4C" w:rsidP="00AE6864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Не определено</w:t>
            </w:r>
          </w:p>
        </w:tc>
        <w:tc>
          <w:tcPr>
            <w:tcW w:w="2190" w:type="dxa"/>
            <w:vAlign w:val="center"/>
          </w:tcPr>
          <w:p w14:paraId="5FE4A546" w14:textId="2823A66F" w:rsidR="005720AD" w:rsidRPr="00CF5D4C" w:rsidRDefault="00CF5D4C" w:rsidP="00AE6864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Не определено</w:t>
            </w:r>
          </w:p>
        </w:tc>
        <w:tc>
          <w:tcPr>
            <w:tcW w:w="2070" w:type="dxa"/>
            <w:vAlign w:val="center"/>
          </w:tcPr>
          <w:p w14:paraId="61A55D8C" w14:textId="011EE894" w:rsidR="005720AD" w:rsidRPr="00CF5D4C" w:rsidRDefault="00CF5D4C" w:rsidP="00AE6864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Не определено</w:t>
            </w:r>
          </w:p>
        </w:tc>
        <w:tc>
          <w:tcPr>
            <w:tcW w:w="1928" w:type="dxa"/>
          </w:tcPr>
          <w:p w14:paraId="2002AC03" w14:textId="6C471D21" w:rsidR="005720AD" w:rsidRPr="00CF5D4C" w:rsidRDefault="00CF5D4C" w:rsidP="00AE6864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Не определено</w:t>
            </w:r>
          </w:p>
        </w:tc>
      </w:tr>
      <w:tr w:rsidR="005720AD" w:rsidRPr="00CF5D4C" w14:paraId="4E035E67" w14:textId="77777777" w:rsidTr="00354773">
        <w:trPr>
          <w:cantSplit/>
          <w:jc w:val="center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54658688" w14:textId="70F2533C" w:rsidR="005720AD" w:rsidRPr="00CF5D4C" w:rsidRDefault="005720AD" w:rsidP="00CF5D4C">
            <w:pPr>
              <w:pStyle w:val="Tabletext"/>
              <w:jc w:val="left"/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</w:pPr>
            <w:r w:rsidRPr="00CF5D4C">
              <w:rPr>
                <w:rFonts w:ascii="Times New Roman" w:hAnsi="Times New Roman" w:cs="Times New Roman"/>
                <w:sz w:val="18"/>
                <w:szCs w:val="20"/>
              </w:rPr>
              <w:t>2 (</w:t>
            </w:r>
            <w:r w:rsidR="00CB1E30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этап</w:t>
            </w:r>
            <w:r w:rsidR="00CB1E30" w:rsidRPr="00CF5D4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F5D4C">
              <w:rPr>
                <w:rFonts w:ascii="Times New Roman" w:hAnsi="Times New Roman" w:cs="Times New Roman"/>
                <w:sz w:val="18"/>
                <w:szCs w:val="20"/>
              </w:rPr>
              <w:t>2)</w:t>
            </w:r>
            <w:r w:rsidRPr="00CF5D4C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(4)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14:paraId="55E6FED3" w14:textId="77777777" w:rsidR="005720AD" w:rsidRPr="00CF5D4C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F5D4C">
              <w:rPr>
                <w:rFonts w:ascii="Times New Roman" w:hAnsi="Times New Roman" w:cs="Times New Roman"/>
                <w:sz w:val="18"/>
                <w:szCs w:val="20"/>
              </w:rPr>
              <w:t>58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14:paraId="19CAC251" w14:textId="77777777" w:rsidR="005720AD" w:rsidRPr="00CF5D4C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F5D4C">
              <w:rPr>
                <w:rFonts w:ascii="Times New Roman" w:hAnsi="Times New Roman" w:cs="Times New Roman"/>
                <w:sz w:val="18"/>
                <w:szCs w:val="20"/>
              </w:rPr>
              <w:t>58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28D52DA" w14:textId="77777777" w:rsidR="005720AD" w:rsidRPr="00CF5D4C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F5D4C">
              <w:rPr>
                <w:rFonts w:ascii="Times New Roman" w:hAnsi="Times New Roman" w:cs="Times New Roman"/>
                <w:sz w:val="18"/>
                <w:szCs w:val="20"/>
              </w:rPr>
              <w:t>58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52B03C3A" w14:textId="77777777" w:rsidR="005720AD" w:rsidRPr="00CF5D4C" w:rsidRDefault="005720AD" w:rsidP="00AE6864">
            <w:pPr>
              <w:pStyle w:val="Tabletext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F5D4C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</w:tr>
      <w:tr w:rsidR="005720AD" w:rsidRPr="00D6207E" w14:paraId="7BDD133E" w14:textId="77777777" w:rsidTr="00354773">
        <w:trPr>
          <w:cantSplit/>
          <w:jc w:val="center"/>
        </w:trPr>
        <w:tc>
          <w:tcPr>
            <w:tcW w:w="963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72496D62" w14:textId="4A21C6D3" w:rsidR="005720AD" w:rsidRPr="0008673C" w:rsidRDefault="005720AD" w:rsidP="00757B99">
            <w:pPr>
              <w:pStyle w:val="Tabletext"/>
              <w:ind w:left="284" w:hanging="284"/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08673C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ru-RU"/>
              </w:rPr>
              <w:t>(1)</w:t>
            </w:r>
            <w:r w:rsidRPr="0008673C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ab/>
            </w:r>
            <w:r w:rsidR="0008673C" w:rsidRPr="0008673C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Пределы э.и.и.м. не соответствуют стандартным параметрам IMT, но могут допускать развертывание других систем.</w:t>
            </w:r>
          </w:p>
          <w:p w14:paraId="05F62BE3" w14:textId="78325B98" w:rsidR="005720AD" w:rsidRPr="0008673C" w:rsidRDefault="005720AD" w:rsidP="00757B99">
            <w:pPr>
              <w:pStyle w:val="Tabletext"/>
              <w:ind w:left="284" w:hanging="284"/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08673C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ru-RU"/>
              </w:rPr>
              <w:t>(2)</w:t>
            </w:r>
            <w:r w:rsidRPr="0008673C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ab/>
            </w:r>
            <w:r w:rsidR="0008673C" w:rsidRPr="0008673C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Обеспечение улучшенной совместимости с действующими </w:t>
            </w:r>
            <w:r w:rsidR="0008673C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в настоящее время </w:t>
            </w:r>
            <w:r w:rsidR="0008673C" w:rsidRPr="0008673C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ПЗС.</w:t>
            </w:r>
          </w:p>
          <w:p w14:paraId="4FFE4A80" w14:textId="3C593C01" w:rsidR="005720AD" w:rsidRPr="006C0804" w:rsidRDefault="005720AD" w:rsidP="00757B99">
            <w:pPr>
              <w:pStyle w:val="Tabletext"/>
              <w:ind w:left="284" w:hanging="284"/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6C0804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ru-RU"/>
              </w:rPr>
              <w:t>(3)</w:t>
            </w:r>
            <w:r w:rsidRPr="006C08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ab/>
            </w:r>
            <w:r w:rsidR="006C0804" w:rsidRPr="006C08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Обеспечение улучшенной совместимости со стандартами ПЗС </w:t>
            </w:r>
            <w:r w:rsidR="006C08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следующего</w:t>
            </w:r>
            <w:r w:rsidR="006C0804" w:rsidRPr="006C08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 поколения по сравнению с вариантом</w:t>
            </w:r>
            <w:r w:rsidR="006C08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="006C0804" w:rsidRPr="006C08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2.</w:t>
            </w:r>
          </w:p>
          <w:p w14:paraId="697D02B0" w14:textId="7FC4903A" w:rsidR="005720AD" w:rsidRPr="006C0804" w:rsidRDefault="005720AD" w:rsidP="006C0804">
            <w:pPr>
              <w:pStyle w:val="Tabletext"/>
              <w:ind w:left="284" w:hanging="284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6C0804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ru-RU"/>
              </w:rPr>
              <w:t>(4)</w:t>
            </w:r>
            <w:r w:rsidRPr="006C08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ab/>
            </w:r>
            <w:r w:rsidR="006C0804" w:rsidRPr="006C08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Обеспечение совместимости со стандартом ПЗС </w:t>
            </w:r>
            <w:r w:rsidR="006C08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следующего</w:t>
            </w:r>
            <w:r w:rsidR="006C0804" w:rsidRPr="006C08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 поколения при более высоком уровне помех по сравнению с вариантом</w:t>
            </w:r>
            <w:r w:rsidR="006C08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 </w:t>
            </w:r>
            <w:r w:rsidR="006C0804" w:rsidRPr="006C0804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1.</w:t>
            </w:r>
          </w:p>
        </w:tc>
      </w:tr>
    </w:tbl>
    <w:p w14:paraId="6B3834A5" w14:textId="77777777" w:rsidR="005720AD" w:rsidRPr="006C0804" w:rsidRDefault="005720AD" w:rsidP="005720AD">
      <w:pPr>
        <w:pStyle w:val="Tablefin"/>
        <w:rPr>
          <w:lang w:val="ru-RU"/>
        </w:rPr>
      </w:pPr>
    </w:p>
    <w:p w14:paraId="56B52DA0" w14:textId="77777777" w:rsidR="005720AD" w:rsidRPr="006C0804" w:rsidRDefault="005720AD" w:rsidP="005720AD">
      <w:pPr>
        <w:rPr>
          <w:lang w:val="ru-RU"/>
        </w:rPr>
      </w:pPr>
    </w:p>
    <w:p w14:paraId="7FA43713" w14:textId="77777777" w:rsidR="005720AD" w:rsidRPr="006C0804" w:rsidRDefault="005720AD" w:rsidP="005720AD">
      <w:pPr>
        <w:pStyle w:val="Line"/>
        <w:rPr>
          <w:sz w:val="18"/>
          <w:lang w:val="ru-RU"/>
        </w:rPr>
      </w:pPr>
    </w:p>
    <w:sectPr w:rsidR="005720AD" w:rsidRPr="006C0804" w:rsidSect="00302806">
      <w:headerReference w:type="even" r:id="rId23"/>
      <w:headerReference w:type="default" r:id="rId24"/>
      <w:footerReference w:type="default" r:id="rId25"/>
      <w:pgSz w:w="11907" w:h="16834" w:code="9"/>
      <w:pgMar w:top="1418" w:right="1134" w:bottom="1134" w:left="1134" w:header="720" w:footer="482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2C6A" w14:textId="77777777" w:rsidR="00DF7DD5" w:rsidRDefault="00DF7DD5">
      <w:r>
        <w:separator/>
      </w:r>
    </w:p>
  </w:endnote>
  <w:endnote w:type="continuationSeparator" w:id="0">
    <w:p w14:paraId="730D1CEA" w14:textId="77777777" w:rsidR="00DF7DD5" w:rsidRDefault="00DF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DE36" w14:textId="77777777" w:rsidR="003338C9" w:rsidRDefault="003338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8250" w14:textId="77777777" w:rsidR="00A04A4E" w:rsidRDefault="00A04A4E">
    <w:pPr>
      <w:pStyle w:val="Footer"/>
    </w:pPr>
    <w:r>
      <w:rPr>
        <w:lang w:val="ru-RU" w:eastAsia="ru-RU"/>
      </w:rPr>
      <w:drawing>
        <wp:anchor distT="0" distB="0" distL="0" distR="0" simplePos="0" relativeHeight="251659264" behindDoc="0" locked="0" layoutInCell="1" allowOverlap="1" wp14:anchorId="00C17DC0" wp14:editId="692F3EF7">
          <wp:simplePos x="0" y="0"/>
          <wp:positionH relativeFrom="page">
            <wp:posOffset>6346209</wp:posOffset>
          </wp:positionH>
          <wp:positionV relativeFrom="page">
            <wp:posOffset>9501505</wp:posOffset>
          </wp:positionV>
          <wp:extent cx="738000" cy="813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674E" w14:textId="77777777" w:rsidR="003338C9" w:rsidRDefault="003338C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EF71" w14:textId="125AF9B8" w:rsidR="00A04A4E" w:rsidRDefault="00A04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85BCB" w14:textId="77777777" w:rsidR="00DF7DD5" w:rsidRDefault="00DF7DD5">
      <w:r>
        <w:separator/>
      </w:r>
    </w:p>
  </w:footnote>
  <w:footnote w:type="continuationSeparator" w:id="0">
    <w:p w14:paraId="700F1157" w14:textId="77777777" w:rsidR="00DF7DD5" w:rsidRDefault="00DF7DD5">
      <w:r>
        <w:continuationSeparator/>
      </w:r>
    </w:p>
  </w:footnote>
  <w:footnote w:id="1">
    <w:p w14:paraId="25DF60A8" w14:textId="3B0984C6" w:rsidR="00A04A4E" w:rsidRPr="001A6D0F" w:rsidRDefault="00A04A4E" w:rsidP="005720AD">
      <w:pPr>
        <w:pStyle w:val="FootnoteText"/>
        <w:rPr>
          <w:lang w:val="ru-RU"/>
        </w:rPr>
      </w:pPr>
      <w:r w:rsidRPr="001A6D0F">
        <w:rPr>
          <w:rStyle w:val="FootnoteReference"/>
        </w:rPr>
        <w:sym w:font="Symbol" w:char="F02A"/>
      </w:r>
      <w:r w:rsidRPr="001A6D0F">
        <w:rPr>
          <w:lang w:val="ru-RU"/>
        </w:rPr>
        <w:tab/>
        <w:t>Настоящую Рекомендацию следует довести до сведения Международной морской организации (ИМО), Международной организации гражданской авиации (ИКАО) и Международной организации подвижной спутниковой связи (ИМСО).</w:t>
      </w:r>
    </w:p>
  </w:footnote>
  <w:footnote w:id="2">
    <w:p w14:paraId="5349CAC5" w14:textId="6A243B85" w:rsidR="00A04A4E" w:rsidRPr="00F75F85" w:rsidRDefault="00A04A4E" w:rsidP="00F75F85">
      <w:pPr>
        <w:pStyle w:val="FootnoteText"/>
        <w:spacing w:after="240"/>
        <w:rPr>
          <w:lang w:val="ru-RU"/>
        </w:rPr>
      </w:pPr>
      <w:r w:rsidRPr="00F75F85">
        <w:rPr>
          <w:rStyle w:val="FootnoteReference"/>
          <w:szCs w:val="18"/>
        </w:rPr>
        <w:footnoteRef/>
      </w:r>
      <w:r w:rsidRPr="00F75F85">
        <w:rPr>
          <w:lang w:val="ru-RU"/>
        </w:rPr>
        <w:tab/>
        <w:t>Настоящая Рекомендация основана на исследованиях, предложенных в Резолюции</w:t>
      </w:r>
      <w:r>
        <w:rPr>
          <w:lang w:val="ru-RU"/>
        </w:rPr>
        <w:t> </w:t>
      </w:r>
      <w:r w:rsidRPr="00F75F85">
        <w:rPr>
          <w:b/>
          <w:lang w:val="ru-RU"/>
        </w:rPr>
        <w:t>223 (Пересм. ВКР-19)</w:t>
      </w:r>
      <w:r w:rsidRPr="00F75F85">
        <w:rPr>
          <w:lang w:val="ru-RU"/>
        </w:rPr>
        <w:t xml:space="preserve"> </w:t>
      </w:r>
      <w:r>
        <w:rPr>
          <w:lang w:val="ru-RU"/>
        </w:rPr>
        <w:t>и касающихся обеспечения</w:t>
      </w:r>
      <w:r w:rsidRPr="00F75F85">
        <w:rPr>
          <w:lang w:val="ru-RU"/>
        </w:rPr>
        <w:t xml:space="preserve"> сосуществования IMT в полосе 1492‒1518</w:t>
      </w:r>
      <w:r>
        <w:rPr>
          <w:lang w:val="ru-RU"/>
        </w:rPr>
        <w:t> </w:t>
      </w:r>
      <w:r w:rsidRPr="00F75F85">
        <w:rPr>
          <w:lang w:val="ru-RU"/>
        </w:rPr>
        <w:t>МГц и ПСС в полосе 1518</w:t>
      </w:r>
      <w:r>
        <w:rPr>
          <w:lang w:val="ru-RU"/>
        </w:rPr>
        <w:t>–</w:t>
      </w:r>
      <w:r w:rsidRPr="00F75F85">
        <w:rPr>
          <w:lang w:val="ru-RU"/>
        </w:rPr>
        <w:t xml:space="preserve">1525 МГц, </w:t>
      </w:r>
      <w:r>
        <w:rPr>
          <w:lang w:val="ru-RU"/>
        </w:rPr>
        <w:t xml:space="preserve">однако </w:t>
      </w:r>
      <w:r w:rsidRPr="00F75F85">
        <w:rPr>
          <w:lang w:val="ru-RU"/>
        </w:rPr>
        <w:t>рекомендуемые технические требования и регламентарные меры также эффективны и могут применяться к подвижным земным станциям, работающим в полосе 1525‒1559</w:t>
      </w:r>
      <w:r>
        <w:rPr>
          <w:lang w:val="ru-RU"/>
        </w:rPr>
        <w:t> </w:t>
      </w:r>
      <w:r w:rsidRPr="00F75F85">
        <w:rPr>
          <w:lang w:val="ru-RU"/>
        </w:rPr>
        <w:t>МГц.</w:t>
      </w:r>
    </w:p>
  </w:footnote>
  <w:footnote w:id="3">
    <w:p w14:paraId="404EF3BF" w14:textId="020F4E33" w:rsidR="00A04A4E" w:rsidRPr="001735D7" w:rsidRDefault="00A04A4E" w:rsidP="001735D7">
      <w:pPr>
        <w:pStyle w:val="FootnoteText"/>
        <w:rPr>
          <w:rStyle w:val="FootnoteReference"/>
          <w:position w:val="0"/>
          <w:sz w:val="20"/>
          <w:lang w:val="ru-RU"/>
        </w:rPr>
      </w:pPr>
      <w:r w:rsidRPr="0073109D">
        <w:rPr>
          <w:rStyle w:val="FootnoteReference"/>
          <w:szCs w:val="18"/>
        </w:rPr>
        <w:footnoteRef/>
      </w:r>
      <w:r w:rsidRPr="00025D9C">
        <w:rPr>
          <w:lang w:val="ru-RU"/>
        </w:rPr>
        <w:tab/>
      </w:r>
      <w:r>
        <w:rPr>
          <w:rFonts w:eastAsia="Calibri"/>
          <w:lang w:val="ru-RU"/>
        </w:rPr>
        <w:t>Относительно применения данного Приложения в странах, где ПСС эксплуатируется в других частях диапазона 1,5 ГГц, см. также сноску к заголовку настоящей Рекомендации.</w:t>
      </w:r>
    </w:p>
  </w:footnote>
  <w:footnote w:id="4">
    <w:p w14:paraId="669D6FCA" w14:textId="16701DCF" w:rsidR="00A04A4E" w:rsidRPr="00CB7FD2" w:rsidRDefault="00A04A4E" w:rsidP="005720AD">
      <w:pPr>
        <w:pStyle w:val="FootnoteText"/>
      </w:pPr>
      <w:r w:rsidRPr="00CB7FD2">
        <w:rPr>
          <w:rStyle w:val="FootnoteReference"/>
        </w:rPr>
        <w:footnoteRef/>
      </w:r>
      <w:r>
        <w:tab/>
      </w:r>
      <w:r w:rsidRPr="00CB7FD2">
        <w:rPr>
          <w:szCs w:val="24"/>
          <w:lang w:eastAsia="zh-CN"/>
        </w:rPr>
        <w:t>FCC 05-</w:t>
      </w:r>
      <w:proofErr w:type="gramStart"/>
      <w:r w:rsidRPr="00CB7FD2">
        <w:rPr>
          <w:szCs w:val="24"/>
          <w:lang w:eastAsia="zh-CN"/>
        </w:rPr>
        <w:t>30:</w:t>
      </w:r>
      <w:proofErr w:type="gramEnd"/>
      <w:r w:rsidRPr="00CB7FD2">
        <w:rPr>
          <w:szCs w:val="24"/>
          <w:lang w:eastAsia="zh-CN"/>
        </w:rPr>
        <w:t xml:space="preserve"> </w:t>
      </w:r>
      <w:r w:rsidR="00592817">
        <w:rPr>
          <w:szCs w:val="24"/>
          <w:lang w:val="ru-RU" w:eastAsia="zh-CN"/>
        </w:rPr>
        <w:t>"</w:t>
      </w:r>
      <w:proofErr w:type="spellStart"/>
      <w:r w:rsidRPr="00CB7FD2">
        <w:rPr>
          <w:szCs w:val="24"/>
          <w:lang w:eastAsia="zh-CN"/>
        </w:rPr>
        <w:t>Flexibility</w:t>
      </w:r>
      <w:proofErr w:type="spellEnd"/>
      <w:r w:rsidRPr="00CB7FD2">
        <w:rPr>
          <w:szCs w:val="24"/>
          <w:lang w:eastAsia="zh-CN"/>
        </w:rPr>
        <w:t xml:space="preserve"> for Delivery of Communications by Mobile Satellite Service Providers in the 2 GHz Band, the L-Band, and the 1.6/2.4 GHz Bands – Memorandum Opinion and </w:t>
      </w:r>
      <w:proofErr w:type="spellStart"/>
      <w:r w:rsidRPr="00CB7FD2">
        <w:rPr>
          <w:szCs w:val="24"/>
          <w:lang w:eastAsia="zh-CN"/>
        </w:rPr>
        <w:t>Order</w:t>
      </w:r>
      <w:proofErr w:type="spellEnd"/>
      <w:r w:rsidRPr="00CB7FD2">
        <w:rPr>
          <w:szCs w:val="24"/>
          <w:lang w:eastAsia="zh-CN"/>
        </w:rPr>
        <w:t xml:space="preserve"> and Second </w:t>
      </w:r>
      <w:proofErr w:type="spellStart"/>
      <w:r w:rsidRPr="00CB7FD2">
        <w:rPr>
          <w:szCs w:val="24"/>
          <w:lang w:eastAsia="zh-CN"/>
        </w:rPr>
        <w:t>Order</w:t>
      </w:r>
      <w:proofErr w:type="spellEnd"/>
      <w:r w:rsidRPr="00CB7FD2">
        <w:rPr>
          <w:szCs w:val="24"/>
          <w:lang w:eastAsia="zh-CN"/>
        </w:rPr>
        <w:t xml:space="preserve"> on </w:t>
      </w:r>
      <w:proofErr w:type="spellStart"/>
      <w:r w:rsidRPr="00CB7FD2">
        <w:rPr>
          <w:szCs w:val="24"/>
          <w:lang w:eastAsia="zh-CN"/>
        </w:rPr>
        <w:t>Reconsideration</w:t>
      </w:r>
      <w:proofErr w:type="spellEnd"/>
      <w:r w:rsidR="00592817">
        <w:rPr>
          <w:szCs w:val="24"/>
          <w:lang w:val="ru-RU" w:eastAsia="zh-CN"/>
        </w:rPr>
        <w:t>"</w:t>
      </w:r>
      <w:r w:rsidRPr="00CB7FD2">
        <w:rPr>
          <w:szCs w:val="24"/>
          <w:lang w:eastAsia="zh-CN"/>
        </w:rPr>
        <w:t xml:space="preserve">, </w:t>
      </w:r>
      <w:proofErr w:type="spellStart"/>
      <w:r w:rsidRPr="00CB7FD2">
        <w:rPr>
          <w:szCs w:val="24"/>
          <w:lang w:eastAsia="zh-CN"/>
        </w:rPr>
        <w:t>February</w:t>
      </w:r>
      <w:proofErr w:type="spellEnd"/>
      <w:r w:rsidRPr="00CB7FD2">
        <w:rPr>
          <w:szCs w:val="24"/>
          <w:lang w:eastAsia="zh-CN"/>
        </w:rPr>
        <w:t xml:space="preserve"> 2005.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DFF1" w14:textId="77777777" w:rsidR="00A04A4E" w:rsidRDefault="00A04A4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4"/>
      <w:gridCol w:w="5916"/>
    </w:tblGrid>
    <w:tr w:rsidR="00A04A4E" w:rsidRPr="00A239D1" w14:paraId="117A9253" w14:textId="77777777" w:rsidTr="00AE6864">
      <w:tc>
        <w:tcPr>
          <w:tcW w:w="4634" w:type="dxa"/>
          <w:vAlign w:val="center"/>
        </w:tcPr>
        <w:p w14:paraId="78593FAA" w14:textId="5A7F1A3E" w:rsidR="00A04A4E" w:rsidRPr="006A1940" w:rsidRDefault="00A04A4E" w:rsidP="006A1940">
          <w:pPr>
            <w:pStyle w:val="Header"/>
            <w:jc w:val="left"/>
            <w:rPr>
              <w:rFonts w:ascii="Arial Black" w:hAnsi="Arial Black" w:cs="Tahoma"/>
              <w:b/>
              <w:sz w:val="30"/>
              <w:szCs w:val="30"/>
              <w:lang w:val="ru-RU"/>
            </w:rPr>
          </w:pPr>
        </w:p>
      </w:tc>
      <w:tc>
        <w:tcPr>
          <w:tcW w:w="5998" w:type="dxa"/>
          <w:vAlign w:val="center"/>
        </w:tcPr>
        <w:p w14:paraId="12EC620F" w14:textId="21B69A95" w:rsidR="00A04A4E" w:rsidRPr="003212E0" w:rsidRDefault="00A04A4E" w:rsidP="00AE6864">
          <w:pPr>
            <w:pStyle w:val="Header"/>
            <w:jc w:val="right"/>
            <w:rPr>
              <w:rFonts w:asciiTheme="minorBidi" w:hAnsiTheme="minorBidi"/>
              <w:b/>
              <w:spacing w:val="4"/>
              <w:szCs w:val="24"/>
              <w:lang w:val="ru-RU"/>
            </w:rPr>
          </w:pPr>
          <w:r>
            <w:rPr>
              <w:rFonts w:asciiTheme="minorBidi" w:hAnsiTheme="minorBidi"/>
              <w:b/>
              <w:spacing w:val="4"/>
              <w:szCs w:val="24"/>
              <w:lang w:val="ru-RU"/>
            </w:rPr>
            <w:t>Международный союз электросвязи</w:t>
          </w:r>
        </w:p>
      </w:tc>
    </w:tr>
    <w:tr w:rsidR="00A04A4E" w:rsidRPr="00A239D1" w14:paraId="1C78B2D5" w14:textId="77777777" w:rsidTr="00AE6864">
      <w:tc>
        <w:tcPr>
          <w:tcW w:w="4634" w:type="dxa"/>
          <w:vAlign w:val="center"/>
        </w:tcPr>
        <w:p w14:paraId="264C2876" w14:textId="591E90E4" w:rsidR="00A04A4E" w:rsidRPr="00260B24" w:rsidRDefault="00F90837" w:rsidP="006A1940">
          <w:pPr>
            <w:pStyle w:val="Header"/>
            <w:jc w:val="left"/>
            <w:rPr>
              <w:rFonts w:asciiTheme="minorBidi" w:hAnsiTheme="minorBidi"/>
              <w:spacing w:val="4"/>
              <w:sz w:val="21"/>
              <w:szCs w:val="21"/>
            </w:rPr>
          </w:pPr>
          <w:r>
            <w:rPr>
              <w:rFonts w:ascii="Arial Black" w:hAnsi="Arial Black" w:cs="Arial"/>
              <w:noProof/>
              <w:sz w:val="32"/>
              <w:szCs w:val="32"/>
            </w:rPr>
            <w:drawing>
              <wp:anchor distT="0" distB="0" distL="114300" distR="114300" simplePos="0" relativeHeight="251664384" behindDoc="0" locked="0" layoutInCell="1" allowOverlap="1" wp14:anchorId="2E75BC00" wp14:editId="44C42D24">
                <wp:simplePos x="0" y="0"/>
                <wp:positionH relativeFrom="column">
                  <wp:posOffset>-95885</wp:posOffset>
                </wp:positionH>
                <wp:positionV relativeFrom="paragraph">
                  <wp:posOffset>-323215</wp:posOffset>
                </wp:positionV>
                <wp:extent cx="1733550" cy="37465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04A4E">
            <w:rPr>
              <w:rFonts w:asciiTheme="minorBidi" w:hAnsiTheme="minorBidi"/>
              <w:spacing w:val="4"/>
              <w:szCs w:val="24"/>
              <w:lang w:val="ru-RU"/>
            </w:rPr>
            <w:t>Рекомендации</w:t>
          </w:r>
        </w:p>
      </w:tc>
      <w:tc>
        <w:tcPr>
          <w:tcW w:w="5998" w:type="dxa"/>
          <w:vAlign w:val="center"/>
        </w:tcPr>
        <w:p w14:paraId="52B8F415" w14:textId="5D7523FB" w:rsidR="00A04A4E" w:rsidRPr="003338C9" w:rsidRDefault="00A04A4E" w:rsidP="00AE6864">
          <w:pPr>
            <w:pStyle w:val="Header"/>
            <w:jc w:val="right"/>
            <w:rPr>
              <w:rFonts w:asciiTheme="minorBidi" w:hAnsiTheme="minorBidi"/>
              <w:spacing w:val="4"/>
              <w:lang w:val="ru-RU"/>
            </w:rPr>
          </w:pPr>
          <w:r w:rsidRPr="003338C9">
            <w:rPr>
              <w:rFonts w:asciiTheme="minorBidi" w:hAnsiTheme="minorBidi"/>
              <w:spacing w:val="4"/>
              <w:lang w:val="ru-RU"/>
            </w:rPr>
            <w:t>Сектор радиосвязи</w:t>
          </w:r>
        </w:p>
      </w:tc>
    </w:tr>
  </w:tbl>
  <w:p w14:paraId="5D7149C1" w14:textId="71B287B0" w:rsidR="00A04A4E" w:rsidRDefault="00A04A4E" w:rsidP="00AE6864">
    <w:pPr>
      <w:pStyle w:val="Header"/>
    </w:pPr>
    <w:r>
      <w:rPr>
        <w:rFonts w:ascii="Arial" w:hAnsi="Arial" w:cs="Arial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A425B4" wp14:editId="63D3796A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C1BF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-8.35pt;margin-top:12.95pt;width:23.75pt;height:13.5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dtSQIAAIsEAAAOAAAAZHJzL2Uyb0RvYy54bWysVNuO0zAQfUfiHyy/0ySlXbpR09WqSxHS&#10;cpEWPsBxnMTgG7bbdPl6xpOQLewbIpEszzg+M3POTLY3Z63ISfggraloscgpEYbbRpquol+/HF5t&#10;KAmRmYYpa0RFH0WgN7uXL7aDK8XS9lY1whMAMaEcXEX7GF2ZZYH3QrOwsE4YOGyt1yyC6bus8WwA&#10;dK2yZZ5fZYP1jfOWixDAezce0h3it63g8VPbBhGJqijkFnH1uNZpzXZbVnaeuV7yKQ32D1loJg0E&#10;naHuWGTk6OUzKC25t8G2ccGtzmzbSi6wBqimyP+q5qFnTmAtQE5wM03h/8Hyj6cH99mn1IO7t/x7&#10;IMbue2Y6ceu9HXrBGghXJKKywYVyvpCMAFdJPXywDUjLjtEiB+fWa+ItcF3kmzw96IZiyRmZf5yZ&#10;F+dIODhf58XVck0Jh6PizTLfrDEgKxNWSs75EN8Jq0naVDR6CSmqRA4r2ek+RCS/IYbplErzjZJW&#10;K5DyxBRZYw6pgvlj2P2GxNqtks1BKoVGaj6xV57A5YrWXYFh1FFDoaOvGMvC7gE/9Njox4YCbOzf&#10;BIExwyW6MmSo6PUayn0e2Xf1HPewSe/Ewx8QWkYYGiV1RSd+MZGk1VvT4D4yqcY9ZKPMJF7SK41G&#10;KGvbPIJ2qBLMBUwwsNpb/5OSAaahouHHkXlBiXpvQP/rYrVK44PGag0KUeIvT+rLE2Y4QIFKlIzb&#10;fRxH7ui87PrUGFi7sbfQM62MSZqnrCYDOh7Zm6YzjdSljV89/UN2vwAAAP//AwBQSwMEFAAGAAgA&#10;AAAhAJ7d/i/gAAAACAEAAA8AAABkcnMvZG93bnJldi54bWxMj8FOwzAQRO9I/IO1SFxQaydVC4Q4&#10;FULABYFEC0jc3HhJIuJ1iJ3W/D3LCY6rfZp5U66T68Uex9B50pDNFQik2tuOGg0v27vZBYgQDVnT&#10;e0IN3xhgXR0flaaw/kDPuN/ERnAIhcJoaGMcCilD3aIzYe4HJP59+NGZyOfYSDuaA4e7XuZKraQz&#10;HXFDawa8abH+3EyOe9PZ9vbpIb49fsn7fHpPGY3Dq9anJ+n6CkTEFP9g+NVndajYaecnskH0GmbZ&#10;6pxRDfnyEgQDC8VTdhqWCwWyKuX/AdUPAAAA//8DAFBLAQItABQABgAIAAAAIQC2gziS/gAAAOEB&#10;AAATAAAAAAAAAAAAAAAAAAAAAABbQ29udGVudF9UeXBlc10ueG1sUEsBAi0AFAAGAAgAAAAhADj9&#10;If/WAAAAlAEAAAsAAAAAAAAAAAAAAAAALwEAAF9yZWxzLy5yZWxzUEsBAi0AFAAGAAgAAAAhAFmO&#10;J21JAgAAiwQAAA4AAAAAAAAAAAAAAAAALgIAAGRycy9lMm9Eb2MueG1sUEsBAi0AFAAGAAgAAAAh&#10;AJ7d/i/gAAAACAEAAA8AAAAAAAAAAAAAAAAAowQAAGRycy9kb3ducmV2LnhtbFBLBQYAAAAABAAE&#10;APMAAACwBQAAAAA=&#10;" fillcolor="white [3212]" strokecolor="#f8f8f8"/>
          </w:pict>
        </mc:Fallback>
      </mc:AlternateContent>
    </w:r>
  </w:p>
  <w:p w14:paraId="5E2749AD" w14:textId="77777777" w:rsidR="00A04A4E" w:rsidRDefault="00A04A4E" w:rsidP="00AE6864">
    <w:pPr>
      <w:pStyle w:val="Header"/>
      <w:ind w:right="360"/>
      <w:jc w:val="both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8CCE2BE" wp14:editId="724ED120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2" name="docshapegroup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3" name="docshape7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8"/>
                      <wps:cNvSpPr>
                        <a:spLocks/>
                      </wps:cNvSpPr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ECED07" id="docshapegroup6" o:spid="_x0000_s1026" style="position:absolute;margin-left:0;margin-top:94.2pt;width:595.3pt;height:18.6pt;z-index:251662336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QZMKAQAABoMAAAOAAAAZHJzL2Uyb0RvYy54bWzUVttu4zYQfS/QfyD42GIjUfJViLJYJLtB&#10;gW27wLofQEvUBZVIlaQtZ7++M6Rky67dBilQoHlwKM1oLmfOzPD+/aFtyF5oUyuZUnYXUiJkpvJa&#10;lin9bfPp3YoSY7nMeaOkSOmLMPT9w/ff3fddIiJVqSYXmoARaZK+S2llbZcEgckq0XJzpzohQVgo&#10;3XILj7oMcs17sN42QRSGi6BXOu+0yoQx8PbJC+mDs18UIrO/FoURljQphdis+9Xud4u/wcM9T0rN&#10;u6rOhjD4G6JoeS3B6dHUE7ec7HT9F1NtnWllVGHvMtUGqijqTLgcIBsWXmTzrNWuc7mUSV92R5gA&#10;2guc3mw2+2X/rLuv3Rfto4fjZ5X9bgCXoO/KZCrH59Irk23/s8qhnnxnlUv8UOgWTUBK5ODwfTni&#10;Kw6WZPByOV+EMYMyZCCL4kUUDQXIKqjS6TO2Ws18ZbLq4/AtY+tw4b+MlxFKA554py7QITAsPDDJ&#10;nMAy/w6srxXvhKuBQTC+aFLnKY0pkbyF/HOVGdRYYkToGnRGNI2Hkkj1WHFZig9aq74SPIeQmMvg&#10;7AN8MFCIV2LL1rMBpBHeKUTsHCKedNrYZ6FagoeUaugMVze+/2ysR3NUwTIa1dT5p7pp3IMut4+N&#10;JnuOXRSuH58WQwHO1BpJ+pSu59HcWT6TmdeZaGsL46Cp25SuQvxDPzxB0D7K3J0trxt/BgI00vHU&#10;A+cLsFX5C4Cole91mE1wqJT+RkkPfZ5S88eOa0FJ85OEQqzZbIaDwT3M5kugJNFTyXYq4TIDUym1&#10;lPjjo/XDZNfpuqzAE3O5S/UBGqOoHbJYWB/VECzQ8z/i6eySp6vbPEUSvI2QjIVrSqCnT407cnIR&#10;LYemZY6tx6blSbbzjMQCjyyEAZoDH/FVmQ8ttoGKFG0DY/nHdyQkbBkviPPo6HBSY6PaDwHZhKQn&#10;6PtCJxp1vCmYM+QU88kUtLf3CKZQTioS+/incQG407gAhKtxzUc1jGt2PS6YbFNTt+ICLF8RF6zc&#10;qbFZFF+NC0p2NLZZXY8Lh/XEVsTWy6uAsSn4TusqYjCVpuZul3JagA2LbgR3UYBbqLFpBc7LCXQ8&#10;Eo5XfhICMw9yICGcoNFh34aurTtlcEttIFtg+yYepiBoIWNvKIN3VHZcBH9/r+z7aAN4Yjv+kzYD&#10;nNA2ZDhR958NGeCgv7z8aErg8rP1zdFxi4ljAnjEEe6atoItB5zH963ai41yGhbzd3Lw66YzeDvJ&#10;GznVA/JMtEbZ+L9zttAHasWQi89hlI//vd6lz1GaNcoI/yGG70A7poRITKbM+UbCK6Y4rrVt6Sd3&#10;s2vhZuNXHZusIHiPdxS/AodI3S0VTTivZ9ZxMfFEKlyhY1rDfMUd//9aVe6CBRdQl+ZwWcYb7vTZ&#10;JXe60j/8CQAA//8DAFBLAwQUAAYACAAAACEA1AVv9OAAAAAJAQAADwAAAGRycy9kb3ducmV2Lnht&#10;bEyPQUvDQBCF74L/YRnBm90k2hBjNqUU9VQEW0G8TbPTJDQ7G7LbJP33bk96fPOG975XrGbTiZEG&#10;11pWEC8iEMSV1S3XCr72bw8ZCOeRNXaWScGFHKzK25sCc20n/qRx52sRQtjlqKDxvs+ldFVDBt3C&#10;9sTBO9rBoA9yqKUecArhppNJFKXSYMuhocGeNg1Vp93ZKHifcFo/xq/j9nTcXH72y4/vbUxK3d/N&#10;6xcQnmb/9wxX/IAOZWA62DNrJzoFYYgP1yx7AnG14+coBXFQkCTLFGRZyP8Lyl8AAAD//wMAUEsB&#10;Ai0AFAAGAAgAAAAhALaDOJL+AAAA4QEAABMAAAAAAAAAAAAAAAAAAAAAAFtDb250ZW50X1R5cGVz&#10;XS54bWxQSwECLQAUAAYACAAAACEAOP0h/9YAAACUAQAACwAAAAAAAAAAAAAAAAAvAQAAX3JlbHMv&#10;LnJlbHNQSwECLQAUAAYACAAAACEArdUGTCgEAAAaDAAADgAAAAAAAAAAAAAAAAAuAgAAZHJzL2Uy&#10;b0RvYy54bWxQSwECLQAUAAYACAAAACEA1AVv9OAAAAAJAQAADwAAAAAAAAAAAAAAAACCBgAAZHJz&#10;L2Rvd25yZXYueG1sUEsFBgAAAAAEAAQA8wAAAI8HAAAAAA==&#10;">
              <v:rect id="docshape7" o:spid="_x0000_s1027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W2vQAAANoAAAAPAAAAZHJzL2Rvd25yZXYueG1sRI/NCsIw&#10;EITvgu8QVvAimqogpRpFBMGDF3/A69KsTbXZlCZqfXsjCB6HmfmGWaxaW4knNb50rGA8SkAQ506X&#10;XCg4n7bDFIQPyBorx6TgTR5Wy25ngZl2Lz7Q8xgKESHsM1RgQqgzKX1uyKIfuZo4elfXWAxRNoXU&#10;Db4i3FZykiQzabHkuGCwpo2h/H58WAUDXbxv4+RiuQ4mJbfJW417pfq9dj0HEagN//CvvdMKpvC9&#10;Em+AXH4AAAD//wMAUEsBAi0AFAAGAAgAAAAhANvh9svuAAAAhQEAABMAAAAAAAAAAAAAAAAAAAAA&#10;AFtDb250ZW50X1R5cGVzXS54bWxQSwECLQAUAAYACAAAACEAWvQsW78AAAAVAQAACwAAAAAAAAAA&#10;AAAAAAAfAQAAX3JlbHMvLnJlbHNQSwECLQAUAAYACAAAACEAs7z1tr0AAADaAAAADwAAAAAAAAAA&#10;AAAAAAAHAgAAZHJzL2Rvd25yZXYueG1sUEsFBgAAAAADAAMAtwAAAPECAAAAAA==&#10;" fillcolor="#009cd6" strokecolor="#009cd6"/>
              <v:shape id="docshape8" o:spid="_x0000_s1028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7H8wQAAANoAAAAPAAAAZHJzL2Rvd25yZXYueG1sRI9Bi8Iw&#10;FITvC/6H8ARva6oEV6pRtLCL4GmrF2+P5tkWm5fSpFr/vREW9jjMzDfMejvYRtyp87VjDbNpAoK4&#10;cKbmUsP59P25BOEDssHGMWl4koftZvSxxtS4B//SPQ+liBD2KWqoQmhTKX1RkUU/dS1x9K6usxii&#10;7EppOnxEuG3kPEkW0mLNcaHClrKKilveWw39/nJQP6q45kclbf+VOZt5pfVkPOxWIAIN4T/81z4Y&#10;DQreV+INkJsXAAAA//8DAFBLAQItABQABgAIAAAAIQDb4fbL7gAAAIUBAAATAAAAAAAAAAAAAAAA&#10;AAAAAABbQ29udGVudF9UeXBlc10ueG1sUEsBAi0AFAAGAAgAAAAhAFr0LFu/AAAAFQEAAAsAAAAA&#10;AAAAAAAAAAAAHwEAAF9yZWxzLy5yZWxzUEsBAi0AFAAGAAgAAAAhAP1TsfzBAAAA2gAAAA8AAAAA&#10;AAAAAAAAAAAABwIAAGRycy9kb3ducmV2LnhtbFBLBQYAAAAAAwADALcAAAD1AgAAAAA=&#10;" path="m627,l,,314,313,627,xe" fillcolor="white [3212]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17CFE" w14:textId="77777777" w:rsidR="003338C9" w:rsidRDefault="003338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E299" w14:textId="0831CC99" w:rsidR="003338C9" w:rsidRDefault="003338C9" w:rsidP="00020FCC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B24CC4">
      <w:rPr>
        <w:b/>
        <w:bCs/>
        <w:noProof/>
        <w:szCs w:val="22"/>
        <w:lang w:val="en-US"/>
      </w:rPr>
      <w:t>МСЭ-R  M.2159-0</w:t>
    </w:r>
    <w:r w:rsidRPr="00553C5F">
      <w:rPr>
        <w:b/>
        <w:bCs/>
        <w:szCs w:val="22"/>
        <w:lang w:val="en-US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33E9" w14:textId="5B62FBD5" w:rsidR="003338C9" w:rsidRDefault="003338C9">
    <w:pPr>
      <w:pStyle w:val="Header"/>
    </w:pPr>
    <w:r>
      <w:tab/>
    </w:r>
    <w:fldSimple w:instr=" DOCPROPERTY &quot;Header&quot; \* MERGEFORMAT ">
      <w:r w:rsidR="00B24CC4" w:rsidRPr="00B24CC4">
        <w:rPr>
          <w:b/>
          <w:bCs/>
        </w:rPr>
        <w:t xml:space="preserve">Rec. </w:t>
      </w:r>
    </w:fldSimple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B24CC4">
      <w:rPr>
        <w:b/>
        <w:bCs/>
        <w:noProof/>
      </w:rPr>
      <w:t>МСЭ-R  M.2159-0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iii</w:t>
    </w:r>
    <w:r>
      <w:rPr>
        <w:rStyle w:val="PageNumber"/>
        <w:b/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65D3" w14:textId="05753AD4" w:rsidR="00A04A4E" w:rsidRPr="003212E0" w:rsidRDefault="00A04A4E">
    <w:pPr>
      <w:pStyle w:val="Header"/>
      <w:jc w:val="left"/>
      <w:rPr>
        <w:lang w:val="en-US"/>
      </w:rPr>
    </w:pPr>
    <w:r w:rsidRPr="003212E0">
      <w:rPr>
        <w:rStyle w:val="PageNumber"/>
        <w:b/>
        <w:bCs/>
      </w:rPr>
      <w:fldChar w:fldCharType="begin"/>
    </w:r>
    <w:r w:rsidRPr="003212E0">
      <w:rPr>
        <w:rStyle w:val="PageNumber"/>
        <w:b/>
        <w:bCs/>
        <w:lang w:val="en-US"/>
      </w:rPr>
      <w:instrText xml:space="preserve"> PAGE </w:instrText>
    </w:r>
    <w:r w:rsidRPr="003212E0">
      <w:rPr>
        <w:rStyle w:val="PageNumber"/>
        <w:b/>
        <w:bCs/>
      </w:rPr>
      <w:fldChar w:fldCharType="separate"/>
    </w:r>
    <w:r w:rsidR="001B3CD8">
      <w:rPr>
        <w:rStyle w:val="PageNumber"/>
        <w:b/>
        <w:bCs/>
        <w:noProof/>
        <w:lang w:val="en-US"/>
      </w:rPr>
      <w:t>12</w:t>
    </w:r>
    <w:r w:rsidRPr="003212E0">
      <w:rPr>
        <w:rStyle w:val="PageNumber"/>
        <w:b/>
        <w:bCs/>
      </w:rPr>
      <w:fldChar w:fldCharType="end"/>
    </w:r>
    <w:r w:rsidRPr="003212E0">
      <w:rPr>
        <w:lang w:val="en-US"/>
      </w:rPr>
      <w:tab/>
    </w:r>
    <w:r w:rsidRPr="003212E0">
      <w:rPr>
        <w:b/>
        <w:lang w:val="ru-RU"/>
      </w:rPr>
      <w:t xml:space="preserve">Рек.  </w:t>
    </w:r>
    <w:r w:rsidR="003338C9">
      <w:rPr>
        <w:b/>
        <w:bCs/>
      </w:rPr>
      <w:fldChar w:fldCharType="begin"/>
    </w:r>
    <w:r w:rsidR="003338C9">
      <w:rPr>
        <w:b/>
        <w:bCs/>
        <w:lang w:val="en-US"/>
      </w:rPr>
      <w:instrText>styleref href</w:instrText>
    </w:r>
    <w:r w:rsidR="003338C9">
      <w:rPr>
        <w:b/>
        <w:bCs/>
      </w:rPr>
      <w:fldChar w:fldCharType="separate"/>
    </w:r>
    <w:r w:rsidR="00B24CC4">
      <w:rPr>
        <w:b/>
        <w:bCs/>
        <w:noProof/>
        <w:lang w:val="en-US"/>
      </w:rPr>
      <w:t>МСЭ-R  M.2159-0</w:t>
    </w:r>
    <w:r w:rsidR="003338C9">
      <w:rPr>
        <w:b/>
        <w:bCs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35EF" w14:textId="5A2CE63D" w:rsidR="00A04A4E" w:rsidRPr="003212E0" w:rsidRDefault="00A04A4E">
    <w:pPr>
      <w:pStyle w:val="Header"/>
    </w:pPr>
    <w:r w:rsidRPr="003212E0">
      <w:tab/>
    </w:r>
    <w:r w:rsidRPr="003212E0">
      <w:rPr>
        <w:b/>
        <w:lang w:val="ru-RU"/>
      </w:rPr>
      <w:t xml:space="preserve">Рек.  </w:t>
    </w:r>
    <w:r w:rsidR="003338C9">
      <w:rPr>
        <w:b/>
        <w:bCs/>
      </w:rPr>
      <w:fldChar w:fldCharType="begin"/>
    </w:r>
    <w:r w:rsidR="003338C9">
      <w:rPr>
        <w:b/>
        <w:bCs/>
        <w:lang w:val="en-US"/>
      </w:rPr>
      <w:instrText>styleref href</w:instrText>
    </w:r>
    <w:r w:rsidR="003338C9">
      <w:rPr>
        <w:b/>
        <w:bCs/>
      </w:rPr>
      <w:fldChar w:fldCharType="separate"/>
    </w:r>
    <w:r w:rsidR="00B24CC4">
      <w:rPr>
        <w:b/>
        <w:bCs/>
        <w:noProof/>
        <w:lang w:val="en-US"/>
      </w:rPr>
      <w:t>МСЭ-R  M.2159-0</w:t>
    </w:r>
    <w:r w:rsidR="003338C9">
      <w:rPr>
        <w:b/>
        <w:bCs/>
      </w:rPr>
      <w:fldChar w:fldCharType="end"/>
    </w:r>
    <w:r w:rsidRPr="003212E0">
      <w:tab/>
    </w:r>
    <w:r w:rsidRPr="003212E0">
      <w:rPr>
        <w:rStyle w:val="PageNumber"/>
        <w:b/>
        <w:bCs/>
      </w:rPr>
      <w:fldChar w:fldCharType="begin"/>
    </w:r>
    <w:r w:rsidRPr="003212E0">
      <w:rPr>
        <w:rStyle w:val="PageNumber"/>
        <w:b/>
        <w:bCs/>
      </w:rPr>
      <w:instrText xml:space="preserve"> PAGE </w:instrText>
    </w:r>
    <w:r w:rsidRPr="003212E0">
      <w:rPr>
        <w:rStyle w:val="PageNumber"/>
        <w:b/>
        <w:bCs/>
      </w:rPr>
      <w:fldChar w:fldCharType="separate"/>
    </w:r>
    <w:r w:rsidR="001B3CD8">
      <w:rPr>
        <w:rStyle w:val="PageNumber"/>
        <w:b/>
        <w:bCs/>
        <w:noProof/>
      </w:rPr>
      <w:t>11</w:t>
    </w:r>
    <w:r w:rsidRPr="003212E0">
      <w:rPr>
        <w:rStyle w:val="PageNumber"/>
        <w:b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mirrorMargins/>
  <w:hideSpellingErrors/>
  <w:hideGrammaticalErrors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AD"/>
    <w:rsid w:val="0004438A"/>
    <w:rsid w:val="00053593"/>
    <w:rsid w:val="0008673C"/>
    <w:rsid w:val="00096C91"/>
    <w:rsid w:val="000E35C5"/>
    <w:rsid w:val="00121B38"/>
    <w:rsid w:val="00162D58"/>
    <w:rsid w:val="00172686"/>
    <w:rsid w:val="001735D7"/>
    <w:rsid w:val="001A6D0F"/>
    <w:rsid w:val="001B3CD8"/>
    <w:rsid w:val="001E7AF5"/>
    <w:rsid w:val="00214ECE"/>
    <w:rsid w:val="00217EBF"/>
    <w:rsid w:val="00242AEE"/>
    <w:rsid w:val="00254116"/>
    <w:rsid w:val="00274F4F"/>
    <w:rsid w:val="002D11F9"/>
    <w:rsid w:val="002D76C4"/>
    <w:rsid w:val="002E3D18"/>
    <w:rsid w:val="002F117F"/>
    <w:rsid w:val="00302806"/>
    <w:rsid w:val="003212E0"/>
    <w:rsid w:val="003338C9"/>
    <w:rsid w:val="00334DF6"/>
    <w:rsid w:val="00351CFC"/>
    <w:rsid w:val="00352071"/>
    <w:rsid w:val="00354773"/>
    <w:rsid w:val="003617B7"/>
    <w:rsid w:val="0037624F"/>
    <w:rsid w:val="00394056"/>
    <w:rsid w:val="00394474"/>
    <w:rsid w:val="003A4E4F"/>
    <w:rsid w:val="003A65B7"/>
    <w:rsid w:val="003B102E"/>
    <w:rsid w:val="003E1C4B"/>
    <w:rsid w:val="004303F7"/>
    <w:rsid w:val="00433426"/>
    <w:rsid w:val="00495143"/>
    <w:rsid w:val="00507A42"/>
    <w:rsid w:val="00512D78"/>
    <w:rsid w:val="0052529D"/>
    <w:rsid w:val="00531D61"/>
    <w:rsid w:val="005364E9"/>
    <w:rsid w:val="005524D5"/>
    <w:rsid w:val="005720AD"/>
    <w:rsid w:val="00587EB4"/>
    <w:rsid w:val="00591695"/>
    <w:rsid w:val="00592817"/>
    <w:rsid w:val="005A345D"/>
    <w:rsid w:val="005A3993"/>
    <w:rsid w:val="005C0DC5"/>
    <w:rsid w:val="005E5FFE"/>
    <w:rsid w:val="005F45E1"/>
    <w:rsid w:val="00607D68"/>
    <w:rsid w:val="00636C19"/>
    <w:rsid w:val="00640AB7"/>
    <w:rsid w:val="00645E51"/>
    <w:rsid w:val="00656304"/>
    <w:rsid w:val="00660B8E"/>
    <w:rsid w:val="00680959"/>
    <w:rsid w:val="006A1940"/>
    <w:rsid w:val="006C0804"/>
    <w:rsid w:val="006D2543"/>
    <w:rsid w:val="006E6BAF"/>
    <w:rsid w:val="006F044D"/>
    <w:rsid w:val="00743CBB"/>
    <w:rsid w:val="007468DA"/>
    <w:rsid w:val="00757B99"/>
    <w:rsid w:val="00785C1E"/>
    <w:rsid w:val="007D458B"/>
    <w:rsid w:val="007F23F2"/>
    <w:rsid w:val="00824FA6"/>
    <w:rsid w:val="00830723"/>
    <w:rsid w:val="00866F79"/>
    <w:rsid w:val="00884C3B"/>
    <w:rsid w:val="00885DEE"/>
    <w:rsid w:val="008C43C5"/>
    <w:rsid w:val="00904C13"/>
    <w:rsid w:val="009174C6"/>
    <w:rsid w:val="00961E7D"/>
    <w:rsid w:val="00976729"/>
    <w:rsid w:val="0099018E"/>
    <w:rsid w:val="009976D6"/>
    <w:rsid w:val="009B600B"/>
    <w:rsid w:val="009B67B7"/>
    <w:rsid w:val="009E00A8"/>
    <w:rsid w:val="009E79E2"/>
    <w:rsid w:val="00A04A4E"/>
    <w:rsid w:val="00A404A4"/>
    <w:rsid w:val="00A50CFD"/>
    <w:rsid w:val="00A6617B"/>
    <w:rsid w:val="00A76E03"/>
    <w:rsid w:val="00A91A2B"/>
    <w:rsid w:val="00A95FE9"/>
    <w:rsid w:val="00AB0DC8"/>
    <w:rsid w:val="00AE6864"/>
    <w:rsid w:val="00B14E4B"/>
    <w:rsid w:val="00B20250"/>
    <w:rsid w:val="00B24CC4"/>
    <w:rsid w:val="00B310F4"/>
    <w:rsid w:val="00B44E24"/>
    <w:rsid w:val="00B47CCD"/>
    <w:rsid w:val="00B54742"/>
    <w:rsid w:val="00B948C0"/>
    <w:rsid w:val="00BB1840"/>
    <w:rsid w:val="00BB30AC"/>
    <w:rsid w:val="00BD6A0F"/>
    <w:rsid w:val="00BF0A55"/>
    <w:rsid w:val="00BF174C"/>
    <w:rsid w:val="00C362F3"/>
    <w:rsid w:val="00C45E8D"/>
    <w:rsid w:val="00C57FBF"/>
    <w:rsid w:val="00CB1215"/>
    <w:rsid w:val="00CB1E30"/>
    <w:rsid w:val="00CB7FD2"/>
    <w:rsid w:val="00CC40D4"/>
    <w:rsid w:val="00CC6970"/>
    <w:rsid w:val="00CF5D4C"/>
    <w:rsid w:val="00D10CEB"/>
    <w:rsid w:val="00D15F01"/>
    <w:rsid w:val="00D56CE8"/>
    <w:rsid w:val="00D6207E"/>
    <w:rsid w:val="00D71733"/>
    <w:rsid w:val="00D72C59"/>
    <w:rsid w:val="00D82088"/>
    <w:rsid w:val="00D84D70"/>
    <w:rsid w:val="00DC2B47"/>
    <w:rsid w:val="00DF4176"/>
    <w:rsid w:val="00DF7DD5"/>
    <w:rsid w:val="00EB0B41"/>
    <w:rsid w:val="00EC52AA"/>
    <w:rsid w:val="00EE7069"/>
    <w:rsid w:val="00EF5230"/>
    <w:rsid w:val="00F3227A"/>
    <w:rsid w:val="00F54A47"/>
    <w:rsid w:val="00F54C11"/>
    <w:rsid w:val="00F712C3"/>
    <w:rsid w:val="00F75F85"/>
    <w:rsid w:val="00F81CFD"/>
    <w:rsid w:val="00F90837"/>
    <w:rsid w:val="00FE0138"/>
    <w:rsid w:val="00FE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5575010"/>
  <w15:docId w15:val="{EA6D8838-BC48-4F6A-83C8-9E6FDF0E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10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3338C9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338C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338C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338C9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3338C9"/>
    <w:pPr>
      <w:outlineLvl w:val="4"/>
    </w:pPr>
  </w:style>
  <w:style w:type="paragraph" w:styleId="Heading6">
    <w:name w:val="heading 6"/>
    <w:basedOn w:val="Heading4"/>
    <w:next w:val="Normal"/>
    <w:qFormat/>
    <w:rsid w:val="003338C9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338C9"/>
    <w:pPr>
      <w:outlineLvl w:val="6"/>
    </w:pPr>
  </w:style>
  <w:style w:type="paragraph" w:styleId="Heading8">
    <w:name w:val="heading 8"/>
    <w:basedOn w:val="Heading6"/>
    <w:next w:val="Normal"/>
    <w:qFormat/>
    <w:rsid w:val="003338C9"/>
    <w:pPr>
      <w:outlineLvl w:val="7"/>
    </w:pPr>
  </w:style>
  <w:style w:type="paragraph" w:styleId="Heading9">
    <w:name w:val="heading 9"/>
    <w:basedOn w:val="Heading6"/>
    <w:next w:val="Normal"/>
    <w:qFormat/>
    <w:rsid w:val="003338C9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38C9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link w:val="FooterChar"/>
    <w:rsid w:val="003338C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rsid w:val="003338C9"/>
  </w:style>
  <w:style w:type="paragraph" w:customStyle="1" w:styleId="Headingb">
    <w:name w:val="Heading_b"/>
    <w:basedOn w:val="Heading3"/>
    <w:next w:val="Normal"/>
    <w:rsid w:val="003338C9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3338C9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3338C9"/>
  </w:style>
  <w:style w:type="paragraph" w:customStyle="1" w:styleId="enumlev1">
    <w:name w:val="enumlev1"/>
    <w:basedOn w:val="Normal"/>
    <w:rsid w:val="003338C9"/>
    <w:pPr>
      <w:spacing w:before="80"/>
      <w:ind w:left="794" w:hanging="794"/>
    </w:pPr>
  </w:style>
  <w:style w:type="paragraph" w:customStyle="1" w:styleId="enumlev2">
    <w:name w:val="enumlev2"/>
    <w:basedOn w:val="enumlev1"/>
    <w:rsid w:val="003338C9"/>
    <w:pPr>
      <w:ind w:left="1191" w:hanging="397"/>
    </w:pPr>
  </w:style>
  <w:style w:type="paragraph" w:customStyle="1" w:styleId="enumlev3">
    <w:name w:val="enumlev3"/>
    <w:basedOn w:val="enumlev2"/>
    <w:rsid w:val="003338C9"/>
    <w:pPr>
      <w:ind w:left="1588"/>
    </w:pPr>
  </w:style>
  <w:style w:type="paragraph" w:customStyle="1" w:styleId="Normalaftertitle">
    <w:name w:val="Normal_after_title"/>
    <w:basedOn w:val="Normal"/>
    <w:next w:val="Normal"/>
    <w:rsid w:val="003338C9"/>
    <w:pPr>
      <w:spacing w:before="320"/>
    </w:pPr>
  </w:style>
  <w:style w:type="paragraph" w:customStyle="1" w:styleId="Note">
    <w:name w:val="Note"/>
    <w:basedOn w:val="Normal"/>
    <w:rsid w:val="003338C9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RecNo">
    <w:name w:val="Rec_No"/>
    <w:basedOn w:val="Normal"/>
    <w:next w:val="Rectitle"/>
    <w:rsid w:val="003338C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6"/>
    </w:rPr>
  </w:style>
  <w:style w:type="paragraph" w:customStyle="1" w:styleId="HeadingSum">
    <w:name w:val="Heading_Sum"/>
    <w:basedOn w:val="Headingb"/>
    <w:next w:val="Normal"/>
    <w:rsid w:val="003338C9"/>
    <w:pPr>
      <w:spacing w:before="240"/>
    </w:pPr>
    <w:rPr>
      <w:lang w:val="es-ES_tradnl"/>
    </w:rPr>
  </w:style>
  <w:style w:type="paragraph" w:customStyle="1" w:styleId="Recref">
    <w:name w:val="Rec_ref"/>
    <w:basedOn w:val="Normal"/>
    <w:next w:val="Recdate"/>
    <w:rsid w:val="003338C9"/>
    <w:pPr>
      <w:jc w:val="center"/>
    </w:pPr>
  </w:style>
  <w:style w:type="paragraph" w:customStyle="1" w:styleId="Recdate">
    <w:name w:val="Rec_date"/>
    <w:basedOn w:val="Recref"/>
    <w:next w:val="Normalaftertitle"/>
    <w:rsid w:val="003338C9"/>
    <w:pPr>
      <w:jc w:val="right"/>
    </w:pPr>
  </w:style>
  <w:style w:type="paragraph" w:customStyle="1" w:styleId="AnnexNoTitle">
    <w:name w:val="Annex_NoTitle"/>
    <w:basedOn w:val="Heading1"/>
    <w:next w:val="Normalaftertitle"/>
    <w:rsid w:val="003338C9"/>
    <w:pPr>
      <w:spacing w:after="80"/>
      <w:ind w:left="0" w:firstLine="0"/>
      <w:jc w:val="center"/>
    </w:pPr>
    <w:rPr>
      <w:sz w:val="26"/>
    </w:rPr>
  </w:style>
  <w:style w:type="paragraph" w:customStyle="1" w:styleId="AppendixNoTitle">
    <w:name w:val="Appendix_NoTitle"/>
    <w:basedOn w:val="AnnexNoTitle"/>
    <w:next w:val="Normal"/>
    <w:rsid w:val="003338C9"/>
  </w:style>
  <w:style w:type="paragraph" w:customStyle="1" w:styleId="Tablefin">
    <w:name w:val="Table_fin"/>
    <w:basedOn w:val="Normal"/>
    <w:next w:val="Normal"/>
    <w:rsid w:val="003338C9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rsid w:val="003338C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link w:val="TablelegendChar"/>
    <w:rsid w:val="003338C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0"/>
    </w:rPr>
  </w:style>
  <w:style w:type="paragraph" w:customStyle="1" w:styleId="TableNo">
    <w:name w:val="Table_No"/>
    <w:basedOn w:val="Normal"/>
    <w:next w:val="Normal"/>
    <w:rsid w:val="003338C9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link w:val="Tabletext0"/>
    <w:rsid w:val="003338C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Equation">
    <w:name w:val="Equation"/>
    <w:basedOn w:val="Normal"/>
    <w:rsid w:val="003338C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338C9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3338C9"/>
    <w:pPr>
      <w:ind w:left="794"/>
    </w:pPr>
  </w:style>
  <w:style w:type="paragraph" w:customStyle="1" w:styleId="Figurelegend">
    <w:name w:val="Figure_legend"/>
    <w:basedOn w:val="Normal"/>
    <w:rsid w:val="003338C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3338C9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tocpart">
    <w:name w:val="tocpart"/>
    <w:basedOn w:val="Normal"/>
    <w:rsid w:val="003338C9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3338C9"/>
    <w:pPr>
      <w:keepNext/>
      <w:keepLines/>
      <w:spacing w:before="480"/>
      <w:jc w:val="center"/>
    </w:pPr>
    <w:rPr>
      <w:sz w:val="26"/>
    </w:rPr>
  </w:style>
  <w:style w:type="paragraph" w:customStyle="1" w:styleId="Arttitle">
    <w:name w:val="Art_title"/>
    <w:basedOn w:val="Normal"/>
    <w:next w:val="Normalaftertitle"/>
    <w:rsid w:val="003338C9"/>
    <w:pPr>
      <w:keepNext/>
      <w:keepLines/>
      <w:spacing w:before="240"/>
      <w:jc w:val="center"/>
    </w:pPr>
    <w:rPr>
      <w:b/>
      <w:sz w:val="26"/>
    </w:rPr>
  </w:style>
  <w:style w:type="paragraph" w:customStyle="1" w:styleId="Blanc">
    <w:name w:val="Blanc"/>
    <w:basedOn w:val="Normal"/>
    <w:next w:val="Tabletext"/>
    <w:rsid w:val="003338C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rsid w:val="003338C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3338C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3338C9"/>
    <w:rPr>
      <w:b/>
    </w:rPr>
  </w:style>
  <w:style w:type="paragraph" w:customStyle="1" w:styleId="Chaptitle">
    <w:name w:val="Chap_title"/>
    <w:basedOn w:val="Arttitle"/>
    <w:next w:val="Normalaftertitle"/>
    <w:rsid w:val="003338C9"/>
  </w:style>
  <w:style w:type="character" w:styleId="FootnoteReference">
    <w:name w:val="footnote reference"/>
    <w:basedOn w:val="DefaultParagraphFont"/>
    <w:rsid w:val="003338C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3338C9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Index1">
    <w:name w:val="index 1"/>
    <w:basedOn w:val="Normal"/>
    <w:next w:val="Normal"/>
    <w:semiHidden/>
    <w:rsid w:val="003338C9"/>
  </w:style>
  <w:style w:type="paragraph" w:styleId="Index2">
    <w:name w:val="index 2"/>
    <w:basedOn w:val="Normal"/>
    <w:next w:val="Normal"/>
    <w:semiHidden/>
    <w:rsid w:val="003338C9"/>
    <w:pPr>
      <w:ind w:left="283"/>
    </w:pPr>
  </w:style>
  <w:style w:type="paragraph" w:styleId="Index3">
    <w:name w:val="index 3"/>
    <w:basedOn w:val="Normal"/>
    <w:next w:val="Normal"/>
    <w:semiHidden/>
    <w:rsid w:val="003338C9"/>
    <w:pPr>
      <w:ind w:left="566"/>
    </w:pPr>
  </w:style>
  <w:style w:type="paragraph" w:styleId="IndexHeading">
    <w:name w:val="index heading"/>
    <w:basedOn w:val="Normal"/>
    <w:next w:val="Index1"/>
    <w:semiHidden/>
    <w:rsid w:val="003338C9"/>
  </w:style>
  <w:style w:type="paragraph" w:customStyle="1" w:styleId="Line">
    <w:name w:val="Line"/>
    <w:basedOn w:val="Normal"/>
    <w:next w:val="Normal"/>
    <w:rsid w:val="003338C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3338C9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3338C9"/>
  </w:style>
  <w:style w:type="paragraph" w:customStyle="1" w:styleId="Partref">
    <w:name w:val="Part_ref"/>
    <w:basedOn w:val="Normal"/>
    <w:next w:val="Normal"/>
    <w:rsid w:val="003338C9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3338C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Questiondate">
    <w:name w:val="Question_date"/>
    <w:basedOn w:val="Recdate"/>
    <w:next w:val="Normalaftertitle"/>
    <w:rsid w:val="003338C9"/>
  </w:style>
  <w:style w:type="paragraph" w:customStyle="1" w:styleId="QuestionNo">
    <w:name w:val="Question_No"/>
    <w:basedOn w:val="RecNo"/>
    <w:next w:val="Normal"/>
    <w:rsid w:val="003338C9"/>
  </w:style>
  <w:style w:type="paragraph" w:customStyle="1" w:styleId="Questionref">
    <w:name w:val="Question_ref"/>
    <w:basedOn w:val="Recref"/>
    <w:next w:val="Questiondate"/>
    <w:rsid w:val="003338C9"/>
  </w:style>
  <w:style w:type="paragraph" w:customStyle="1" w:styleId="Questiontitle">
    <w:name w:val="Question_title"/>
    <w:basedOn w:val="Normal"/>
    <w:next w:val="Questionref"/>
    <w:rsid w:val="003338C9"/>
  </w:style>
  <w:style w:type="paragraph" w:customStyle="1" w:styleId="Reftext">
    <w:name w:val="Ref_text"/>
    <w:basedOn w:val="Normal"/>
    <w:rsid w:val="003338C9"/>
    <w:pPr>
      <w:ind w:left="794" w:hanging="794"/>
    </w:pPr>
  </w:style>
  <w:style w:type="paragraph" w:customStyle="1" w:styleId="Reftitle">
    <w:name w:val="Ref_title"/>
    <w:basedOn w:val="Normal"/>
    <w:next w:val="Reftext"/>
    <w:rsid w:val="003338C9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6"/>
    </w:rPr>
  </w:style>
  <w:style w:type="paragraph" w:customStyle="1" w:styleId="Repdate">
    <w:name w:val="Rep_date"/>
    <w:basedOn w:val="Recdate"/>
    <w:next w:val="Normal"/>
    <w:rsid w:val="003338C9"/>
  </w:style>
  <w:style w:type="paragraph" w:customStyle="1" w:styleId="RepNo">
    <w:name w:val="Rep_No"/>
    <w:basedOn w:val="RecNo"/>
    <w:next w:val="Reptitle"/>
    <w:rsid w:val="003338C9"/>
  </w:style>
  <w:style w:type="paragraph" w:customStyle="1" w:styleId="Repref">
    <w:name w:val="Rep_ref"/>
    <w:basedOn w:val="Recref"/>
    <w:next w:val="Repdate"/>
    <w:rsid w:val="003338C9"/>
  </w:style>
  <w:style w:type="paragraph" w:customStyle="1" w:styleId="Reptitle">
    <w:name w:val="Rep_title"/>
    <w:basedOn w:val="Rectitle"/>
    <w:next w:val="Repref"/>
    <w:rsid w:val="003338C9"/>
  </w:style>
  <w:style w:type="paragraph" w:customStyle="1" w:styleId="Resdate">
    <w:name w:val="Res_date"/>
    <w:basedOn w:val="Recdate"/>
    <w:next w:val="Normalaftertitle"/>
    <w:rsid w:val="003338C9"/>
  </w:style>
  <w:style w:type="paragraph" w:customStyle="1" w:styleId="ResNo">
    <w:name w:val="Res_No"/>
    <w:basedOn w:val="RecNo"/>
    <w:next w:val="Restitle"/>
    <w:rsid w:val="003338C9"/>
  </w:style>
  <w:style w:type="paragraph" w:customStyle="1" w:styleId="Resref">
    <w:name w:val="Res_ref"/>
    <w:basedOn w:val="Recref"/>
    <w:next w:val="Resdate"/>
    <w:rsid w:val="003338C9"/>
  </w:style>
  <w:style w:type="paragraph" w:customStyle="1" w:styleId="Restitle">
    <w:name w:val="Res_title"/>
    <w:basedOn w:val="Normal"/>
    <w:next w:val="Resref"/>
    <w:rsid w:val="003338C9"/>
    <w:pPr>
      <w:spacing w:before="240"/>
      <w:jc w:val="center"/>
    </w:pPr>
    <w:rPr>
      <w:b/>
      <w:sz w:val="26"/>
    </w:rPr>
  </w:style>
  <w:style w:type="paragraph" w:customStyle="1" w:styleId="SectionNo">
    <w:name w:val="Section_No"/>
    <w:basedOn w:val="Normal"/>
    <w:next w:val="Normal"/>
    <w:rsid w:val="003338C9"/>
  </w:style>
  <w:style w:type="paragraph" w:customStyle="1" w:styleId="Sectiontitle">
    <w:name w:val="Section_title"/>
    <w:basedOn w:val="Normal"/>
    <w:next w:val="Normalaftertitle"/>
    <w:rsid w:val="003338C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toc0">
    <w:name w:val="toc 0"/>
    <w:basedOn w:val="Normal"/>
    <w:next w:val="TOC1"/>
    <w:rsid w:val="003338C9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rsid w:val="003338C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rsid w:val="003338C9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rsid w:val="003338C9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rsid w:val="003338C9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  <w:rsid w:val="003338C9"/>
  </w:style>
  <w:style w:type="paragraph" w:styleId="TOC6">
    <w:name w:val="toc 6"/>
    <w:basedOn w:val="TOC4"/>
    <w:semiHidden/>
    <w:rsid w:val="003338C9"/>
  </w:style>
  <w:style w:type="paragraph" w:styleId="TOC7">
    <w:name w:val="toc 7"/>
    <w:basedOn w:val="TOC4"/>
    <w:semiHidden/>
    <w:rsid w:val="003338C9"/>
  </w:style>
  <w:style w:type="paragraph" w:styleId="TOC8">
    <w:name w:val="toc 8"/>
    <w:basedOn w:val="TOC4"/>
    <w:semiHidden/>
    <w:rsid w:val="003338C9"/>
  </w:style>
  <w:style w:type="paragraph" w:customStyle="1" w:styleId="Rectitle">
    <w:name w:val="Rec_title"/>
    <w:basedOn w:val="Normal"/>
    <w:next w:val="Recref"/>
    <w:link w:val="Rectitle0"/>
    <w:uiPriority w:val="99"/>
    <w:rsid w:val="003338C9"/>
    <w:pPr>
      <w:keepNext/>
      <w:keepLines/>
      <w:spacing w:before="24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3338C9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3338C9"/>
  </w:style>
  <w:style w:type="paragraph" w:customStyle="1" w:styleId="Figuretitle">
    <w:name w:val="Figure_title"/>
    <w:basedOn w:val="Normal"/>
    <w:next w:val="Figure"/>
    <w:rsid w:val="003338C9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Tabletitle">
    <w:name w:val="Table_title"/>
    <w:basedOn w:val="Normal"/>
    <w:next w:val="Tablehead"/>
    <w:rsid w:val="003338C9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3338C9"/>
    <w:pPr>
      <w:spacing w:after="480"/>
    </w:pPr>
    <w:rPr>
      <w:lang w:val="es-ES_tradnl"/>
    </w:rPr>
  </w:style>
  <w:style w:type="paragraph" w:customStyle="1" w:styleId="TableLegendNote">
    <w:name w:val="Table_Legend_Note"/>
    <w:basedOn w:val="Tablelegend"/>
    <w:next w:val="Tablelegend"/>
    <w:rsid w:val="003338C9"/>
    <w:pPr>
      <w:ind w:left="-85" w:firstLine="0"/>
    </w:pPr>
    <w:rPr>
      <w:lang w:val="en-US"/>
    </w:rPr>
  </w:style>
  <w:style w:type="paragraph" w:customStyle="1" w:styleId="Figure">
    <w:name w:val="Figure"/>
    <w:basedOn w:val="FigureNo"/>
    <w:next w:val="Normal"/>
    <w:rsid w:val="003338C9"/>
    <w:pPr>
      <w:keepNext w:val="0"/>
      <w:spacing w:before="0" w:after="240"/>
    </w:pPr>
  </w:style>
  <w:style w:type="character" w:customStyle="1" w:styleId="Heading1Char">
    <w:name w:val="Heading 1 Char"/>
    <w:basedOn w:val="DefaultParagraphFont"/>
    <w:link w:val="Heading1"/>
    <w:rsid w:val="005720AD"/>
    <w:rPr>
      <w:b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38C9"/>
    <w:rPr>
      <w:sz w:val="22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720AD"/>
    <w:rPr>
      <w:noProof/>
      <w:sz w:val="18"/>
      <w:lang w:val="fr-FR" w:eastAsia="en-US"/>
    </w:rPr>
  </w:style>
  <w:style w:type="character" w:styleId="Hyperlink">
    <w:name w:val="Hyperlink"/>
    <w:basedOn w:val="DefaultParagraphFont"/>
    <w:rsid w:val="003338C9"/>
    <w:rPr>
      <w:color w:val="0000FF"/>
      <w:u w:val="single"/>
    </w:rPr>
  </w:style>
  <w:style w:type="table" w:styleId="TableGrid">
    <w:name w:val="Table Grid"/>
    <w:basedOn w:val="TableNormal"/>
    <w:uiPriority w:val="39"/>
    <w:rsid w:val="003338C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Number">
    <w:name w:val="Cover Number"/>
    <w:basedOn w:val="Normal"/>
    <w:qFormat/>
    <w:rsid w:val="003338C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3"/>
      <w:ind w:left="284"/>
      <w:jc w:val="left"/>
      <w:textAlignment w:val="auto"/>
      <w:outlineLvl w:val="0"/>
    </w:pPr>
    <w:rPr>
      <w:rFonts w:ascii="Arial" w:eastAsia="AvenirNext LT Pro Medium" w:hAnsi="Arial" w:cs="AvenirNext LT Pro Medium"/>
      <w:b/>
      <w:bCs/>
      <w:spacing w:val="-10"/>
      <w:sz w:val="44"/>
      <w:szCs w:val="52"/>
      <w:lang w:val="en-US"/>
    </w:rPr>
  </w:style>
  <w:style w:type="paragraph" w:customStyle="1" w:styleId="CoverDate">
    <w:name w:val="Cover Date"/>
    <w:basedOn w:val="Normal"/>
    <w:qFormat/>
    <w:rsid w:val="003338C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szCs w:val="22"/>
      <w:lang w:val="en-US"/>
    </w:rPr>
  </w:style>
  <w:style w:type="paragraph" w:customStyle="1" w:styleId="CoverSeries">
    <w:name w:val="Cover Series"/>
    <w:basedOn w:val="Normal"/>
    <w:qFormat/>
    <w:rsid w:val="003338C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41" w:line="244" w:lineRule="auto"/>
      <w:ind w:left="284"/>
      <w:jc w:val="left"/>
      <w:textAlignment w:val="auto"/>
    </w:pPr>
    <w:rPr>
      <w:rFonts w:ascii="Arial" w:eastAsia="AvenirNext LT Pro Regular" w:hAnsi="Arial" w:cs="AvenirNext LT Pro Regular"/>
      <w:bCs/>
      <w:color w:val="1A1A1A"/>
      <w:spacing w:val="-4"/>
      <w:sz w:val="40"/>
      <w:szCs w:val="48"/>
      <w:lang w:val="en-US"/>
    </w:rPr>
  </w:style>
  <w:style w:type="paragraph" w:customStyle="1" w:styleId="CoverTitle">
    <w:name w:val="Cover Title"/>
    <w:basedOn w:val="Normal"/>
    <w:qFormat/>
    <w:rsid w:val="003338C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38" w:line="244" w:lineRule="auto"/>
      <w:ind w:left="284" w:right="1002"/>
      <w:jc w:val="left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5720AD"/>
    <w:rPr>
      <w:lang w:val="fr-FR" w:eastAsia="en-US"/>
    </w:rPr>
  </w:style>
  <w:style w:type="table" w:customStyle="1" w:styleId="TableGrid1">
    <w:name w:val="Table Grid1"/>
    <w:basedOn w:val="TableNormal"/>
    <w:next w:val="TableGrid"/>
    <w:qFormat/>
    <w:rsid w:val="005720AD"/>
    <w:rPr>
      <w:rFonts w:ascii="Calibri" w:eastAsia="SimSun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legendChar">
    <w:name w:val="Table_legend Char"/>
    <w:link w:val="Tablelegend"/>
    <w:locked/>
    <w:rsid w:val="005720AD"/>
    <w:rPr>
      <w:lang w:val="fr-FR" w:eastAsia="en-US"/>
    </w:rPr>
  </w:style>
  <w:style w:type="character" w:customStyle="1" w:styleId="Tabletext0">
    <w:name w:val="Table_text (文字)"/>
    <w:link w:val="Tabletext"/>
    <w:rsid w:val="005720AD"/>
    <w:rPr>
      <w:lang w:val="fr-FR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5720AD"/>
    <w:rPr>
      <w:b/>
      <w:sz w:val="26"/>
      <w:lang w:val="fr-FR" w:eastAsia="en-US"/>
    </w:rPr>
  </w:style>
  <w:style w:type="table" w:customStyle="1" w:styleId="TableGrid14">
    <w:name w:val="Table Grid14"/>
    <w:basedOn w:val="TableNormal"/>
    <w:next w:val="TableGrid"/>
    <w:qFormat/>
    <w:rsid w:val="005720AD"/>
    <w:rPr>
      <w:rFonts w:ascii="Calibri" w:eastAsia="SimSun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5720AD"/>
    <w:rPr>
      <w:rFonts w:ascii="CG Times" w:eastAsiaTheme="minorEastAsia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5720AD"/>
    <w:rPr>
      <w:rFonts w:ascii="CG Times" w:eastAsiaTheme="minorEastAsia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9514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9514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9514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5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5143"/>
    <w:rPr>
      <w:b/>
      <w:bCs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3338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itu.int/ITU-R/go/patents/ru" TargetMode="External"/><Relationship Id="rId18" Type="http://schemas.openxmlformats.org/officeDocument/2006/relationships/hyperlink" Target="https://www.itu.int/pub/R-REP-M.2529/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itu.int/pub/R-REP-M.2529/ru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itu.int/rec/R-REC-M.1036/en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yperlink" Target="https://www.itu.int/rec/R-REC-M.1036/e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hyperlink" Target="https://www.itu.int/pub/R-REP-M.2529/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publ/R-REC/ru" TargetMode="External"/><Relationship Id="rId22" Type="http://schemas.openxmlformats.org/officeDocument/2006/relationships/hyperlink" Target="https://www.itu.int/pub/R-REP-M.2529/ru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QuickPub\BR_Rec_200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B6A98-D5F5-4114-BA29-E4D24C97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BR_Rec_2005.dotm</Template>
  <TotalTime>56</TotalTime>
  <Pages>14</Pages>
  <Words>4824</Words>
  <Characters>29339</Characters>
  <Application>Microsoft Office Word</Application>
  <DocSecurity>0</DocSecurity>
  <Lines>1086</Lines>
  <Paragraphs>533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РЕКОМЕНДАЦИЯ  МСЭ-R  M.2159-0 - Технические и регламентарные меры по обеспечению совместимости систем международной подвижной электросвязи и подвижной спутниковой службы, предназначенные для администраций, желающих внедрить международную подвижную электро</vt:lpstr>
      <vt:lpstr>Recommendation ITU-R M.2159-0 (12/2023)</vt:lpstr>
    </vt:vector>
  </TitlesOfParts>
  <Manager/>
  <Company>ITU</Company>
  <LinksUpToDate>false</LinksUpToDate>
  <CharactersWithSpaces>33630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 МСЭ-R  M.2159-0 (12/2023) Технические и регламентарные меры по обеспечению совместимости систем международной подвижной электросвязи и подвижной спутниковой службы, предназначенные для администраций, желающих внедрить международную подвижную электросвязь в полосе частот 1492–1518 МГц с учетом эксплуатации подвижной спутниковой службы в полосе частот 1518–1525 МГц</dc:title>
  <dc:subject>M Series = Mobile, radiodetermination, amateur and related satellite services</dc:subject>
  <dc:creator>ITU Radiocommunication Bureau (BR)</dc:creator>
  <cp:keywords>M,2159-0</cp:keywords>
  <dc:description>Berdyeva, 05/21/24, ITU51017645</dc:description>
  <cp:lastModifiedBy>Berdyeva, Elena</cp:lastModifiedBy>
  <cp:revision>35</cp:revision>
  <cp:lastPrinted>2024-05-21T14:02:00Z</cp:lastPrinted>
  <dcterms:created xsi:type="dcterms:W3CDTF">2024-05-16T12:20:00Z</dcterms:created>
  <dcterms:modified xsi:type="dcterms:W3CDTF">2024-05-21T14:06:00Z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  <property fmtid="{D5CDD505-2E9C-101B-9397-08002B2CF9AE}" pid="9" name="Language">
    <vt:lpwstr>Russian</vt:lpwstr>
  </property>
  <property fmtid="{D5CDD505-2E9C-101B-9397-08002B2CF9AE}" pid="10" name="Typist">
    <vt:lpwstr>Berdyeva</vt:lpwstr>
  </property>
  <property fmtid="{D5CDD505-2E9C-101B-9397-08002B2CF9AE}" pid="11" name="Date completed">
    <vt:lpwstr>Tuesday, May 21, 2024</vt:lpwstr>
  </property>
</Properties>
</file>