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1546" w14:textId="77777777" w:rsidR="005720AD" w:rsidRDefault="005720AD" w:rsidP="005720AD"/>
    <w:p w14:paraId="3C26E6A9" w14:textId="77777777" w:rsidR="005720AD" w:rsidRDefault="005720AD" w:rsidP="005720AD">
      <w:pPr>
        <w:tabs>
          <w:tab w:val="clear" w:pos="794"/>
          <w:tab w:val="clear" w:pos="1191"/>
          <w:tab w:val="clear" w:pos="1588"/>
          <w:tab w:val="clear" w:pos="1985"/>
        </w:tabs>
      </w:pPr>
    </w:p>
    <w:p w14:paraId="3B6BBF21" w14:textId="0D1B6B37" w:rsidR="005720AD" w:rsidRPr="00B90BA6" w:rsidRDefault="005720AD" w:rsidP="005720AD">
      <w:pPr>
        <w:pStyle w:val="CoverNumber"/>
        <w:rPr>
          <w:lang w:val="en-GB"/>
        </w:rPr>
      </w:pPr>
      <w:r w:rsidRPr="00B90BA6">
        <w:rPr>
          <w:lang w:val="en-GB"/>
        </w:rPr>
        <w:t>Recommendation ITU-R M.2159-0</w:t>
      </w:r>
    </w:p>
    <w:p w14:paraId="2F9037BF" w14:textId="2E3396BF" w:rsidR="005720AD" w:rsidRPr="00B90BA6" w:rsidRDefault="005720AD" w:rsidP="005720AD">
      <w:pPr>
        <w:pStyle w:val="CoverDate"/>
        <w:rPr>
          <w:lang w:val="en-GB"/>
        </w:rPr>
      </w:pPr>
      <w:r w:rsidRPr="00B90BA6">
        <w:rPr>
          <w:lang w:val="en-GB"/>
        </w:rPr>
        <w:t>(12/2023)</w:t>
      </w:r>
    </w:p>
    <w:p w14:paraId="4AB75D4C" w14:textId="77777777" w:rsidR="005720AD" w:rsidRPr="004A6FEB" w:rsidRDefault="005720AD" w:rsidP="005720AD">
      <w:pPr>
        <w:pStyle w:val="CoverSeries"/>
      </w:pPr>
      <w:r>
        <w:t>M</w:t>
      </w:r>
      <w:r w:rsidRPr="00A86DD2">
        <w:t xml:space="preserve"> </w:t>
      </w:r>
      <w:r w:rsidRPr="004A6FEB">
        <w:t>Series:</w:t>
      </w:r>
      <w:r w:rsidRPr="00A86DD2">
        <w:t xml:space="preserve"> </w:t>
      </w:r>
      <w:r w:rsidRPr="005720AD">
        <w:rPr>
          <w:lang w:val="en-GB"/>
        </w:rPr>
        <w:t>Mobile, radiodetermination, amateur</w:t>
      </w:r>
      <w:r w:rsidRPr="005720AD">
        <w:rPr>
          <w:lang w:val="en-GB"/>
        </w:rPr>
        <w:br/>
        <w:t>and related satellite services</w:t>
      </w:r>
    </w:p>
    <w:p w14:paraId="77830E50" w14:textId="328B865F" w:rsidR="005720AD" w:rsidRPr="005720AD" w:rsidRDefault="005720AD" w:rsidP="005720AD">
      <w:pPr>
        <w:pStyle w:val="CoverTitle"/>
        <w:rPr>
          <w:sz w:val="40"/>
          <w:szCs w:val="40"/>
        </w:rPr>
      </w:pPr>
      <w:bookmarkStart w:id="0" w:name="_Hlk138710075"/>
      <w:r w:rsidRPr="005720AD">
        <w:rPr>
          <w:sz w:val="40"/>
          <w:szCs w:val="40"/>
          <w:lang w:val="en-GB"/>
        </w:rPr>
        <w:t>Technical and regulatory measures to provide compatibility between international mobile telecommunications and mobile</w:t>
      </w:r>
      <w:r w:rsidR="00302806">
        <w:rPr>
          <w:sz w:val="40"/>
          <w:szCs w:val="40"/>
          <w:lang w:val="en-GB"/>
        </w:rPr>
        <w:t>-</w:t>
      </w:r>
      <w:r w:rsidRPr="005720AD">
        <w:rPr>
          <w:sz w:val="40"/>
          <w:szCs w:val="40"/>
          <w:lang w:val="en-GB"/>
        </w:rPr>
        <w:t>satellite services with respect to mobile</w:t>
      </w:r>
      <w:r w:rsidR="00302806">
        <w:rPr>
          <w:sz w:val="40"/>
          <w:szCs w:val="40"/>
          <w:lang w:val="en-GB"/>
        </w:rPr>
        <w:t>-</w:t>
      </w:r>
      <w:r w:rsidRPr="005720AD">
        <w:rPr>
          <w:sz w:val="40"/>
          <w:szCs w:val="40"/>
          <w:lang w:val="en-GB"/>
        </w:rPr>
        <w:t>satellite services operations in the frequency band 1 518-1 525 MHz for administrations wishing to implement international mobile telecommunications in the frequency band 1 492-1 518 MHz</w:t>
      </w:r>
      <w:bookmarkEnd w:id="0"/>
    </w:p>
    <w:p w14:paraId="79C90DDE" w14:textId="77777777" w:rsidR="005720AD" w:rsidRPr="005373E0" w:rsidRDefault="005720AD" w:rsidP="005720AD">
      <w:pPr>
        <w:rPr>
          <w:lang w:val="en-US"/>
        </w:rPr>
      </w:pPr>
    </w:p>
    <w:p w14:paraId="3125F2C3" w14:textId="77777777" w:rsidR="005720AD" w:rsidRPr="005373E0" w:rsidRDefault="005720AD" w:rsidP="005720AD"/>
    <w:p w14:paraId="17DEF916" w14:textId="77777777" w:rsidR="005720AD" w:rsidRPr="005373E0" w:rsidRDefault="005720AD" w:rsidP="005720AD">
      <w:pPr>
        <w:sectPr w:rsidR="005720AD"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60067717" w14:textId="77777777" w:rsidR="005720AD" w:rsidRPr="00586EF8" w:rsidRDefault="005720AD" w:rsidP="005720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73138CBD" w14:textId="77777777" w:rsidR="005720AD" w:rsidRDefault="005720AD" w:rsidP="005720AD">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500B1144" w14:textId="77777777" w:rsidR="005720AD" w:rsidRDefault="005720AD" w:rsidP="005720AD">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53A2390A" w14:textId="77777777" w:rsidR="005720AD" w:rsidRPr="00B714F3" w:rsidRDefault="005720AD" w:rsidP="005720AD">
      <w:pPr>
        <w:pStyle w:val="Heading1"/>
        <w:spacing w:before="680"/>
        <w:jc w:val="center"/>
        <w:rPr>
          <w:szCs w:val="24"/>
          <w:lang w:val="en-US"/>
        </w:rPr>
      </w:pPr>
      <w:r w:rsidRPr="00B714F3">
        <w:rPr>
          <w:szCs w:val="24"/>
          <w:lang w:val="en-US"/>
        </w:rPr>
        <w:t>Policy on Intellectual Property Right (IPR)</w:t>
      </w:r>
    </w:p>
    <w:p w14:paraId="11731E96" w14:textId="77777777" w:rsidR="005720AD" w:rsidRPr="00B714F3" w:rsidRDefault="005720AD" w:rsidP="005720AD">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08690DD4" w14:textId="77777777" w:rsidR="005720AD" w:rsidRDefault="005720AD" w:rsidP="005720AD">
      <w:pPr>
        <w:jc w:val="center"/>
        <w:rPr>
          <w:sz w:val="22"/>
          <w:lang w:val="en-US"/>
        </w:rPr>
      </w:pPr>
    </w:p>
    <w:p w14:paraId="41442D5F" w14:textId="77777777" w:rsidR="005720AD" w:rsidRDefault="005720AD" w:rsidP="005720AD">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5720AD" w:rsidRPr="00576D47" w14:paraId="60A1680F" w14:textId="77777777" w:rsidTr="002A110F">
        <w:tc>
          <w:tcPr>
            <w:tcW w:w="9360" w:type="dxa"/>
            <w:gridSpan w:val="2"/>
          </w:tcPr>
          <w:p w14:paraId="6F8D678E" w14:textId="77777777" w:rsidR="005720AD" w:rsidRPr="00036EE3" w:rsidRDefault="005720AD" w:rsidP="002A110F">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ECAAED2" w14:textId="77777777" w:rsidR="005720AD" w:rsidRPr="00036EE3"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sidRPr="00590EE8">
                <w:rPr>
                  <w:rStyle w:val="Hyperlink"/>
                  <w:b w:val="0"/>
                  <w:sz w:val="18"/>
                  <w:szCs w:val="18"/>
                  <w:lang w:val="en-US"/>
                </w:rPr>
                <w:t>https://www.itu.int/publ/R-REC/en</w:t>
              </w:r>
            </w:hyperlink>
            <w:r w:rsidRPr="00CE0A43">
              <w:rPr>
                <w:b w:val="0"/>
                <w:sz w:val="18"/>
                <w:szCs w:val="18"/>
                <w:lang w:val="en-US"/>
              </w:rPr>
              <w:t>)</w:t>
            </w:r>
          </w:p>
        </w:tc>
      </w:tr>
      <w:tr w:rsidR="005720AD" w:rsidRPr="00036EE3" w14:paraId="274B9576" w14:textId="77777777" w:rsidTr="002A110F">
        <w:tc>
          <w:tcPr>
            <w:tcW w:w="1140" w:type="dxa"/>
            <w:tcBorders>
              <w:bottom w:val="nil"/>
            </w:tcBorders>
            <w:vAlign w:val="bottom"/>
          </w:tcPr>
          <w:p w14:paraId="2B21E303" w14:textId="77777777" w:rsidR="005720AD" w:rsidRPr="00036EE3" w:rsidRDefault="005720AD" w:rsidP="002A110F">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4E0EC294" w14:textId="77777777" w:rsidR="005720AD" w:rsidRPr="00036EE3"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5720AD" w:rsidRPr="00F92A40" w14:paraId="18A7E15D" w14:textId="77777777" w:rsidTr="002A110F">
        <w:tc>
          <w:tcPr>
            <w:tcW w:w="1140" w:type="dxa"/>
            <w:tcBorders>
              <w:top w:val="nil"/>
              <w:bottom w:val="nil"/>
            </w:tcBorders>
            <w:shd w:val="clear" w:color="auto" w:fill="auto"/>
          </w:tcPr>
          <w:p w14:paraId="19B1A6B6" w14:textId="77777777" w:rsidR="005720AD" w:rsidRPr="00F92A40" w:rsidRDefault="005720AD" w:rsidP="002A110F">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4F555B99" w14:textId="77777777" w:rsidR="005720AD" w:rsidRPr="00F92A40"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5720AD" w:rsidRPr="00576D47" w14:paraId="1D828964" w14:textId="77777777" w:rsidTr="002A110F">
        <w:tc>
          <w:tcPr>
            <w:tcW w:w="1140" w:type="dxa"/>
            <w:tcBorders>
              <w:top w:val="nil"/>
            </w:tcBorders>
            <w:shd w:val="clear" w:color="auto" w:fill="FFFFFF" w:themeFill="background1"/>
          </w:tcPr>
          <w:p w14:paraId="7B7D6C05" w14:textId="77777777" w:rsidR="005720AD" w:rsidRPr="00B51DD9" w:rsidRDefault="005720AD" w:rsidP="002A110F">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15A607B6" w14:textId="77777777" w:rsidR="005720AD" w:rsidRPr="00B51DD9"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5720AD" w:rsidRPr="00036EE3" w14:paraId="1DAC9F8C" w14:textId="77777777" w:rsidTr="002A110F">
        <w:tc>
          <w:tcPr>
            <w:tcW w:w="1140" w:type="dxa"/>
          </w:tcPr>
          <w:p w14:paraId="33DD849D" w14:textId="77777777" w:rsidR="005720AD" w:rsidRPr="00036EE3" w:rsidRDefault="005720AD" w:rsidP="002A110F">
            <w:pPr>
              <w:spacing w:before="30" w:after="30"/>
              <w:ind w:left="57"/>
              <w:jc w:val="left"/>
              <w:rPr>
                <w:b/>
                <w:bCs/>
                <w:sz w:val="20"/>
                <w:lang w:val="en-US"/>
              </w:rPr>
            </w:pPr>
            <w:r w:rsidRPr="00036EE3">
              <w:rPr>
                <w:b/>
                <w:bCs/>
                <w:sz w:val="20"/>
                <w:lang w:val="en-US"/>
              </w:rPr>
              <w:t>BS</w:t>
            </w:r>
          </w:p>
        </w:tc>
        <w:tc>
          <w:tcPr>
            <w:tcW w:w="8220" w:type="dxa"/>
          </w:tcPr>
          <w:p w14:paraId="54355938" w14:textId="77777777" w:rsidR="005720AD" w:rsidRPr="00036EE3"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5720AD" w:rsidRPr="00ED2695" w14:paraId="617584FA" w14:textId="77777777" w:rsidTr="002A110F">
        <w:tc>
          <w:tcPr>
            <w:tcW w:w="1140" w:type="dxa"/>
            <w:shd w:val="clear" w:color="auto" w:fill="auto"/>
          </w:tcPr>
          <w:p w14:paraId="02718E69" w14:textId="77777777" w:rsidR="005720AD" w:rsidRPr="00ED2695" w:rsidRDefault="005720AD" w:rsidP="002A110F">
            <w:pPr>
              <w:spacing w:before="30" w:after="30"/>
              <w:ind w:left="57"/>
              <w:jc w:val="left"/>
              <w:rPr>
                <w:b/>
                <w:bCs/>
                <w:sz w:val="20"/>
                <w:lang w:val="en-US"/>
              </w:rPr>
            </w:pPr>
            <w:r w:rsidRPr="00ED2695">
              <w:rPr>
                <w:b/>
                <w:bCs/>
                <w:sz w:val="20"/>
                <w:lang w:val="en-US"/>
              </w:rPr>
              <w:t>BT</w:t>
            </w:r>
          </w:p>
        </w:tc>
        <w:tc>
          <w:tcPr>
            <w:tcW w:w="8220" w:type="dxa"/>
            <w:shd w:val="clear" w:color="auto" w:fill="auto"/>
          </w:tcPr>
          <w:p w14:paraId="59710FBC" w14:textId="77777777" w:rsidR="005720AD" w:rsidRPr="00ED2695"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5720AD" w:rsidRPr="00036EE3" w14:paraId="477F6DE7" w14:textId="77777777" w:rsidTr="002A110F">
        <w:tc>
          <w:tcPr>
            <w:tcW w:w="1140" w:type="dxa"/>
            <w:shd w:val="clear" w:color="auto" w:fill="auto"/>
          </w:tcPr>
          <w:p w14:paraId="747B47F4" w14:textId="77777777" w:rsidR="005720AD" w:rsidRPr="00036EE3" w:rsidRDefault="005720AD" w:rsidP="002A110F">
            <w:pPr>
              <w:spacing w:before="30" w:after="30"/>
              <w:ind w:left="57"/>
              <w:jc w:val="left"/>
              <w:rPr>
                <w:b/>
                <w:bCs/>
                <w:sz w:val="20"/>
                <w:lang w:val="fr-CH"/>
              </w:rPr>
            </w:pPr>
            <w:r w:rsidRPr="00036EE3">
              <w:rPr>
                <w:b/>
                <w:bCs/>
                <w:sz w:val="20"/>
                <w:lang w:val="fr-CH"/>
              </w:rPr>
              <w:t>F</w:t>
            </w:r>
          </w:p>
        </w:tc>
        <w:tc>
          <w:tcPr>
            <w:tcW w:w="8220" w:type="dxa"/>
            <w:shd w:val="clear" w:color="auto" w:fill="auto"/>
          </w:tcPr>
          <w:p w14:paraId="38845360" w14:textId="77777777" w:rsidR="005720AD" w:rsidRPr="00036EE3" w:rsidRDefault="005720AD" w:rsidP="002A110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5720AD" w:rsidRPr="00036EE3" w14:paraId="45F0C1D3" w14:textId="77777777" w:rsidTr="002A110F">
        <w:tc>
          <w:tcPr>
            <w:tcW w:w="1140" w:type="dxa"/>
            <w:shd w:val="clear" w:color="auto" w:fill="F2F2F2" w:themeFill="background1" w:themeFillShade="F2"/>
          </w:tcPr>
          <w:p w14:paraId="7EA8238F" w14:textId="77777777" w:rsidR="005720AD" w:rsidRPr="00B51DD9"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136933B1" w14:textId="77777777" w:rsidR="005720AD" w:rsidRPr="00B51DD9" w:rsidRDefault="005720AD" w:rsidP="002A11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5720AD" w:rsidRPr="00036EE3" w14:paraId="30ADDA54" w14:textId="77777777" w:rsidTr="002A110F">
        <w:tc>
          <w:tcPr>
            <w:tcW w:w="1140" w:type="dxa"/>
          </w:tcPr>
          <w:p w14:paraId="4048A228" w14:textId="77777777" w:rsidR="005720AD" w:rsidRPr="00036EE3" w:rsidRDefault="005720AD" w:rsidP="002A110F">
            <w:pPr>
              <w:spacing w:before="30" w:after="30"/>
              <w:ind w:left="57"/>
              <w:jc w:val="left"/>
              <w:rPr>
                <w:b/>
                <w:bCs/>
                <w:sz w:val="20"/>
                <w:lang w:val="fr-CH"/>
              </w:rPr>
            </w:pPr>
            <w:r w:rsidRPr="00036EE3">
              <w:rPr>
                <w:b/>
                <w:bCs/>
                <w:sz w:val="20"/>
                <w:lang w:val="fr-CH"/>
              </w:rPr>
              <w:t>P</w:t>
            </w:r>
          </w:p>
        </w:tc>
        <w:tc>
          <w:tcPr>
            <w:tcW w:w="8220" w:type="dxa"/>
          </w:tcPr>
          <w:p w14:paraId="3D819E97" w14:textId="77777777" w:rsidR="005720AD" w:rsidRPr="00036EE3" w:rsidRDefault="005720AD" w:rsidP="002A110F">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5720AD" w:rsidRPr="00036EE3" w14:paraId="137D0DD8" w14:textId="77777777" w:rsidTr="002A110F">
        <w:tc>
          <w:tcPr>
            <w:tcW w:w="1140" w:type="dxa"/>
          </w:tcPr>
          <w:p w14:paraId="189D8955" w14:textId="77777777" w:rsidR="005720AD" w:rsidRPr="00036EE3" w:rsidRDefault="005720AD" w:rsidP="002A110F">
            <w:pPr>
              <w:spacing w:before="30" w:after="30"/>
              <w:ind w:left="57"/>
              <w:jc w:val="left"/>
              <w:rPr>
                <w:b/>
                <w:bCs/>
                <w:sz w:val="20"/>
                <w:lang w:val="en-US"/>
              </w:rPr>
            </w:pPr>
            <w:r w:rsidRPr="00036EE3">
              <w:rPr>
                <w:b/>
                <w:bCs/>
                <w:sz w:val="20"/>
                <w:lang w:val="en-US"/>
              </w:rPr>
              <w:t>RA</w:t>
            </w:r>
          </w:p>
        </w:tc>
        <w:tc>
          <w:tcPr>
            <w:tcW w:w="8220" w:type="dxa"/>
          </w:tcPr>
          <w:p w14:paraId="6EAA39EC" w14:textId="77777777" w:rsidR="005720AD" w:rsidRPr="00036EE3" w:rsidRDefault="005720AD" w:rsidP="002A110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5720AD" w:rsidRPr="00036EE3" w14:paraId="583B3664" w14:textId="77777777" w:rsidTr="002A110F">
        <w:tc>
          <w:tcPr>
            <w:tcW w:w="1140" w:type="dxa"/>
          </w:tcPr>
          <w:p w14:paraId="3F88DBBB" w14:textId="77777777" w:rsidR="005720AD" w:rsidRPr="00036EE3" w:rsidRDefault="005720AD" w:rsidP="002A110F">
            <w:pPr>
              <w:spacing w:before="30" w:after="30"/>
              <w:ind w:left="57"/>
              <w:jc w:val="left"/>
              <w:rPr>
                <w:b/>
                <w:bCs/>
                <w:sz w:val="20"/>
                <w:lang w:val="en-US"/>
              </w:rPr>
            </w:pPr>
            <w:r w:rsidRPr="00036EE3">
              <w:rPr>
                <w:b/>
                <w:bCs/>
                <w:sz w:val="20"/>
                <w:lang w:val="en-US"/>
              </w:rPr>
              <w:t>RS</w:t>
            </w:r>
          </w:p>
        </w:tc>
        <w:tc>
          <w:tcPr>
            <w:tcW w:w="8220" w:type="dxa"/>
          </w:tcPr>
          <w:p w14:paraId="00625A9F" w14:textId="77777777" w:rsidR="005720AD" w:rsidRPr="00036EE3" w:rsidRDefault="005720AD" w:rsidP="002A110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5720AD" w:rsidRPr="00036EE3" w14:paraId="62280154" w14:textId="77777777" w:rsidTr="002A110F">
        <w:tc>
          <w:tcPr>
            <w:tcW w:w="1140" w:type="dxa"/>
          </w:tcPr>
          <w:p w14:paraId="72A26FBF" w14:textId="77777777" w:rsidR="005720AD" w:rsidRPr="00036EE3" w:rsidRDefault="005720AD" w:rsidP="002A110F">
            <w:pPr>
              <w:spacing w:before="30" w:after="30"/>
              <w:ind w:left="57"/>
              <w:jc w:val="left"/>
              <w:rPr>
                <w:b/>
                <w:bCs/>
                <w:sz w:val="20"/>
                <w:lang w:val="en-US"/>
              </w:rPr>
            </w:pPr>
            <w:r w:rsidRPr="00036EE3">
              <w:rPr>
                <w:b/>
                <w:bCs/>
                <w:sz w:val="20"/>
                <w:lang w:val="en-US"/>
              </w:rPr>
              <w:t>S</w:t>
            </w:r>
          </w:p>
        </w:tc>
        <w:tc>
          <w:tcPr>
            <w:tcW w:w="8220" w:type="dxa"/>
          </w:tcPr>
          <w:p w14:paraId="5CA5DD4F" w14:textId="77777777" w:rsidR="005720AD" w:rsidRPr="00036EE3" w:rsidRDefault="005720AD" w:rsidP="002A110F">
            <w:pPr>
              <w:spacing w:before="30" w:after="30"/>
              <w:jc w:val="left"/>
              <w:rPr>
                <w:sz w:val="20"/>
                <w:lang w:val="en-US"/>
              </w:rPr>
            </w:pPr>
            <w:r w:rsidRPr="00036EE3">
              <w:rPr>
                <w:sz w:val="20"/>
                <w:lang w:val="en-US"/>
              </w:rPr>
              <w:t>Fixed-satellite service</w:t>
            </w:r>
          </w:p>
        </w:tc>
      </w:tr>
      <w:tr w:rsidR="005720AD" w:rsidRPr="00036EE3" w14:paraId="77A78061" w14:textId="77777777" w:rsidTr="002A110F">
        <w:tc>
          <w:tcPr>
            <w:tcW w:w="1140" w:type="dxa"/>
          </w:tcPr>
          <w:p w14:paraId="33C7E75B" w14:textId="77777777" w:rsidR="005720AD" w:rsidRPr="00036EE3" w:rsidRDefault="005720AD" w:rsidP="002A110F">
            <w:pPr>
              <w:spacing w:before="30" w:after="30"/>
              <w:ind w:left="57"/>
              <w:jc w:val="left"/>
              <w:rPr>
                <w:b/>
                <w:bCs/>
                <w:sz w:val="20"/>
                <w:lang w:val="en-US"/>
              </w:rPr>
            </w:pPr>
            <w:r w:rsidRPr="00036EE3">
              <w:rPr>
                <w:b/>
                <w:bCs/>
                <w:sz w:val="20"/>
                <w:lang w:val="en-US"/>
              </w:rPr>
              <w:t>SA</w:t>
            </w:r>
          </w:p>
        </w:tc>
        <w:tc>
          <w:tcPr>
            <w:tcW w:w="8220" w:type="dxa"/>
          </w:tcPr>
          <w:p w14:paraId="170360DB" w14:textId="77777777" w:rsidR="005720AD" w:rsidRPr="00036EE3" w:rsidRDefault="005720AD" w:rsidP="002A110F">
            <w:pPr>
              <w:spacing w:before="30" w:after="30"/>
              <w:jc w:val="left"/>
              <w:rPr>
                <w:sz w:val="20"/>
                <w:lang w:val="en-US"/>
              </w:rPr>
            </w:pPr>
            <w:r w:rsidRPr="00036EE3">
              <w:rPr>
                <w:sz w:val="20"/>
                <w:lang w:val="en-US"/>
              </w:rPr>
              <w:t>Space applications and meteorology</w:t>
            </w:r>
          </w:p>
        </w:tc>
      </w:tr>
      <w:tr w:rsidR="005720AD" w:rsidRPr="00576D47" w14:paraId="599D76BB" w14:textId="77777777" w:rsidTr="002A110F">
        <w:tc>
          <w:tcPr>
            <w:tcW w:w="1140" w:type="dxa"/>
            <w:tcBorders>
              <w:bottom w:val="nil"/>
            </w:tcBorders>
          </w:tcPr>
          <w:p w14:paraId="6FF50CBC" w14:textId="77777777" w:rsidR="005720AD" w:rsidRPr="00036EE3" w:rsidRDefault="005720AD" w:rsidP="002A110F">
            <w:pPr>
              <w:spacing w:before="30" w:after="30"/>
              <w:ind w:left="57"/>
              <w:jc w:val="left"/>
              <w:rPr>
                <w:b/>
                <w:bCs/>
                <w:sz w:val="20"/>
                <w:lang w:val="en-US"/>
              </w:rPr>
            </w:pPr>
            <w:r w:rsidRPr="00036EE3">
              <w:rPr>
                <w:b/>
                <w:bCs/>
                <w:sz w:val="20"/>
                <w:lang w:val="en-US"/>
              </w:rPr>
              <w:t>SF</w:t>
            </w:r>
          </w:p>
        </w:tc>
        <w:tc>
          <w:tcPr>
            <w:tcW w:w="8220" w:type="dxa"/>
            <w:tcBorders>
              <w:bottom w:val="nil"/>
            </w:tcBorders>
          </w:tcPr>
          <w:p w14:paraId="26F6801C" w14:textId="77777777" w:rsidR="005720AD" w:rsidRPr="00036EE3" w:rsidRDefault="005720AD" w:rsidP="002A110F">
            <w:pPr>
              <w:spacing w:before="30" w:after="30"/>
              <w:jc w:val="left"/>
              <w:rPr>
                <w:sz w:val="20"/>
                <w:lang w:val="en-US"/>
              </w:rPr>
            </w:pPr>
            <w:r w:rsidRPr="00036EE3">
              <w:rPr>
                <w:sz w:val="20"/>
                <w:lang w:val="en-US"/>
              </w:rPr>
              <w:t>Frequency sharing and coordination between fixed-satellite and fixed service systems</w:t>
            </w:r>
          </w:p>
        </w:tc>
      </w:tr>
      <w:tr w:rsidR="005720AD" w:rsidRPr="00036EE3" w14:paraId="0D735614" w14:textId="77777777" w:rsidTr="002A110F">
        <w:tc>
          <w:tcPr>
            <w:tcW w:w="1140" w:type="dxa"/>
            <w:tcBorders>
              <w:top w:val="nil"/>
              <w:bottom w:val="nil"/>
            </w:tcBorders>
            <w:shd w:val="clear" w:color="auto" w:fill="auto"/>
          </w:tcPr>
          <w:p w14:paraId="08E0C57E" w14:textId="77777777" w:rsidR="005720AD" w:rsidRPr="001B164E" w:rsidRDefault="005720AD" w:rsidP="002A110F">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32053948" w14:textId="77777777" w:rsidR="005720AD" w:rsidRPr="001B164E" w:rsidRDefault="005720AD" w:rsidP="002A110F">
            <w:pPr>
              <w:spacing w:before="30" w:after="30"/>
              <w:jc w:val="left"/>
              <w:rPr>
                <w:rFonts w:hAnsi="Times New Roman Bold"/>
                <w:sz w:val="20"/>
                <w:lang w:val="en-US"/>
              </w:rPr>
            </w:pPr>
            <w:r w:rsidRPr="001B164E">
              <w:rPr>
                <w:rFonts w:hAnsi="Times New Roman Bold"/>
                <w:sz w:val="20"/>
                <w:lang w:val="en-US"/>
              </w:rPr>
              <w:t>Spectrum management</w:t>
            </w:r>
          </w:p>
        </w:tc>
      </w:tr>
      <w:tr w:rsidR="005720AD" w:rsidRPr="00036EE3" w14:paraId="0481F8AD" w14:textId="77777777" w:rsidTr="002A110F">
        <w:tc>
          <w:tcPr>
            <w:tcW w:w="1140" w:type="dxa"/>
            <w:tcBorders>
              <w:top w:val="nil"/>
            </w:tcBorders>
          </w:tcPr>
          <w:p w14:paraId="1CB9E55B" w14:textId="77777777" w:rsidR="005720AD" w:rsidRPr="00036EE3" w:rsidRDefault="005720AD" w:rsidP="002A110F">
            <w:pPr>
              <w:spacing w:before="30" w:after="30"/>
              <w:ind w:left="57"/>
              <w:jc w:val="left"/>
              <w:rPr>
                <w:b/>
                <w:bCs/>
                <w:sz w:val="20"/>
                <w:lang w:val="en-US"/>
              </w:rPr>
            </w:pPr>
            <w:r w:rsidRPr="00036EE3">
              <w:rPr>
                <w:b/>
                <w:bCs/>
                <w:sz w:val="20"/>
                <w:lang w:val="en-US"/>
              </w:rPr>
              <w:t>SNG</w:t>
            </w:r>
          </w:p>
        </w:tc>
        <w:tc>
          <w:tcPr>
            <w:tcW w:w="8220" w:type="dxa"/>
            <w:tcBorders>
              <w:top w:val="nil"/>
            </w:tcBorders>
          </w:tcPr>
          <w:p w14:paraId="22A08E5B" w14:textId="77777777" w:rsidR="005720AD" w:rsidRPr="00036EE3" w:rsidRDefault="005720AD" w:rsidP="002A110F">
            <w:pPr>
              <w:spacing w:before="30" w:after="30"/>
              <w:jc w:val="left"/>
              <w:rPr>
                <w:sz w:val="20"/>
                <w:lang w:val="en-US"/>
              </w:rPr>
            </w:pPr>
            <w:r w:rsidRPr="00036EE3">
              <w:rPr>
                <w:sz w:val="20"/>
                <w:lang w:val="en-US"/>
              </w:rPr>
              <w:t>Satellite news gathering</w:t>
            </w:r>
          </w:p>
        </w:tc>
      </w:tr>
      <w:tr w:rsidR="005720AD" w:rsidRPr="00576D47" w14:paraId="64B7A31F" w14:textId="77777777" w:rsidTr="002A110F">
        <w:tc>
          <w:tcPr>
            <w:tcW w:w="1140" w:type="dxa"/>
          </w:tcPr>
          <w:p w14:paraId="092DC07F" w14:textId="77777777" w:rsidR="005720AD" w:rsidRPr="00036EE3" w:rsidRDefault="005720AD" w:rsidP="002A110F">
            <w:pPr>
              <w:spacing w:before="30" w:after="30"/>
              <w:ind w:left="57"/>
              <w:jc w:val="left"/>
              <w:rPr>
                <w:b/>
                <w:bCs/>
                <w:sz w:val="20"/>
                <w:lang w:val="en-US"/>
              </w:rPr>
            </w:pPr>
            <w:r w:rsidRPr="00036EE3">
              <w:rPr>
                <w:b/>
                <w:bCs/>
                <w:sz w:val="20"/>
                <w:lang w:val="en-US"/>
              </w:rPr>
              <w:t>TF</w:t>
            </w:r>
          </w:p>
        </w:tc>
        <w:tc>
          <w:tcPr>
            <w:tcW w:w="8220" w:type="dxa"/>
          </w:tcPr>
          <w:p w14:paraId="3B3E6BBA" w14:textId="77777777" w:rsidR="005720AD" w:rsidRPr="00036EE3" w:rsidRDefault="005720AD" w:rsidP="002A110F">
            <w:pPr>
              <w:spacing w:before="30" w:after="30"/>
              <w:jc w:val="left"/>
              <w:rPr>
                <w:sz w:val="20"/>
                <w:lang w:val="en-US"/>
              </w:rPr>
            </w:pPr>
            <w:r w:rsidRPr="00036EE3">
              <w:rPr>
                <w:sz w:val="20"/>
                <w:lang w:val="en-US"/>
              </w:rPr>
              <w:t>Time signals and frequency standards emissions</w:t>
            </w:r>
          </w:p>
        </w:tc>
      </w:tr>
      <w:tr w:rsidR="005720AD" w:rsidRPr="00036EE3" w14:paraId="1F010AA6" w14:textId="77777777" w:rsidTr="002A110F">
        <w:tc>
          <w:tcPr>
            <w:tcW w:w="1140" w:type="dxa"/>
          </w:tcPr>
          <w:p w14:paraId="73F9D352" w14:textId="77777777" w:rsidR="005720AD" w:rsidRPr="00036EE3" w:rsidRDefault="005720AD" w:rsidP="002A110F">
            <w:pPr>
              <w:spacing w:before="30" w:after="30"/>
              <w:ind w:left="57"/>
              <w:jc w:val="left"/>
              <w:rPr>
                <w:b/>
                <w:bCs/>
                <w:sz w:val="20"/>
                <w:lang w:val="en-US"/>
              </w:rPr>
            </w:pPr>
            <w:r w:rsidRPr="00036EE3">
              <w:rPr>
                <w:b/>
                <w:bCs/>
                <w:sz w:val="20"/>
                <w:lang w:val="en-US"/>
              </w:rPr>
              <w:t>V</w:t>
            </w:r>
          </w:p>
        </w:tc>
        <w:tc>
          <w:tcPr>
            <w:tcW w:w="8220" w:type="dxa"/>
          </w:tcPr>
          <w:p w14:paraId="522CE2AE" w14:textId="77777777" w:rsidR="005720AD" w:rsidRPr="00036EE3" w:rsidRDefault="005720AD" w:rsidP="002A110F">
            <w:pPr>
              <w:spacing w:before="30" w:after="180"/>
              <w:jc w:val="left"/>
              <w:rPr>
                <w:sz w:val="20"/>
                <w:lang w:val="en-US"/>
              </w:rPr>
            </w:pPr>
            <w:r w:rsidRPr="00036EE3">
              <w:rPr>
                <w:sz w:val="20"/>
                <w:lang w:val="en-US"/>
              </w:rPr>
              <w:t>Vocabulary and related subjects</w:t>
            </w:r>
          </w:p>
        </w:tc>
      </w:tr>
    </w:tbl>
    <w:p w14:paraId="06024931" w14:textId="77777777" w:rsidR="005720AD" w:rsidRPr="00036EE3" w:rsidRDefault="005720AD" w:rsidP="005720AD">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5720AD" w14:paraId="48BA9096" w14:textId="77777777" w:rsidTr="002A110F">
        <w:tc>
          <w:tcPr>
            <w:tcW w:w="720" w:type="dxa"/>
          </w:tcPr>
          <w:p w14:paraId="20BE89D6" w14:textId="77777777" w:rsidR="005720AD" w:rsidRDefault="005720AD" w:rsidP="002A110F">
            <w:pPr>
              <w:jc w:val="center"/>
              <w:rPr>
                <w:sz w:val="22"/>
                <w:lang w:val="en-US"/>
              </w:rPr>
            </w:pPr>
          </w:p>
        </w:tc>
      </w:tr>
    </w:tbl>
    <w:p w14:paraId="3849AD06" w14:textId="77777777" w:rsidR="005720AD" w:rsidRPr="00036EE3" w:rsidRDefault="005720AD" w:rsidP="005720AD">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5720AD" w:rsidRPr="00576D47" w14:paraId="224C4FEE" w14:textId="77777777" w:rsidTr="002A110F">
        <w:tc>
          <w:tcPr>
            <w:tcW w:w="9360" w:type="dxa"/>
          </w:tcPr>
          <w:p w14:paraId="7D7F938C" w14:textId="77777777" w:rsidR="005720AD" w:rsidRPr="002F5199" w:rsidRDefault="005720AD" w:rsidP="002A110F">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4A330DB" w14:textId="77777777" w:rsidR="005720AD" w:rsidRDefault="005720AD" w:rsidP="005720AD">
      <w:pPr>
        <w:spacing w:before="0"/>
        <w:jc w:val="center"/>
        <w:rPr>
          <w:sz w:val="22"/>
          <w:lang w:val="en-US"/>
        </w:rPr>
      </w:pPr>
    </w:p>
    <w:p w14:paraId="639621C4" w14:textId="77777777" w:rsidR="005720AD" w:rsidRDefault="005720AD" w:rsidP="005720AD">
      <w:pPr>
        <w:spacing w:before="0"/>
        <w:jc w:val="center"/>
        <w:rPr>
          <w:sz w:val="22"/>
          <w:lang w:val="en-US"/>
        </w:rPr>
      </w:pPr>
    </w:p>
    <w:p w14:paraId="119A3EBD" w14:textId="77777777" w:rsidR="005720AD" w:rsidRPr="002F5199" w:rsidRDefault="005720AD" w:rsidP="005720AD">
      <w:pPr>
        <w:spacing w:before="0"/>
        <w:jc w:val="right"/>
        <w:rPr>
          <w:i/>
          <w:iCs/>
          <w:sz w:val="20"/>
          <w:lang w:val="en-US"/>
        </w:rPr>
      </w:pPr>
      <w:r w:rsidRPr="002F5199">
        <w:rPr>
          <w:i/>
          <w:iCs/>
          <w:sz w:val="20"/>
          <w:lang w:val="en-US"/>
        </w:rPr>
        <w:t>Electronic Publication</w:t>
      </w:r>
    </w:p>
    <w:p w14:paraId="656586AA" w14:textId="77777777" w:rsidR="005720AD" w:rsidRPr="002F5199" w:rsidRDefault="005720AD" w:rsidP="005720AD">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Pr>
          <w:sz w:val="20"/>
          <w:lang w:val="en-US"/>
        </w:rPr>
        <w:t>23</w:t>
      </w:r>
    </w:p>
    <w:p w14:paraId="02EC15D5" w14:textId="77777777" w:rsidR="005720AD" w:rsidRDefault="005720AD" w:rsidP="005720AD">
      <w:pPr>
        <w:jc w:val="center"/>
        <w:rPr>
          <w:sz w:val="22"/>
          <w:lang w:val="en-US"/>
        </w:rPr>
      </w:pPr>
    </w:p>
    <w:p w14:paraId="360E3956" w14:textId="77777777" w:rsidR="005720AD" w:rsidRPr="00470E28" w:rsidRDefault="005720AD" w:rsidP="005720AD">
      <w:pPr>
        <w:jc w:val="center"/>
        <w:rPr>
          <w:sz w:val="20"/>
          <w:lang w:val="en-US"/>
        </w:rPr>
      </w:pPr>
      <w:r w:rsidRPr="00470E28">
        <w:rPr>
          <w:sz w:val="20"/>
          <w:lang w:val="en-US"/>
        </w:rPr>
        <w:sym w:font="Symbol" w:char="F0E3"/>
      </w:r>
      <w:r w:rsidRPr="00470E28">
        <w:rPr>
          <w:sz w:val="20"/>
          <w:lang w:val="en-US"/>
        </w:rPr>
        <w:t xml:space="preserve"> ITU </w:t>
      </w:r>
      <w:bookmarkStart w:id="2" w:name="iiannee"/>
      <w:bookmarkEnd w:id="2"/>
      <w:r w:rsidRPr="00470E28">
        <w:rPr>
          <w:sz w:val="20"/>
          <w:lang w:val="en-US"/>
        </w:rPr>
        <w:t>20</w:t>
      </w:r>
      <w:r>
        <w:rPr>
          <w:sz w:val="20"/>
          <w:lang w:val="en-US"/>
        </w:rPr>
        <w:t>23</w:t>
      </w:r>
    </w:p>
    <w:p w14:paraId="5ABA717C" w14:textId="77777777" w:rsidR="005720AD" w:rsidRPr="00470E28" w:rsidRDefault="005720AD" w:rsidP="005720AD">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3DA07957" w14:textId="77777777" w:rsidR="005720AD" w:rsidRDefault="005720AD" w:rsidP="005720AD">
      <w:pPr>
        <w:spacing w:before="160"/>
        <w:rPr>
          <w:i/>
          <w:sz w:val="20"/>
          <w:lang w:val="en-US"/>
        </w:rPr>
        <w:sectPr w:rsidR="005720AD"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505BC988" w14:textId="6BD357E2" w:rsidR="005720AD" w:rsidRPr="00B874C6" w:rsidRDefault="005720AD" w:rsidP="00302806">
      <w:pPr>
        <w:pStyle w:val="RecNo"/>
        <w:rPr>
          <w:lang w:val="en-US"/>
        </w:rPr>
      </w:pPr>
      <w:bookmarkStart w:id="3" w:name="irecnoe"/>
      <w:bookmarkEnd w:id="3"/>
      <w:proofErr w:type="gramStart"/>
      <w:r w:rsidRPr="00302806">
        <w:lastRenderedPageBreak/>
        <w:t>RECOMMENDATION</w:t>
      </w:r>
      <w:r w:rsidRPr="00BF487A">
        <w:t xml:space="preserve">  </w:t>
      </w:r>
      <w:r w:rsidRPr="00BF487A">
        <w:rPr>
          <w:rStyle w:val="href"/>
          <w:lang w:val="en-US"/>
        </w:rPr>
        <w:t>ITU</w:t>
      </w:r>
      <w:proofErr w:type="gramEnd"/>
      <w:r w:rsidRPr="00BF487A">
        <w:rPr>
          <w:rStyle w:val="href"/>
          <w:lang w:val="en-US"/>
        </w:rPr>
        <w:t xml:space="preserve">-R  </w:t>
      </w:r>
      <w:r>
        <w:rPr>
          <w:rStyle w:val="href"/>
          <w:lang w:val="en-US"/>
        </w:rPr>
        <w:t>M</w:t>
      </w:r>
      <w:r w:rsidRPr="00BF487A">
        <w:rPr>
          <w:rStyle w:val="href"/>
          <w:lang w:val="en-US"/>
        </w:rPr>
        <w:t>.</w:t>
      </w:r>
      <w:r>
        <w:rPr>
          <w:rStyle w:val="href"/>
          <w:lang w:val="en-US"/>
        </w:rPr>
        <w:t>2159-0</w:t>
      </w:r>
      <w:r w:rsidRPr="00E65C85">
        <w:rPr>
          <w:rStyle w:val="FootnoteReference"/>
          <w:lang w:eastAsia="ja-JP"/>
        </w:rPr>
        <w:footnoteReference w:customMarkFollows="1" w:id="1"/>
        <w:sym w:font="Symbol" w:char="F02A"/>
      </w:r>
    </w:p>
    <w:p w14:paraId="029DD069" w14:textId="4AD4BF3D" w:rsidR="005720AD" w:rsidRDefault="005720AD" w:rsidP="005720AD">
      <w:pPr>
        <w:pStyle w:val="Rectitle"/>
        <w:rPr>
          <w:lang w:eastAsia="ja-JP"/>
        </w:rPr>
      </w:pPr>
      <w:r w:rsidRPr="00216E0D">
        <w:rPr>
          <w:lang w:eastAsia="ja-JP"/>
        </w:rPr>
        <w:t xml:space="preserve">Technical and regulatory measures to provide compatibility between </w:t>
      </w:r>
      <w:r>
        <w:rPr>
          <w:lang w:eastAsia="ja-JP"/>
        </w:rPr>
        <w:t>international mobile telecommunications</w:t>
      </w:r>
      <w:r w:rsidRPr="00216E0D">
        <w:rPr>
          <w:lang w:eastAsia="ja-JP"/>
        </w:rPr>
        <w:t xml:space="preserve"> and </w:t>
      </w:r>
      <w:r>
        <w:rPr>
          <w:lang w:eastAsia="ja-JP"/>
        </w:rPr>
        <w:t>mobile</w:t>
      </w:r>
      <w:r w:rsidR="00302806">
        <w:rPr>
          <w:lang w:eastAsia="ja-JP"/>
        </w:rPr>
        <w:t>-</w:t>
      </w:r>
      <w:r>
        <w:rPr>
          <w:lang w:eastAsia="ja-JP"/>
        </w:rPr>
        <w:t>satellite services</w:t>
      </w:r>
      <w:r w:rsidRPr="00216E0D">
        <w:rPr>
          <w:lang w:eastAsia="ja-JP"/>
        </w:rPr>
        <w:t xml:space="preserve"> with respect to </w:t>
      </w:r>
      <w:r>
        <w:rPr>
          <w:lang w:eastAsia="ja-JP"/>
        </w:rPr>
        <w:t>mobile</w:t>
      </w:r>
      <w:r w:rsidR="00302806">
        <w:rPr>
          <w:lang w:eastAsia="ja-JP"/>
        </w:rPr>
        <w:t>-</w:t>
      </w:r>
      <w:r>
        <w:rPr>
          <w:lang w:eastAsia="ja-JP"/>
        </w:rPr>
        <w:t>satellite services</w:t>
      </w:r>
      <w:r w:rsidRPr="00216E0D">
        <w:rPr>
          <w:lang w:eastAsia="ja-JP"/>
        </w:rPr>
        <w:t xml:space="preserve"> operations in the frequency band 1 518</w:t>
      </w:r>
      <w:r w:rsidR="00302806">
        <w:rPr>
          <w:lang w:eastAsia="ja-JP"/>
        </w:rPr>
        <w:noBreakHyphen/>
      </w:r>
      <w:r w:rsidRPr="00216E0D">
        <w:rPr>
          <w:lang w:eastAsia="ja-JP"/>
        </w:rPr>
        <w:t xml:space="preserve">1 525 MHz for administrations wishing to implement </w:t>
      </w:r>
      <w:r>
        <w:rPr>
          <w:lang w:eastAsia="ja-JP"/>
        </w:rPr>
        <w:t xml:space="preserve">international </w:t>
      </w:r>
      <w:r w:rsidR="00302806">
        <w:rPr>
          <w:lang w:eastAsia="ja-JP"/>
        </w:rPr>
        <w:br/>
      </w:r>
      <w:r>
        <w:rPr>
          <w:lang w:eastAsia="ja-JP"/>
        </w:rPr>
        <w:t>mobile telecommunications</w:t>
      </w:r>
      <w:r w:rsidRPr="00216E0D">
        <w:rPr>
          <w:lang w:eastAsia="ja-JP"/>
        </w:rPr>
        <w:t xml:space="preserve"> in the frequency band 1 492-1 518 MHz</w:t>
      </w:r>
      <w:r w:rsidRPr="00216E0D">
        <w:rPr>
          <w:rStyle w:val="FootnoteReference"/>
          <w:lang w:eastAsia="ja-JP"/>
        </w:rPr>
        <w:footnoteReference w:id="2"/>
      </w:r>
    </w:p>
    <w:p w14:paraId="7B510E74" w14:textId="77777777" w:rsidR="005720AD" w:rsidRPr="00FA6565" w:rsidRDefault="005720AD" w:rsidP="005720AD">
      <w:pPr>
        <w:pStyle w:val="Recdate"/>
        <w:rPr>
          <w:lang w:eastAsia="ja-JP"/>
        </w:rPr>
      </w:pPr>
      <w:r>
        <w:rPr>
          <w:lang w:eastAsia="ja-JP"/>
        </w:rPr>
        <w:t>(2023)</w:t>
      </w:r>
    </w:p>
    <w:p w14:paraId="123CA125" w14:textId="77777777" w:rsidR="005720AD" w:rsidRPr="00B47CCD" w:rsidRDefault="005720AD" w:rsidP="00302806">
      <w:pPr>
        <w:pStyle w:val="HeadingSum"/>
        <w:rPr>
          <w:rFonts w:eastAsia="Batang"/>
          <w:lang w:val="en-GB"/>
        </w:rPr>
      </w:pPr>
      <w:r w:rsidRPr="00B47CCD">
        <w:rPr>
          <w:rFonts w:eastAsia="Batang"/>
          <w:lang w:val="en-GB"/>
        </w:rPr>
        <w:t>Scope</w:t>
      </w:r>
    </w:p>
    <w:p w14:paraId="3AFED219" w14:textId="45EEC705" w:rsidR="005720AD" w:rsidRPr="00B47CCD" w:rsidRDefault="005720AD" w:rsidP="00302806">
      <w:pPr>
        <w:pStyle w:val="Summary"/>
        <w:rPr>
          <w:rFonts w:eastAsia="Batang"/>
          <w:lang w:val="en-GB"/>
        </w:rPr>
      </w:pPr>
      <w:r w:rsidRPr="00B47CCD">
        <w:rPr>
          <w:rFonts w:eastAsia="Batang"/>
          <w:lang w:val="en-GB"/>
        </w:rPr>
        <w:t>This Recommendation provides technical and regulatory measures for adjacent band compatibility between satellite systems in the mobile-satellite service (MSS) operating in the band 1 518</w:t>
      </w:r>
      <w:r w:rsidRPr="00B47CCD">
        <w:rPr>
          <w:rFonts w:eastAsia="Batang"/>
          <w:lang w:val="en-GB"/>
        </w:rPr>
        <w:noBreakHyphen/>
        <w:t xml:space="preserve">1 525 MHz and terrestrial international mobile telecommunications (IMT) systems operating in the band 1 492-1 518 MHz as invited by Resolution </w:t>
      </w:r>
      <w:r w:rsidRPr="00B47CCD">
        <w:rPr>
          <w:rFonts w:eastAsia="Batang"/>
          <w:b/>
          <w:bCs/>
          <w:lang w:val="en-GB"/>
        </w:rPr>
        <w:t>223 (Rev.WRC-19)</w:t>
      </w:r>
      <w:r w:rsidRPr="00B47CCD">
        <w:rPr>
          <w:rFonts w:eastAsia="Batang"/>
          <w:lang w:val="en-GB"/>
        </w:rPr>
        <w:t>. See also footnote 1.</w:t>
      </w:r>
    </w:p>
    <w:p w14:paraId="5CCED1C3" w14:textId="77777777" w:rsidR="005720AD" w:rsidRPr="00216E0D" w:rsidRDefault="005720AD" w:rsidP="00302806">
      <w:pPr>
        <w:pStyle w:val="Headingb"/>
        <w:rPr>
          <w:lang w:eastAsia="zh-CN"/>
        </w:rPr>
      </w:pPr>
      <w:r w:rsidRPr="00216E0D">
        <w:rPr>
          <w:lang w:eastAsia="zh-CN"/>
        </w:rPr>
        <w:t>Keywords</w:t>
      </w:r>
    </w:p>
    <w:p w14:paraId="05520707" w14:textId="77777777" w:rsidR="005720AD" w:rsidRPr="00F11070" w:rsidRDefault="005720AD" w:rsidP="005720AD">
      <w:pPr>
        <w:rPr>
          <w:szCs w:val="24"/>
          <w:lang w:val="en-US" w:eastAsia="ja-JP"/>
        </w:rPr>
      </w:pPr>
      <w:r w:rsidRPr="00F11070">
        <w:rPr>
          <w:szCs w:val="24"/>
          <w:lang w:val="en-US" w:eastAsia="ja-JP"/>
        </w:rPr>
        <w:t xml:space="preserve">IMT, MES, </w:t>
      </w:r>
      <w:r w:rsidRPr="00C54069">
        <w:rPr>
          <w:szCs w:val="24"/>
          <w:lang w:val="en-US" w:eastAsia="ja-JP"/>
        </w:rPr>
        <w:t>adjacent band compatibility</w:t>
      </w:r>
    </w:p>
    <w:p w14:paraId="36E43B36" w14:textId="77777777" w:rsidR="005720AD" w:rsidRPr="00216E0D" w:rsidRDefault="005720AD" w:rsidP="00302806">
      <w:pPr>
        <w:pStyle w:val="Headingb"/>
        <w:rPr>
          <w:rFonts w:ascii="Times New Roman Bold" w:hAnsi="Times New Roman Bold" w:cs="Times New Roman Bold"/>
          <w:b w:val="0"/>
          <w:lang w:eastAsia="zh-CN"/>
        </w:rPr>
      </w:pPr>
      <w:r w:rsidRPr="00216E0D">
        <w:rPr>
          <w:rFonts w:ascii="Times New Roman Bold" w:hAnsi="Times New Roman Bold" w:cs="Times New Roman Bold"/>
          <w:lang w:eastAsia="zh-CN"/>
        </w:rPr>
        <w:t>Abbreviations/Glossary</w:t>
      </w:r>
    </w:p>
    <w:p w14:paraId="1E1515A0" w14:textId="77777777" w:rsidR="00302806" w:rsidRPr="00216E0D" w:rsidRDefault="00302806" w:rsidP="00302806">
      <w:pPr>
        <w:tabs>
          <w:tab w:val="clear" w:pos="794"/>
        </w:tabs>
      </w:pPr>
      <w:r w:rsidRPr="00216E0D">
        <w:t>BS</w:t>
      </w:r>
      <w:r w:rsidRPr="00216E0D">
        <w:tab/>
        <w:t>Base station</w:t>
      </w:r>
    </w:p>
    <w:p w14:paraId="29EB6A7A" w14:textId="77777777" w:rsidR="00302806" w:rsidRPr="00216E0D" w:rsidRDefault="00302806" w:rsidP="00302806">
      <w:pPr>
        <w:tabs>
          <w:tab w:val="clear" w:pos="794"/>
        </w:tabs>
      </w:pPr>
      <w:proofErr w:type="spellStart"/>
      <w:r w:rsidRPr="00216E0D">
        <w:t>e.i.r.p</w:t>
      </w:r>
      <w:proofErr w:type="spellEnd"/>
      <w:r w:rsidRPr="00216E0D">
        <w:t>.</w:t>
      </w:r>
      <w:r w:rsidRPr="00216E0D">
        <w:tab/>
        <w:t xml:space="preserve">Equivalent </w:t>
      </w:r>
      <w:proofErr w:type="spellStart"/>
      <w:r w:rsidRPr="00216E0D">
        <w:t>isotropically</w:t>
      </w:r>
      <w:proofErr w:type="spellEnd"/>
      <w:r w:rsidRPr="00216E0D">
        <w:t xml:space="preserve"> radiated power</w:t>
      </w:r>
    </w:p>
    <w:p w14:paraId="47608B82" w14:textId="4C4DE48C" w:rsidR="00302806" w:rsidRPr="00F11070" w:rsidRDefault="00302806" w:rsidP="00302806">
      <w:pPr>
        <w:tabs>
          <w:tab w:val="clear" w:pos="794"/>
        </w:tabs>
      </w:pPr>
      <w:r w:rsidRPr="00F11070">
        <w:t>FDD</w:t>
      </w:r>
      <w:r w:rsidRPr="00F11070">
        <w:tab/>
        <w:t>Frequency division duplex</w:t>
      </w:r>
    </w:p>
    <w:p w14:paraId="5DD4D51D" w14:textId="1ED4B562" w:rsidR="00302806" w:rsidRPr="00216E0D" w:rsidRDefault="00302806" w:rsidP="00302806">
      <w:pPr>
        <w:tabs>
          <w:tab w:val="clear" w:pos="794"/>
        </w:tabs>
      </w:pPr>
      <w:r w:rsidRPr="00216E0D">
        <w:t>IMT</w:t>
      </w:r>
      <w:r w:rsidRPr="00216E0D">
        <w:tab/>
        <w:t>International mobile telecommunications</w:t>
      </w:r>
    </w:p>
    <w:p w14:paraId="4900A009" w14:textId="6ABA0152" w:rsidR="00302806" w:rsidRPr="00216E0D" w:rsidRDefault="00302806" w:rsidP="00302806">
      <w:pPr>
        <w:tabs>
          <w:tab w:val="clear" w:pos="794"/>
        </w:tabs>
      </w:pPr>
      <w:r w:rsidRPr="00216E0D">
        <w:t>MES</w:t>
      </w:r>
      <w:r w:rsidRPr="00216E0D">
        <w:tab/>
        <w:t xml:space="preserve">Mobile </w:t>
      </w:r>
      <w:r>
        <w:t>e</w:t>
      </w:r>
      <w:r w:rsidRPr="00216E0D">
        <w:t>arth station</w:t>
      </w:r>
    </w:p>
    <w:p w14:paraId="380865B1" w14:textId="5C15CED2" w:rsidR="00302806" w:rsidRPr="00216E0D" w:rsidRDefault="00302806" w:rsidP="00302806">
      <w:pPr>
        <w:tabs>
          <w:tab w:val="clear" w:pos="794"/>
        </w:tabs>
      </w:pPr>
      <w:r w:rsidRPr="00216E0D">
        <w:t>MSS</w:t>
      </w:r>
      <w:r w:rsidRPr="00216E0D">
        <w:tab/>
        <w:t>Mobile</w:t>
      </w:r>
      <w:r>
        <w:t>-</w:t>
      </w:r>
      <w:r w:rsidRPr="00216E0D">
        <w:t>satellite service</w:t>
      </w:r>
    </w:p>
    <w:p w14:paraId="35320AC6" w14:textId="5115DE70" w:rsidR="00302806" w:rsidRPr="00216E0D" w:rsidRDefault="00302806" w:rsidP="00302806">
      <w:pPr>
        <w:tabs>
          <w:tab w:val="clear" w:pos="794"/>
        </w:tabs>
      </w:pPr>
      <w:proofErr w:type="spellStart"/>
      <w:r w:rsidRPr="00216E0D">
        <w:t>pfd</w:t>
      </w:r>
      <w:proofErr w:type="spellEnd"/>
      <w:r w:rsidRPr="00216E0D">
        <w:tab/>
        <w:t>Power flux</w:t>
      </w:r>
      <w:r>
        <w:t>-</w:t>
      </w:r>
      <w:r w:rsidRPr="00216E0D">
        <w:t>density</w:t>
      </w:r>
    </w:p>
    <w:p w14:paraId="5BD40EBE" w14:textId="77777777" w:rsidR="00302806" w:rsidRPr="00F11070" w:rsidRDefault="00302806" w:rsidP="00302806">
      <w:pPr>
        <w:tabs>
          <w:tab w:val="clear" w:pos="794"/>
        </w:tabs>
      </w:pPr>
      <w:r w:rsidRPr="00F11070">
        <w:t>SDL</w:t>
      </w:r>
      <w:r w:rsidRPr="00F11070">
        <w:tab/>
        <w:t>Supplemental downlink</w:t>
      </w:r>
    </w:p>
    <w:p w14:paraId="71466D6E" w14:textId="77777777" w:rsidR="00302806" w:rsidRPr="00F11070" w:rsidRDefault="00302806" w:rsidP="00302806">
      <w:pPr>
        <w:tabs>
          <w:tab w:val="clear" w:pos="794"/>
        </w:tabs>
      </w:pPr>
      <w:r w:rsidRPr="00F11070">
        <w:t>TDD</w:t>
      </w:r>
      <w:r w:rsidRPr="00F11070">
        <w:tab/>
        <w:t>Time division duplex</w:t>
      </w:r>
    </w:p>
    <w:p w14:paraId="35E11012" w14:textId="77777777" w:rsidR="00302806" w:rsidRPr="00216E0D" w:rsidRDefault="00302806" w:rsidP="00302806">
      <w:pPr>
        <w:tabs>
          <w:tab w:val="clear" w:pos="794"/>
        </w:tabs>
      </w:pPr>
      <w:r w:rsidRPr="00F11070">
        <w:t>UE</w:t>
      </w:r>
      <w:r w:rsidRPr="00F11070">
        <w:tab/>
        <w:t>User equipment</w:t>
      </w:r>
    </w:p>
    <w:p w14:paraId="742C563C" w14:textId="77777777" w:rsidR="005720AD" w:rsidRPr="00302806" w:rsidRDefault="005720AD" w:rsidP="00302806">
      <w:pPr>
        <w:pStyle w:val="Headingb"/>
      </w:pPr>
      <w:r w:rsidRPr="00216E0D">
        <w:rPr>
          <w:lang w:eastAsia="zh-CN"/>
        </w:rPr>
        <w:t>Related ITU-R Recommendations/Reports</w:t>
      </w:r>
    </w:p>
    <w:p w14:paraId="63F53FD2" w14:textId="77777777" w:rsidR="005720AD" w:rsidRPr="00302806" w:rsidRDefault="005720AD" w:rsidP="00302806">
      <w:pPr>
        <w:pStyle w:val="Reftext"/>
      </w:pPr>
      <w:r w:rsidRPr="00302806">
        <w:t xml:space="preserve">Recommendation </w:t>
      </w:r>
      <w:hyperlink r:id="rId13" w:history="1">
        <w:r w:rsidRPr="00302806">
          <w:rPr>
            <w:rStyle w:val="Hyperlink"/>
            <w:color w:val="auto"/>
            <w:u w:val="none"/>
          </w:rPr>
          <w:t>ITU-R M.1036</w:t>
        </w:r>
      </w:hyperlink>
      <w:r w:rsidRPr="00302806">
        <w:t xml:space="preserve"> – Frequency arrangements for implementation of the terrestrial component of International Mobile Telecommunications in the bands identified for IMT in the Radio Regulations</w:t>
      </w:r>
    </w:p>
    <w:p w14:paraId="529E373A" w14:textId="77777777" w:rsidR="005720AD" w:rsidRPr="00824C7C" w:rsidRDefault="005720AD" w:rsidP="00302806">
      <w:pPr>
        <w:pStyle w:val="Reftext"/>
      </w:pPr>
      <w:r w:rsidRPr="00302806">
        <w:lastRenderedPageBreak/>
        <w:t xml:space="preserve">Report </w:t>
      </w:r>
      <w:hyperlink r:id="rId14" w:history="1">
        <w:r w:rsidRPr="00302806">
          <w:rPr>
            <w:rStyle w:val="Hyperlink"/>
            <w:color w:val="auto"/>
            <w:u w:val="none"/>
          </w:rPr>
          <w:t>ITU-R M.2529</w:t>
        </w:r>
      </w:hyperlink>
      <w:r w:rsidRPr="00302806">
        <w:t xml:space="preserve"> – Adjacent band compatibility studies of IMT systems in the mobile service </w:t>
      </w:r>
      <w:r w:rsidRPr="00824C7C">
        <w:t>in the band 1 492-1 518 MHz with respect to systems in the mobile-satellite service in the frequency band 1 518</w:t>
      </w:r>
      <w:r w:rsidRPr="00824C7C">
        <w:noBreakHyphen/>
        <w:t>1 525 MHz</w:t>
      </w:r>
    </w:p>
    <w:p w14:paraId="1AB9810B" w14:textId="77777777" w:rsidR="005720AD" w:rsidRPr="00216E0D" w:rsidRDefault="005720AD" w:rsidP="005720AD">
      <w:pPr>
        <w:pStyle w:val="Normalaftertitle"/>
      </w:pPr>
      <w:r w:rsidRPr="00216E0D">
        <w:t>The ITU Radiocommunication Assembly,</w:t>
      </w:r>
    </w:p>
    <w:p w14:paraId="599835B9" w14:textId="77777777" w:rsidR="005720AD" w:rsidRPr="00216E0D" w:rsidRDefault="005720AD" w:rsidP="005720AD">
      <w:pPr>
        <w:pStyle w:val="Call"/>
      </w:pPr>
      <w:r w:rsidRPr="00216E0D">
        <w:t>considering</w:t>
      </w:r>
    </w:p>
    <w:p w14:paraId="3F51D2EC" w14:textId="77777777" w:rsidR="005720AD" w:rsidRPr="00216E0D" w:rsidRDefault="005720AD" w:rsidP="005720AD">
      <w:pPr>
        <w:rPr>
          <w:i/>
          <w:spacing w:val="-2"/>
          <w:lang w:eastAsia="zh-CN"/>
        </w:rPr>
      </w:pPr>
      <w:r w:rsidRPr="00216E0D">
        <w:rPr>
          <w:i/>
          <w:iCs/>
          <w:spacing w:val="-2"/>
          <w:lang w:eastAsia="zh-CN"/>
        </w:rPr>
        <w:t>a)</w:t>
      </w:r>
      <w:r w:rsidRPr="00216E0D">
        <w:rPr>
          <w:i/>
          <w:iCs/>
          <w:spacing w:val="-2"/>
          <w:lang w:eastAsia="zh-CN"/>
        </w:rPr>
        <w:tab/>
      </w:r>
      <w:r w:rsidRPr="00216E0D">
        <w:rPr>
          <w:spacing w:val="-2"/>
          <w:lang w:eastAsia="zh-CN"/>
        </w:rPr>
        <w:t>that the frequency band 1 492-1 525 MHz is allocated to the mobile service in Regions 2 and 3 and to the mobile, except aeronautical mobile, service in Region 1 on a primary basis</w:t>
      </w:r>
      <w:r w:rsidRPr="00216E0D">
        <w:rPr>
          <w:iCs/>
          <w:spacing w:val="-2"/>
          <w:lang w:eastAsia="zh-CN"/>
        </w:rPr>
        <w:t>;</w:t>
      </w:r>
    </w:p>
    <w:p w14:paraId="411583F9" w14:textId="77777777" w:rsidR="005720AD" w:rsidRPr="00216E0D" w:rsidRDefault="005720AD" w:rsidP="005720AD">
      <w:r w:rsidRPr="00216E0D">
        <w:rPr>
          <w:i/>
        </w:rPr>
        <w:t>b)</w:t>
      </w:r>
      <w:r w:rsidRPr="00216E0D">
        <w:tab/>
        <w:t>that WRC-15 identified the frequency band 1 427-1 518 MHz globally for use by administrations wishing to implement terrestrial IMT systems;</w:t>
      </w:r>
    </w:p>
    <w:p w14:paraId="7174B1EF" w14:textId="77777777" w:rsidR="005720AD" w:rsidRPr="00216E0D" w:rsidRDefault="005720AD" w:rsidP="005720AD">
      <w:pPr>
        <w:rPr>
          <w:lang w:eastAsia="zh-CN"/>
        </w:rPr>
      </w:pPr>
      <w:r w:rsidRPr="00216E0D">
        <w:rPr>
          <w:i/>
          <w:iCs/>
          <w:lang w:eastAsia="zh-CN"/>
        </w:rPr>
        <w:t>c)</w:t>
      </w:r>
      <w:r w:rsidRPr="00216E0D">
        <w:rPr>
          <w:i/>
          <w:iCs/>
          <w:lang w:eastAsia="zh-CN"/>
        </w:rPr>
        <w:tab/>
      </w:r>
      <w:r w:rsidRPr="00216E0D">
        <w:rPr>
          <w:lang w:eastAsia="zh-CN"/>
        </w:rPr>
        <w:t>that the frequency band 1 518-1 559 MHz is allocated in all three Regions to the mobile-satellite service (MSS) on a primary basis;</w:t>
      </w:r>
    </w:p>
    <w:p w14:paraId="24DB0CCC" w14:textId="77777777" w:rsidR="005720AD" w:rsidRPr="00216E0D" w:rsidRDefault="005720AD" w:rsidP="005720AD">
      <w:pPr>
        <w:rPr>
          <w:lang w:eastAsia="zh-CN"/>
        </w:rPr>
      </w:pPr>
      <w:r w:rsidRPr="00216E0D">
        <w:rPr>
          <w:i/>
          <w:iCs/>
          <w:lang w:eastAsia="zh-CN"/>
        </w:rPr>
        <w:t>d)</w:t>
      </w:r>
      <w:r w:rsidRPr="00216E0D">
        <w:rPr>
          <w:i/>
          <w:iCs/>
          <w:lang w:eastAsia="zh-CN"/>
        </w:rPr>
        <w:tab/>
      </w:r>
      <w:r w:rsidRPr="00216E0D">
        <w:rPr>
          <w:lang w:eastAsia="zh-CN"/>
        </w:rPr>
        <w:t>that the frequency band 1 518-1 559 MHz may be used for land MSS, maritime MSS and aeronautical MSS applications;</w:t>
      </w:r>
    </w:p>
    <w:p w14:paraId="0286A20A" w14:textId="77777777" w:rsidR="005720AD" w:rsidRPr="00216E0D" w:rsidRDefault="005720AD" w:rsidP="005720AD">
      <w:pPr>
        <w:rPr>
          <w:lang w:eastAsia="zh-CN"/>
        </w:rPr>
      </w:pPr>
      <w:r w:rsidRPr="00216E0D">
        <w:rPr>
          <w:i/>
          <w:iCs/>
          <w:lang w:eastAsia="zh-CN"/>
        </w:rPr>
        <w:t>e)</w:t>
      </w:r>
      <w:r w:rsidRPr="00216E0D">
        <w:rPr>
          <w:lang w:eastAsia="zh-CN"/>
        </w:rPr>
        <w:tab/>
        <w:t xml:space="preserve">that there is a need to ensure the continued operations of the MSS in the frequency band 1 518-1 525 MHz, in accordance with </w:t>
      </w:r>
      <w:r w:rsidRPr="00216E0D">
        <w:rPr>
          <w:szCs w:val="24"/>
        </w:rPr>
        <w:t xml:space="preserve">Resolution </w:t>
      </w:r>
      <w:r w:rsidRPr="00216E0D">
        <w:rPr>
          <w:b/>
          <w:bCs/>
          <w:szCs w:val="24"/>
        </w:rPr>
        <w:t>223 (Rev.WRC-19)</w:t>
      </w:r>
      <w:r w:rsidRPr="00216E0D">
        <w:rPr>
          <w:lang w:eastAsia="zh-CN"/>
        </w:rPr>
        <w:t>;</w:t>
      </w:r>
    </w:p>
    <w:p w14:paraId="02030864" w14:textId="77777777" w:rsidR="005720AD" w:rsidRPr="00216E0D" w:rsidRDefault="005720AD" w:rsidP="005720AD">
      <w:pPr>
        <w:rPr>
          <w:lang w:eastAsia="zh-CN"/>
        </w:rPr>
      </w:pPr>
      <w:r w:rsidRPr="00216E0D">
        <w:rPr>
          <w:i/>
          <w:iCs/>
          <w:lang w:eastAsia="zh-CN"/>
        </w:rPr>
        <w:t>f)</w:t>
      </w:r>
      <w:r w:rsidRPr="00216E0D">
        <w:rPr>
          <w:lang w:eastAsia="zh-CN"/>
        </w:rPr>
        <w:tab/>
        <w:t xml:space="preserve">that there may be a need to ensure compatibility between terrestrial IMT systems and </w:t>
      </w:r>
      <w:r w:rsidRPr="00F11070">
        <w:rPr>
          <w:lang w:eastAsia="zh-CN"/>
        </w:rPr>
        <w:t>MESs at ports and airports, and land MESs. This is particularly the case for some legacy MESs</w:t>
      </w:r>
      <w:r w:rsidRPr="00216E0D">
        <w:rPr>
          <w:lang w:eastAsia="zh-CN"/>
        </w:rPr>
        <w:t xml:space="preserve"> without adequate blocking protection;</w:t>
      </w:r>
    </w:p>
    <w:p w14:paraId="4965A4FE" w14:textId="475E33F0" w:rsidR="005720AD" w:rsidRPr="00216E0D" w:rsidRDefault="005720AD" w:rsidP="005720AD">
      <w:pPr>
        <w:rPr>
          <w:lang w:eastAsia="zh-CN"/>
        </w:rPr>
      </w:pPr>
      <w:r w:rsidRPr="00216E0D">
        <w:rPr>
          <w:i/>
        </w:rPr>
        <w:t>g)</w:t>
      </w:r>
      <w:r w:rsidRPr="00216E0D">
        <w:rPr>
          <w:i/>
        </w:rPr>
        <w:tab/>
      </w:r>
      <w:r w:rsidRPr="00216E0D">
        <w:rPr>
          <w:lang w:eastAsia="zh-CN"/>
        </w:rPr>
        <w:t xml:space="preserve">that new </w:t>
      </w:r>
      <w:r w:rsidRPr="00216E0D">
        <w:rPr>
          <w:szCs w:val="24"/>
        </w:rPr>
        <w:t xml:space="preserve">mobile </w:t>
      </w:r>
      <w:r w:rsidR="00302806">
        <w:rPr>
          <w:szCs w:val="24"/>
        </w:rPr>
        <w:t>e</w:t>
      </w:r>
      <w:r w:rsidRPr="00216E0D">
        <w:rPr>
          <w:szCs w:val="24"/>
        </w:rPr>
        <w:t>arth station</w:t>
      </w:r>
      <w:r>
        <w:rPr>
          <w:szCs w:val="24"/>
        </w:rPr>
        <w:t>s</w:t>
      </w:r>
      <w:r w:rsidRPr="00216E0D">
        <w:rPr>
          <w:lang w:eastAsia="zh-CN"/>
        </w:rPr>
        <w:t xml:space="preserve"> </w:t>
      </w:r>
      <w:r>
        <w:rPr>
          <w:lang w:eastAsia="zh-CN"/>
        </w:rPr>
        <w:t>(</w:t>
      </w:r>
      <w:r w:rsidRPr="00216E0D">
        <w:rPr>
          <w:lang w:eastAsia="zh-CN"/>
        </w:rPr>
        <w:t>MES</w:t>
      </w:r>
      <w:r>
        <w:rPr>
          <w:lang w:eastAsia="zh-CN"/>
        </w:rPr>
        <w:t>)</w:t>
      </w:r>
      <w:r w:rsidRPr="00216E0D">
        <w:rPr>
          <w:lang w:eastAsia="zh-CN"/>
        </w:rPr>
        <w:t xml:space="preserve"> are being developed, providing better protection against blocking interference from the adjacent band,</w:t>
      </w:r>
    </w:p>
    <w:p w14:paraId="5B778BBE" w14:textId="77777777" w:rsidR="005720AD" w:rsidRPr="00216E0D" w:rsidRDefault="005720AD" w:rsidP="005720AD">
      <w:pPr>
        <w:pStyle w:val="Call"/>
      </w:pPr>
      <w:r w:rsidRPr="00216E0D">
        <w:t>recognizing</w:t>
      </w:r>
    </w:p>
    <w:p w14:paraId="1438EAAB" w14:textId="77777777" w:rsidR="005720AD" w:rsidRPr="00216E0D" w:rsidRDefault="005720AD" w:rsidP="005720AD">
      <w:pPr>
        <w:rPr>
          <w:szCs w:val="24"/>
        </w:rPr>
      </w:pPr>
      <w:r w:rsidRPr="00216E0D">
        <w:rPr>
          <w:i/>
          <w:iCs/>
          <w:szCs w:val="24"/>
        </w:rPr>
        <w:t>a)</w:t>
      </w:r>
      <w:r w:rsidRPr="00216E0D">
        <w:rPr>
          <w:szCs w:val="24"/>
        </w:rPr>
        <w:tab/>
        <w:t xml:space="preserve">that Resolution </w:t>
      </w:r>
      <w:r w:rsidRPr="00216E0D">
        <w:rPr>
          <w:b/>
          <w:bCs/>
          <w:szCs w:val="24"/>
        </w:rPr>
        <w:t>223 (Rev.WRC-19)</w:t>
      </w:r>
      <w:r w:rsidRPr="00216E0D">
        <w:rPr>
          <w:szCs w:val="24"/>
        </w:rPr>
        <w:t xml:space="preserve"> invites the ITU-R to conduct compatibility studies in order to provide technical measures to ensure coexistence between MSS in the frequency band 1 518</w:t>
      </w:r>
      <w:r w:rsidRPr="00216E0D">
        <w:rPr>
          <w:szCs w:val="24"/>
        </w:rPr>
        <w:noBreakHyphen/>
        <w:t>1 525 MHz and IMT in the frequency band 1 492-1 518 MHz</w:t>
      </w:r>
      <w:r w:rsidRPr="00216E0D">
        <w:t>, including guidance on the implementation of frequency arrangements for IMT deployment in the frequency band 1 427</w:t>
      </w:r>
      <w:r w:rsidRPr="00216E0D">
        <w:noBreakHyphen/>
        <w:t>1 518 MHz, taking into account the results of these studies</w:t>
      </w:r>
      <w:r w:rsidRPr="00216E0D">
        <w:rPr>
          <w:szCs w:val="24"/>
        </w:rPr>
        <w:t>;</w:t>
      </w:r>
    </w:p>
    <w:p w14:paraId="668F5226" w14:textId="77777777" w:rsidR="005720AD" w:rsidRPr="00302806" w:rsidRDefault="005720AD" w:rsidP="005720AD">
      <w:pPr>
        <w:rPr>
          <w:lang w:eastAsia="zh-CN"/>
        </w:rPr>
      </w:pPr>
      <w:r w:rsidRPr="00302806">
        <w:rPr>
          <w:i/>
          <w:lang w:eastAsia="zh-CN"/>
        </w:rPr>
        <w:t>b)</w:t>
      </w:r>
      <w:r w:rsidRPr="00302806">
        <w:rPr>
          <w:i/>
          <w:lang w:eastAsia="zh-CN"/>
        </w:rPr>
        <w:tab/>
      </w:r>
      <w:r w:rsidRPr="00302806">
        <w:rPr>
          <w:lang w:eastAsia="zh-CN"/>
        </w:rPr>
        <w:t xml:space="preserve">that Report </w:t>
      </w:r>
      <w:hyperlink r:id="rId15" w:history="1">
        <w:r w:rsidRPr="00302806">
          <w:rPr>
            <w:rStyle w:val="Hyperlink"/>
            <w:color w:val="auto"/>
            <w:u w:val="none"/>
          </w:rPr>
          <w:t>ITU-R M.2529</w:t>
        </w:r>
      </w:hyperlink>
      <w:r w:rsidRPr="00302806">
        <w:rPr>
          <w:lang w:eastAsia="zh-CN"/>
        </w:rPr>
        <w:t xml:space="preserve"> contains the technical measures to ensure coexistence between MSS in the frequency band 1 518-1 525 MHz and IMT in the frequency band 1 492-1 518 MHz;</w:t>
      </w:r>
    </w:p>
    <w:p w14:paraId="234F6634" w14:textId="77777777" w:rsidR="005720AD" w:rsidRPr="00302806" w:rsidRDefault="005720AD" w:rsidP="005720AD">
      <w:pPr>
        <w:rPr>
          <w:lang w:eastAsia="zh-CN"/>
        </w:rPr>
      </w:pPr>
      <w:r w:rsidRPr="00302806">
        <w:rPr>
          <w:i/>
          <w:lang w:eastAsia="zh-CN"/>
        </w:rPr>
        <w:t>c)</w:t>
      </w:r>
      <w:r w:rsidRPr="00302806">
        <w:rPr>
          <w:i/>
          <w:lang w:eastAsia="zh-CN"/>
        </w:rPr>
        <w:tab/>
      </w:r>
      <w:r w:rsidRPr="00302806">
        <w:rPr>
          <w:szCs w:val="24"/>
        </w:rPr>
        <w:t>that guidance on frequency arrangements for the implementation of terrestrial IMT is contained in</w:t>
      </w:r>
      <w:r w:rsidRPr="00302806">
        <w:rPr>
          <w:lang w:eastAsia="zh-CN"/>
        </w:rPr>
        <w:t xml:space="preserve"> Recommendation </w:t>
      </w:r>
      <w:hyperlink r:id="rId16" w:history="1">
        <w:r w:rsidRPr="00302806">
          <w:rPr>
            <w:rStyle w:val="Hyperlink"/>
            <w:color w:val="auto"/>
            <w:u w:val="none"/>
          </w:rPr>
          <w:t>ITU-R M.1036</w:t>
        </w:r>
      </w:hyperlink>
      <w:r w:rsidRPr="00302806">
        <w:rPr>
          <w:lang w:eastAsia="zh-CN"/>
        </w:rPr>
        <w:t>-6,</w:t>
      </w:r>
    </w:p>
    <w:p w14:paraId="3810B008" w14:textId="77777777" w:rsidR="005720AD" w:rsidRPr="00216E0D" w:rsidRDefault="005720AD" w:rsidP="005720AD">
      <w:pPr>
        <w:pStyle w:val="Call"/>
        <w:rPr>
          <w:lang w:eastAsia="zh-CN"/>
        </w:rPr>
      </w:pPr>
      <w:r w:rsidRPr="00216E0D">
        <w:rPr>
          <w:lang w:eastAsia="zh-CN"/>
        </w:rPr>
        <w:t>noting</w:t>
      </w:r>
      <w:r>
        <w:rPr>
          <w:lang w:eastAsia="zh-CN"/>
        </w:rPr>
        <w:t xml:space="preserve"> </w:t>
      </w:r>
    </w:p>
    <w:p w14:paraId="733E0642" w14:textId="77777777" w:rsidR="005720AD" w:rsidRPr="00216E0D" w:rsidRDefault="005720AD" w:rsidP="005720AD">
      <w:pPr>
        <w:rPr>
          <w:iCs/>
          <w:lang w:eastAsia="zh-CN"/>
        </w:rPr>
      </w:pPr>
      <w:r w:rsidRPr="00F11070">
        <w:rPr>
          <w:lang w:eastAsia="zh-CN"/>
        </w:rPr>
        <w:t>that,</w:t>
      </w:r>
      <w:r w:rsidRPr="00F11070">
        <w:rPr>
          <w:i/>
          <w:lang w:eastAsia="zh-CN"/>
        </w:rPr>
        <w:t xml:space="preserve"> </w:t>
      </w:r>
      <w:r w:rsidRPr="00F11070">
        <w:rPr>
          <w:szCs w:val="24"/>
        </w:rPr>
        <w:t>whilst the recommendations for IMT and MES equipment may provide a certain level of compatibility</w:t>
      </w:r>
      <w:r>
        <w:rPr>
          <w:szCs w:val="24"/>
        </w:rPr>
        <w:t>,</w:t>
      </w:r>
      <w:r w:rsidRPr="00F11070">
        <w:rPr>
          <w:szCs w:val="24"/>
        </w:rPr>
        <w:t xml:space="preserve"> there may be areas within a country where additional measures may be applied to facilitate compatibility,</w:t>
      </w:r>
    </w:p>
    <w:p w14:paraId="2D830CA3" w14:textId="77777777" w:rsidR="005720AD" w:rsidRPr="00216E0D" w:rsidRDefault="005720AD" w:rsidP="005720AD">
      <w:pPr>
        <w:pStyle w:val="Call"/>
      </w:pPr>
      <w:r w:rsidRPr="00216E0D">
        <w:t>recommends</w:t>
      </w:r>
      <w:r>
        <w:t xml:space="preserve"> </w:t>
      </w:r>
    </w:p>
    <w:p w14:paraId="17888A08" w14:textId="77777777" w:rsidR="005720AD" w:rsidRPr="008F22A7" w:rsidRDefault="005720AD" w:rsidP="005720AD">
      <w:pPr>
        <w:rPr>
          <w:iCs/>
          <w:lang w:eastAsia="zh-CN"/>
        </w:rPr>
      </w:pPr>
      <w:r w:rsidRPr="009729E5">
        <w:rPr>
          <w:iCs/>
          <w:lang w:eastAsia="zh-CN"/>
        </w:rPr>
        <w:t>1</w:t>
      </w:r>
      <w:r w:rsidRPr="008F22A7">
        <w:rPr>
          <w:iCs/>
          <w:lang w:eastAsia="zh-CN"/>
        </w:rPr>
        <w:tab/>
        <w:t>that administrations should consider the emission levels from IMT equipment operating in the band 1 492-1 518 MHz as provided in Annex 1;</w:t>
      </w:r>
    </w:p>
    <w:p w14:paraId="6C240CF3" w14:textId="77777777" w:rsidR="005720AD" w:rsidRPr="008F22A7" w:rsidRDefault="005720AD" w:rsidP="005720AD">
      <w:r w:rsidRPr="009729E5">
        <w:t>2</w:t>
      </w:r>
      <w:r w:rsidRPr="008F22A7">
        <w:tab/>
        <w:t>that, administrations should consider the MES blocking levels as provided in Annex 2;</w:t>
      </w:r>
    </w:p>
    <w:p w14:paraId="3E11C163" w14:textId="77777777" w:rsidR="005720AD" w:rsidRPr="008F22A7" w:rsidRDefault="005720AD" w:rsidP="005720AD">
      <w:pPr>
        <w:rPr>
          <w:iCs/>
          <w:lang w:eastAsia="zh-CN"/>
        </w:rPr>
      </w:pPr>
      <w:r w:rsidRPr="009729E5">
        <w:t>3</w:t>
      </w:r>
      <w:r w:rsidRPr="008F22A7">
        <w:tab/>
        <w:t>that administrations should consider further regulatory measures for IMT BSs, to provide for compatibility with ship earth stations and aircraft earth stations in selected areas, as described in Annex 3;</w:t>
      </w:r>
    </w:p>
    <w:p w14:paraId="4A34B739" w14:textId="77777777" w:rsidR="005720AD" w:rsidRPr="00216E0D" w:rsidRDefault="005720AD" w:rsidP="005720AD">
      <w:r w:rsidRPr="009729E5">
        <w:lastRenderedPageBreak/>
        <w:t>4</w:t>
      </w:r>
      <w:r w:rsidRPr="008F22A7">
        <w:tab/>
        <w:t>that where this Recommendation is used for compatibility with land MESs, administrations should consider further regulatory measures to IMT, as described in Annex 4.</w:t>
      </w:r>
    </w:p>
    <w:p w14:paraId="6365F1C0" w14:textId="77777777" w:rsidR="005720AD" w:rsidRDefault="005720AD" w:rsidP="005720AD">
      <w:pPr>
        <w:rPr>
          <w:sz w:val="21"/>
          <w:lang w:eastAsia="ja-JP"/>
        </w:rPr>
      </w:pPr>
    </w:p>
    <w:p w14:paraId="146CD0FB" w14:textId="77777777" w:rsidR="005A3993" w:rsidRDefault="005A3993" w:rsidP="005720AD">
      <w:pPr>
        <w:rPr>
          <w:sz w:val="21"/>
          <w:lang w:eastAsia="ja-JP"/>
        </w:rPr>
      </w:pPr>
    </w:p>
    <w:p w14:paraId="4925F13A" w14:textId="77777777" w:rsidR="005720AD" w:rsidRPr="00216E0D" w:rsidRDefault="005720AD" w:rsidP="005720AD">
      <w:pPr>
        <w:pStyle w:val="AnnexNoTitle"/>
        <w:rPr>
          <w:lang w:eastAsia="zh-CN"/>
        </w:rPr>
      </w:pPr>
      <w:r w:rsidRPr="008F22A7">
        <w:t>Annex</w:t>
      </w:r>
      <w:r w:rsidRPr="008F22A7">
        <w:rPr>
          <w:lang w:eastAsia="zh-CN"/>
        </w:rPr>
        <w:t xml:space="preserve"> 1</w:t>
      </w:r>
      <w:r>
        <w:rPr>
          <w:lang w:eastAsia="zh-CN"/>
        </w:rPr>
        <w:br/>
      </w:r>
      <w:r>
        <w:rPr>
          <w:lang w:eastAsia="zh-CN"/>
        </w:rPr>
        <w:br/>
      </w:r>
      <w:r w:rsidRPr="00F11070">
        <w:rPr>
          <w:lang w:eastAsia="zh-CN"/>
        </w:rPr>
        <w:t>Emission levels from IMT equipment operating in the band 1 492-1 518 MHz</w:t>
      </w:r>
    </w:p>
    <w:p w14:paraId="4FA41A9B" w14:textId="502C489F" w:rsidR="005720AD" w:rsidRPr="00216E0D" w:rsidRDefault="005720AD" w:rsidP="00302806">
      <w:pPr>
        <w:pStyle w:val="Normalaftertitle"/>
      </w:pPr>
      <w:r w:rsidRPr="00216E0D">
        <w:rPr>
          <w:lang w:eastAsia="zh-CN"/>
        </w:rPr>
        <w:t xml:space="preserve">This </w:t>
      </w:r>
      <w:r>
        <w:rPr>
          <w:lang w:eastAsia="zh-CN"/>
        </w:rPr>
        <w:t>A</w:t>
      </w:r>
      <w:r w:rsidRPr="00216E0D">
        <w:rPr>
          <w:lang w:eastAsia="zh-CN"/>
        </w:rPr>
        <w:t xml:space="preserve">nnex provides the technical requirements for the unwanted emissions from IMT equipment. </w:t>
      </w:r>
      <w:r w:rsidRPr="00216E0D">
        <w:t>Unwanted emissions from IMT base stations and user equipment operating in the band 1 492</w:t>
      </w:r>
      <w:r w:rsidR="00302806">
        <w:noBreakHyphen/>
      </w:r>
      <w:r w:rsidRPr="00216E0D">
        <w:t>1 518 MHz could cause interference to MSS operations above 1 518 </w:t>
      </w:r>
      <w:proofErr w:type="spellStart"/>
      <w:r w:rsidRPr="00216E0D">
        <w:t>MHz.</w:t>
      </w:r>
      <w:proofErr w:type="spellEnd"/>
      <w:r w:rsidRPr="00216E0D">
        <w:t xml:space="preserve"> Administrations should consider application of the unwanted emission limits for IMT base stations and user equipment from the options provided in this Annex. </w:t>
      </w:r>
    </w:p>
    <w:p w14:paraId="659D92A9" w14:textId="77777777" w:rsidR="005720AD" w:rsidRPr="00216E0D" w:rsidRDefault="005720AD" w:rsidP="005720AD">
      <w:r w:rsidRPr="00216E0D">
        <w:t xml:space="preserve">The following Tables contain different options based on the different results of the studies in Report </w:t>
      </w:r>
      <w:hyperlink r:id="rId17" w:history="1">
        <w:r w:rsidRPr="00302806">
          <w:rPr>
            <w:rStyle w:val="Hyperlink"/>
            <w:color w:val="auto"/>
            <w:u w:val="none"/>
          </w:rPr>
          <w:t>ITU-R M.2529</w:t>
        </w:r>
      </w:hyperlink>
      <w:r w:rsidRPr="00302806">
        <w:t xml:space="preserve">. It should be noted that the requirements expressed in the different options below are </w:t>
      </w:r>
      <w:r w:rsidRPr="00216E0D">
        <w:t xml:space="preserve">based on results of compatibility studies related to interference from unwanted emissions. Potential interference due to MES receiver blocking is addressed separately, however the unwanted emissions for IMT base stations will be affected by the required reduction of the IMT in-band signal to meet the </w:t>
      </w:r>
      <w:proofErr w:type="spellStart"/>
      <w:r w:rsidRPr="00216E0D">
        <w:t>pfd</w:t>
      </w:r>
      <w:proofErr w:type="spellEnd"/>
      <w:r w:rsidRPr="00216E0D">
        <w:t xml:space="preserve"> level related to blocking requirements.</w:t>
      </w:r>
    </w:p>
    <w:p w14:paraId="69103BE0" w14:textId="77777777" w:rsidR="005720AD" w:rsidRPr="00216E0D" w:rsidRDefault="005720AD" w:rsidP="005720AD">
      <w:r w:rsidRPr="00216E0D">
        <w:t>Options for IMT base stations are defined in Table 1. In this Table, those options employing the lower unwanted emission limits for IMT base stations would lower the risk of harmful interference to MSS operations in the frequency band above 1 518 </w:t>
      </w:r>
      <w:proofErr w:type="spellStart"/>
      <w:r w:rsidRPr="00216E0D">
        <w:t>MHz.</w:t>
      </w:r>
      <w:proofErr w:type="spellEnd"/>
      <w:r w:rsidRPr="00216E0D">
        <w:t xml:space="preserve"> However, in order for IMT base stations to meet the unwanted emission limits in this table, technical or operational measures (e.g. filtering, reduction of in-band power or guard band) are required, in particular for those base stations using channels above 1 502 MHz or 1 507 MHz depending on the individual </w:t>
      </w:r>
      <w:proofErr w:type="gramStart"/>
      <w:r w:rsidRPr="00216E0D">
        <w:t>manufacturers</w:t>
      </w:r>
      <w:proofErr w:type="gramEnd"/>
      <w:r>
        <w:t xml:space="preserve"> </w:t>
      </w:r>
      <w:r w:rsidRPr="00216E0D">
        <w:t xml:space="preserve">equipment characteristics. </w:t>
      </w:r>
    </w:p>
    <w:p w14:paraId="2ED60274" w14:textId="682838A2" w:rsidR="005720AD" w:rsidRPr="00216E0D" w:rsidRDefault="005A3993" w:rsidP="005720AD">
      <w:pPr>
        <w:pStyle w:val="TableNo"/>
        <w:rPr>
          <w:rFonts w:eastAsia="Calibri"/>
        </w:rPr>
      </w:pPr>
      <w:r w:rsidRPr="00216E0D">
        <w:rPr>
          <w:rFonts w:eastAsia="Calibri"/>
        </w:rPr>
        <w:t xml:space="preserve">TABLE </w:t>
      </w:r>
      <w:r w:rsidR="005720AD" w:rsidRPr="00216E0D">
        <w:rPr>
          <w:rFonts w:eastAsia="Calibri"/>
        </w:rPr>
        <w:t>1</w:t>
      </w:r>
    </w:p>
    <w:p w14:paraId="6328DC34" w14:textId="77777777" w:rsidR="005720AD" w:rsidRPr="00216E0D" w:rsidRDefault="005720AD" w:rsidP="005720AD">
      <w:pPr>
        <w:pStyle w:val="Tabletitle"/>
        <w:rPr>
          <w:rFonts w:eastAsia="Calibri"/>
        </w:rPr>
      </w:pPr>
      <w:r w:rsidRPr="00216E0D">
        <w:rPr>
          <w:rFonts w:eastAsia="Calibri"/>
        </w:rPr>
        <w:t>Options for IMT base stations unwanted emission limits</w:t>
      </w:r>
    </w:p>
    <w:tbl>
      <w:tblPr>
        <w:tblStyle w:val="TableGrid"/>
        <w:tblW w:w="9639" w:type="dxa"/>
        <w:jc w:val="center"/>
        <w:tblLook w:val="04A0" w:firstRow="1" w:lastRow="0" w:firstColumn="1" w:lastColumn="0" w:noHBand="0" w:noVBand="1"/>
      </w:tblPr>
      <w:tblGrid>
        <w:gridCol w:w="1511"/>
        <w:gridCol w:w="3031"/>
        <w:gridCol w:w="5097"/>
      </w:tblGrid>
      <w:tr w:rsidR="005720AD" w:rsidRPr="005A3993" w14:paraId="6C7BB6AE" w14:textId="77777777" w:rsidTr="005A3993">
        <w:trPr>
          <w:tblHeader/>
          <w:jc w:val="center"/>
        </w:trPr>
        <w:tc>
          <w:tcPr>
            <w:tcW w:w="784" w:type="pct"/>
            <w:vAlign w:val="center"/>
          </w:tcPr>
          <w:p w14:paraId="31949C58" w14:textId="77777777" w:rsidR="005720AD" w:rsidRPr="005A39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Option</w:t>
            </w:r>
          </w:p>
        </w:tc>
        <w:tc>
          <w:tcPr>
            <w:tcW w:w="1572" w:type="pct"/>
          </w:tcPr>
          <w:p w14:paraId="2D3EB390" w14:textId="77777777" w:rsidR="005720AD" w:rsidRPr="005A39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MSS operations in the band 1 518-1 525 MHz (Y/N)</w:t>
            </w:r>
          </w:p>
        </w:tc>
        <w:tc>
          <w:tcPr>
            <w:tcW w:w="2644" w:type="pct"/>
          </w:tcPr>
          <w:p w14:paraId="597B5BC0" w14:textId="77777777" w:rsidR="005720AD" w:rsidRPr="005A39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Maximum unwanted emissions (</w:t>
            </w:r>
            <w:proofErr w:type="spellStart"/>
            <w:r w:rsidRPr="005A3993">
              <w:rPr>
                <w:rFonts w:ascii="Times New Roman" w:hAnsi="Times New Roman" w:cs="Times New Roman"/>
              </w:rPr>
              <w:t>e.i.r.p</w:t>
            </w:r>
            <w:proofErr w:type="spellEnd"/>
            <w:r w:rsidRPr="005A3993">
              <w:rPr>
                <w:rFonts w:ascii="Times New Roman" w:hAnsi="Times New Roman" w:cs="Times New Roman"/>
              </w:rPr>
              <w:t xml:space="preserve">.) </w:t>
            </w:r>
            <w:r w:rsidRPr="005A3993">
              <w:rPr>
                <w:rFonts w:ascii="Times New Roman" w:hAnsi="Times New Roman" w:cs="Times New Roman"/>
              </w:rPr>
              <w:br/>
              <w:t>(</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is the frequency relative to and above 1 518 MHz)</w:t>
            </w:r>
          </w:p>
        </w:tc>
      </w:tr>
      <w:tr w:rsidR="005720AD" w:rsidRPr="005A3993" w14:paraId="3372552D" w14:textId="77777777" w:rsidTr="005A3993">
        <w:trPr>
          <w:jc w:val="center"/>
        </w:trPr>
        <w:tc>
          <w:tcPr>
            <w:tcW w:w="784" w:type="pct"/>
            <w:vAlign w:val="center"/>
          </w:tcPr>
          <w:p w14:paraId="611C1A8F"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1 </w:t>
            </w:r>
            <w:r w:rsidRPr="005A3993">
              <w:rPr>
                <w:rFonts w:ascii="Times New Roman" w:hAnsi="Times New Roman" w:cs="Times New Roman"/>
                <w:color w:val="000000"/>
                <w:vertAlign w:val="superscript"/>
              </w:rPr>
              <w:t>(1)</w:t>
            </w:r>
          </w:p>
        </w:tc>
        <w:tc>
          <w:tcPr>
            <w:tcW w:w="1572" w:type="pct"/>
            <w:vAlign w:val="center"/>
          </w:tcPr>
          <w:p w14:paraId="0E33C8C7"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73AA3230"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0.8 dBm/MHz (0 MHz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2 MHz),</w:t>
            </w:r>
          </w:p>
          <w:p w14:paraId="6354489B"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30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5F88D6EF" w14:textId="77777777" w:rsidTr="005A3993">
        <w:trPr>
          <w:jc w:val="center"/>
        </w:trPr>
        <w:tc>
          <w:tcPr>
            <w:tcW w:w="784" w:type="pct"/>
            <w:vAlign w:val="center"/>
          </w:tcPr>
          <w:p w14:paraId="443A6448"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2</w:t>
            </w:r>
          </w:p>
        </w:tc>
        <w:tc>
          <w:tcPr>
            <w:tcW w:w="1572" w:type="pct"/>
            <w:vAlign w:val="center"/>
          </w:tcPr>
          <w:p w14:paraId="0F25FC32"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vAlign w:val="center"/>
          </w:tcPr>
          <w:p w14:paraId="3F48BC11"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No additional requirement (0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7 MHz),</w:t>
            </w:r>
          </w:p>
          <w:p w14:paraId="6463B0F7"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30 dBm/MHz (7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11830A05" w14:textId="77777777" w:rsidTr="005A3993">
        <w:trPr>
          <w:jc w:val="center"/>
        </w:trPr>
        <w:tc>
          <w:tcPr>
            <w:tcW w:w="784" w:type="pct"/>
            <w:vAlign w:val="center"/>
          </w:tcPr>
          <w:p w14:paraId="1FAA7B8C"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3</w:t>
            </w:r>
          </w:p>
        </w:tc>
        <w:tc>
          <w:tcPr>
            <w:tcW w:w="1572" w:type="pct"/>
            <w:vAlign w:val="center"/>
          </w:tcPr>
          <w:p w14:paraId="6A5272D6"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780C78CB"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41 dBm/MHz (0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719F102B" w14:textId="77777777" w:rsidTr="005A3993">
        <w:trPr>
          <w:jc w:val="center"/>
        </w:trPr>
        <w:tc>
          <w:tcPr>
            <w:tcW w:w="784" w:type="pct"/>
            <w:vAlign w:val="center"/>
          </w:tcPr>
          <w:p w14:paraId="6B242879"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4</w:t>
            </w:r>
          </w:p>
        </w:tc>
        <w:tc>
          <w:tcPr>
            <w:tcW w:w="1572" w:type="pct"/>
            <w:vAlign w:val="center"/>
          </w:tcPr>
          <w:p w14:paraId="65318ECF"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vAlign w:val="center"/>
          </w:tcPr>
          <w:p w14:paraId="394087EC"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No additional requirement (0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7 MHz),</w:t>
            </w:r>
          </w:p>
          <w:p w14:paraId="7BAB31B6"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41 dBm/MHz (7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06946F40" w14:textId="77777777" w:rsidTr="005A3993">
        <w:trPr>
          <w:jc w:val="center"/>
        </w:trPr>
        <w:tc>
          <w:tcPr>
            <w:tcW w:w="784" w:type="pct"/>
            <w:vAlign w:val="center"/>
          </w:tcPr>
          <w:p w14:paraId="7E3C47F7"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5</w:t>
            </w:r>
          </w:p>
        </w:tc>
        <w:tc>
          <w:tcPr>
            <w:tcW w:w="1572" w:type="pct"/>
            <w:vAlign w:val="center"/>
          </w:tcPr>
          <w:p w14:paraId="69A1C2CB"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7DBACD85"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30 dBm/MHz (0 MHz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2 MHz),</w:t>
            </w:r>
          </w:p>
          <w:p w14:paraId="026B571D"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41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7 MHz),</w:t>
            </w:r>
          </w:p>
          <w:p w14:paraId="6AF9A74F"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52 dBm/MHz (7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bl>
    <w:p w14:paraId="77AB34C4" w14:textId="77777777" w:rsidR="005A3993" w:rsidRDefault="005A3993">
      <w:r>
        <w:br w:type="page"/>
      </w:r>
    </w:p>
    <w:p w14:paraId="15C55DC0" w14:textId="6A3B1ED2" w:rsidR="005A3993" w:rsidRPr="00216E0D" w:rsidRDefault="005A3993" w:rsidP="005A3993">
      <w:pPr>
        <w:pStyle w:val="TableNo"/>
        <w:rPr>
          <w:rFonts w:eastAsia="Calibri"/>
        </w:rPr>
      </w:pPr>
      <w:r w:rsidRPr="00216E0D">
        <w:rPr>
          <w:rFonts w:eastAsia="Calibri"/>
        </w:rPr>
        <w:lastRenderedPageBreak/>
        <w:t>TABLE 1</w:t>
      </w:r>
      <w:r>
        <w:rPr>
          <w:rFonts w:eastAsia="Calibri"/>
        </w:rPr>
        <w:t xml:space="preserve"> (</w:t>
      </w:r>
      <w:r w:rsidRPr="005A3993">
        <w:rPr>
          <w:rFonts w:eastAsia="Calibri"/>
          <w:i/>
          <w:iCs/>
        </w:rPr>
        <w:t>end</w:t>
      </w:r>
      <w:r>
        <w:rPr>
          <w:rFonts w:eastAsia="Calibri"/>
        </w:rPr>
        <w:t>)</w:t>
      </w:r>
    </w:p>
    <w:tbl>
      <w:tblPr>
        <w:tblStyle w:val="TableGrid"/>
        <w:tblW w:w="9639" w:type="dxa"/>
        <w:jc w:val="center"/>
        <w:tblLook w:val="04A0" w:firstRow="1" w:lastRow="0" w:firstColumn="1" w:lastColumn="0" w:noHBand="0" w:noVBand="1"/>
      </w:tblPr>
      <w:tblGrid>
        <w:gridCol w:w="1511"/>
        <w:gridCol w:w="3031"/>
        <w:gridCol w:w="5097"/>
      </w:tblGrid>
      <w:tr w:rsidR="005A3993" w:rsidRPr="005A3993" w14:paraId="713A6586" w14:textId="77777777" w:rsidTr="002A110F">
        <w:trPr>
          <w:tblHeader/>
          <w:jc w:val="center"/>
        </w:trPr>
        <w:tc>
          <w:tcPr>
            <w:tcW w:w="784" w:type="pct"/>
            <w:vAlign w:val="center"/>
          </w:tcPr>
          <w:p w14:paraId="53E0840A" w14:textId="77777777" w:rsidR="005A3993" w:rsidRPr="005A3993" w:rsidRDefault="005A3993"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Option</w:t>
            </w:r>
          </w:p>
        </w:tc>
        <w:tc>
          <w:tcPr>
            <w:tcW w:w="1572" w:type="pct"/>
          </w:tcPr>
          <w:p w14:paraId="67365F87" w14:textId="77777777" w:rsidR="005A3993" w:rsidRPr="005A3993" w:rsidRDefault="005A3993"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MSS operations in the band 1 518-1 525 MHz (Y/N)</w:t>
            </w:r>
          </w:p>
        </w:tc>
        <w:tc>
          <w:tcPr>
            <w:tcW w:w="2644" w:type="pct"/>
          </w:tcPr>
          <w:p w14:paraId="2BFBAD76" w14:textId="77777777" w:rsidR="005A3993" w:rsidRPr="005A3993" w:rsidRDefault="005A3993"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Maximum unwanted emissions (</w:t>
            </w:r>
            <w:proofErr w:type="spellStart"/>
            <w:r w:rsidRPr="005A3993">
              <w:rPr>
                <w:rFonts w:ascii="Times New Roman" w:hAnsi="Times New Roman" w:cs="Times New Roman"/>
              </w:rPr>
              <w:t>e.i.r.p</w:t>
            </w:r>
            <w:proofErr w:type="spellEnd"/>
            <w:r w:rsidRPr="005A3993">
              <w:rPr>
                <w:rFonts w:ascii="Times New Roman" w:hAnsi="Times New Roman" w:cs="Times New Roman"/>
              </w:rPr>
              <w:t xml:space="preserve">.) </w:t>
            </w:r>
            <w:r w:rsidRPr="005A3993">
              <w:rPr>
                <w:rFonts w:ascii="Times New Roman" w:hAnsi="Times New Roman" w:cs="Times New Roman"/>
              </w:rPr>
              <w:br/>
              <w:t>(</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is the frequency relative to and above 1 518 MHz)</w:t>
            </w:r>
          </w:p>
        </w:tc>
      </w:tr>
      <w:tr w:rsidR="005720AD" w:rsidRPr="005A3993" w14:paraId="044BE5D0" w14:textId="77777777" w:rsidTr="005A3993">
        <w:trPr>
          <w:jc w:val="center"/>
        </w:trPr>
        <w:tc>
          <w:tcPr>
            <w:tcW w:w="784" w:type="pct"/>
            <w:tcBorders>
              <w:bottom w:val="single" w:sz="4" w:space="0" w:color="auto"/>
            </w:tcBorders>
            <w:vAlign w:val="center"/>
          </w:tcPr>
          <w:p w14:paraId="077CA3E0" w14:textId="7F7CF40B"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6</w:t>
            </w:r>
          </w:p>
        </w:tc>
        <w:tc>
          <w:tcPr>
            <w:tcW w:w="1572" w:type="pct"/>
            <w:tcBorders>
              <w:bottom w:val="single" w:sz="4" w:space="0" w:color="auto"/>
            </w:tcBorders>
            <w:vAlign w:val="center"/>
          </w:tcPr>
          <w:p w14:paraId="53A76FA3"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tcBorders>
              <w:bottom w:val="single" w:sz="4" w:space="0" w:color="auto"/>
            </w:tcBorders>
            <w:vAlign w:val="center"/>
          </w:tcPr>
          <w:p w14:paraId="5972A0F2"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No additional requirement (0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7 MHz),</w:t>
            </w:r>
          </w:p>
          <w:p w14:paraId="1D9550DD"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52 dBm/MHz (7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3D6D1C13" w14:textId="77777777" w:rsidTr="005A3993">
        <w:trPr>
          <w:jc w:val="center"/>
        </w:trPr>
        <w:tc>
          <w:tcPr>
            <w:tcW w:w="5000" w:type="pct"/>
            <w:gridSpan w:val="3"/>
            <w:tcBorders>
              <w:left w:val="nil"/>
              <w:bottom w:val="nil"/>
              <w:right w:val="nil"/>
            </w:tcBorders>
          </w:tcPr>
          <w:p w14:paraId="6EBC0087" w14:textId="77777777" w:rsidR="005720AD" w:rsidRPr="005A3993" w:rsidRDefault="005720AD" w:rsidP="005A3993">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imes New Roman" w:hAnsi="Times New Roman" w:cs="Times New Roman"/>
                <w:lang w:eastAsia="zh-CN"/>
              </w:rPr>
            </w:pPr>
            <w:r w:rsidRPr="005A3993">
              <w:rPr>
                <w:rFonts w:ascii="Times New Roman" w:hAnsi="Times New Roman" w:cs="Times New Roman"/>
                <w:color w:val="000000"/>
                <w:vertAlign w:val="superscript"/>
              </w:rPr>
              <w:t>(1)</w:t>
            </w:r>
            <w:r w:rsidRPr="005A3993">
              <w:rPr>
                <w:rFonts w:ascii="Times New Roman" w:hAnsi="Times New Roman" w:cs="Times New Roman"/>
                <w:color w:val="000000"/>
              </w:rPr>
              <w:tab/>
            </w:r>
            <w:r w:rsidRPr="005A3993">
              <w:rPr>
                <w:rFonts w:ascii="Times New Roman" w:hAnsi="Times New Roman" w:cs="Times New Roman"/>
              </w:rPr>
              <w:t xml:space="preserve">This option assumes an upper edge of the IMT frequency block at 1 517 MHz with a maximum of 58 dBm/5 MHz in-band </w:t>
            </w:r>
            <w:proofErr w:type="spellStart"/>
            <w:r w:rsidRPr="005A3993">
              <w:rPr>
                <w:rFonts w:ascii="Times New Roman" w:hAnsi="Times New Roman" w:cs="Times New Roman"/>
              </w:rPr>
              <w:t>e.i.r.p</w:t>
            </w:r>
            <w:proofErr w:type="spellEnd"/>
            <w:r w:rsidRPr="005A3993">
              <w:rPr>
                <w:rFonts w:ascii="Times New Roman" w:hAnsi="Times New Roman" w:cs="Times New Roman"/>
              </w:rPr>
              <w:t>. for the band 1 512-1 517 </w:t>
            </w:r>
            <w:proofErr w:type="spellStart"/>
            <w:r w:rsidRPr="005A3993">
              <w:rPr>
                <w:rFonts w:ascii="Times New Roman" w:hAnsi="Times New Roman" w:cs="Times New Roman"/>
              </w:rPr>
              <w:t>MHz.</w:t>
            </w:r>
            <w:proofErr w:type="spellEnd"/>
            <w:r w:rsidRPr="005A3993">
              <w:rPr>
                <w:rFonts w:ascii="Times New Roman" w:hAnsi="Times New Roman" w:cs="Times New Roman"/>
              </w:rPr>
              <w:t xml:space="preserve"> The result of applying the unwanted emission level of </w:t>
            </w:r>
            <w:r w:rsidRPr="005A3993">
              <w:rPr>
                <w:rFonts w:ascii="Times New Roman" w:hAnsi="Times New Roman" w:cs="Times New Roman"/>
                <w:lang w:eastAsia="en-GB"/>
              </w:rPr>
              <w:t>−</w:t>
            </w:r>
            <w:r w:rsidRPr="005A3993">
              <w:rPr>
                <w:rFonts w:ascii="Times New Roman" w:hAnsi="Times New Roman" w:cs="Times New Roman"/>
              </w:rPr>
              <w:t>0.8 dBm/MHz is that in 1 518-1 520 MHz, MSS will not be able to operate in this portion of the band in the same geographical area as IMT.</w:t>
            </w:r>
          </w:p>
        </w:tc>
      </w:tr>
    </w:tbl>
    <w:p w14:paraId="5E9697E8" w14:textId="77777777" w:rsidR="005A3993" w:rsidRDefault="005A3993" w:rsidP="005A3993">
      <w:pPr>
        <w:pStyle w:val="Tablefin"/>
      </w:pPr>
    </w:p>
    <w:p w14:paraId="1DDAE76F" w14:textId="4896DC84" w:rsidR="005720AD" w:rsidRPr="00216E0D" w:rsidRDefault="005720AD" w:rsidP="005720AD">
      <w:r w:rsidRPr="00216E0D">
        <w:t xml:space="preserve">Options for IMT user equipment are defined in Table </w:t>
      </w:r>
      <w:r>
        <w:t>2</w:t>
      </w:r>
      <w:r w:rsidRPr="00216E0D">
        <w:t>.</w:t>
      </w:r>
    </w:p>
    <w:p w14:paraId="71ED61B1" w14:textId="109C6C88" w:rsidR="005720AD" w:rsidRPr="00216E0D" w:rsidRDefault="005A3993" w:rsidP="005720AD">
      <w:pPr>
        <w:pStyle w:val="TableNo"/>
        <w:rPr>
          <w:rFonts w:eastAsia="Calibri"/>
        </w:rPr>
      </w:pPr>
      <w:r w:rsidRPr="00216E0D">
        <w:rPr>
          <w:rFonts w:eastAsia="Calibri"/>
        </w:rPr>
        <w:t xml:space="preserve">TABLE </w:t>
      </w:r>
      <w:r w:rsidR="005720AD" w:rsidRPr="00216E0D">
        <w:rPr>
          <w:rFonts w:eastAsia="Calibri"/>
        </w:rPr>
        <w:t>2</w:t>
      </w:r>
    </w:p>
    <w:p w14:paraId="3AC9B15F" w14:textId="77777777" w:rsidR="005720AD" w:rsidRPr="00216E0D" w:rsidRDefault="005720AD" w:rsidP="005720AD">
      <w:pPr>
        <w:pStyle w:val="Tabletitle"/>
        <w:rPr>
          <w:rFonts w:eastAsia="Calibri"/>
        </w:rPr>
      </w:pPr>
      <w:r w:rsidRPr="00216E0D">
        <w:rPr>
          <w:rFonts w:eastAsia="Calibri"/>
        </w:rPr>
        <w:t>Options for IMT user equipment unwanted emission limits</w:t>
      </w:r>
    </w:p>
    <w:tbl>
      <w:tblPr>
        <w:tblStyle w:val="TableGrid"/>
        <w:tblW w:w="9639" w:type="dxa"/>
        <w:jc w:val="center"/>
        <w:tblLook w:val="04A0" w:firstRow="1" w:lastRow="0" w:firstColumn="1" w:lastColumn="0" w:noHBand="0" w:noVBand="1"/>
      </w:tblPr>
      <w:tblGrid>
        <w:gridCol w:w="1556"/>
        <w:gridCol w:w="1704"/>
        <w:gridCol w:w="6379"/>
      </w:tblGrid>
      <w:tr w:rsidR="005720AD" w:rsidRPr="005A3993" w14:paraId="54968AEB" w14:textId="77777777" w:rsidTr="005A3993">
        <w:trPr>
          <w:jc w:val="center"/>
        </w:trPr>
        <w:tc>
          <w:tcPr>
            <w:tcW w:w="807" w:type="pct"/>
          </w:tcPr>
          <w:p w14:paraId="66A65CE8" w14:textId="77777777" w:rsidR="005720AD" w:rsidRPr="005A39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Option</w:t>
            </w:r>
          </w:p>
        </w:tc>
        <w:tc>
          <w:tcPr>
            <w:tcW w:w="884" w:type="pct"/>
          </w:tcPr>
          <w:p w14:paraId="1747107E" w14:textId="77777777" w:rsidR="005720AD" w:rsidRPr="005A3993" w:rsidDel="00D956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Application</w:t>
            </w:r>
          </w:p>
        </w:tc>
        <w:tc>
          <w:tcPr>
            <w:tcW w:w="3309" w:type="pct"/>
          </w:tcPr>
          <w:p w14:paraId="1C506DF2" w14:textId="77777777" w:rsidR="005720AD" w:rsidRPr="005A3993" w:rsidRDefault="005720AD" w:rsidP="002A110F">
            <w:pPr>
              <w:pStyle w:val="Tablehead"/>
              <w:tabs>
                <w:tab w:val="clear" w:pos="1134"/>
                <w:tab w:val="clear" w:pos="2268"/>
              </w:tabs>
              <w:rPr>
                <w:rFonts w:ascii="Times New Roman" w:hAnsi="Times New Roman" w:cs="Times New Roman"/>
              </w:rPr>
            </w:pPr>
            <w:r w:rsidRPr="005A3993">
              <w:rPr>
                <w:rFonts w:ascii="Times New Roman" w:hAnsi="Times New Roman" w:cs="Times New Roman"/>
              </w:rPr>
              <w:t xml:space="preserve">Maximum unwanted emissions </w:t>
            </w:r>
            <w:r w:rsidRPr="005A3993">
              <w:rPr>
                <w:rFonts w:ascii="Times New Roman" w:hAnsi="Times New Roman" w:cs="Times New Roman"/>
              </w:rPr>
              <w:br/>
              <w:t>(</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is the frequency relative to and greater than 1 518 MHz)</w:t>
            </w:r>
          </w:p>
        </w:tc>
      </w:tr>
      <w:tr w:rsidR="005720AD" w:rsidRPr="005A3993" w14:paraId="7DFB0266" w14:textId="77777777" w:rsidTr="005A3993">
        <w:trPr>
          <w:jc w:val="center"/>
        </w:trPr>
        <w:tc>
          <w:tcPr>
            <w:tcW w:w="807" w:type="pct"/>
            <w:vAlign w:val="center"/>
          </w:tcPr>
          <w:p w14:paraId="2E5C4771"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1 </w:t>
            </w:r>
            <w:r w:rsidRPr="005A3993">
              <w:rPr>
                <w:rFonts w:ascii="Times New Roman" w:hAnsi="Times New Roman" w:cs="Times New Roman"/>
                <w:color w:val="000000"/>
                <w:vertAlign w:val="superscript"/>
              </w:rPr>
              <w:t>(1), (2)</w:t>
            </w:r>
          </w:p>
        </w:tc>
        <w:tc>
          <w:tcPr>
            <w:tcW w:w="884" w:type="pct"/>
            <w:vAlign w:val="center"/>
          </w:tcPr>
          <w:p w14:paraId="252D8D5F"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IMT TDD</w:t>
            </w:r>
          </w:p>
        </w:tc>
        <w:tc>
          <w:tcPr>
            <w:tcW w:w="3309" w:type="pct"/>
            <w:vAlign w:val="center"/>
          </w:tcPr>
          <w:p w14:paraId="5F954EC0"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−70 dBm/MHz (0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751CD5F6" w14:textId="77777777" w:rsidTr="005A3993">
        <w:trPr>
          <w:jc w:val="center"/>
        </w:trPr>
        <w:tc>
          <w:tcPr>
            <w:tcW w:w="807" w:type="pct"/>
            <w:vAlign w:val="center"/>
          </w:tcPr>
          <w:p w14:paraId="2197FD6A"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2 </w:t>
            </w:r>
            <w:r w:rsidRPr="005A3993">
              <w:rPr>
                <w:rFonts w:ascii="Times New Roman" w:hAnsi="Times New Roman" w:cs="Times New Roman"/>
                <w:color w:val="000000"/>
                <w:vertAlign w:val="superscript"/>
              </w:rPr>
              <w:t>(3)</w:t>
            </w:r>
          </w:p>
        </w:tc>
        <w:tc>
          <w:tcPr>
            <w:tcW w:w="884" w:type="pct"/>
            <w:vAlign w:val="center"/>
          </w:tcPr>
          <w:p w14:paraId="5EE196CF"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IMT TDD</w:t>
            </w:r>
          </w:p>
        </w:tc>
        <w:tc>
          <w:tcPr>
            <w:tcW w:w="3309" w:type="pct"/>
            <w:vAlign w:val="center"/>
          </w:tcPr>
          <w:p w14:paraId="0F637219"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−20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5720AD" w:rsidRPr="005A3993" w14:paraId="304793A0" w14:textId="77777777" w:rsidTr="005A3993">
        <w:trPr>
          <w:jc w:val="center"/>
        </w:trPr>
        <w:tc>
          <w:tcPr>
            <w:tcW w:w="807" w:type="pct"/>
            <w:tcBorders>
              <w:bottom w:val="single" w:sz="4" w:space="0" w:color="auto"/>
            </w:tcBorders>
            <w:vAlign w:val="center"/>
          </w:tcPr>
          <w:p w14:paraId="6E493700"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3</w:t>
            </w:r>
          </w:p>
        </w:tc>
        <w:tc>
          <w:tcPr>
            <w:tcW w:w="884" w:type="pct"/>
            <w:tcBorders>
              <w:bottom w:val="single" w:sz="4" w:space="0" w:color="auto"/>
            </w:tcBorders>
            <w:vAlign w:val="center"/>
          </w:tcPr>
          <w:p w14:paraId="09CFE5ED" w14:textId="77777777"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IMT SDL or FDD</w:t>
            </w:r>
          </w:p>
        </w:tc>
        <w:tc>
          <w:tcPr>
            <w:tcW w:w="3309" w:type="pct"/>
            <w:tcBorders>
              <w:bottom w:val="single" w:sz="4" w:space="0" w:color="auto"/>
            </w:tcBorders>
            <w:vAlign w:val="center"/>
          </w:tcPr>
          <w:p w14:paraId="07B4705F" w14:textId="03C2CDC9" w:rsidR="005720AD" w:rsidRPr="005A39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None, noting that there are no UE transmitting in the band 1 492</w:t>
            </w:r>
            <w:r w:rsidR="005A3993">
              <w:rPr>
                <w:rFonts w:ascii="Times New Roman" w:hAnsi="Times New Roman" w:cs="Times New Roman"/>
              </w:rPr>
              <w:noBreakHyphen/>
            </w:r>
            <w:r w:rsidRPr="005A3993">
              <w:rPr>
                <w:rFonts w:ascii="Times New Roman" w:hAnsi="Times New Roman" w:cs="Times New Roman"/>
              </w:rPr>
              <w:t>1 518 MHz</w:t>
            </w:r>
          </w:p>
        </w:tc>
      </w:tr>
      <w:tr w:rsidR="005720AD" w:rsidRPr="005A3993" w14:paraId="4CA1E75D" w14:textId="77777777" w:rsidTr="005A3993">
        <w:trPr>
          <w:jc w:val="center"/>
        </w:trPr>
        <w:tc>
          <w:tcPr>
            <w:tcW w:w="5000" w:type="pct"/>
            <w:gridSpan w:val="3"/>
            <w:tcBorders>
              <w:left w:val="nil"/>
              <w:bottom w:val="nil"/>
              <w:right w:val="nil"/>
            </w:tcBorders>
          </w:tcPr>
          <w:p w14:paraId="44F733EC" w14:textId="77777777" w:rsidR="005720AD" w:rsidRPr="00B47CCD" w:rsidRDefault="005720AD" w:rsidP="002A110F">
            <w:pPr>
              <w:pStyle w:val="Tablelegend"/>
              <w:tabs>
                <w:tab w:val="clear" w:pos="567"/>
                <w:tab w:val="clear" w:pos="851"/>
                <w:tab w:val="clear" w:pos="1134"/>
                <w:tab w:val="clear" w:pos="2268"/>
              </w:tabs>
              <w:rPr>
                <w:rFonts w:ascii="Times New Roman" w:hAnsi="Times New Roman" w:cs="Times New Roman"/>
              </w:rPr>
            </w:pPr>
            <w:r w:rsidRPr="00B47CCD">
              <w:rPr>
                <w:rFonts w:ascii="Times New Roman" w:hAnsi="Times New Roman" w:cs="Times New Roman"/>
                <w:color w:val="000000"/>
                <w:vertAlign w:val="superscript"/>
              </w:rPr>
              <w:t>(1)</w:t>
            </w:r>
            <w:r w:rsidRPr="00B47CCD">
              <w:rPr>
                <w:rFonts w:ascii="Times New Roman" w:hAnsi="Times New Roman" w:cs="Times New Roman"/>
                <w:color w:val="000000"/>
              </w:rPr>
              <w:tab/>
            </w:r>
            <w:r w:rsidRPr="00B47CCD">
              <w:rPr>
                <w:rFonts w:ascii="Times New Roman" w:hAnsi="Times New Roman" w:cs="Times New Roman"/>
              </w:rPr>
              <w:t>This option is to be applied with an additional regulatory requirement that the UE should not be used within 10 m of a ship earth station.</w:t>
            </w:r>
          </w:p>
          <w:p w14:paraId="5A8FB38F" w14:textId="77777777" w:rsidR="005720AD" w:rsidRPr="00B47CCD" w:rsidRDefault="005720AD" w:rsidP="002A110F">
            <w:pPr>
              <w:pStyle w:val="Tablelegend"/>
              <w:tabs>
                <w:tab w:val="clear" w:pos="567"/>
                <w:tab w:val="clear" w:pos="851"/>
                <w:tab w:val="clear" w:pos="1134"/>
                <w:tab w:val="clear" w:pos="2268"/>
              </w:tabs>
              <w:rPr>
                <w:rFonts w:ascii="Times New Roman" w:hAnsi="Times New Roman" w:cs="Times New Roman"/>
              </w:rPr>
            </w:pPr>
            <w:r w:rsidRPr="00B47CCD">
              <w:rPr>
                <w:rFonts w:ascii="Times New Roman" w:hAnsi="Times New Roman" w:cs="Times New Roman"/>
                <w:color w:val="000000"/>
                <w:vertAlign w:val="superscript"/>
              </w:rPr>
              <w:t>(2)</w:t>
            </w:r>
            <w:r w:rsidRPr="00B47CCD">
              <w:rPr>
                <w:rFonts w:ascii="Times New Roman" w:hAnsi="Times New Roman" w:cs="Times New Roman"/>
                <w:color w:val="000000"/>
              </w:rPr>
              <w:tab/>
            </w:r>
            <w:r w:rsidRPr="00B47CCD">
              <w:rPr>
                <w:rFonts w:ascii="Times New Roman" w:hAnsi="Times New Roman" w:cs="Times New Roman"/>
              </w:rPr>
              <w:t xml:space="preserve">The option employing the lower unwanted emission limit for IMT user equipment would lower the risk of harmful interference to MSS operations in the frequency band above 1 518 </w:t>
            </w:r>
            <w:proofErr w:type="spellStart"/>
            <w:r w:rsidRPr="00B47CCD">
              <w:rPr>
                <w:rFonts w:ascii="Times New Roman" w:hAnsi="Times New Roman" w:cs="Times New Roman"/>
              </w:rPr>
              <w:t>MHz.</w:t>
            </w:r>
            <w:proofErr w:type="spellEnd"/>
            <w:r w:rsidRPr="00B47CCD">
              <w:rPr>
                <w:rFonts w:ascii="Times New Roman" w:hAnsi="Times New Roman" w:cs="Times New Roman"/>
              </w:rPr>
              <w:t xml:space="preserve"> However, complying with the lower unwanted emission limit would make it more difficult to implement IMT user equipment.</w:t>
            </w:r>
          </w:p>
          <w:p w14:paraId="55E85216" w14:textId="77777777" w:rsidR="005720AD" w:rsidRPr="00B47CCD" w:rsidRDefault="005720AD" w:rsidP="002A110F">
            <w:pPr>
              <w:pStyle w:val="Tablelegend"/>
              <w:tabs>
                <w:tab w:val="clear" w:pos="567"/>
                <w:tab w:val="clear" w:pos="851"/>
                <w:tab w:val="clear" w:pos="1134"/>
                <w:tab w:val="clear" w:pos="2268"/>
              </w:tabs>
              <w:rPr>
                <w:rFonts w:ascii="Times New Roman" w:hAnsi="Times New Roman" w:cs="Times New Roman"/>
              </w:rPr>
            </w:pPr>
            <w:r w:rsidRPr="00B47CCD">
              <w:rPr>
                <w:rFonts w:ascii="Times New Roman" w:hAnsi="Times New Roman" w:cs="Times New Roman"/>
                <w:color w:val="000000"/>
                <w:vertAlign w:val="superscript"/>
              </w:rPr>
              <w:t>(3)</w:t>
            </w:r>
            <w:r w:rsidRPr="00B47CCD">
              <w:rPr>
                <w:rFonts w:ascii="Times New Roman" w:hAnsi="Times New Roman" w:cs="Times New Roman"/>
                <w:color w:val="000000"/>
              </w:rPr>
              <w:tab/>
            </w:r>
            <w:r w:rsidRPr="00B47CCD">
              <w:rPr>
                <w:rFonts w:ascii="Times New Roman" w:hAnsi="Times New Roman" w:cs="Times New Roman"/>
              </w:rPr>
              <w:t xml:space="preserve">Employing the higher unwanted emission limits for IMT user equipment would increase the risk of harmful interference to MSS operations in the frequency band above 1 518 MHz, while complying with the higher unwanted emission limit is easier to implement in IMT user equipment. Therefore, this option would make it more difficult to operate MSS systems. In addition, this option does not provide any unwanted emission level for MSS band in the range of 1 518-1 520 </w:t>
            </w:r>
            <w:proofErr w:type="spellStart"/>
            <w:r w:rsidRPr="00B47CCD">
              <w:rPr>
                <w:rFonts w:ascii="Times New Roman" w:hAnsi="Times New Roman" w:cs="Times New Roman"/>
              </w:rPr>
              <w:t>MHz.</w:t>
            </w:r>
            <w:proofErr w:type="spellEnd"/>
          </w:p>
        </w:tc>
      </w:tr>
    </w:tbl>
    <w:p w14:paraId="7A35BEA9" w14:textId="77777777" w:rsidR="005720AD" w:rsidRDefault="005720AD" w:rsidP="005720AD">
      <w:pPr>
        <w:pStyle w:val="Tablefin"/>
      </w:pPr>
    </w:p>
    <w:p w14:paraId="7AE05E77" w14:textId="77777777" w:rsidR="005720AD" w:rsidRDefault="005720AD" w:rsidP="005720AD">
      <w:pPr>
        <w:rPr>
          <w:lang w:eastAsia="zh-CN"/>
        </w:rPr>
      </w:pPr>
    </w:p>
    <w:p w14:paraId="0C94EBDA" w14:textId="77777777" w:rsidR="005720AD" w:rsidRPr="00216E0D" w:rsidRDefault="005720AD" w:rsidP="005720AD">
      <w:pPr>
        <w:pStyle w:val="AnnexNoTitle"/>
        <w:rPr>
          <w:lang w:eastAsia="zh-CN"/>
        </w:rPr>
      </w:pPr>
      <w:r w:rsidRPr="00216E0D">
        <w:rPr>
          <w:lang w:eastAsia="zh-CN"/>
        </w:rPr>
        <w:t xml:space="preserve">Annex </w:t>
      </w:r>
      <w:r w:rsidRPr="008F22A7">
        <w:rPr>
          <w:lang w:eastAsia="zh-CN"/>
        </w:rPr>
        <w:t>2</w:t>
      </w:r>
      <w:r>
        <w:rPr>
          <w:lang w:eastAsia="zh-CN"/>
        </w:rPr>
        <w:br/>
      </w:r>
      <w:r>
        <w:rPr>
          <w:lang w:eastAsia="zh-CN"/>
        </w:rPr>
        <w:br/>
      </w:r>
      <w:r w:rsidRPr="00F11070">
        <w:t>MES receiver blocking resilience levels</w:t>
      </w:r>
    </w:p>
    <w:p w14:paraId="4828BDF8" w14:textId="77777777" w:rsidR="005720AD" w:rsidRPr="00F11070" w:rsidRDefault="005720AD" w:rsidP="005720AD">
      <w:pPr>
        <w:pStyle w:val="Normalaftertitle"/>
        <w:rPr>
          <w:lang w:eastAsia="zh-CN"/>
        </w:rPr>
      </w:pPr>
      <w:r w:rsidRPr="00216E0D">
        <w:rPr>
          <w:lang w:eastAsia="zh-CN"/>
        </w:rPr>
        <w:t xml:space="preserve">This </w:t>
      </w:r>
      <w:r>
        <w:rPr>
          <w:lang w:eastAsia="zh-CN"/>
        </w:rPr>
        <w:t>A</w:t>
      </w:r>
      <w:r w:rsidRPr="00216E0D">
        <w:rPr>
          <w:lang w:eastAsia="zh-CN"/>
        </w:rPr>
        <w:t xml:space="preserve">nnex provides the receiver blocking levels in MES equipment. The </w:t>
      </w:r>
      <w:proofErr w:type="spellStart"/>
      <w:r w:rsidRPr="00216E0D">
        <w:rPr>
          <w:lang w:eastAsia="zh-CN"/>
        </w:rPr>
        <w:t>pfd</w:t>
      </w:r>
      <w:proofErr w:type="spellEnd"/>
      <w:r w:rsidRPr="00216E0D">
        <w:rPr>
          <w:lang w:eastAsia="zh-CN"/>
        </w:rPr>
        <w:t xml:space="preserve"> and </w:t>
      </w:r>
      <w:proofErr w:type="spellStart"/>
      <w:r w:rsidRPr="00216E0D">
        <w:rPr>
          <w:lang w:eastAsia="zh-CN"/>
        </w:rPr>
        <w:t>e.i.r.p</w:t>
      </w:r>
      <w:proofErr w:type="spellEnd"/>
      <w:r w:rsidRPr="00216E0D">
        <w:rPr>
          <w:lang w:eastAsia="zh-CN"/>
        </w:rPr>
        <w:t xml:space="preserve">. measures </w:t>
      </w:r>
      <w:r w:rsidRPr="0057126F">
        <w:rPr>
          <w:lang w:eastAsia="zh-CN"/>
        </w:rPr>
        <w:t>to ensure the continued operations of the MSS defined in Annexes 3 and 4 include measures based</w:t>
      </w:r>
      <w:r w:rsidRPr="00216E0D">
        <w:rPr>
          <w:lang w:eastAsia="zh-CN"/>
        </w:rPr>
        <w:t xml:space="preserve"> on the anticipated improvements in the receiver blocking performance of mobile earth stations. The </w:t>
      </w:r>
      <w:r w:rsidRPr="00F11070">
        <w:rPr>
          <w:lang w:eastAsia="zh-CN"/>
        </w:rPr>
        <w:t>Phase 2 limits in particular, are applied at a time when MESs could tolerate a higher level of emissions from IMT. Consequently, the timing of the transition from Phase 1 limits to Phase 2 limits is dependent on the deployment of MESs with improved receiver performance.</w:t>
      </w:r>
    </w:p>
    <w:p w14:paraId="5E0CC0A3" w14:textId="77777777" w:rsidR="005720AD" w:rsidRPr="00F11070" w:rsidRDefault="005720AD" w:rsidP="005720AD">
      <w:pPr>
        <w:rPr>
          <w:lang w:eastAsia="zh-CN"/>
        </w:rPr>
      </w:pPr>
      <w:r w:rsidRPr="00F11070">
        <w:rPr>
          <w:lang w:eastAsia="zh-CN"/>
        </w:rPr>
        <w:lastRenderedPageBreak/>
        <w:t>Administrations may wish to plan for the transition from Phase 1 to Phase 2 limits for land, maritime, and aeronautical MES terminals, considering different equipment replacement cycles for those categories. Administrations may consult with international and national aeronautical and maritime agencies, the airlines, the mobile industry, and other relevant organisations to establish conditions and time schedules as appropriate.</w:t>
      </w:r>
    </w:p>
    <w:p w14:paraId="2A471C7C" w14:textId="40B22363" w:rsidR="005720AD" w:rsidRPr="00216E0D" w:rsidRDefault="00053593" w:rsidP="005720AD">
      <w:pPr>
        <w:pStyle w:val="TableNo"/>
      </w:pPr>
      <w:r w:rsidRPr="00F11070">
        <w:t xml:space="preserve">TABLE </w:t>
      </w:r>
      <w:r w:rsidR="005720AD">
        <w:t>3</w:t>
      </w:r>
    </w:p>
    <w:p w14:paraId="051C90C6" w14:textId="77777777" w:rsidR="005720AD" w:rsidRPr="00216E0D" w:rsidRDefault="005720AD" w:rsidP="005720AD">
      <w:pPr>
        <w:pStyle w:val="Tabletitle"/>
        <w:rPr>
          <w:lang w:eastAsia="zh-CN"/>
        </w:rPr>
      </w:pPr>
      <w:r w:rsidRPr="00216E0D">
        <w:t xml:space="preserve">MES receiver blocking </w:t>
      </w:r>
      <w:r w:rsidRPr="00216E0D">
        <w:rPr>
          <w:lang w:eastAsia="zh-CN"/>
        </w:rPr>
        <w:t>level</w:t>
      </w:r>
    </w:p>
    <w:tbl>
      <w:tblPr>
        <w:tblStyle w:val="TableGrid"/>
        <w:tblW w:w="9639" w:type="dxa"/>
        <w:jc w:val="center"/>
        <w:tblLook w:val="04A0" w:firstRow="1" w:lastRow="0" w:firstColumn="1" w:lastColumn="0" w:noHBand="0" w:noVBand="1"/>
      </w:tblPr>
      <w:tblGrid>
        <w:gridCol w:w="2834"/>
        <w:gridCol w:w="3547"/>
        <w:gridCol w:w="3258"/>
      </w:tblGrid>
      <w:tr w:rsidR="005720AD" w:rsidRPr="00053593" w14:paraId="660E8435" w14:textId="77777777" w:rsidTr="00053593">
        <w:trPr>
          <w:jc w:val="center"/>
        </w:trPr>
        <w:tc>
          <w:tcPr>
            <w:tcW w:w="1470" w:type="pct"/>
            <w:vAlign w:val="center"/>
          </w:tcPr>
          <w:p w14:paraId="33EAB999"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053593">
              <w:rPr>
                <w:rFonts w:ascii="Times New Roman" w:hAnsi="Times New Roman" w:cs="Times New Roman"/>
                <w:b/>
                <w:bCs/>
              </w:rPr>
              <w:t>Blocking signal level</w:t>
            </w:r>
          </w:p>
        </w:tc>
        <w:tc>
          <w:tcPr>
            <w:tcW w:w="1840" w:type="pct"/>
            <w:vAlign w:val="center"/>
          </w:tcPr>
          <w:p w14:paraId="4EDEE8DD"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053593">
              <w:rPr>
                <w:rFonts w:ascii="Times New Roman" w:hAnsi="Times New Roman" w:cs="Times New Roman"/>
                <w:b/>
                <w:bCs/>
              </w:rPr>
              <w:t>IMT signal</w:t>
            </w:r>
          </w:p>
        </w:tc>
        <w:tc>
          <w:tcPr>
            <w:tcW w:w="1690" w:type="pct"/>
            <w:vAlign w:val="center"/>
          </w:tcPr>
          <w:p w14:paraId="58984EA9"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b/>
                <w:bCs/>
              </w:rPr>
            </w:pPr>
            <w:r w:rsidRPr="00053593">
              <w:rPr>
                <w:rFonts w:ascii="Times New Roman" w:hAnsi="Times New Roman" w:cs="Times New Roman"/>
                <w:b/>
                <w:bCs/>
              </w:rPr>
              <w:t>MES operating condition</w:t>
            </w:r>
          </w:p>
        </w:tc>
      </w:tr>
      <w:tr w:rsidR="005720AD" w:rsidRPr="00053593" w14:paraId="44A5867B" w14:textId="77777777" w:rsidTr="00053593">
        <w:trPr>
          <w:jc w:val="center"/>
        </w:trPr>
        <w:tc>
          <w:tcPr>
            <w:tcW w:w="1470" w:type="pct"/>
            <w:tcBorders>
              <w:bottom w:val="single" w:sz="4" w:space="0" w:color="auto"/>
            </w:tcBorders>
            <w:vAlign w:val="center"/>
          </w:tcPr>
          <w:p w14:paraId="55F2C4C9"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053593">
              <w:rPr>
                <w:rFonts w:ascii="Times New Roman" w:hAnsi="Times New Roman" w:cs="Times New Roman"/>
              </w:rPr>
              <w:t>–30 dBm</w:t>
            </w:r>
            <w:hyperlink w:anchor="_ftn1" w:history="1"/>
            <w:r w:rsidRPr="00053593">
              <w:rPr>
                <w:rFonts w:ascii="Times New Roman" w:hAnsi="Times New Roman" w:cs="Times New Roman"/>
              </w:rPr>
              <w:t xml:space="preserve"> </w:t>
            </w:r>
            <w:r w:rsidRPr="00053593">
              <w:rPr>
                <w:rFonts w:ascii="Times New Roman" w:hAnsi="Times New Roman" w:cs="Times New Roman"/>
                <w:color w:val="000000"/>
                <w:vertAlign w:val="superscript"/>
              </w:rPr>
              <w:t>(1)</w:t>
            </w:r>
          </w:p>
        </w:tc>
        <w:tc>
          <w:tcPr>
            <w:tcW w:w="1840" w:type="pct"/>
            <w:tcBorders>
              <w:bottom w:val="single" w:sz="4" w:space="0" w:color="auto"/>
            </w:tcBorders>
            <w:vAlign w:val="center"/>
          </w:tcPr>
          <w:p w14:paraId="5D74438F"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053593">
              <w:rPr>
                <w:rFonts w:ascii="Times New Roman" w:hAnsi="Times New Roman" w:cs="Times New Roman"/>
              </w:rPr>
              <w:t>5 MHz bandwidth IMT signal operating below 1 517 MHz</w:t>
            </w:r>
          </w:p>
        </w:tc>
        <w:tc>
          <w:tcPr>
            <w:tcW w:w="1690" w:type="pct"/>
            <w:tcBorders>
              <w:bottom w:val="single" w:sz="4" w:space="0" w:color="auto"/>
            </w:tcBorders>
            <w:vAlign w:val="center"/>
          </w:tcPr>
          <w:p w14:paraId="5050BE68" w14:textId="77777777" w:rsidR="005720AD" w:rsidRPr="00053593" w:rsidRDefault="005720AD" w:rsidP="002A11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053593">
              <w:rPr>
                <w:rFonts w:ascii="Times New Roman" w:hAnsi="Times New Roman" w:cs="Times New Roman"/>
              </w:rPr>
              <w:t xml:space="preserve">Wanted signal is above 1 518 MHz </w:t>
            </w:r>
            <w:r w:rsidRPr="00053593">
              <w:rPr>
                <w:rFonts w:ascii="Times New Roman" w:hAnsi="Times New Roman" w:cs="Times New Roman"/>
                <w:color w:val="000000"/>
                <w:vertAlign w:val="superscript"/>
              </w:rPr>
              <w:t>(2)</w:t>
            </w:r>
          </w:p>
        </w:tc>
      </w:tr>
      <w:tr w:rsidR="005720AD" w:rsidRPr="00053593" w14:paraId="3D6C3D54" w14:textId="77777777" w:rsidTr="00053593">
        <w:trPr>
          <w:jc w:val="center"/>
        </w:trPr>
        <w:tc>
          <w:tcPr>
            <w:tcW w:w="5000" w:type="pct"/>
            <w:gridSpan w:val="3"/>
            <w:tcBorders>
              <w:left w:val="nil"/>
              <w:bottom w:val="nil"/>
              <w:right w:val="nil"/>
            </w:tcBorders>
          </w:tcPr>
          <w:p w14:paraId="1D24E956" w14:textId="77777777" w:rsidR="005720AD" w:rsidRPr="00053593" w:rsidRDefault="005720AD" w:rsidP="000535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63"/>
              </w:tabs>
              <w:ind w:left="263" w:hanging="263"/>
              <w:rPr>
                <w:rFonts w:ascii="Times New Roman" w:hAnsi="Times New Roman" w:cs="Times New Roman"/>
              </w:rPr>
            </w:pPr>
            <w:r w:rsidRPr="00053593">
              <w:rPr>
                <w:rFonts w:ascii="Times New Roman" w:hAnsi="Times New Roman" w:cs="Times New Roman"/>
                <w:color w:val="000000"/>
                <w:vertAlign w:val="superscript"/>
              </w:rPr>
              <w:t>(1)</w:t>
            </w:r>
            <w:r w:rsidRPr="00053593">
              <w:rPr>
                <w:rFonts w:ascii="Times New Roman" w:hAnsi="Times New Roman" w:cs="Times New Roman"/>
                <w:color w:val="000000"/>
              </w:rPr>
              <w:tab/>
            </w:r>
            <w:r w:rsidRPr="00053593">
              <w:rPr>
                <w:rFonts w:ascii="Times New Roman" w:hAnsi="Times New Roman" w:cs="Times New Roman"/>
              </w:rPr>
              <w:t>MES blocking level of −40 dBm or lower may be applied to small terminals, without changing the coexistence measures defined elsewhere in this Recommendation.</w:t>
            </w:r>
          </w:p>
          <w:p w14:paraId="2C185B1D" w14:textId="77777777" w:rsidR="005720AD" w:rsidRPr="00053593" w:rsidRDefault="005720AD" w:rsidP="000535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63"/>
              </w:tabs>
              <w:ind w:left="263" w:hanging="263"/>
              <w:rPr>
                <w:rFonts w:ascii="Times New Roman" w:hAnsi="Times New Roman" w:cs="Times New Roman"/>
              </w:rPr>
            </w:pPr>
            <w:r w:rsidRPr="00053593">
              <w:rPr>
                <w:rFonts w:ascii="Times New Roman" w:hAnsi="Times New Roman" w:cs="Times New Roman"/>
                <w:color w:val="000000"/>
                <w:vertAlign w:val="superscript"/>
              </w:rPr>
              <w:t>(2)</w:t>
            </w:r>
            <w:r w:rsidRPr="00053593">
              <w:rPr>
                <w:rFonts w:ascii="Times New Roman" w:hAnsi="Times New Roman" w:cs="Times New Roman"/>
                <w:color w:val="000000"/>
              </w:rPr>
              <w:tab/>
            </w:r>
            <w:r w:rsidRPr="00053593">
              <w:rPr>
                <w:rFonts w:ascii="Times New Roman" w:hAnsi="Times New Roman" w:cs="Times New Roman"/>
              </w:rPr>
              <w:t xml:space="preserve"> For the purpose of testing, the MESs wanted signal is above 1 520 MHz</w:t>
            </w:r>
          </w:p>
        </w:tc>
      </w:tr>
    </w:tbl>
    <w:p w14:paraId="7C799887" w14:textId="77777777" w:rsidR="005720AD" w:rsidRDefault="005720AD" w:rsidP="005720AD">
      <w:pPr>
        <w:pStyle w:val="Tablefin"/>
      </w:pPr>
    </w:p>
    <w:p w14:paraId="5FDD6B27" w14:textId="77777777" w:rsidR="005720AD" w:rsidRDefault="005720AD" w:rsidP="005720AD"/>
    <w:p w14:paraId="4C64979A" w14:textId="77777777" w:rsidR="005720AD" w:rsidRDefault="005720AD" w:rsidP="005720AD"/>
    <w:p w14:paraId="4A18C004" w14:textId="77777777" w:rsidR="005720AD" w:rsidRPr="00216E0D" w:rsidRDefault="005720AD" w:rsidP="005720AD">
      <w:pPr>
        <w:pStyle w:val="AnnexNoTitle"/>
        <w:rPr>
          <w:lang w:eastAsia="zh-CN"/>
        </w:rPr>
      </w:pPr>
      <w:r w:rsidRPr="0057126F">
        <w:rPr>
          <w:lang w:eastAsia="zh-CN"/>
        </w:rPr>
        <w:t>Annex 3</w:t>
      </w:r>
      <w:r>
        <w:rPr>
          <w:lang w:eastAsia="zh-CN"/>
        </w:rPr>
        <w:br/>
      </w:r>
      <w:r>
        <w:rPr>
          <w:lang w:eastAsia="zh-CN"/>
        </w:rPr>
        <w:br/>
      </w:r>
      <w:r w:rsidRPr="00216E0D">
        <w:rPr>
          <w:lang w:eastAsia="zh-CN"/>
        </w:rPr>
        <w:t>Additional measures for IMT base stations to provide for compatibility with ship earth stations and aircraft earth stations in selected areas</w:t>
      </w:r>
      <w:r w:rsidRPr="00216E0D">
        <w:rPr>
          <w:position w:val="6"/>
          <w:sz w:val="18"/>
          <w:lang w:eastAsia="zh-CN"/>
        </w:rPr>
        <w:footnoteReference w:id="3"/>
      </w:r>
    </w:p>
    <w:p w14:paraId="328B47D3" w14:textId="77777777" w:rsidR="005720AD" w:rsidRPr="00F11070" w:rsidRDefault="005720AD" w:rsidP="005720AD">
      <w:pPr>
        <w:pStyle w:val="Normalaftertitle"/>
      </w:pPr>
      <w:r w:rsidRPr="00216E0D">
        <w:t xml:space="preserve">The compatibility measures contained in this Annex are in addition to the technical requirements for </w:t>
      </w:r>
      <w:r w:rsidRPr="0057126F">
        <w:t xml:space="preserve">MESs and IMT set out in (Annexes 1, 2 and 4) and are based on maximum </w:t>
      </w:r>
      <w:proofErr w:type="spellStart"/>
      <w:r w:rsidRPr="0057126F">
        <w:t>pfd</w:t>
      </w:r>
      <w:proofErr w:type="spellEnd"/>
      <w:r w:rsidRPr="0057126F">
        <w:t xml:space="preserve"> levels applied as a</w:t>
      </w:r>
      <w:r w:rsidRPr="00216E0D">
        <w:t xml:space="preserve"> </w:t>
      </w:r>
      <w:r w:rsidRPr="00F11070">
        <w:t xml:space="preserve">regulatory condition within geographic areas selected by administrations. The effect of the </w:t>
      </w:r>
      <w:proofErr w:type="spellStart"/>
      <w:r w:rsidRPr="00F11070">
        <w:t>pfd</w:t>
      </w:r>
      <w:proofErr w:type="spellEnd"/>
      <w:r w:rsidRPr="00F11070">
        <w:t xml:space="preserve"> limits is to reduce the risk of interference to maritime MESs and would be applied at the boundary of selected geographical areas where ships use MES terminals, i.e. ports, and may also include coastal areas, and some inland waterways. The effect of the </w:t>
      </w:r>
      <w:proofErr w:type="spellStart"/>
      <w:r w:rsidRPr="00F11070">
        <w:t>pfd</w:t>
      </w:r>
      <w:proofErr w:type="spellEnd"/>
      <w:r w:rsidRPr="00F11070">
        <w:t xml:space="preserve"> limits is to reduce the risk of interference to aeronautical MESs and would be applied to the boundary of the area where aircraft operate on the ground, i.e. airports and may include some maintenance facilities. IMT BSs would be deployed taking account of the selected areas to avoid exceeding the </w:t>
      </w:r>
      <w:proofErr w:type="spellStart"/>
      <w:r w:rsidRPr="00F11070">
        <w:t>pfd</w:t>
      </w:r>
      <w:proofErr w:type="spellEnd"/>
      <w:r w:rsidRPr="00F11070">
        <w:t xml:space="preserve"> limits within. In addition to any national requirements for ship earth stations and aircraft earth stations, there may also be obligations for visiting foreign ships and aircraft at these locations. </w:t>
      </w:r>
    </w:p>
    <w:p w14:paraId="244F327C" w14:textId="77777777" w:rsidR="005720AD" w:rsidRPr="00F11070" w:rsidRDefault="005720AD" w:rsidP="005720AD">
      <w:r w:rsidRPr="00F11070">
        <w:t xml:space="preserve">Where an administration has decided to use the compatibility measures of this Annex, a geographical separation is typically required between the IMT </w:t>
      </w:r>
      <w:r w:rsidRPr="00F11070">
        <w:rPr>
          <w:lang w:eastAsia="ja-JP"/>
        </w:rPr>
        <w:t xml:space="preserve">base station </w:t>
      </w:r>
      <w:r w:rsidRPr="00F11070">
        <w:t xml:space="preserve">and the boundary of the geographical areas. The geographical separation depends on a number of factors including IMT base station </w:t>
      </w:r>
      <w:proofErr w:type="spellStart"/>
      <w:r w:rsidRPr="00F11070">
        <w:t>e.i.r.p</w:t>
      </w:r>
      <w:proofErr w:type="spellEnd"/>
      <w:r w:rsidRPr="00F11070">
        <w:t xml:space="preserve">., local clutter, and the applicable </w:t>
      </w:r>
      <w:proofErr w:type="spellStart"/>
      <w:r w:rsidRPr="00F11070">
        <w:t>pfd</w:t>
      </w:r>
      <w:proofErr w:type="spellEnd"/>
      <w:r w:rsidRPr="00F11070">
        <w:t xml:space="preserve"> limits (Phase 1 or Phase 2).</w:t>
      </w:r>
      <w:r w:rsidRPr="00F11070" w:rsidDel="00232CC2">
        <w:t xml:space="preserve"> </w:t>
      </w:r>
      <w:r w:rsidRPr="00F11070">
        <w:t xml:space="preserve">For some of the </w:t>
      </w:r>
      <w:proofErr w:type="spellStart"/>
      <w:r w:rsidRPr="00F11070">
        <w:t>pfd</w:t>
      </w:r>
      <w:proofErr w:type="spellEnd"/>
      <w:r w:rsidRPr="00F11070">
        <w:t xml:space="preserve"> values, this geographical separation may be up to several tens of kms.</w:t>
      </w:r>
    </w:p>
    <w:p w14:paraId="0D5087CE" w14:textId="77777777" w:rsidR="005720AD" w:rsidRPr="00F11070" w:rsidRDefault="005720AD" w:rsidP="005720AD">
      <w:r w:rsidRPr="00F11070">
        <w:t xml:space="preserve">As an example, one administration has authorised IMT systems in the band 1 492-1 517 MHz and has provided </w:t>
      </w:r>
      <w:r w:rsidRPr="00F11070">
        <w:rPr>
          <w:iCs/>
        </w:rPr>
        <w:t>an indication that the IMT base station</w:t>
      </w:r>
      <w:r w:rsidRPr="00F11070">
        <w:t xml:space="preserve"> around airports needs to be at distances up to around 3 km to 12 km to meet the recommended </w:t>
      </w:r>
      <w:proofErr w:type="spellStart"/>
      <w:r w:rsidRPr="00F11070">
        <w:t>pfd</w:t>
      </w:r>
      <w:proofErr w:type="spellEnd"/>
      <w:r w:rsidRPr="00F11070">
        <w:t xml:space="preserve"> limits in this Recommendation.</w:t>
      </w:r>
    </w:p>
    <w:p w14:paraId="6576AB9F" w14:textId="77777777" w:rsidR="005720AD" w:rsidRPr="00F11070" w:rsidRDefault="005720AD" w:rsidP="005720AD">
      <w:r w:rsidRPr="00F11070">
        <w:lastRenderedPageBreak/>
        <w:t>This Annex has not considered the use of IMT BSs located at sea or on aerial platforms in the band 1 492-1 518 </w:t>
      </w:r>
      <w:proofErr w:type="spellStart"/>
      <w:r w:rsidRPr="00F11070">
        <w:t>MHz.</w:t>
      </w:r>
      <w:proofErr w:type="spellEnd"/>
    </w:p>
    <w:p w14:paraId="14A2DF09" w14:textId="77777777" w:rsidR="005720AD" w:rsidRPr="00F11070" w:rsidRDefault="005720AD" w:rsidP="005720AD">
      <w:r w:rsidRPr="00F11070">
        <w:t xml:space="preserve">The </w:t>
      </w:r>
      <w:proofErr w:type="spellStart"/>
      <w:r w:rsidRPr="00F11070">
        <w:t>pfd</w:t>
      </w:r>
      <w:proofErr w:type="spellEnd"/>
      <w:r w:rsidRPr="00F11070">
        <w:t xml:space="preserve"> limits are applied in two phases, which are consecutive in time. The Phase 1 limits are based on the characteristics of currently operating MESs and the Phase 2 limits are based on the characteristics of terminals which meet the technical blocking levels of this Recommendation, which are expected to be more resilient to blocking, and hence would lead to less demanding </w:t>
      </w:r>
      <w:proofErr w:type="spellStart"/>
      <w:r w:rsidRPr="00F11070">
        <w:t>pfd</w:t>
      </w:r>
      <w:proofErr w:type="spellEnd"/>
      <w:r w:rsidRPr="00F11070">
        <w:t xml:space="preserve"> values.</w:t>
      </w:r>
    </w:p>
    <w:p w14:paraId="475321CE" w14:textId="77777777" w:rsidR="005720AD" w:rsidRPr="00F11070" w:rsidRDefault="005720AD" w:rsidP="005720AD">
      <w:r w:rsidRPr="00F11070">
        <w:t xml:space="preserve">For the specific </w:t>
      </w:r>
      <w:proofErr w:type="spellStart"/>
      <w:r w:rsidRPr="00F11070">
        <w:t>pfd</w:t>
      </w:r>
      <w:proofErr w:type="spellEnd"/>
      <w:r w:rsidRPr="00F11070">
        <w:t xml:space="preserve"> values for Phase 1, two options are presented, based on different assumptions regarding the blocking performance of currently operating MES terminals which are described below. For the Phase 2 </w:t>
      </w:r>
      <w:proofErr w:type="spellStart"/>
      <w:r w:rsidRPr="00F11070">
        <w:t>pfd</w:t>
      </w:r>
      <w:proofErr w:type="spellEnd"/>
      <w:r w:rsidRPr="00F11070">
        <w:t xml:space="preserve"> values, both options determine </w:t>
      </w:r>
      <w:proofErr w:type="spellStart"/>
      <w:r w:rsidRPr="00F11070">
        <w:t>pfd</w:t>
      </w:r>
      <w:proofErr w:type="spellEnd"/>
      <w:r w:rsidRPr="00F11070">
        <w:t xml:space="preserve"> limits based on blocking performance of MES terminals which meet the technical blocking levels of this Recommendation. </w:t>
      </w:r>
    </w:p>
    <w:p w14:paraId="5B44A4E4" w14:textId="77777777" w:rsidR="005720AD" w:rsidRPr="00F11070" w:rsidRDefault="005720AD" w:rsidP="005720AD">
      <w:pPr>
        <w:rPr>
          <w:sz w:val="22"/>
        </w:rPr>
      </w:pPr>
      <w:r w:rsidRPr="00F11070">
        <w:t xml:space="preserve">MES terminals are more susceptible to interference from multiple IMT channels within the band 1 492-1 517 </w:t>
      </w:r>
      <w:proofErr w:type="spellStart"/>
      <w:r w:rsidRPr="00F11070">
        <w:t>MHz.</w:t>
      </w:r>
      <w:proofErr w:type="spellEnd"/>
      <w:r w:rsidRPr="00F11070">
        <w:t xml:space="preserve"> Measurements were performed to assess blocking due to intermodulation from a base station transmitting multiple IMT channels. Under the first option (A), </w:t>
      </w:r>
      <w:proofErr w:type="spellStart"/>
      <w:r w:rsidRPr="00F11070">
        <w:t>pfd</w:t>
      </w:r>
      <w:proofErr w:type="spellEnd"/>
      <w:r w:rsidRPr="00F11070">
        <w:t xml:space="preserve"> limits are provided in two tables, Table </w:t>
      </w:r>
      <w:r>
        <w:t>4</w:t>
      </w:r>
      <w:r w:rsidRPr="00F11070">
        <w:t xml:space="preserve"> for an IMT BS that transmits a single channel in this band and Table </w:t>
      </w:r>
      <w:r>
        <w:t>5</w:t>
      </w:r>
      <w:r w:rsidRPr="00F11070">
        <w:t xml:space="preserve"> for an IMT BS that transmits on multiple channels in this band, where the signals from the channels experience the same propagation condition and are received at the same relative signal levels at the </w:t>
      </w:r>
      <w:r w:rsidRPr="00BE389F">
        <w:rPr>
          <w:spacing w:val="-4"/>
        </w:rPr>
        <w:t xml:space="preserve">MES terminal. Under the second option (B), </w:t>
      </w:r>
      <w:proofErr w:type="spellStart"/>
      <w:r w:rsidRPr="00BE389F">
        <w:rPr>
          <w:spacing w:val="-4"/>
        </w:rPr>
        <w:t>pfd</w:t>
      </w:r>
      <w:proofErr w:type="spellEnd"/>
      <w:r w:rsidRPr="00BE389F">
        <w:rPr>
          <w:spacing w:val="-4"/>
        </w:rPr>
        <w:t xml:space="preserve"> limits are provided in a single table (see Table</w:t>
      </w:r>
      <w:r>
        <w:rPr>
          <w:spacing w:val="-4"/>
        </w:rPr>
        <w:t xml:space="preserve"> 6</w:t>
      </w:r>
      <w:r w:rsidRPr="00BE389F">
        <w:rPr>
          <w:spacing w:val="-4"/>
        </w:rPr>
        <w:t>)</w:t>
      </w:r>
      <w:r w:rsidRPr="00F11070">
        <w:t xml:space="preserve"> applicable for single and multiple channels. This is based on the assumption that when IMT BS signals from multiple channels are received at the MES terminal, due to the propagation</w:t>
      </w:r>
      <w:r w:rsidRPr="00216E0D">
        <w:t xml:space="preserve"> </w:t>
      </w:r>
      <w:r w:rsidRPr="00F11070">
        <w:t>characteristics, only one channel is dominant and hence the effect of multiple channels is considered negligible.</w:t>
      </w:r>
    </w:p>
    <w:p w14:paraId="73769C7C" w14:textId="77777777" w:rsidR="005720AD" w:rsidRPr="00F11070" w:rsidRDefault="005720AD" w:rsidP="00053593">
      <w:pPr>
        <w:pStyle w:val="Headingb"/>
      </w:pPr>
      <w:r w:rsidRPr="00F11070">
        <w:t>Option A</w:t>
      </w:r>
    </w:p>
    <w:p w14:paraId="285E4333" w14:textId="77777777" w:rsidR="005720AD" w:rsidRPr="00F11070" w:rsidRDefault="005720AD" w:rsidP="005720AD">
      <w:pPr>
        <w:pStyle w:val="enumlev1"/>
      </w:pPr>
      <w:r w:rsidRPr="00F11070">
        <w:t>–</w:t>
      </w:r>
      <w:r w:rsidRPr="00F11070">
        <w:tab/>
        <w:t xml:space="preserve">For Phase 1, the </w:t>
      </w:r>
      <w:proofErr w:type="spellStart"/>
      <w:r w:rsidRPr="00F11070">
        <w:t>pfd</w:t>
      </w:r>
      <w:proofErr w:type="spellEnd"/>
      <w:r w:rsidRPr="00F11070">
        <w:t xml:space="preserve"> values are based on the blocking measurements of the currently operating terminals performed by some manufacturers. Those measurements determined that, with respect to IMT emissions in the band 1 512-1 517 MHz, blocking occurs at a level of −76 dBm for currently operating maritime terminals and −50.3 dBm for currently operating aeronautical terminals. For IMT emissions in the band 1 502</w:t>
      </w:r>
      <w:r w:rsidRPr="00F11070">
        <w:noBreakHyphen/>
        <w:t>1 512 MHz, blocking occurs at levels of −68 dBm and −35 dBm for maritime and aeronautical terminals respectively. For IMT emissions in the band 1 492-1 502 MHz, blocking occurs at levels of −53 dBm and −21 dBm for maritime and aeronautical terminals respectively.</w:t>
      </w:r>
      <w:r w:rsidRPr="00F11070">
        <w:rPr>
          <w:i/>
        </w:rPr>
        <w:t xml:space="preserve"> </w:t>
      </w:r>
    </w:p>
    <w:p w14:paraId="4344C2A2" w14:textId="768DA0D3" w:rsidR="005720AD" w:rsidRPr="00216E0D" w:rsidRDefault="005720AD" w:rsidP="005720AD">
      <w:pPr>
        <w:pStyle w:val="enumlev1"/>
        <w:rPr>
          <w:lang w:eastAsia="zh-CN"/>
        </w:rPr>
      </w:pPr>
      <w:r w:rsidRPr="00F11070">
        <w:t>–</w:t>
      </w:r>
      <w:r w:rsidRPr="00F11070">
        <w:tab/>
        <w:t xml:space="preserve">The </w:t>
      </w:r>
      <w:proofErr w:type="spellStart"/>
      <w:r w:rsidRPr="00F11070">
        <w:t>pfd</w:t>
      </w:r>
      <w:proofErr w:type="spellEnd"/>
      <w:r w:rsidRPr="00F11070">
        <w:t xml:space="preserve"> limits applied during Phase 2 are based on assumed blocking performance for next generation MESs. For Phase 2, the </w:t>
      </w:r>
      <w:proofErr w:type="spellStart"/>
      <w:r w:rsidRPr="00F11070">
        <w:t>pfd</w:t>
      </w:r>
      <w:proofErr w:type="spellEnd"/>
      <w:r w:rsidRPr="00F11070">
        <w:t xml:space="preserve"> limits in Table </w:t>
      </w:r>
      <w:r w:rsidR="00B90BA6">
        <w:t>4</w:t>
      </w:r>
      <w:r w:rsidRPr="00F11070">
        <w:t xml:space="preserve"> are based on −20 dBm and −30 dBm blocking levels resulting from the band 1 502</w:t>
      </w:r>
      <w:r w:rsidRPr="00F11070">
        <w:noBreakHyphen/>
        <w:t>1 512 MHz and the band 1 512</w:t>
      </w:r>
      <w:r w:rsidR="00053593">
        <w:noBreakHyphen/>
      </w:r>
      <w:r w:rsidRPr="00F11070">
        <w:t xml:space="preserve">1 517 MHz respectively; and the </w:t>
      </w:r>
      <w:proofErr w:type="spellStart"/>
      <w:r w:rsidRPr="00F11070">
        <w:t>pfd</w:t>
      </w:r>
      <w:proofErr w:type="spellEnd"/>
      <w:r w:rsidRPr="00F11070">
        <w:t xml:space="preserve"> values in Table </w:t>
      </w:r>
      <w:r w:rsidR="00B90BA6">
        <w:t>5</w:t>
      </w:r>
      <w:r w:rsidRPr="00F11070">
        <w:t xml:space="preserve"> are based on −23 dBm and −33 dBm blocking levels resulting from the band 1 492</w:t>
      </w:r>
      <w:r w:rsidRPr="00F11070">
        <w:noBreakHyphen/>
        <w:t xml:space="preserve">1 512 MHz </w:t>
      </w:r>
      <w:r w:rsidRPr="00F11070">
        <w:rPr>
          <w:color w:val="000000" w:themeColor="text1"/>
        </w:rPr>
        <w:t>and the band 1 512</w:t>
      </w:r>
      <w:r w:rsidR="00053593">
        <w:rPr>
          <w:color w:val="000000" w:themeColor="text1"/>
        </w:rPr>
        <w:noBreakHyphen/>
      </w:r>
      <w:r w:rsidRPr="00F11070">
        <w:rPr>
          <w:color w:val="000000" w:themeColor="text1"/>
        </w:rPr>
        <w:t>1 517 MHz respectively.</w:t>
      </w:r>
    </w:p>
    <w:p w14:paraId="3FEBA927" w14:textId="5C1A28D2" w:rsidR="005720AD" w:rsidRPr="00216E0D" w:rsidRDefault="00053593" w:rsidP="00053593">
      <w:pPr>
        <w:pStyle w:val="TableNo"/>
        <w:keepLines/>
      </w:pPr>
      <w:r w:rsidRPr="00216E0D">
        <w:lastRenderedPageBreak/>
        <w:t xml:space="preserve">TABLE </w:t>
      </w:r>
      <w:r w:rsidR="005720AD">
        <w:t>4</w:t>
      </w:r>
    </w:p>
    <w:p w14:paraId="4EC51103" w14:textId="77777777" w:rsidR="005720AD" w:rsidRPr="00F11070" w:rsidRDefault="005720AD" w:rsidP="00053593">
      <w:pPr>
        <w:pStyle w:val="Tabletitle"/>
        <w:keepLines/>
      </w:pPr>
      <w:proofErr w:type="spellStart"/>
      <w:r w:rsidRPr="00F11070">
        <w:t>Pfd</w:t>
      </w:r>
      <w:proofErr w:type="spellEnd"/>
      <w:r w:rsidRPr="00F11070">
        <w:t xml:space="preserve"> limits for IMT BS transmitting a single channel </w:t>
      </w:r>
    </w:p>
    <w:tbl>
      <w:tblPr>
        <w:tblStyle w:val="TableGrid1"/>
        <w:tblW w:w="9639" w:type="dxa"/>
        <w:jc w:val="center"/>
        <w:tblLook w:val="04A0" w:firstRow="1" w:lastRow="0" w:firstColumn="1" w:lastColumn="0" w:noHBand="0" w:noVBand="1"/>
      </w:tblPr>
      <w:tblGrid>
        <w:gridCol w:w="1207"/>
        <w:gridCol w:w="950"/>
        <w:gridCol w:w="1246"/>
        <w:gridCol w:w="1246"/>
        <w:gridCol w:w="1247"/>
        <w:gridCol w:w="1247"/>
        <w:gridCol w:w="1247"/>
        <w:gridCol w:w="1249"/>
      </w:tblGrid>
      <w:tr w:rsidR="005720AD" w:rsidRPr="00053593" w14:paraId="7A681B19" w14:textId="77777777" w:rsidTr="00053593">
        <w:trPr>
          <w:tblHeader/>
          <w:jc w:val="center"/>
        </w:trPr>
        <w:tc>
          <w:tcPr>
            <w:tcW w:w="632" w:type="pct"/>
            <w:vAlign w:val="center"/>
            <w:hideMark/>
          </w:tcPr>
          <w:p w14:paraId="792A83BE" w14:textId="77777777" w:rsidR="005720AD" w:rsidRPr="00053593" w:rsidRDefault="005720AD" w:rsidP="00053593">
            <w:pPr>
              <w:pStyle w:val="Tablehead"/>
              <w:keepLines/>
              <w:rPr>
                <w:rFonts w:ascii="Times New Roman" w:hAnsi="Times New Roman" w:cs="Times New Roman"/>
                <w:sz w:val="20"/>
                <w:szCs w:val="20"/>
              </w:rPr>
            </w:pPr>
            <w:r w:rsidRPr="00053593">
              <w:rPr>
                <w:rFonts w:ascii="Times New Roman" w:hAnsi="Times New Roman" w:cs="Times New Roman"/>
                <w:sz w:val="20"/>
                <w:szCs w:val="20"/>
              </w:rPr>
              <w:t>Phase</w:t>
            </w:r>
          </w:p>
        </w:tc>
        <w:tc>
          <w:tcPr>
            <w:tcW w:w="455" w:type="pct"/>
            <w:vAlign w:val="center"/>
          </w:tcPr>
          <w:p w14:paraId="6F0D0030" w14:textId="77777777" w:rsidR="005720AD" w:rsidRPr="00053593" w:rsidRDefault="005720AD" w:rsidP="00053593">
            <w:pPr>
              <w:pStyle w:val="Tablehead"/>
              <w:keepLines/>
              <w:rPr>
                <w:rFonts w:ascii="Times New Roman" w:hAnsi="Times New Roman" w:cs="Times New Roman"/>
                <w:sz w:val="20"/>
                <w:szCs w:val="20"/>
              </w:rPr>
            </w:pPr>
          </w:p>
        </w:tc>
        <w:tc>
          <w:tcPr>
            <w:tcW w:w="1956" w:type="pct"/>
            <w:gridSpan w:val="3"/>
            <w:vAlign w:val="center"/>
            <w:hideMark/>
          </w:tcPr>
          <w:p w14:paraId="60CD2E7E" w14:textId="77777777" w:rsidR="005720AD" w:rsidRPr="00053593" w:rsidRDefault="005720AD" w:rsidP="00053593">
            <w:pPr>
              <w:pStyle w:val="Tablehead"/>
              <w:keepLines/>
              <w:rPr>
                <w:rFonts w:ascii="Times New Roman" w:hAnsi="Times New Roman" w:cs="Times New Roman"/>
                <w:sz w:val="20"/>
                <w:szCs w:val="20"/>
              </w:rPr>
            </w:pPr>
            <w:r w:rsidRPr="00053593">
              <w:rPr>
                <w:rFonts w:ascii="Times New Roman" w:hAnsi="Times New Roman" w:cs="Times New Roman"/>
                <w:sz w:val="20"/>
                <w:szCs w:val="20"/>
              </w:rPr>
              <w:t>Phase 1</w:t>
            </w:r>
          </w:p>
        </w:tc>
        <w:tc>
          <w:tcPr>
            <w:tcW w:w="1957" w:type="pct"/>
            <w:gridSpan w:val="3"/>
            <w:vAlign w:val="center"/>
            <w:hideMark/>
          </w:tcPr>
          <w:p w14:paraId="3A7D77C2" w14:textId="77777777" w:rsidR="005720AD" w:rsidRPr="00053593" w:rsidRDefault="005720AD" w:rsidP="00053593">
            <w:pPr>
              <w:pStyle w:val="Tablehead"/>
              <w:keepLines/>
              <w:rPr>
                <w:rFonts w:ascii="Times New Roman" w:hAnsi="Times New Roman" w:cs="Times New Roman"/>
                <w:sz w:val="20"/>
                <w:szCs w:val="20"/>
              </w:rPr>
            </w:pPr>
            <w:r w:rsidRPr="00053593">
              <w:rPr>
                <w:rFonts w:ascii="Times New Roman" w:hAnsi="Times New Roman" w:cs="Times New Roman"/>
                <w:sz w:val="20"/>
                <w:szCs w:val="20"/>
              </w:rPr>
              <w:t>Phase 2</w:t>
            </w:r>
          </w:p>
        </w:tc>
      </w:tr>
      <w:tr w:rsidR="005720AD" w:rsidRPr="00053593" w14:paraId="76A91AA8" w14:textId="77777777" w:rsidTr="00053593">
        <w:trPr>
          <w:tblHeader/>
          <w:jc w:val="center"/>
        </w:trPr>
        <w:tc>
          <w:tcPr>
            <w:tcW w:w="632" w:type="pct"/>
            <w:vAlign w:val="center"/>
          </w:tcPr>
          <w:p w14:paraId="06E4952E" w14:textId="77777777" w:rsidR="005720AD" w:rsidRPr="00053593" w:rsidRDefault="005720AD" w:rsidP="00053593">
            <w:pPr>
              <w:pStyle w:val="Tablehead"/>
              <w:keepLines/>
              <w:rPr>
                <w:rFonts w:ascii="Times New Roman" w:hAnsi="Times New Roman" w:cs="Times New Roman"/>
                <w:sz w:val="20"/>
                <w:szCs w:val="20"/>
              </w:rPr>
            </w:pPr>
          </w:p>
        </w:tc>
        <w:tc>
          <w:tcPr>
            <w:tcW w:w="455" w:type="pct"/>
            <w:vAlign w:val="center"/>
            <w:hideMark/>
          </w:tcPr>
          <w:p w14:paraId="0A3BCC5F" w14:textId="77777777" w:rsidR="005720AD" w:rsidRPr="00053593" w:rsidRDefault="005720AD" w:rsidP="00053593">
            <w:pPr>
              <w:pStyle w:val="Tablehead"/>
              <w:keepLines/>
              <w:rPr>
                <w:rFonts w:ascii="Times New Roman" w:hAnsi="Times New Roman" w:cs="Times New Roman"/>
                <w:sz w:val="20"/>
                <w:szCs w:val="20"/>
              </w:rPr>
            </w:pPr>
            <w:r w:rsidRPr="00053593">
              <w:rPr>
                <w:rFonts w:ascii="Times New Roman" w:hAnsi="Times New Roman" w:cs="Times New Roman"/>
                <w:sz w:val="20"/>
                <w:szCs w:val="20"/>
              </w:rPr>
              <w:t>MES terminal antenna gain (</w:t>
            </w:r>
            <w:proofErr w:type="spellStart"/>
            <w:r w:rsidRPr="00053593">
              <w:rPr>
                <w:rFonts w:ascii="Times New Roman" w:hAnsi="Times New Roman" w:cs="Times New Roman"/>
                <w:sz w:val="20"/>
                <w:szCs w:val="20"/>
              </w:rPr>
              <w:t>dBi</w:t>
            </w:r>
            <w:proofErr w:type="spellEnd"/>
            <w:r w:rsidRPr="00053593">
              <w:rPr>
                <w:rFonts w:ascii="Times New Roman" w:hAnsi="Times New Roman" w:cs="Times New Roman"/>
                <w:sz w:val="20"/>
                <w:szCs w:val="20"/>
              </w:rPr>
              <w:t>)</w:t>
            </w:r>
          </w:p>
        </w:tc>
        <w:tc>
          <w:tcPr>
            <w:tcW w:w="652" w:type="pct"/>
            <w:vAlign w:val="center"/>
            <w:hideMark/>
          </w:tcPr>
          <w:p w14:paraId="331C1701"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 </w:t>
            </w:r>
            <w:r w:rsidRPr="00053593">
              <w:rPr>
                <w:rFonts w:ascii="Times New Roman" w:hAnsi="Times New Roman" w:cs="Times New Roman"/>
                <w:sz w:val="20"/>
                <w:szCs w:val="20"/>
              </w:rPr>
              <w:br/>
              <w:t>for BS emissions in the band 1 492-1 502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c>
          <w:tcPr>
            <w:tcW w:w="652" w:type="pct"/>
            <w:vAlign w:val="center"/>
            <w:hideMark/>
          </w:tcPr>
          <w:p w14:paraId="57AB4792"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 </w:t>
            </w:r>
            <w:r w:rsidRPr="00053593">
              <w:rPr>
                <w:rFonts w:ascii="Times New Roman" w:hAnsi="Times New Roman" w:cs="Times New Roman"/>
                <w:sz w:val="20"/>
                <w:szCs w:val="20"/>
              </w:rPr>
              <w:br/>
              <w:t>for BS emissions in the band 1 502-1 512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c>
          <w:tcPr>
            <w:tcW w:w="652" w:type="pct"/>
            <w:vAlign w:val="center"/>
            <w:hideMark/>
          </w:tcPr>
          <w:p w14:paraId="60E58D72"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 </w:t>
            </w:r>
            <w:r w:rsidRPr="00053593">
              <w:rPr>
                <w:rFonts w:ascii="Times New Roman" w:hAnsi="Times New Roman" w:cs="Times New Roman"/>
                <w:sz w:val="20"/>
                <w:szCs w:val="20"/>
              </w:rPr>
              <w:br/>
              <w:t>for BS emissions in the band 1 512-1 517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c>
          <w:tcPr>
            <w:tcW w:w="652" w:type="pct"/>
            <w:vAlign w:val="center"/>
            <w:hideMark/>
          </w:tcPr>
          <w:p w14:paraId="61702D59"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 </w:t>
            </w:r>
            <w:r w:rsidRPr="00053593">
              <w:rPr>
                <w:rFonts w:ascii="Times New Roman" w:hAnsi="Times New Roman" w:cs="Times New Roman"/>
                <w:sz w:val="20"/>
                <w:szCs w:val="20"/>
              </w:rPr>
              <w:br/>
              <w:t>for BS emissions in the band 1 492-1 502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c>
          <w:tcPr>
            <w:tcW w:w="652" w:type="pct"/>
            <w:vAlign w:val="center"/>
            <w:hideMark/>
          </w:tcPr>
          <w:p w14:paraId="27888E7E"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 </w:t>
            </w:r>
            <w:r w:rsidRPr="00053593">
              <w:rPr>
                <w:rFonts w:ascii="Times New Roman" w:hAnsi="Times New Roman" w:cs="Times New Roman"/>
                <w:sz w:val="20"/>
                <w:szCs w:val="20"/>
              </w:rPr>
              <w:br/>
              <w:t>for BS emissions in the band 1 502-1 512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c>
          <w:tcPr>
            <w:tcW w:w="653" w:type="pct"/>
            <w:vAlign w:val="center"/>
            <w:hideMark/>
          </w:tcPr>
          <w:p w14:paraId="3CCF4579" w14:textId="77777777" w:rsidR="005720AD" w:rsidRPr="00053593" w:rsidRDefault="005720AD" w:rsidP="00053593">
            <w:pPr>
              <w:pStyle w:val="Tablehead"/>
              <w:keepLines/>
              <w:rPr>
                <w:rFonts w:ascii="Times New Roman" w:hAnsi="Times New Roman" w:cs="Times New Roman"/>
                <w:sz w:val="20"/>
                <w:szCs w:val="20"/>
              </w:rPr>
            </w:pPr>
            <w:proofErr w:type="spellStart"/>
            <w:r w:rsidRPr="00053593">
              <w:rPr>
                <w:rFonts w:ascii="Times New Roman" w:hAnsi="Times New Roman" w:cs="Times New Roman"/>
                <w:sz w:val="20"/>
                <w:szCs w:val="20"/>
              </w:rPr>
              <w:t>pfd</w:t>
            </w:r>
            <w:proofErr w:type="spellEnd"/>
            <w:r w:rsidRPr="00053593">
              <w:rPr>
                <w:rFonts w:ascii="Times New Roman" w:hAnsi="Times New Roman" w:cs="Times New Roman"/>
                <w:sz w:val="20"/>
                <w:szCs w:val="20"/>
              </w:rPr>
              <w:t xml:space="preserve"> limit</w:t>
            </w:r>
            <w:r w:rsidRPr="00053593">
              <w:rPr>
                <w:rFonts w:ascii="Times New Roman" w:hAnsi="Times New Roman" w:cs="Times New Roman"/>
                <w:sz w:val="20"/>
                <w:szCs w:val="20"/>
              </w:rPr>
              <w:br/>
              <w:t>for BS emissions in the band 1 512-1 517 MHz (</w:t>
            </w:r>
            <w:proofErr w:type="spellStart"/>
            <w:r w:rsidRPr="00053593">
              <w:rPr>
                <w:rFonts w:ascii="Times New Roman" w:hAnsi="Times New Roman" w:cs="Times New Roman"/>
                <w:sz w:val="20"/>
                <w:szCs w:val="20"/>
              </w:rPr>
              <w:t>dBW</w:t>
            </w:r>
            <w:proofErr w:type="spellEnd"/>
            <w:r w:rsidRPr="00053593">
              <w:rPr>
                <w:rFonts w:ascii="Times New Roman" w:hAnsi="Times New Roman" w:cs="Times New Roman"/>
                <w:sz w:val="20"/>
                <w:szCs w:val="20"/>
              </w:rPr>
              <w:t>/m</w:t>
            </w:r>
            <w:r w:rsidRPr="00053593">
              <w:rPr>
                <w:rFonts w:ascii="Times New Roman" w:hAnsi="Times New Roman" w:cs="Times New Roman"/>
                <w:sz w:val="20"/>
                <w:szCs w:val="20"/>
                <w:vertAlign w:val="superscript"/>
              </w:rPr>
              <w:t>2</w:t>
            </w:r>
            <w:r w:rsidRPr="00053593">
              <w:rPr>
                <w:rFonts w:ascii="Times New Roman" w:hAnsi="Times New Roman" w:cs="Times New Roman"/>
                <w:sz w:val="20"/>
                <w:szCs w:val="20"/>
              </w:rPr>
              <w:t>)</w:t>
            </w:r>
          </w:p>
        </w:tc>
      </w:tr>
      <w:tr w:rsidR="005720AD" w:rsidRPr="00053593" w14:paraId="44ED2529" w14:textId="77777777" w:rsidTr="00053593">
        <w:trPr>
          <w:jc w:val="center"/>
        </w:trPr>
        <w:tc>
          <w:tcPr>
            <w:tcW w:w="632" w:type="pct"/>
            <w:vMerge w:val="restart"/>
            <w:vAlign w:val="center"/>
            <w:hideMark/>
          </w:tcPr>
          <w:p w14:paraId="507087DB" w14:textId="77777777" w:rsidR="005720AD" w:rsidRPr="00053593" w:rsidRDefault="005720AD" w:rsidP="00053593">
            <w:pPr>
              <w:pStyle w:val="Tabletext"/>
              <w:keepNext/>
              <w:keepLines/>
              <w:jc w:val="left"/>
              <w:rPr>
                <w:rFonts w:ascii="Times New Roman" w:hAnsi="Times New Roman" w:cs="Times New Roman"/>
                <w:sz w:val="20"/>
                <w:szCs w:val="20"/>
              </w:rPr>
            </w:pPr>
            <w:r w:rsidRPr="00053593">
              <w:rPr>
                <w:rFonts w:ascii="Times New Roman" w:hAnsi="Times New Roman" w:cs="Times New Roman"/>
                <w:sz w:val="20"/>
                <w:szCs w:val="20"/>
              </w:rPr>
              <w:t>Ports and inland waterways</w:t>
            </w:r>
          </w:p>
        </w:tc>
        <w:tc>
          <w:tcPr>
            <w:tcW w:w="455" w:type="pct"/>
            <w:vAlign w:val="center"/>
            <w:hideMark/>
          </w:tcPr>
          <w:p w14:paraId="0818BAE6"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3</w:t>
            </w:r>
          </w:p>
        </w:tc>
        <w:tc>
          <w:tcPr>
            <w:tcW w:w="652" w:type="pct"/>
            <w:vAlign w:val="center"/>
            <w:hideMark/>
          </w:tcPr>
          <w:p w14:paraId="37C6B0F8"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−60.9</w:t>
            </w:r>
          </w:p>
        </w:tc>
        <w:tc>
          <w:tcPr>
            <w:tcW w:w="652" w:type="pct"/>
            <w:vAlign w:val="center"/>
            <w:hideMark/>
          </w:tcPr>
          <w:p w14:paraId="5C7FE266"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−75.9</w:t>
            </w:r>
          </w:p>
        </w:tc>
        <w:tc>
          <w:tcPr>
            <w:tcW w:w="652" w:type="pct"/>
            <w:vAlign w:val="center"/>
            <w:hideMark/>
          </w:tcPr>
          <w:p w14:paraId="311D47C2"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−83.9</w:t>
            </w:r>
          </w:p>
        </w:tc>
        <w:tc>
          <w:tcPr>
            <w:tcW w:w="652" w:type="pct"/>
            <w:vAlign w:val="center"/>
            <w:hideMark/>
          </w:tcPr>
          <w:p w14:paraId="4B56BC1C" w14:textId="77777777" w:rsidR="005720AD" w:rsidRPr="00053593" w:rsidRDefault="005720AD" w:rsidP="00053593">
            <w:pPr>
              <w:pStyle w:val="Tabletext"/>
              <w:keepNext/>
              <w:keepLines/>
              <w:jc w:val="left"/>
              <w:rPr>
                <w:rFonts w:ascii="Times New Roman" w:hAnsi="Times New Roman" w:cs="Times New Roman"/>
                <w:sz w:val="20"/>
                <w:szCs w:val="20"/>
              </w:rPr>
            </w:pPr>
            <w:r w:rsidRPr="00053593">
              <w:rPr>
                <w:rFonts w:ascii="Times New Roman" w:hAnsi="Times New Roman" w:cs="Times New Roman"/>
                <w:sz w:val="20"/>
                <w:szCs w:val="20"/>
              </w:rPr>
              <w:t xml:space="preserve">No limit required provided that the BS </w:t>
            </w:r>
            <w:proofErr w:type="spellStart"/>
            <w:r w:rsidRPr="00053593">
              <w:rPr>
                <w:rFonts w:ascii="Times New Roman" w:hAnsi="Times New Roman" w:cs="Times New Roman"/>
                <w:sz w:val="20"/>
                <w:szCs w:val="20"/>
              </w:rPr>
              <w:t>e.i.r.p</w:t>
            </w:r>
            <w:proofErr w:type="spellEnd"/>
            <w:r w:rsidRPr="00053593">
              <w:rPr>
                <w:rFonts w:ascii="Times New Roman" w:hAnsi="Times New Roman" w:cs="Times New Roman"/>
                <w:sz w:val="20"/>
                <w:szCs w:val="20"/>
              </w:rPr>
              <w:t>. does not exceed 68 dBm</w:t>
            </w:r>
          </w:p>
        </w:tc>
        <w:tc>
          <w:tcPr>
            <w:tcW w:w="652" w:type="pct"/>
            <w:vAlign w:val="center"/>
            <w:hideMark/>
          </w:tcPr>
          <w:p w14:paraId="597B67D2"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−27.9</w:t>
            </w:r>
          </w:p>
        </w:tc>
        <w:tc>
          <w:tcPr>
            <w:tcW w:w="653" w:type="pct"/>
            <w:vAlign w:val="center"/>
            <w:hideMark/>
          </w:tcPr>
          <w:p w14:paraId="6E4AC179" w14:textId="77777777" w:rsidR="005720AD" w:rsidRPr="00053593" w:rsidRDefault="005720AD" w:rsidP="00053593">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−37.9</w:t>
            </w:r>
          </w:p>
        </w:tc>
      </w:tr>
      <w:tr w:rsidR="005720AD" w:rsidRPr="00053593" w14:paraId="4F0B5ABA" w14:textId="77777777" w:rsidTr="00053593">
        <w:trPr>
          <w:jc w:val="center"/>
        </w:trPr>
        <w:tc>
          <w:tcPr>
            <w:tcW w:w="632" w:type="pct"/>
            <w:vMerge/>
            <w:vAlign w:val="center"/>
            <w:hideMark/>
          </w:tcPr>
          <w:p w14:paraId="58B76671" w14:textId="77777777" w:rsidR="005720AD" w:rsidRPr="00053593" w:rsidRDefault="005720AD" w:rsidP="002A110F">
            <w:pPr>
              <w:pStyle w:val="Tabletext"/>
              <w:jc w:val="center"/>
              <w:rPr>
                <w:rFonts w:ascii="Times New Roman" w:hAnsi="Times New Roman" w:cs="Times New Roman"/>
                <w:sz w:val="20"/>
                <w:szCs w:val="20"/>
                <w:lang w:eastAsia="en-GB"/>
              </w:rPr>
            </w:pPr>
          </w:p>
        </w:tc>
        <w:tc>
          <w:tcPr>
            <w:tcW w:w="455" w:type="pct"/>
            <w:vAlign w:val="center"/>
            <w:hideMark/>
          </w:tcPr>
          <w:p w14:paraId="0EE1E102"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 xml:space="preserve">3-19 </w:t>
            </w:r>
            <w:r w:rsidRPr="00053593">
              <w:rPr>
                <w:rFonts w:ascii="Times New Roman" w:hAnsi="Times New Roman" w:cs="Times New Roman"/>
                <w:color w:val="000000"/>
                <w:sz w:val="20"/>
                <w:szCs w:val="20"/>
                <w:vertAlign w:val="superscript"/>
              </w:rPr>
              <w:t>(1)</w:t>
            </w:r>
          </w:p>
        </w:tc>
        <w:tc>
          <w:tcPr>
            <w:tcW w:w="652" w:type="pct"/>
            <w:vAlign w:val="center"/>
            <w:hideMark/>
          </w:tcPr>
          <w:p w14:paraId="0A81C90B"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−60.9 to −76.9</w:t>
            </w:r>
          </w:p>
        </w:tc>
        <w:tc>
          <w:tcPr>
            <w:tcW w:w="652" w:type="pct"/>
            <w:vAlign w:val="center"/>
            <w:hideMark/>
          </w:tcPr>
          <w:p w14:paraId="300A7121"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−75.9 to −91.9</w:t>
            </w:r>
          </w:p>
        </w:tc>
        <w:tc>
          <w:tcPr>
            <w:tcW w:w="652" w:type="pct"/>
            <w:vAlign w:val="center"/>
            <w:hideMark/>
          </w:tcPr>
          <w:p w14:paraId="1BA2D96E"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−83.9 to −99.9</w:t>
            </w:r>
          </w:p>
        </w:tc>
        <w:tc>
          <w:tcPr>
            <w:tcW w:w="652" w:type="pct"/>
            <w:vAlign w:val="center"/>
            <w:hideMark/>
          </w:tcPr>
          <w:p w14:paraId="517C0DA7" w14:textId="77777777" w:rsidR="005720AD" w:rsidRPr="00053593" w:rsidRDefault="005720AD" w:rsidP="00053593">
            <w:pPr>
              <w:pStyle w:val="Tabletext"/>
              <w:jc w:val="left"/>
              <w:rPr>
                <w:rFonts w:ascii="Times New Roman" w:hAnsi="Times New Roman" w:cs="Times New Roman"/>
                <w:sz w:val="20"/>
                <w:szCs w:val="20"/>
              </w:rPr>
            </w:pPr>
            <w:r w:rsidRPr="00053593">
              <w:rPr>
                <w:rFonts w:ascii="Times New Roman" w:hAnsi="Times New Roman" w:cs="Times New Roman"/>
                <w:sz w:val="20"/>
                <w:szCs w:val="20"/>
              </w:rPr>
              <w:t xml:space="preserve">No limit required provided that the BS </w:t>
            </w:r>
            <w:proofErr w:type="spellStart"/>
            <w:r w:rsidRPr="00053593">
              <w:rPr>
                <w:rFonts w:ascii="Times New Roman" w:hAnsi="Times New Roman" w:cs="Times New Roman"/>
                <w:sz w:val="20"/>
                <w:szCs w:val="20"/>
              </w:rPr>
              <w:t>e.i.r.p</w:t>
            </w:r>
            <w:proofErr w:type="spellEnd"/>
            <w:r w:rsidRPr="00053593">
              <w:rPr>
                <w:rFonts w:ascii="Times New Roman" w:hAnsi="Times New Roman" w:cs="Times New Roman"/>
                <w:sz w:val="20"/>
                <w:szCs w:val="20"/>
              </w:rPr>
              <w:t>. does not exceed 68 dBm</w:t>
            </w:r>
          </w:p>
        </w:tc>
        <w:tc>
          <w:tcPr>
            <w:tcW w:w="652" w:type="pct"/>
            <w:vAlign w:val="center"/>
            <w:hideMark/>
          </w:tcPr>
          <w:p w14:paraId="1F249E74"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 to −43.9</w:t>
            </w:r>
          </w:p>
        </w:tc>
        <w:tc>
          <w:tcPr>
            <w:tcW w:w="653" w:type="pct"/>
            <w:vAlign w:val="center"/>
            <w:hideMark/>
          </w:tcPr>
          <w:p w14:paraId="5ADF995D"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 to −53.9</w:t>
            </w:r>
          </w:p>
        </w:tc>
      </w:tr>
      <w:tr w:rsidR="005720AD" w:rsidRPr="00053593" w14:paraId="5064AE48" w14:textId="77777777" w:rsidTr="00053593">
        <w:trPr>
          <w:jc w:val="center"/>
        </w:trPr>
        <w:tc>
          <w:tcPr>
            <w:tcW w:w="632" w:type="pct"/>
            <w:vMerge w:val="restart"/>
            <w:vAlign w:val="center"/>
            <w:hideMark/>
          </w:tcPr>
          <w:p w14:paraId="01A47887" w14:textId="77777777" w:rsidR="005720AD" w:rsidRPr="00053593" w:rsidRDefault="005720AD" w:rsidP="002A110F">
            <w:pPr>
              <w:pStyle w:val="Tabletext"/>
              <w:rPr>
                <w:rFonts w:ascii="Times New Roman" w:hAnsi="Times New Roman" w:cs="Times New Roman"/>
                <w:sz w:val="20"/>
                <w:szCs w:val="20"/>
              </w:rPr>
            </w:pPr>
            <w:r w:rsidRPr="00053593">
              <w:rPr>
                <w:rFonts w:ascii="Times New Roman" w:hAnsi="Times New Roman" w:cs="Times New Roman"/>
                <w:sz w:val="20"/>
                <w:szCs w:val="20"/>
              </w:rPr>
              <w:t>Airports</w:t>
            </w:r>
          </w:p>
        </w:tc>
        <w:tc>
          <w:tcPr>
            <w:tcW w:w="455" w:type="pct"/>
            <w:vAlign w:val="center"/>
            <w:hideMark/>
          </w:tcPr>
          <w:p w14:paraId="1DB07630"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w:t>
            </w:r>
          </w:p>
        </w:tc>
        <w:tc>
          <w:tcPr>
            <w:tcW w:w="652" w:type="pct"/>
            <w:vAlign w:val="center"/>
            <w:hideMark/>
          </w:tcPr>
          <w:p w14:paraId="15B2CA2F"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−28.9</w:t>
            </w:r>
          </w:p>
        </w:tc>
        <w:tc>
          <w:tcPr>
            <w:tcW w:w="652" w:type="pct"/>
            <w:vAlign w:val="center"/>
            <w:hideMark/>
          </w:tcPr>
          <w:p w14:paraId="07033BA4"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−42.9</w:t>
            </w:r>
          </w:p>
        </w:tc>
        <w:tc>
          <w:tcPr>
            <w:tcW w:w="652" w:type="pct"/>
            <w:vAlign w:val="center"/>
            <w:hideMark/>
          </w:tcPr>
          <w:p w14:paraId="2213B425"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−58.2</w:t>
            </w:r>
          </w:p>
        </w:tc>
        <w:tc>
          <w:tcPr>
            <w:tcW w:w="652" w:type="pct"/>
            <w:vAlign w:val="center"/>
            <w:hideMark/>
          </w:tcPr>
          <w:p w14:paraId="68F2BC0E" w14:textId="77777777" w:rsidR="005720AD" w:rsidRPr="00053593" w:rsidRDefault="005720AD" w:rsidP="00053593">
            <w:pPr>
              <w:pStyle w:val="Tabletext"/>
              <w:jc w:val="left"/>
              <w:rPr>
                <w:rFonts w:ascii="Times New Roman" w:hAnsi="Times New Roman" w:cs="Times New Roman"/>
                <w:sz w:val="20"/>
                <w:szCs w:val="20"/>
              </w:rPr>
            </w:pPr>
            <w:r w:rsidRPr="00053593">
              <w:rPr>
                <w:rFonts w:ascii="Times New Roman" w:hAnsi="Times New Roman" w:cs="Times New Roman"/>
                <w:sz w:val="20"/>
                <w:szCs w:val="20"/>
              </w:rPr>
              <w:t xml:space="preserve">No limit required provided that the BS </w:t>
            </w:r>
            <w:proofErr w:type="spellStart"/>
            <w:r w:rsidRPr="00053593">
              <w:rPr>
                <w:rFonts w:ascii="Times New Roman" w:hAnsi="Times New Roman" w:cs="Times New Roman"/>
                <w:sz w:val="20"/>
                <w:szCs w:val="20"/>
              </w:rPr>
              <w:t>e.i.r.p</w:t>
            </w:r>
            <w:proofErr w:type="spellEnd"/>
            <w:r w:rsidRPr="00053593">
              <w:rPr>
                <w:rFonts w:ascii="Times New Roman" w:hAnsi="Times New Roman" w:cs="Times New Roman"/>
                <w:sz w:val="20"/>
                <w:szCs w:val="20"/>
              </w:rPr>
              <w:t>. does not exceed 68 dBm</w:t>
            </w:r>
          </w:p>
        </w:tc>
        <w:tc>
          <w:tcPr>
            <w:tcW w:w="652" w:type="pct"/>
            <w:vAlign w:val="center"/>
            <w:hideMark/>
          </w:tcPr>
          <w:p w14:paraId="432547A7"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w:t>
            </w:r>
          </w:p>
        </w:tc>
        <w:tc>
          <w:tcPr>
            <w:tcW w:w="653" w:type="pct"/>
            <w:vAlign w:val="center"/>
            <w:hideMark/>
          </w:tcPr>
          <w:p w14:paraId="083ABCAB"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w:t>
            </w:r>
          </w:p>
        </w:tc>
      </w:tr>
      <w:tr w:rsidR="005720AD" w:rsidRPr="00053593" w14:paraId="2FE51175" w14:textId="77777777" w:rsidTr="00053593">
        <w:trPr>
          <w:jc w:val="center"/>
        </w:trPr>
        <w:tc>
          <w:tcPr>
            <w:tcW w:w="632" w:type="pct"/>
            <w:vMerge/>
            <w:tcBorders>
              <w:bottom w:val="single" w:sz="4" w:space="0" w:color="auto"/>
            </w:tcBorders>
            <w:vAlign w:val="center"/>
            <w:hideMark/>
          </w:tcPr>
          <w:p w14:paraId="417EE8E8" w14:textId="77777777" w:rsidR="005720AD" w:rsidRPr="00053593" w:rsidRDefault="005720AD" w:rsidP="002A110F">
            <w:pPr>
              <w:pStyle w:val="Tabletext"/>
              <w:jc w:val="center"/>
              <w:rPr>
                <w:rFonts w:ascii="Times New Roman" w:hAnsi="Times New Roman" w:cs="Times New Roman"/>
                <w:sz w:val="20"/>
                <w:szCs w:val="20"/>
                <w:lang w:eastAsia="en-GB"/>
              </w:rPr>
            </w:pPr>
          </w:p>
        </w:tc>
        <w:tc>
          <w:tcPr>
            <w:tcW w:w="455" w:type="pct"/>
            <w:tcBorders>
              <w:bottom w:val="single" w:sz="4" w:space="0" w:color="auto"/>
            </w:tcBorders>
            <w:vAlign w:val="center"/>
            <w:hideMark/>
          </w:tcPr>
          <w:p w14:paraId="3CB9E393"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 xml:space="preserve">3-17 </w:t>
            </w:r>
            <w:r w:rsidRPr="00053593">
              <w:rPr>
                <w:rFonts w:ascii="Times New Roman" w:hAnsi="Times New Roman" w:cs="Times New Roman"/>
                <w:color w:val="000000"/>
                <w:sz w:val="20"/>
                <w:szCs w:val="20"/>
                <w:vertAlign w:val="superscript"/>
              </w:rPr>
              <w:t>(1)</w:t>
            </w:r>
          </w:p>
        </w:tc>
        <w:tc>
          <w:tcPr>
            <w:tcW w:w="652" w:type="pct"/>
            <w:tcBorders>
              <w:bottom w:val="single" w:sz="4" w:space="0" w:color="auto"/>
            </w:tcBorders>
            <w:vAlign w:val="center"/>
            <w:hideMark/>
          </w:tcPr>
          <w:p w14:paraId="425C4955"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−28.9 to −42.9</w:t>
            </w:r>
          </w:p>
        </w:tc>
        <w:tc>
          <w:tcPr>
            <w:tcW w:w="652" w:type="pct"/>
            <w:tcBorders>
              <w:bottom w:val="single" w:sz="4" w:space="0" w:color="auto"/>
            </w:tcBorders>
            <w:vAlign w:val="center"/>
            <w:hideMark/>
          </w:tcPr>
          <w:p w14:paraId="69760DEE"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−42.9 to −56.9</w:t>
            </w:r>
          </w:p>
        </w:tc>
        <w:tc>
          <w:tcPr>
            <w:tcW w:w="652" w:type="pct"/>
            <w:tcBorders>
              <w:bottom w:val="single" w:sz="4" w:space="0" w:color="auto"/>
            </w:tcBorders>
            <w:vAlign w:val="center"/>
            <w:hideMark/>
          </w:tcPr>
          <w:p w14:paraId="71014B4F"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−58.2 to −72.2</w:t>
            </w:r>
          </w:p>
        </w:tc>
        <w:tc>
          <w:tcPr>
            <w:tcW w:w="652" w:type="pct"/>
            <w:tcBorders>
              <w:bottom w:val="single" w:sz="4" w:space="0" w:color="auto"/>
            </w:tcBorders>
            <w:vAlign w:val="center"/>
            <w:hideMark/>
          </w:tcPr>
          <w:p w14:paraId="59B30C76" w14:textId="77777777" w:rsidR="005720AD" w:rsidRPr="00053593" w:rsidRDefault="005720AD" w:rsidP="00053593">
            <w:pPr>
              <w:pStyle w:val="Tabletext"/>
              <w:jc w:val="left"/>
              <w:rPr>
                <w:rFonts w:ascii="Times New Roman" w:hAnsi="Times New Roman" w:cs="Times New Roman"/>
                <w:sz w:val="20"/>
                <w:szCs w:val="20"/>
              </w:rPr>
            </w:pPr>
            <w:r w:rsidRPr="00053593">
              <w:rPr>
                <w:rFonts w:ascii="Times New Roman" w:hAnsi="Times New Roman" w:cs="Times New Roman"/>
                <w:sz w:val="20"/>
                <w:szCs w:val="20"/>
              </w:rPr>
              <w:t xml:space="preserve">No limit required provided that the BS </w:t>
            </w:r>
            <w:proofErr w:type="spellStart"/>
            <w:r w:rsidRPr="00053593">
              <w:rPr>
                <w:rFonts w:ascii="Times New Roman" w:hAnsi="Times New Roman" w:cs="Times New Roman"/>
                <w:sz w:val="20"/>
                <w:szCs w:val="20"/>
              </w:rPr>
              <w:t>e.i.r.p</w:t>
            </w:r>
            <w:proofErr w:type="spellEnd"/>
            <w:r w:rsidRPr="00053593">
              <w:rPr>
                <w:rFonts w:ascii="Times New Roman" w:hAnsi="Times New Roman" w:cs="Times New Roman"/>
                <w:sz w:val="20"/>
                <w:szCs w:val="20"/>
              </w:rPr>
              <w:t>. does not exceed 68 dBm</w:t>
            </w:r>
          </w:p>
        </w:tc>
        <w:tc>
          <w:tcPr>
            <w:tcW w:w="652" w:type="pct"/>
            <w:tcBorders>
              <w:bottom w:val="single" w:sz="4" w:space="0" w:color="auto"/>
            </w:tcBorders>
            <w:vAlign w:val="center"/>
            <w:hideMark/>
          </w:tcPr>
          <w:p w14:paraId="44F1E0F6"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 to −41.9</w:t>
            </w:r>
          </w:p>
        </w:tc>
        <w:tc>
          <w:tcPr>
            <w:tcW w:w="653" w:type="pct"/>
            <w:tcBorders>
              <w:bottom w:val="single" w:sz="4" w:space="0" w:color="auto"/>
            </w:tcBorders>
            <w:vAlign w:val="center"/>
            <w:hideMark/>
          </w:tcPr>
          <w:p w14:paraId="0E500BE5" w14:textId="77777777" w:rsidR="005720AD" w:rsidRPr="00053593" w:rsidRDefault="005720AD" w:rsidP="002A110F">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 to −51.9</w:t>
            </w:r>
          </w:p>
        </w:tc>
      </w:tr>
      <w:tr w:rsidR="005720AD" w:rsidRPr="00053593" w14:paraId="5A8AC904" w14:textId="77777777" w:rsidTr="00053593">
        <w:trPr>
          <w:jc w:val="center"/>
        </w:trPr>
        <w:tc>
          <w:tcPr>
            <w:tcW w:w="5000" w:type="pct"/>
            <w:gridSpan w:val="8"/>
            <w:tcBorders>
              <w:left w:val="nil"/>
              <w:bottom w:val="nil"/>
              <w:right w:val="nil"/>
            </w:tcBorders>
            <w:hideMark/>
          </w:tcPr>
          <w:p w14:paraId="01DB7100" w14:textId="77777777" w:rsidR="005720AD" w:rsidRPr="00B47CCD" w:rsidRDefault="005720AD" w:rsidP="00053593">
            <w:pPr>
              <w:pStyle w:val="Tabletext"/>
              <w:ind w:left="284" w:hanging="284"/>
              <w:rPr>
                <w:rFonts w:ascii="Times New Roman" w:hAnsi="Times New Roman" w:cs="Times New Roman"/>
              </w:rPr>
            </w:pPr>
            <w:r w:rsidRPr="00B47CCD">
              <w:rPr>
                <w:rFonts w:ascii="Times New Roman" w:hAnsi="Times New Roman" w:cs="Times New Roman"/>
                <w:color w:val="000000"/>
                <w:vertAlign w:val="superscript"/>
              </w:rPr>
              <w:t>(1)</w:t>
            </w:r>
            <w:r w:rsidRPr="00B47CCD">
              <w:rPr>
                <w:rFonts w:ascii="Times New Roman" w:hAnsi="Times New Roman" w:cs="Times New Roman"/>
                <w:color w:val="000000"/>
              </w:rPr>
              <w:tab/>
            </w:r>
            <w:r w:rsidRPr="00B47CCD">
              <w:rPr>
                <w:rFonts w:ascii="Times New Roman" w:hAnsi="Times New Roman" w:cs="Times New Roman"/>
              </w:rPr>
              <w:t xml:space="preserve">The </w:t>
            </w:r>
            <w:proofErr w:type="spellStart"/>
            <w:r w:rsidRPr="00B47CCD">
              <w:rPr>
                <w:rFonts w:ascii="Times New Roman" w:hAnsi="Times New Roman" w:cs="Times New Roman"/>
              </w:rPr>
              <w:t>pfd</w:t>
            </w:r>
            <w:proofErr w:type="spellEnd"/>
            <w:r w:rsidRPr="00B47CCD">
              <w:rPr>
                <w:rFonts w:ascii="Times New Roman" w:hAnsi="Times New Roman" w:cs="Times New Roman"/>
              </w:rPr>
              <w:t xml:space="preserve"> values based on 3 </w:t>
            </w:r>
            <w:proofErr w:type="spellStart"/>
            <w:r w:rsidRPr="00B47CCD">
              <w:rPr>
                <w:rFonts w:ascii="Times New Roman" w:hAnsi="Times New Roman" w:cs="Times New Roman"/>
              </w:rPr>
              <w:t>dBi</w:t>
            </w:r>
            <w:proofErr w:type="spellEnd"/>
            <w:r w:rsidRPr="00B47CCD">
              <w:rPr>
                <w:rFonts w:ascii="Times New Roman" w:hAnsi="Times New Roman" w:cs="Times New Roman"/>
              </w:rPr>
              <w:t xml:space="preserve"> MES antenna gain </w:t>
            </w:r>
            <w:proofErr w:type="gramStart"/>
            <w:r w:rsidRPr="00B47CCD">
              <w:rPr>
                <w:rFonts w:ascii="Times New Roman" w:hAnsi="Times New Roman" w:cs="Times New Roman"/>
              </w:rPr>
              <w:t>apply</w:t>
            </w:r>
            <w:proofErr w:type="gramEnd"/>
            <w:r w:rsidRPr="00B47CCD">
              <w:rPr>
                <w:rFonts w:ascii="Times New Roman" w:hAnsi="Times New Roman" w:cs="Times New Roman"/>
              </w:rPr>
              <w:t xml:space="preserve"> in most situations, but there are locations in the world where the antenna gain towards the horizon can exceed 3 </w:t>
            </w:r>
            <w:proofErr w:type="spellStart"/>
            <w:r w:rsidRPr="00B47CCD">
              <w:rPr>
                <w:rFonts w:ascii="Times New Roman" w:hAnsi="Times New Roman" w:cs="Times New Roman"/>
              </w:rPr>
              <w:t>dBi</w:t>
            </w:r>
            <w:proofErr w:type="spellEnd"/>
            <w:r w:rsidRPr="00B47CCD">
              <w:rPr>
                <w:rFonts w:ascii="Times New Roman" w:hAnsi="Times New Roman" w:cs="Times New Roman"/>
              </w:rPr>
              <w:t xml:space="preserve"> (up to 19 </w:t>
            </w:r>
            <w:proofErr w:type="spellStart"/>
            <w:r w:rsidRPr="00B47CCD">
              <w:rPr>
                <w:rFonts w:ascii="Times New Roman" w:hAnsi="Times New Roman" w:cs="Times New Roman"/>
              </w:rPr>
              <w:t>dBi</w:t>
            </w:r>
            <w:proofErr w:type="spellEnd"/>
            <w:r w:rsidRPr="00B47CCD">
              <w:rPr>
                <w:rFonts w:ascii="Times New Roman" w:hAnsi="Times New Roman" w:cs="Times New Roman"/>
              </w:rPr>
              <w:t xml:space="preserve"> or 17 </w:t>
            </w:r>
            <w:proofErr w:type="spellStart"/>
            <w:r w:rsidRPr="00B47CCD">
              <w:rPr>
                <w:rFonts w:ascii="Times New Roman" w:hAnsi="Times New Roman" w:cs="Times New Roman"/>
              </w:rPr>
              <w:t>dBi</w:t>
            </w:r>
            <w:proofErr w:type="spellEnd"/>
            <w:r w:rsidRPr="00B47CCD">
              <w:rPr>
                <w:rFonts w:ascii="Times New Roman" w:hAnsi="Times New Roman" w:cs="Times New Roman"/>
              </w:rPr>
              <w:t xml:space="preserve">). This is where there is a low elevation angle for the MES and where an IMT BS could be deployed in the direction of the MSS satellite as seen from the MES. For these cases, the actual angles to the satellite and the IMT deployment should be taken into consideration and the </w:t>
            </w:r>
            <w:proofErr w:type="spellStart"/>
            <w:r w:rsidRPr="00B47CCD">
              <w:rPr>
                <w:rFonts w:ascii="Times New Roman" w:hAnsi="Times New Roman" w:cs="Times New Roman"/>
              </w:rPr>
              <w:t>pfd</w:t>
            </w:r>
            <w:proofErr w:type="spellEnd"/>
            <w:r w:rsidRPr="00B47CCD">
              <w:rPr>
                <w:rFonts w:ascii="Times New Roman" w:hAnsi="Times New Roman" w:cs="Times New Roman"/>
              </w:rPr>
              <w:t xml:space="preserve"> adjusted to a value within the ranges shown.</w:t>
            </w:r>
          </w:p>
        </w:tc>
      </w:tr>
    </w:tbl>
    <w:p w14:paraId="194E8B41" w14:textId="77777777" w:rsidR="005720AD" w:rsidRDefault="005720AD" w:rsidP="005720AD">
      <w:pPr>
        <w:pStyle w:val="Tablefin"/>
      </w:pPr>
    </w:p>
    <w:p w14:paraId="593E7D65" w14:textId="5E96F0A9" w:rsidR="005720AD" w:rsidRPr="00F11070" w:rsidRDefault="00053593" w:rsidP="005720AD">
      <w:pPr>
        <w:pStyle w:val="TableNo"/>
      </w:pPr>
      <w:r w:rsidRPr="00F11070">
        <w:lastRenderedPageBreak/>
        <w:t xml:space="preserve">TABLE </w:t>
      </w:r>
      <w:r w:rsidR="005720AD">
        <w:t>5</w:t>
      </w:r>
    </w:p>
    <w:p w14:paraId="4D5D6CDF" w14:textId="77777777" w:rsidR="005720AD" w:rsidRPr="00F11070" w:rsidRDefault="005720AD" w:rsidP="005720AD">
      <w:pPr>
        <w:pStyle w:val="Tabletitle"/>
      </w:pPr>
      <w:proofErr w:type="spellStart"/>
      <w:r w:rsidRPr="00F11070">
        <w:t>Pfd</w:t>
      </w:r>
      <w:proofErr w:type="spellEnd"/>
      <w:r w:rsidRPr="00F11070">
        <w:t xml:space="preserve"> limits for IMT BS transmitting multiple channels</w:t>
      </w:r>
    </w:p>
    <w:tbl>
      <w:tblPr>
        <w:tblStyle w:val="TableGrid1"/>
        <w:tblW w:w="9639" w:type="dxa"/>
        <w:jc w:val="center"/>
        <w:tblLook w:val="04A0" w:firstRow="1" w:lastRow="0" w:firstColumn="1" w:lastColumn="0" w:noHBand="0" w:noVBand="1"/>
      </w:tblPr>
      <w:tblGrid>
        <w:gridCol w:w="1157"/>
        <w:gridCol w:w="1023"/>
        <w:gridCol w:w="1864"/>
        <w:gridCol w:w="1864"/>
        <w:gridCol w:w="1864"/>
        <w:gridCol w:w="1867"/>
      </w:tblGrid>
      <w:tr w:rsidR="005720AD" w:rsidRPr="00053593" w14:paraId="54F870BE" w14:textId="77777777" w:rsidTr="00053593">
        <w:trPr>
          <w:tblHeader/>
          <w:jc w:val="center"/>
        </w:trPr>
        <w:tc>
          <w:tcPr>
            <w:tcW w:w="584" w:type="pct"/>
            <w:vAlign w:val="center"/>
            <w:hideMark/>
          </w:tcPr>
          <w:p w14:paraId="14269768" w14:textId="77777777" w:rsidR="005720AD" w:rsidRPr="00053593" w:rsidRDefault="005720AD" w:rsidP="002A110F">
            <w:pPr>
              <w:pStyle w:val="Tablehead"/>
              <w:rPr>
                <w:rFonts w:ascii="Times New Roman" w:hAnsi="Times New Roman" w:cs="Times New Roman"/>
                <w:szCs w:val="20"/>
              </w:rPr>
            </w:pPr>
            <w:r w:rsidRPr="00053593">
              <w:rPr>
                <w:rFonts w:ascii="Times New Roman" w:hAnsi="Times New Roman" w:cs="Times New Roman"/>
                <w:szCs w:val="20"/>
              </w:rPr>
              <w:t>Phase</w:t>
            </w:r>
          </w:p>
        </w:tc>
        <w:tc>
          <w:tcPr>
            <w:tcW w:w="443" w:type="pct"/>
            <w:vMerge w:val="restart"/>
            <w:vAlign w:val="center"/>
            <w:hideMark/>
          </w:tcPr>
          <w:p w14:paraId="278B35F1" w14:textId="77777777" w:rsidR="005720AD" w:rsidRPr="00053593" w:rsidRDefault="005720AD" w:rsidP="002A110F">
            <w:pPr>
              <w:pStyle w:val="Tablehead"/>
              <w:rPr>
                <w:rFonts w:ascii="Times New Roman" w:hAnsi="Times New Roman" w:cs="Times New Roman"/>
                <w:szCs w:val="20"/>
              </w:rPr>
            </w:pPr>
            <w:r w:rsidRPr="00053593">
              <w:rPr>
                <w:rFonts w:ascii="Times New Roman" w:hAnsi="Times New Roman" w:cs="Times New Roman"/>
                <w:szCs w:val="20"/>
              </w:rPr>
              <w:t>MES terminal antenna gain (</w:t>
            </w:r>
            <w:proofErr w:type="spellStart"/>
            <w:r w:rsidRPr="00053593">
              <w:rPr>
                <w:rFonts w:ascii="Times New Roman" w:hAnsi="Times New Roman" w:cs="Times New Roman"/>
                <w:szCs w:val="20"/>
              </w:rPr>
              <w:t>dBi</w:t>
            </w:r>
            <w:proofErr w:type="spellEnd"/>
            <w:r w:rsidRPr="00053593">
              <w:rPr>
                <w:rFonts w:ascii="Times New Roman" w:hAnsi="Times New Roman" w:cs="Times New Roman"/>
                <w:szCs w:val="20"/>
              </w:rPr>
              <w:t>)</w:t>
            </w:r>
          </w:p>
        </w:tc>
        <w:tc>
          <w:tcPr>
            <w:tcW w:w="1986" w:type="pct"/>
            <w:gridSpan w:val="2"/>
            <w:vAlign w:val="center"/>
            <w:hideMark/>
          </w:tcPr>
          <w:p w14:paraId="22A12B21" w14:textId="77777777" w:rsidR="005720AD" w:rsidRPr="00053593" w:rsidRDefault="005720AD" w:rsidP="002A110F">
            <w:pPr>
              <w:pStyle w:val="Tablehead"/>
              <w:rPr>
                <w:rFonts w:ascii="Times New Roman" w:hAnsi="Times New Roman" w:cs="Times New Roman"/>
                <w:szCs w:val="20"/>
              </w:rPr>
            </w:pPr>
            <w:r w:rsidRPr="00053593">
              <w:rPr>
                <w:rFonts w:ascii="Times New Roman" w:hAnsi="Times New Roman" w:cs="Times New Roman"/>
                <w:szCs w:val="20"/>
              </w:rPr>
              <w:t>Phase 1</w:t>
            </w:r>
          </w:p>
        </w:tc>
        <w:tc>
          <w:tcPr>
            <w:tcW w:w="1987" w:type="pct"/>
            <w:gridSpan w:val="2"/>
            <w:vAlign w:val="center"/>
            <w:hideMark/>
          </w:tcPr>
          <w:p w14:paraId="1C005CE5" w14:textId="77777777" w:rsidR="005720AD" w:rsidRPr="00053593" w:rsidRDefault="005720AD" w:rsidP="002A110F">
            <w:pPr>
              <w:pStyle w:val="Tablehead"/>
              <w:rPr>
                <w:rFonts w:ascii="Times New Roman" w:hAnsi="Times New Roman" w:cs="Times New Roman"/>
                <w:szCs w:val="20"/>
              </w:rPr>
            </w:pPr>
            <w:r w:rsidRPr="00053593">
              <w:rPr>
                <w:rFonts w:ascii="Times New Roman" w:hAnsi="Times New Roman" w:cs="Times New Roman"/>
                <w:szCs w:val="20"/>
              </w:rPr>
              <w:t>Phase 2</w:t>
            </w:r>
          </w:p>
        </w:tc>
      </w:tr>
      <w:tr w:rsidR="005720AD" w:rsidRPr="00053593" w14:paraId="00A8BD3B" w14:textId="77777777" w:rsidTr="00053593">
        <w:trPr>
          <w:tblHeader/>
          <w:jc w:val="center"/>
        </w:trPr>
        <w:tc>
          <w:tcPr>
            <w:tcW w:w="584" w:type="pct"/>
            <w:vAlign w:val="center"/>
          </w:tcPr>
          <w:p w14:paraId="5A0A01AA" w14:textId="77777777" w:rsidR="005720AD" w:rsidRPr="00053593" w:rsidRDefault="005720AD" w:rsidP="002A110F">
            <w:pPr>
              <w:pStyle w:val="Tablehead"/>
              <w:rPr>
                <w:rFonts w:ascii="Times New Roman" w:hAnsi="Times New Roman" w:cs="Times New Roman"/>
                <w:szCs w:val="20"/>
              </w:rPr>
            </w:pPr>
          </w:p>
        </w:tc>
        <w:tc>
          <w:tcPr>
            <w:tcW w:w="443" w:type="pct"/>
            <w:vMerge/>
            <w:vAlign w:val="center"/>
            <w:hideMark/>
          </w:tcPr>
          <w:p w14:paraId="4CEEAC07" w14:textId="77777777" w:rsidR="005720AD" w:rsidRPr="00053593" w:rsidRDefault="005720AD" w:rsidP="002A110F">
            <w:pPr>
              <w:pStyle w:val="Tablehead"/>
              <w:rPr>
                <w:rFonts w:ascii="Times New Roman" w:hAnsi="Times New Roman" w:cs="Times New Roman"/>
                <w:bCs/>
                <w:szCs w:val="20"/>
              </w:rPr>
            </w:pPr>
          </w:p>
        </w:tc>
        <w:tc>
          <w:tcPr>
            <w:tcW w:w="993" w:type="pct"/>
            <w:vAlign w:val="center"/>
            <w:hideMark/>
          </w:tcPr>
          <w:p w14:paraId="7B4A5724" w14:textId="77777777" w:rsidR="005720AD" w:rsidRPr="00053593" w:rsidRDefault="005720AD" w:rsidP="002A110F">
            <w:pPr>
              <w:pStyle w:val="Tablehead"/>
              <w:rPr>
                <w:rFonts w:ascii="Times New Roman" w:hAnsi="Times New Roman" w:cs="Times New Roman"/>
                <w:szCs w:val="20"/>
              </w:rPr>
            </w:pPr>
            <w:proofErr w:type="spellStart"/>
            <w:r w:rsidRPr="00053593">
              <w:rPr>
                <w:rFonts w:ascii="Times New Roman" w:hAnsi="Times New Roman" w:cs="Times New Roman"/>
                <w:szCs w:val="20"/>
              </w:rPr>
              <w:t>pfd</w:t>
            </w:r>
            <w:proofErr w:type="spellEnd"/>
            <w:r w:rsidRPr="00053593">
              <w:rPr>
                <w:rFonts w:ascii="Times New Roman" w:hAnsi="Times New Roman" w:cs="Times New Roman"/>
                <w:szCs w:val="20"/>
              </w:rPr>
              <w:t xml:space="preserve"> limit for BS emissions in the band 1 492</w:t>
            </w:r>
            <w:r w:rsidRPr="00053593">
              <w:rPr>
                <w:rFonts w:ascii="Times New Roman" w:hAnsi="Times New Roman" w:cs="Times New Roman"/>
                <w:szCs w:val="20"/>
              </w:rPr>
              <w:noBreakHyphen/>
              <w:t>1 512 MHz (</w:t>
            </w:r>
            <w:proofErr w:type="spellStart"/>
            <w:r w:rsidRPr="00053593">
              <w:rPr>
                <w:rFonts w:ascii="Times New Roman" w:hAnsi="Times New Roman" w:cs="Times New Roman"/>
                <w:szCs w:val="20"/>
              </w:rPr>
              <w:t>dBW</w:t>
            </w:r>
            <w:proofErr w:type="spellEnd"/>
            <w:r w:rsidRPr="00053593">
              <w:rPr>
                <w:rFonts w:ascii="Times New Roman" w:hAnsi="Times New Roman" w:cs="Times New Roman"/>
                <w:szCs w:val="20"/>
              </w:rPr>
              <w:t>/m</w:t>
            </w:r>
            <w:r w:rsidRPr="00053593">
              <w:rPr>
                <w:rFonts w:ascii="Times New Roman" w:hAnsi="Times New Roman" w:cs="Times New Roman"/>
                <w:szCs w:val="20"/>
                <w:vertAlign w:val="superscript"/>
              </w:rPr>
              <w:t>2</w:t>
            </w:r>
            <w:r w:rsidRPr="00053593">
              <w:rPr>
                <w:rFonts w:ascii="Times New Roman" w:hAnsi="Times New Roman" w:cs="Times New Roman"/>
                <w:szCs w:val="20"/>
              </w:rPr>
              <w:t>)</w:t>
            </w:r>
          </w:p>
        </w:tc>
        <w:tc>
          <w:tcPr>
            <w:tcW w:w="993" w:type="pct"/>
            <w:vAlign w:val="center"/>
            <w:hideMark/>
          </w:tcPr>
          <w:p w14:paraId="6DFDEEAB" w14:textId="77777777" w:rsidR="005720AD" w:rsidRPr="00053593" w:rsidRDefault="005720AD" w:rsidP="002A110F">
            <w:pPr>
              <w:pStyle w:val="Tablehead"/>
              <w:rPr>
                <w:rFonts w:ascii="Times New Roman" w:hAnsi="Times New Roman" w:cs="Times New Roman"/>
                <w:szCs w:val="20"/>
              </w:rPr>
            </w:pPr>
            <w:proofErr w:type="spellStart"/>
            <w:r w:rsidRPr="00053593">
              <w:rPr>
                <w:rFonts w:ascii="Times New Roman" w:hAnsi="Times New Roman" w:cs="Times New Roman"/>
                <w:szCs w:val="20"/>
              </w:rPr>
              <w:t>pfd</w:t>
            </w:r>
            <w:proofErr w:type="spellEnd"/>
            <w:r w:rsidRPr="00053593">
              <w:rPr>
                <w:rFonts w:ascii="Times New Roman" w:hAnsi="Times New Roman" w:cs="Times New Roman"/>
                <w:szCs w:val="20"/>
              </w:rPr>
              <w:t xml:space="preserve"> limit for BS emissions in the band 1 512-1 517 MHz (</w:t>
            </w:r>
            <w:proofErr w:type="spellStart"/>
            <w:r w:rsidRPr="00053593">
              <w:rPr>
                <w:rFonts w:ascii="Times New Roman" w:hAnsi="Times New Roman" w:cs="Times New Roman"/>
                <w:szCs w:val="20"/>
              </w:rPr>
              <w:t>dBW</w:t>
            </w:r>
            <w:proofErr w:type="spellEnd"/>
            <w:r w:rsidRPr="00053593">
              <w:rPr>
                <w:rFonts w:ascii="Times New Roman" w:hAnsi="Times New Roman" w:cs="Times New Roman"/>
                <w:szCs w:val="20"/>
              </w:rPr>
              <w:t>/m</w:t>
            </w:r>
            <w:r w:rsidRPr="00053593">
              <w:rPr>
                <w:rFonts w:ascii="Times New Roman" w:hAnsi="Times New Roman" w:cs="Times New Roman"/>
                <w:szCs w:val="20"/>
                <w:vertAlign w:val="superscript"/>
              </w:rPr>
              <w:t>2</w:t>
            </w:r>
            <w:r w:rsidRPr="00053593">
              <w:rPr>
                <w:rFonts w:ascii="Times New Roman" w:hAnsi="Times New Roman" w:cs="Times New Roman"/>
                <w:szCs w:val="20"/>
              </w:rPr>
              <w:t>)</w:t>
            </w:r>
          </w:p>
        </w:tc>
        <w:tc>
          <w:tcPr>
            <w:tcW w:w="993" w:type="pct"/>
            <w:vAlign w:val="center"/>
            <w:hideMark/>
          </w:tcPr>
          <w:p w14:paraId="41BA1A38" w14:textId="77777777" w:rsidR="005720AD" w:rsidRPr="00053593" w:rsidRDefault="005720AD" w:rsidP="002A110F">
            <w:pPr>
              <w:pStyle w:val="Tablehead"/>
              <w:rPr>
                <w:rFonts w:ascii="Times New Roman" w:hAnsi="Times New Roman" w:cs="Times New Roman"/>
                <w:szCs w:val="20"/>
              </w:rPr>
            </w:pPr>
            <w:proofErr w:type="spellStart"/>
            <w:r w:rsidRPr="00053593">
              <w:rPr>
                <w:rFonts w:ascii="Times New Roman" w:hAnsi="Times New Roman" w:cs="Times New Roman"/>
                <w:szCs w:val="20"/>
              </w:rPr>
              <w:t>pfd</w:t>
            </w:r>
            <w:proofErr w:type="spellEnd"/>
            <w:r w:rsidRPr="00053593">
              <w:rPr>
                <w:rFonts w:ascii="Times New Roman" w:hAnsi="Times New Roman" w:cs="Times New Roman"/>
                <w:szCs w:val="20"/>
              </w:rPr>
              <w:t xml:space="preserve"> limit for BS emissions in the band 1 492-1 512 MHz (</w:t>
            </w:r>
            <w:proofErr w:type="spellStart"/>
            <w:r w:rsidRPr="00053593">
              <w:rPr>
                <w:rFonts w:ascii="Times New Roman" w:hAnsi="Times New Roman" w:cs="Times New Roman"/>
                <w:szCs w:val="20"/>
              </w:rPr>
              <w:t>dBW</w:t>
            </w:r>
            <w:proofErr w:type="spellEnd"/>
            <w:r w:rsidRPr="00053593">
              <w:rPr>
                <w:rFonts w:ascii="Times New Roman" w:hAnsi="Times New Roman" w:cs="Times New Roman"/>
                <w:szCs w:val="20"/>
              </w:rPr>
              <w:t>/m</w:t>
            </w:r>
            <w:r w:rsidRPr="00053593">
              <w:rPr>
                <w:rFonts w:ascii="Times New Roman" w:hAnsi="Times New Roman" w:cs="Times New Roman"/>
                <w:szCs w:val="20"/>
                <w:vertAlign w:val="superscript"/>
              </w:rPr>
              <w:t>2</w:t>
            </w:r>
            <w:r w:rsidRPr="00053593">
              <w:rPr>
                <w:rFonts w:ascii="Times New Roman" w:hAnsi="Times New Roman" w:cs="Times New Roman"/>
                <w:szCs w:val="20"/>
              </w:rPr>
              <w:t>)</w:t>
            </w:r>
          </w:p>
        </w:tc>
        <w:tc>
          <w:tcPr>
            <w:tcW w:w="993" w:type="pct"/>
            <w:vAlign w:val="center"/>
            <w:hideMark/>
          </w:tcPr>
          <w:p w14:paraId="1B8CB92D" w14:textId="77777777" w:rsidR="005720AD" w:rsidRPr="00053593" w:rsidRDefault="005720AD" w:rsidP="002A110F">
            <w:pPr>
              <w:pStyle w:val="Tablehead"/>
              <w:rPr>
                <w:rFonts w:ascii="Times New Roman" w:hAnsi="Times New Roman" w:cs="Times New Roman"/>
                <w:szCs w:val="20"/>
              </w:rPr>
            </w:pPr>
            <w:proofErr w:type="spellStart"/>
            <w:r w:rsidRPr="00053593">
              <w:rPr>
                <w:rFonts w:ascii="Times New Roman" w:hAnsi="Times New Roman" w:cs="Times New Roman"/>
                <w:szCs w:val="20"/>
              </w:rPr>
              <w:t>pfd</w:t>
            </w:r>
            <w:proofErr w:type="spellEnd"/>
            <w:r w:rsidRPr="00053593">
              <w:rPr>
                <w:rFonts w:ascii="Times New Roman" w:hAnsi="Times New Roman" w:cs="Times New Roman"/>
                <w:szCs w:val="20"/>
              </w:rPr>
              <w:t xml:space="preserve"> limit for BS emissions in the band 1 512-1 517 MHz (</w:t>
            </w:r>
            <w:proofErr w:type="spellStart"/>
            <w:r w:rsidRPr="00053593">
              <w:rPr>
                <w:rFonts w:ascii="Times New Roman" w:hAnsi="Times New Roman" w:cs="Times New Roman"/>
                <w:szCs w:val="20"/>
              </w:rPr>
              <w:t>dBW</w:t>
            </w:r>
            <w:proofErr w:type="spellEnd"/>
            <w:r w:rsidRPr="00053593">
              <w:rPr>
                <w:rFonts w:ascii="Times New Roman" w:hAnsi="Times New Roman" w:cs="Times New Roman"/>
                <w:szCs w:val="20"/>
              </w:rPr>
              <w:t>/m</w:t>
            </w:r>
            <w:r w:rsidRPr="00053593">
              <w:rPr>
                <w:rFonts w:ascii="Times New Roman" w:hAnsi="Times New Roman" w:cs="Times New Roman"/>
                <w:szCs w:val="20"/>
                <w:vertAlign w:val="superscript"/>
              </w:rPr>
              <w:t>2</w:t>
            </w:r>
            <w:r w:rsidRPr="00053593">
              <w:rPr>
                <w:rFonts w:ascii="Times New Roman" w:hAnsi="Times New Roman" w:cs="Times New Roman"/>
                <w:szCs w:val="20"/>
              </w:rPr>
              <w:t>)</w:t>
            </w:r>
          </w:p>
        </w:tc>
      </w:tr>
      <w:tr w:rsidR="005720AD" w:rsidRPr="00053593" w14:paraId="4930A92E" w14:textId="77777777" w:rsidTr="00053593">
        <w:trPr>
          <w:jc w:val="center"/>
        </w:trPr>
        <w:tc>
          <w:tcPr>
            <w:tcW w:w="584" w:type="pct"/>
            <w:vMerge w:val="restart"/>
            <w:vAlign w:val="center"/>
            <w:hideMark/>
          </w:tcPr>
          <w:p w14:paraId="647037A7" w14:textId="77777777" w:rsidR="005720AD" w:rsidRPr="00053593" w:rsidRDefault="005720AD" w:rsidP="00053593">
            <w:pPr>
              <w:pStyle w:val="Tabletext"/>
              <w:jc w:val="left"/>
              <w:rPr>
                <w:rFonts w:ascii="Times New Roman" w:hAnsi="Times New Roman" w:cs="Times New Roman"/>
                <w:szCs w:val="20"/>
                <w:lang w:eastAsia="de-DE"/>
              </w:rPr>
            </w:pPr>
            <w:r w:rsidRPr="00053593">
              <w:rPr>
                <w:rFonts w:ascii="Times New Roman" w:hAnsi="Times New Roman" w:cs="Times New Roman"/>
                <w:szCs w:val="20"/>
                <w:lang w:eastAsia="de-DE"/>
              </w:rPr>
              <w:t>Ports and inland waterways</w:t>
            </w:r>
          </w:p>
        </w:tc>
        <w:tc>
          <w:tcPr>
            <w:tcW w:w="443" w:type="pct"/>
            <w:vAlign w:val="center"/>
            <w:hideMark/>
          </w:tcPr>
          <w:p w14:paraId="4013FCDA"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w:t>
            </w:r>
          </w:p>
        </w:tc>
        <w:tc>
          <w:tcPr>
            <w:tcW w:w="993" w:type="pct"/>
            <w:vAlign w:val="center"/>
            <w:hideMark/>
          </w:tcPr>
          <w:p w14:paraId="59D80DD0" w14:textId="77777777" w:rsidR="005720AD" w:rsidRPr="00053593" w:rsidRDefault="005720AD" w:rsidP="002A110F">
            <w:pPr>
              <w:pStyle w:val="Tabletext"/>
              <w:jc w:val="center"/>
              <w:rPr>
                <w:rFonts w:ascii="Times New Roman" w:hAnsi="Times New Roman" w:cs="Times New Roman"/>
                <w:color w:val="000000"/>
                <w:szCs w:val="20"/>
                <w:lang w:eastAsia="en-GB"/>
              </w:rPr>
            </w:pPr>
            <w:r w:rsidRPr="00053593">
              <w:rPr>
                <w:rFonts w:ascii="Times New Roman" w:hAnsi="Times New Roman" w:cs="Times New Roman"/>
                <w:szCs w:val="20"/>
              </w:rPr>
              <w:t>−74.9</w:t>
            </w:r>
          </w:p>
        </w:tc>
        <w:tc>
          <w:tcPr>
            <w:tcW w:w="993" w:type="pct"/>
            <w:vAlign w:val="center"/>
            <w:hideMark/>
          </w:tcPr>
          <w:p w14:paraId="5096BD80"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szCs w:val="20"/>
              </w:rPr>
              <w:t>−85.9</w:t>
            </w:r>
          </w:p>
        </w:tc>
        <w:tc>
          <w:tcPr>
            <w:tcW w:w="993" w:type="pct"/>
            <w:vAlign w:val="center"/>
            <w:hideMark/>
          </w:tcPr>
          <w:p w14:paraId="41F0C8A4"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p>
        </w:tc>
        <w:tc>
          <w:tcPr>
            <w:tcW w:w="993" w:type="pct"/>
            <w:vAlign w:val="center"/>
            <w:hideMark/>
          </w:tcPr>
          <w:p w14:paraId="4D4E200E"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p>
        </w:tc>
      </w:tr>
      <w:tr w:rsidR="005720AD" w:rsidRPr="00053593" w14:paraId="6634AABF" w14:textId="77777777" w:rsidTr="00053593">
        <w:trPr>
          <w:jc w:val="center"/>
        </w:trPr>
        <w:tc>
          <w:tcPr>
            <w:tcW w:w="584" w:type="pct"/>
            <w:vMerge/>
            <w:vAlign w:val="center"/>
            <w:hideMark/>
          </w:tcPr>
          <w:p w14:paraId="6AD7195C" w14:textId="77777777" w:rsidR="005720AD" w:rsidRPr="00053593" w:rsidRDefault="005720AD" w:rsidP="002A110F">
            <w:pPr>
              <w:pStyle w:val="Tabletext"/>
              <w:jc w:val="center"/>
              <w:rPr>
                <w:rFonts w:ascii="Times New Roman" w:hAnsi="Times New Roman" w:cs="Times New Roman"/>
                <w:szCs w:val="20"/>
                <w:lang w:eastAsia="de-DE"/>
              </w:rPr>
            </w:pPr>
          </w:p>
        </w:tc>
        <w:tc>
          <w:tcPr>
            <w:tcW w:w="443" w:type="pct"/>
            <w:vAlign w:val="center"/>
            <w:hideMark/>
          </w:tcPr>
          <w:p w14:paraId="58F4BB7B"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 xml:space="preserve">3-19 </w:t>
            </w:r>
            <w:r w:rsidRPr="00053593">
              <w:rPr>
                <w:rFonts w:ascii="Times New Roman" w:hAnsi="Times New Roman" w:cs="Times New Roman"/>
                <w:color w:val="000000"/>
                <w:szCs w:val="20"/>
                <w:vertAlign w:val="superscript"/>
              </w:rPr>
              <w:t>(1)</w:t>
            </w:r>
          </w:p>
        </w:tc>
        <w:tc>
          <w:tcPr>
            <w:tcW w:w="993" w:type="pct"/>
            <w:vAlign w:val="center"/>
            <w:hideMark/>
          </w:tcPr>
          <w:p w14:paraId="3FC94E9A"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szCs w:val="20"/>
              </w:rPr>
              <w:t>−74.9 to −90.9</w:t>
            </w:r>
          </w:p>
        </w:tc>
        <w:tc>
          <w:tcPr>
            <w:tcW w:w="993" w:type="pct"/>
            <w:vAlign w:val="center"/>
            <w:hideMark/>
          </w:tcPr>
          <w:p w14:paraId="28D93985"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szCs w:val="20"/>
              </w:rPr>
              <w:t>−85.9 to −101.9</w:t>
            </w:r>
          </w:p>
        </w:tc>
        <w:tc>
          <w:tcPr>
            <w:tcW w:w="993" w:type="pct"/>
            <w:vAlign w:val="center"/>
            <w:hideMark/>
          </w:tcPr>
          <w:p w14:paraId="30807969"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 to −46.9</w:t>
            </w:r>
          </w:p>
        </w:tc>
        <w:tc>
          <w:tcPr>
            <w:tcW w:w="993" w:type="pct"/>
            <w:vAlign w:val="center"/>
            <w:hideMark/>
          </w:tcPr>
          <w:p w14:paraId="4BBE7FAB"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 to −56.9</w:t>
            </w:r>
          </w:p>
        </w:tc>
      </w:tr>
      <w:tr w:rsidR="005720AD" w:rsidRPr="00053593" w14:paraId="4CF54170" w14:textId="77777777" w:rsidTr="00053593">
        <w:trPr>
          <w:jc w:val="center"/>
        </w:trPr>
        <w:tc>
          <w:tcPr>
            <w:tcW w:w="584" w:type="pct"/>
            <w:vMerge w:val="restart"/>
            <w:vAlign w:val="center"/>
            <w:hideMark/>
          </w:tcPr>
          <w:p w14:paraId="0D87433F" w14:textId="77777777" w:rsidR="005720AD" w:rsidRPr="00053593" w:rsidRDefault="005720AD" w:rsidP="002A110F">
            <w:pPr>
              <w:pStyle w:val="Tabletext"/>
              <w:keepNext/>
              <w:jc w:val="center"/>
              <w:rPr>
                <w:rFonts w:ascii="Times New Roman" w:hAnsi="Times New Roman" w:cs="Times New Roman"/>
                <w:szCs w:val="20"/>
                <w:lang w:eastAsia="de-DE"/>
              </w:rPr>
            </w:pPr>
            <w:r w:rsidRPr="00053593">
              <w:rPr>
                <w:rFonts w:ascii="Times New Roman" w:hAnsi="Times New Roman" w:cs="Times New Roman"/>
                <w:szCs w:val="20"/>
                <w:lang w:eastAsia="de-DE"/>
              </w:rPr>
              <w:t>Airports</w:t>
            </w:r>
          </w:p>
        </w:tc>
        <w:tc>
          <w:tcPr>
            <w:tcW w:w="443" w:type="pct"/>
            <w:vAlign w:val="center"/>
            <w:hideMark/>
          </w:tcPr>
          <w:p w14:paraId="192B83E8" w14:textId="77777777" w:rsidR="005720AD" w:rsidRPr="00053593" w:rsidRDefault="005720AD" w:rsidP="002A110F">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3</w:t>
            </w:r>
          </w:p>
        </w:tc>
        <w:tc>
          <w:tcPr>
            <w:tcW w:w="993" w:type="pct"/>
            <w:vAlign w:val="center"/>
            <w:hideMark/>
          </w:tcPr>
          <w:p w14:paraId="357021B7" w14:textId="77777777" w:rsidR="005720AD" w:rsidRPr="00053593" w:rsidRDefault="005720AD" w:rsidP="002A110F">
            <w:pPr>
              <w:pStyle w:val="Tabletext"/>
              <w:keepNext/>
              <w:jc w:val="center"/>
              <w:rPr>
                <w:rFonts w:ascii="Times New Roman" w:hAnsi="Times New Roman" w:cs="Times New Roman"/>
                <w:color w:val="000000"/>
                <w:szCs w:val="20"/>
                <w:lang w:eastAsia="en-GB"/>
              </w:rPr>
            </w:pPr>
            <w:r w:rsidRPr="00053593">
              <w:rPr>
                <w:rFonts w:ascii="Times New Roman" w:hAnsi="Times New Roman" w:cs="Times New Roman"/>
                <w:color w:val="000000"/>
                <w:szCs w:val="20"/>
              </w:rPr>
              <w:t>−53.5</w:t>
            </w:r>
          </w:p>
        </w:tc>
        <w:tc>
          <w:tcPr>
            <w:tcW w:w="993" w:type="pct"/>
            <w:vAlign w:val="center"/>
            <w:hideMark/>
          </w:tcPr>
          <w:p w14:paraId="29CA396E" w14:textId="77777777" w:rsidR="005720AD" w:rsidRPr="00053593" w:rsidRDefault="005720AD" w:rsidP="002A110F">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−63.4</w:t>
            </w:r>
          </w:p>
        </w:tc>
        <w:tc>
          <w:tcPr>
            <w:tcW w:w="993" w:type="pct"/>
            <w:vAlign w:val="center"/>
            <w:hideMark/>
          </w:tcPr>
          <w:p w14:paraId="4E0A0388" w14:textId="77777777" w:rsidR="005720AD" w:rsidRPr="00053593" w:rsidRDefault="005720AD" w:rsidP="002A110F">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p>
        </w:tc>
        <w:tc>
          <w:tcPr>
            <w:tcW w:w="993" w:type="pct"/>
            <w:vAlign w:val="center"/>
            <w:hideMark/>
          </w:tcPr>
          <w:p w14:paraId="713658B0" w14:textId="77777777" w:rsidR="005720AD" w:rsidRPr="00053593" w:rsidRDefault="005720AD" w:rsidP="002A110F">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p>
        </w:tc>
      </w:tr>
      <w:tr w:rsidR="005720AD" w:rsidRPr="00053593" w14:paraId="48845B2E" w14:textId="77777777" w:rsidTr="00053593">
        <w:trPr>
          <w:jc w:val="center"/>
        </w:trPr>
        <w:tc>
          <w:tcPr>
            <w:tcW w:w="584" w:type="pct"/>
            <w:vMerge/>
            <w:tcBorders>
              <w:bottom w:val="single" w:sz="4" w:space="0" w:color="auto"/>
            </w:tcBorders>
            <w:vAlign w:val="center"/>
            <w:hideMark/>
          </w:tcPr>
          <w:p w14:paraId="77DC35EF" w14:textId="77777777" w:rsidR="005720AD" w:rsidRPr="00053593" w:rsidRDefault="005720AD" w:rsidP="002A110F">
            <w:pPr>
              <w:pStyle w:val="Tabletext"/>
              <w:jc w:val="center"/>
              <w:rPr>
                <w:rFonts w:ascii="Times New Roman" w:hAnsi="Times New Roman" w:cs="Times New Roman"/>
                <w:szCs w:val="20"/>
                <w:lang w:eastAsia="de-DE"/>
              </w:rPr>
            </w:pPr>
          </w:p>
        </w:tc>
        <w:tc>
          <w:tcPr>
            <w:tcW w:w="443" w:type="pct"/>
            <w:tcBorders>
              <w:bottom w:val="single" w:sz="4" w:space="0" w:color="auto"/>
            </w:tcBorders>
            <w:vAlign w:val="center"/>
            <w:hideMark/>
          </w:tcPr>
          <w:p w14:paraId="560E0044"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 xml:space="preserve">3-17 </w:t>
            </w:r>
            <w:r w:rsidRPr="00053593">
              <w:rPr>
                <w:rFonts w:ascii="Times New Roman" w:hAnsi="Times New Roman" w:cs="Times New Roman"/>
                <w:color w:val="000000"/>
                <w:szCs w:val="20"/>
                <w:vertAlign w:val="superscript"/>
              </w:rPr>
              <w:t>(1)</w:t>
            </w:r>
          </w:p>
        </w:tc>
        <w:tc>
          <w:tcPr>
            <w:tcW w:w="993" w:type="pct"/>
            <w:tcBorders>
              <w:bottom w:val="single" w:sz="4" w:space="0" w:color="auto"/>
            </w:tcBorders>
            <w:vAlign w:val="center"/>
            <w:hideMark/>
          </w:tcPr>
          <w:p w14:paraId="722D2703"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−53.5 to −67.5</w:t>
            </w:r>
          </w:p>
        </w:tc>
        <w:tc>
          <w:tcPr>
            <w:tcW w:w="993" w:type="pct"/>
            <w:tcBorders>
              <w:bottom w:val="single" w:sz="4" w:space="0" w:color="auto"/>
            </w:tcBorders>
            <w:vAlign w:val="center"/>
            <w:hideMark/>
          </w:tcPr>
          <w:p w14:paraId="493E9706"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−63.4 to −77.4</w:t>
            </w:r>
          </w:p>
        </w:tc>
        <w:tc>
          <w:tcPr>
            <w:tcW w:w="993" w:type="pct"/>
            <w:tcBorders>
              <w:bottom w:val="single" w:sz="4" w:space="0" w:color="auto"/>
            </w:tcBorders>
            <w:vAlign w:val="center"/>
            <w:hideMark/>
          </w:tcPr>
          <w:p w14:paraId="0134A19E"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 to −44.9</w:t>
            </w:r>
          </w:p>
        </w:tc>
        <w:tc>
          <w:tcPr>
            <w:tcW w:w="993" w:type="pct"/>
            <w:tcBorders>
              <w:bottom w:val="single" w:sz="4" w:space="0" w:color="auto"/>
            </w:tcBorders>
            <w:vAlign w:val="center"/>
            <w:hideMark/>
          </w:tcPr>
          <w:p w14:paraId="5B28D51B" w14:textId="77777777" w:rsidR="005720AD" w:rsidRPr="00053593" w:rsidRDefault="005720AD" w:rsidP="002A110F">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 to −54.9</w:t>
            </w:r>
          </w:p>
        </w:tc>
      </w:tr>
      <w:tr w:rsidR="005720AD" w:rsidRPr="00053593" w14:paraId="6AC7B576" w14:textId="77777777" w:rsidTr="00053593">
        <w:trPr>
          <w:jc w:val="center"/>
        </w:trPr>
        <w:tc>
          <w:tcPr>
            <w:tcW w:w="5000" w:type="pct"/>
            <w:gridSpan w:val="6"/>
            <w:tcBorders>
              <w:left w:val="nil"/>
              <w:bottom w:val="nil"/>
              <w:right w:val="nil"/>
            </w:tcBorders>
            <w:hideMark/>
          </w:tcPr>
          <w:p w14:paraId="18AAC802" w14:textId="77777777" w:rsidR="005720AD" w:rsidRPr="00053593" w:rsidRDefault="005720AD" w:rsidP="00053593">
            <w:pPr>
              <w:pStyle w:val="Tabletext"/>
              <w:ind w:left="284" w:hanging="284"/>
              <w:jc w:val="left"/>
              <w:rPr>
                <w:rFonts w:ascii="Times New Roman" w:hAnsi="Times New Roman" w:cs="Times New Roman"/>
                <w:color w:val="000000"/>
              </w:rPr>
            </w:pPr>
            <w:r w:rsidRPr="00053593">
              <w:rPr>
                <w:rFonts w:ascii="Times New Roman" w:hAnsi="Times New Roman" w:cs="Times New Roman"/>
                <w:color w:val="000000"/>
                <w:vertAlign w:val="superscript"/>
              </w:rPr>
              <w:t>(1)</w:t>
            </w:r>
            <w:r w:rsidRPr="00053593">
              <w:rPr>
                <w:rFonts w:ascii="Times New Roman" w:hAnsi="Times New Roman" w:cs="Times New Roman"/>
                <w:color w:val="000000"/>
              </w:rPr>
              <w:tab/>
            </w:r>
            <w:r w:rsidRPr="00053593">
              <w:rPr>
                <w:rFonts w:ascii="Times New Roman" w:hAnsi="Times New Roman" w:cs="Times New Roman"/>
              </w:rPr>
              <w:t xml:space="preserve">The </w:t>
            </w:r>
            <w:proofErr w:type="spellStart"/>
            <w:r w:rsidRPr="00053593">
              <w:rPr>
                <w:rFonts w:ascii="Times New Roman" w:hAnsi="Times New Roman" w:cs="Times New Roman"/>
              </w:rPr>
              <w:t>pfd</w:t>
            </w:r>
            <w:proofErr w:type="spellEnd"/>
            <w:r w:rsidRPr="00053593">
              <w:rPr>
                <w:rFonts w:ascii="Times New Roman" w:hAnsi="Times New Roman" w:cs="Times New Roman"/>
              </w:rPr>
              <w:t xml:space="preserve"> values based on 3 </w:t>
            </w:r>
            <w:proofErr w:type="spellStart"/>
            <w:r w:rsidRPr="00053593">
              <w:rPr>
                <w:rFonts w:ascii="Times New Roman" w:hAnsi="Times New Roman" w:cs="Times New Roman"/>
              </w:rPr>
              <w:t>dBi</w:t>
            </w:r>
            <w:proofErr w:type="spellEnd"/>
            <w:r w:rsidRPr="00053593">
              <w:rPr>
                <w:rFonts w:ascii="Times New Roman" w:hAnsi="Times New Roman" w:cs="Times New Roman"/>
              </w:rPr>
              <w:t xml:space="preserve"> MES antenna gain </w:t>
            </w:r>
            <w:proofErr w:type="gramStart"/>
            <w:r w:rsidRPr="00053593">
              <w:rPr>
                <w:rFonts w:ascii="Times New Roman" w:hAnsi="Times New Roman" w:cs="Times New Roman"/>
              </w:rPr>
              <w:t>apply</w:t>
            </w:r>
            <w:proofErr w:type="gramEnd"/>
            <w:r w:rsidRPr="00053593">
              <w:rPr>
                <w:rFonts w:ascii="Times New Roman" w:hAnsi="Times New Roman" w:cs="Times New Roman"/>
              </w:rPr>
              <w:t xml:space="preserve"> in most situations, but there are locations in the world where the antenna gain towards the horizon can exceed 3 </w:t>
            </w:r>
            <w:proofErr w:type="spellStart"/>
            <w:r w:rsidRPr="00053593">
              <w:rPr>
                <w:rFonts w:ascii="Times New Roman" w:hAnsi="Times New Roman" w:cs="Times New Roman"/>
              </w:rPr>
              <w:t>dBi</w:t>
            </w:r>
            <w:proofErr w:type="spellEnd"/>
            <w:r w:rsidRPr="00053593">
              <w:rPr>
                <w:rFonts w:ascii="Times New Roman" w:hAnsi="Times New Roman" w:cs="Times New Roman"/>
              </w:rPr>
              <w:t xml:space="preserve"> (up to 19 </w:t>
            </w:r>
            <w:proofErr w:type="spellStart"/>
            <w:r w:rsidRPr="00053593">
              <w:rPr>
                <w:rFonts w:ascii="Times New Roman" w:hAnsi="Times New Roman" w:cs="Times New Roman"/>
              </w:rPr>
              <w:t>dBi</w:t>
            </w:r>
            <w:proofErr w:type="spellEnd"/>
            <w:r w:rsidRPr="00053593">
              <w:rPr>
                <w:rFonts w:ascii="Times New Roman" w:hAnsi="Times New Roman" w:cs="Times New Roman"/>
              </w:rPr>
              <w:t xml:space="preserve"> or 17 </w:t>
            </w:r>
            <w:proofErr w:type="spellStart"/>
            <w:r w:rsidRPr="00053593">
              <w:rPr>
                <w:rFonts w:ascii="Times New Roman" w:hAnsi="Times New Roman" w:cs="Times New Roman"/>
              </w:rPr>
              <w:t>dBi</w:t>
            </w:r>
            <w:proofErr w:type="spellEnd"/>
            <w:r w:rsidRPr="00053593">
              <w:rPr>
                <w:rFonts w:ascii="Times New Roman" w:hAnsi="Times New Roman" w:cs="Times New Roman"/>
              </w:rPr>
              <w:t xml:space="preserve">). This is where there is a low elevation angle for the MES and where an IMT BS could be deployed in the direction of the MSS satellite as seen from the MES. For these cases, the actual angles to the satellite and the IMT deployment should be taken into consideration and the </w:t>
            </w:r>
            <w:proofErr w:type="spellStart"/>
            <w:r w:rsidRPr="00053593">
              <w:rPr>
                <w:rFonts w:ascii="Times New Roman" w:hAnsi="Times New Roman" w:cs="Times New Roman"/>
              </w:rPr>
              <w:t>pfd</w:t>
            </w:r>
            <w:proofErr w:type="spellEnd"/>
            <w:r w:rsidRPr="00053593">
              <w:rPr>
                <w:rFonts w:ascii="Times New Roman" w:hAnsi="Times New Roman" w:cs="Times New Roman"/>
              </w:rPr>
              <w:t xml:space="preserve"> adjusted to a value within the ranges shown.</w:t>
            </w:r>
          </w:p>
        </w:tc>
      </w:tr>
    </w:tbl>
    <w:p w14:paraId="0A896DAD" w14:textId="77777777" w:rsidR="005720AD" w:rsidRDefault="005720AD" w:rsidP="005720AD">
      <w:pPr>
        <w:pStyle w:val="Tablefin"/>
      </w:pPr>
    </w:p>
    <w:p w14:paraId="5541386C" w14:textId="77777777" w:rsidR="005720AD" w:rsidRPr="00F11070" w:rsidRDefault="005720AD" w:rsidP="00053593">
      <w:pPr>
        <w:pStyle w:val="Headingb"/>
        <w:rPr>
          <w:rFonts w:eastAsia="Calibri"/>
        </w:rPr>
      </w:pPr>
      <w:r w:rsidRPr="00F11070">
        <w:t xml:space="preserve">Option B </w:t>
      </w:r>
    </w:p>
    <w:p w14:paraId="421E7860" w14:textId="77777777" w:rsidR="005720AD" w:rsidRPr="00216E0D" w:rsidRDefault="005720AD" w:rsidP="005720AD">
      <w:pPr>
        <w:overflowPunct/>
        <w:autoSpaceDE/>
        <w:autoSpaceDN/>
        <w:adjustRightInd/>
        <w:textAlignment w:val="auto"/>
        <w:rPr>
          <w:szCs w:val="24"/>
          <w:lang w:eastAsia="en-GB"/>
        </w:rPr>
      </w:pPr>
      <w:r w:rsidRPr="00F11070">
        <w:t xml:space="preserve">The </w:t>
      </w:r>
      <w:proofErr w:type="spellStart"/>
      <w:r w:rsidRPr="00F11070">
        <w:t>pfd</w:t>
      </w:r>
      <w:proofErr w:type="spellEnd"/>
      <w:r w:rsidRPr="00F11070">
        <w:t xml:space="preserve"> limits for this option are provided in Table </w:t>
      </w:r>
      <w:r>
        <w:t>6</w:t>
      </w:r>
      <w:r w:rsidRPr="00F11070">
        <w:t xml:space="preserve"> and are derived with reference to measurements of MSS terminals conducted by the United States FCC in 2004. FCC document FCC 05-30</w:t>
      </w:r>
      <w:r w:rsidRPr="00F11070">
        <w:rPr>
          <w:rStyle w:val="FootnoteReference"/>
        </w:rPr>
        <w:footnoteReference w:id="4"/>
      </w:r>
      <w:r w:rsidRPr="00F11070">
        <w:t xml:space="preserve"> records testing based on CDMA-2000, GSM/TDMA 800 and GSM 1 800 mobile system architecture. It showed that CDMA-2000 corresponds to a −52 dBm blocking level for 1</w:t>
      </w:r>
      <w:r>
        <w:t xml:space="preserve"> to </w:t>
      </w:r>
      <w:r w:rsidRPr="00F11070">
        <w:t>2 MHz frequency separation. The blocking level used for this option is −50 dBm for IMT in the band 1 512-1 517 MHz and −35 dBm for the frequencies below</w:t>
      </w:r>
      <w:r w:rsidRPr="00F11070">
        <w:rPr>
          <w:i/>
          <w:iCs/>
        </w:rPr>
        <w:t>.</w:t>
      </w:r>
      <w:r w:rsidRPr="00F11070">
        <w:t xml:space="preserve"> Currently used maritime and aeronautical terminals (e.g. Inmarsat-C and Inmarsat aeronautical terminals) were not included in the tests performed back in 2004. It is noted that IMT-2020 and IMT-Advanced signals could have wider</w:t>
      </w:r>
      <w:r w:rsidRPr="00216E0D">
        <w:t xml:space="preserve"> bandwidth that the CDMA-2000 signal used.</w:t>
      </w:r>
    </w:p>
    <w:p w14:paraId="25FCDF5B" w14:textId="5B99049F" w:rsidR="005720AD" w:rsidRDefault="005720AD" w:rsidP="005720AD">
      <w:pPr>
        <w:overflowPunct/>
        <w:autoSpaceDE/>
        <w:autoSpaceDN/>
        <w:adjustRightInd/>
        <w:spacing w:before="0"/>
        <w:textAlignment w:val="auto"/>
        <w:rPr>
          <w:caps/>
          <w:sz w:val="20"/>
        </w:rPr>
      </w:pPr>
    </w:p>
    <w:p w14:paraId="71116FC9" w14:textId="4BC8B067" w:rsidR="005720AD" w:rsidRPr="00F11070" w:rsidRDefault="00053593" w:rsidP="005720AD">
      <w:pPr>
        <w:pStyle w:val="TableNo"/>
      </w:pPr>
      <w:r w:rsidRPr="00F11070">
        <w:lastRenderedPageBreak/>
        <w:t xml:space="preserve">TABLE </w:t>
      </w:r>
      <w:r w:rsidR="005720AD">
        <w:t>6</w:t>
      </w:r>
    </w:p>
    <w:p w14:paraId="44FA6808" w14:textId="77777777" w:rsidR="005720AD" w:rsidRPr="00F11070" w:rsidRDefault="005720AD" w:rsidP="005720AD">
      <w:pPr>
        <w:pStyle w:val="Tabletitle"/>
      </w:pPr>
      <w:proofErr w:type="spellStart"/>
      <w:r w:rsidRPr="00F11070">
        <w:t>Pfd</w:t>
      </w:r>
      <w:proofErr w:type="spellEnd"/>
      <w:r w:rsidRPr="00F11070">
        <w:t xml:space="preserve"> limits for IMT BSs transmitting a single or multiple channels</w:t>
      </w:r>
    </w:p>
    <w:tbl>
      <w:tblPr>
        <w:tblStyle w:val="TableGrid15"/>
        <w:tblW w:w="9639" w:type="dxa"/>
        <w:tblLayout w:type="fixed"/>
        <w:tblLook w:val="04A0" w:firstRow="1" w:lastRow="0" w:firstColumn="1" w:lastColumn="0" w:noHBand="0" w:noVBand="1"/>
      </w:tblPr>
      <w:tblGrid>
        <w:gridCol w:w="1528"/>
        <w:gridCol w:w="1351"/>
        <w:gridCol w:w="1440"/>
        <w:gridCol w:w="1317"/>
        <w:gridCol w:w="1326"/>
        <w:gridCol w:w="1324"/>
        <w:gridCol w:w="1353"/>
      </w:tblGrid>
      <w:tr w:rsidR="005720AD" w:rsidRPr="00053593" w14:paraId="6E3A6440" w14:textId="77777777" w:rsidTr="00053593">
        <w:tc>
          <w:tcPr>
            <w:tcW w:w="792" w:type="pct"/>
            <w:vAlign w:val="center"/>
            <w:hideMark/>
          </w:tcPr>
          <w:p w14:paraId="5575D80B" w14:textId="77777777" w:rsidR="005720AD" w:rsidRPr="00053593" w:rsidRDefault="005720AD" w:rsidP="002A110F">
            <w:pPr>
              <w:pStyle w:val="Tablehead"/>
              <w:rPr>
                <w:rFonts w:ascii="Times New Roman" w:hAnsi="Times New Roman"/>
                <w:sz w:val="21"/>
                <w:szCs w:val="21"/>
              </w:rPr>
            </w:pPr>
            <w:r w:rsidRPr="00053593">
              <w:rPr>
                <w:rFonts w:ascii="Times New Roman" w:hAnsi="Times New Roman"/>
                <w:sz w:val="21"/>
                <w:szCs w:val="21"/>
              </w:rPr>
              <w:t>Phase</w:t>
            </w:r>
          </w:p>
        </w:tc>
        <w:tc>
          <w:tcPr>
            <w:tcW w:w="2131" w:type="pct"/>
            <w:gridSpan w:val="3"/>
            <w:vAlign w:val="center"/>
            <w:hideMark/>
          </w:tcPr>
          <w:p w14:paraId="24EDEF5F" w14:textId="77777777" w:rsidR="005720AD" w:rsidRPr="00053593" w:rsidRDefault="005720AD" w:rsidP="002A110F">
            <w:pPr>
              <w:pStyle w:val="Tablehead"/>
              <w:rPr>
                <w:rFonts w:ascii="Times New Roman" w:hAnsi="Times New Roman"/>
                <w:sz w:val="21"/>
                <w:szCs w:val="21"/>
              </w:rPr>
            </w:pPr>
            <w:r w:rsidRPr="00053593">
              <w:rPr>
                <w:rFonts w:ascii="Times New Roman" w:hAnsi="Times New Roman"/>
                <w:sz w:val="21"/>
                <w:szCs w:val="21"/>
              </w:rPr>
              <w:t>Phase 1</w:t>
            </w:r>
          </w:p>
        </w:tc>
        <w:tc>
          <w:tcPr>
            <w:tcW w:w="2077" w:type="pct"/>
            <w:gridSpan w:val="3"/>
            <w:vAlign w:val="center"/>
            <w:hideMark/>
          </w:tcPr>
          <w:p w14:paraId="5704CD07" w14:textId="77777777" w:rsidR="005720AD" w:rsidRPr="00053593" w:rsidRDefault="005720AD" w:rsidP="002A110F">
            <w:pPr>
              <w:pStyle w:val="Tablehead"/>
              <w:rPr>
                <w:rFonts w:ascii="Times New Roman" w:hAnsi="Times New Roman"/>
                <w:sz w:val="21"/>
                <w:szCs w:val="21"/>
              </w:rPr>
            </w:pPr>
            <w:r w:rsidRPr="00053593">
              <w:rPr>
                <w:rFonts w:ascii="Times New Roman" w:hAnsi="Times New Roman"/>
                <w:sz w:val="21"/>
                <w:szCs w:val="21"/>
              </w:rPr>
              <w:t>Phase 2</w:t>
            </w:r>
          </w:p>
        </w:tc>
      </w:tr>
      <w:tr w:rsidR="005720AD" w:rsidRPr="00053593" w14:paraId="32F88A12" w14:textId="77777777" w:rsidTr="00053593">
        <w:tc>
          <w:tcPr>
            <w:tcW w:w="792" w:type="pct"/>
            <w:vAlign w:val="center"/>
          </w:tcPr>
          <w:p w14:paraId="5124DBDE" w14:textId="77777777" w:rsidR="005720AD" w:rsidRPr="00053593" w:rsidRDefault="005720AD" w:rsidP="002A110F">
            <w:pPr>
              <w:pStyle w:val="Tablehead"/>
              <w:rPr>
                <w:rFonts w:ascii="Times New Roman" w:hAnsi="Times New Roman"/>
                <w:sz w:val="21"/>
                <w:szCs w:val="21"/>
              </w:rPr>
            </w:pPr>
          </w:p>
        </w:tc>
        <w:tc>
          <w:tcPr>
            <w:tcW w:w="701" w:type="pct"/>
            <w:vAlign w:val="center"/>
            <w:hideMark/>
          </w:tcPr>
          <w:p w14:paraId="0E13ADCA"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limits for BS emissions in the band 1 492</w:t>
            </w:r>
            <w:r w:rsidRPr="00053593">
              <w:rPr>
                <w:rFonts w:ascii="Times New Roman" w:hAnsi="Times New Roman"/>
                <w:sz w:val="21"/>
                <w:szCs w:val="21"/>
              </w:rPr>
              <w:noBreakHyphen/>
              <w:t>1 502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c>
          <w:tcPr>
            <w:tcW w:w="747" w:type="pct"/>
            <w:vAlign w:val="center"/>
            <w:hideMark/>
          </w:tcPr>
          <w:p w14:paraId="23FEE591"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 for BS emissions in the band 1 502-1 512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c>
          <w:tcPr>
            <w:tcW w:w="683" w:type="pct"/>
            <w:vAlign w:val="center"/>
            <w:hideMark/>
          </w:tcPr>
          <w:p w14:paraId="04B9B496"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 for BS emissions in the band 1 512-1 517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c>
          <w:tcPr>
            <w:tcW w:w="688" w:type="pct"/>
            <w:vAlign w:val="center"/>
            <w:hideMark/>
          </w:tcPr>
          <w:p w14:paraId="635187DA"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 for BS emissions in the band 1 492</w:t>
            </w:r>
            <w:r w:rsidRPr="00053593">
              <w:rPr>
                <w:rFonts w:ascii="Times New Roman" w:hAnsi="Times New Roman"/>
                <w:sz w:val="21"/>
                <w:szCs w:val="21"/>
              </w:rPr>
              <w:noBreakHyphen/>
              <w:t>1 502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c>
          <w:tcPr>
            <w:tcW w:w="687" w:type="pct"/>
            <w:vAlign w:val="center"/>
            <w:hideMark/>
          </w:tcPr>
          <w:p w14:paraId="49D59A39"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 for BS emissions in the band 1 502</w:t>
            </w:r>
            <w:r w:rsidRPr="00053593">
              <w:rPr>
                <w:rFonts w:ascii="Times New Roman" w:hAnsi="Times New Roman"/>
                <w:sz w:val="21"/>
                <w:szCs w:val="21"/>
              </w:rPr>
              <w:noBreakHyphen/>
              <w:t>1 512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c>
          <w:tcPr>
            <w:tcW w:w="701" w:type="pct"/>
            <w:vAlign w:val="center"/>
            <w:hideMark/>
          </w:tcPr>
          <w:p w14:paraId="228A695B" w14:textId="77777777" w:rsidR="005720AD" w:rsidRPr="00053593" w:rsidRDefault="005720AD" w:rsidP="002A110F">
            <w:pPr>
              <w:pStyle w:val="Tablehead"/>
              <w:rPr>
                <w:rFonts w:ascii="Times New Roman" w:hAnsi="Times New Roman"/>
                <w:sz w:val="21"/>
                <w:szCs w:val="21"/>
              </w:rPr>
            </w:pPr>
            <w:proofErr w:type="spellStart"/>
            <w:r w:rsidRPr="00053593">
              <w:rPr>
                <w:rFonts w:ascii="Times New Roman" w:hAnsi="Times New Roman"/>
                <w:sz w:val="21"/>
                <w:szCs w:val="21"/>
              </w:rPr>
              <w:t>pfd</w:t>
            </w:r>
            <w:proofErr w:type="spellEnd"/>
            <w:r w:rsidRPr="00053593">
              <w:rPr>
                <w:rFonts w:ascii="Times New Roman" w:hAnsi="Times New Roman"/>
                <w:sz w:val="21"/>
                <w:szCs w:val="21"/>
              </w:rPr>
              <w:t xml:space="preserve"> limit for BS emissions in the band 1 512</w:t>
            </w:r>
            <w:r w:rsidRPr="00053593">
              <w:rPr>
                <w:rFonts w:ascii="Times New Roman" w:hAnsi="Times New Roman"/>
                <w:sz w:val="21"/>
                <w:szCs w:val="21"/>
              </w:rPr>
              <w:noBreakHyphen/>
              <w:t>1 517 MHz (</w:t>
            </w:r>
            <w:proofErr w:type="spellStart"/>
            <w:r w:rsidRPr="00053593">
              <w:rPr>
                <w:rFonts w:ascii="Times New Roman" w:hAnsi="Times New Roman"/>
                <w:sz w:val="21"/>
                <w:szCs w:val="21"/>
              </w:rPr>
              <w:t>dBW</w:t>
            </w:r>
            <w:proofErr w:type="spellEnd"/>
            <w:r w:rsidRPr="00053593">
              <w:rPr>
                <w:rFonts w:ascii="Times New Roman" w:hAnsi="Times New Roman"/>
                <w:sz w:val="21"/>
                <w:szCs w:val="21"/>
              </w:rPr>
              <w:t>/m</w:t>
            </w:r>
            <w:r w:rsidRPr="00053593">
              <w:rPr>
                <w:rFonts w:ascii="Times New Roman" w:hAnsi="Times New Roman"/>
                <w:sz w:val="21"/>
                <w:szCs w:val="21"/>
                <w:vertAlign w:val="superscript"/>
              </w:rPr>
              <w:t>2</w:t>
            </w:r>
            <w:r w:rsidRPr="00053593">
              <w:rPr>
                <w:rFonts w:ascii="Times New Roman" w:hAnsi="Times New Roman"/>
                <w:sz w:val="21"/>
                <w:szCs w:val="21"/>
              </w:rPr>
              <w:t>)</w:t>
            </w:r>
          </w:p>
        </w:tc>
      </w:tr>
      <w:tr w:rsidR="005720AD" w:rsidRPr="00053593" w14:paraId="2493325D" w14:textId="77777777" w:rsidTr="00053593">
        <w:tc>
          <w:tcPr>
            <w:tcW w:w="792" w:type="pct"/>
            <w:vAlign w:val="center"/>
            <w:hideMark/>
          </w:tcPr>
          <w:p w14:paraId="03D5AF5B" w14:textId="77777777" w:rsidR="005720AD" w:rsidRPr="00053593" w:rsidRDefault="005720AD" w:rsidP="00053593">
            <w:pPr>
              <w:pStyle w:val="Tabletext"/>
              <w:jc w:val="left"/>
              <w:rPr>
                <w:sz w:val="21"/>
                <w:szCs w:val="21"/>
              </w:rPr>
            </w:pPr>
            <w:r w:rsidRPr="00053593">
              <w:rPr>
                <w:sz w:val="21"/>
                <w:szCs w:val="21"/>
              </w:rPr>
              <w:t>Ports and maritime areas, to be determined by administrations</w:t>
            </w:r>
          </w:p>
        </w:tc>
        <w:tc>
          <w:tcPr>
            <w:tcW w:w="701" w:type="pct"/>
            <w:vAlign w:val="center"/>
            <w:hideMark/>
          </w:tcPr>
          <w:p w14:paraId="37B4EF3B" w14:textId="77777777" w:rsidR="005720AD" w:rsidRPr="00053593" w:rsidRDefault="005720AD" w:rsidP="002A110F">
            <w:pPr>
              <w:pStyle w:val="Tabletext"/>
              <w:jc w:val="center"/>
              <w:rPr>
                <w:sz w:val="21"/>
                <w:szCs w:val="21"/>
              </w:rPr>
            </w:pPr>
            <w:r w:rsidRPr="00053593">
              <w:rPr>
                <w:sz w:val="21"/>
                <w:szCs w:val="21"/>
              </w:rPr>
              <w:t>−42.9</w:t>
            </w:r>
          </w:p>
        </w:tc>
        <w:tc>
          <w:tcPr>
            <w:tcW w:w="747" w:type="pct"/>
            <w:vAlign w:val="center"/>
            <w:hideMark/>
          </w:tcPr>
          <w:p w14:paraId="334A749D" w14:textId="77777777" w:rsidR="005720AD" w:rsidRPr="00053593" w:rsidRDefault="005720AD" w:rsidP="002A110F">
            <w:pPr>
              <w:pStyle w:val="Tabletext"/>
              <w:jc w:val="center"/>
              <w:rPr>
                <w:sz w:val="21"/>
                <w:szCs w:val="21"/>
              </w:rPr>
            </w:pPr>
            <w:r w:rsidRPr="00053593">
              <w:rPr>
                <w:sz w:val="21"/>
                <w:szCs w:val="21"/>
              </w:rPr>
              <w:t>−42.9</w:t>
            </w:r>
          </w:p>
        </w:tc>
        <w:tc>
          <w:tcPr>
            <w:tcW w:w="683" w:type="pct"/>
            <w:vAlign w:val="center"/>
            <w:hideMark/>
          </w:tcPr>
          <w:p w14:paraId="4A687E21" w14:textId="77777777" w:rsidR="005720AD" w:rsidRPr="00053593" w:rsidRDefault="005720AD" w:rsidP="002A110F">
            <w:pPr>
              <w:pStyle w:val="Tabletext"/>
              <w:jc w:val="center"/>
              <w:rPr>
                <w:sz w:val="21"/>
                <w:szCs w:val="21"/>
              </w:rPr>
            </w:pPr>
            <w:r w:rsidRPr="00053593">
              <w:rPr>
                <w:sz w:val="21"/>
                <w:szCs w:val="21"/>
              </w:rPr>
              <w:t>−57.9</w:t>
            </w:r>
          </w:p>
        </w:tc>
        <w:tc>
          <w:tcPr>
            <w:tcW w:w="688" w:type="pct"/>
            <w:vAlign w:val="center"/>
            <w:hideMark/>
          </w:tcPr>
          <w:p w14:paraId="25BBA2B0" w14:textId="77777777" w:rsidR="005720AD" w:rsidRPr="00053593" w:rsidRDefault="005720AD" w:rsidP="00053593">
            <w:pPr>
              <w:pStyle w:val="Tabletext"/>
              <w:jc w:val="left"/>
              <w:rPr>
                <w:sz w:val="21"/>
                <w:szCs w:val="21"/>
              </w:rPr>
            </w:pPr>
            <w:r w:rsidRPr="00053593">
              <w:rPr>
                <w:sz w:val="21"/>
                <w:szCs w:val="21"/>
              </w:rPr>
              <w:t xml:space="preserve">No limit required provided that the BS </w:t>
            </w:r>
            <w:proofErr w:type="spellStart"/>
            <w:r w:rsidRPr="00053593">
              <w:rPr>
                <w:sz w:val="21"/>
                <w:szCs w:val="21"/>
              </w:rPr>
              <w:t>e.i.r.p</w:t>
            </w:r>
            <w:proofErr w:type="spellEnd"/>
            <w:r w:rsidRPr="00053593">
              <w:rPr>
                <w:sz w:val="21"/>
                <w:szCs w:val="21"/>
              </w:rPr>
              <w:t>. does not exceed 68 dBm</w:t>
            </w:r>
          </w:p>
        </w:tc>
        <w:tc>
          <w:tcPr>
            <w:tcW w:w="687" w:type="pct"/>
            <w:vAlign w:val="center"/>
            <w:hideMark/>
          </w:tcPr>
          <w:p w14:paraId="2A5D0697" w14:textId="77777777" w:rsidR="005720AD" w:rsidRPr="00053593" w:rsidRDefault="005720AD" w:rsidP="002A110F">
            <w:pPr>
              <w:pStyle w:val="Tabletext"/>
              <w:jc w:val="center"/>
              <w:rPr>
                <w:sz w:val="21"/>
                <w:szCs w:val="21"/>
              </w:rPr>
            </w:pPr>
            <w:r w:rsidRPr="00053593">
              <w:rPr>
                <w:sz w:val="21"/>
                <w:szCs w:val="21"/>
              </w:rPr>
              <w:t>−27.9</w:t>
            </w:r>
          </w:p>
        </w:tc>
        <w:tc>
          <w:tcPr>
            <w:tcW w:w="701" w:type="pct"/>
            <w:vAlign w:val="center"/>
            <w:hideMark/>
          </w:tcPr>
          <w:p w14:paraId="4DD2A1BA" w14:textId="77777777" w:rsidR="005720AD" w:rsidRPr="00053593" w:rsidRDefault="005720AD" w:rsidP="002A110F">
            <w:pPr>
              <w:pStyle w:val="Tabletext"/>
              <w:jc w:val="center"/>
              <w:rPr>
                <w:sz w:val="21"/>
                <w:szCs w:val="21"/>
              </w:rPr>
            </w:pPr>
            <w:r w:rsidRPr="00053593">
              <w:rPr>
                <w:sz w:val="21"/>
                <w:szCs w:val="21"/>
              </w:rPr>
              <w:t>−37.9</w:t>
            </w:r>
          </w:p>
        </w:tc>
      </w:tr>
      <w:tr w:rsidR="005720AD" w:rsidRPr="00053593" w14:paraId="22711B61" w14:textId="77777777" w:rsidTr="00053593">
        <w:tc>
          <w:tcPr>
            <w:tcW w:w="792" w:type="pct"/>
            <w:tcBorders>
              <w:bottom w:val="single" w:sz="4" w:space="0" w:color="auto"/>
            </w:tcBorders>
            <w:vAlign w:val="center"/>
            <w:hideMark/>
          </w:tcPr>
          <w:p w14:paraId="3DFFF2CD" w14:textId="77777777" w:rsidR="005720AD" w:rsidRPr="00053593" w:rsidRDefault="005720AD" w:rsidP="00053593">
            <w:pPr>
              <w:pStyle w:val="Tabletext"/>
              <w:jc w:val="left"/>
              <w:rPr>
                <w:sz w:val="21"/>
                <w:szCs w:val="21"/>
              </w:rPr>
            </w:pPr>
            <w:r w:rsidRPr="00053593">
              <w:rPr>
                <w:sz w:val="21"/>
                <w:szCs w:val="21"/>
              </w:rPr>
              <w:t>Airports</w:t>
            </w:r>
          </w:p>
        </w:tc>
        <w:tc>
          <w:tcPr>
            <w:tcW w:w="701" w:type="pct"/>
            <w:tcBorders>
              <w:bottom w:val="single" w:sz="4" w:space="0" w:color="auto"/>
            </w:tcBorders>
            <w:vAlign w:val="center"/>
            <w:hideMark/>
          </w:tcPr>
          <w:p w14:paraId="1F127439" w14:textId="77777777" w:rsidR="005720AD" w:rsidRPr="00053593" w:rsidRDefault="005720AD" w:rsidP="002A110F">
            <w:pPr>
              <w:pStyle w:val="Tabletext"/>
              <w:jc w:val="center"/>
              <w:rPr>
                <w:sz w:val="21"/>
                <w:szCs w:val="21"/>
              </w:rPr>
            </w:pPr>
            <w:r w:rsidRPr="00053593">
              <w:rPr>
                <w:sz w:val="21"/>
                <w:szCs w:val="21"/>
              </w:rPr>
              <w:t>−42.9</w:t>
            </w:r>
          </w:p>
        </w:tc>
        <w:tc>
          <w:tcPr>
            <w:tcW w:w="747" w:type="pct"/>
            <w:tcBorders>
              <w:bottom w:val="single" w:sz="4" w:space="0" w:color="auto"/>
            </w:tcBorders>
            <w:vAlign w:val="center"/>
            <w:hideMark/>
          </w:tcPr>
          <w:p w14:paraId="220168B4" w14:textId="77777777" w:rsidR="005720AD" w:rsidRPr="00053593" w:rsidRDefault="005720AD" w:rsidP="002A110F">
            <w:pPr>
              <w:pStyle w:val="Tabletext"/>
              <w:jc w:val="center"/>
              <w:rPr>
                <w:sz w:val="21"/>
                <w:szCs w:val="21"/>
              </w:rPr>
            </w:pPr>
            <w:r w:rsidRPr="00053593">
              <w:rPr>
                <w:sz w:val="21"/>
                <w:szCs w:val="21"/>
              </w:rPr>
              <w:t>−42.9</w:t>
            </w:r>
          </w:p>
        </w:tc>
        <w:tc>
          <w:tcPr>
            <w:tcW w:w="683" w:type="pct"/>
            <w:tcBorders>
              <w:bottom w:val="single" w:sz="4" w:space="0" w:color="auto"/>
            </w:tcBorders>
            <w:vAlign w:val="center"/>
            <w:hideMark/>
          </w:tcPr>
          <w:p w14:paraId="2B1A8B7F" w14:textId="77777777" w:rsidR="005720AD" w:rsidRPr="00053593" w:rsidRDefault="005720AD" w:rsidP="002A110F">
            <w:pPr>
              <w:pStyle w:val="Tabletext"/>
              <w:jc w:val="center"/>
              <w:rPr>
                <w:sz w:val="21"/>
                <w:szCs w:val="21"/>
              </w:rPr>
            </w:pPr>
            <w:r w:rsidRPr="00053593">
              <w:rPr>
                <w:sz w:val="21"/>
                <w:szCs w:val="21"/>
              </w:rPr>
              <w:t>−57.9</w:t>
            </w:r>
          </w:p>
        </w:tc>
        <w:tc>
          <w:tcPr>
            <w:tcW w:w="688" w:type="pct"/>
            <w:tcBorders>
              <w:bottom w:val="single" w:sz="4" w:space="0" w:color="auto"/>
            </w:tcBorders>
            <w:vAlign w:val="center"/>
            <w:hideMark/>
          </w:tcPr>
          <w:p w14:paraId="34665344" w14:textId="77777777" w:rsidR="005720AD" w:rsidRPr="00053593" w:rsidRDefault="005720AD" w:rsidP="00053593">
            <w:pPr>
              <w:pStyle w:val="Tabletext"/>
              <w:jc w:val="left"/>
              <w:rPr>
                <w:sz w:val="21"/>
                <w:szCs w:val="21"/>
              </w:rPr>
            </w:pPr>
            <w:r w:rsidRPr="00053593">
              <w:rPr>
                <w:sz w:val="21"/>
                <w:szCs w:val="21"/>
              </w:rPr>
              <w:t xml:space="preserve">No limit required provided that the BS </w:t>
            </w:r>
            <w:proofErr w:type="spellStart"/>
            <w:r w:rsidRPr="00053593">
              <w:rPr>
                <w:sz w:val="21"/>
                <w:szCs w:val="21"/>
              </w:rPr>
              <w:t>e.i.r.p</w:t>
            </w:r>
            <w:proofErr w:type="spellEnd"/>
            <w:r w:rsidRPr="00053593">
              <w:rPr>
                <w:sz w:val="21"/>
                <w:szCs w:val="21"/>
              </w:rPr>
              <w:t>. does not exceed 68 dBm</w:t>
            </w:r>
          </w:p>
        </w:tc>
        <w:tc>
          <w:tcPr>
            <w:tcW w:w="687" w:type="pct"/>
            <w:tcBorders>
              <w:bottom w:val="single" w:sz="4" w:space="0" w:color="auto"/>
            </w:tcBorders>
            <w:vAlign w:val="center"/>
            <w:hideMark/>
          </w:tcPr>
          <w:p w14:paraId="54952028" w14:textId="77777777" w:rsidR="005720AD" w:rsidRPr="00053593" w:rsidRDefault="005720AD" w:rsidP="002A110F">
            <w:pPr>
              <w:pStyle w:val="Tabletext"/>
              <w:jc w:val="center"/>
              <w:rPr>
                <w:sz w:val="21"/>
                <w:szCs w:val="21"/>
              </w:rPr>
            </w:pPr>
            <w:r w:rsidRPr="00053593">
              <w:rPr>
                <w:sz w:val="21"/>
                <w:szCs w:val="21"/>
              </w:rPr>
              <w:t>−27.9</w:t>
            </w:r>
          </w:p>
        </w:tc>
        <w:tc>
          <w:tcPr>
            <w:tcW w:w="701" w:type="pct"/>
            <w:tcBorders>
              <w:bottom w:val="single" w:sz="4" w:space="0" w:color="auto"/>
            </w:tcBorders>
            <w:vAlign w:val="center"/>
            <w:hideMark/>
          </w:tcPr>
          <w:p w14:paraId="77FF912B" w14:textId="77777777" w:rsidR="005720AD" w:rsidRPr="00053593" w:rsidRDefault="005720AD" w:rsidP="002A110F">
            <w:pPr>
              <w:pStyle w:val="Tabletext"/>
              <w:jc w:val="center"/>
              <w:rPr>
                <w:sz w:val="21"/>
                <w:szCs w:val="21"/>
              </w:rPr>
            </w:pPr>
            <w:r w:rsidRPr="00053593">
              <w:rPr>
                <w:sz w:val="21"/>
                <w:szCs w:val="21"/>
              </w:rPr>
              <w:t>−37.9</w:t>
            </w:r>
          </w:p>
        </w:tc>
      </w:tr>
      <w:tr w:rsidR="005720AD" w:rsidRPr="00053593" w14:paraId="32306071" w14:textId="77777777" w:rsidTr="00053593">
        <w:tc>
          <w:tcPr>
            <w:tcW w:w="5000" w:type="pct"/>
            <w:gridSpan w:val="7"/>
            <w:tcBorders>
              <w:left w:val="nil"/>
              <w:bottom w:val="nil"/>
              <w:right w:val="nil"/>
            </w:tcBorders>
            <w:vAlign w:val="center"/>
          </w:tcPr>
          <w:p w14:paraId="68341C59" w14:textId="77777777" w:rsidR="005720AD" w:rsidRPr="00053593" w:rsidRDefault="005720AD" w:rsidP="002A110F">
            <w:pPr>
              <w:pStyle w:val="Tabletext"/>
              <w:rPr>
                <w:sz w:val="21"/>
                <w:szCs w:val="21"/>
              </w:rPr>
            </w:pPr>
            <w:r w:rsidRPr="00053593">
              <w:rPr>
                <w:i/>
                <w:iCs/>
                <w:sz w:val="21"/>
                <w:szCs w:val="21"/>
                <w:lang w:eastAsia="zh-CN"/>
              </w:rPr>
              <w:t>Note</w:t>
            </w:r>
            <w:r w:rsidRPr="00053593">
              <w:rPr>
                <w:sz w:val="21"/>
                <w:szCs w:val="21"/>
                <w:lang w:eastAsia="zh-CN"/>
              </w:rPr>
              <w:t xml:space="preserve">: The </w:t>
            </w:r>
            <w:proofErr w:type="spellStart"/>
            <w:r w:rsidRPr="00053593">
              <w:rPr>
                <w:sz w:val="21"/>
                <w:szCs w:val="21"/>
                <w:lang w:eastAsia="zh-CN"/>
              </w:rPr>
              <w:t>pfd</w:t>
            </w:r>
            <w:proofErr w:type="spellEnd"/>
            <w:r w:rsidRPr="00053593">
              <w:rPr>
                <w:sz w:val="21"/>
                <w:szCs w:val="21"/>
                <w:lang w:eastAsia="zh-CN"/>
              </w:rPr>
              <w:t xml:space="preserve"> values based on 3 </w:t>
            </w:r>
            <w:proofErr w:type="spellStart"/>
            <w:r w:rsidRPr="00053593">
              <w:rPr>
                <w:sz w:val="21"/>
                <w:szCs w:val="21"/>
                <w:lang w:eastAsia="zh-CN"/>
              </w:rPr>
              <w:t>dBi</w:t>
            </w:r>
            <w:proofErr w:type="spellEnd"/>
            <w:r w:rsidRPr="00053593">
              <w:rPr>
                <w:sz w:val="21"/>
                <w:szCs w:val="21"/>
                <w:lang w:eastAsia="zh-CN"/>
              </w:rPr>
              <w:t xml:space="preserve"> MES antenna gain </w:t>
            </w:r>
            <w:proofErr w:type="gramStart"/>
            <w:r w:rsidRPr="00053593">
              <w:rPr>
                <w:sz w:val="21"/>
                <w:szCs w:val="21"/>
                <w:lang w:eastAsia="zh-CN"/>
              </w:rPr>
              <w:t>apply</w:t>
            </w:r>
            <w:proofErr w:type="gramEnd"/>
            <w:r w:rsidRPr="00053593">
              <w:rPr>
                <w:sz w:val="21"/>
                <w:szCs w:val="21"/>
                <w:lang w:eastAsia="zh-CN"/>
              </w:rPr>
              <w:t xml:space="preserve"> in most situations, but there are locations in the world where the antenna gain towards the horizon can exceed 3 </w:t>
            </w:r>
            <w:proofErr w:type="spellStart"/>
            <w:r w:rsidRPr="00053593">
              <w:rPr>
                <w:sz w:val="21"/>
                <w:szCs w:val="21"/>
                <w:lang w:eastAsia="zh-CN"/>
              </w:rPr>
              <w:t>dBi</w:t>
            </w:r>
            <w:proofErr w:type="spellEnd"/>
            <w:r w:rsidRPr="00053593">
              <w:rPr>
                <w:sz w:val="21"/>
                <w:szCs w:val="21"/>
                <w:lang w:eastAsia="zh-CN"/>
              </w:rPr>
              <w:t xml:space="preserve"> (up to 19 </w:t>
            </w:r>
            <w:proofErr w:type="spellStart"/>
            <w:r w:rsidRPr="00053593">
              <w:rPr>
                <w:sz w:val="21"/>
                <w:szCs w:val="21"/>
                <w:lang w:eastAsia="zh-CN"/>
              </w:rPr>
              <w:t>dBi</w:t>
            </w:r>
            <w:proofErr w:type="spellEnd"/>
            <w:r w:rsidRPr="00053593">
              <w:rPr>
                <w:sz w:val="21"/>
                <w:szCs w:val="21"/>
                <w:lang w:eastAsia="zh-CN"/>
              </w:rPr>
              <w:t xml:space="preserve"> for maritime or 17 </w:t>
            </w:r>
            <w:proofErr w:type="spellStart"/>
            <w:r w:rsidRPr="00053593">
              <w:rPr>
                <w:sz w:val="21"/>
                <w:szCs w:val="21"/>
                <w:lang w:eastAsia="zh-CN"/>
              </w:rPr>
              <w:t>dBi</w:t>
            </w:r>
            <w:proofErr w:type="spellEnd"/>
            <w:r w:rsidRPr="00053593">
              <w:rPr>
                <w:sz w:val="21"/>
                <w:szCs w:val="21"/>
                <w:lang w:eastAsia="zh-CN"/>
              </w:rPr>
              <w:t xml:space="preserve"> for aeronautical MESs). This is where there is a low elevation angle for the MES and where an IMT BS could be deployed in the direction of the MSS satellite as seen from the MES. For these cases, the actual angles to the satellite and the IMT deployment should be taken into consideration and the </w:t>
            </w:r>
            <w:proofErr w:type="spellStart"/>
            <w:r w:rsidRPr="00053593">
              <w:rPr>
                <w:sz w:val="21"/>
                <w:szCs w:val="21"/>
                <w:lang w:eastAsia="zh-CN"/>
              </w:rPr>
              <w:t>pfd</w:t>
            </w:r>
            <w:proofErr w:type="spellEnd"/>
            <w:r w:rsidRPr="00053593">
              <w:rPr>
                <w:sz w:val="21"/>
                <w:szCs w:val="21"/>
                <w:lang w:eastAsia="zh-CN"/>
              </w:rPr>
              <w:t xml:space="preserve"> adjusted to a value that reflect this.</w:t>
            </w:r>
          </w:p>
        </w:tc>
      </w:tr>
    </w:tbl>
    <w:p w14:paraId="04F0AE4A" w14:textId="77777777" w:rsidR="005720AD" w:rsidRPr="00216E0D" w:rsidRDefault="005720AD" w:rsidP="005720AD">
      <w:pPr>
        <w:pStyle w:val="Tablefin"/>
      </w:pPr>
    </w:p>
    <w:p w14:paraId="205AFB31" w14:textId="77777777" w:rsidR="005720AD" w:rsidRDefault="005720AD" w:rsidP="005720AD">
      <w:pPr>
        <w:rPr>
          <w:lang w:eastAsia="ja-JP"/>
        </w:rPr>
      </w:pPr>
    </w:p>
    <w:p w14:paraId="5D634404" w14:textId="77777777" w:rsidR="005720AD" w:rsidRPr="006D6186" w:rsidRDefault="005720AD" w:rsidP="005720AD">
      <w:pPr>
        <w:rPr>
          <w:lang w:eastAsia="ja-JP"/>
        </w:rPr>
      </w:pPr>
    </w:p>
    <w:p w14:paraId="443536A7" w14:textId="77777777" w:rsidR="005720AD" w:rsidRPr="009178E8" w:rsidRDefault="005720AD" w:rsidP="005720AD">
      <w:pPr>
        <w:pStyle w:val="AnnexNoTitle"/>
        <w:rPr>
          <w:lang w:eastAsia="ja-JP"/>
        </w:rPr>
      </w:pPr>
      <w:r w:rsidRPr="009178E8">
        <w:rPr>
          <w:lang w:eastAsia="ja-JP"/>
        </w:rPr>
        <w:t xml:space="preserve">Attachment </w:t>
      </w:r>
      <w:r>
        <w:rPr>
          <w:lang w:eastAsia="ja-JP"/>
        </w:rPr>
        <w:br/>
      </w:r>
      <w:r w:rsidRPr="009178E8">
        <w:rPr>
          <w:lang w:eastAsia="ja-JP"/>
        </w:rPr>
        <w:t>to Annex 3</w:t>
      </w:r>
      <w:r>
        <w:rPr>
          <w:lang w:eastAsia="ja-JP"/>
        </w:rPr>
        <w:br/>
      </w:r>
      <w:r>
        <w:rPr>
          <w:lang w:eastAsia="ja-JP"/>
        </w:rPr>
        <w:br/>
      </w:r>
      <w:r w:rsidRPr="009178E8">
        <w:rPr>
          <w:lang w:eastAsia="ja-JP"/>
        </w:rPr>
        <w:t xml:space="preserve">Blocking performances assumptions of MES terminals </w:t>
      </w:r>
      <w:r w:rsidRPr="009178E8">
        <w:rPr>
          <w:lang w:eastAsia="ja-JP"/>
        </w:rPr>
        <w:br/>
        <w:t xml:space="preserve">considered in Tables </w:t>
      </w:r>
      <w:r>
        <w:rPr>
          <w:lang w:eastAsia="ja-JP"/>
        </w:rPr>
        <w:t>4 to 6</w:t>
      </w:r>
    </w:p>
    <w:p w14:paraId="487E7F68" w14:textId="77777777" w:rsidR="005720AD" w:rsidRPr="00216E0D" w:rsidRDefault="005720AD" w:rsidP="005720AD">
      <w:pPr>
        <w:pStyle w:val="Normalaftertitle"/>
        <w:rPr>
          <w:lang w:eastAsia="ja-JP"/>
        </w:rPr>
      </w:pPr>
      <w:r w:rsidRPr="009178E8">
        <w:t xml:space="preserve">The blocking performance assumptions of aeronautical and maritime MES terminals are provided below in Tables </w:t>
      </w:r>
      <w:r>
        <w:t>7</w:t>
      </w:r>
      <w:r w:rsidRPr="009178E8">
        <w:t xml:space="preserve"> and </w:t>
      </w:r>
      <w:r>
        <w:t>8</w:t>
      </w:r>
      <w:r w:rsidRPr="009178E8">
        <w:t xml:space="preserve"> for the respective IMT signal frequency range. The sources for the values for Phase 1 are described in Annex 3. While the Phase 2 values for IMT in the band 1 512-1 517 MHz are based on the MESs which meet the technical blocking levels of this Recommendation provided in Annex 2, the values for the band 1 492-1 512 MHz are based on assumptions. Therefore, when the MES terminals which meet the technical blocking levels provided in Annex 2 are available, administrations may need to review their blocking performance </w:t>
      </w:r>
      <w:r w:rsidRPr="009178E8">
        <w:rPr>
          <w:lang w:eastAsia="ja-JP"/>
        </w:rPr>
        <w:t>for</w:t>
      </w:r>
      <w:r w:rsidRPr="009178E8">
        <w:t xml:space="preserve"> the 1 492-1 512 MHz band and the corresponding </w:t>
      </w:r>
      <w:proofErr w:type="spellStart"/>
      <w:r w:rsidRPr="009178E8">
        <w:t>pfd</w:t>
      </w:r>
      <w:proofErr w:type="spellEnd"/>
      <w:r w:rsidRPr="009178E8">
        <w:t xml:space="preserve"> values in Annex 3.</w:t>
      </w:r>
    </w:p>
    <w:p w14:paraId="37EA9159" w14:textId="518A4945" w:rsidR="005720AD" w:rsidRPr="00216E0D" w:rsidRDefault="00053593" w:rsidP="005720AD">
      <w:pPr>
        <w:pStyle w:val="TableNo"/>
      </w:pPr>
      <w:r w:rsidRPr="00216E0D">
        <w:lastRenderedPageBreak/>
        <w:t xml:space="preserve">TABLE </w:t>
      </w:r>
      <w:r w:rsidR="005720AD">
        <w:t>7</w:t>
      </w:r>
    </w:p>
    <w:p w14:paraId="3CD6D1A2" w14:textId="77777777" w:rsidR="005720AD" w:rsidRPr="00216E0D" w:rsidRDefault="005720AD" w:rsidP="005720AD">
      <w:pPr>
        <w:pStyle w:val="Tabletitle"/>
      </w:pPr>
      <w:r w:rsidRPr="00216E0D">
        <w:t>Blocking performance (dBm) assumptions of aeronautical and maritime MES terminals in Option A</w:t>
      </w:r>
    </w:p>
    <w:tbl>
      <w:tblPr>
        <w:tblStyle w:val="TableGrid"/>
        <w:tblW w:w="0" w:type="auto"/>
        <w:tblLook w:val="04A0" w:firstRow="1" w:lastRow="0" w:firstColumn="1" w:lastColumn="0" w:noHBand="0" w:noVBand="1"/>
      </w:tblPr>
      <w:tblGrid>
        <w:gridCol w:w="1479"/>
        <w:gridCol w:w="1848"/>
        <w:gridCol w:w="1204"/>
        <w:gridCol w:w="1276"/>
        <w:gridCol w:w="1276"/>
        <w:gridCol w:w="1276"/>
        <w:gridCol w:w="1270"/>
      </w:tblGrid>
      <w:tr w:rsidR="005720AD" w:rsidRPr="00053593" w14:paraId="1D7A04CC" w14:textId="77777777" w:rsidTr="002A110F">
        <w:tc>
          <w:tcPr>
            <w:tcW w:w="3327" w:type="dxa"/>
            <w:gridSpan w:val="2"/>
            <w:vAlign w:val="center"/>
          </w:tcPr>
          <w:p w14:paraId="18350693"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w:t>
            </w:r>
          </w:p>
        </w:tc>
        <w:tc>
          <w:tcPr>
            <w:tcW w:w="3756" w:type="dxa"/>
            <w:gridSpan w:val="3"/>
            <w:vAlign w:val="center"/>
          </w:tcPr>
          <w:p w14:paraId="4549FD42"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 1</w:t>
            </w:r>
          </w:p>
        </w:tc>
        <w:tc>
          <w:tcPr>
            <w:tcW w:w="2546" w:type="dxa"/>
            <w:gridSpan w:val="2"/>
            <w:vAlign w:val="center"/>
          </w:tcPr>
          <w:p w14:paraId="4285AE3C"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 2</w:t>
            </w:r>
          </w:p>
        </w:tc>
      </w:tr>
      <w:tr w:rsidR="005720AD" w:rsidRPr="00053593" w14:paraId="490FBB39" w14:textId="77777777" w:rsidTr="002A110F">
        <w:tc>
          <w:tcPr>
            <w:tcW w:w="3327" w:type="dxa"/>
            <w:gridSpan w:val="2"/>
            <w:vAlign w:val="center"/>
          </w:tcPr>
          <w:p w14:paraId="6D16C725"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Frequency range (MHz)</w:t>
            </w:r>
          </w:p>
        </w:tc>
        <w:tc>
          <w:tcPr>
            <w:tcW w:w="1204" w:type="dxa"/>
            <w:vAlign w:val="center"/>
          </w:tcPr>
          <w:p w14:paraId="1DE2C9C2"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1 492-1 502</w:t>
            </w:r>
          </w:p>
        </w:tc>
        <w:tc>
          <w:tcPr>
            <w:tcW w:w="1276" w:type="dxa"/>
            <w:vAlign w:val="center"/>
          </w:tcPr>
          <w:p w14:paraId="2062DFEF"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1 502-1 512</w:t>
            </w:r>
          </w:p>
        </w:tc>
        <w:tc>
          <w:tcPr>
            <w:tcW w:w="1276" w:type="dxa"/>
            <w:vAlign w:val="center"/>
          </w:tcPr>
          <w:p w14:paraId="0C35A01B"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1 512-1 517</w:t>
            </w:r>
          </w:p>
        </w:tc>
        <w:tc>
          <w:tcPr>
            <w:tcW w:w="1276" w:type="dxa"/>
            <w:vAlign w:val="center"/>
          </w:tcPr>
          <w:p w14:paraId="004BDBD8"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1 492-1 512</w:t>
            </w:r>
          </w:p>
        </w:tc>
        <w:tc>
          <w:tcPr>
            <w:tcW w:w="1270" w:type="dxa"/>
            <w:vAlign w:val="center"/>
          </w:tcPr>
          <w:p w14:paraId="793D8B23"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1 512-1 517</w:t>
            </w:r>
          </w:p>
        </w:tc>
      </w:tr>
      <w:tr w:rsidR="005720AD" w:rsidRPr="00053593" w14:paraId="5F701077" w14:textId="77777777" w:rsidTr="002A110F">
        <w:tc>
          <w:tcPr>
            <w:tcW w:w="1479" w:type="dxa"/>
            <w:vMerge w:val="restart"/>
            <w:vAlign w:val="center"/>
          </w:tcPr>
          <w:p w14:paraId="7B8E4528"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For Table 4</w:t>
            </w:r>
          </w:p>
        </w:tc>
        <w:tc>
          <w:tcPr>
            <w:tcW w:w="1848" w:type="dxa"/>
            <w:vAlign w:val="center"/>
          </w:tcPr>
          <w:p w14:paraId="1C000C5D"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Maritime MESs</w:t>
            </w:r>
          </w:p>
        </w:tc>
        <w:tc>
          <w:tcPr>
            <w:tcW w:w="1204" w:type="dxa"/>
            <w:vAlign w:val="center"/>
          </w:tcPr>
          <w:p w14:paraId="48E716F0"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−53</w:t>
            </w:r>
          </w:p>
        </w:tc>
        <w:tc>
          <w:tcPr>
            <w:tcW w:w="1276" w:type="dxa"/>
            <w:vAlign w:val="center"/>
          </w:tcPr>
          <w:p w14:paraId="6467D625"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−68</w:t>
            </w:r>
          </w:p>
        </w:tc>
        <w:tc>
          <w:tcPr>
            <w:tcW w:w="1276" w:type="dxa"/>
            <w:vAlign w:val="center"/>
          </w:tcPr>
          <w:p w14:paraId="7E8F24ED"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−76</w:t>
            </w:r>
          </w:p>
        </w:tc>
        <w:tc>
          <w:tcPr>
            <w:tcW w:w="1276" w:type="dxa"/>
            <w:vAlign w:val="center"/>
          </w:tcPr>
          <w:p w14:paraId="54888FFB"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−20</w:t>
            </w:r>
          </w:p>
        </w:tc>
        <w:tc>
          <w:tcPr>
            <w:tcW w:w="1270" w:type="dxa"/>
            <w:vAlign w:val="center"/>
          </w:tcPr>
          <w:p w14:paraId="16088201"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5720AD" w:rsidRPr="00053593" w14:paraId="2AAF41BD" w14:textId="77777777" w:rsidTr="002A110F">
        <w:tc>
          <w:tcPr>
            <w:tcW w:w="1479" w:type="dxa"/>
            <w:vMerge/>
            <w:vAlign w:val="center"/>
          </w:tcPr>
          <w:p w14:paraId="69349698" w14:textId="77777777" w:rsidR="005720AD" w:rsidRPr="00053593" w:rsidRDefault="005720AD" w:rsidP="002A110F">
            <w:pPr>
              <w:pStyle w:val="Tabletext"/>
              <w:jc w:val="center"/>
              <w:rPr>
                <w:rFonts w:ascii="Times New Roman" w:hAnsi="Times New Roman" w:cs="Times New Roman"/>
              </w:rPr>
            </w:pPr>
          </w:p>
        </w:tc>
        <w:tc>
          <w:tcPr>
            <w:tcW w:w="1848" w:type="dxa"/>
            <w:vAlign w:val="center"/>
          </w:tcPr>
          <w:p w14:paraId="21823E9B"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Aeronautical MESs</w:t>
            </w:r>
          </w:p>
        </w:tc>
        <w:tc>
          <w:tcPr>
            <w:tcW w:w="1204" w:type="dxa"/>
            <w:vAlign w:val="center"/>
          </w:tcPr>
          <w:p w14:paraId="1CA87DAD"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−21</w:t>
            </w:r>
          </w:p>
        </w:tc>
        <w:tc>
          <w:tcPr>
            <w:tcW w:w="1276" w:type="dxa"/>
            <w:vAlign w:val="center"/>
          </w:tcPr>
          <w:p w14:paraId="06EA26A0"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5FD87442"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−50.3</w:t>
            </w:r>
          </w:p>
        </w:tc>
        <w:tc>
          <w:tcPr>
            <w:tcW w:w="1276" w:type="dxa"/>
            <w:vAlign w:val="center"/>
          </w:tcPr>
          <w:p w14:paraId="0DF0E14B"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6CFFC180"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5720AD" w:rsidRPr="00053593" w14:paraId="1AFEE8EA" w14:textId="77777777" w:rsidTr="002A110F">
        <w:tc>
          <w:tcPr>
            <w:tcW w:w="1479" w:type="dxa"/>
            <w:vMerge w:val="restart"/>
            <w:vAlign w:val="center"/>
          </w:tcPr>
          <w:p w14:paraId="2079BB6A"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For Table 5</w:t>
            </w:r>
          </w:p>
        </w:tc>
        <w:tc>
          <w:tcPr>
            <w:tcW w:w="1848" w:type="dxa"/>
            <w:vAlign w:val="center"/>
          </w:tcPr>
          <w:p w14:paraId="79179D7B"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Maritime MESs</w:t>
            </w:r>
          </w:p>
        </w:tc>
        <w:tc>
          <w:tcPr>
            <w:tcW w:w="2480" w:type="dxa"/>
            <w:gridSpan w:val="2"/>
            <w:vAlign w:val="center"/>
          </w:tcPr>
          <w:p w14:paraId="1A017EEF"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−67</w:t>
            </w:r>
          </w:p>
        </w:tc>
        <w:tc>
          <w:tcPr>
            <w:tcW w:w="1276" w:type="dxa"/>
            <w:vAlign w:val="center"/>
          </w:tcPr>
          <w:p w14:paraId="466F450E"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−78</w:t>
            </w:r>
          </w:p>
        </w:tc>
        <w:tc>
          <w:tcPr>
            <w:tcW w:w="1276" w:type="dxa"/>
            <w:vAlign w:val="center"/>
          </w:tcPr>
          <w:p w14:paraId="35B906B3"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−23</w:t>
            </w:r>
          </w:p>
        </w:tc>
        <w:tc>
          <w:tcPr>
            <w:tcW w:w="1270" w:type="dxa"/>
            <w:vAlign w:val="center"/>
          </w:tcPr>
          <w:p w14:paraId="1642C7FD"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−33</w:t>
            </w:r>
          </w:p>
        </w:tc>
      </w:tr>
      <w:tr w:rsidR="005720AD" w:rsidRPr="00053593" w14:paraId="548064DC" w14:textId="77777777" w:rsidTr="002A110F">
        <w:tc>
          <w:tcPr>
            <w:tcW w:w="1479" w:type="dxa"/>
            <w:vMerge/>
            <w:vAlign w:val="center"/>
          </w:tcPr>
          <w:p w14:paraId="403A0EBB" w14:textId="77777777" w:rsidR="005720AD" w:rsidRPr="00053593" w:rsidRDefault="005720AD" w:rsidP="002A110F">
            <w:pPr>
              <w:pStyle w:val="Tabletext"/>
              <w:jc w:val="center"/>
              <w:rPr>
                <w:rFonts w:ascii="Times New Roman" w:hAnsi="Times New Roman" w:cs="Times New Roman"/>
                <w:lang w:eastAsia="ja-JP"/>
              </w:rPr>
            </w:pPr>
          </w:p>
        </w:tc>
        <w:tc>
          <w:tcPr>
            <w:tcW w:w="1848" w:type="dxa"/>
            <w:vAlign w:val="center"/>
          </w:tcPr>
          <w:p w14:paraId="0E53FED8"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Aeronautical MESs</w:t>
            </w:r>
          </w:p>
        </w:tc>
        <w:tc>
          <w:tcPr>
            <w:tcW w:w="2480" w:type="dxa"/>
            <w:gridSpan w:val="2"/>
            <w:vAlign w:val="center"/>
          </w:tcPr>
          <w:p w14:paraId="47644EF4"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−45.6</w:t>
            </w:r>
          </w:p>
        </w:tc>
        <w:tc>
          <w:tcPr>
            <w:tcW w:w="1276" w:type="dxa"/>
            <w:vAlign w:val="center"/>
          </w:tcPr>
          <w:p w14:paraId="6E35C01A"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−55.5</w:t>
            </w:r>
          </w:p>
        </w:tc>
        <w:tc>
          <w:tcPr>
            <w:tcW w:w="1276" w:type="dxa"/>
            <w:vAlign w:val="center"/>
          </w:tcPr>
          <w:p w14:paraId="1F17A101"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−23</w:t>
            </w:r>
          </w:p>
        </w:tc>
        <w:tc>
          <w:tcPr>
            <w:tcW w:w="1270" w:type="dxa"/>
            <w:vAlign w:val="center"/>
          </w:tcPr>
          <w:p w14:paraId="68886B11"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−33</w:t>
            </w:r>
          </w:p>
        </w:tc>
      </w:tr>
    </w:tbl>
    <w:p w14:paraId="5CAA2529" w14:textId="77777777" w:rsidR="005720AD" w:rsidRDefault="005720AD" w:rsidP="005720AD">
      <w:pPr>
        <w:pStyle w:val="Tablefin"/>
      </w:pPr>
    </w:p>
    <w:p w14:paraId="06607C8D" w14:textId="6FC748B8" w:rsidR="005720AD" w:rsidRPr="00216E0D" w:rsidRDefault="00053593" w:rsidP="005720AD">
      <w:pPr>
        <w:pStyle w:val="TableNo"/>
      </w:pPr>
      <w:r w:rsidRPr="00216E0D">
        <w:t xml:space="preserve">TABLE </w:t>
      </w:r>
      <w:r w:rsidR="005720AD">
        <w:t>8</w:t>
      </w:r>
    </w:p>
    <w:p w14:paraId="3E96DADB" w14:textId="77777777" w:rsidR="005720AD" w:rsidRPr="00216E0D" w:rsidRDefault="005720AD" w:rsidP="005720AD">
      <w:pPr>
        <w:pStyle w:val="Tabletitle"/>
      </w:pPr>
      <w:r w:rsidRPr="00216E0D">
        <w:t>Blocking performance (dBm) assumptions of aeronautical and maritime MES terminals in Option B</w:t>
      </w:r>
    </w:p>
    <w:tbl>
      <w:tblPr>
        <w:tblStyle w:val="TableGrid"/>
        <w:tblW w:w="0" w:type="auto"/>
        <w:tblLook w:val="04A0" w:firstRow="1" w:lastRow="0" w:firstColumn="1" w:lastColumn="0" w:noHBand="0" w:noVBand="1"/>
      </w:tblPr>
      <w:tblGrid>
        <w:gridCol w:w="1479"/>
        <w:gridCol w:w="1848"/>
        <w:gridCol w:w="1204"/>
        <w:gridCol w:w="1276"/>
        <w:gridCol w:w="1276"/>
        <w:gridCol w:w="1276"/>
        <w:gridCol w:w="1270"/>
      </w:tblGrid>
      <w:tr w:rsidR="005720AD" w:rsidRPr="00053593" w14:paraId="20C8270E" w14:textId="77777777" w:rsidTr="002A110F">
        <w:tc>
          <w:tcPr>
            <w:tcW w:w="3327" w:type="dxa"/>
            <w:gridSpan w:val="2"/>
            <w:vAlign w:val="center"/>
          </w:tcPr>
          <w:p w14:paraId="3C56CECA"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w:t>
            </w:r>
          </w:p>
        </w:tc>
        <w:tc>
          <w:tcPr>
            <w:tcW w:w="3756" w:type="dxa"/>
            <w:gridSpan w:val="3"/>
            <w:vAlign w:val="center"/>
          </w:tcPr>
          <w:p w14:paraId="6947DCF1"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 1</w:t>
            </w:r>
          </w:p>
        </w:tc>
        <w:tc>
          <w:tcPr>
            <w:tcW w:w="2546" w:type="dxa"/>
            <w:gridSpan w:val="2"/>
            <w:vAlign w:val="center"/>
          </w:tcPr>
          <w:p w14:paraId="04F40749"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Phase 2</w:t>
            </w:r>
          </w:p>
        </w:tc>
      </w:tr>
      <w:tr w:rsidR="005720AD" w:rsidRPr="00053593" w14:paraId="12DF1F8E" w14:textId="77777777" w:rsidTr="002A110F">
        <w:tc>
          <w:tcPr>
            <w:tcW w:w="3327" w:type="dxa"/>
            <w:gridSpan w:val="2"/>
            <w:vAlign w:val="center"/>
          </w:tcPr>
          <w:p w14:paraId="398F0C05"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Frequency range (MHz)</w:t>
            </w:r>
          </w:p>
        </w:tc>
        <w:tc>
          <w:tcPr>
            <w:tcW w:w="1204" w:type="dxa"/>
            <w:vAlign w:val="center"/>
          </w:tcPr>
          <w:p w14:paraId="3FCCDDAE"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1 492-1 502</w:t>
            </w:r>
          </w:p>
        </w:tc>
        <w:tc>
          <w:tcPr>
            <w:tcW w:w="1276" w:type="dxa"/>
            <w:vAlign w:val="center"/>
          </w:tcPr>
          <w:p w14:paraId="31612917"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1 502-1 512</w:t>
            </w:r>
          </w:p>
        </w:tc>
        <w:tc>
          <w:tcPr>
            <w:tcW w:w="1276" w:type="dxa"/>
            <w:vAlign w:val="center"/>
          </w:tcPr>
          <w:p w14:paraId="777218C4" w14:textId="77777777" w:rsidR="005720AD" w:rsidRPr="00053593" w:rsidRDefault="005720AD" w:rsidP="002A110F">
            <w:pPr>
              <w:pStyle w:val="Tablehead"/>
              <w:rPr>
                <w:rFonts w:ascii="Times New Roman" w:hAnsi="Times New Roman" w:cs="Times New Roman"/>
                <w:lang w:eastAsia="ja-JP"/>
              </w:rPr>
            </w:pPr>
            <w:r w:rsidRPr="00053593">
              <w:rPr>
                <w:rFonts w:ascii="Times New Roman" w:hAnsi="Times New Roman" w:cs="Times New Roman"/>
                <w:lang w:eastAsia="ja-JP"/>
              </w:rPr>
              <w:t>1 512-1 517</w:t>
            </w:r>
          </w:p>
        </w:tc>
        <w:tc>
          <w:tcPr>
            <w:tcW w:w="1276" w:type="dxa"/>
            <w:vAlign w:val="center"/>
          </w:tcPr>
          <w:p w14:paraId="6F2D06FE"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1 492-1 512</w:t>
            </w:r>
          </w:p>
        </w:tc>
        <w:tc>
          <w:tcPr>
            <w:tcW w:w="1270" w:type="dxa"/>
            <w:vAlign w:val="center"/>
          </w:tcPr>
          <w:p w14:paraId="2D723EC7" w14:textId="77777777" w:rsidR="005720AD" w:rsidRPr="00053593" w:rsidRDefault="005720AD" w:rsidP="002A110F">
            <w:pPr>
              <w:pStyle w:val="Tablehead"/>
              <w:rPr>
                <w:rFonts w:ascii="Times New Roman" w:hAnsi="Times New Roman" w:cs="Times New Roman"/>
              </w:rPr>
            </w:pPr>
            <w:r w:rsidRPr="00053593">
              <w:rPr>
                <w:rFonts w:ascii="Times New Roman" w:hAnsi="Times New Roman" w:cs="Times New Roman"/>
                <w:lang w:eastAsia="ja-JP"/>
              </w:rPr>
              <w:t>1 512-1 517</w:t>
            </w:r>
          </w:p>
        </w:tc>
      </w:tr>
      <w:tr w:rsidR="005720AD" w:rsidRPr="00053593" w14:paraId="6D1631B9" w14:textId="77777777" w:rsidTr="002A110F">
        <w:tc>
          <w:tcPr>
            <w:tcW w:w="1479" w:type="dxa"/>
            <w:vMerge w:val="restart"/>
            <w:vAlign w:val="center"/>
          </w:tcPr>
          <w:p w14:paraId="14CA3419"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For Table 6</w:t>
            </w:r>
          </w:p>
        </w:tc>
        <w:tc>
          <w:tcPr>
            <w:tcW w:w="1848" w:type="dxa"/>
            <w:vAlign w:val="center"/>
          </w:tcPr>
          <w:p w14:paraId="2C3D6EB0"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Maritime MESs</w:t>
            </w:r>
          </w:p>
        </w:tc>
        <w:tc>
          <w:tcPr>
            <w:tcW w:w="1204" w:type="dxa"/>
            <w:vAlign w:val="center"/>
          </w:tcPr>
          <w:p w14:paraId="4BCC13FA" w14:textId="77777777" w:rsidR="005720AD" w:rsidRPr="00053593" w:rsidRDefault="005720AD" w:rsidP="002A110F">
            <w:pPr>
              <w:pStyle w:val="Tabletext"/>
              <w:jc w:val="center"/>
              <w:rPr>
                <w:rFonts w:ascii="Times New Roman" w:hAnsi="Times New Roman" w:cs="Times New Roman"/>
                <w:lang w:eastAsia="ja-JP"/>
              </w:rPr>
            </w:pPr>
            <w:r w:rsidRPr="00053593">
              <w:rPr>
                <w:rFonts w:ascii="Times New Roman" w:hAnsi="Times New Roman" w:cs="Times New Roman"/>
                <w:lang w:eastAsia="ja-JP"/>
              </w:rPr>
              <w:t>−35</w:t>
            </w:r>
          </w:p>
        </w:tc>
        <w:tc>
          <w:tcPr>
            <w:tcW w:w="1276" w:type="dxa"/>
            <w:vAlign w:val="center"/>
          </w:tcPr>
          <w:p w14:paraId="6F2746F1"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50D985AF"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−50</w:t>
            </w:r>
          </w:p>
        </w:tc>
        <w:tc>
          <w:tcPr>
            <w:tcW w:w="1276" w:type="dxa"/>
            <w:vAlign w:val="center"/>
          </w:tcPr>
          <w:p w14:paraId="43EA6769"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128E0302"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5720AD" w:rsidRPr="00053593" w14:paraId="3A0D00B6" w14:textId="77777777" w:rsidTr="002A110F">
        <w:tc>
          <w:tcPr>
            <w:tcW w:w="1479" w:type="dxa"/>
            <w:vMerge/>
            <w:vAlign w:val="center"/>
          </w:tcPr>
          <w:p w14:paraId="077E89C9" w14:textId="77777777" w:rsidR="005720AD" w:rsidRPr="00053593" w:rsidRDefault="005720AD" w:rsidP="002A110F">
            <w:pPr>
              <w:pStyle w:val="Tabletext"/>
              <w:jc w:val="center"/>
              <w:rPr>
                <w:rFonts w:ascii="Times New Roman" w:hAnsi="Times New Roman" w:cs="Times New Roman"/>
              </w:rPr>
            </w:pPr>
          </w:p>
        </w:tc>
        <w:tc>
          <w:tcPr>
            <w:tcW w:w="1848" w:type="dxa"/>
            <w:vAlign w:val="center"/>
          </w:tcPr>
          <w:p w14:paraId="1C789600" w14:textId="77777777" w:rsidR="005720AD" w:rsidRPr="00053593" w:rsidRDefault="005720AD" w:rsidP="002A110F">
            <w:pPr>
              <w:pStyle w:val="Tabletext"/>
              <w:rPr>
                <w:rFonts w:ascii="Times New Roman" w:hAnsi="Times New Roman" w:cs="Times New Roman"/>
                <w:lang w:eastAsia="ja-JP"/>
              </w:rPr>
            </w:pPr>
            <w:r w:rsidRPr="00053593">
              <w:rPr>
                <w:rFonts w:ascii="Times New Roman" w:hAnsi="Times New Roman" w:cs="Times New Roman"/>
                <w:lang w:eastAsia="ja-JP"/>
              </w:rPr>
              <w:t>Aeronautical MESs</w:t>
            </w:r>
          </w:p>
        </w:tc>
        <w:tc>
          <w:tcPr>
            <w:tcW w:w="1204" w:type="dxa"/>
            <w:vAlign w:val="center"/>
          </w:tcPr>
          <w:p w14:paraId="591F3765"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1D9CFCC7"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2A9A2507"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−50</w:t>
            </w:r>
          </w:p>
        </w:tc>
        <w:tc>
          <w:tcPr>
            <w:tcW w:w="1276" w:type="dxa"/>
            <w:vAlign w:val="center"/>
          </w:tcPr>
          <w:p w14:paraId="768B4300"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57963F73" w14:textId="77777777" w:rsidR="005720AD" w:rsidRPr="00053593" w:rsidRDefault="005720AD" w:rsidP="002A110F">
            <w:pPr>
              <w:pStyle w:val="Tabletext"/>
              <w:jc w:val="center"/>
              <w:rPr>
                <w:rFonts w:ascii="Times New Roman" w:hAnsi="Times New Roman" w:cs="Times New Roman"/>
              </w:rPr>
            </w:pPr>
            <w:r w:rsidRPr="00053593">
              <w:rPr>
                <w:rFonts w:ascii="Times New Roman" w:hAnsi="Times New Roman" w:cs="Times New Roman"/>
                <w:lang w:eastAsia="ja-JP"/>
              </w:rPr>
              <w:t>−30</w:t>
            </w:r>
          </w:p>
        </w:tc>
      </w:tr>
    </w:tbl>
    <w:p w14:paraId="1FE1091B" w14:textId="77777777" w:rsidR="005720AD" w:rsidRDefault="005720AD" w:rsidP="005720AD">
      <w:pPr>
        <w:pStyle w:val="Tablefin"/>
      </w:pPr>
    </w:p>
    <w:p w14:paraId="1727131F" w14:textId="77777777" w:rsidR="005720AD" w:rsidRDefault="005720AD" w:rsidP="005720AD"/>
    <w:p w14:paraId="51155C96" w14:textId="77777777" w:rsidR="005720AD" w:rsidRDefault="005720AD" w:rsidP="005720AD"/>
    <w:p w14:paraId="3B8DB58B" w14:textId="77777777" w:rsidR="005720AD" w:rsidRPr="00216E0D" w:rsidRDefault="005720AD" w:rsidP="005720AD">
      <w:pPr>
        <w:pStyle w:val="AnnexNoTitle"/>
        <w:rPr>
          <w:lang w:eastAsia="zh-CN"/>
        </w:rPr>
      </w:pPr>
      <w:r w:rsidRPr="009178E8">
        <w:rPr>
          <w:lang w:eastAsia="zh-CN"/>
        </w:rPr>
        <w:t>Annex 4</w:t>
      </w:r>
      <w:r>
        <w:rPr>
          <w:lang w:eastAsia="zh-CN"/>
        </w:rPr>
        <w:br/>
      </w:r>
      <w:r>
        <w:rPr>
          <w:lang w:eastAsia="zh-CN"/>
        </w:rPr>
        <w:br/>
      </w:r>
      <w:r w:rsidRPr="00216E0D">
        <w:rPr>
          <w:rFonts w:ascii="Times New Roman Bold" w:hAnsi="Times New Roman Bold"/>
          <w:lang w:eastAsia="zh-CN"/>
        </w:rPr>
        <w:t>Additional regulatory measures for compatibility with land MESs</w:t>
      </w:r>
    </w:p>
    <w:p w14:paraId="467A612C" w14:textId="77777777" w:rsidR="005720AD" w:rsidRPr="00216E0D" w:rsidRDefault="005720AD" w:rsidP="00053593">
      <w:pPr>
        <w:pStyle w:val="Heading2"/>
      </w:pPr>
      <w:r w:rsidRPr="00F11070">
        <w:t>A</w:t>
      </w:r>
      <w:r>
        <w:t>4</w:t>
      </w:r>
      <w:r w:rsidRPr="00F11070">
        <w:t>-1</w:t>
      </w:r>
      <w:r w:rsidRPr="00F11070">
        <w:tab/>
        <w:t>Introduction</w:t>
      </w:r>
    </w:p>
    <w:p w14:paraId="5FEEC05B" w14:textId="77777777" w:rsidR="005720AD" w:rsidRPr="00F11070" w:rsidRDefault="005720AD" w:rsidP="005720AD">
      <w:r w:rsidRPr="00F11070">
        <w:t>The measures in this Annex address the situation where the administration decides to apply additional regulatory compatibility measures to reduce the risk of interference in specific geographical areas for land MESs. This may be local areas or countrywide. These measures may be used on their own or together in different areas of a country to complement each other. They include:</w:t>
      </w:r>
    </w:p>
    <w:p w14:paraId="6556480F" w14:textId="77777777" w:rsidR="005720AD" w:rsidRPr="00AE11AF" w:rsidRDefault="005720AD" w:rsidP="005720AD">
      <w:pPr>
        <w:pStyle w:val="enumlev1"/>
      </w:pPr>
      <w:r w:rsidRPr="00AE11AF">
        <w:t>1)</w:t>
      </w:r>
      <w:r w:rsidRPr="00AE11AF">
        <w:tab/>
        <w:t xml:space="preserve">Application of </w:t>
      </w:r>
      <w:proofErr w:type="spellStart"/>
      <w:r w:rsidRPr="00AE11AF">
        <w:t>pfd</w:t>
      </w:r>
      <w:proofErr w:type="spellEnd"/>
      <w:r w:rsidRPr="00AE11AF">
        <w:t xml:space="preserve"> limits for selected area(s) used by land MESs. </w:t>
      </w:r>
    </w:p>
    <w:p w14:paraId="3A1761F5" w14:textId="77777777" w:rsidR="005720AD" w:rsidRPr="00AE11AF" w:rsidRDefault="005720AD" w:rsidP="005720AD">
      <w:pPr>
        <w:pStyle w:val="enumlev1"/>
        <w:rPr>
          <w:sz w:val="22"/>
        </w:rPr>
      </w:pPr>
      <w:r w:rsidRPr="00AE11AF">
        <w:t>2)</w:t>
      </w:r>
      <w:r w:rsidRPr="00AE11AF">
        <w:tab/>
        <w:t xml:space="preserve">Application of an </w:t>
      </w:r>
      <w:proofErr w:type="spellStart"/>
      <w:r w:rsidRPr="00AE11AF">
        <w:t>e.i.r.p</w:t>
      </w:r>
      <w:proofErr w:type="spellEnd"/>
      <w:r w:rsidRPr="00AE11AF">
        <w:t xml:space="preserve">. in-band limit for IMT BSs. </w:t>
      </w:r>
    </w:p>
    <w:p w14:paraId="2E15CD2C" w14:textId="77777777" w:rsidR="005720AD" w:rsidRPr="00F11070" w:rsidRDefault="005720AD" w:rsidP="005720AD">
      <w:r w:rsidRPr="00F11070">
        <w:t>In general, land MES are deployed in a ubiquitous manner and operate nationwide. Therefore</w:t>
      </w:r>
      <w:r>
        <w:t>,</w:t>
      </w:r>
      <w:r w:rsidRPr="00F11070">
        <w:t xml:space="preserve"> IMT operations may not be feasible in the band 1 512-1 518 MHz in such cases. </w:t>
      </w:r>
    </w:p>
    <w:p w14:paraId="156CCA4F" w14:textId="77777777" w:rsidR="005720AD" w:rsidRPr="00F11070" w:rsidRDefault="005720AD" w:rsidP="005720AD">
      <w:pPr>
        <w:rPr>
          <w:szCs w:val="24"/>
        </w:rPr>
      </w:pPr>
      <w:r w:rsidRPr="00F11070">
        <w:rPr>
          <w:szCs w:val="24"/>
        </w:rPr>
        <w:t>For the applicability of this Annex, see the footnote to the title. More detail of the definition and application of these measures is provided below.</w:t>
      </w:r>
    </w:p>
    <w:p w14:paraId="0999EA75" w14:textId="77777777" w:rsidR="005720AD" w:rsidRPr="00F11070" w:rsidRDefault="005720AD" w:rsidP="00053593">
      <w:pPr>
        <w:pStyle w:val="Heading2"/>
      </w:pPr>
      <w:r w:rsidRPr="00F11070">
        <w:lastRenderedPageBreak/>
        <w:t>A</w:t>
      </w:r>
      <w:r>
        <w:t>4</w:t>
      </w:r>
      <w:r w:rsidRPr="00F11070">
        <w:t>-2</w:t>
      </w:r>
      <w:r w:rsidRPr="00F11070">
        <w:tab/>
        <w:t xml:space="preserve">Measure 1 – </w:t>
      </w:r>
      <w:proofErr w:type="spellStart"/>
      <w:r w:rsidRPr="00F11070">
        <w:t>pfd</w:t>
      </w:r>
      <w:proofErr w:type="spellEnd"/>
      <w:r w:rsidRPr="00F11070">
        <w:t xml:space="preserve"> limits</w:t>
      </w:r>
    </w:p>
    <w:p w14:paraId="70C42EFE" w14:textId="77777777" w:rsidR="005720AD" w:rsidRPr="00216E0D" w:rsidRDefault="005720AD" w:rsidP="005720AD">
      <w:r w:rsidRPr="00F11070">
        <w:t xml:space="preserve">Administrations should define the geographic areas (parts of the country or its entirety) where the </w:t>
      </w:r>
      <w:proofErr w:type="spellStart"/>
      <w:r w:rsidRPr="00F11070">
        <w:t>pfd</w:t>
      </w:r>
      <w:proofErr w:type="spellEnd"/>
      <w:r w:rsidRPr="00F11070">
        <w:t xml:space="preserve"> limits apply. These maximum </w:t>
      </w:r>
      <w:proofErr w:type="spellStart"/>
      <w:r w:rsidRPr="00F11070">
        <w:t>pfd</w:t>
      </w:r>
      <w:proofErr w:type="spellEnd"/>
      <w:r w:rsidRPr="00F11070">
        <w:t xml:space="preserve"> levels apply to the IMT base station’s emissions arriving in the defined areas irrespective of where the IMT BSs are located.  The maximum </w:t>
      </w:r>
      <w:proofErr w:type="spellStart"/>
      <w:r w:rsidRPr="00F11070">
        <w:t>pfd</w:t>
      </w:r>
      <w:proofErr w:type="spellEnd"/>
      <w:r w:rsidRPr="00F11070">
        <w:t xml:space="preserve"> levels are to be met at a defined height above ground (e.g. 1.5 m), at the boundary of and inside, the area. The </w:t>
      </w:r>
      <w:proofErr w:type="spellStart"/>
      <w:r w:rsidRPr="00F11070">
        <w:t>pfd</w:t>
      </w:r>
      <w:proofErr w:type="spellEnd"/>
      <w:r w:rsidRPr="00F11070">
        <w:t xml:space="preserve"> limits improve the compatibility with IMT emissions and are in addition to the technical requirements</w:t>
      </w:r>
      <w:r w:rsidRPr="00216E0D">
        <w:t xml:space="preserve"> </w:t>
      </w:r>
      <w:r w:rsidRPr="009178E8">
        <w:t>of Annex 1. Because the IMT UEs are only able to transmit when connected to the network, the</w:t>
      </w:r>
      <w:r w:rsidRPr="00216E0D">
        <w:t xml:space="preserve"> geographical separation distance resulting from the </w:t>
      </w:r>
      <w:proofErr w:type="spellStart"/>
      <w:r w:rsidRPr="00876677">
        <w:t>pfd</w:t>
      </w:r>
      <w:proofErr w:type="spellEnd"/>
      <w:r w:rsidRPr="00876677">
        <w:t xml:space="preserve"> </w:t>
      </w:r>
      <w:r w:rsidRPr="00111C16">
        <w:t>levels</w:t>
      </w:r>
      <w:r w:rsidRPr="00216E0D">
        <w:t xml:space="preserve"> for the IMT BSs </w:t>
      </w:r>
      <w:r w:rsidRPr="00CC06BB">
        <w:t>may</w:t>
      </w:r>
      <w:r w:rsidRPr="00216E0D">
        <w:t xml:space="preserve"> also provide </w:t>
      </w:r>
      <w:r w:rsidRPr="00CC06BB">
        <w:t>separation</w:t>
      </w:r>
      <w:r w:rsidRPr="00216E0D">
        <w:t xml:space="preserve"> for the UEs </w:t>
      </w:r>
      <w:r w:rsidRPr="00CC06BB">
        <w:t>with respect to MESs, along with additional attenuation</w:t>
      </w:r>
      <w:r>
        <w:t xml:space="preserve"> </w:t>
      </w:r>
      <w:r w:rsidRPr="00216E0D">
        <w:t>result</w:t>
      </w:r>
      <w:r>
        <w:t>ing from</w:t>
      </w:r>
      <w:r w:rsidRPr="00216E0D">
        <w:t xml:space="preserve"> the UE antenna height and surrounding clutter.</w:t>
      </w:r>
    </w:p>
    <w:p w14:paraId="314BB1B9" w14:textId="77777777" w:rsidR="005720AD" w:rsidRPr="00F11070" w:rsidRDefault="005720AD" w:rsidP="005720AD">
      <w:r w:rsidRPr="00F11070">
        <w:t xml:space="preserve">The </w:t>
      </w:r>
      <w:proofErr w:type="spellStart"/>
      <w:r w:rsidRPr="00F11070">
        <w:t>pfd</w:t>
      </w:r>
      <w:proofErr w:type="spellEnd"/>
      <w:r w:rsidRPr="00F11070">
        <w:t xml:space="preserve"> limits are applied in two phases. For Phase 1, the </w:t>
      </w:r>
      <w:proofErr w:type="spellStart"/>
      <w:r w:rsidRPr="00F11070">
        <w:t>pfd</w:t>
      </w:r>
      <w:proofErr w:type="spellEnd"/>
      <w:r w:rsidRPr="00F11070">
        <w:t xml:space="preserve"> values are based on the measured blocking performance of current land MESs. For Phase 2, the </w:t>
      </w:r>
      <w:proofErr w:type="spellStart"/>
      <w:r w:rsidRPr="00F11070">
        <w:t>pfd</w:t>
      </w:r>
      <w:proofErr w:type="spellEnd"/>
      <w:r w:rsidRPr="00F11070">
        <w:t xml:space="preserve"> values are based on MESs which</w:t>
      </w:r>
      <w:r w:rsidRPr="00216E0D">
        <w:t xml:space="preserve"> </w:t>
      </w:r>
      <w:r w:rsidRPr="009178E8">
        <w:t xml:space="preserve">meet the blocking resilience levels in Annex 1. The Phase 2 </w:t>
      </w:r>
      <w:proofErr w:type="spellStart"/>
      <w:r w:rsidRPr="009178E8">
        <w:t>pfd</w:t>
      </w:r>
      <w:proofErr w:type="spellEnd"/>
      <w:r w:rsidRPr="009178E8">
        <w:t xml:space="preserve"> values are less constraining for IMT</w:t>
      </w:r>
      <w:r w:rsidRPr="00F11070">
        <w:t xml:space="preserve"> deployment and should be used when this is required by the concerned administration at a time when the resilient MES terminals are considered more widely deployed. The </w:t>
      </w:r>
      <w:proofErr w:type="spellStart"/>
      <w:r w:rsidRPr="00F11070">
        <w:t>pfd</w:t>
      </w:r>
      <w:proofErr w:type="spellEnd"/>
      <w:r w:rsidRPr="00F11070">
        <w:t xml:space="preserve"> limits relate to the emissions from the IMT base stations within the band 1 502-1 517 </w:t>
      </w:r>
      <w:proofErr w:type="spellStart"/>
      <w:r w:rsidRPr="00F11070">
        <w:t>MHz.</w:t>
      </w:r>
      <w:proofErr w:type="spellEnd"/>
      <w:r w:rsidRPr="00F11070">
        <w:t xml:space="preserve"> </w:t>
      </w:r>
    </w:p>
    <w:p w14:paraId="3FEDCBF7" w14:textId="77777777" w:rsidR="005720AD" w:rsidRPr="00F11070" w:rsidRDefault="005720AD" w:rsidP="005720AD">
      <w:r w:rsidRPr="00F11070">
        <w:t xml:space="preserve">Land MSS operations are typically authorised throughout a country and in that case the </w:t>
      </w:r>
      <w:proofErr w:type="spellStart"/>
      <w:r w:rsidRPr="00F11070">
        <w:t>pfd</w:t>
      </w:r>
      <w:proofErr w:type="spellEnd"/>
      <w:r w:rsidRPr="00F11070">
        <w:t xml:space="preserve"> limits may be applied throughout the national territory. In this case IMT operations may not be feasible in the band 1 512-1 518 </w:t>
      </w:r>
      <w:proofErr w:type="spellStart"/>
      <w:r w:rsidRPr="00F11070">
        <w:t>MHz.</w:t>
      </w:r>
      <w:proofErr w:type="spellEnd"/>
      <w:r w:rsidRPr="00F11070">
        <w:t xml:space="preserve"> </w:t>
      </w:r>
    </w:p>
    <w:p w14:paraId="20B6A0B1" w14:textId="77777777" w:rsidR="005720AD" w:rsidRPr="00757B99" w:rsidRDefault="005720AD" w:rsidP="005720AD">
      <w:pPr>
        <w:rPr>
          <w:iCs/>
        </w:rPr>
      </w:pPr>
      <w:r w:rsidRPr="00757B99">
        <w:t xml:space="preserve">The </w:t>
      </w:r>
      <w:proofErr w:type="spellStart"/>
      <w:r w:rsidRPr="00757B99">
        <w:t>pfd</w:t>
      </w:r>
      <w:proofErr w:type="spellEnd"/>
      <w:r w:rsidRPr="00757B99">
        <w:t xml:space="preserve"> limits provided in Table 9 are for the highest and lowest MES antenna gain values given in Report </w:t>
      </w:r>
      <w:hyperlink r:id="rId18" w:history="1">
        <w:r w:rsidRPr="00757B99">
          <w:rPr>
            <w:rStyle w:val="Hyperlink"/>
            <w:color w:val="auto"/>
            <w:u w:val="none"/>
          </w:rPr>
          <w:t>ITU-R M.2529</w:t>
        </w:r>
      </w:hyperlink>
      <w:r w:rsidRPr="00757B99">
        <w:t xml:space="preserve">. </w:t>
      </w:r>
    </w:p>
    <w:p w14:paraId="193F779A" w14:textId="77777777" w:rsidR="005720AD" w:rsidRPr="00216E0D" w:rsidRDefault="005720AD" w:rsidP="005720AD">
      <w:pPr>
        <w:pStyle w:val="TableNo"/>
      </w:pPr>
      <w:r w:rsidRPr="00216E0D">
        <w:t xml:space="preserve">TABLE </w:t>
      </w:r>
      <w:r>
        <w:t>9</w:t>
      </w:r>
    </w:p>
    <w:p w14:paraId="32DC057F" w14:textId="77777777" w:rsidR="005720AD" w:rsidRPr="00216E0D" w:rsidRDefault="005720AD" w:rsidP="005720AD">
      <w:pPr>
        <w:pStyle w:val="Tabletitle"/>
        <w:rPr>
          <w:rFonts w:cs="Times New Roman Bold"/>
          <w:bCs/>
        </w:rPr>
      </w:pPr>
      <w:proofErr w:type="spellStart"/>
      <w:r w:rsidRPr="0057126F">
        <w:rPr>
          <w:lang w:eastAsia="zh-CN"/>
        </w:rPr>
        <w:t>Pfd</w:t>
      </w:r>
      <w:proofErr w:type="spellEnd"/>
      <w:r w:rsidRPr="0057126F">
        <w:rPr>
          <w:lang w:eastAsia="zh-CN"/>
        </w:rPr>
        <w:t xml:space="preserve"> </w:t>
      </w:r>
      <w:r w:rsidRPr="006B5F30">
        <w:rPr>
          <w:lang w:eastAsia="zh-CN"/>
        </w:rPr>
        <w:t>limits</w:t>
      </w:r>
      <w:r w:rsidRPr="0057126F">
        <w:rPr>
          <w:lang w:eastAsia="zh-CN"/>
        </w:rPr>
        <w:t xml:space="preserve"> </w:t>
      </w:r>
      <w:r w:rsidRPr="0057126F">
        <w:t>for IMT BS emissions</w:t>
      </w:r>
    </w:p>
    <w:tbl>
      <w:tblPr>
        <w:tblStyle w:val="TableGrid71"/>
        <w:tblW w:w="9639" w:type="dxa"/>
        <w:jc w:val="center"/>
        <w:tblLook w:val="04A0" w:firstRow="1" w:lastRow="0" w:firstColumn="1" w:lastColumn="0" w:noHBand="0" w:noVBand="1"/>
      </w:tblPr>
      <w:tblGrid>
        <w:gridCol w:w="781"/>
        <w:gridCol w:w="1531"/>
        <w:gridCol w:w="1195"/>
        <w:gridCol w:w="1211"/>
        <w:gridCol w:w="1245"/>
        <w:gridCol w:w="1195"/>
        <w:gridCol w:w="1195"/>
        <w:gridCol w:w="1286"/>
      </w:tblGrid>
      <w:tr w:rsidR="005720AD" w:rsidRPr="00757B99" w14:paraId="2E9A3A28" w14:textId="77777777" w:rsidTr="00757B99">
        <w:trPr>
          <w:jc w:val="center"/>
        </w:trPr>
        <w:tc>
          <w:tcPr>
            <w:tcW w:w="405" w:type="pct"/>
            <w:vAlign w:val="center"/>
            <w:hideMark/>
          </w:tcPr>
          <w:p w14:paraId="3DCB959B" w14:textId="77777777" w:rsidR="005720AD" w:rsidRPr="00757B99" w:rsidRDefault="005720AD" w:rsidP="002A110F">
            <w:pPr>
              <w:pStyle w:val="Tablehead"/>
              <w:rPr>
                <w:rFonts w:ascii="Times New Roman" w:hAnsi="Times New Roman"/>
                <w:sz w:val="20"/>
              </w:rPr>
            </w:pPr>
            <w:r w:rsidRPr="00757B99">
              <w:rPr>
                <w:rFonts w:ascii="Times New Roman" w:hAnsi="Times New Roman"/>
                <w:sz w:val="20"/>
              </w:rPr>
              <w:t>Phase</w:t>
            </w:r>
          </w:p>
        </w:tc>
        <w:tc>
          <w:tcPr>
            <w:tcW w:w="794" w:type="pct"/>
            <w:vAlign w:val="center"/>
          </w:tcPr>
          <w:p w14:paraId="46372530" w14:textId="77777777" w:rsidR="005720AD" w:rsidRPr="00757B99" w:rsidRDefault="005720AD" w:rsidP="002A110F">
            <w:pPr>
              <w:pStyle w:val="Tablehead"/>
              <w:rPr>
                <w:rFonts w:ascii="Times New Roman" w:hAnsi="Times New Roman"/>
                <w:sz w:val="20"/>
              </w:rPr>
            </w:pPr>
          </w:p>
        </w:tc>
        <w:tc>
          <w:tcPr>
            <w:tcW w:w="1894" w:type="pct"/>
            <w:gridSpan w:val="3"/>
            <w:vAlign w:val="center"/>
            <w:hideMark/>
          </w:tcPr>
          <w:p w14:paraId="4C9A8006" w14:textId="77777777" w:rsidR="005720AD" w:rsidRPr="00757B99" w:rsidRDefault="005720AD" w:rsidP="002A110F">
            <w:pPr>
              <w:pStyle w:val="Tablehead"/>
              <w:rPr>
                <w:rFonts w:ascii="Times New Roman" w:hAnsi="Times New Roman"/>
                <w:sz w:val="20"/>
              </w:rPr>
            </w:pPr>
            <w:r w:rsidRPr="00757B99">
              <w:rPr>
                <w:rFonts w:ascii="Times New Roman" w:hAnsi="Times New Roman"/>
                <w:sz w:val="20"/>
              </w:rPr>
              <w:t>Phase 1</w:t>
            </w:r>
          </w:p>
        </w:tc>
        <w:tc>
          <w:tcPr>
            <w:tcW w:w="1907" w:type="pct"/>
            <w:gridSpan w:val="3"/>
            <w:vAlign w:val="center"/>
            <w:hideMark/>
          </w:tcPr>
          <w:p w14:paraId="5E2E3AFF" w14:textId="77777777" w:rsidR="005720AD" w:rsidRPr="00757B99" w:rsidRDefault="005720AD" w:rsidP="002A110F">
            <w:pPr>
              <w:pStyle w:val="Tablehead"/>
              <w:rPr>
                <w:rFonts w:ascii="Times New Roman" w:hAnsi="Times New Roman"/>
                <w:sz w:val="20"/>
              </w:rPr>
            </w:pPr>
            <w:r w:rsidRPr="00757B99">
              <w:rPr>
                <w:rFonts w:ascii="Times New Roman" w:hAnsi="Times New Roman"/>
                <w:sz w:val="20"/>
              </w:rPr>
              <w:t>Phase 2</w:t>
            </w:r>
          </w:p>
        </w:tc>
      </w:tr>
      <w:tr w:rsidR="005720AD" w:rsidRPr="00757B99" w14:paraId="7B68C346" w14:textId="77777777" w:rsidTr="00757B99">
        <w:trPr>
          <w:jc w:val="center"/>
        </w:trPr>
        <w:tc>
          <w:tcPr>
            <w:tcW w:w="405" w:type="pct"/>
            <w:vAlign w:val="center"/>
          </w:tcPr>
          <w:p w14:paraId="6DB5CB1F" w14:textId="77777777" w:rsidR="005720AD" w:rsidRPr="00757B99" w:rsidRDefault="005720AD" w:rsidP="002A110F">
            <w:pPr>
              <w:pStyle w:val="Tablehead"/>
              <w:rPr>
                <w:rFonts w:ascii="Times New Roman" w:hAnsi="Times New Roman"/>
                <w:sz w:val="20"/>
              </w:rPr>
            </w:pPr>
          </w:p>
        </w:tc>
        <w:tc>
          <w:tcPr>
            <w:tcW w:w="794" w:type="pct"/>
            <w:vAlign w:val="center"/>
            <w:hideMark/>
          </w:tcPr>
          <w:p w14:paraId="723E661C" w14:textId="77777777" w:rsidR="005720AD" w:rsidRPr="00757B99" w:rsidRDefault="005720AD" w:rsidP="002A110F">
            <w:pPr>
              <w:pStyle w:val="Tablehead"/>
              <w:rPr>
                <w:rFonts w:ascii="Times New Roman" w:hAnsi="Times New Roman"/>
                <w:sz w:val="20"/>
              </w:rPr>
            </w:pPr>
            <w:r w:rsidRPr="00757B99">
              <w:rPr>
                <w:rFonts w:ascii="Times New Roman" w:hAnsi="Times New Roman"/>
                <w:sz w:val="20"/>
              </w:rPr>
              <w:t>MES terminal antenna gain (</w:t>
            </w:r>
            <w:proofErr w:type="spellStart"/>
            <w:r w:rsidRPr="00757B99">
              <w:rPr>
                <w:rFonts w:ascii="Times New Roman" w:hAnsi="Times New Roman"/>
                <w:sz w:val="20"/>
              </w:rPr>
              <w:t>dBi</w:t>
            </w:r>
            <w:proofErr w:type="spellEnd"/>
            <w:r w:rsidRPr="00757B99">
              <w:rPr>
                <w:rFonts w:ascii="Times New Roman" w:hAnsi="Times New Roman"/>
                <w:sz w:val="20"/>
              </w:rPr>
              <w:t>) in the direction of the IMT base station</w:t>
            </w:r>
          </w:p>
        </w:tc>
        <w:tc>
          <w:tcPr>
            <w:tcW w:w="620" w:type="pct"/>
            <w:vAlign w:val="center"/>
            <w:hideMark/>
          </w:tcPr>
          <w:p w14:paraId="5EE03821"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1 502-1 507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c>
          <w:tcPr>
            <w:tcW w:w="628" w:type="pct"/>
            <w:vAlign w:val="center"/>
            <w:hideMark/>
          </w:tcPr>
          <w:p w14:paraId="5AD642D9"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1 507-1 512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c>
          <w:tcPr>
            <w:tcW w:w="646" w:type="pct"/>
            <w:vAlign w:val="center"/>
            <w:hideMark/>
          </w:tcPr>
          <w:p w14:paraId="68CF5825"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1 512-</w:t>
            </w:r>
            <w:r w:rsidRPr="00757B99">
              <w:rPr>
                <w:rFonts w:ascii="Times New Roman" w:hAnsi="Times New Roman"/>
                <w:sz w:val="20"/>
              </w:rPr>
              <w:br/>
              <w:t>1 517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c>
          <w:tcPr>
            <w:tcW w:w="620" w:type="pct"/>
            <w:vAlign w:val="center"/>
            <w:hideMark/>
          </w:tcPr>
          <w:p w14:paraId="7575710F"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1 502-1 507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c>
          <w:tcPr>
            <w:tcW w:w="620" w:type="pct"/>
            <w:vAlign w:val="center"/>
            <w:hideMark/>
          </w:tcPr>
          <w:p w14:paraId="357F42B0"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1 507-1 512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c>
          <w:tcPr>
            <w:tcW w:w="667" w:type="pct"/>
            <w:vAlign w:val="center"/>
            <w:hideMark/>
          </w:tcPr>
          <w:p w14:paraId="6E2E25B0" w14:textId="77777777" w:rsidR="005720AD" w:rsidRPr="00757B99" w:rsidRDefault="005720AD" w:rsidP="002A110F">
            <w:pPr>
              <w:pStyle w:val="Tablehead"/>
              <w:rPr>
                <w:rFonts w:ascii="Times New Roman" w:hAnsi="Times New Roman"/>
                <w:sz w:val="20"/>
              </w:rPr>
            </w:pPr>
            <w:proofErr w:type="spellStart"/>
            <w:r w:rsidRPr="00757B99">
              <w:rPr>
                <w:rFonts w:ascii="Times New Roman" w:hAnsi="Times New Roman"/>
                <w:sz w:val="20"/>
              </w:rPr>
              <w:t>pfd</w:t>
            </w:r>
            <w:proofErr w:type="spellEnd"/>
            <w:r w:rsidRPr="00757B99">
              <w:rPr>
                <w:rFonts w:ascii="Times New Roman" w:hAnsi="Times New Roman"/>
                <w:sz w:val="20"/>
              </w:rPr>
              <w:t xml:space="preserve"> limit for BS emissions in the band 1 512-</w:t>
            </w:r>
            <w:r w:rsidRPr="00757B99">
              <w:rPr>
                <w:rFonts w:ascii="Times New Roman" w:hAnsi="Times New Roman"/>
                <w:sz w:val="20"/>
              </w:rPr>
              <w:br/>
              <w:t>1 517 MHz (</w:t>
            </w:r>
            <w:proofErr w:type="spellStart"/>
            <w:r w:rsidRPr="00757B99">
              <w:rPr>
                <w:rFonts w:ascii="Times New Roman" w:hAnsi="Times New Roman"/>
                <w:sz w:val="20"/>
              </w:rPr>
              <w:t>dBW</w:t>
            </w:r>
            <w:proofErr w:type="spellEnd"/>
            <w:r w:rsidRPr="00757B99">
              <w:rPr>
                <w:rFonts w:ascii="Times New Roman" w:hAnsi="Times New Roman"/>
                <w:sz w:val="20"/>
              </w:rPr>
              <w:t>/m</w:t>
            </w:r>
            <w:r w:rsidRPr="00757B99">
              <w:rPr>
                <w:rFonts w:ascii="Times New Roman" w:hAnsi="Times New Roman"/>
                <w:sz w:val="20"/>
                <w:vertAlign w:val="superscript"/>
              </w:rPr>
              <w:t>2</w:t>
            </w:r>
            <w:r w:rsidRPr="00757B99">
              <w:rPr>
                <w:rFonts w:ascii="Times New Roman" w:hAnsi="Times New Roman"/>
                <w:sz w:val="20"/>
              </w:rPr>
              <w:t>)</w:t>
            </w:r>
          </w:p>
        </w:tc>
      </w:tr>
      <w:tr w:rsidR="005720AD" w:rsidRPr="00757B99" w14:paraId="150D47FB" w14:textId="77777777" w:rsidTr="00757B99">
        <w:trPr>
          <w:jc w:val="center"/>
        </w:trPr>
        <w:tc>
          <w:tcPr>
            <w:tcW w:w="405" w:type="pct"/>
            <w:vMerge w:val="restart"/>
            <w:vAlign w:val="center"/>
            <w:hideMark/>
          </w:tcPr>
          <w:p w14:paraId="7D185BD2" w14:textId="77777777" w:rsidR="005720AD" w:rsidRPr="00757B99" w:rsidRDefault="005720AD" w:rsidP="002A110F">
            <w:pPr>
              <w:pStyle w:val="Tabletext"/>
              <w:rPr>
                <w:sz w:val="20"/>
              </w:rPr>
            </w:pPr>
            <w:r w:rsidRPr="00757B99">
              <w:rPr>
                <w:sz w:val="20"/>
              </w:rPr>
              <w:t>Land based MESs</w:t>
            </w:r>
          </w:p>
        </w:tc>
        <w:tc>
          <w:tcPr>
            <w:tcW w:w="794" w:type="pct"/>
            <w:vAlign w:val="center"/>
            <w:hideMark/>
          </w:tcPr>
          <w:p w14:paraId="2A87902F" w14:textId="77777777" w:rsidR="005720AD" w:rsidRPr="00757B99" w:rsidRDefault="005720AD" w:rsidP="002A110F">
            <w:pPr>
              <w:pStyle w:val="Tabletext"/>
              <w:jc w:val="center"/>
              <w:rPr>
                <w:sz w:val="20"/>
              </w:rPr>
            </w:pPr>
            <w:r w:rsidRPr="00757B99">
              <w:rPr>
                <w:sz w:val="20"/>
              </w:rPr>
              <w:t>1 (lowest)</w:t>
            </w:r>
          </w:p>
        </w:tc>
        <w:tc>
          <w:tcPr>
            <w:tcW w:w="620" w:type="pct"/>
            <w:vAlign w:val="center"/>
            <w:hideMark/>
          </w:tcPr>
          <w:p w14:paraId="2DB32F85" w14:textId="77777777" w:rsidR="005720AD" w:rsidRPr="00757B99" w:rsidRDefault="005720AD" w:rsidP="002A110F">
            <w:pPr>
              <w:pStyle w:val="Tabletext"/>
              <w:jc w:val="center"/>
              <w:rPr>
                <w:sz w:val="20"/>
              </w:rPr>
            </w:pPr>
            <w:r w:rsidRPr="00757B99">
              <w:rPr>
                <w:sz w:val="20"/>
                <w:lang w:eastAsia="en-GB"/>
              </w:rPr>
              <w:t>−54.9</w:t>
            </w:r>
          </w:p>
        </w:tc>
        <w:tc>
          <w:tcPr>
            <w:tcW w:w="628" w:type="pct"/>
            <w:vAlign w:val="center"/>
            <w:hideMark/>
          </w:tcPr>
          <w:p w14:paraId="4E32CFFE" w14:textId="77777777" w:rsidR="005720AD" w:rsidRPr="00757B99" w:rsidRDefault="005720AD" w:rsidP="002A110F">
            <w:pPr>
              <w:pStyle w:val="Tabletext"/>
              <w:jc w:val="center"/>
              <w:rPr>
                <w:sz w:val="20"/>
              </w:rPr>
            </w:pPr>
            <w:r w:rsidRPr="00757B99">
              <w:rPr>
                <w:sz w:val="20"/>
                <w:lang w:eastAsia="en-GB"/>
              </w:rPr>
              <w:t>−61.9</w:t>
            </w:r>
          </w:p>
        </w:tc>
        <w:tc>
          <w:tcPr>
            <w:tcW w:w="646" w:type="pct"/>
            <w:vAlign w:val="center"/>
            <w:hideMark/>
          </w:tcPr>
          <w:p w14:paraId="0E62127A" w14:textId="77777777" w:rsidR="005720AD" w:rsidRPr="00757B99" w:rsidRDefault="005720AD" w:rsidP="002A110F">
            <w:pPr>
              <w:pStyle w:val="Tabletext"/>
              <w:jc w:val="center"/>
              <w:rPr>
                <w:sz w:val="20"/>
              </w:rPr>
            </w:pPr>
            <w:r w:rsidRPr="00757B99">
              <w:rPr>
                <w:sz w:val="20"/>
                <w:lang w:eastAsia="en-GB"/>
              </w:rPr>
              <w:t>−68.9</w:t>
            </w:r>
          </w:p>
        </w:tc>
        <w:tc>
          <w:tcPr>
            <w:tcW w:w="620" w:type="pct"/>
            <w:vAlign w:val="center"/>
            <w:hideMark/>
          </w:tcPr>
          <w:p w14:paraId="636B8592" w14:textId="77777777" w:rsidR="005720AD" w:rsidRPr="00757B99" w:rsidRDefault="005720AD" w:rsidP="002A110F">
            <w:pPr>
              <w:pStyle w:val="Tabletext"/>
              <w:jc w:val="center"/>
              <w:rPr>
                <w:sz w:val="20"/>
              </w:rPr>
            </w:pPr>
            <w:r w:rsidRPr="00757B99">
              <w:rPr>
                <w:sz w:val="20"/>
                <w:lang w:eastAsia="en-GB"/>
              </w:rPr>
              <w:t>−19.9</w:t>
            </w:r>
          </w:p>
        </w:tc>
        <w:tc>
          <w:tcPr>
            <w:tcW w:w="620" w:type="pct"/>
            <w:vAlign w:val="center"/>
            <w:hideMark/>
          </w:tcPr>
          <w:p w14:paraId="2EF0152C" w14:textId="77777777" w:rsidR="005720AD" w:rsidRPr="00757B99" w:rsidRDefault="005720AD" w:rsidP="002A110F">
            <w:pPr>
              <w:pStyle w:val="Tabletext"/>
              <w:jc w:val="center"/>
              <w:rPr>
                <w:sz w:val="20"/>
              </w:rPr>
            </w:pPr>
            <w:r w:rsidRPr="00757B99">
              <w:rPr>
                <w:sz w:val="20"/>
                <w:lang w:eastAsia="en-GB"/>
              </w:rPr>
              <w:t>−23.9</w:t>
            </w:r>
          </w:p>
        </w:tc>
        <w:tc>
          <w:tcPr>
            <w:tcW w:w="667" w:type="pct"/>
            <w:vAlign w:val="center"/>
            <w:hideMark/>
          </w:tcPr>
          <w:p w14:paraId="4B68F860" w14:textId="77777777" w:rsidR="005720AD" w:rsidRPr="00757B99" w:rsidRDefault="005720AD" w:rsidP="002A110F">
            <w:pPr>
              <w:pStyle w:val="Tabletext"/>
              <w:jc w:val="center"/>
              <w:rPr>
                <w:sz w:val="20"/>
              </w:rPr>
            </w:pPr>
            <w:r w:rsidRPr="00757B99">
              <w:rPr>
                <w:sz w:val="20"/>
                <w:lang w:eastAsia="en-GB"/>
              </w:rPr>
              <w:t>−38.9</w:t>
            </w:r>
          </w:p>
        </w:tc>
      </w:tr>
      <w:tr w:rsidR="005720AD" w:rsidRPr="00757B99" w14:paraId="7C149136" w14:textId="77777777" w:rsidTr="00757B99">
        <w:trPr>
          <w:jc w:val="center"/>
        </w:trPr>
        <w:tc>
          <w:tcPr>
            <w:tcW w:w="405" w:type="pct"/>
            <w:vMerge/>
            <w:tcBorders>
              <w:bottom w:val="single" w:sz="4" w:space="0" w:color="auto"/>
            </w:tcBorders>
            <w:hideMark/>
          </w:tcPr>
          <w:p w14:paraId="398F1823" w14:textId="77777777" w:rsidR="005720AD" w:rsidRPr="00757B99" w:rsidRDefault="005720AD" w:rsidP="002A110F">
            <w:pPr>
              <w:pStyle w:val="Tabletext"/>
              <w:jc w:val="center"/>
              <w:rPr>
                <w:sz w:val="20"/>
              </w:rPr>
            </w:pPr>
          </w:p>
        </w:tc>
        <w:tc>
          <w:tcPr>
            <w:tcW w:w="794" w:type="pct"/>
            <w:tcBorders>
              <w:bottom w:val="single" w:sz="4" w:space="0" w:color="auto"/>
            </w:tcBorders>
            <w:vAlign w:val="center"/>
            <w:hideMark/>
          </w:tcPr>
          <w:p w14:paraId="419DDA25" w14:textId="77777777" w:rsidR="005720AD" w:rsidRPr="00757B99" w:rsidRDefault="005720AD" w:rsidP="002A110F">
            <w:pPr>
              <w:pStyle w:val="Tabletext"/>
              <w:jc w:val="center"/>
              <w:rPr>
                <w:sz w:val="20"/>
              </w:rPr>
            </w:pPr>
            <w:r w:rsidRPr="00757B99">
              <w:rPr>
                <w:sz w:val="20"/>
              </w:rPr>
              <w:t>32 (highest)</w:t>
            </w:r>
          </w:p>
        </w:tc>
        <w:tc>
          <w:tcPr>
            <w:tcW w:w="620" w:type="pct"/>
            <w:tcBorders>
              <w:bottom w:val="single" w:sz="4" w:space="0" w:color="auto"/>
            </w:tcBorders>
            <w:vAlign w:val="center"/>
            <w:hideMark/>
          </w:tcPr>
          <w:p w14:paraId="5FC698B4" w14:textId="77777777" w:rsidR="005720AD" w:rsidRPr="00757B99" w:rsidRDefault="005720AD" w:rsidP="002A110F">
            <w:pPr>
              <w:pStyle w:val="Tabletext"/>
              <w:jc w:val="center"/>
              <w:rPr>
                <w:sz w:val="20"/>
              </w:rPr>
            </w:pPr>
            <w:r w:rsidRPr="00757B99">
              <w:rPr>
                <w:sz w:val="20"/>
                <w:lang w:eastAsia="en-GB"/>
              </w:rPr>
              <w:t>−85.9</w:t>
            </w:r>
          </w:p>
        </w:tc>
        <w:tc>
          <w:tcPr>
            <w:tcW w:w="628" w:type="pct"/>
            <w:tcBorders>
              <w:bottom w:val="single" w:sz="4" w:space="0" w:color="auto"/>
            </w:tcBorders>
            <w:vAlign w:val="center"/>
            <w:hideMark/>
          </w:tcPr>
          <w:p w14:paraId="60DD145F" w14:textId="77777777" w:rsidR="005720AD" w:rsidRPr="00757B99" w:rsidRDefault="005720AD" w:rsidP="002A110F">
            <w:pPr>
              <w:pStyle w:val="Tabletext"/>
              <w:jc w:val="center"/>
              <w:rPr>
                <w:sz w:val="20"/>
              </w:rPr>
            </w:pPr>
            <w:r w:rsidRPr="00757B99">
              <w:rPr>
                <w:sz w:val="20"/>
                <w:lang w:eastAsia="en-GB"/>
              </w:rPr>
              <w:t>−92.9</w:t>
            </w:r>
          </w:p>
        </w:tc>
        <w:tc>
          <w:tcPr>
            <w:tcW w:w="646" w:type="pct"/>
            <w:tcBorders>
              <w:bottom w:val="single" w:sz="4" w:space="0" w:color="auto"/>
            </w:tcBorders>
            <w:vAlign w:val="center"/>
            <w:hideMark/>
          </w:tcPr>
          <w:p w14:paraId="1C635855" w14:textId="77777777" w:rsidR="005720AD" w:rsidRPr="00757B99" w:rsidRDefault="005720AD" w:rsidP="002A110F">
            <w:pPr>
              <w:pStyle w:val="Tabletext"/>
              <w:jc w:val="center"/>
              <w:rPr>
                <w:sz w:val="20"/>
              </w:rPr>
            </w:pPr>
            <w:r w:rsidRPr="00757B99">
              <w:rPr>
                <w:sz w:val="20"/>
                <w:lang w:eastAsia="en-GB"/>
              </w:rPr>
              <w:t>−99.9</w:t>
            </w:r>
          </w:p>
        </w:tc>
        <w:tc>
          <w:tcPr>
            <w:tcW w:w="620" w:type="pct"/>
            <w:tcBorders>
              <w:bottom w:val="single" w:sz="4" w:space="0" w:color="auto"/>
            </w:tcBorders>
            <w:vAlign w:val="center"/>
            <w:hideMark/>
          </w:tcPr>
          <w:p w14:paraId="2A4063DC" w14:textId="77777777" w:rsidR="005720AD" w:rsidRPr="00757B99" w:rsidRDefault="005720AD" w:rsidP="002A110F">
            <w:pPr>
              <w:pStyle w:val="Tabletext"/>
              <w:jc w:val="center"/>
              <w:rPr>
                <w:sz w:val="20"/>
              </w:rPr>
            </w:pPr>
            <w:r w:rsidRPr="00757B99">
              <w:rPr>
                <w:sz w:val="20"/>
                <w:lang w:eastAsia="en-GB"/>
              </w:rPr>
              <w:t>−50.9</w:t>
            </w:r>
          </w:p>
        </w:tc>
        <w:tc>
          <w:tcPr>
            <w:tcW w:w="620" w:type="pct"/>
            <w:tcBorders>
              <w:bottom w:val="single" w:sz="4" w:space="0" w:color="auto"/>
            </w:tcBorders>
            <w:vAlign w:val="center"/>
            <w:hideMark/>
          </w:tcPr>
          <w:p w14:paraId="0343C47E" w14:textId="77777777" w:rsidR="005720AD" w:rsidRPr="00757B99" w:rsidRDefault="005720AD" w:rsidP="002A110F">
            <w:pPr>
              <w:pStyle w:val="Tabletext"/>
              <w:jc w:val="center"/>
              <w:rPr>
                <w:sz w:val="20"/>
              </w:rPr>
            </w:pPr>
            <w:r w:rsidRPr="00757B99">
              <w:rPr>
                <w:sz w:val="20"/>
                <w:lang w:eastAsia="en-GB"/>
              </w:rPr>
              <w:t>−54.9</w:t>
            </w:r>
          </w:p>
        </w:tc>
        <w:tc>
          <w:tcPr>
            <w:tcW w:w="667" w:type="pct"/>
            <w:tcBorders>
              <w:bottom w:val="single" w:sz="4" w:space="0" w:color="auto"/>
            </w:tcBorders>
            <w:vAlign w:val="center"/>
            <w:hideMark/>
          </w:tcPr>
          <w:p w14:paraId="59D5D9E2" w14:textId="77777777" w:rsidR="005720AD" w:rsidRPr="00757B99" w:rsidRDefault="005720AD" w:rsidP="002A110F">
            <w:pPr>
              <w:pStyle w:val="Tabletext"/>
              <w:jc w:val="center"/>
              <w:rPr>
                <w:sz w:val="20"/>
              </w:rPr>
            </w:pPr>
            <w:r w:rsidRPr="00757B99">
              <w:rPr>
                <w:sz w:val="20"/>
                <w:lang w:eastAsia="en-GB"/>
              </w:rPr>
              <w:t>−69.9</w:t>
            </w:r>
          </w:p>
        </w:tc>
      </w:tr>
      <w:tr w:rsidR="005720AD" w:rsidRPr="00757B99" w14:paraId="5BF42F4F" w14:textId="77777777" w:rsidTr="00757B99">
        <w:trPr>
          <w:jc w:val="center"/>
        </w:trPr>
        <w:tc>
          <w:tcPr>
            <w:tcW w:w="5000" w:type="pct"/>
            <w:gridSpan w:val="8"/>
            <w:tcBorders>
              <w:left w:val="nil"/>
              <w:bottom w:val="nil"/>
              <w:right w:val="nil"/>
            </w:tcBorders>
          </w:tcPr>
          <w:p w14:paraId="3C13BADB" w14:textId="77777777" w:rsidR="005720AD" w:rsidRPr="00757B99" w:rsidRDefault="005720AD" w:rsidP="002A110F">
            <w:pPr>
              <w:pStyle w:val="Tabletext"/>
              <w:rPr>
                <w:sz w:val="20"/>
                <w:lang w:eastAsia="en-GB"/>
              </w:rPr>
            </w:pPr>
            <w:r w:rsidRPr="00757B99">
              <w:rPr>
                <w:i/>
                <w:iCs/>
                <w:sz w:val="20"/>
                <w:lang w:eastAsia="en-GB"/>
              </w:rPr>
              <w:t>Note</w:t>
            </w:r>
            <w:r w:rsidRPr="00757B99">
              <w:rPr>
                <w:sz w:val="20"/>
                <w:lang w:eastAsia="en-GB"/>
              </w:rPr>
              <w:t xml:space="preserve">: The </w:t>
            </w:r>
            <w:proofErr w:type="spellStart"/>
            <w:r w:rsidRPr="00757B99">
              <w:rPr>
                <w:sz w:val="20"/>
                <w:lang w:eastAsia="en-GB"/>
              </w:rPr>
              <w:t>pfd</w:t>
            </w:r>
            <w:proofErr w:type="spellEnd"/>
            <w:r w:rsidRPr="00757B99">
              <w:rPr>
                <w:sz w:val="20"/>
                <w:lang w:eastAsia="en-GB"/>
              </w:rPr>
              <w:t xml:space="preserve"> limits apply to the total power radiated by any base station in the indicated band of 5 MHz bandwidth.  </w:t>
            </w:r>
          </w:p>
        </w:tc>
      </w:tr>
    </w:tbl>
    <w:p w14:paraId="41C7DC0A" w14:textId="77777777" w:rsidR="005720AD" w:rsidRDefault="005720AD" w:rsidP="005720AD">
      <w:pPr>
        <w:pStyle w:val="Tablefin"/>
      </w:pPr>
    </w:p>
    <w:p w14:paraId="2B514C84" w14:textId="6A105EE6" w:rsidR="005720AD" w:rsidRPr="00F11070" w:rsidRDefault="005720AD" w:rsidP="005720AD">
      <w:r w:rsidRPr="00F11070">
        <w:t xml:space="preserve">Administrations may need to adjust the values according to the characteristics of the MESs expected to operate in their territory and taking account of any MES antenna discrimination that may be assumed. It may be noted that the majority of land-based MES antennas are low gain because they are small IoT or handheld devices. However, where high gain MES antennas are used, they provide a higher level of discrimination. There are locations in the world where the antenna </w:t>
      </w:r>
      <w:proofErr w:type="gramStart"/>
      <w:r w:rsidRPr="00F11070">
        <w:t>gain</w:t>
      </w:r>
      <w:proofErr w:type="gramEnd"/>
      <w:r w:rsidRPr="00F11070">
        <w:t xml:space="preserve"> towards the horizon or towards a base station can be close to the peak value. This is where there is a low elevation angle for the MES and where an IMT BSs are deployed in the vicinity and in the direction of the MSS satellite as seen from the MES. For these cases, the actual angles to the satellite and the direction and distance to the IMT deployment should be taken into consideration and the </w:t>
      </w:r>
      <w:proofErr w:type="spellStart"/>
      <w:r w:rsidRPr="00F11070">
        <w:t>pfd</w:t>
      </w:r>
      <w:proofErr w:type="spellEnd"/>
      <w:r w:rsidRPr="00F11070">
        <w:t xml:space="preserve"> adjusted to a value that reflect this.</w:t>
      </w:r>
    </w:p>
    <w:p w14:paraId="68F13878" w14:textId="77777777" w:rsidR="005720AD" w:rsidRPr="00F11070" w:rsidRDefault="005720AD" w:rsidP="005720AD">
      <w:r w:rsidRPr="00F11070">
        <w:lastRenderedPageBreak/>
        <w:t xml:space="preserve">A geographical separation may be required between the IMT </w:t>
      </w:r>
      <w:r w:rsidRPr="00F11070">
        <w:rPr>
          <w:lang w:eastAsia="ja-JP"/>
        </w:rPr>
        <w:t xml:space="preserve">base station </w:t>
      </w:r>
      <w:r w:rsidRPr="00F11070">
        <w:t xml:space="preserve">and the boundary of the defined areas where the </w:t>
      </w:r>
      <w:proofErr w:type="spellStart"/>
      <w:r w:rsidRPr="00F11070">
        <w:t>pfd</w:t>
      </w:r>
      <w:proofErr w:type="spellEnd"/>
      <w:r w:rsidRPr="00F11070">
        <w:t xml:space="preserve"> limits apply. This is particularly the case for the Phase 1 values and for higher power IMT base stations using the uppermost IMT block (closest to 1 518 MHz). The geographical separation depends on a number of factors including IMT base station </w:t>
      </w:r>
      <w:proofErr w:type="spellStart"/>
      <w:r w:rsidRPr="00F11070">
        <w:t>e.i.r.p</w:t>
      </w:r>
      <w:proofErr w:type="spellEnd"/>
      <w:r w:rsidRPr="00F11070">
        <w:t xml:space="preserve">., local clutter, and the applicable </w:t>
      </w:r>
      <w:proofErr w:type="spellStart"/>
      <w:r w:rsidRPr="00F11070">
        <w:t>pfd</w:t>
      </w:r>
      <w:proofErr w:type="spellEnd"/>
      <w:r w:rsidRPr="00F11070">
        <w:t xml:space="preserve"> values (Phase 1 or Phase 2).</w:t>
      </w:r>
      <w:r w:rsidRPr="00F11070" w:rsidDel="00232CC2">
        <w:t xml:space="preserve"> </w:t>
      </w:r>
      <w:r w:rsidRPr="00F11070">
        <w:t xml:space="preserve">For some of the </w:t>
      </w:r>
      <w:proofErr w:type="spellStart"/>
      <w:r w:rsidRPr="00F11070">
        <w:t>pfd</w:t>
      </w:r>
      <w:proofErr w:type="spellEnd"/>
      <w:r w:rsidRPr="00F11070">
        <w:t xml:space="preserve"> values and MES antenna elevation angles (very low), this geographical separation may be up to several tens of km.</w:t>
      </w:r>
    </w:p>
    <w:p w14:paraId="09104F9B" w14:textId="77777777" w:rsidR="005720AD" w:rsidRPr="00F11070" w:rsidRDefault="005720AD" w:rsidP="00757B99">
      <w:pPr>
        <w:pStyle w:val="Heading2"/>
      </w:pPr>
      <w:r w:rsidRPr="00F11070">
        <w:t>A</w:t>
      </w:r>
      <w:r>
        <w:t>4</w:t>
      </w:r>
      <w:r w:rsidRPr="00F11070">
        <w:t>-3</w:t>
      </w:r>
      <w:r w:rsidRPr="00F11070">
        <w:tab/>
        <w:t xml:space="preserve">Measure 2 – In-band </w:t>
      </w:r>
      <w:proofErr w:type="spellStart"/>
      <w:r w:rsidRPr="00F11070">
        <w:rPr>
          <w:lang w:eastAsia="zh-CN"/>
        </w:rPr>
        <w:t>e.i.r.p</w:t>
      </w:r>
      <w:proofErr w:type="spellEnd"/>
      <w:r>
        <w:rPr>
          <w:lang w:eastAsia="zh-CN"/>
        </w:rPr>
        <w:t>.</w:t>
      </w:r>
      <w:r w:rsidRPr="00F11070" w:rsidDel="00FE0FE9">
        <w:t xml:space="preserve"> </w:t>
      </w:r>
      <w:r w:rsidRPr="00F11070">
        <w:t>limits</w:t>
      </w:r>
    </w:p>
    <w:p w14:paraId="51CA9206" w14:textId="77777777" w:rsidR="005720AD" w:rsidRPr="00F11070" w:rsidRDefault="005720AD" w:rsidP="005720AD">
      <w:pPr>
        <w:rPr>
          <w:bCs/>
        </w:rPr>
      </w:pPr>
      <w:r w:rsidRPr="00F11070">
        <w:rPr>
          <w:bCs/>
        </w:rPr>
        <w:t xml:space="preserve">The </w:t>
      </w:r>
      <w:proofErr w:type="spellStart"/>
      <w:r w:rsidRPr="00F11070">
        <w:t>e.i.r.p</w:t>
      </w:r>
      <w:proofErr w:type="spellEnd"/>
      <w:r w:rsidRPr="00F11070">
        <w:t xml:space="preserve">. </w:t>
      </w:r>
      <w:r w:rsidRPr="00F11070">
        <w:rPr>
          <w:bCs/>
        </w:rPr>
        <w:t xml:space="preserve">limits shown in Table </w:t>
      </w:r>
      <w:r>
        <w:rPr>
          <w:bCs/>
        </w:rPr>
        <w:t>10</w:t>
      </w:r>
      <w:r w:rsidRPr="00F11070">
        <w:rPr>
          <w:bCs/>
        </w:rPr>
        <w:t xml:space="preserve"> are intended to apply to IMT base stations and UEs and may be used as a standalone measure throughout a given country or may be used to supplement where an administration has decided not to use </w:t>
      </w:r>
      <w:proofErr w:type="spellStart"/>
      <w:r w:rsidRPr="00F11070">
        <w:rPr>
          <w:bCs/>
        </w:rPr>
        <w:t>pfd</w:t>
      </w:r>
      <w:proofErr w:type="spellEnd"/>
      <w:r w:rsidRPr="00F11070">
        <w:rPr>
          <w:bCs/>
        </w:rPr>
        <w:t xml:space="preserve"> levels for aeronautical, maritime or land MESs. </w:t>
      </w:r>
    </w:p>
    <w:p w14:paraId="6350CA2B" w14:textId="77777777" w:rsidR="005720AD" w:rsidRPr="00F11070" w:rsidRDefault="005720AD" w:rsidP="005720AD">
      <w:pPr>
        <w:rPr>
          <w:bCs/>
        </w:rPr>
      </w:pPr>
      <w:r w:rsidRPr="00F11070">
        <w:rPr>
          <w:bCs/>
        </w:rPr>
        <w:t xml:space="preserve">The </w:t>
      </w:r>
      <w:proofErr w:type="spellStart"/>
      <w:r w:rsidRPr="00F11070">
        <w:t>e.i.r.p</w:t>
      </w:r>
      <w:proofErr w:type="spellEnd"/>
      <w:r w:rsidRPr="00F11070">
        <w:t xml:space="preserve">. </w:t>
      </w:r>
      <w:r w:rsidRPr="00F11070">
        <w:rPr>
          <w:bCs/>
        </w:rPr>
        <w:t>values are based on the blocking resilience of currently operating MESs and next generation MESs that meet the technical requirements of this Recommendati</w:t>
      </w:r>
      <w:r w:rsidRPr="00F11070">
        <w:rPr>
          <w:szCs w:val="24"/>
        </w:rPr>
        <w:t>on</w:t>
      </w:r>
      <w:r w:rsidRPr="00F11070">
        <w:rPr>
          <w:bCs/>
        </w:rPr>
        <w:t xml:space="preserve">. </w:t>
      </w:r>
    </w:p>
    <w:p w14:paraId="2D68B33B" w14:textId="77777777" w:rsidR="005720AD" w:rsidRPr="00F11070" w:rsidRDefault="005720AD" w:rsidP="005720AD">
      <w:pPr>
        <w:rPr>
          <w:bCs/>
        </w:rPr>
      </w:pPr>
      <w:r w:rsidRPr="00F11070">
        <w:t xml:space="preserve">The </w:t>
      </w:r>
      <w:proofErr w:type="spellStart"/>
      <w:r w:rsidRPr="00F11070">
        <w:t>e.i.r.p</w:t>
      </w:r>
      <w:proofErr w:type="spellEnd"/>
      <w:r w:rsidRPr="00F11070">
        <w:t xml:space="preserve">. limits may be applied in two phases. For Phase 1, the </w:t>
      </w:r>
      <w:proofErr w:type="spellStart"/>
      <w:r w:rsidRPr="00F11070">
        <w:t>e.i.r.p</w:t>
      </w:r>
      <w:proofErr w:type="spellEnd"/>
      <w:r w:rsidRPr="00F11070">
        <w:t xml:space="preserve">. values are based on the measured blocking performance of current land MESs. For Phase 2, the </w:t>
      </w:r>
      <w:proofErr w:type="spellStart"/>
      <w:r w:rsidRPr="00F11070">
        <w:t>e.i.r.p</w:t>
      </w:r>
      <w:proofErr w:type="spellEnd"/>
      <w:r w:rsidRPr="00F11070">
        <w:t>. values are based on MESs which meet the blocking resilience levels in Annex 3.</w:t>
      </w:r>
    </w:p>
    <w:p w14:paraId="24B0AF95" w14:textId="720E01E7" w:rsidR="005720AD" w:rsidRPr="00F11070" w:rsidRDefault="00757B99" w:rsidP="005720AD">
      <w:pPr>
        <w:pStyle w:val="TableNo"/>
        <w:rPr>
          <w:lang w:eastAsia="zh-CN"/>
        </w:rPr>
      </w:pPr>
      <w:r w:rsidRPr="00F11070">
        <w:t xml:space="preserve">TABLE </w:t>
      </w:r>
      <w:r w:rsidR="005720AD">
        <w:t>10</w:t>
      </w:r>
    </w:p>
    <w:p w14:paraId="294CB61B" w14:textId="77777777" w:rsidR="005720AD" w:rsidRPr="00F11070" w:rsidRDefault="005720AD" w:rsidP="005720AD">
      <w:pPr>
        <w:pStyle w:val="Tabletitle"/>
        <w:rPr>
          <w:lang w:eastAsia="zh-CN"/>
        </w:rPr>
      </w:pPr>
      <w:r w:rsidRPr="00F11070">
        <w:rPr>
          <w:lang w:eastAsia="zh-CN"/>
        </w:rPr>
        <w:t xml:space="preserve">IMT BS </w:t>
      </w:r>
      <w:proofErr w:type="spellStart"/>
      <w:r w:rsidRPr="00F11070">
        <w:t>e.i.r.p</w:t>
      </w:r>
      <w:proofErr w:type="spellEnd"/>
      <w:r w:rsidRPr="00F11070">
        <w:t xml:space="preserve">. </w:t>
      </w:r>
      <w:r w:rsidRPr="00F11070">
        <w:rPr>
          <w:lang w:eastAsia="zh-CN"/>
        </w:rPr>
        <w:t xml:space="preserve">limits and UE transmit power for compatibility with land MESs </w:t>
      </w:r>
      <w:r w:rsidRPr="00F11070">
        <w:rPr>
          <w:lang w:eastAsia="zh-CN"/>
        </w:rPr>
        <w:br/>
        <w:t>(for IMT BS/UE transmitting signal in the band 1</w:t>
      </w:r>
      <w:r>
        <w:rPr>
          <w:lang w:eastAsia="zh-CN"/>
        </w:rPr>
        <w:t xml:space="preserve"> </w:t>
      </w:r>
      <w:r w:rsidRPr="00F11070">
        <w:rPr>
          <w:lang w:eastAsia="zh-CN"/>
        </w:rPr>
        <w:t>512-1</w:t>
      </w:r>
      <w:r>
        <w:rPr>
          <w:lang w:eastAsia="zh-CN"/>
        </w:rPr>
        <w:t xml:space="preserve"> </w:t>
      </w:r>
      <w:r w:rsidRPr="00F11070">
        <w:rPr>
          <w:lang w:eastAsia="zh-CN"/>
        </w:rPr>
        <w:t>517 MHz)</w:t>
      </w:r>
    </w:p>
    <w:tbl>
      <w:tblPr>
        <w:tblStyle w:val="TableGrid14"/>
        <w:tblW w:w="9639" w:type="dxa"/>
        <w:jc w:val="center"/>
        <w:tblCellMar>
          <w:left w:w="28" w:type="dxa"/>
          <w:right w:w="28" w:type="dxa"/>
        </w:tblCellMar>
        <w:tblLook w:val="04A0" w:firstRow="1" w:lastRow="0" w:firstColumn="1" w:lastColumn="0" w:noHBand="0" w:noVBand="1"/>
      </w:tblPr>
      <w:tblGrid>
        <w:gridCol w:w="1435"/>
        <w:gridCol w:w="2016"/>
        <w:gridCol w:w="2190"/>
        <w:gridCol w:w="2070"/>
        <w:gridCol w:w="1928"/>
      </w:tblGrid>
      <w:tr w:rsidR="005720AD" w:rsidRPr="00757B99" w14:paraId="3B328A12" w14:textId="77777777" w:rsidTr="00757B99">
        <w:trPr>
          <w:cantSplit/>
          <w:jc w:val="center"/>
        </w:trPr>
        <w:tc>
          <w:tcPr>
            <w:tcW w:w="744" w:type="pct"/>
            <w:vAlign w:val="center"/>
          </w:tcPr>
          <w:p w14:paraId="7EF2EE84" w14:textId="77777777" w:rsidR="005720AD" w:rsidRPr="00757B99" w:rsidRDefault="005720AD" w:rsidP="002A110F">
            <w:pPr>
              <w:pStyle w:val="Tablehead"/>
              <w:rPr>
                <w:rFonts w:ascii="Times New Roman" w:hAnsi="Times New Roman" w:cs="Times New Roman"/>
                <w:sz w:val="20"/>
                <w:szCs w:val="20"/>
              </w:rPr>
            </w:pPr>
            <w:r w:rsidRPr="00757B99">
              <w:rPr>
                <w:rFonts w:ascii="Times New Roman" w:hAnsi="Times New Roman" w:cs="Times New Roman"/>
                <w:sz w:val="20"/>
                <w:szCs w:val="20"/>
              </w:rPr>
              <w:t>Option</w:t>
            </w:r>
          </w:p>
        </w:tc>
        <w:tc>
          <w:tcPr>
            <w:tcW w:w="1046" w:type="pct"/>
            <w:vAlign w:val="center"/>
          </w:tcPr>
          <w:p w14:paraId="48B52D72" w14:textId="77777777" w:rsidR="005720AD" w:rsidRPr="00757B99" w:rsidRDefault="005720AD" w:rsidP="002A110F">
            <w:pPr>
              <w:pStyle w:val="Tablehead"/>
              <w:rPr>
                <w:rFonts w:ascii="Times New Roman" w:hAnsi="Times New Roman" w:cs="Times New Roman"/>
                <w:sz w:val="20"/>
                <w:szCs w:val="20"/>
              </w:rPr>
            </w:pPr>
            <w:r w:rsidRPr="00757B99">
              <w:rPr>
                <w:rFonts w:ascii="Times New Roman" w:hAnsi="Times New Roman" w:cs="Times New Roman"/>
                <w:sz w:val="20"/>
                <w:szCs w:val="20"/>
              </w:rPr>
              <w:t xml:space="preserve">Maximum </w:t>
            </w:r>
            <w:proofErr w:type="spellStart"/>
            <w:r w:rsidRPr="00757B99">
              <w:rPr>
                <w:rFonts w:ascii="Times New Roman" w:hAnsi="Times New Roman" w:cs="Times New Roman"/>
                <w:sz w:val="20"/>
                <w:szCs w:val="20"/>
              </w:rPr>
              <w:t>e.i.r.p</w:t>
            </w:r>
            <w:proofErr w:type="spellEnd"/>
            <w:r w:rsidRPr="00757B99">
              <w:rPr>
                <w:rFonts w:ascii="Times New Roman" w:hAnsi="Times New Roman" w:cs="Times New Roman"/>
                <w:sz w:val="20"/>
                <w:szCs w:val="20"/>
              </w:rPr>
              <w:t xml:space="preserve">. from IMT base station </w:t>
            </w:r>
            <w:r w:rsidRPr="00757B99">
              <w:rPr>
                <w:rFonts w:ascii="Times New Roman" w:hAnsi="Times New Roman" w:cs="Times New Roman"/>
                <w:sz w:val="20"/>
                <w:szCs w:val="20"/>
              </w:rPr>
              <w:br/>
              <w:t xml:space="preserve">(dBm) </w:t>
            </w:r>
            <w:r w:rsidRPr="00757B99">
              <w:rPr>
                <w:rFonts w:ascii="Times New Roman" w:hAnsi="Times New Roman" w:cs="Times New Roman"/>
                <w:sz w:val="20"/>
                <w:szCs w:val="20"/>
              </w:rPr>
              <w:br/>
              <w:t>Rural deployment</w:t>
            </w:r>
          </w:p>
        </w:tc>
        <w:tc>
          <w:tcPr>
            <w:tcW w:w="1136" w:type="pct"/>
            <w:vAlign w:val="center"/>
          </w:tcPr>
          <w:p w14:paraId="699D530A" w14:textId="77777777" w:rsidR="005720AD" w:rsidRPr="00757B99" w:rsidRDefault="005720AD" w:rsidP="002A110F">
            <w:pPr>
              <w:pStyle w:val="Tablehead"/>
              <w:rPr>
                <w:rFonts w:ascii="Times New Roman" w:hAnsi="Times New Roman" w:cs="Times New Roman"/>
                <w:sz w:val="20"/>
                <w:szCs w:val="20"/>
              </w:rPr>
            </w:pPr>
            <w:r w:rsidRPr="00757B99">
              <w:rPr>
                <w:rFonts w:ascii="Times New Roman" w:hAnsi="Times New Roman" w:cs="Times New Roman"/>
                <w:sz w:val="20"/>
                <w:szCs w:val="20"/>
              </w:rPr>
              <w:t xml:space="preserve">Maximum </w:t>
            </w:r>
            <w:proofErr w:type="spellStart"/>
            <w:r w:rsidRPr="00757B99">
              <w:rPr>
                <w:rFonts w:ascii="Times New Roman" w:hAnsi="Times New Roman" w:cs="Times New Roman"/>
                <w:sz w:val="20"/>
                <w:szCs w:val="20"/>
              </w:rPr>
              <w:t>e.i.r.p</w:t>
            </w:r>
            <w:proofErr w:type="spellEnd"/>
            <w:r w:rsidRPr="00757B99">
              <w:rPr>
                <w:rFonts w:ascii="Times New Roman" w:hAnsi="Times New Roman" w:cs="Times New Roman"/>
                <w:sz w:val="20"/>
                <w:szCs w:val="20"/>
              </w:rPr>
              <w:t xml:space="preserve">. from IMT base station </w:t>
            </w:r>
            <w:r w:rsidRPr="00757B99">
              <w:rPr>
                <w:rFonts w:ascii="Times New Roman" w:hAnsi="Times New Roman" w:cs="Times New Roman"/>
                <w:sz w:val="20"/>
                <w:szCs w:val="20"/>
              </w:rPr>
              <w:br/>
              <w:t xml:space="preserve">(dBm) </w:t>
            </w:r>
            <w:r w:rsidRPr="00757B99">
              <w:rPr>
                <w:rFonts w:ascii="Times New Roman" w:hAnsi="Times New Roman" w:cs="Times New Roman"/>
                <w:sz w:val="20"/>
                <w:szCs w:val="20"/>
              </w:rPr>
              <w:br/>
              <w:t>Suburban deployment</w:t>
            </w:r>
          </w:p>
        </w:tc>
        <w:tc>
          <w:tcPr>
            <w:tcW w:w="1074" w:type="pct"/>
            <w:vAlign w:val="center"/>
          </w:tcPr>
          <w:p w14:paraId="5387A4A9" w14:textId="77777777" w:rsidR="005720AD" w:rsidRPr="00757B99" w:rsidRDefault="005720AD" w:rsidP="002A110F">
            <w:pPr>
              <w:pStyle w:val="Tablehead"/>
              <w:rPr>
                <w:rFonts w:ascii="Times New Roman" w:hAnsi="Times New Roman" w:cs="Times New Roman"/>
                <w:sz w:val="20"/>
                <w:szCs w:val="20"/>
              </w:rPr>
            </w:pPr>
            <w:r w:rsidRPr="00757B99">
              <w:rPr>
                <w:rFonts w:ascii="Times New Roman" w:hAnsi="Times New Roman" w:cs="Times New Roman"/>
                <w:sz w:val="20"/>
                <w:szCs w:val="20"/>
              </w:rPr>
              <w:t xml:space="preserve">Maximum </w:t>
            </w:r>
            <w:proofErr w:type="spellStart"/>
            <w:r w:rsidRPr="00757B99">
              <w:rPr>
                <w:rFonts w:ascii="Times New Roman" w:hAnsi="Times New Roman" w:cs="Times New Roman"/>
                <w:sz w:val="20"/>
                <w:szCs w:val="20"/>
              </w:rPr>
              <w:t>e.i.r.p</w:t>
            </w:r>
            <w:proofErr w:type="spellEnd"/>
            <w:r w:rsidRPr="00757B99">
              <w:rPr>
                <w:rFonts w:ascii="Times New Roman" w:hAnsi="Times New Roman" w:cs="Times New Roman"/>
                <w:sz w:val="20"/>
                <w:szCs w:val="20"/>
              </w:rPr>
              <w:t xml:space="preserve">. from IMT base station </w:t>
            </w:r>
            <w:r w:rsidRPr="00757B99">
              <w:rPr>
                <w:rFonts w:ascii="Times New Roman" w:hAnsi="Times New Roman" w:cs="Times New Roman"/>
                <w:sz w:val="20"/>
                <w:szCs w:val="20"/>
              </w:rPr>
              <w:br/>
              <w:t>(dBm)</w:t>
            </w:r>
            <w:r w:rsidRPr="00757B99">
              <w:rPr>
                <w:rFonts w:ascii="Times New Roman" w:hAnsi="Times New Roman" w:cs="Times New Roman"/>
                <w:sz w:val="20"/>
                <w:szCs w:val="20"/>
              </w:rPr>
              <w:br/>
              <w:t>Urban deployment</w:t>
            </w:r>
          </w:p>
        </w:tc>
        <w:tc>
          <w:tcPr>
            <w:tcW w:w="1001" w:type="pct"/>
          </w:tcPr>
          <w:p w14:paraId="15C4D52B" w14:textId="77777777" w:rsidR="005720AD" w:rsidRPr="00757B99" w:rsidRDefault="005720AD" w:rsidP="002A110F">
            <w:pPr>
              <w:pStyle w:val="Tablehead"/>
              <w:rPr>
                <w:rFonts w:ascii="Times New Roman" w:hAnsi="Times New Roman" w:cs="Times New Roman"/>
                <w:sz w:val="20"/>
                <w:szCs w:val="20"/>
              </w:rPr>
            </w:pPr>
            <w:proofErr w:type="gramStart"/>
            <w:r w:rsidRPr="00757B99">
              <w:rPr>
                <w:rFonts w:ascii="Times New Roman" w:hAnsi="Times New Roman" w:cs="Times New Roman"/>
                <w:sz w:val="20"/>
                <w:szCs w:val="20"/>
              </w:rPr>
              <w:t>Maximum</w:t>
            </w:r>
            <w:proofErr w:type="gramEnd"/>
            <w:r w:rsidRPr="00757B99">
              <w:rPr>
                <w:rFonts w:ascii="Times New Roman" w:hAnsi="Times New Roman" w:cs="Times New Roman"/>
                <w:sz w:val="20"/>
                <w:szCs w:val="20"/>
              </w:rPr>
              <w:t xml:space="preserve"> transmit power from IMT User equipment (dBm)</w:t>
            </w:r>
          </w:p>
        </w:tc>
      </w:tr>
      <w:tr w:rsidR="005720AD" w:rsidRPr="00757B99" w14:paraId="0145A2C5" w14:textId="77777777" w:rsidTr="00757B99">
        <w:trPr>
          <w:cantSplit/>
          <w:jc w:val="center"/>
        </w:trPr>
        <w:tc>
          <w:tcPr>
            <w:tcW w:w="744" w:type="pct"/>
            <w:vAlign w:val="center"/>
          </w:tcPr>
          <w:p w14:paraId="1CE797E7" w14:textId="77777777" w:rsidR="005720AD" w:rsidRPr="00757B99" w:rsidRDefault="005720AD" w:rsidP="00757B99">
            <w:pPr>
              <w:pStyle w:val="Tabletext"/>
              <w:jc w:val="left"/>
              <w:rPr>
                <w:rFonts w:ascii="Times New Roman" w:hAnsi="Times New Roman" w:cs="Times New Roman"/>
                <w:sz w:val="20"/>
                <w:szCs w:val="20"/>
              </w:rPr>
            </w:pPr>
            <w:r w:rsidRPr="00757B99">
              <w:rPr>
                <w:rFonts w:ascii="Times New Roman" w:hAnsi="Times New Roman" w:cs="Times New Roman"/>
                <w:sz w:val="20"/>
                <w:szCs w:val="20"/>
              </w:rPr>
              <w:t xml:space="preserve">1 (Phase 1) </w:t>
            </w:r>
            <w:r w:rsidRPr="00757B99">
              <w:rPr>
                <w:rFonts w:ascii="Times New Roman" w:hAnsi="Times New Roman" w:cs="Times New Roman"/>
                <w:sz w:val="20"/>
                <w:szCs w:val="20"/>
                <w:vertAlign w:val="superscript"/>
              </w:rPr>
              <w:t>(1), (2)</w:t>
            </w:r>
          </w:p>
        </w:tc>
        <w:tc>
          <w:tcPr>
            <w:tcW w:w="1046" w:type="pct"/>
            <w:vAlign w:val="center"/>
          </w:tcPr>
          <w:p w14:paraId="7BBB37B4"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19.5</w:t>
            </w:r>
          </w:p>
        </w:tc>
        <w:tc>
          <w:tcPr>
            <w:tcW w:w="1136" w:type="pct"/>
            <w:vAlign w:val="center"/>
          </w:tcPr>
          <w:p w14:paraId="5854FCD5"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7</w:t>
            </w:r>
          </w:p>
        </w:tc>
        <w:tc>
          <w:tcPr>
            <w:tcW w:w="1074" w:type="pct"/>
            <w:vAlign w:val="center"/>
          </w:tcPr>
          <w:p w14:paraId="4F746EBD"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5.5</w:t>
            </w:r>
          </w:p>
        </w:tc>
        <w:tc>
          <w:tcPr>
            <w:tcW w:w="1001" w:type="pct"/>
          </w:tcPr>
          <w:p w14:paraId="40C93010"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Not defined</w:t>
            </w:r>
          </w:p>
        </w:tc>
      </w:tr>
      <w:tr w:rsidR="005720AD" w:rsidRPr="00757B99" w14:paraId="087FF02A" w14:textId="77777777" w:rsidTr="00757B99">
        <w:trPr>
          <w:cantSplit/>
          <w:jc w:val="center"/>
        </w:trPr>
        <w:tc>
          <w:tcPr>
            <w:tcW w:w="744" w:type="pct"/>
            <w:vAlign w:val="center"/>
          </w:tcPr>
          <w:p w14:paraId="67820195" w14:textId="77777777" w:rsidR="005720AD" w:rsidRPr="00757B99" w:rsidRDefault="005720AD" w:rsidP="00757B99">
            <w:pPr>
              <w:pStyle w:val="Tabletext"/>
              <w:jc w:val="left"/>
              <w:rPr>
                <w:rFonts w:ascii="Times New Roman" w:hAnsi="Times New Roman" w:cs="Times New Roman"/>
                <w:sz w:val="20"/>
                <w:szCs w:val="20"/>
              </w:rPr>
            </w:pPr>
            <w:r w:rsidRPr="00757B99">
              <w:rPr>
                <w:rFonts w:ascii="Times New Roman" w:hAnsi="Times New Roman" w:cs="Times New Roman"/>
                <w:sz w:val="20"/>
                <w:szCs w:val="20"/>
              </w:rPr>
              <w:t xml:space="preserve">1 (Phase 2) </w:t>
            </w:r>
            <w:r w:rsidRPr="00757B99">
              <w:rPr>
                <w:rFonts w:ascii="Times New Roman" w:hAnsi="Times New Roman" w:cs="Times New Roman"/>
                <w:sz w:val="20"/>
                <w:szCs w:val="20"/>
                <w:vertAlign w:val="superscript"/>
              </w:rPr>
              <w:t>(1), (3)</w:t>
            </w:r>
          </w:p>
        </w:tc>
        <w:tc>
          <w:tcPr>
            <w:tcW w:w="1046" w:type="pct"/>
            <w:vAlign w:val="center"/>
          </w:tcPr>
          <w:p w14:paraId="01839CCE"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52.5</w:t>
            </w:r>
          </w:p>
        </w:tc>
        <w:tc>
          <w:tcPr>
            <w:tcW w:w="1136" w:type="pct"/>
            <w:vAlign w:val="center"/>
          </w:tcPr>
          <w:p w14:paraId="31234A74"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40</w:t>
            </w:r>
          </w:p>
        </w:tc>
        <w:tc>
          <w:tcPr>
            <w:tcW w:w="1074" w:type="pct"/>
            <w:vAlign w:val="center"/>
          </w:tcPr>
          <w:p w14:paraId="31EBFFC9"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38.5</w:t>
            </w:r>
          </w:p>
        </w:tc>
        <w:tc>
          <w:tcPr>
            <w:tcW w:w="1001" w:type="pct"/>
          </w:tcPr>
          <w:p w14:paraId="45C0977A"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23</w:t>
            </w:r>
          </w:p>
        </w:tc>
      </w:tr>
      <w:tr w:rsidR="005720AD" w:rsidRPr="00757B99" w14:paraId="218DB500" w14:textId="77777777" w:rsidTr="00757B99">
        <w:trPr>
          <w:cantSplit/>
          <w:jc w:val="center"/>
        </w:trPr>
        <w:tc>
          <w:tcPr>
            <w:tcW w:w="744" w:type="pct"/>
            <w:vAlign w:val="center"/>
          </w:tcPr>
          <w:p w14:paraId="2F2D25F8" w14:textId="77777777" w:rsidR="005720AD" w:rsidRPr="00757B99" w:rsidRDefault="005720AD" w:rsidP="00757B99">
            <w:pPr>
              <w:pStyle w:val="Tabletext"/>
              <w:jc w:val="left"/>
              <w:rPr>
                <w:rFonts w:ascii="Times New Roman" w:hAnsi="Times New Roman" w:cs="Times New Roman"/>
                <w:sz w:val="20"/>
                <w:szCs w:val="20"/>
              </w:rPr>
            </w:pPr>
            <w:r w:rsidRPr="00757B99">
              <w:rPr>
                <w:rFonts w:ascii="Times New Roman" w:hAnsi="Times New Roman" w:cs="Times New Roman"/>
                <w:sz w:val="20"/>
                <w:szCs w:val="20"/>
              </w:rPr>
              <w:t>2 (Phase 1)</w:t>
            </w:r>
          </w:p>
        </w:tc>
        <w:tc>
          <w:tcPr>
            <w:tcW w:w="1046" w:type="pct"/>
            <w:vAlign w:val="center"/>
          </w:tcPr>
          <w:p w14:paraId="72166319"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Not defined</w:t>
            </w:r>
          </w:p>
        </w:tc>
        <w:tc>
          <w:tcPr>
            <w:tcW w:w="1136" w:type="pct"/>
            <w:vAlign w:val="center"/>
          </w:tcPr>
          <w:p w14:paraId="5FE4A546"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Not defined</w:t>
            </w:r>
          </w:p>
        </w:tc>
        <w:tc>
          <w:tcPr>
            <w:tcW w:w="1074" w:type="pct"/>
            <w:vAlign w:val="center"/>
          </w:tcPr>
          <w:p w14:paraId="61A55D8C"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Not defined</w:t>
            </w:r>
          </w:p>
        </w:tc>
        <w:tc>
          <w:tcPr>
            <w:tcW w:w="1001" w:type="pct"/>
          </w:tcPr>
          <w:p w14:paraId="2002AC03"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Not defined</w:t>
            </w:r>
          </w:p>
        </w:tc>
      </w:tr>
      <w:tr w:rsidR="005720AD" w:rsidRPr="00757B99" w14:paraId="4E035E67" w14:textId="77777777" w:rsidTr="00757B99">
        <w:trPr>
          <w:cantSplit/>
          <w:jc w:val="center"/>
        </w:trPr>
        <w:tc>
          <w:tcPr>
            <w:tcW w:w="744" w:type="pct"/>
            <w:tcBorders>
              <w:bottom w:val="single" w:sz="4" w:space="0" w:color="auto"/>
            </w:tcBorders>
            <w:vAlign w:val="center"/>
          </w:tcPr>
          <w:p w14:paraId="54658688" w14:textId="77777777" w:rsidR="005720AD" w:rsidRPr="00757B99" w:rsidRDefault="005720AD" w:rsidP="00757B99">
            <w:pPr>
              <w:pStyle w:val="Tabletext"/>
              <w:jc w:val="left"/>
              <w:rPr>
                <w:rFonts w:ascii="Times New Roman" w:hAnsi="Times New Roman" w:cs="Times New Roman"/>
                <w:sz w:val="20"/>
                <w:szCs w:val="20"/>
                <w:vertAlign w:val="superscript"/>
              </w:rPr>
            </w:pPr>
            <w:r w:rsidRPr="00757B99">
              <w:rPr>
                <w:rFonts w:ascii="Times New Roman" w:hAnsi="Times New Roman" w:cs="Times New Roman"/>
                <w:sz w:val="20"/>
                <w:szCs w:val="20"/>
              </w:rPr>
              <w:t xml:space="preserve">2 (Phase 2) </w:t>
            </w:r>
            <w:r w:rsidRPr="00757B99">
              <w:rPr>
                <w:rFonts w:ascii="Times New Roman" w:hAnsi="Times New Roman" w:cs="Times New Roman"/>
                <w:sz w:val="20"/>
                <w:szCs w:val="20"/>
                <w:vertAlign w:val="superscript"/>
              </w:rPr>
              <w:t>(4)</w:t>
            </w:r>
          </w:p>
        </w:tc>
        <w:tc>
          <w:tcPr>
            <w:tcW w:w="1046" w:type="pct"/>
            <w:tcBorders>
              <w:bottom w:val="single" w:sz="4" w:space="0" w:color="auto"/>
            </w:tcBorders>
            <w:vAlign w:val="center"/>
          </w:tcPr>
          <w:p w14:paraId="55E6FED3"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136" w:type="pct"/>
            <w:tcBorders>
              <w:bottom w:val="single" w:sz="4" w:space="0" w:color="auto"/>
            </w:tcBorders>
            <w:vAlign w:val="center"/>
          </w:tcPr>
          <w:p w14:paraId="19CAC251"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074" w:type="pct"/>
            <w:tcBorders>
              <w:bottom w:val="single" w:sz="4" w:space="0" w:color="auto"/>
            </w:tcBorders>
            <w:vAlign w:val="center"/>
          </w:tcPr>
          <w:p w14:paraId="128D52DA"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001" w:type="pct"/>
            <w:tcBorders>
              <w:bottom w:val="single" w:sz="4" w:space="0" w:color="auto"/>
            </w:tcBorders>
          </w:tcPr>
          <w:p w14:paraId="52B03C3A" w14:textId="77777777" w:rsidR="005720AD" w:rsidRPr="00757B99" w:rsidRDefault="005720AD" w:rsidP="002A110F">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23</w:t>
            </w:r>
          </w:p>
        </w:tc>
      </w:tr>
      <w:tr w:rsidR="005720AD" w:rsidRPr="00757B99" w14:paraId="7BDD133E" w14:textId="77777777" w:rsidTr="00757B99">
        <w:trPr>
          <w:cantSplit/>
          <w:jc w:val="center"/>
        </w:trPr>
        <w:tc>
          <w:tcPr>
            <w:tcW w:w="5000" w:type="pct"/>
            <w:gridSpan w:val="5"/>
            <w:tcBorders>
              <w:left w:val="nil"/>
              <w:bottom w:val="nil"/>
              <w:right w:val="nil"/>
            </w:tcBorders>
            <w:vAlign w:val="center"/>
          </w:tcPr>
          <w:p w14:paraId="72496D62" w14:textId="77777777" w:rsidR="005720AD" w:rsidRPr="00757B99" w:rsidRDefault="005720AD" w:rsidP="00757B99">
            <w:pPr>
              <w:pStyle w:val="Tabletext"/>
              <w:ind w:left="284" w:hanging="284"/>
              <w:rPr>
                <w:rFonts w:ascii="Times New Roman" w:hAnsi="Times New Roman" w:cs="Times New Roman"/>
                <w:sz w:val="20"/>
                <w:szCs w:val="20"/>
              </w:rPr>
            </w:pPr>
            <w:r w:rsidRPr="00757B99">
              <w:rPr>
                <w:rFonts w:ascii="Times New Roman" w:hAnsi="Times New Roman" w:cs="Times New Roman"/>
                <w:sz w:val="20"/>
                <w:szCs w:val="20"/>
                <w:vertAlign w:val="superscript"/>
              </w:rPr>
              <w:t>(1)</w:t>
            </w:r>
            <w:r w:rsidRPr="00757B99">
              <w:rPr>
                <w:rFonts w:ascii="Times New Roman" w:hAnsi="Times New Roman" w:cs="Times New Roman"/>
                <w:sz w:val="20"/>
                <w:szCs w:val="20"/>
              </w:rPr>
              <w:tab/>
            </w:r>
            <w:proofErr w:type="spellStart"/>
            <w:r w:rsidRPr="00757B99">
              <w:rPr>
                <w:rFonts w:ascii="Times New Roman" w:hAnsi="Times New Roman" w:cs="Times New Roman"/>
                <w:sz w:val="20"/>
                <w:szCs w:val="20"/>
              </w:rPr>
              <w:t>e.i.r.p</w:t>
            </w:r>
            <w:proofErr w:type="spellEnd"/>
            <w:r w:rsidRPr="00757B99">
              <w:rPr>
                <w:rFonts w:ascii="Times New Roman" w:hAnsi="Times New Roman" w:cs="Times New Roman"/>
                <w:sz w:val="20"/>
                <w:szCs w:val="20"/>
              </w:rPr>
              <w:t xml:space="preserve">. limits are not consistent with standard IMT </w:t>
            </w:r>
            <w:proofErr w:type="gramStart"/>
            <w:r w:rsidRPr="00757B99">
              <w:rPr>
                <w:rFonts w:ascii="Times New Roman" w:hAnsi="Times New Roman" w:cs="Times New Roman"/>
                <w:sz w:val="20"/>
                <w:szCs w:val="20"/>
              </w:rPr>
              <w:t>parameters, but</w:t>
            </w:r>
            <w:proofErr w:type="gramEnd"/>
            <w:r w:rsidRPr="00757B99">
              <w:rPr>
                <w:rFonts w:ascii="Times New Roman" w:hAnsi="Times New Roman" w:cs="Times New Roman"/>
                <w:sz w:val="20"/>
                <w:szCs w:val="20"/>
              </w:rPr>
              <w:t xml:space="preserve"> may allow deployment of other applications.</w:t>
            </w:r>
          </w:p>
          <w:p w14:paraId="05F62BE3" w14:textId="77777777" w:rsidR="005720AD" w:rsidRPr="00757B99" w:rsidRDefault="005720AD" w:rsidP="00757B99">
            <w:pPr>
              <w:pStyle w:val="Tabletext"/>
              <w:ind w:left="284" w:hanging="284"/>
              <w:rPr>
                <w:rFonts w:ascii="Times New Roman" w:hAnsi="Times New Roman" w:cs="Times New Roman"/>
                <w:sz w:val="20"/>
                <w:szCs w:val="20"/>
              </w:rPr>
            </w:pPr>
            <w:r w:rsidRPr="00757B99">
              <w:rPr>
                <w:rFonts w:ascii="Times New Roman" w:hAnsi="Times New Roman" w:cs="Times New Roman"/>
                <w:sz w:val="20"/>
                <w:szCs w:val="20"/>
                <w:vertAlign w:val="superscript"/>
              </w:rPr>
              <w:t>(2)</w:t>
            </w:r>
            <w:r w:rsidRPr="00757B99">
              <w:rPr>
                <w:rFonts w:ascii="Times New Roman" w:hAnsi="Times New Roman" w:cs="Times New Roman"/>
                <w:sz w:val="20"/>
                <w:szCs w:val="20"/>
              </w:rPr>
              <w:tab/>
              <w:t>Providing improved compatibility to currently operating MESs.</w:t>
            </w:r>
          </w:p>
          <w:p w14:paraId="4FFE4A80" w14:textId="77777777" w:rsidR="005720AD" w:rsidRPr="00757B99" w:rsidRDefault="005720AD" w:rsidP="00757B99">
            <w:pPr>
              <w:pStyle w:val="Tabletext"/>
              <w:ind w:left="284" w:hanging="284"/>
              <w:rPr>
                <w:rFonts w:ascii="Times New Roman" w:hAnsi="Times New Roman" w:cs="Times New Roman"/>
                <w:sz w:val="20"/>
                <w:szCs w:val="20"/>
              </w:rPr>
            </w:pPr>
            <w:r w:rsidRPr="00757B99">
              <w:rPr>
                <w:rFonts w:ascii="Times New Roman" w:hAnsi="Times New Roman" w:cs="Times New Roman"/>
                <w:sz w:val="20"/>
                <w:szCs w:val="20"/>
                <w:vertAlign w:val="superscript"/>
              </w:rPr>
              <w:t>(3)</w:t>
            </w:r>
            <w:r w:rsidRPr="00757B99">
              <w:rPr>
                <w:rFonts w:ascii="Times New Roman" w:hAnsi="Times New Roman" w:cs="Times New Roman"/>
                <w:sz w:val="20"/>
                <w:szCs w:val="20"/>
              </w:rPr>
              <w:tab/>
              <w:t xml:space="preserve">Providing improved compatibility to next generation standard of MESs compared to Option 2.  </w:t>
            </w:r>
          </w:p>
          <w:p w14:paraId="697D02B0" w14:textId="77777777" w:rsidR="005720AD" w:rsidRPr="00757B99" w:rsidRDefault="005720AD" w:rsidP="00757B99">
            <w:pPr>
              <w:pStyle w:val="Tabletext"/>
              <w:ind w:left="284" w:hanging="284"/>
              <w:rPr>
                <w:rFonts w:ascii="Times New Roman" w:hAnsi="Times New Roman" w:cs="Times New Roman"/>
                <w:sz w:val="20"/>
                <w:szCs w:val="20"/>
              </w:rPr>
            </w:pPr>
            <w:r w:rsidRPr="00757B99">
              <w:rPr>
                <w:rFonts w:ascii="Times New Roman" w:hAnsi="Times New Roman" w:cs="Times New Roman"/>
                <w:sz w:val="20"/>
                <w:szCs w:val="20"/>
                <w:vertAlign w:val="superscript"/>
              </w:rPr>
              <w:t>(4)</w:t>
            </w:r>
            <w:r w:rsidRPr="00757B99">
              <w:rPr>
                <w:rFonts w:ascii="Times New Roman" w:hAnsi="Times New Roman" w:cs="Times New Roman"/>
                <w:sz w:val="20"/>
                <w:szCs w:val="20"/>
              </w:rPr>
              <w:tab/>
              <w:t>Providing compatibility with next generation standard of MESs, but with higher interference than Option 1.</w:t>
            </w:r>
          </w:p>
        </w:tc>
      </w:tr>
    </w:tbl>
    <w:p w14:paraId="6B3834A5" w14:textId="77777777" w:rsidR="005720AD" w:rsidRDefault="005720AD" w:rsidP="005720AD">
      <w:pPr>
        <w:pStyle w:val="Tablefin"/>
      </w:pPr>
    </w:p>
    <w:p w14:paraId="56B52DA0" w14:textId="77777777" w:rsidR="005720AD" w:rsidRDefault="005720AD" w:rsidP="005720AD"/>
    <w:p w14:paraId="7FA43713" w14:textId="77777777" w:rsidR="005720AD" w:rsidRPr="00BF487A" w:rsidRDefault="005720AD" w:rsidP="005720AD">
      <w:pPr>
        <w:pStyle w:val="Line"/>
      </w:pPr>
    </w:p>
    <w:sectPr w:rsidR="005720AD" w:rsidRPr="00BF487A" w:rsidSect="00302806">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3858" w14:textId="77777777" w:rsidR="005720AD" w:rsidRDefault="005720AD">
      <w:r>
        <w:separator/>
      </w:r>
    </w:p>
  </w:endnote>
  <w:endnote w:type="continuationSeparator" w:id="0">
    <w:p w14:paraId="3A0D3824" w14:textId="77777777" w:rsidR="005720AD" w:rsidRDefault="0057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8250" w14:textId="77777777" w:rsidR="005720AD" w:rsidRDefault="005720AD">
    <w:pPr>
      <w:pStyle w:val="Footer"/>
    </w:pPr>
    <w:r>
      <w:drawing>
        <wp:anchor distT="0" distB="0" distL="0" distR="0" simplePos="0" relativeHeight="251659264" behindDoc="0" locked="0" layoutInCell="1" allowOverlap="1" wp14:anchorId="00C17DC0" wp14:editId="1A01EF7E">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F71" w14:textId="125AF9B8" w:rsidR="00302806" w:rsidRDefault="0030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A7EB" w14:textId="77777777" w:rsidR="005720AD" w:rsidRDefault="005720AD">
      <w:r>
        <w:separator/>
      </w:r>
    </w:p>
  </w:footnote>
  <w:footnote w:type="continuationSeparator" w:id="0">
    <w:p w14:paraId="72253432" w14:textId="77777777" w:rsidR="005720AD" w:rsidRDefault="005720AD">
      <w:r>
        <w:continuationSeparator/>
      </w:r>
    </w:p>
  </w:footnote>
  <w:footnote w:id="1">
    <w:p w14:paraId="25DF60A8" w14:textId="77777777" w:rsidR="005720AD" w:rsidRPr="00E65C85" w:rsidRDefault="005720AD" w:rsidP="005720AD">
      <w:pPr>
        <w:pStyle w:val="FootnoteText"/>
        <w:rPr>
          <w:lang w:val="en-US"/>
        </w:rPr>
      </w:pPr>
      <w:r w:rsidRPr="00E65C85">
        <w:rPr>
          <w:rStyle w:val="FootnoteReference"/>
        </w:rPr>
        <w:sym w:font="Symbol" w:char="F02A"/>
      </w:r>
      <w:r>
        <w:t xml:space="preserve"> </w:t>
      </w:r>
      <w:r>
        <w:rPr>
          <w:lang w:val="en-US"/>
        </w:rPr>
        <w:tab/>
      </w:r>
      <w:r w:rsidRPr="00BB1C56">
        <w:t>This Recommendation should be brought to the attention of the International Maritime Organization (IMO), the International Civil Aviation Organization (ICAO), and the International Mobile Satellite Organization (IMSO).</w:t>
      </w:r>
    </w:p>
  </w:footnote>
  <w:footnote w:id="2">
    <w:p w14:paraId="66489959" w14:textId="77777777" w:rsidR="005720AD" w:rsidRDefault="005720AD" w:rsidP="005720AD">
      <w:pPr>
        <w:pStyle w:val="FootnoteText"/>
        <w:spacing w:after="240"/>
      </w:pPr>
      <w:r w:rsidRPr="00735179">
        <w:rPr>
          <w:rStyle w:val="FootnoteReference"/>
          <w:sz w:val="16"/>
          <w:szCs w:val="18"/>
        </w:rPr>
        <w:footnoteRef/>
      </w:r>
      <w:r w:rsidRPr="00735179">
        <w:tab/>
        <w:t xml:space="preserve">While the </w:t>
      </w:r>
      <w:r>
        <w:t>R</w:t>
      </w:r>
      <w:r w:rsidRPr="00735179">
        <w:t xml:space="preserve">ecommendation is based on studies requested by Resolution </w:t>
      </w:r>
      <w:r w:rsidRPr="00735179">
        <w:rPr>
          <w:b/>
          <w:bCs/>
        </w:rPr>
        <w:t>223 (Rev.WRC-19)</w:t>
      </w:r>
      <w:r w:rsidRPr="00735179">
        <w:t xml:space="preserve"> relating to coexistence between IMT in the band 1 492-1 518 MHz and MSS in the band 1 518-1 525 MHz, the technical requirements and regulatory measures recommended are also effective and may be applicable to </w:t>
      </w:r>
      <w:r>
        <w:t>mobile Earth stations</w:t>
      </w:r>
      <w:r w:rsidRPr="00735179">
        <w:t xml:space="preserve"> operating in the band 1 525-1 559 </w:t>
      </w:r>
      <w:proofErr w:type="spellStart"/>
      <w:r w:rsidRPr="00735179">
        <w:t>MHz.</w:t>
      </w:r>
      <w:proofErr w:type="spellEnd"/>
    </w:p>
  </w:footnote>
  <w:footnote w:id="3">
    <w:p w14:paraId="0A2FCB78" w14:textId="77777777" w:rsidR="005720AD" w:rsidRPr="0073109D" w:rsidRDefault="005720AD" w:rsidP="005720AD">
      <w:pPr>
        <w:pStyle w:val="FootnoteText"/>
        <w:rPr>
          <w:rStyle w:val="FootnoteReference"/>
          <w:sz w:val="16"/>
          <w:szCs w:val="18"/>
        </w:rPr>
      </w:pPr>
      <w:r w:rsidRPr="0073109D">
        <w:rPr>
          <w:rStyle w:val="FootnoteReference"/>
          <w:sz w:val="16"/>
          <w:szCs w:val="18"/>
        </w:rPr>
        <w:footnoteRef/>
      </w:r>
      <w:r w:rsidRPr="0073109D">
        <w:t xml:space="preserve"> </w:t>
      </w:r>
      <w:r w:rsidRPr="0073109D">
        <w:tab/>
      </w:r>
      <w:r w:rsidRPr="0073109D">
        <w:rPr>
          <w:rFonts w:eastAsia="Calibri"/>
        </w:rPr>
        <w:t xml:space="preserve">Regarding the application of this </w:t>
      </w:r>
      <w:r>
        <w:rPr>
          <w:rFonts w:eastAsia="Calibri"/>
        </w:rPr>
        <w:t>A</w:t>
      </w:r>
      <w:r w:rsidRPr="0073109D">
        <w:rPr>
          <w:rFonts w:eastAsia="Calibri"/>
        </w:rPr>
        <w:t>nnex to countries with MSS operations in different parts of 1.5</w:t>
      </w:r>
      <w:r>
        <w:rPr>
          <w:rFonts w:eastAsia="Calibri"/>
        </w:rPr>
        <w:t> </w:t>
      </w:r>
      <w:r w:rsidRPr="0073109D">
        <w:rPr>
          <w:rFonts w:eastAsia="Calibri"/>
        </w:rPr>
        <w:t>GHz range, see also the footnote to the title of this Recommendation.</w:t>
      </w:r>
    </w:p>
  </w:footnote>
  <w:footnote w:id="4">
    <w:p w14:paraId="669D6FCA" w14:textId="1416A6E8" w:rsidR="005720AD" w:rsidRDefault="005720AD" w:rsidP="005720AD">
      <w:pPr>
        <w:pStyle w:val="FootnoteText"/>
      </w:pPr>
      <w:r>
        <w:rPr>
          <w:rStyle w:val="FootnoteReference"/>
        </w:rPr>
        <w:footnoteRef/>
      </w:r>
      <w:r>
        <w:tab/>
      </w:r>
      <w:r w:rsidRPr="0073109D">
        <w:rPr>
          <w:szCs w:val="24"/>
          <w:lang w:eastAsia="zh-CN"/>
        </w:rPr>
        <w:t xml:space="preserve">FCC 05-30: </w:t>
      </w:r>
      <w:r w:rsidR="00053593">
        <w:rPr>
          <w:szCs w:val="24"/>
          <w:lang w:eastAsia="zh-CN"/>
        </w:rPr>
        <w:t>“</w:t>
      </w:r>
      <w:r w:rsidRPr="0073109D">
        <w:rPr>
          <w:szCs w:val="24"/>
          <w:lang w:eastAsia="zh-CN"/>
        </w:rPr>
        <w:t>Flexibility for Delivery of Communications by Mobile Satellite Service Providers in the 2</w:t>
      </w:r>
      <w:r w:rsidR="00053593">
        <w:rPr>
          <w:szCs w:val="24"/>
          <w:lang w:eastAsia="zh-CN"/>
        </w:rPr>
        <w:t> </w:t>
      </w:r>
      <w:r w:rsidRPr="0073109D">
        <w:rPr>
          <w:szCs w:val="24"/>
          <w:lang w:eastAsia="zh-CN"/>
        </w:rPr>
        <w:t>GHz Band, the L-Band, and the 1.6/2.4 GHz Bands – Memorandum Opinion and Order and Second Order on Reconsideration</w:t>
      </w:r>
      <w:r w:rsidR="00053593">
        <w:rPr>
          <w:szCs w:val="24"/>
          <w:lang w:eastAsia="zh-CN"/>
        </w:rPr>
        <w:t>”</w:t>
      </w:r>
      <w:r w:rsidRPr="0073109D">
        <w:rPr>
          <w:szCs w:val="24"/>
          <w:lang w:eastAsia="zh-CN"/>
        </w:rPr>
        <w:t>, February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DFF1" w14:textId="77777777" w:rsidR="005720AD" w:rsidRDefault="005720A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720AD" w:rsidRPr="00A239D1" w14:paraId="117A9253" w14:textId="77777777" w:rsidTr="0019307B">
      <w:tc>
        <w:tcPr>
          <w:tcW w:w="4634" w:type="dxa"/>
          <w:vAlign w:val="center"/>
        </w:tcPr>
        <w:p w14:paraId="78593FAA" w14:textId="77777777" w:rsidR="005720AD" w:rsidRPr="005B0371" w:rsidRDefault="005720AD"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2EC620F" w14:textId="77777777" w:rsidR="005720AD" w:rsidRPr="00260B24" w:rsidRDefault="005720AD"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720AD" w:rsidRPr="00A239D1" w14:paraId="1C78B2D5" w14:textId="77777777" w:rsidTr="0019307B">
      <w:tc>
        <w:tcPr>
          <w:tcW w:w="4634" w:type="dxa"/>
          <w:vAlign w:val="center"/>
        </w:tcPr>
        <w:p w14:paraId="264C2876" w14:textId="77777777" w:rsidR="005720AD" w:rsidRPr="00260B24" w:rsidRDefault="005720AD"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52B8F415" w14:textId="77777777" w:rsidR="005720AD" w:rsidRPr="00260B24" w:rsidRDefault="005720AD"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5D7149C1" w14:textId="77777777" w:rsidR="005720AD" w:rsidRDefault="005720A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48A78564" wp14:editId="5DB5199B">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7A425B4" wp14:editId="3F472E6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77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E2749AD" w14:textId="77777777" w:rsidR="005720AD" w:rsidRDefault="005720AD"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28CCE2BE" wp14:editId="5723500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CED07"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5EA2" w14:textId="0FE4C39F" w:rsidR="005720AD" w:rsidRPr="00D72623" w:rsidRDefault="005720AD"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1B59F2">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1B59F2">
      <w:rPr>
        <w:b/>
        <w:bCs/>
        <w:noProof/>
        <w:lang w:val="en-US"/>
      </w:rPr>
      <w:t>ITU-R  M.2159-0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D772" w14:textId="17FE0070" w:rsidR="005720AD" w:rsidRDefault="005720AD">
    <w:pPr>
      <w:pStyle w:val="Header"/>
    </w:pPr>
    <w:r>
      <w:tab/>
    </w:r>
    <w:r>
      <w:rPr>
        <w:b/>
        <w:bCs/>
      </w:rPr>
      <w:fldChar w:fldCharType="begin"/>
    </w:r>
    <w:r>
      <w:rPr>
        <w:b/>
        <w:bCs/>
      </w:rPr>
      <w:instrText xml:space="preserve"> DOCPROPERTY "Header" \* MERGEFORMAT </w:instrText>
    </w:r>
    <w:r>
      <w:rPr>
        <w:b/>
        <w:bCs/>
      </w:rPr>
      <w:fldChar w:fldCharType="separate"/>
    </w:r>
    <w:r w:rsidR="001B59F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1B59F2">
      <w:rPr>
        <w:b/>
        <w:bCs/>
        <w:noProof/>
      </w:rPr>
      <w:t>ITU-R  M.2159-0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5D3" w14:textId="61484354"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1B59F2" w:rsidRPr="001B59F2">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1B59F2">
      <w:rPr>
        <w:b/>
        <w:bCs/>
        <w:noProof/>
        <w:lang w:val="en-US"/>
      </w:rPr>
      <w:t>ITU-R  M.2159-0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35EF" w14:textId="25920D19" w:rsidR="00607D68" w:rsidRDefault="00607D68">
    <w:pPr>
      <w:pStyle w:val="Header"/>
    </w:pPr>
    <w:r>
      <w:tab/>
    </w:r>
    <w:r w:rsidR="001B59F2">
      <w:fldChar w:fldCharType="begin"/>
    </w:r>
    <w:r w:rsidR="001B59F2">
      <w:instrText xml:space="preserve"> DOCPROPERTY "Header" \* MERGEFORMAT </w:instrText>
    </w:r>
    <w:r w:rsidR="001B59F2">
      <w:fldChar w:fldCharType="separate"/>
    </w:r>
    <w:r w:rsidR="001B59F2" w:rsidRPr="001B59F2">
      <w:rPr>
        <w:b/>
        <w:bCs/>
      </w:rPr>
      <w:t xml:space="preserve">Rec. </w:t>
    </w:r>
    <w:r w:rsidR="001B59F2">
      <w:rPr>
        <w:b/>
        <w:bCs/>
      </w:rPr>
      <w:fldChar w:fldCharType="end"/>
    </w:r>
    <w:r>
      <w:rPr>
        <w:b/>
        <w:bCs/>
      </w:rPr>
      <w:t xml:space="preserve"> </w:t>
    </w:r>
    <w:r>
      <w:rPr>
        <w:b/>
        <w:bCs/>
      </w:rPr>
      <w:fldChar w:fldCharType="begin"/>
    </w:r>
    <w:r>
      <w:rPr>
        <w:b/>
        <w:bCs/>
      </w:rPr>
      <w:instrText>styleref href</w:instrText>
    </w:r>
    <w:r>
      <w:rPr>
        <w:b/>
        <w:bCs/>
      </w:rPr>
      <w:fldChar w:fldCharType="separate"/>
    </w:r>
    <w:r w:rsidR="001B59F2">
      <w:rPr>
        <w:b/>
        <w:bCs/>
        <w:noProof/>
      </w:rPr>
      <w:t>ITU-R  M.2159-0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AD"/>
    <w:rsid w:val="00053593"/>
    <w:rsid w:val="001B59F2"/>
    <w:rsid w:val="00217EBF"/>
    <w:rsid w:val="00242AEE"/>
    <w:rsid w:val="002D76C4"/>
    <w:rsid w:val="00302806"/>
    <w:rsid w:val="00495143"/>
    <w:rsid w:val="0052529D"/>
    <w:rsid w:val="005720AD"/>
    <w:rsid w:val="005A3993"/>
    <w:rsid w:val="00607D68"/>
    <w:rsid w:val="006425B6"/>
    <w:rsid w:val="007468DA"/>
    <w:rsid w:val="00757B99"/>
    <w:rsid w:val="009E00A8"/>
    <w:rsid w:val="00A50CFD"/>
    <w:rsid w:val="00A6617B"/>
    <w:rsid w:val="00AB0DC8"/>
    <w:rsid w:val="00B44E24"/>
    <w:rsid w:val="00B47CCD"/>
    <w:rsid w:val="00B90BA6"/>
    <w:rsid w:val="00DC2B47"/>
    <w:rsid w:val="00DF41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5575010"/>
  <w15:docId w15:val="{EA6D8838-BC48-4F6A-83C8-9E6FDF0E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302806"/>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0"/>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link w:val="Rectitle0"/>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5720AD"/>
    <w:rPr>
      <w:b/>
      <w:sz w:val="24"/>
      <w:lang w:val="en-GB" w:eastAsia="en-US"/>
    </w:rPr>
  </w:style>
  <w:style w:type="character" w:customStyle="1" w:styleId="HeaderChar">
    <w:name w:val="Header Char"/>
    <w:basedOn w:val="DefaultParagraphFont"/>
    <w:link w:val="Header"/>
    <w:uiPriority w:val="99"/>
    <w:rsid w:val="005720AD"/>
    <w:rPr>
      <w:sz w:val="24"/>
      <w:lang w:val="en-GB" w:eastAsia="en-US"/>
    </w:rPr>
  </w:style>
  <w:style w:type="character" w:customStyle="1" w:styleId="FooterChar">
    <w:name w:val="Footer Char"/>
    <w:basedOn w:val="DefaultParagraphFont"/>
    <w:link w:val="Footer"/>
    <w:rsid w:val="005720AD"/>
    <w:rPr>
      <w:noProof/>
      <w:sz w:val="18"/>
      <w:lang w:val="en-GB" w:eastAsia="en-US"/>
    </w:rPr>
  </w:style>
  <w:style w:type="character" w:styleId="Hyperlink">
    <w:name w:val="Hyperlink"/>
    <w:basedOn w:val="DefaultParagraphFont"/>
    <w:rsid w:val="005720AD"/>
    <w:rPr>
      <w:color w:val="0000FF"/>
      <w:u w:val="single"/>
    </w:rPr>
  </w:style>
  <w:style w:type="table" w:styleId="TableGrid">
    <w:name w:val="Table Grid"/>
    <w:basedOn w:val="TableNormal"/>
    <w:rsid w:val="005720A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5720A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5720A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5720A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5720A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720AD"/>
    <w:rPr>
      <w:sz w:val="22"/>
      <w:lang w:val="en-GB" w:eastAsia="en-US"/>
    </w:rPr>
  </w:style>
  <w:style w:type="table" w:customStyle="1" w:styleId="TableGrid1">
    <w:name w:val="Table Grid1"/>
    <w:basedOn w:val="TableNormal"/>
    <w:next w:val="TableGrid"/>
    <w:qFormat/>
    <w:rsid w:val="005720AD"/>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5720AD"/>
    <w:rPr>
      <w:sz w:val="22"/>
      <w:lang w:val="en-GB" w:eastAsia="en-US"/>
    </w:rPr>
  </w:style>
  <w:style w:type="character" w:customStyle="1" w:styleId="Tabletext0">
    <w:name w:val="Table_text (文字)"/>
    <w:link w:val="Tabletext"/>
    <w:rsid w:val="005720AD"/>
    <w:rPr>
      <w:sz w:val="22"/>
      <w:lang w:val="en-GB" w:eastAsia="en-US"/>
    </w:rPr>
  </w:style>
  <w:style w:type="character" w:customStyle="1" w:styleId="Rectitle0">
    <w:name w:val="Rec_title Знак"/>
    <w:basedOn w:val="DefaultParagraphFont"/>
    <w:link w:val="Rectitle"/>
    <w:locked/>
    <w:rsid w:val="005720AD"/>
    <w:rPr>
      <w:b/>
      <w:sz w:val="28"/>
      <w:lang w:val="en-GB" w:eastAsia="en-US"/>
    </w:rPr>
  </w:style>
  <w:style w:type="table" w:customStyle="1" w:styleId="TableGrid14">
    <w:name w:val="Table Grid14"/>
    <w:basedOn w:val="TableNormal"/>
    <w:next w:val="TableGrid"/>
    <w:qFormat/>
    <w:rsid w:val="005720AD"/>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720A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720A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5143"/>
    <w:rPr>
      <w:sz w:val="16"/>
      <w:szCs w:val="16"/>
    </w:rPr>
  </w:style>
  <w:style w:type="paragraph" w:styleId="CommentText">
    <w:name w:val="annotation text"/>
    <w:basedOn w:val="Normal"/>
    <w:link w:val="CommentTextChar"/>
    <w:unhideWhenUsed/>
    <w:rsid w:val="00495143"/>
    <w:rPr>
      <w:sz w:val="20"/>
    </w:rPr>
  </w:style>
  <w:style w:type="character" w:customStyle="1" w:styleId="CommentTextChar">
    <w:name w:val="Comment Text Char"/>
    <w:basedOn w:val="DefaultParagraphFont"/>
    <w:link w:val="CommentText"/>
    <w:rsid w:val="00495143"/>
    <w:rPr>
      <w:lang w:val="en-GB" w:eastAsia="en-US"/>
    </w:rPr>
  </w:style>
  <w:style w:type="paragraph" w:styleId="CommentSubject">
    <w:name w:val="annotation subject"/>
    <w:basedOn w:val="CommentText"/>
    <w:next w:val="CommentText"/>
    <w:link w:val="CommentSubjectChar"/>
    <w:semiHidden/>
    <w:unhideWhenUsed/>
    <w:rsid w:val="00495143"/>
    <w:rPr>
      <w:b/>
      <w:bCs/>
    </w:rPr>
  </w:style>
  <w:style w:type="character" w:customStyle="1" w:styleId="CommentSubjectChar">
    <w:name w:val="Comment Subject Char"/>
    <w:basedOn w:val="CommentTextChar"/>
    <w:link w:val="CommentSubject"/>
    <w:semiHidden/>
    <w:rsid w:val="0049514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R-REC-M.1036/en" TargetMode="External"/><Relationship Id="rId18" Type="http://schemas.openxmlformats.org/officeDocument/2006/relationships/hyperlink" Target="https://www.itu.int/pub/R-REP-M.2529"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pub/R-REP-M.2529" TargetMode="External"/><Relationship Id="rId2" Type="http://schemas.openxmlformats.org/officeDocument/2006/relationships/settings" Target="settings.xml"/><Relationship Id="rId16" Type="http://schemas.openxmlformats.org/officeDocument/2006/relationships/hyperlink" Target="https://www.itu.int/rec/R-REC-M.1036/en"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itu.int/pub/R-REP-M.2529" TargetMode="External"/><Relationship Id="rId23" Type="http://schemas.openxmlformats.org/officeDocument/2006/relationships/theme" Target="theme/theme1.xml"/><Relationship Id="rId10" Type="http://schemas.openxmlformats.org/officeDocument/2006/relationships/hyperlink" Target="https://www.itu.int/publ/R-REC/en"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pub/R-REP-M.252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26</TotalTime>
  <Pages>14</Pages>
  <Words>5089</Words>
  <Characters>25731</Characters>
  <Application>Microsoft Office Word</Application>
  <DocSecurity>0</DocSecurity>
  <Lines>467</Lines>
  <Paragraphs>185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M.2159-0 (12/2023)</dc:title>
  <dc:subject/>
  <dc:creator>Gachet, Christelle</dc:creator>
  <cp:keywords/>
  <dc:description/>
  <cp:lastModifiedBy>Gachet, Christelle</cp:lastModifiedBy>
  <cp:revision>11</cp:revision>
  <cp:lastPrinted>2024-05-21T13:59:00Z</cp:lastPrinted>
  <dcterms:created xsi:type="dcterms:W3CDTF">2023-12-08T08:24:00Z</dcterms:created>
  <dcterms:modified xsi:type="dcterms:W3CDTF">2024-05-21T14:00:00Z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