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4346" w14:textId="77777777" w:rsidR="002B706F" w:rsidRPr="00660279" w:rsidRDefault="002B706F" w:rsidP="003E559A">
      <w:pPr>
        <w:rPr>
          <w:rFonts w:ascii="Dubai" w:hAnsi="Dubai" w:cs="Dubai"/>
        </w:rPr>
      </w:pPr>
    </w:p>
    <w:p w14:paraId="2CFC9ADD" w14:textId="77777777" w:rsidR="00091A6B" w:rsidRPr="00660279" w:rsidRDefault="00091A6B" w:rsidP="003E559A">
      <w:pPr>
        <w:rPr>
          <w:rFonts w:ascii="Dubai" w:hAnsi="Dubai" w:cs="Dubai"/>
          <w:rtl/>
        </w:rPr>
      </w:pPr>
    </w:p>
    <w:p w14:paraId="71CDE03B" w14:textId="3C90A5B2" w:rsidR="00091A6B" w:rsidRPr="00660279" w:rsidRDefault="00091A6B" w:rsidP="003E559A">
      <w:pPr>
        <w:pStyle w:val="CoverNumber"/>
      </w:pPr>
      <w:r w:rsidRPr="00660279">
        <w:rPr>
          <w:rtl/>
        </w:rPr>
        <w:t xml:space="preserve">التوصيـة </w:t>
      </w:r>
      <w:r w:rsidRPr="00660279">
        <w:t>ITU-R </w:t>
      </w:r>
      <w:r w:rsidR="008E173E" w:rsidRPr="00660279">
        <w:t>M</w:t>
      </w:r>
      <w:r w:rsidRPr="00660279">
        <w:t>.</w:t>
      </w:r>
      <w:r w:rsidR="00660279" w:rsidRPr="00660279">
        <w:t>2159-0</w:t>
      </w:r>
    </w:p>
    <w:p w14:paraId="0220305F" w14:textId="30CECDB8" w:rsidR="00091A6B" w:rsidRPr="00660279" w:rsidRDefault="00091A6B" w:rsidP="003E559A">
      <w:pPr>
        <w:pStyle w:val="CoverDate"/>
      </w:pPr>
      <w:r w:rsidRPr="00660279">
        <w:t>(</w:t>
      </w:r>
      <w:r w:rsidR="00660279" w:rsidRPr="00660279">
        <w:t>2023</w:t>
      </w:r>
      <w:r w:rsidRPr="00660279">
        <w:t>/</w:t>
      </w:r>
      <w:r w:rsidR="00660279" w:rsidRPr="00660279">
        <w:t>12</w:t>
      </w:r>
      <w:r w:rsidRPr="00660279">
        <w:t>)</w:t>
      </w:r>
    </w:p>
    <w:p w14:paraId="27EC6695" w14:textId="1F892258" w:rsidR="00EF6496" w:rsidRPr="00660279" w:rsidRDefault="00FC6892" w:rsidP="001A5EC3">
      <w:pPr>
        <w:pStyle w:val="CoverSeries"/>
        <w:ind w:right="1418"/>
        <w:rPr>
          <w:rtl/>
        </w:rPr>
      </w:pPr>
      <w:r w:rsidRPr="00660279">
        <w:rPr>
          <w:rtl/>
          <w:lang w:val="en-GB"/>
        </w:rPr>
        <w:t xml:space="preserve">السلسلة </w:t>
      </w:r>
      <w:r w:rsidR="008E173E" w:rsidRPr="00660279">
        <w:t>M</w:t>
      </w:r>
      <w:r w:rsidRPr="00660279">
        <w:rPr>
          <w:rtl/>
          <w:lang w:val="en-GB"/>
        </w:rPr>
        <w:t xml:space="preserve">: </w:t>
      </w:r>
      <w:r w:rsidR="008E173E" w:rsidRPr="00660279">
        <w:rPr>
          <w:rtl/>
          <w:lang w:bidi="ar-SA"/>
        </w:rPr>
        <w:t>الخدمة المتنقلة وخدمة التحديد الراديوي</w:t>
      </w:r>
      <w:r w:rsidR="001A5EC3">
        <w:rPr>
          <w:rFonts w:hint="eastAsia"/>
          <w:rtl/>
        </w:rPr>
        <w:t> </w:t>
      </w:r>
      <w:r w:rsidR="008E173E" w:rsidRPr="00660279">
        <w:rPr>
          <w:rtl/>
          <w:lang w:bidi="ar-SA"/>
        </w:rPr>
        <w:t>للموقع وخدمة الهواة</w:t>
      </w:r>
      <w:r w:rsidR="003B4BE2">
        <w:rPr>
          <w:rtl/>
          <w:lang w:bidi="ar-SA"/>
        </w:rPr>
        <w:br/>
      </w:r>
      <w:r w:rsidR="008E173E" w:rsidRPr="00660279">
        <w:rPr>
          <w:rtl/>
          <w:lang w:bidi="ar-SA"/>
        </w:rPr>
        <w:t xml:space="preserve">والخدمات </w:t>
      </w:r>
      <w:proofErr w:type="spellStart"/>
      <w:r w:rsidR="008E173E" w:rsidRPr="00660279">
        <w:rPr>
          <w:rtl/>
          <w:lang w:bidi="ar-SA"/>
        </w:rPr>
        <w:t>الساتلية</w:t>
      </w:r>
      <w:proofErr w:type="spellEnd"/>
      <w:r w:rsidR="008E173E" w:rsidRPr="00660279">
        <w:rPr>
          <w:rtl/>
          <w:lang w:bidi="ar-SA"/>
        </w:rPr>
        <w:t xml:space="preserve"> ذات الصلة</w:t>
      </w:r>
    </w:p>
    <w:p w14:paraId="33283334" w14:textId="143525C1" w:rsidR="00091A6B" w:rsidRPr="00660279" w:rsidRDefault="00660279" w:rsidP="001A5EC3">
      <w:pPr>
        <w:pStyle w:val="CoverTitle"/>
        <w:spacing w:before="360"/>
        <w:ind w:right="1276"/>
      </w:pPr>
      <w:r w:rsidRPr="00660279">
        <w:rPr>
          <w:rtl/>
        </w:rPr>
        <w:t xml:space="preserve">التدابير التقنية والتنظيمية لتحقيق التوافق بين الاتصالات المتنقلة الدولية والخدمات المتنقلة الساتلية فيما يتعلق بعمليات الخدمات المتنقلة الساتلية في نطاق التردد </w:t>
      </w:r>
      <w:r w:rsidR="00BE4802">
        <w:t>MHz 1 525-</w:t>
      </w:r>
      <w:r w:rsidR="009E704A">
        <w:t>1 518</w:t>
      </w:r>
      <w:r w:rsidRPr="00660279">
        <w:rPr>
          <w:rtl/>
        </w:rPr>
        <w:t xml:space="preserve"> للإدارات التي ترغب </w:t>
      </w:r>
      <w:r w:rsidR="00414312">
        <w:rPr>
          <w:rFonts w:hint="cs"/>
          <w:rtl/>
        </w:rPr>
        <w:t xml:space="preserve">في </w:t>
      </w:r>
      <w:r w:rsidRPr="00660279">
        <w:rPr>
          <w:rtl/>
        </w:rPr>
        <w:t xml:space="preserve">تنفيذ الاتصالات المتنقلة الدولية في نطاق التردد </w:t>
      </w:r>
      <w:r w:rsidR="00BE4802">
        <w:t>MHz </w:t>
      </w:r>
      <w:r w:rsidR="009E704A">
        <w:t>1 518</w:t>
      </w:r>
      <w:r w:rsidR="00BE4802">
        <w:t>-1 492</w:t>
      </w:r>
    </w:p>
    <w:p w14:paraId="284130E7" w14:textId="77777777" w:rsidR="00091A6B" w:rsidRPr="00660279" w:rsidRDefault="00091A6B" w:rsidP="003E559A">
      <w:pPr>
        <w:rPr>
          <w:rFonts w:ascii="Dubai" w:hAnsi="Dubai" w:cs="Dubai"/>
        </w:rPr>
      </w:pPr>
    </w:p>
    <w:p w14:paraId="67FDCDAE" w14:textId="77777777" w:rsidR="00091A6B" w:rsidRPr="00660279" w:rsidRDefault="00091A6B" w:rsidP="003E559A">
      <w:pPr>
        <w:rPr>
          <w:rFonts w:ascii="Dubai" w:hAnsi="Dubai" w:cs="Dubai"/>
        </w:rPr>
      </w:pPr>
    </w:p>
    <w:p w14:paraId="0EC87C28" w14:textId="77777777" w:rsidR="00091A6B" w:rsidRPr="00660279" w:rsidRDefault="00091A6B" w:rsidP="003E559A">
      <w:pPr>
        <w:rPr>
          <w:rFonts w:ascii="Dubai" w:hAnsi="Dubai" w:cs="Dubai"/>
        </w:rPr>
      </w:pPr>
    </w:p>
    <w:p w14:paraId="3C4FCC3E" w14:textId="77777777" w:rsidR="00091A6B" w:rsidRPr="00660279" w:rsidRDefault="00091A6B" w:rsidP="003E559A">
      <w:pPr>
        <w:rPr>
          <w:rFonts w:ascii="Dubai" w:hAnsi="Dubai" w:cs="Dubai"/>
        </w:rPr>
      </w:pPr>
    </w:p>
    <w:p w14:paraId="5C5B4BD3" w14:textId="77777777" w:rsidR="00091A6B" w:rsidRPr="00660279" w:rsidRDefault="00A161D3" w:rsidP="003E559A">
      <w:pPr>
        <w:rPr>
          <w:rFonts w:ascii="Dubai" w:hAnsi="Dubai" w:cs="Dubai"/>
        </w:rPr>
      </w:pPr>
      <w:r w:rsidRPr="00660279">
        <w:rPr>
          <w:rFonts w:ascii="Dubai" w:hAnsi="Dubai" w:cs="Dubai"/>
          <w:noProof/>
        </w:rPr>
        <w:drawing>
          <wp:anchor distT="0" distB="0" distL="114300" distR="114300" simplePos="0" relativeHeight="251659776" behindDoc="0" locked="0" layoutInCell="1" allowOverlap="1" wp14:anchorId="41F34A89" wp14:editId="2D7F4C87">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578CDAC" w14:textId="77777777" w:rsidR="005E066B" w:rsidRPr="00660279" w:rsidRDefault="00CA603A" w:rsidP="003E559A">
      <w:pPr>
        <w:jc w:val="center"/>
        <w:rPr>
          <w:rFonts w:ascii="Dubai" w:hAnsi="Dubai" w:cs="Dubai"/>
          <w:b/>
          <w:bCs/>
          <w:sz w:val="32"/>
          <w:szCs w:val="32"/>
          <w:rtl/>
        </w:rPr>
        <w:sectPr w:rsidR="005E066B" w:rsidRPr="00660279" w:rsidSect="007059A8">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sidRPr="00660279">
        <w:rPr>
          <w:rFonts w:ascii="Dubai" w:hAnsi="Dubai" w:cs="Dubai"/>
          <w:b/>
          <w:bCs/>
          <w:noProof/>
          <w:sz w:val="32"/>
          <w:szCs w:val="32"/>
          <w:rtl/>
          <w:lang w:eastAsia="zh-CN"/>
        </w:rPr>
        <mc:AlternateContent>
          <mc:Choice Requires="wps">
            <w:drawing>
              <wp:anchor distT="0" distB="0" distL="114300" distR="114300" simplePos="0" relativeHeight="251658752" behindDoc="0" locked="0" layoutInCell="1" allowOverlap="1" wp14:anchorId="07A799F5" wp14:editId="43CA0759">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A95FA"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4487C85"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799F5"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DAA95FA"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4487C85"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76770829" w14:textId="77777777" w:rsidR="005E066B" w:rsidRPr="00891CAB" w:rsidRDefault="005E066B" w:rsidP="00F53B10">
      <w:pPr>
        <w:bidi w:val="0"/>
        <w:spacing w:before="240"/>
        <w:jc w:val="center"/>
        <w:outlineLvl w:val="0"/>
        <w:rPr>
          <w:b/>
          <w:bCs/>
          <w:sz w:val="32"/>
          <w:szCs w:val="32"/>
          <w:rtl/>
          <w:lang w:bidi="ar-EG"/>
        </w:rPr>
      </w:pPr>
      <w:bookmarkStart w:id="0" w:name="_Hlk160782096"/>
      <w:r w:rsidRPr="00891CAB">
        <w:rPr>
          <w:rFonts w:hint="cs"/>
          <w:b/>
          <w:bCs/>
          <w:sz w:val="32"/>
          <w:szCs w:val="32"/>
          <w:rtl/>
        </w:rPr>
        <w:lastRenderedPageBreak/>
        <w:t>تمهيـد</w:t>
      </w:r>
      <w:bookmarkEnd w:id="0"/>
    </w:p>
    <w:p w14:paraId="4F811470" w14:textId="77777777" w:rsidR="005E066B" w:rsidRPr="008113E9" w:rsidRDefault="005E066B" w:rsidP="003E559A">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25F9FD28" w14:textId="77777777" w:rsidR="005E066B" w:rsidRPr="008113E9" w:rsidRDefault="005E066B" w:rsidP="003E559A">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0271B3AA" w14:textId="77777777" w:rsidR="005E066B" w:rsidRPr="00440F51" w:rsidRDefault="005E066B" w:rsidP="003E559A">
      <w:pPr>
        <w:spacing w:before="0"/>
        <w:rPr>
          <w:spacing w:val="-2"/>
          <w:sz w:val="21"/>
          <w:szCs w:val="28"/>
          <w:lang w:val="ru-RU"/>
        </w:rPr>
      </w:pPr>
    </w:p>
    <w:p w14:paraId="5F0622D9" w14:textId="77777777" w:rsidR="005E066B" w:rsidRPr="001231D6" w:rsidRDefault="005E066B" w:rsidP="003E559A">
      <w:pPr>
        <w:pStyle w:val="IPR"/>
      </w:pPr>
      <w:bookmarkStart w:id="1" w:name="_Hlk160782113"/>
      <w:r w:rsidRPr="001231D6">
        <w:rPr>
          <w:rFonts w:hint="cs"/>
          <w:rtl/>
        </w:rPr>
        <w:t xml:space="preserve">سياسة قطاع الاتصالات الراديوية بشأن حقوق الملكية الفكرية </w:t>
      </w:r>
      <w:r w:rsidRPr="001231D6">
        <w:t>(IPR)</w:t>
      </w:r>
      <w:bookmarkEnd w:id="1"/>
    </w:p>
    <w:p w14:paraId="0973D17A" w14:textId="77777777" w:rsidR="005E066B" w:rsidRPr="008113E9" w:rsidRDefault="005E066B" w:rsidP="003E559A">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Pr="008113E9">
          <w:rPr>
            <w:rStyle w:val="Hyperlink"/>
            <w:sz w:val="20"/>
            <w:szCs w:val="26"/>
          </w:rPr>
          <w:t>http://www.itu.int/ITU-R/go/patents/en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3B37FC5A" w14:textId="77777777" w:rsidR="005E066B" w:rsidRDefault="005E066B" w:rsidP="003E559A">
      <w:pPr>
        <w:spacing w:before="0"/>
        <w:rPr>
          <w:sz w:val="21"/>
          <w:szCs w:val="20"/>
          <w:rtl/>
          <w:lang w:bidi="ar-EG"/>
        </w:rPr>
      </w:pPr>
    </w:p>
    <w:p w14:paraId="6DD8EA06" w14:textId="77777777" w:rsidR="005E066B" w:rsidRPr="00440F51" w:rsidRDefault="005E066B" w:rsidP="003E559A">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5924C44B"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3596E682" w14:textId="77777777" w:rsidR="005E066B" w:rsidRPr="00440F51" w:rsidRDefault="005E066B" w:rsidP="003E559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7915ECA7" w14:textId="77777777" w:rsidR="005E066B" w:rsidRPr="009C6655" w:rsidRDefault="009C6655" w:rsidP="003E559A">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1E77BC">
                <w:rPr>
                  <w:rStyle w:val="Hyperlink"/>
                  <w:sz w:val="18"/>
                  <w:szCs w:val="24"/>
                </w:rPr>
                <w:t>https://www.itu.int/publ/R-REC/en</w:t>
              </w:r>
            </w:hyperlink>
            <w:r w:rsidRPr="009C6655">
              <w:rPr>
                <w:rFonts w:hint="cs"/>
                <w:sz w:val="18"/>
                <w:szCs w:val="24"/>
                <w:rtl/>
              </w:rPr>
              <w:t>)</w:t>
            </w:r>
          </w:p>
        </w:tc>
      </w:tr>
      <w:tr w:rsidR="005E066B" w:rsidRPr="00440F51" w14:paraId="792709BC" w14:textId="77777777" w:rsidTr="001E77BC">
        <w:trPr>
          <w:jc w:val="center"/>
        </w:trPr>
        <w:tc>
          <w:tcPr>
            <w:tcW w:w="1480" w:type="dxa"/>
            <w:tcBorders>
              <w:left w:val="single" w:sz="12" w:space="0" w:color="000080"/>
            </w:tcBorders>
          </w:tcPr>
          <w:p w14:paraId="728B5460" w14:textId="77777777" w:rsidR="005E066B" w:rsidRPr="008113E9" w:rsidRDefault="005E066B" w:rsidP="003E559A">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6630CCA0" w14:textId="77777777" w:rsidR="005E066B" w:rsidRPr="008113E9" w:rsidRDefault="005E066B" w:rsidP="003E559A">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3F779B59"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69AD7BE9" w14:textId="77777777" w:rsidR="00E964C9" w:rsidRPr="00DC46DB" w:rsidRDefault="00E964C9" w:rsidP="003E559A">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1AB8D312"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6A8F68EA" w14:textId="77777777" w:rsidR="00E964C9" w:rsidRPr="00CD2510" w:rsidRDefault="00E964C9" w:rsidP="003E559A">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14100B3E"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3F8608E5" w14:textId="77777777" w:rsidR="00E964C9" w:rsidRPr="00255B10" w:rsidRDefault="00E964C9" w:rsidP="003E559A">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02DD6188"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468BF907" w14:textId="77777777" w:rsidR="00E964C9" w:rsidRPr="00631E7D" w:rsidRDefault="00E964C9" w:rsidP="003E559A">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6CC491DA"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01F345AC" w14:textId="77777777" w:rsidR="00E964C9" w:rsidRPr="008E173E" w:rsidRDefault="00E964C9" w:rsidP="003E559A">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77079E53" w14:textId="77777777" w:rsidTr="008E173E">
        <w:trPr>
          <w:jc w:val="center"/>
        </w:trPr>
        <w:tc>
          <w:tcPr>
            <w:tcW w:w="9394" w:type="dxa"/>
            <w:gridSpan w:val="2"/>
            <w:tcBorders>
              <w:left w:val="single" w:sz="12" w:space="0" w:color="000080"/>
              <w:right w:val="single" w:sz="12" w:space="0" w:color="000080"/>
            </w:tcBorders>
            <w:shd w:val="clear" w:color="auto" w:fill="F3F3F3"/>
          </w:tcPr>
          <w:p w14:paraId="4C1C5C24" w14:textId="77777777" w:rsidR="00E964C9" w:rsidRPr="008E173E" w:rsidRDefault="00E964C9" w:rsidP="003E559A">
            <w:pPr>
              <w:tabs>
                <w:tab w:val="left" w:pos="1471"/>
              </w:tabs>
              <w:spacing w:before="20" w:after="40" w:line="240" w:lineRule="exact"/>
              <w:rPr>
                <w:rFonts w:ascii="Times New Roman Bold" w:hAnsi="Times New Roman Bold"/>
                <w:color w:val="000080"/>
                <w:sz w:val="20"/>
                <w:szCs w:val="26"/>
                <w:lang w:val="ru-RU"/>
              </w:rPr>
            </w:pPr>
            <w:r w:rsidRPr="008E173E">
              <w:rPr>
                <w:rFonts w:ascii="Times New Roman Bold" w:hAnsi="Times New Roman Bold"/>
                <w:b/>
                <w:bCs/>
                <w:color w:val="000080"/>
                <w:sz w:val="20"/>
                <w:szCs w:val="26"/>
                <w:lang w:val="ru-RU"/>
              </w:rPr>
              <w:t>M</w:t>
            </w:r>
            <w:r w:rsidRPr="008E173E">
              <w:rPr>
                <w:rFonts w:ascii="Times New Roman Bold" w:hAnsi="Times New Roman Bold" w:hint="cs"/>
                <w:color w:val="000080"/>
                <w:sz w:val="20"/>
                <w:szCs w:val="26"/>
                <w:rtl/>
                <w:lang w:val="ru-RU"/>
              </w:rPr>
              <w:tab/>
            </w:r>
            <w:r w:rsidRPr="008E173E">
              <w:rPr>
                <w:rFonts w:ascii="Times New Roman Bold" w:hAnsi="Times New Roman Bold" w:hint="cs"/>
                <w:b/>
                <w:bCs/>
                <w:color w:val="000080"/>
                <w:sz w:val="20"/>
                <w:szCs w:val="26"/>
                <w:rtl/>
                <w:lang w:val="ru-RU"/>
              </w:rPr>
              <w:t>الخدمة المتنقلة وخدمة التحديد الراديوي للموقع وخدمة الهواة والخدمات الساتلية ذات الصلة</w:t>
            </w:r>
          </w:p>
        </w:tc>
      </w:tr>
      <w:tr w:rsidR="00E964C9" w:rsidRPr="006D24D6" w14:paraId="3228C0E8"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A51E0C4" w14:textId="77777777" w:rsidR="00E964C9" w:rsidRPr="006D24D6" w:rsidRDefault="00E964C9" w:rsidP="003E559A">
            <w:pPr>
              <w:tabs>
                <w:tab w:val="left" w:pos="1471"/>
              </w:tabs>
              <w:spacing w:before="20" w:after="40" w:line="240" w:lineRule="exact"/>
              <w:rPr>
                <w:sz w:val="20"/>
                <w:szCs w:val="26"/>
                <w:lang w:val="ru-RU"/>
              </w:rPr>
            </w:pPr>
            <w:r w:rsidRPr="006D24D6">
              <w:rPr>
                <w:b/>
                <w:bCs/>
                <w:sz w:val="20"/>
                <w:szCs w:val="26"/>
                <w:lang w:val="ru-RU"/>
              </w:rPr>
              <w:t>P</w:t>
            </w:r>
            <w:r w:rsidRPr="006D24D6">
              <w:rPr>
                <w:rFonts w:hint="cs"/>
                <w:sz w:val="20"/>
                <w:szCs w:val="26"/>
                <w:rtl/>
                <w:lang w:val="ru-RU"/>
              </w:rPr>
              <w:tab/>
              <w:t>انتشار الموجات الراديوية</w:t>
            </w:r>
          </w:p>
        </w:tc>
      </w:tr>
      <w:tr w:rsidR="00E964C9" w:rsidRPr="00134026" w14:paraId="413DC337" w14:textId="77777777" w:rsidTr="001E77BC">
        <w:trPr>
          <w:jc w:val="center"/>
        </w:trPr>
        <w:tc>
          <w:tcPr>
            <w:tcW w:w="9394" w:type="dxa"/>
            <w:gridSpan w:val="2"/>
            <w:tcBorders>
              <w:left w:val="single" w:sz="12" w:space="0" w:color="000080"/>
              <w:right w:val="single" w:sz="12" w:space="0" w:color="000080"/>
            </w:tcBorders>
            <w:shd w:val="clear" w:color="auto" w:fill="auto"/>
          </w:tcPr>
          <w:p w14:paraId="607D47F1" w14:textId="77777777" w:rsidR="00E964C9" w:rsidRPr="00134026" w:rsidRDefault="00E964C9" w:rsidP="003E559A">
            <w:pPr>
              <w:tabs>
                <w:tab w:val="left" w:pos="1471"/>
              </w:tabs>
              <w:spacing w:before="20" w:after="40" w:line="240" w:lineRule="exact"/>
              <w:rPr>
                <w:sz w:val="20"/>
                <w:szCs w:val="26"/>
                <w:lang w:val="ru-RU"/>
              </w:rPr>
            </w:pPr>
            <w:r w:rsidRPr="00134026">
              <w:rPr>
                <w:b/>
                <w:bCs/>
                <w:sz w:val="20"/>
                <w:szCs w:val="26"/>
                <w:lang w:val="ru-RU"/>
              </w:rPr>
              <w:t>RA</w:t>
            </w:r>
            <w:r w:rsidRPr="00134026">
              <w:rPr>
                <w:rFonts w:hint="cs"/>
                <w:sz w:val="20"/>
                <w:szCs w:val="26"/>
                <w:rtl/>
                <w:lang w:val="ru-RU"/>
              </w:rPr>
              <w:tab/>
              <w:t>علم الفلك الراديوي</w:t>
            </w:r>
          </w:p>
        </w:tc>
      </w:tr>
      <w:tr w:rsidR="00F939BC" w:rsidRPr="005425A3" w14:paraId="61788E2F"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976E693" w14:textId="77777777" w:rsidR="00F939BC" w:rsidRPr="005425A3" w:rsidRDefault="00F939BC" w:rsidP="003E559A">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25A54">
              <w:rPr>
                <w:rFonts w:hint="cs"/>
                <w:sz w:val="20"/>
                <w:szCs w:val="26"/>
                <w:rtl/>
                <w:lang w:val="ru-RU"/>
              </w:rPr>
              <w:t>ُ</w:t>
            </w:r>
            <w:r w:rsidRPr="005425A3">
              <w:rPr>
                <w:rFonts w:hint="cs"/>
                <w:sz w:val="20"/>
                <w:szCs w:val="26"/>
                <w:rtl/>
                <w:lang w:val="ru-RU"/>
              </w:rPr>
              <w:t>عد</w:t>
            </w:r>
          </w:p>
        </w:tc>
      </w:tr>
      <w:tr w:rsidR="00E964C9" w:rsidRPr="005425A3" w14:paraId="645F7F65"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68F399C8" w14:textId="77777777" w:rsidR="00E964C9" w:rsidRPr="005425A3" w:rsidRDefault="00E964C9" w:rsidP="003E559A">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30A485B6"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3EA73B8E" w14:textId="77777777" w:rsidR="00E964C9" w:rsidRPr="00AA1ACD" w:rsidRDefault="00E964C9" w:rsidP="003E559A">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4EA84517" w14:textId="77777777" w:rsidTr="001E77BC">
        <w:trPr>
          <w:jc w:val="center"/>
        </w:trPr>
        <w:tc>
          <w:tcPr>
            <w:tcW w:w="9394" w:type="dxa"/>
            <w:gridSpan w:val="2"/>
            <w:tcBorders>
              <w:left w:val="single" w:sz="12" w:space="0" w:color="000080"/>
              <w:right w:val="single" w:sz="12" w:space="0" w:color="000080"/>
            </w:tcBorders>
          </w:tcPr>
          <w:p w14:paraId="32AA69C4" w14:textId="77777777" w:rsidR="00E964C9" w:rsidRPr="008113E9" w:rsidRDefault="00E964C9" w:rsidP="003E559A">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5511C4EB" w14:textId="77777777" w:rsidTr="001E77BC">
        <w:trPr>
          <w:jc w:val="center"/>
        </w:trPr>
        <w:tc>
          <w:tcPr>
            <w:tcW w:w="9394" w:type="dxa"/>
            <w:gridSpan w:val="2"/>
            <w:tcBorders>
              <w:left w:val="single" w:sz="12" w:space="0" w:color="000080"/>
              <w:right w:val="single" w:sz="12" w:space="0" w:color="000080"/>
            </w:tcBorders>
          </w:tcPr>
          <w:p w14:paraId="286F68BC" w14:textId="77777777" w:rsidR="00E964C9" w:rsidRPr="008113E9" w:rsidRDefault="00E964C9" w:rsidP="003E559A">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45475CCD" w14:textId="77777777" w:rsidTr="001E77BC">
        <w:trPr>
          <w:jc w:val="center"/>
        </w:trPr>
        <w:tc>
          <w:tcPr>
            <w:tcW w:w="9394" w:type="dxa"/>
            <w:gridSpan w:val="2"/>
            <w:tcBorders>
              <w:left w:val="single" w:sz="12" w:space="0" w:color="000080"/>
              <w:right w:val="single" w:sz="12" w:space="0" w:color="000080"/>
            </w:tcBorders>
          </w:tcPr>
          <w:p w14:paraId="25BC564C" w14:textId="77777777" w:rsidR="00E964C9" w:rsidRPr="008C733D" w:rsidRDefault="00E964C9" w:rsidP="003E559A">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2C6633E3" w14:textId="77777777" w:rsidTr="001E77BC">
        <w:trPr>
          <w:jc w:val="center"/>
        </w:trPr>
        <w:tc>
          <w:tcPr>
            <w:tcW w:w="9394" w:type="dxa"/>
            <w:gridSpan w:val="2"/>
            <w:tcBorders>
              <w:left w:val="single" w:sz="12" w:space="0" w:color="000080"/>
              <w:right w:val="single" w:sz="12" w:space="0" w:color="000080"/>
            </w:tcBorders>
          </w:tcPr>
          <w:p w14:paraId="5DC01158" w14:textId="77777777" w:rsidR="00E964C9" w:rsidRPr="008C733D" w:rsidRDefault="00E964C9" w:rsidP="003E559A">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4B4346AA"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67E159EA" w14:textId="77777777" w:rsidR="00E964C9" w:rsidRPr="008C733D" w:rsidRDefault="00E964C9" w:rsidP="003E559A">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6EFACDBC" w14:textId="77777777" w:rsidR="005E066B" w:rsidRPr="00440F51" w:rsidRDefault="005E066B" w:rsidP="003E559A">
      <w:pPr>
        <w:spacing w:before="0"/>
        <w:rPr>
          <w:sz w:val="21"/>
          <w:szCs w:val="20"/>
          <w:rtl/>
        </w:rPr>
      </w:pPr>
    </w:p>
    <w:p w14:paraId="26B3874E" w14:textId="77777777" w:rsidR="005E066B" w:rsidRPr="00440F51" w:rsidRDefault="005E066B" w:rsidP="003E559A">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3BB84C70" w14:textId="77777777" w:rsidTr="001E77BC">
        <w:trPr>
          <w:trHeight w:val="720"/>
          <w:jc w:val="center"/>
        </w:trPr>
        <w:tc>
          <w:tcPr>
            <w:tcW w:w="9379" w:type="dxa"/>
          </w:tcPr>
          <w:p w14:paraId="505A854A" w14:textId="77777777" w:rsidR="005E066B" w:rsidRPr="00625A54" w:rsidRDefault="005E066B" w:rsidP="003E559A">
            <w:pPr>
              <w:ind w:left="45" w:right="540"/>
              <w:rPr>
                <w:b/>
                <w:bCs/>
                <w:i/>
                <w:iCs/>
                <w:spacing w:val="-4"/>
                <w:sz w:val="21"/>
                <w:szCs w:val="26"/>
                <w:rtl/>
                <w:lang w:val="ru-RU"/>
              </w:rPr>
            </w:pPr>
            <w:r w:rsidRPr="00625A54">
              <w:rPr>
                <w:rFonts w:hint="cs"/>
                <w:b/>
                <w:bCs/>
                <w:i/>
                <w:iCs/>
                <w:spacing w:val="-4"/>
                <w:sz w:val="21"/>
                <w:szCs w:val="26"/>
                <w:rtl/>
                <w:lang w:val="ru-RU"/>
              </w:rPr>
              <w:t>ملاحظة</w:t>
            </w:r>
            <w:r w:rsidRPr="00625A54">
              <w:rPr>
                <w:rFonts w:hint="cs"/>
                <w:i/>
                <w:iCs/>
                <w:spacing w:val="-4"/>
                <w:sz w:val="21"/>
                <w:szCs w:val="26"/>
                <w:rtl/>
                <w:lang w:val="ru-RU"/>
              </w:rPr>
              <w:t xml:space="preserve">: </w:t>
            </w:r>
            <w:r w:rsidR="00D2107D" w:rsidRPr="00625A54">
              <w:rPr>
                <w:rFonts w:hint="cs"/>
                <w:i/>
                <w:iCs/>
                <w:spacing w:val="-4"/>
                <w:sz w:val="21"/>
                <w:szCs w:val="26"/>
                <w:rtl/>
                <w:lang w:val="ru-RU"/>
              </w:rPr>
              <w:t xml:space="preserve">تمت الموافقة </w:t>
            </w:r>
            <w:r w:rsidRPr="00625A54">
              <w:rPr>
                <w:rFonts w:hint="cs"/>
                <w:i/>
                <w:iCs/>
                <w:spacing w:val="-4"/>
                <w:sz w:val="21"/>
                <w:szCs w:val="26"/>
                <w:rtl/>
                <w:lang w:val="ru-RU"/>
              </w:rPr>
              <w:t xml:space="preserve">على النسخة الإنكليزية </w:t>
            </w:r>
            <w:r w:rsidR="00D2107D" w:rsidRPr="00625A54">
              <w:rPr>
                <w:rFonts w:hint="cs"/>
                <w:i/>
                <w:iCs/>
                <w:spacing w:val="-4"/>
                <w:sz w:val="21"/>
                <w:szCs w:val="26"/>
                <w:rtl/>
                <w:lang w:val="ru-RU"/>
              </w:rPr>
              <w:t>لهذه التوصية</w:t>
            </w:r>
            <w:r w:rsidRPr="00625A54">
              <w:rPr>
                <w:rFonts w:hint="cs"/>
                <w:i/>
                <w:iCs/>
                <w:spacing w:val="-4"/>
                <w:sz w:val="21"/>
                <w:szCs w:val="26"/>
                <w:rtl/>
                <w:lang w:val="ru-RU"/>
              </w:rPr>
              <w:t xml:space="preserve"> الصادر</w:t>
            </w:r>
            <w:r w:rsidR="00D2107D" w:rsidRPr="00625A54">
              <w:rPr>
                <w:rFonts w:hint="cs"/>
                <w:i/>
                <w:iCs/>
                <w:spacing w:val="-4"/>
                <w:sz w:val="21"/>
                <w:szCs w:val="26"/>
                <w:rtl/>
                <w:lang w:val="ru-RU"/>
              </w:rPr>
              <w:t>ة</w:t>
            </w:r>
            <w:r w:rsidRPr="00625A54">
              <w:rPr>
                <w:rFonts w:hint="cs"/>
                <w:i/>
                <w:iCs/>
                <w:spacing w:val="-4"/>
                <w:sz w:val="21"/>
                <w:szCs w:val="26"/>
                <w:rtl/>
                <w:lang w:val="ru-RU"/>
              </w:rPr>
              <w:t xml:space="preserve"> عن قطاع الاتصالات الراديوية بموجب الإجراء الموضح في القرار </w:t>
            </w:r>
            <w:r w:rsidRPr="00625A54">
              <w:rPr>
                <w:i/>
                <w:iCs/>
                <w:spacing w:val="-4"/>
                <w:sz w:val="21"/>
                <w:szCs w:val="26"/>
              </w:rPr>
              <w:t>ITU-R 1</w:t>
            </w:r>
            <w:r w:rsidRPr="00625A54">
              <w:rPr>
                <w:rFonts w:hint="cs"/>
                <w:i/>
                <w:iCs/>
                <w:spacing w:val="-4"/>
                <w:sz w:val="21"/>
                <w:szCs w:val="26"/>
                <w:rtl/>
                <w:lang w:bidi="ar-EG"/>
              </w:rPr>
              <w:t>.</w:t>
            </w:r>
          </w:p>
        </w:tc>
      </w:tr>
    </w:tbl>
    <w:p w14:paraId="28593563" w14:textId="4979F303" w:rsidR="005E066B" w:rsidRPr="000F312E" w:rsidRDefault="005E066B" w:rsidP="003E559A">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F85F93">
        <w:rPr>
          <w:sz w:val="20"/>
          <w:szCs w:val="26"/>
        </w:rPr>
        <w:t>2024</w:t>
      </w:r>
    </w:p>
    <w:p w14:paraId="0161E27F" w14:textId="77777777" w:rsidR="005E066B" w:rsidRPr="00440F51" w:rsidRDefault="005E066B" w:rsidP="003E559A">
      <w:pPr>
        <w:spacing w:before="0" w:line="120" w:lineRule="auto"/>
        <w:ind w:right="539"/>
        <w:jc w:val="right"/>
        <w:rPr>
          <w:sz w:val="21"/>
          <w:szCs w:val="28"/>
          <w:rtl/>
          <w:lang w:bidi="ar-EG"/>
        </w:rPr>
      </w:pPr>
    </w:p>
    <w:p w14:paraId="233AD936" w14:textId="02F77C62" w:rsidR="005E066B" w:rsidRPr="003D017C" w:rsidRDefault="005E066B" w:rsidP="003E559A">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F85F93">
        <w:rPr>
          <w:sz w:val="21"/>
          <w:szCs w:val="20"/>
        </w:rPr>
        <w:t>2024</w:t>
      </w:r>
    </w:p>
    <w:p w14:paraId="23ABB381" w14:textId="77777777" w:rsidR="005E066B" w:rsidRPr="00625A54" w:rsidRDefault="005E066B" w:rsidP="003E559A">
      <w:pPr>
        <w:rPr>
          <w:spacing w:val="-4"/>
          <w:sz w:val="20"/>
          <w:szCs w:val="26"/>
          <w:rtl/>
          <w:lang w:bidi="ar-EG"/>
        </w:rPr>
      </w:pPr>
      <w:r w:rsidRPr="00625A54">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625A54" w:rsidRPr="00625A54">
        <w:rPr>
          <w:rFonts w:hint="cs"/>
          <w:spacing w:val="-4"/>
          <w:sz w:val="20"/>
          <w:szCs w:val="26"/>
          <w:rtl/>
          <w:lang w:val="ru-RU"/>
        </w:rPr>
        <w:t xml:space="preserve"> </w:t>
      </w:r>
      <w:r w:rsidRPr="00625A54">
        <w:rPr>
          <w:rFonts w:hint="cs"/>
          <w:spacing w:val="-4"/>
          <w:sz w:val="20"/>
          <w:szCs w:val="26"/>
          <w:rtl/>
          <w:lang w:val="ru-RU"/>
        </w:rPr>
        <w:t xml:space="preserve">الاتحاد الدولي للاتصالات </w:t>
      </w:r>
      <w:r w:rsidRPr="00625A54">
        <w:rPr>
          <w:spacing w:val="-4"/>
          <w:sz w:val="20"/>
          <w:szCs w:val="26"/>
        </w:rPr>
        <w:t>(ITU)</w:t>
      </w:r>
      <w:r w:rsidRPr="00625A54">
        <w:rPr>
          <w:rFonts w:hint="cs"/>
          <w:spacing w:val="-4"/>
          <w:sz w:val="20"/>
          <w:szCs w:val="26"/>
          <w:rtl/>
          <w:lang w:bidi="ar-EG"/>
        </w:rPr>
        <w:t>.</w:t>
      </w:r>
    </w:p>
    <w:p w14:paraId="0D121466" w14:textId="77777777" w:rsidR="005E066B" w:rsidRDefault="005E066B" w:rsidP="003E559A">
      <w:pPr>
        <w:rPr>
          <w:sz w:val="21"/>
          <w:szCs w:val="28"/>
          <w:rtl/>
          <w:lang w:bidi="ar-EG"/>
        </w:rPr>
        <w:sectPr w:rsidR="005E066B" w:rsidSect="007059A8">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09A5558D" w14:textId="69F0AADD" w:rsidR="002E6ECC" w:rsidRPr="00770CE6" w:rsidRDefault="002E6ECC" w:rsidP="003E559A">
      <w:pPr>
        <w:pStyle w:val="RecNo"/>
        <w:rPr>
          <w:rtl/>
        </w:rPr>
      </w:pPr>
      <w:r w:rsidRPr="00770CE6">
        <w:rPr>
          <w:rtl/>
        </w:rPr>
        <w:lastRenderedPageBreak/>
        <w:t>التوصيـة</w:t>
      </w:r>
      <w:r w:rsidR="00631E7D" w:rsidRPr="00770CE6">
        <w:rPr>
          <w:rFonts w:hint="cs"/>
          <w:rtl/>
          <w:lang w:val="en-GB"/>
        </w:rPr>
        <w:t xml:space="preserve"> </w:t>
      </w:r>
      <w:r w:rsidR="00CA603A" w:rsidRPr="00770CE6">
        <w:rPr>
          <w:rStyle w:val="href"/>
          <w:rFonts w:eastAsia="Times New Roman"/>
          <w:szCs w:val="20"/>
          <w:lang w:eastAsia="en-US" w:bidi="ar-SA"/>
        </w:rPr>
        <w:t xml:space="preserve">ITU-R </w:t>
      </w:r>
      <w:r w:rsidR="008E173E" w:rsidRPr="00770CE6">
        <w:rPr>
          <w:rStyle w:val="href"/>
          <w:rFonts w:eastAsia="Times New Roman"/>
          <w:szCs w:val="20"/>
          <w:lang w:eastAsia="en-US" w:bidi="ar-SA"/>
        </w:rPr>
        <w:t>M</w:t>
      </w:r>
      <w:r w:rsidR="00CA603A" w:rsidRPr="00770CE6">
        <w:rPr>
          <w:rStyle w:val="href"/>
          <w:rFonts w:eastAsia="Times New Roman"/>
          <w:szCs w:val="20"/>
          <w:lang w:eastAsia="en-US" w:bidi="ar-SA"/>
        </w:rPr>
        <w:t>.</w:t>
      </w:r>
      <w:r w:rsidR="00F85F93" w:rsidRPr="00770CE6">
        <w:rPr>
          <w:rStyle w:val="href"/>
          <w:rFonts w:eastAsia="Times New Roman"/>
          <w:szCs w:val="20"/>
          <w:lang w:eastAsia="en-US" w:bidi="ar-SA"/>
        </w:rPr>
        <w:t>2159-0</w:t>
      </w:r>
      <w:r w:rsidR="00B6197A">
        <w:rPr>
          <w:rStyle w:val="href"/>
          <w:rFonts w:eastAsia="Times New Roman" w:hint="cs"/>
          <w:szCs w:val="20"/>
          <w:rtl/>
          <w:lang w:eastAsia="en-US" w:bidi="ar-SA"/>
        </w:rPr>
        <w:t xml:space="preserve"> </w:t>
      </w:r>
      <w:r w:rsidR="00B6197A" w:rsidRPr="00E65C85">
        <w:rPr>
          <w:rStyle w:val="FootnoteReference"/>
          <w:lang w:eastAsia="ja-JP"/>
        </w:rPr>
        <w:footnoteReference w:customMarkFollows="1" w:id="1"/>
        <w:sym w:font="Symbol" w:char="F02A"/>
      </w:r>
    </w:p>
    <w:p w14:paraId="1C086881" w14:textId="68E4D4C2" w:rsidR="00F85F93" w:rsidRPr="00770CE6" w:rsidRDefault="00F85F93" w:rsidP="003E559A">
      <w:pPr>
        <w:pStyle w:val="Rectitle"/>
        <w:rPr>
          <w:spacing w:val="-4"/>
          <w:rtl/>
        </w:rPr>
      </w:pPr>
      <w:r w:rsidRPr="00770CE6">
        <w:rPr>
          <w:spacing w:val="-4"/>
          <w:rtl/>
        </w:rPr>
        <w:t>التدابير التقنية والتنظيمية لتحقيق التوافق بين الاتصالات المتنقلة الدولية والخدمات المتنقلة</w:t>
      </w:r>
      <w:r w:rsidR="003B4BE2">
        <w:rPr>
          <w:rFonts w:hint="cs"/>
          <w:spacing w:val="-4"/>
          <w:rtl/>
        </w:rPr>
        <w:t> </w:t>
      </w:r>
      <w:r w:rsidRPr="00770CE6">
        <w:rPr>
          <w:spacing w:val="-4"/>
          <w:rtl/>
        </w:rPr>
        <w:t>الساتلية فيما يتعلق بعمليات الخدمات المتنقلة الساتلية</w:t>
      </w:r>
      <w:r w:rsidRPr="00770CE6">
        <w:rPr>
          <w:spacing w:val="-4"/>
          <w:rtl/>
          <w:lang w:bidi="ar-SA"/>
        </w:rPr>
        <w:t xml:space="preserve"> </w:t>
      </w:r>
      <w:r w:rsidRPr="00770CE6">
        <w:rPr>
          <w:spacing w:val="-4"/>
          <w:rtl/>
        </w:rPr>
        <w:t>في نطاق التردد</w:t>
      </w:r>
      <w:bookmarkStart w:id="2" w:name="_Hlk158367060"/>
      <w:r w:rsidR="003B4BE2">
        <w:rPr>
          <w:rFonts w:hint="cs"/>
          <w:spacing w:val="-4"/>
          <w:rtl/>
        </w:rPr>
        <w:t> </w:t>
      </w:r>
      <w:r w:rsidR="00BE4802">
        <w:rPr>
          <w:spacing w:val="-4"/>
        </w:rPr>
        <w:t>MHz</w:t>
      </w:r>
      <w:r w:rsidR="003B4BE2">
        <w:rPr>
          <w:spacing w:val="-4"/>
        </w:rPr>
        <w:t> </w:t>
      </w:r>
      <w:r w:rsidR="00BE4802">
        <w:rPr>
          <w:spacing w:val="-4"/>
        </w:rPr>
        <w:t>1</w:t>
      </w:r>
      <w:r w:rsidR="003B4BE2">
        <w:rPr>
          <w:spacing w:val="-4"/>
        </w:rPr>
        <w:t> </w:t>
      </w:r>
      <w:r w:rsidR="00BE4802">
        <w:rPr>
          <w:spacing w:val="-4"/>
        </w:rPr>
        <w:t>525</w:t>
      </w:r>
      <w:r w:rsidR="003B4BE2">
        <w:rPr>
          <w:spacing w:val="-4"/>
        </w:rPr>
        <w:noBreakHyphen/>
      </w:r>
      <w:r w:rsidR="009E704A">
        <w:rPr>
          <w:spacing w:val="-4"/>
        </w:rPr>
        <w:t>1</w:t>
      </w:r>
      <w:r w:rsidR="003B4BE2">
        <w:rPr>
          <w:spacing w:val="-4"/>
        </w:rPr>
        <w:t> </w:t>
      </w:r>
      <w:r w:rsidR="009E704A">
        <w:rPr>
          <w:spacing w:val="-4"/>
        </w:rPr>
        <w:t>518</w:t>
      </w:r>
      <w:r w:rsidRPr="00770CE6">
        <w:rPr>
          <w:spacing w:val="-4"/>
          <w:rtl/>
        </w:rPr>
        <w:t xml:space="preserve"> </w:t>
      </w:r>
      <w:bookmarkEnd w:id="2"/>
      <w:r w:rsidRPr="00770CE6">
        <w:rPr>
          <w:spacing w:val="-4"/>
          <w:rtl/>
        </w:rPr>
        <w:t>للإدارات التي ترغب في تنفيذ الاتصالات المتنقلة</w:t>
      </w:r>
      <w:r w:rsidR="003B4BE2">
        <w:rPr>
          <w:rFonts w:hint="cs"/>
          <w:spacing w:val="-4"/>
          <w:rtl/>
        </w:rPr>
        <w:t> </w:t>
      </w:r>
      <w:r w:rsidRPr="00770CE6">
        <w:rPr>
          <w:spacing w:val="-4"/>
          <w:rtl/>
        </w:rPr>
        <w:t>الدولية</w:t>
      </w:r>
      <w:r w:rsidR="003B4BE2">
        <w:rPr>
          <w:rFonts w:hint="cs"/>
          <w:spacing w:val="-4"/>
          <w:rtl/>
          <w:lang w:bidi="ar-SA"/>
        </w:rPr>
        <w:t> </w:t>
      </w:r>
      <w:r w:rsidRPr="00770CE6">
        <w:rPr>
          <w:spacing w:val="-4"/>
          <w:rtl/>
        </w:rPr>
        <w:t>في</w:t>
      </w:r>
      <w:r w:rsidR="003B4BE2">
        <w:rPr>
          <w:rFonts w:hint="cs"/>
          <w:spacing w:val="-4"/>
          <w:rtl/>
        </w:rPr>
        <w:t> </w:t>
      </w:r>
      <w:r w:rsidRPr="00770CE6">
        <w:rPr>
          <w:spacing w:val="-4"/>
          <w:rtl/>
        </w:rPr>
        <w:t>نطاق التردد</w:t>
      </w:r>
      <w:r w:rsidR="003B4BE2">
        <w:rPr>
          <w:rFonts w:hint="cs"/>
          <w:spacing w:val="-4"/>
          <w:rtl/>
        </w:rPr>
        <w:t> </w:t>
      </w:r>
      <w:r w:rsidR="00BE4802">
        <w:rPr>
          <w:spacing w:val="-4"/>
        </w:rPr>
        <w:t>MHz</w:t>
      </w:r>
      <w:r w:rsidR="003B4BE2">
        <w:rPr>
          <w:spacing w:val="-4"/>
        </w:rPr>
        <w:t> </w:t>
      </w:r>
      <w:r w:rsidR="009E704A">
        <w:rPr>
          <w:spacing w:val="-4"/>
        </w:rPr>
        <w:t>1</w:t>
      </w:r>
      <w:r w:rsidR="003B4BE2">
        <w:rPr>
          <w:spacing w:val="-4"/>
        </w:rPr>
        <w:t> </w:t>
      </w:r>
      <w:r w:rsidR="009E704A">
        <w:rPr>
          <w:spacing w:val="-4"/>
        </w:rPr>
        <w:t>518</w:t>
      </w:r>
      <w:r w:rsidR="003B4BE2">
        <w:rPr>
          <w:spacing w:val="-4"/>
        </w:rPr>
        <w:noBreakHyphen/>
      </w:r>
      <w:r w:rsidR="00BE4802">
        <w:rPr>
          <w:spacing w:val="-4"/>
        </w:rPr>
        <w:t>1 492</w:t>
      </w:r>
      <w:r w:rsidR="00770CE6" w:rsidRPr="00770CE6">
        <w:rPr>
          <w:rFonts w:hint="cs"/>
          <w:spacing w:val="-4"/>
          <w:rtl/>
        </w:rPr>
        <w:t xml:space="preserve"> </w:t>
      </w:r>
      <w:r w:rsidR="00770CE6" w:rsidRPr="009E704A">
        <w:rPr>
          <w:rStyle w:val="FootnoteReference"/>
          <w:rFonts w:cs="Traditional Arabic"/>
          <w:spacing w:val="-4"/>
          <w:position w:val="0"/>
          <w:sz w:val="28"/>
          <w:szCs w:val="28"/>
        </w:rPr>
        <w:footnoteReference w:id="2"/>
      </w:r>
    </w:p>
    <w:p w14:paraId="099DF056" w14:textId="1C74DCA2" w:rsidR="00F85F93" w:rsidRPr="009E704A" w:rsidRDefault="00F85F93" w:rsidP="009E704A">
      <w:pPr>
        <w:pStyle w:val="Recdate"/>
      </w:pPr>
      <w:r w:rsidRPr="009E704A">
        <w:t>(</w:t>
      </w:r>
      <w:r w:rsidR="00770CE6" w:rsidRPr="009E704A">
        <w:t>2023</w:t>
      </w:r>
      <w:r w:rsidRPr="009E704A">
        <w:t>)</w:t>
      </w:r>
    </w:p>
    <w:p w14:paraId="0B19D40F" w14:textId="77777777" w:rsidR="00F85F93" w:rsidRPr="00770CE6" w:rsidRDefault="00F85F93" w:rsidP="003E559A">
      <w:pPr>
        <w:pStyle w:val="Headingb"/>
        <w:rPr>
          <w:rFonts w:eastAsia="Batang"/>
        </w:rPr>
      </w:pPr>
      <w:r w:rsidRPr="00770CE6">
        <w:rPr>
          <w:rtl/>
        </w:rPr>
        <w:t>مجال التطبيق</w:t>
      </w:r>
    </w:p>
    <w:p w14:paraId="78E8FB7E" w14:textId="58459493" w:rsidR="00F85F93" w:rsidRPr="00770CE6" w:rsidRDefault="00F85F93" w:rsidP="003B4BE2">
      <w:pPr>
        <w:rPr>
          <w:rFonts w:eastAsia="Batang"/>
          <w:lang w:val="ar-SA" w:eastAsia="zh-TW" w:bidi="en-GB"/>
        </w:rPr>
      </w:pPr>
      <w:r w:rsidRPr="00770CE6">
        <w:rPr>
          <w:rtl/>
        </w:rPr>
        <w:t>تقدّم هذه التوصية التدابير التقنية والتنظيمية لتحقيق التوافق في النطاق المجاور بين الأنظمة الساتلية في الخدمة المتنقلة الساتلية</w:t>
      </w:r>
      <w:r w:rsidR="00371DFC">
        <w:rPr>
          <w:rFonts w:hint="cs"/>
          <w:rtl/>
        </w:rPr>
        <w:t> </w:t>
      </w:r>
      <w:r w:rsidRPr="00770CE6">
        <w:t>(MSS</w:t>
      </w:r>
      <w:r w:rsidRPr="00770CE6">
        <w:rPr>
          <w:lang w:val="en-GB" w:bidi="ar-AE"/>
        </w:rPr>
        <w:t>)</w:t>
      </w:r>
      <w:r w:rsidRPr="00770CE6">
        <w:rPr>
          <w:rtl/>
          <w:lang w:val="en-GB" w:bidi="ar-AE"/>
        </w:rPr>
        <w:t xml:space="preserve"> </w:t>
      </w:r>
      <w:r w:rsidRPr="00770CE6">
        <w:rPr>
          <w:rtl/>
        </w:rPr>
        <w:t xml:space="preserve">العاملة في </w:t>
      </w:r>
      <w:proofErr w:type="spellStart"/>
      <w:r w:rsidRPr="00770CE6">
        <w:rPr>
          <w:rtl/>
        </w:rPr>
        <w:t>النطا</w:t>
      </w:r>
      <w:proofErr w:type="spellEnd"/>
      <w:r w:rsidRPr="00770CE6">
        <w:rPr>
          <w:rtl/>
          <w:lang w:bidi="ar-AE"/>
        </w:rPr>
        <w:t xml:space="preserve">ق </w:t>
      </w:r>
      <w:r w:rsidR="009E704A">
        <w:rPr>
          <w:lang w:bidi="ar-AE"/>
        </w:rPr>
        <w:t>1 518</w:t>
      </w:r>
      <w:r w:rsidRPr="00770CE6">
        <w:rPr>
          <w:rtl/>
          <w:lang w:val="en-GB" w:bidi="ar-AE"/>
        </w:rPr>
        <w:t>-</w:t>
      </w:r>
      <w:r w:rsidRPr="00770CE6">
        <w:rPr>
          <w:lang w:bidi="ar-AE"/>
        </w:rPr>
        <w:t>1</w:t>
      </w:r>
      <w:r w:rsidR="00770CE6">
        <w:rPr>
          <w:lang w:bidi="ar-AE"/>
        </w:rPr>
        <w:t> </w:t>
      </w:r>
      <w:r w:rsidRPr="00770CE6">
        <w:rPr>
          <w:lang w:bidi="ar-AE"/>
        </w:rPr>
        <w:t>525</w:t>
      </w:r>
      <w:r w:rsidRPr="00770CE6">
        <w:rPr>
          <w:rtl/>
        </w:rPr>
        <w:t xml:space="preserve"> </w:t>
      </w:r>
      <w:r w:rsidRPr="00770CE6">
        <w:t>MHz</w:t>
      </w:r>
      <w:r w:rsidRPr="00770CE6">
        <w:rPr>
          <w:rtl/>
          <w:lang w:val="en-GB" w:bidi="ar-AE"/>
        </w:rPr>
        <w:t xml:space="preserve"> </w:t>
      </w:r>
      <w:r w:rsidRPr="00770CE6">
        <w:rPr>
          <w:rtl/>
        </w:rPr>
        <w:t xml:space="preserve">وأنظمة الأرض للاتصالات المتنقلة الدولية </w:t>
      </w:r>
      <w:r w:rsidRPr="00770CE6">
        <w:t>(IMT</w:t>
      </w:r>
      <w:r w:rsidRPr="00770CE6">
        <w:rPr>
          <w:lang w:val="en-GB" w:bidi="ar-AE"/>
        </w:rPr>
        <w:t>)</w:t>
      </w:r>
      <w:r w:rsidRPr="00770CE6">
        <w:rPr>
          <w:rtl/>
          <w:lang w:val="en-GB" w:bidi="ar-AE"/>
        </w:rPr>
        <w:t xml:space="preserve"> </w:t>
      </w:r>
      <w:r w:rsidRPr="00770CE6">
        <w:rPr>
          <w:rtl/>
        </w:rPr>
        <w:t xml:space="preserve">العاملة في النطاق </w:t>
      </w:r>
      <w:r w:rsidR="00BE4802">
        <w:t>MHz</w:t>
      </w:r>
      <w:r w:rsidR="00371DFC">
        <w:t> </w:t>
      </w:r>
      <w:r w:rsidR="009E704A">
        <w:t>1</w:t>
      </w:r>
      <w:r w:rsidR="00371DFC">
        <w:t> </w:t>
      </w:r>
      <w:r w:rsidR="009E704A">
        <w:t>518</w:t>
      </w:r>
      <w:r w:rsidR="00371DFC">
        <w:noBreakHyphen/>
      </w:r>
      <w:r w:rsidR="00BE4802">
        <w:t>1</w:t>
      </w:r>
      <w:r w:rsidR="00371DFC">
        <w:t> </w:t>
      </w:r>
      <w:r w:rsidR="00BE4802">
        <w:t>492</w:t>
      </w:r>
      <w:r w:rsidRPr="00770CE6">
        <w:rPr>
          <w:rtl/>
          <w:lang w:val="en-GB" w:bidi="ar-AE"/>
        </w:rPr>
        <w:t xml:space="preserve"> </w:t>
      </w:r>
      <w:r w:rsidRPr="00770CE6">
        <w:rPr>
          <w:rtl/>
        </w:rPr>
        <w:t>على نحو ما يدعو إليه القرار</w:t>
      </w:r>
      <w:r w:rsidRPr="00770CE6">
        <w:rPr>
          <w:b/>
          <w:bCs/>
          <w:rtl/>
        </w:rPr>
        <w:t xml:space="preserve"> </w:t>
      </w:r>
      <w:bookmarkStart w:id="3" w:name="_Hlk158366951"/>
      <w:r w:rsidRPr="00770CE6">
        <w:rPr>
          <w:b/>
          <w:bCs/>
        </w:rPr>
        <w:t>223 (Rev.WRC-19)</w:t>
      </w:r>
      <w:bookmarkEnd w:id="3"/>
      <w:r w:rsidRPr="00770CE6">
        <w:rPr>
          <w:rtl/>
        </w:rPr>
        <w:t xml:space="preserve">. انظر الحاشية </w:t>
      </w:r>
      <w:r w:rsidRPr="00770CE6">
        <w:t>1</w:t>
      </w:r>
      <w:r w:rsidRPr="00770CE6">
        <w:rPr>
          <w:rtl/>
        </w:rPr>
        <w:t xml:space="preserve"> أيضاً.</w:t>
      </w:r>
    </w:p>
    <w:p w14:paraId="1D050BE2" w14:textId="77777777" w:rsidR="00F85F93" w:rsidRPr="00B6197A" w:rsidRDefault="00F85F93" w:rsidP="003E559A">
      <w:pPr>
        <w:pStyle w:val="Headingb"/>
      </w:pPr>
      <w:r w:rsidRPr="00B6197A">
        <w:rPr>
          <w:rtl/>
        </w:rPr>
        <w:t>كلمات أساسية</w:t>
      </w:r>
    </w:p>
    <w:p w14:paraId="65A5A15C" w14:textId="77777777" w:rsidR="00F85F93" w:rsidRPr="00770CE6" w:rsidRDefault="00F85F93" w:rsidP="003E559A">
      <w:pPr>
        <w:rPr>
          <w:lang w:val="ar-SA" w:eastAsia="zh-TW" w:bidi="en-GB"/>
        </w:rPr>
      </w:pPr>
      <w:r w:rsidRPr="00770CE6">
        <w:rPr>
          <w:rtl/>
        </w:rPr>
        <w:t>الاتصالات المتنقلة الدولية، محطة أرضية متنقلة، التوافق في النطاق المجاور</w:t>
      </w:r>
    </w:p>
    <w:p w14:paraId="1E2C3279" w14:textId="77777777" w:rsidR="00F85F93" w:rsidRPr="00770CE6" w:rsidRDefault="00F85F93" w:rsidP="003E559A">
      <w:pPr>
        <w:pStyle w:val="Headingb"/>
      </w:pPr>
      <w:r w:rsidRPr="00770CE6">
        <w:rPr>
          <w:rtl/>
        </w:rPr>
        <w:t>المختصرات/مسرد المصطلحات</w:t>
      </w:r>
    </w:p>
    <w:p w14:paraId="2098FC96" w14:textId="7103E84B" w:rsidR="00F85F93" w:rsidRPr="00B6197A" w:rsidRDefault="00F85F93" w:rsidP="003E559A">
      <w:pPr>
        <w:rPr>
          <w:lang w:eastAsia="zh-TW" w:bidi="en-GB"/>
        </w:rPr>
      </w:pPr>
      <w:r w:rsidRPr="00770CE6">
        <w:t>BS</w:t>
      </w:r>
      <w:r w:rsidRPr="00770CE6">
        <w:tab/>
      </w:r>
      <w:r w:rsidRPr="00770CE6">
        <w:rPr>
          <w:rtl/>
        </w:rPr>
        <w:t>محطة قاعدة</w:t>
      </w:r>
      <w:r w:rsidR="00B6197A">
        <w:rPr>
          <w:rFonts w:hint="cs"/>
          <w:rtl/>
        </w:rPr>
        <w:t xml:space="preserve"> </w:t>
      </w:r>
      <w:r w:rsidRPr="00371DFC">
        <w:t>(</w:t>
      </w:r>
      <w:r w:rsidRPr="002469EF">
        <w:rPr>
          <w:i/>
          <w:iCs/>
        </w:rPr>
        <w:t>Base station</w:t>
      </w:r>
      <w:r w:rsidRPr="00371DFC">
        <w:t>)</w:t>
      </w:r>
    </w:p>
    <w:p w14:paraId="281EDBEA" w14:textId="3F58A8C0" w:rsidR="00F85F93" w:rsidRPr="00B6197A" w:rsidRDefault="00371DFC" w:rsidP="003E559A">
      <w:pPr>
        <w:rPr>
          <w:lang w:eastAsia="zh-TW" w:bidi="en-GB"/>
        </w:rPr>
      </w:pPr>
      <w:proofErr w:type="spellStart"/>
      <w:r w:rsidRPr="00216E0D">
        <w:t>e.i.r.p</w:t>
      </w:r>
      <w:proofErr w:type="spellEnd"/>
      <w:r w:rsidRPr="00216E0D">
        <w:t>.</w:t>
      </w:r>
      <w:r w:rsidR="00F85F93" w:rsidRPr="00770CE6">
        <w:tab/>
      </w:r>
      <w:r w:rsidR="00F85F93" w:rsidRPr="00770CE6">
        <w:rPr>
          <w:rtl/>
        </w:rPr>
        <w:t>القدرة المشعة المكافئة المتناحية</w:t>
      </w:r>
      <w:r w:rsidR="00B6197A">
        <w:rPr>
          <w:rFonts w:hint="cs"/>
          <w:rtl/>
        </w:rPr>
        <w:t xml:space="preserve"> </w:t>
      </w:r>
      <w:r w:rsidR="00F85F93" w:rsidRPr="00371DFC">
        <w:t>(</w:t>
      </w:r>
      <w:r w:rsidR="00F85F93" w:rsidRPr="002469EF">
        <w:rPr>
          <w:i/>
          <w:iCs/>
        </w:rPr>
        <w:t>Equivalent isotropically radiated power</w:t>
      </w:r>
      <w:r w:rsidR="00F85F93" w:rsidRPr="00371DFC">
        <w:t>)</w:t>
      </w:r>
    </w:p>
    <w:p w14:paraId="42E7562E" w14:textId="7CBB4286" w:rsidR="00F85F93" w:rsidRPr="00B6197A" w:rsidRDefault="00F85F93" w:rsidP="003E559A">
      <w:pPr>
        <w:rPr>
          <w:lang w:eastAsia="zh-TW" w:bidi="en-GB"/>
        </w:rPr>
      </w:pPr>
      <w:r w:rsidRPr="00770CE6">
        <w:t>FDD</w:t>
      </w:r>
      <w:r w:rsidRPr="00770CE6">
        <w:tab/>
      </w:r>
      <w:r w:rsidRPr="00770CE6">
        <w:rPr>
          <w:rtl/>
        </w:rPr>
        <w:t>إرسال مزدوج بتقسيم التردد</w:t>
      </w:r>
      <w:r w:rsidR="00B6197A">
        <w:rPr>
          <w:rFonts w:hint="cs"/>
          <w:rtl/>
        </w:rPr>
        <w:t xml:space="preserve"> </w:t>
      </w:r>
      <w:r w:rsidRPr="00371DFC">
        <w:t>(</w:t>
      </w:r>
      <w:r w:rsidRPr="002469EF">
        <w:rPr>
          <w:i/>
          <w:iCs/>
        </w:rPr>
        <w:t>Frequency division duplex</w:t>
      </w:r>
      <w:r w:rsidRPr="00371DFC">
        <w:t>)</w:t>
      </w:r>
    </w:p>
    <w:p w14:paraId="3FE20910" w14:textId="1187E3A2" w:rsidR="00F85F93" w:rsidRPr="00B6197A" w:rsidRDefault="00F85F93" w:rsidP="003E559A">
      <w:pPr>
        <w:rPr>
          <w:lang w:eastAsia="zh-TW" w:bidi="en-GB"/>
        </w:rPr>
      </w:pPr>
      <w:r w:rsidRPr="00770CE6">
        <w:t>IMT</w:t>
      </w:r>
      <w:r w:rsidRPr="00770CE6">
        <w:tab/>
      </w:r>
      <w:r w:rsidRPr="00770CE6">
        <w:rPr>
          <w:rtl/>
        </w:rPr>
        <w:t>الاتصالات المتنقلة الدولية</w:t>
      </w:r>
      <w:r w:rsidR="00B6197A">
        <w:rPr>
          <w:rFonts w:hint="cs"/>
          <w:rtl/>
        </w:rPr>
        <w:t xml:space="preserve"> </w:t>
      </w:r>
      <w:r w:rsidRPr="00371DFC">
        <w:t>(</w:t>
      </w:r>
      <w:r w:rsidRPr="002469EF">
        <w:rPr>
          <w:i/>
          <w:iCs/>
        </w:rPr>
        <w:t>International mobile telecommunications</w:t>
      </w:r>
      <w:r w:rsidRPr="00371DFC">
        <w:t>)</w:t>
      </w:r>
    </w:p>
    <w:p w14:paraId="5D82894C" w14:textId="5A858052" w:rsidR="00F85F93" w:rsidRPr="00770CE6" w:rsidRDefault="00F85F93" w:rsidP="003E559A">
      <w:pPr>
        <w:rPr>
          <w:lang w:val="en-GB" w:eastAsia="zh-TW" w:bidi="ar-AE"/>
        </w:rPr>
      </w:pPr>
      <w:r w:rsidRPr="00770CE6">
        <w:t>MES</w:t>
      </w:r>
      <w:r w:rsidRPr="00770CE6">
        <w:tab/>
      </w:r>
      <w:r w:rsidRPr="00770CE6">
        <w:rPr>
          <w:rtl/>
        </w:rPr>
        <w:t>محطة أرضية متنقلة</w:t>
      </w:r>
      <w:r w:rsidR="00B6197A">
        <w:rPr>
          <w:rFonts w:hint="cs"/>
          <w:rtl/>
        </w:rPr>
        <w:t xml:space="preserve"> </w:t>
      </w:r>
      <w:r w:rsidRPr="00371DFC">
        <w:t>(</w:t>
      </w:r>
      <w:r w:rsidRPr="002469EF">
        <w:rPr>
          <w:i/>
          <w:iCs/>
        </w:rPr>
        <w:t>Mobile earth service</w:t>
      </w:r>
      <w:r w:rsidRPr="00371DFC">
        <w:rPr>
          <w:lang w:val="en-GB" w:bidi="ar-AE"/>
        </w:rPr>
        <w:t>)</w:t>
      </w:r>
    </w:p>
    <w:p w14:paraId="73DA0452" w14:textId="7531A342" w:rsidR="00F85F93" w:rsidRPr="00770CE6" w:rsidRDefault="00F85F93" w:rsidP="003E559A">
      <w:pPr>
        <w:rPr>
          <w:lang w:val="en-GB" w:eastAsia="zh-TW" w:bidi="ar-AE"/>
        </w:rPr>
      </w:pPr>
      <w:r w:rsidRPr="00770CE6">
        <w:t>MSS</w:t>
      </w:r>
      <w:r w:rsidRPr="00770CE6">
        <w:tab/>
      </w:r>
      <w:r w:rsidRPr="00770CE6">
        <w:rPr>
          <w:rtl/>
        </w:rPr>
        <w:t>الخدمة المتنقلة الساتلية</w:t>
      </w:r>
      <w:r w:rsidR="00B6197A">
        <w:rPr>
          <w:rFonts w:hint="cs"/>
          <w:rtl/>
        </w:rPr>
        <w:t xml:space="preserve"> </w:t>
      </w:r>
      <w:r w:rsidRPr="00371DFC">
        <w:t>(</w:t>
      </w:r>
      <w:r w:rsidRPr="002469EF">
        <w:rPr>
          <w:i/>
          <w:iCs/>
        </w:rPr>
        <w:t>Mobile-satellite service</w:t>
      </w:r>
      <w:r w:rsidRPr="00371DFC">
        <w:rPr>
          <w:lang w:val="en-GB" w:bidi="ar-AE"/>
        </w:rPr>
        <w:t>)</w:t>
      </w:r>
    </w:p>
    <w:p w14:paraId="0DE4A438" w14:textId="7348E1AD" w:rsidR="00F85F93" w:rsidRPr="00770CE6" w:rsidRDefault="00F85F93" w:rsidP="003E559A">
      <w:pPr>
        <w:rPr>
          <w:lang w:val="en-GB" w:eastAsia="zh-TW" w:bidi="ar-AE"/>
        </w:rPr>
      </w:pPr>
      <w:r w:rsidRPr="00770CE6">
        <w:t>pfd</w:t>
      </w:r>
      <w:r w:rsidRPr="00770CE6">
        <w:tab/>
      </w:r>
      <w:r w:rsidRPr="00770CE6">
        <w:rPr>
          <w:rtl/>
        </w:rPr>
        <w:t>كثافة تدفق القدر</w:t>
      </w:r>
      <w:r w:rsidRPr="00770CE6">
        <w:rPr>
          <w:rtl/>
          <w:lang w:bidi="ar-AE"/>
        </w:rPr>
        <w:t>ة</w:t>
      </w:r>
      <w:r w:rsidR="00B6197A">
        <w:rPr>
          <w:rFonts w:hint="cs"/>
          <w:rtl/>
          <w:lang w:bidi="ar-AE"/>
        </w:rPr>
        <w:t xml:space="preserve"> </w:t>
      </w:r>
      <w:r w:rsidRPr="00371DFC">
        <w:rPr>
          <w:lang w:bidi="ar-AE"/>
        </w:rPr>
        <w:t>(</w:t>
      </w:r>
      <w:r w:rsidRPr="002469EF">
        <w:rPr>
          <w:i/>
          <w:iCs/>
          <w:lang w:bidi="ar-AE"/>
        </w:rPr>
        <w:t>Power flux-density</w:t>
      </w:r>
      <w:r w:rsidRPr="00371DFC">
        <w:rPr>
          <w:lang w:val="en-GB" w:bidi="ar-AE"/>
        </w:rPr>
        <w:t>)</w:t>
      </w:r>
    </w:p>
    <w:p w14:paraId="177CB783" w14:textId="2C646ECB" w:rsidR="00F85F93" w:rsidRPr="00770CE6" w:rsidRDefault="00F85F93" w:rsidP="003E559A">
      <w:pPr>
        <w:rPr>
          <w:lang w:val="en-GB" w:bidi="ar-AE"/>
        </w:rPr>
      </w:pPr>
      <w:r w:rsidRPr="00770CE6">
        <w:t>SDL</w:t>
      </w:r>
      <w:r w:rsidRPr="00770CE6">
        <w:tab/>
      </w:r>
      <w:r w:rsidRPr="00770CE6">
        <w:rPr>
          <w:rtl/>
        </w:rPr>
        <w:t>وصلة هابطة تكميلية</w:t>
      </w:r>
      <w:r w:rsidR="00B6197A">
        <w:rPr>
          <w:rFonts w:hint="cs"/>
          <w:rtl/>
        </w:rPr>
        <w:t xml:space="preserve"> </w:t>
      </w:r>
      <w:r w:rsidRPr="00371DFC">
        <w:t>(</w:t>
      </w:r>
      <w:r w:rsidRPr="002469EF">
        <w:rPr>
          <w:i/>
          <w:iCs/>
        </w:rPr>
        <w:t>Supplemental downlink</w:t>
      </w:r>
      <w:r w:rsidRPr="00371DFC">
        <w:rPr>
          <w:lang w:val="en-GB" w:bidi="ar-AE"/>
        </w:rPr>
        <w:t>)</w:t>
      </w:r>
    </w:p>
    <w:p w14:paraId="2698D4CA" w14:textId="68F832E5" w:rsidR="00F85F93" w:rsidRPr="00770CE6" w:rsidRDefault="00F85F93" w:rsidP="003E559A">
      <w:r w:rsidRPr="00770CE6">
        <w:t>TDD</w:t>
      </w:r>
      <w:r w:rsidRPr="00770CE6">
        <w:tab/>
      </w:r>
      <w:r w:rsidRPr="00770CE6">
        <w:rPr>
          <w:rtl/>
          <w:lang w:val="en-GB" w:bidi="ar-AE"/>
        </w:rPr>
        <w:t>إرسال مزدوج بتقسم الزمن</w:t>
      </w:r>
      <w:r w:rsidR="00B6197A">
        <w:rPr>
          <w:rFonts w:hint="cs"/>
          <w:rtl/>
          <w:lang w:val="en-GB" w:bidi="ar-AE"/>
        </w:rPr>
        <w:t xml:space="preserve"> </w:t>
      </w:r>
      <w:r w:rsidRPr="00371DFC">
        <w:rPr>
          <w:lang w:val="en-GB" w:bidi="ar-AE"/>
        </w:rPr>
        <w:t>(</w:t>
      </w:r>
      <w:r w:rsidRPr="002469EF">
        <w:rPr>
          <w:i/>
          <w:iCs/>
        </w:rPr>
        <w:t>Time division duplex</w:t>
      </w:r>
      <w:r w:rsidRPr="00371DFC">
        <w:t>)</w:t>
      </w:r>
    </w:p>
    <w:p w14:paraId="502805B3" w14:textId="180BD9B2" w:rsidR="00F85F93" w:rsidRPr="00770CE6" w:rsidRDefault="00F85F93" w:rsidP="003E559A">
      <w:pPr>
        <w:rPr>
          <w:lang w:val="ar-SA" w:eastAsia="zh-TW" w:bidi="en-GB"/>
        </w:rPr>
      </w:pPr>
      <w:r w:rsidRPr="00770CE6">
        <w:t>UE</w:t>
      </w:r>
      <w:r w:rsidRPr="00770CE6">
        <w:tab/>
      </w:r>
      <w:r w:rsidRPr="00770CE6">
        <w:rPr>
          <w:rtl/>
        </w:rPr>
        <w:t>معدّات المستعمِل</w:t>
      </w:r>
      <w:r w:rsidR="00A80F4C">
        <w:rPr>
          <w:rFonts w:hint="cs"/>
          <w:rtl/>
        </w:rPr>
        <w:t xml:space="preserve"> </w:t>
      </w:r>
      <w:r w:rsidR="00A80F4C" w:rsidRPr="00371DFC">
        <w:t>(</w:t>
      </w:r>
      <w:r w:rsidR="00A80F4C" w:rsidRPr="00A80F4C">
        <w:rPr>
          <w:i/>
          <w:iCs/>
        </w:rPr>
        <w:t>User equipment</w:t>
      </w:r>
      <w:r w:rsidR="00A80F4C" w:rsidRPr="00371DFC">
        <w:t>)</w:t>
      </w:r>
    </w:p>
    <w:p w14:paraId="2A6F8656" w14:textId="77777777" w:rsidR="00F85F93" w:rsidRPr="002469EF" w:rsidRDefault="00F85F93" w:rsidP="003E559A">
      <w:pPr>
        <w:pStyle w:val="Headingb"/>
      </w:pPr>
      <w:r w:rsidRPr="002469EF">
        <w:rPr>
          <w:rtl/>
        </w:rPr>
        <w:lastRenderedPageBreak/>
        <w:t>التوصيات/التقارير ذات الصلة الصادرة عن قطاع الاتصالات الراديوية</w:t>
      </w:r>
    </w:p>
    <w:p w14:paraId="138150B6" w14:textId="629C8D04" w:rsidR="00F85F93" w:rsidRPr="008F5D6D" w:rsidRDefault="00F85F93" w:rsidP="003E559A">
      <w:pPr>
        <w:rPr>
          <w:lang w:val="ar-SA" w:eastAsia="zh-TW" w:bidi="en-GB"/>
        </w:rPr>
      </w:pPr>
      <w:r w:rsidRPr="008F5D6D">
        <w:rPr>
          <w:rtl/>
        </w:rPr>
        <w:t xml:space="preserve">التوصية </w:t>
      </w:r>
      <w:hyperlink r:id="rId15" w:history="1">
        <w:r w:rsidR="00E37F5C" w:rsidRPr="008F5D6D">
          <w:rPr>
            <w:rStyle w:val="Hyperlink"/>
            <w:color w:val="auto"/>
            <w:u w:val="none"/>
          </w:rPr>
          <w:t>ITU-R M.1036</w:t>
        </w:r>
      </w:hyperlink>
      <w:r w:rsidRPr="008F5D6D">
        <w:rPr>
          <w:rtl/>
        </w:rPr>
        <w:t xml:space="preserve"> - ترتيبات الترددات لأغراض تنفيذ المكوّن الأرضي في الاتصالات المتنقلة الدولية في النطاقات المحددة للاتصالات المتنقلة الدولية في لوائح الراديو.</w:t>
      </w:r>
    </w:p>
    <w:p w14:paraId="630203D2" w14:textId="7CC72E83" w:rsidR="00F85F93" w:rsidRPr="008F5D6D" w:rsidRDefault="00F85F93" w:rsidP="003E559A">
      <w:pPr>
        <w:rPr>
          <w:lang w:val="ar-SA" w:eastAsia="zh-TW" w:bidi="en-GB"/>
        </w:rPr>
      </w:pPr>
      <w:r w:rsidRPr="008F5D6D">
        <w:rPr>
          <w:rtl/>
        </w:rPr>
        <w:t xml:space="preserve">التقرير </w:t>
      </w:r>
      <w:hyperlink r:id="rId16" w:history="1">
        <w:r w:rsidR="00E37F5C" w:rsidRPr="008F5D6D">
          <w:rPr>
            <w:rStyle w:val="Hyperlink"/>
            <w:color w:val="auto"/>
            <w:u w:val="none"/>
          </w:rPr>
          <w:t>ITU-R M.2529</w:t>
        </w:r>
      </w:hyperlink>
      <w:r w:rsidRPr="008F5D6D">
        <w:rPr>
          <w:rtl/>
        </w:rPr>
        <w:t xml:space="preserve"> - دراسات التوافق في النطاقات المجاورة بين أنظمة الاتصالات المتنقلة الدولية في الخدمة المتنقلة العاملة في النطاق </w:t>
      </w:r>
      <w:r w:rsidR="00BE4802" w:rsidRPr="008F5D6D">
        <w:t>MHz </w:t>
      </w:r>
      <w:r w:rsidR="009E704A" w:rsidRPr="008F5D6D">
        <w:t>1 518</w:t>
      </w:r>
      <w:r w:rsidR="00BE4802" w:rsidRPr="008F5D6D">
        <w:t>-1 492</w:t>
      </w:r>
      <w:r w:rsidRPr="008F5D6D">
        <w:rPr>
          <w:rtl/>
        </w:rPr>
        <w:t xml:space="preserve"> والأنظمة العاملة في الخدمة المتنقلة الساتلية في نطاق التردد </w:t>
      </w:r>
      <w:r w:rsidR="00BE4802" w:rsidRPr="008F5D6D">
        <w:t>MHz 1 525-</w:t>
      </w:r>
      <w:r w:rsidR="009E704A" w:rsidRPr="008F5D6D">
        <w:t>1 518</w:t>
      </w:r>
    </w:p>
    <w:p w14:paraId="08BD73A4" w14:textId="77777777" w:rsidR="00F85F93" w:rsidRPr="00770CE6" w:rsidRDefault="00F85F93" w:rsidP="0095696B">
      <w:pPr>
        <w:pStyle w:val="Normalaftertitle"/>
        <w:rPr>
          <w:lang w:val="ar-SA" w:eastAsia="zh-TW" w:bidi="en-GB"/>
        </w:rPr>
      </w:pPr>
      <w:r w:rsidRPr="008F5D6D">
        <w:rPr>
          <w:rtl/>
        </w:rPr>
        <w:t xml:space="preserve">إن جمعية الاتصالات الراديوية للاتحاد الدولي </w:t>
      </w:r>
      <w:r w:rsidRPr="00770CE6">
        <w:rPr>
          <w:rtl/>
        </w:rPr>
        <w:t>للاتصالات،</w:t>
      </w:r>
    </w:p>
    <w:p w14:paraId="670A0BF4" w14:textId="77777777" w:rsidR="00F85F93" w:rsidRPr="002469EF" w:rsidRDefault="00F85F93" w:rsidP="003E559A">
      <w:pPr>
        <w:pStyle w:val="Call"/>
      </w:pPr>
      <w:r w:rsidRPr="002469EF">
        <w:rPr>
          <w:rtl/>
        </w:rPr>
        <w:t>إذ تضع في اعتبارها</w:t>
      </w:r>
    </w:p>
    <w:p w14:paraId="07798462" w14:textId="22278659" w:rsidR="00F85F93" w:rsidRPr="00770CE6" w:rsidRDefault="00486B4C" w:rsidP="003E559A">
      <w:pPr>
        <w:rPr>
          <w:i/>
          <w:spacing w:val="-2"/>
          <w:lang w:val="ar-SA" w:eastAsia="zh-TW" w:bidi="en-GB"/>
        </w:rPr>
      </w:pPr>
      <w:r>
        <w:rPr>
          <w:rFonts w:hint="cs"/>
          <w:i/>
          <w:iCs/>
          <w:rtl/>
        </w:rPr>
        <w:t xml:space="preserve"> </w:t>
      </w:r>
      <w:proofErr w:type="gramStart"/>
      <w:r w:rsidR="00F85F93" w:rsidRPr="005E79B5">
        <w:rPr>
          <w:i/>
          <w:iCs/>
          <w:rtl/>
        </w:rPr>
        <w:t>أ )</w:t>
      </w:r>
      <w:proofErr w:type="gramEnd"/>
      <w:r w:rsidR="00F85F93" w:rsidRPr="005E79B5">
        <w:rPr>
          <w:rtl/>
        </w:rPr>
        <w:tab/>
        <w:t xml:space="preserve">أن نطاق التردد </w:t>
      </w:r>
      <w:r w:rsidR="00A80F4C" w:rsidRPr="005E79B5">
        <w:t>MHz </w:t>
      </w:r>
      <w:r w:rsidR="005E79B5" w:rsidRPr="005E79B5">
        <w:t>1 525-1 492</w:t>
      </w:r>
      <w:r w:rsidR="00F85F93" w:rsidRPr="005E79B5">
        <w:rPr>
          <w:rtl/>
        </w:rPr>
        <w:t xml:space="preserve"> موزَّع للخدمة المتنقلة في الإقليمين </w:t>
      </w:r>
      <w:r w:rsidR="00F85F93" w:rsidRPr="005E79B5">
        <w:t>2</w:t>
      </w:r>
      <w:r w:rsidR="00F85F93" w:rsidRPr="005E79B5">
        <w:rPr>
          <w:rtl/>
        </w:rPr>
        <w:t xml:space="preserve"> و</w:t>
      </w:r>
      <w:r w:rsidR="00F85F93" w:rsidRPr="005E79B5">
        <w:t>3</w:t>
      </w:r>
      <w:r w:rsidR="00F85F93" w:rsidRPr="005E79B5">
        <w:rPr>
          <w:rtl/>
        </w:rPr>
        <w:t xml:space="preserve"> وللخدمة المتنقلة، باستثناء المتنقلة للطيران، في الإقليم </w:t>
      </w:r>
      <w:r w:rsidR="00F85F93" w:rsidRPr="005E79B5">
        <w:t>1</w:t>
      </w:r>
      <w:r w:rsidR="00F85F93" w:rsidRPr="005E79B5">
        <w:rPr>
          <w:rtl/>
        </w:rPr>
        <w:t xml:space="preserve"> على أساس أولي؛</w:t>
      </w:r>
    </w:p>
    <w:p w14:paraId="5BD856ED" w14:textId="213660B9" w:rsidR="00F85F93" w:rsidRPr="00770CE6" w:rsidRDefault="00F85F93" w:rsidP="003E559A">
      <w:pPr>
        <w:rPr>
          <w:lang w:val="ar-SA" w:eastAsia="zh-TW" w:bidi="en-GB"/>
        </w:rPr>
      </w:pPr>
      <w:r w:rsidRPr="005E79B5">
        <w:rPr>
          <w:i/>
          <w:iCs/>
          <w:rtl/>
        </w:rPr>
        <w:t>ب)</w:t>
      </w:r>
      <w:r w:rsidRPr="005E79B5">
        <w:rPr>
          <w:rtl/>
        </w:rPr>
        <w:tab/>
        <w:t xml:space="preserve">أن المؤتمر العالمي للاتصالات الراديوية لعام </w:t>
      </w:r>
      <w:r w:rsidRPr="005E79B5">
        <w:t>2015</w:t>
      </w:r>
      <w:r w:rsidRPr="005E79B5">
        <w:rPr>
          <w:rtl/>
        </w:rPr>
        <w:t xml:space="preserve"> حدَّد نطاق التردد </w:t>
      </w:r>
      <w:r w:rsidRPr="005E79B5">
        <w:t xml:space="preserve">MHz </w:t>
      </w:r>
      <w:r w:rsidR="005E79B5" w:rsidRPr="005E79B5">
        <w:t>1 518-1 427</w:t>
      </w:r>
      <w:r w:rsidRPr="005E79B5">
        <w:rPr>
          <w:rtl/>
        </w:rPr>
        <w:t xml:space="preserve"> على الصعيد العالمي لتستعمله الإدارات التي ترغب في تنفيذ أنظمة أرضية للاتصالات المتنقلة الدولية؛</w:t>
      </w:r>
    </w:p>
    <w:p w14:paraId="158BAC33" w14:textId="670EAB45" w:rsidR="00F85F93" w:rsidRPr="00770CE6" w:rsidRDefault="00F85F93" w:rsidP="003E559A">
      <w:pPr>
        <w:rPr>
          <w:lang w:val="ar-SA" w:eastAsia="zh-TW" w:bidi="en-GB"/>
        </w:rPr>
      </w:pPr>
      <w:r w:rsidRPr="005E79B5">
        <w:rPr>
          <w:i/>
          <w:iCs/>
          <w:rtl/>
        </w:rPr>
        <w:t>ج)</w:t>
      </w:r>
      <w:r w:rsidRPr="005E79B5">
        <w:rPr>
          <w:rtl/>
        </w:rPr>
        <w:tab/>
        <w:t xml:space="preserve">أن نطاق التردد </w:t>
      </w:r>
      <w:r w:rsidR="00A80F4C" w:rsidRPr="005E79B5">
        <w:t>MHz </w:t>
      </w:r>
      <w:r w:rsidR="005E79B5" w:rsidRPr="005E79B5">
        <w:t>1 559-1 518</w:t>
      </w:r>
      <w:r w:rsidRPr="005E79B5">
        <w:rPr>
          <w:rtl/>
        </w:rPr>
        <w:t xml:space="preserve"> موزَّع في جميع الأقاليم الثلاثة للخدمة المتنقلة الساتلية على أساس أولي؛</w:t>
      </w:r>
    </w:p>
    <w:p w14:paraId="2A59DBCC" w14:textId="2BAB5787" w:rsidR="00F85F93" w:rsidRPr="00770CE6" w:rsidRDefault="00F85F93" w:rsidP="003E559A">
      <w:pPr>
        <w:rPr>
          <w:lang w:val="ar-SA" w:eastAsia="zh-TW" w:bidi="en-GB"/>
        </w:rPr>
      </w:pPr>
      <w:proofErr w:type="gramStart"/>
      <w:r w:rsidRPr="00770CE6">
        <w:rPr>
          <w:i/>
          <w:iCs/>
          <w:rtl/>
        </w:rPr>
        <w:t>د )</w:t>
      </w:r>
      <w:proofErr w:type="gramEnd"/>
      <w:r w:rsidRPr="00770CE6">
        <w:rPr>
          <w:rtl/>
        </w:rPr>
        <w:tab/>
        <w:t xml:space="preserve">أنه يمكن استعمال نطاق التردد </w:t>
      </w:r>
      <w:r w:rsidRPr="00770CE6">
        <w:t>MHz 1 559-</w:t>
      </w:r>
      <w:r w:rsidR="009E704A">
        <w:t>1 518</w:t>
      </w:r>
      <w:r w:rsidRPr="00770CE6">
        <w:rPr>
          <w:rtl/>
        </w:rPr>
        <w:t xml:space="preserve"> لتطبيقات الخدمة المتنقلة الساتلية البرية والخدمة المتنقلة الساتلية البحرية والخدمة المتنقلة الساتلية للطيران؛</w:t>
      </w:r>
    </w:p>
    <w:p w14:paraId="5451EE96" w14:textId="0611E4ED" w:rsidR="00F85F93" w:rsidRPr="00770CE6" w:rsidRDefault="00F85F93" w:rsidP="003E559A">
      <w:pPr>
        <w:rPr>
          <w:lang w:val="ar-SA" w:eastAsia="zh-TW" w:bidi="en-GB"/>
        </w:rPr>
      </w:pPr>
      <w:proofErr w:type="gramStart"/>
      <w:r w:rsidRPr="005E79B5">
        <w:rPr>
          <w:i/>
          <w:iCs/>
          <w:rtl/>
        </w:rPr>
        <w:t>ﻫ )</w:t>
      </w:r>
      <w:proofErr w:type="gramEnd"/>
      <w:r w:rsidRPr="005E79B5">
        <w:rPr>
          <w:rtl/>
        </w:rPr>
        <w:tab/>
        <w:t xml:space="preserve">أن الحاجة تدعو إلى ضمان استمرار عمليات الخدمة المتنقلة الساتلية في نطاق التردد </w:t>
      </w:r>
      <w:r w:rsidR="00A80F4C" w:rsidRPr="005E79B5">
        <w:t>MHz </w:t>
      </w:r>
      <w:r w:rsidR="005E79B5" w:rsidRPr="005E79B5">
        <w:t>1 525-1 518</w:t>
      </w:r>
      <w:r w:rsidRPr="005E79B5">
        <w:rPr>
          <w:rtl/>
        </w:rPr>
        <w:t>، وفقاً للقرار</w:t>
      </w:r>
      <w:bookmarkStart w:id="4" w:name="_Hlk158643364"/>
      <w:r w:rsidR="009E704A" w:rsidRPr="005E79B5">
        <w:rPr>
          <w:rFonts w:hint="cs"/>
          <w:rtl/>
        </w:rPr>
        <w:t> </w:t>
      </w:r>
      <w:r w:rsidRPr="005E79B5">
        <w:rPr>
          <w:b/>
          <w:bCs/>
        </w:rPr>
        <w:t>223 (Rev. WRC-19)</w:t>
      </w:r>
      <w:bookmarkEnd w:id="4"/>
      <w:r w:rsidRPr="005E79B5">
        <w:rPr>
          <w:rtl/>
        </w:rPr>
        <w:t>؛</w:t>
      </w:r>
    </w:p>
    <w:p w14:paraId="663AC349" w14:textId="221C9A3C" w:rsidR="00F85F93" w:rsidRPr="00770CE6" w:rsidRDefault="00F85F93" w:rsidP="003E559A">
      <w:pPr>
        <w:rPr>
          <w:lang w:val="ar-SA" w:eastAsia="zh-TW" w:bidi="en-GB"/>
        </w:rPr>
      </w:pPr>
      <w:proofErr w:type="gramStart"/>
      <w:r w:rsidRPr="00770CE6">
        <w:rPr>
          <w:i/>
          <w:iCs/>
          <w:rtl/>
        </w:rPr>
        <w:t>و )</w:t>
      </w:r>
      <w:proofErr w:type="gramEnd"/>
      <w:r w:rsidRPr="00770CE6">
        <w:rPr>
          <w:rtl/>
        </w:rPr>
        <w:tab/>
        <w:t>أنه قد تكون هناك حاجة إلى ضمان التوافق بين أنظمة الاتصالات المتنقلة الدولية للأرض والمحطات الأرضية المتنقلة في</w:t>
      </w:r>
      <w:r w:rsidR="008F5D6D">
        <w:rPr>
          <w:rFonts w:hint="cs"/>
          <w:rtl/>
        </w:rPr>
        <w:t> </w:t>
      </w:r>
      <w:r w:rsidRPr="00770CE6">
        <w:rPr>
          <w:rtl/>
        </w:rPr>
        <w:t>الموانئ والمطارات والمحطات الأرضية المتنقلة</w:t>
      </w:r>
      <w:r w:rsidRPr="00770CE6">
        <w:rPr>
          <w:rtl/>
          <w:lang w:val="en-GB" w:bidi="ar-AE"/>
        </w:rPr>
        <w:t xml:space="preserve"> </w:t>
      </w:r>
      <w:r w:rsidRPr="00770CE6">
        <w:rPr>
          <w:rtl/>
        </w:rPr>
        <w:t>البرية. وينطبق ذلك بصفةٍ خاصةٍ على بعض المحطات المتنقلة الأرضية التقليدية</w:t>
      </w:r>
      <w:r w:rsidR="00A80F4C">
        <w:rPr>
          <w:rFonts w:hint="cs"/>
          <w:rtl/>
          <w:lang w:bidi="ar-EG"/>
        </w:rPr>
        <w:t xml:space="preserve"> </w:t>
      </w:r>
      <w:r w:rsidRPr="00770CE6">
        <w:rPr>
          <w:rtl/>
        </w:rPr>
        <w:t>التي لا تتمتع بحماية كافية من الحَجْب؛</w:t>
      </w:r>
    </w:p>
    <w:p w14:paraId="7762BCB4" w14:textId="4A6AADD1" w:rsidR="00F85F93" w:rsidRPr="00612510" w:rsidRDefault="00F85F93" w:rsidP="003E559A">
      <w:pPr>
        <w:rPr>
          <w:spacing w:val="-4"/>
          <w:lang w:val="ar-SA" w:eastAsia="zh-TW" w:bidi="en-GB"/>
        </w:rPr>
      </w:pPr>
      <w:proofErr w:type="gramStart"/>
      <w:r w:rsidRPr="00770CE6">
        <w:rPr>
          <w:i/>
          <w:iCs/>
          <w:rtl/>
        </w:rPr>
        <w:t>ز )</w:t>
      </w:r>
      <w:proofErr w:type="gramEnd"/>
      <w:r w:rsidRPr="00770CE6">
        <w:rPr>
          <w:rtl/>
        </w:rPr>
        <w:tab/>
      </w:r>
      <w:r w:rsidRPr="00612510">
        <w:rPr>
          <w:spacing w:val="-4"/>
          <w:rtl/>
        </w:rPr>
        <w:t>أنه جارٍ تطوير محطات أرضية متنقلة</w:t>
      </w:r>
      <w:r w:rsidR="00612510" w:rsidRPr="00612510">
        <w:rPr>
          <w:rFonts w:hint="cs"/>
          <w:spacing w:val="-4"/>
          <w:rtl/>
        </w:rPr>
        <w:t xml:space="preserve"> </w:t>
      </w:r>
      <w:r w:rsidR="00612510" w:rsidRPr="00612510">
        <w:rPr>
          <w:spacing w:val="-4"/>
        </w:rPr>
        <w:t>(MES)</w:t>
      </w:r>
      <w:r w:rsidRPr="00612510">
        <w:rPr>
          <w:spacing w:val="-4"/>
          <w:rtl/>
        </w:rPr>
        <w:t xml:space="preserve"> جديدة توفر حماية أفضل من التداخل المؤدي إلى الحجب من النطاق المجاور،</w:t>
      </w:r>
    </w:p>
    <w:p w14:paraId="21EE48E4" w14:textId="77777777" w:rsidR="00F85F93" w:rsidRPr="002469EF" w:rsidRDefault="00F85F93" w:rsidP="003E559A">
      <w:pPr>
        <w:pStyle w:val="Call"/>
      </w:pPr>
      <w:r w:rsidRPr="002469EF">
        <w:rPr>
          <w:rtl/>
        </w:rPr>
        <w:t>وإذ تدرك</w:t>
      </w:r>
    </w:p>
    <w:p w14:paraId="4D6F2446" w14:textId="7EDFB286" w:rsidR="00F85F93" w:rsidRPr="00770CE6" w:rsidRDefault="000827FB" w:rsidP="003E559A">
      <w:pPr>
        <w:rPr>
          <w:lang w:val="ar-SA" w:eastAsia="zh-TW" w:bidi="en-GB"/>
        </w:rPr>
      </w:pPr>
      <w:r>
        <w:rPr>
          <w:rFonts w:hint="cs"/>
          <w:i/>
          <w:iCs/>
          <w:rtl/>
        </w:rPr>
        <w:t xml:space="preserve"> </w:t>
      </w:r>
      <w:proofErr w:type="gramStart"/>
      <w:r w:rsidR="00F85F93" w:rsidRPr="00770CE6">
        <w:rPr>
          <w:i/>
          <w:iCs/>
          <w:rtl/>
        </w:rPr>
        <w:t>أ )</w:t>
      </w:r>
      <w:proofErr w:type="gramEnd"/>
      <w:r w:rsidR="00F85F93" w:rsidRPr="00770CE6">
        <w:rPr>
          <w:rtl/>
        </w:rPr>
        <w:tab/>
        <w:t xml:space="preserve">أن القرار </w:t>
      </w:r>
      <w:r w:rsidR="00F85F93" w:rsidRPr="00770CE6">
        <w:rPr>
          <w:b/>
          <w:bCs/>
        </w:rPr>
        <w:t>223 (Rev.WRC-19)</w:t>
      </w:r>
      <w:r w:rsidR="00F85F93" w:rsidRPr="00770CE6">
        <w:rPr>
          <w:rtl/>
        </w:rPr>
        <w:t xml:space="preserve"> يدعو قطاع الاتصالات الراديوية في الاتحاد إلى إجراء دراسات توافُق لتوفير تدابير تقنية</w:t>
      </w:r>
      <w:r w:rsidR="005E79B5">
        <w:rPr>
          <w:rFonts w:hint="cs"/>
          <w:rtl/>
        </w:rPr>
        <w:t> </w:t>
      </w:r>
      <w:r w:rsidR="00F85F93" w:rsidRPr="00770CE6">
        <w:rPr>
          <w:rtl/>
        </w:rPr>
        <w:t xml:space="preserve">لضمان التعايش بين الخدمة المتنقلة الساتلية في نطاق التردد </w:t>
      </w:r>
      <w:r w:rsidR="00BE4802">
        <w:t>MHz 1 525-</w:t>
      </w:r>
      <w:r w:rsidR="009E704A">
        <w:t>1 518</w:t>
      </w:r>
      <w:r w:rsidR="00F85F93" w:rsidRPr="00770CE6">
        <w:rPr>
          <w:rtl/>
        </w:rPr>
        <w:t xml:space="preserve"> والاتصالات المتنقلة الدولية في نطاق التردد</w:t>
      </w:r>
      <w:r w:rsidR="005E79B5">
        <w:rPr>
          <w:rFonts w:hint="cs"/>
          <w:rtl/>
        </w:rPr>
        <w:t> </w:t>
      </w:r>
      <w:r w:rsidR="00BE4802">
        <w:t>MHz </w:t>
      </w:r>
      <w:r w:rsidR="009E704A">
        <w:t>1 518</w:t>
      </w:r>
      <w:r w:rsidR="00BE4802">
        <w:t>-1 492</w:t>
      </w:r>
      <w:r w:rsidR="00F85F93" w:rsidRPr="00770CE6">
        <w:rPr>
          <w:rtl/>
        </w:rPr>
        <w:t xml:space="preserve">، بما في ذلك توجيهات بشأن تنفيذ ترتيبات الترددات لنشر الاتصالات المتنقلة الدولية </w:t>
      </w:r>
      <w:r w:rsidR="00F85F93" w:rsidRPr="00770CE6">
        <w:t>(IMT</w:t>
      </w:r>
      <w:r w:rsidR="00F85F93" w:rsidRPr="00770CE6">
        <w:rPr>
          <w:lang w:val="en-GB" w:bidi="ar-AE"/>
        </w:rPr>
        <w:t>)</w:t>
      </w:r>
      <w:r w:rsidR="00F85F93" w:rsidRPr="00770CE6">
        <w:rPr>
          <w:rtl/>
        </w:rPr>
        <w:t xml:space="preserve"> في نطاق التردد </w:t>
      </w:r>
      <w:r w:rsidR="00F85F93" w:rsidRPr="00770CE6">
        <w:t xml:space="preserve">MHz </w:t>
      </w:r>
      <w:r w:rsidR="009E704A">
        <w:t>1 518</w:t>
      </w:r>
      <w:r w:rsidR="00F85F93" w:rsidRPr="00770CE6">
        <w:t>-1 427</w:t>
      </w:r>
      <w:r w:rsidR="00F85F93" w:rsidRPr="00770CE6">
        <w:rPr>
          <w:rtl/>
        </w:rPr>
        <w:t>، مع مراعاة نتائج هذه الدراسات؛</w:t>
      </w:r>
    </w:p>
    <w:p w14:paraId="3BCF7C47" w14:textId="1B664B37" w:rsidR="00F85F93" w:rsidRPr="008F5D6D" w:rsidRDefault="00F85F93" w:rsidP="003E559A">
      <w:pPr>
        <w:rPr>
          <w:lang w:val="ar-SA" w:eastAsia="zh-TW" w:bidi="en-GB"/>
        </w:rPr>
      </w:pPr>
      <w:r w:rsidRPr="00770CE6">
        <w:rPr>
          <w:i/>
          <w:iCs/>
          <w:rtl/>
        </w:rPr>
        <w:t>ب)</w:t>
      </w:r>
      <w:r w:rsidRPr="00770CE6">
        <w:rPr>
          <w:rtl/>
        </w:rPr>
        <w:tab/>
        <w:t xml:space="preserve">أن </w:t>
      </w:r>
      <w:r w:rsidRPr="008F5D6D">
        <w:rPr>
          <w:rtl/>
        </w:rPr>
        <w:t xml:space="preserve">التقرير </w:t>
      </w:r>
      <w:hyperlink r:id="rId17" w:history="1">
        <w:r w:rsidR="005E79B5" w:rsidRPr="008F5D6D">
          <w:rPr>
            <w:rStyle w:val="Hyperlink"/>
            <w:color w:val="auto"/>
            <w:u w:val="none"/>
          </w:rPr>
          <w:t>ITU-R M.2529</w:t>
        </w:r>
      </w:hyperlink>
      <w:r w:rsidRPr="008F5D6D">
        <w:rPr>
          <w:rtl/>
        </w:rPr>
        <w:t xml:space="preserve"> يتضمن التدابير التقنية لضمان التعايش بين الخدمة المتنقلة الساتلية في نطاق التردد</w:t>
      </w:r>
      <w:r w:rsidR="005E79B5" w:rsidRPr="008F5D6D">
        <w:rPr>
          <w:rFonts w:hint="cs"/>
          <w:rtl/>
        </w:rPr>
        <w:t> </w:t>
      </w:r>
      <w:r w:rsidR="00BE4802" w:rsidRPr="008F5D6D">
        <w:t>MHz 1 525-</w:t>
      </w:r>
      <w:r w:rsidR="009E704A" w:rsidRPr="008F5D6D">
        <w:t>1 518</w:t>
      </w:r>
      <w:r w:rsidRPr="008F5D6D">
        <w:rPr>
          <w:rtl/>
        </w:rPr>
        <w:t xml:space="preserve"> والاتصالات المتنقلة الدولية في نطاق التردد </w:t>
      </w:r>
      <w:r w:rsidR="00BE4802" w:rsidRPr="008F5D6D">
        <w:t>MHz </w:t>
      </w:r>
      <w:r w:rsidR="009E704A" w:rsidRPr="008F5D6D">
        <w:t>1 518</w:t>
      </w:r>
      <w:r w:rsidR="00BE4802" w:rsidRPr="008F5D6D">
        <w:t>-1 492</w:t>
      </w:r>
      <w:r w:rsidRPr="008F5D6D">
        <w:rPr>
          <w:rtl/>
        </w:rPr>
        <w:t>؛</w:t>
      </w:r>
    </w:p>
    <w:p w14:paraId="21DF8A62" w14:textId="35E03D1B" w:rsidR="00F85F93" w:rsidRPr="008F5D6D" w:rsidRDefault="00F85F93" w:rsidP="003E559A">
      <w:pPr>
        <w:rPr>
          <w:lang w:val="ar-SA" w:eastAsia="zh-TW" w:bidi="en-GB"/>
        </w:rPr>
      </w:pPr>
      <w:r w:rsidRPr="008F5D6D">
        <w:rPr>
          <w:i/>
          <w:iCs/>
          <w:rtl/>
        </w:rPr>
        <w:t>ج)</w:t>
      </w:r>
      <w:r w:rsidRPr="008F5D6D">
        <w:rPr>
          <w:rtl/>
        </w:rPr>
        <w:tab/>
        <w:t xml:space="preserve">أن التوصية </w:t>
      </w:r>
      <w:hyperlink r:id="rId18" w:history="1">
        <w:r w:rsidR="005E79B5" w:rsidRPr="008F5D6D">
          <w:rPr>
            <w:rStyle w:val="Hyperlink"/>
            <w:color w:val="auto"/>
            <w:u w:val="none"/>
          </w:rPr>
          <w:t>ITU-R M.1036</w:t>
        </w:r>
      </w:hyperlink>
      <w:r w:rsidR="005E79B5" w:rsidRPr="008F5D6D">
        <w:rPr>
          <w:lang w:eastAsia="zh-CN"/>
        </w:rPr>
        <w:t>-6</w:t>
      </w:r>
      <w:r w:rsidRPr="008F5D6D">
        <w:rPr>
          <w:rtl/>
        </w:rPr>
        <w:t xml:space="preserve"> تتضمن إرشاداتٍ بشأن ترتيبات الترددات لتنفيذ الاتصالات المتنقلة الدولية للأرض،</w:t>
      </w:r>
    </w:p>
    <w:p w14:paraId="17CC9C3C" w14:textId="77777777" w:rsidR="00F85F93" w:rsidRPr="008F5D6D" w:rsidRDefault="00F85F93" w:rsidP="003E559A">
      <w:pPr>
        <w:pStyle w:val="Call"/>
        <w:rPr>
          <w:rtl/>
        </w:rPr>
      </w:pPr>
      <w:r w:rsidRPr="008F5D6D">
        <w:rPr>
          <w:rtl/>
        </w:rPr>
        <w:t>وإذ تلاحظ</w:t>
      </w:r>
    </w:p>
    <w:p w14:paraId="1F9259FA" w14:textId="77777777" w:rsidR="00F85F93" w:rsidRPr="00770CE6" w:rsidRDefault="00F85F93" w:rsidP="005E79B5">
      <w:pPr>
        <w:rPr>
          <w:iCs/>
          <w:lang w:val="ar-SA" w:eastAsia="zh-TW" w:bidi="en-GB"/>
        </w:rPr>
      </w:pPr>
      <w:r w:rsidRPr="00770CE6">
        <w:rPr>
          <w:rtl/>
        </w:rPr>
        <w:t>أنه، في حين أن التوصيات المتعلقة بمعدات الاتصالات المتنقلة الدولية والمحطات الأرضية المتنقلة قد توفر مستوى معيّناً من التوافق، قد تكون هناك مناطق داخل بلد ما يمكن تطبيق تدابير إضافية فيها لتيسير التوافق،</w:t>
      </w:r>
    </w:p>
    <w:p w14:paraId="4C929DCB" w14:textId="77777777" w:rsidR="00F85F93" w:rsidRPr="002469EF" w:rsidRDefault="00F85F93" w:rsidP="003E559A">
      <w:pPr>
        <w:pStyle w:val="Call"/>
        <w:rPr>
          <w:rtl/>
        </w:rPr>
      </w:pPr>
      <w:r w:rsidRPr="002469EF">
        <w:rPr>
          <w:rtl/>
        </w:rPr>
        <w:lastRenderedPageBreak/>
        <w:t>توصي</w:t>
      </w:r>
    </w:p>
    <w:p w14:paraId="2FBC43A6" w14:textId="4C95C2F4" w:rsidR="00F85F93" w:rsidRPr="00770CE6" w:rsidRDefault="00F85F93" w:rsidP="003E559A">
      <w:pPr>
        <w:rPr>
          <w:iCs/>
          <w:lang w:val="ar-SA" w:eastAsia="zh-TW" w:bidi="en-GB"/>
        </w:rPr>
      </w:pPr>
      <w:r w:rsidRPr="00770CE6">
        <w:t>1</w:t>
      </w:r>
      <w:r w:rsidRPr="00770CE6">
        <w:rPr>
          <w:rtl/>
        </w:rPr>
        <w:tab/>
        <w:t xml:space="preserve">أنه ينبغي للإدارات أن تنظرَ في مستويات </w:t>
      </w:r>
      <w:r w:rsidRPr="00770CE6">
        <w:rPr>
          <w:rtl/>
          <w:lang w:val="en-GB" w:bidi="ar-AE"/>
        </w:rPr>
        <w:t>الإرسالات</w:t>
      </w:r>
      <w:r w:rsidRPr="00770CE6">
        <w:rPr>
          <w:rtl/>
        </w:rPr>
        <w:t xml:space="preserve"> من معدّات الاتصالات المتنقلة الدولية العاملة في</w:t>
      </w:r>
      <w:r w:rsidR="008F5D6D">
        <w:rPr>
          <w:rFonts w:hint="cs"/>
          <w:rtl/>
        </w:rPr>
        <w:t> </w:t>
      </w:r>
      <w:r w:rsidRPr="00770CE6">
        <w:rPr>
          <w:rtl/>
        </w:rPr>
        <w:t>النطاق</w:t>
      </w:r>
      <w:r w:rsidR="004D5EAE">
        <w:rPr>
          <w:rFonts w:hint="cs"/>
          <w:rtl/>
        </w:rPr>
        <w:t> </w:t>
      </w:r>
      <w:r w:rsidR="00BE4802">
        <w:t>MHz </w:t>
      </w:r>
      <w:r w:rsidR="009E704A">
        <w:t>1 518</w:t>
      </w:r>
      <w:r w:rsidR="00BE4802">
        <w:t>-1 492</w:t>
      </w:r>
      <w:r w:rsidRPr="00770CE6">
        <w:rPr>
          <w:rtl/>
        </w:rPr>
        <w:t xml:space="preserve"> على النحو الوارد في الملحق </w:t>
      </w:r>
      <w:proofErr w:type="gramStart"/>
      <w:r w:rsidRPr="00770CE6">
        <w:t>1</w:t>
      </w:r>
      <w:r w:rsidRPr="00770CE6">
        <w:rPr>
          <w:rtl/>
        </w:rPr>
        <w:t>؛</w:t>
      </w:r>
      <w:proofErr w:type="gramEnd"/>
    </w:p>
    <w:p w14:paraId="647BF50B" w14:textId="77777777" w:rsidR="00F85F93" w:rsidRPr="00770CE6" w:rsidRDefault="00F85F93" w:rsidP="003E559A">
      <w:pPr>
        <w:rPr>
          <w:lang w:val="ar-SA" w:eastAsia="zh-TW" w:bidi="en-GB"/>
        </w:rPr>
      </w:pPr>
      <w:r w:rsidRPr="00770CE6">
        <w:t>2</w:t>
      </w:r>
      <w:r w:rsidRPr="00770CE6">
        <w:rPr>
          <w:rtl/>
        </w:rPr>
        <w:tab/>
        <w:t xml:space="preserve">أنه ينبغي للإدارات أن تنظرَ في مستويات حَجْب المحطات الأرضية المتنقلة على النحو الوارد في الملحق </w:t>
      </w:r>
      <w:proofErr w:type="gramStart"/>
      <w:r w:rsidRPr="00770CE6">
        <w:t>2</w:t>
      </w:r>
      <w:r w:rsidRPr="00770CE6">
        <w:rPr>
          <w:rtl/>
        </w:rPr>
        <w:t>؛</w:t>
      </w:r>
      <w:proofErr w:type="gramEnd"/>
    </w:p>
    <w:p w14:paraId="02749A9D" w14:textId="77777777" w:rsidR="00F85F93" w:rsidRPr="00770CE6" w:rsidRDefault="00F85F93" w:rsidP="003E559A">
      <w:pPr>
        <w:rPr>
          <w:iCs/>
          <w:lang w:val="ar-SA" w:eastAsia="zh-TW" w:bidi="en-GB"/>
        </w:rPr>
      </w:pPr>
      <w:r w:rsidRPr="00770CE6">
        <w:t>3</w:t>
      </w:r>
      <w:r w:rsidRPr="00770CE6">
        <w:rPr>
          <w:rtl/>
        </w:rPr>
        <w:tab/>
        <w:t xml:space="preserve">أنه ينبغي للإدارات أن تنظرَ في مزيد من التدابير التنظيمية للمحطات القاعدة للاتصالات المتنقلة الدولية من أجل تحقيق التوافق مع المحطات الأرضية للسفن والمحطات الأرضية للطائرات في مناطق مختارة، على النحو الموصوف في الملحق </w:t>
      </w:r>
      <w:proofErr w:type="gramStart"/>
      <w:r w:rsidRPr="00770CE6">
        <w:t>3</w:t>
      </w:r>
      <w:r w:rsidRPr="00770CE6">
        <w:rPr>
          <w:rtl/>
        </w:rPr>
        <w:t>؛</w:t>
      </w:r>
      <w:proofErr w:type="gramEnd"/>
    </w:p>
    <w:p w14:paraId="4E5C36ED" w14:textId="77777777" w:rsidR="00F85F93" w:rsidRDefault="00F85F93" w:rsidP="003E559A">
      <w:pPr>
        <w:rPr>
          <w:rtl/>
        </w:rPr>
      </w:pPr>
      <w:r w:rsidRPr="00770CE6">
        <w:t>4</w:t>
      </w:r>
      <w:r w:rsidRPr="00770CE6">
        <w:rPr>
          <w:rtl/>
        </w:rPr>
        <w:tab/>
        <w:t xml:space="preserve">أنه عند استخدام هذه التوصية لتحقيق التوافق مع المحطات الأرضية المتنقلة البرية، ينبغي للإدارات أن تنظرَ في مزيد من التدابير التنظيمية للاتصالات المتنقلة الدولية، على النحو الموصوف في الملحق </w:t>
      </w:r>
      <w:r w:rsidRPr="00770CE6">
        <w:t>4</w:t>
      </w:r>
      <w:r w:rsidRPr="00770CE6">
        <w:rPr>
          <w:rtl/>
        </w:rPr>
        <w:t>.</w:t>
      </w:r>
    </w:p>
    <w:p w14:paraId="7701BAF6" w14:textId="77777777" w:rsidR="00BF3623" w:rsidRDefault="00BF3623" w:rsidP="003E559A">
      <w:pPr>
        <w:rPr>
          <w:rtl/>
          <w:lang w:val="ar-SA" w:eastAsia="zh-TW" w:bidi="ar-SY"/>
        </w:rPr>
      </w:pPr>
    </w:p>
    <w:p w14:paraId="64756A9A" w14:textId="77777777" w:rsidR="004D5EAE" w:rsidRPr="00770CE6" w:rsidRDefault="004D5EAE" w:rsidP="003E559A">
      <w:pPr>
        <w:rPr>
          <w:lang w:val="ar-SA" w:eastAsia="zh-TW" w:bidi="en-GB"/>
        </w:rPr>
      </w:pPr>
    </w:p>
    <w:p w14:paraId="0E08CC8A" w14:textId="1648AB39" w:rsidR="00F85F93" w:rsidRPr="009E704A" w:rsidRDefault="00F85F93" w:rsidP="008F5D6D">
      <w:pPr>
        <w:pStyle w:val="AnnexNoTitle"/>
      </w:pPr>
      <w:bookmarkStart w:id="5" w:name="_Hlk160782128"/>
      <w:r w:rsidRPr="009E704A">
        <w:rPr>
          <w:rtl/>
        </w:rPr>
        <w:t xml:space="preserve">الملحق </w:t>
      </w:r>
      <w:r w:rsidRPr="009E704A">
        <w:t>1</w:t>
      </w:r>
      <w:r w:rsidR="00BF3623">
        <w:rPr>
          <w:rtl/>
        </w:rPr>
        <w:br/>
      </w:r>
      <w:r w:rsidR="002469EF" w:rsidRPr="009E704A">
        <w:rPr>
          <w:rtl/>
        </w:rPr>
        <w:br/>
      </w:r>
      <w:r w:rsidRPr="009E704A">
        <w:rPr>
          <w:rtl/>
        </w:rPr>
        <w:t xml:space="preserve">مستويات الإرسالات من معدّات الاتصالات المتنقلة الدولية العاملة في النطاق </w:t>
      </w:r>
      <w:r w:rsidR="00BE4802" w:rsidRPr="009E704A">
        <w:t>MHz </w:t>
      </w:r>
      <w:r w:rsidR="009E704A">
        <w:t>1 518</w:t>
      </w:r>
      <w:r w:rsidR="00BE4802" w:rsidRPr="009E704A">
        <w:t>-1 492</w:t>
      </w:r>
      <w:bookmarkEnd w:id="5"/>
    </w:p>
    <w:p w14:paraId="029B76A5" w14:textId="04561EE2" w:rsidR="00F85F93" w:rsidRPr="004D5EAE" w:rsidRDefault="00F85F93" w:rsidP="00AF0C07">
      <w:pPr>
        <w:pStyle w:val="Normalaftertitle"/>
        <w:rPr>
          <w:rtl/>
        </w:rPr>
      </w:pPr>
      <w:r w:rsidRPr="004D5EAE">
        <w:rPr>
          <w:rtl/>
        </w:rPr>
        <w:t xml:space="preserve">يقدّم هذا الملحق المتطلبات التقنية للإرسالات غير المطلوبة من معدّات الاتصالات المتنقلة الدولية. ويمكن للإرسالات غير المطلوبة من المحطات القاعدة للاتصالات المتنقلة الدولية ومعدّات المستعمِل العاملة في النطاق </w:t>
      </w:r>
      <w:r w:rsidR="00BE4802" w:rsidRPr="004D5EAE">
        <w:t>MHz </w:t>
      </w:r>
      <w:r w:rsidR="009E704A" w:rsidRPr="004D5EAE">
        <w:t>1 518</w:t>
      </w:r>
      <w:r w:rsidR="00BE4802" w:rsidRPr="004D5EAE">
        <w:t>-1 492</w:t>
      </w:r>
      <w:r w:rsidRPr="004D5EAE">
        <w:rPr>
          <w:rtl/>
        </w:rPr>
        <w:t xml:space="preserve"> أن تسبّب تداخلاً على عمليات الخدمة المتنقلة الساتلية فوق </w:t>
      </w:r>
      <w:r w:rsidRPr="004D5EAE">
        <w:t xml:space="preserve">MHz </w:t>
      </w:r>
      <w:r w:rsidR="009E704A" w:rsidRPr="004D5EAE">
        <w:t>1 518</w:t>
      </w:r>
      <w:r w:rsidRPr="004D5EAE">
        <w:rPr>
          <w:rtl/>
        </w:rPr>
        <w:t>. وينبغي للإدارات أن تنظرَ في تطبيق حدود الإرسالات غير المطلوبة للمحطات القاعدة للاتصالات المتنقلة الدولية ومعدّات المستعمِل من الخيارات الواردة في هذا الملحق.</w:t>
      </w:r>
    </w:p>
    <w:p w14:paraId="21234760" w14:textId="09A14D7D" w:rsidR="00F85F93" w:rsidRPr="00770CE6" w:rsidRDefault="00F85F93" w:rsidP="003E559A">
      <w:pPr>
        <w:rPr>
          <w:lang w:val="ar-SA" w:eastAsia="zh-TW" w:bidi="en-GB"/>
        </w:rPr>
      </w:pPr>
      <w:r w:rsidRPr="00770CE6">
        <w:rPr>
          <w:rtl/>
        </w:rPr>
        <w:t xml:space="preserve">وتتضمن الجداول التالية خياراتٍ مختلفةً استناداً إلى النتائج المختلفة للدراسات </w:t>
      </w:r>
      <w:r w:rsidRPr="008F5D6D">
        <w:rPr>
          <w:rtl/>
        </w:rPr>
        <w:t xml:space="preserve">الواردة في التقرير </w:t>
      </w:r>
      <w:hyperlink r:id="rId19" w:history="1">
        <w:r w:rsidR="00AF0C07" w:rsidRPr="008F5D6D">
          <w:rPr>
            <w:rStyle w:val="Hyperlink"/>
            <w:color w:val="auto"/>
            <w:u w:val="none"/>
          </w:rPr>
          <w:t>ITU-R M.2529</w:t>
        </w:r>
      </w:hyperlink>
      <w:r w:rsidRPr="008F5D6D">
        <w:rPr>
          <w:rtl/>
        </w:rPr>
        <w:t xml:space="preserve">. وجدير بالذكر أن المتطلبات المعبَّر عنها في الخيارات المختلفة أدناه إنما تستند إلى نتائج دراسات التوافق المتعلقة بالتداخلات من الإرسالات غير المطلوبة. ويُعالَج التداخل المحتمل الناجم عن حَجْب مستقبِلات المحطات الأرضية المتنقلة على حدة، غير أن الإرسالات غير </w:t>
      </w:r>
      <w:r w:rsidRPr="00770CE6">
        <w:rPr>
          <w:rtl/>
        </w:rPr>
        <w:t>المطلوبة للمحطات القاعدة للاتصالات المتنقلة الدولية ستتأثر بالخفض المطلوب في إشارة الاتصالات المتنقلة الدولية</w:t>
      </w:r>
      <w:r w:rsidR="005C0D2D">
        <w:t xml:space="preserve"> </w:t>
      </w:r>
      <w:r w:rsidRPr="00770CE6">
        <w:rPr>
          <w:rtl/>
        </w:rPr>
        <w:t>داخل النطاق لاستيفاء مستوى كثافة تدفق القدرة المتعلق بمتطلبات الحَجْب.</w:t>
      </w:r>
    </w:p>
    <w:p w14:paraId="6175E087" w14:textId="557FFC45" w:rsidR="00F85F93" w:rsidRPr="00770CE6" w:rsidRDefault="00F85F93" w:rsidP="003E559A">
      <w:pPr>
        <w:rPr>
          <w:rtl/>
        </w:rPr>
      </w:pPr>
      <w:r w:rsidRPr="00770CE6">
        <w:rPr>
          <w:rtl/>
        </w:rPr>
        <w:t xml:space="preserve">ويحدّد الجدول </w:t>
      </w:r>
      <w:r w:rsidRPr="00770CE6">
        <w:t>1</w:t>
      </w:r>
      <w:r w:rsidRPr="00770CE6">
        <w:rPr>
          <w:rtl/>
        </w:rPr>
        <w:t xml:space="preserve"> خيارات المحطات القاعدة للاتصالات المتنقلة الدولية. وفي هذا الجدول، من شأن الخيارات التي تستخدم الحدود الدنيا للإرسالات غير المطلوبة للمحطات القاعدة للاتصالات المتنقلة الدولية أن تقلّل من خطر التداخل الضار على عمليات الخدمة المتنقلة الساتلية في نطاق التردد فوق </w:t>
      </w:r>
      <w:r w:rsidRPr="00770CE6">
        <w:t xml:space="preserve">MHz </w:t>
      </w:r>
      <w:r w:rsidR="009E704A">
        <w:t>1 518</w:t>
      </w:r>
      <w:r w:rsidRPr="00770CE6">
        <w:rPr>
          <w:rtl/>
        </w:rPr>
        <w:t xml:space="preserve">. ومع ذلك، ولكي تتمكن المحطات القاعدة للاتصالات المتنقلة الدولية من استيفاء حدود الإرسالات غير المطلوبة الواردة في هذا الجدول، يلزم اتخاذ تدابير تقنية أو تشغيلية (مثل الترشيح أو خفض القدرة داخل النطاق أو نطاق حارس)، ولا سيما بالنسبة للمحطات القاعدة التي تستعمل قنوات فوق </w:t>
      </w:r>
      <w:r w:rsidRPr="00770CE6">
        <w:t>MHz 1</w:t>
      </w:r>
      <w:r w:rsidR="009E704A">
        <w:t> </w:t>
      </w:r>
      <w:r w:rsidRPr="00770CE6">
        <w:t>502</w:t>
      </w:r>
      <w:r w:rsidRPr="00770CE6">
        <w:rPr>
          <w:rtl/>
        </w:rPr>
        <w:t xml:space="preserve"> أو </w:t>
      </w:r>
      <w:r w:rsidRPr="00770CE6">
        <w:t>MHz 1</w:t>
      </w:r>
      <w:r w:rsidR="009E704A">
        <w:t> </w:t>
      </w:r>
      <w:r w:rsidRPr="00770CE6">
        <w:t>507</w:t>
      </w:r>
      <w:r w:rsidRPr="00770CE6">
        <w:rPr>
          <w:rtl/>
        </w:rPr>
        <w:t xml:space="preserve"> تبعاً لخصائص المعدات لفرادى المصنعين.</w:t>
      </w:r>
    </w:p>
    <w:p w14:paraId="023383CC" w14:textId="77777777" w:rsidR="00F85F93" w:rsidRPr="009E704A" w:rsidRDefault="00F85F93" w:rsidP="00DB5611">
      <w:pPr>
        <w:pStyle w:val="TableNo0"/>
        <w:rPr>
          <w:rFonts w:eastAsia="Calibri"/>
        </w:rPr>
      </w:pPr>
      <w:r w:rsidRPr="009E704A">
        <w:rPr>
          <w:rtl/>
        </w:rPr>
        <w:lastRenderedPageBreak/>
        <w:t xml:space="preserve">الجدول </w:t>
      </w:r>
      <w:r w:rsidRPr="009E704A">
        <w:t>1</w:t>
      </w:r>
    </w:p>
    <w:p w14:paraId="0D53DA0A" w14:textId="77777777" w:rsidR="00F85F93" w:rsidRPr="00A80F4C" w:rsidRDefault="00F85F93" w:rsidP="00DB5611">
      <w:pPr>
        <w:pStyle w:val="Tabletitle"/>
        <w:keepNext/>
        <w:keepLines/>
        <w:rPr>
          <w:rFonts w:eastAsia="Calibri"/>
          <w:rtl/>
        </w:rPr>
      </w:pPr>
      <w:r w:rsidRPr="00A80F4C">
        <w:rPr>
          <w:rtl/>
        </w:rPr>
        <w:t xml:space="preserve">خيارات حدود الإرسالات غير المطلوبة للمحطات القاعدة للاتصالات المتنقلة الدولية </w:t>
      </w:r>
    </w:p>
    <w:tbl>
      <w:tblPr>
        <w:tblStyle w:val="TableGrid"/>
        <w:bidiVisual/>
        <w:tblW w:w="9639" w:type="dxa"/>
        <w:jc w:val="center"/>
        <w:tblLayout w:type="fixed"/>
        <w:tblLook w:val="04A0" w:firstRow="1" w:lastRow="0" w:firstColumn="1" w:lastColumn="0" w:noHBand="0" w:noVBand="1"/>
      </w:tblPr>
      <w:tblGrid>
        <w:gridCol w:w="1511"/>
        <w:gridCol w:w="3031"/>
        <w:gridCol w:w="5097"/>
      </w:tblGrid>
      <w:tr w:rsidR="00F85F93" w:rsidRPr="00770CE6" w14:paraId="7C963FDB" w14:textId="77777777" w:rsidTr="006B32BC">
        <w:trPr>
          <w:tblHeader/>
          <w:jc w:val="center"/>
        </w:trPr>
        <w:tc>
          <w:tcPr>
            <w:tcW w:w="784" w:type="pct"/>
            <w:vAlign w:val="center"/>
          </w:tcPr>
          <w:p w14:paraId="64E07C90" w14:textId="77777777" w:rsidR="00F85F93" w:rsidRPr="00770CE6" w:rsidRDefault="00F85F93" w:rsidP="00F91C91">
            <w:pPr>
              <w:pStyle w:val="Tablehead"/>
              <w:keepLines/>
              <w:spacing w:before="60" w:after="40"/>
              <w:rPr>
                <w:lang w:val="ar-SA" w:eastAsia="zh-TW" w:bidi="en-GB"/>
              </w:rPr>
            </w:pPr>
            <w:r w:rsidRPr="00770CE6">
              <w:rPr>
                <w:rtl/>
              </w:rPr>
              <w:t>الخيار</w:t>
            </w:r>
          </w:p>
        </w:tc>
        <w:tc>
          <w:tcPr>
            <w:tcW w:w="1572" w:type="pct"/>
          </w:tcPr>
          <w:p w14:paraId="1317835D" w14:textId="78ADE91D" w:rsidR="00F85F93" w:rsidRPr="00770CE6" w:rsidRDefault="00F85F93" w:rsidP="00F91C91">
            <w:pPr>
              <w:pStyle w:val="Tablehead"/>
              <w:keepLines/>
              <w:spacing w:before="60" w:after="40"/>
              <w:rPr>
                <w:lang w:val="ar-SA" w:eastAsia="zh-TW" w:bidi="en-GB"/>
              </w:rPr>
            </w:pPr>
            <w:r w:rsidRPr="00770CE6">
              <w:rPr>
                <w:rtl/>
              </w:rPr>
              <w:t xml:space="preserve">عمليات الخدمة المتنقلة الساتلية في النطاق </w:t>
            </w:r>
            <w:r w:rsidR="00BE4802">
              <w:t>MHz 1 525-</w:t>
            </w:r>
            <w:r w:rsidR="009E704A">
              <w:t>1 518</w:t>
            </w:r>
            <w:r w:rsidRPr="00770CE6">
              <w:rPr>
                <w:rtl/>
              </w:rPr>
              <w:t xml:space="preserve"> (نعم/لا)</w:t>
            </w:r>
          </w:p>
        </w:tc>
        <w:tc>
          <w:tcPr>
            <w:tcW w:w="2644" w:type="pct"/>
          </w:tcPr>
          <w:p w14:paraId="08172FED" w14:textId="11762C71" w:rsidR="00F85F93" w:rsidRPr="00770CE6" w:rsidRDefault="00F85F93" w:rsidP="00F91C91">
            <w:pPr>
              <w:pStyle w:val="Tablehead"/>
              <w:keepLines/>
              <w:spacing w:before="60" w:after="40"/>
              <w:rPr>
                <w:lang w:val="ar-SA" w:eastAsia="zh-TW" w:bidi="en-GB"/>
              </w:rPr>
            </w:pPr>
            <w:r w:rsidRPr="00770CE6">
              <w:rPr>
                <w:rtl/>
              </w:rPr>
              <w:t xml:space="preserve">الحد الأقصى للإرسالات غير المطلوبة (القدرة المشعة المكافئة </w:t>
            </w:r>
            <w:proofErr w:type="spellStart"/>
            <w:r w:rsidRPr="00770CE6">
              <w:rPr>
                <w:rtl/>
              </w:rPr>
              <w:t>المتناحية</w:t>
            </w:r>
            <w:proofErr w:type="spellEnd"/>
            <w:r w:rsidRPr="00770CE6">
              <w:rPr>
                <w:rtl/>
              </w:rPr>
              <w:t>) (</w:t>
            </w:r>
            <w:proofErr w:type="spellStart"/>
            <w:r w:rsidR="00AF0C07" w:rsidRPr="005A3993">
              <w:rPr>
                <w:rFonts w:ascii="Times New Roman" w:hAnsi="Times New Roman" w:cs="Times New Roman"/>
              </w:rPr>
              <w:t>Δ</w:t>
            </w:r>
            <w:r w:rsidR="00AF0C07" w:rsidRPr="005A3993">
              <w:rPr>
                <w:rFonts w:ascii="Times New Roman" w:hAnsi="Times New Roman" w:cs="Times New Roman"/>
                <w:i/>
                <w:iCs/>
              </w:rPr>
              <w:t>f</w:t>
            </w:r>
            <w:proofErr w:type="spellEnd"/>
            <w:r w:rsidR="00684D45">
              <w:rPr>
                <w:rFonts w:ascii="Times New Roman" w:hAnsi="Times New Roman" w:cs="Times New Roman" w:hint="cs"/>
                <w:i/>
                <w:iCs/>
                <w:rtl/>
              </w:rPr>
              <w:t xml:space="preserve"> </w:t>
            </w:r>
            <w:r w:rsidRPr="00770CE6">
              <w:rPr>
                <w:rtl/>
              </w:rPr>
              <w:t xml:space="preserve">هو التردد بالنسبة إلى التردد </w:t>
            </w:r>
            <w:r w:rsidRPr="00770CE6">
              <w:t xml:space="preserve">MHz </w:t>
            </w:r>
            <w:r w:rsidR="009E704A">
              <w:t>1 518</w:t>
            </w:r>
            <w:r w:rsidRPr="00770CE6">
              <w:rPr>
                <w:rtl/>
              </w:rPr>
              <w:t xml:space="preserve"> وفوقه)</w:t>
            </w:r>
          </w:p>
        </w:tc>
      </w:tr>
      <w:tr w:rsidR="00A80F4C" w:rsidRPr="009E704A" w14:paraId="2859E3AE" w14:textId="77777777" w:rsidTr="006B32BC">
        <w:trPr>
          <w:jc w:val="center"/>
        </w:trPr>
        <w:tc>
          <w:tcPr>
            <w:tcW w:w="784" w:type="pct"/>
            <w:vAlign w:val="center"/>
          </w:tcPr>
          <w:p w14:paraId="2B1CAD92" w14:textId="77777777" w:rsidR="00A80F4C" w:rsidRPr="009E704A" w:rsidRDefault="00A80F4C" w:rsidP="00F91C91">
            <w:pPr>
              <w:pStyle w:val="Tabletext"/>
              <w:keepNext/>
              <w:keepLines/>
              <w:spacing w:before="60" w:after="40" w:line="260" w:lineRule="exact"/>
              <w:jc w:val="center"/>
            </w:pPr>
            <w:r w:rsidRPr="009E704A">
              <w:t>1</w:t>
            </w:r>
            <w:r w:rsidRPr="009E704A">
              <w:rPr>
                <w:rtl/>
              </w:rPr>
              <w:t xml:space="preserve"> </w:t>
            </w:r>
            <w:r w:rsidRPr="009E704A">
              <w:rPr>
                <w:vertAlign w:val="superscript"/>
              </w:rPr>
              <w:t>(1)</w:t>
            </w:r>
          </w:p>
        </w:tc>
        <w:tc>
          <w:tcPr>
            <w:tcW w:w="1572" w:type="pct"/>
            <w:vAlign w:val="center"/>
          </w:tcPr>
          <w:p w14:paraId="063B7B01" w14:textId="77777777" w:rsidR="00A80F4C" w:rsidRPr="009E704A" w:rsidRDefault="00A80F4C" w:rsidP="00F91C91">
            <w:pPr>
              <w:pStyle w:val="Tabletext"/>
              <w:keepNext/>
              <w:keepLines/>
              <w:spacing w:before="60" w:after="40" w:line="260" w:lineRule="exact"/>
              <w:jc w:val="center"/>
            </w:pPr>
            <w:r w:rsidRPr="009E704A">
              <w:t>Y</w:t>
            </w:r>
          </w:p>
        </w:tc>
        <w:tc>
          <w:tcPr>
            <w:tcW w:w="2644" w:type="pct"/>
            <w:vAlign w:val="center"/>
          </w:tcPr>
          <w:p w14:paraId="67BF3179" w14:textId="0D0A5F57" w:rsidR="00A80F4C" w:rsidRPr="009E704A" w:rsidRDefault="00BF3623" w:rsidP="00F91C91">
            <w:pPr>
              <w:pStyle w:val="Tabletext"/>
              <w:keepNext/>
              <w:keepLines/>
              <w:spacing w:before="60" w:after="40" w:line="260" w:lineRule="exact"/>
            </w:pPr>
            <w:r>
              <w:rPr>
                <w:rFonts w:cs="Times New Roman" w:hint="eastAsia"/>
                <w:rtl/>
              </w:rPr>
              <w:t>–</w:t>
            </w:r>
            <w:r w:rsidR="00A80F4C" w:rsidRPr="009E704A">
              <w:t>0</w:t>
            </w:r>
            <w:r>
              <w:t>,</w:t>
            </w:r>
            <w:r w:rsidR="00A80F4C" w:rsidRPr="009E704A">
              <w:t>8</w:t>
            </w:r>
            <w:r w:rsidR="00A80F4C" w:rsidRPr="009E704A">
              <w:rPr>
                <w:rtl/>
              </w:rPr>
              <w:t> </w:t>
            </w:r>
            <w:r w:rsidR="00A80F4C" w:rsidRPr="009E704A">
              <w:t>dBm/MHz</w:t>
            </w:r>
            <w:r w:rsidR="00A80F4C" w:rsidRPr="009E704A">
              <w:rPr>
                <w:rtl/>
              </w:rPr>
              <w:t xml:space="preserve"> </w:t>
            </w:r>
            <w:r w:rsidR="00A80F4C" w:rsidRPr="009E704A">
              <w:t xml:space="preserve">(0 MHz ≤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2 MHz)</w:t>
            </w:r>
            <w:r w:rsidR="00D56D81" w:rsidRPr="009E704A">
              <w:rPr>
                <w:rFonts w:hint="cs"/>
                <w:rtl/>
              </w:rPr>
              <w:t>،</w:t>
            </w:r>
          </w:p>
          <w:p w14:paraId="6D5671D5" w14:textId="6EEC19DE" w:rsidR="00A80F4C" w:rsidRPr="009E704A" w:rsidRDefault="00BF3623" w:rsidP="00F91C91">
            <w:pPr>
              <w:pStyle w:val="Tabletext"/>
              <w:keepNext/>
              <w:keepLines/>
              <w:spacing w:before="60" w:after="40" w:line="260" w:lineRule="exact"/>
            </w:pPr>
            <w:r>
              <w:rPr>
                <w:rFonts w:cs="Times New Roman" w:hint="eastAsia"/>
                <w:rtl/>
              </w:rPr>
              <w:t>–</w:t>
            </w:r>
            <w:r w:rsidR="00A80F4C" w:rsidRPr="009E704A">
              <w:t>30</w:t>
            </w:r>
            <w:r w:rsidR="00A80F4C" w:rsidRPr="009E704A">
              <w:rPr>
                <w:rtl/>
              </w:rPr>
              <w:t> </w:t>
            </w:r>
            <w:r w:rsidR="00A80F4C" w:rsidRPr="009E704A">
              <w:t>dBm/MHz</w:t>
            </w:r>
            <w:r w:rsidR="00A80F4C" w:rsidRPr="009E704A">
              <w:rPr>
                <w:rtl/>
              </w:rPr>
              <w:t xml:space="preserve"> </w:t>
            </w:r>
            <w:r w:rsidR="00A80F4C" w:rsidRPr="009E704A">
              <w:t xml:space="preserve">(2 MHz &lt;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41 MHz)</w:t>
            </w:r>
          </w:p>
        </w:tc>
      </w:tr>
      <w:tr w:rsidR="00A80F4C" w:rsidRPr="009E704A" w14:paraId="2E07980D" w14:textId="77777777" w:rsidTr="006B32BC">
        <w:trPr>
          <w:jc w:val="center"/>
        </w:trPr>
        <w:tc>
          <w:tcPr>
            <w:tcW w:w="784" w:type="pct"/>
            <w:vAlign w:val="center"/>
          </w:tcPr>
          <w:p w14:paraId="1B8041E3" w14:textId="77777777" w:rsidR="00A80F4C" w:rsidRPr="009E704A" w:rsidRDefault="00A80F4C" w:rsidP="00F91C91">
            <w:pPr>
              <w:pStyle w:val="Tabletext"/>
              <w:keepNext/>
              <w:keepLines/>
              <w:spacing w:before="60" w:after="40" w:line="260" w:lineRule="exact"/>
              <w:jc w:val="center"/>
            </w:pPr>
            <w:r w:rsidRPr="009E704A">
              <w:t>2</w:t>
            </w:r>
          </w:p>
        </w:tc>
        <w:tc>
          <w:tcPr>
            <w:tcW w:w="1572" w:type="pct"/>
            <w:vAlign w:val="center"/>
          </w:tcPr>
          <w:p w14:paraId="226C535F" w14:textId="77777777" w:rsidR="00A80F4C" w:rsidRPr="009E704A" w:rsidRDefault="00A80F4C" w:rsidP="00F91C91">
            <w:pPr>
              <w:pStyle w:val="Tabletext"/>
              <w:keepNext/>
              <w:keepLines/>
              <w:spacing w:before="60" w:after="40" w:line="260" w:lineRule="exact"/>
              <w:jc w:val="center"/>
            </w:pPr>
            <w:r w:rsidRPr="009E704A">
              <w:t>N</w:t>
            </w:r>
          </w:p>
        </w:tc>
        <w:tc>
          <w:tcPr>
            <w:tcW w:w="2644" w:type="pct"/>
            <w:vAlign w:val="center"/>
          </w:tcPr>
          <w:p w14:paraId="7D753742" w14:textId="58C99AFA" w:rsidR="00A80F4C" w:rsidRPr="009E704A" w:rsidRDefault="00A80F4C" w:rsidP="00F91C91">
            <w:pPr>
              <w:pStyle w:val="Tabletext"/>
              <w:keepNext/>
              <w:keepLines/>
              <w:spacing w:before="60" w:after="40" w:line="260" w:lineRule="exact"/>
            </w:pPr>
            <w:r w:rsidRPr="009E704A">
              <w:rPr>
                <w:rtl/>
              </w:rPr>
              <w:t xml:space="preserve">لا توجد متطلبات إضافية </w:t>
            </w:r>
            <w:r w:rsidRPr="009E704A">
              <w:t xml:space="preserve">(0 ≤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Pr="009E704A">
              <w:t>≤ 7 MHz)</w:t>
            </w:r>
            <w:r w:rsidRPr="009E704A">
              <w:rPr>
                <w:rFonts w:hint="cs"/>
                <w:rtl/>
              </w:rPr>
              <w:t>،</w:t>
            </w:r>
          </w:p>
          <w:p w14:paraId="60A17B64" w14:textId="1A8CFC1C" w:rsidR="00A80F4C" w:rsidRPr="009E704A" w:rsidRDefault="00BF3623" w:rsidP="00F91C91">
            <w:pPr>
              <w:pStyle w:val="Tabletext"/>
              <w:keepNext/>
              <w:keepLines/>
              <w:spacing w:before="60" w:after="40" w:line="260" w:lineRule="exact"/>
            </w:pPr>
            <w:r>
              <w:rPr>
                <w:rFonts w:cs="Times New Roman" w:hint="eastAsia"/>
                <w:rtl/>
              </w:rPr>
              <w:t>–</w:t>
            </w:r>
            <w:r w:rsidR="00A80F4C" w:rsidRPr="009E704A">
              <w:t>30</w:t>
            </w:r>
            <w:r w:rsidR="00A80F4C" w:rsidRPr="009E704A">
              <w:rPr>
                <w:rtl/>
              </w:rPr>
              <w:t> </w:t>
            </w:r>
            <w:r w:rsidR="00A80F4C" w:rsidRPr="009E704A">
              <w:t>dBm/MHz</w:t>
            </w:r>
            <w:r w:rsidR="00A80F4C" w:rsidRPr="009E704A">
              <w:rPr>
                <w:rtl/>
              </w:rPr>
              <w:t xml:space="preserve"> </w:t>
            </w:r>
            <w:r w:rsidR="00A80F4C" w:rsidRPr="009E704A">
              <w:t xml:space="preserve">(7 MHz &lt;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41 MHz)</w:t>
            </w:r>
          </w:p>
        </w:tc>
      </w:tr>
      <w:tr w:rsidR="00A80F4C" w:rsidRPr="009E704A" w14:paraId="044334AA" w14:textId="77777777" w:rsidTr="006B32BC">
        <w:trPr>
          <w:jc w:val="center"/>
        </w:trPr>
        <w:tc>
          <w:tcPr>
            <w:tcW w:w="784" w:type="pct"/>
            <w:vAlign w:val="center"/>
          </w:tcPr>
          <w:p w14:paraId="7460F3B3" w14:textId="77777777" w:rsidR="00A80F4C" w:rsidRPr="009E704A" w:rsidRDefault="00A80F4C" w:rsidP="00F91C91">
            <w:pPr>
              <w:pStyle w:val="Tabletext"/>
              <w:keepNext/>
              <w:keepLines/>
              <w:spacing w:before="60" w:after="40" w:line="260" w:lineRule="exact"/>
              <w:jc w:val="center"/>
            </w:pPr>
            <w:r w:rsidRPr="009E704A">
              <w:t>3</w:t>
            </w:r>
          </w:p>
        </w:tc>
        <w:tc>
          <w:tcPr>
            <w:tcW w:w="1572" w:type="pct"/>
            <w:vAlign w:val="center"/>
          </w:tcPr>
          <w:p w14:paraId="46721715" w14:textId="77777777" w:rsidR="00A80F4C" w:rsidRPr="009E704A" w:rsidRDefault="00A80F4C" w:rsidP="00F91C91">
            <w:pPr>
              <w:pStyle w:val="Tabletext"/>
              <w:keepNext/>
              <w:keepLines/>
              <w:spacing w:before="60" w:after="40" w:line="260" w:lineRule="exact"/>
              <w:jc w:val="center"/>
            </w:pPr>
            <w:r w:rsidRPr="009E704A">
              <w:t>Y</w:t>
            </w:r>
          </w:p>
        </w:tc>
        <w:tc>
          <w:tcPr>
            <w:tcW w:w="2644" w:type="pct"/>
            <w:vAlign w:val="center"/>
          </w:tcPr>
          <w:p w14:paraId="21EC609D" w14:textId="4E8D10F6" w:rsidR="00A80F4C" w:rsidRPr="009E704A" w:rsidRDefault="00BF3623" w:rsidP="00F91C91">
            <w:pPr>
              <w:pStyle w:val="Tabletext"/>
              <w:keepNext/>
              <w:keepLines/>
              <w:spacing w:before="60" w:after="40" w:line="260" w:lineRule="exact"/>
            </w:pPr>
            <w:r>
              <w:rPr>
                <w:rFonts w:cs="Times New Roman" w:hint="eastAsia"/>
                <w:rtl/>
              </w:rPr>
              <w:t>–</w:t>
            </w:r>
            <w:r w:rsidR="00A80F4C" w:rsidRPr="009E704A">
              <w:t>41</w:t>
            </w:r>
            <w:r w:rsidR="00A80F4C" w:rsidRPr="009E704A">
              <w:rPr>
                <w:rtl/>
              </w:rPr>
              <w:t> </w:t>
            </w:r>
            <w:r w:rsidR="00A80F4C" w:rsidRPr="009E704A">
              <w:t>dBm/MHz</w:t>
            </w:r>
            <w:r w:rsidR="00A80F4C" w:rsidRPr="009E704A">
              <w:rPr>
                <w:rtl/>
              </w:rPr>
              <w:t xml:space="preserve"> </w:t>
            </w:r>
            <w:r w:rsidR="00A80F4C" w:rsidRPr="009E704A">
              <w:t xml:space="preserve">(0 MHz &lt;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41 MHz)</w:t>
            </w:r>
          </w:p>
        </w:tc>
      </w:tr>
      <w:tr w:rsidR="00A80F4C" w:rsidRPr="009E704A" w14:paraId="1266EAA2" w14:textId="77777777" w:rsidTr="006B32BC">
        <w:trPr>
          <w:jc w:val="center"/>
        </w:trPr>
        <w:tc>
          <w:tcPr>
            <w:tcW w:w="784" w:type="pct"/>
            <w:vAlign w:val="center"/>
          </w:tcPr>
          <w:p w14:paraId="21481821" w14:textId="77777777" w:rsidR="00A80F4C" w:rsidRPr="009E704A" w:rsidRDefault="00A80F4C" w:rsidP="00F91C91">
            <w:pPr>
              <w:pStyle w:val="Tabletext"/>
              <w:keepNext/>
              <w:keepLines/>
              <w:spacing w:before="60" w:after="40" w:line="260" w:lineRule="exact"/>
              <w:jc w:val="center"/>
            </w:pPr>
            <w:r w:rsidRPr="009E704A">
              <w:t>4</w:t>
            </w:r>
          </w:p>
        </w:tc>
        <w:tc>
          <w:tcPr>
            <w:tcW w:w="1572" w:type="pct"/>
            <w:vAlign w:val="center"/>
          </w:tcPr>
          <w:p w14:paraId="65D27092" w14:textId="77777777" w:rsidR="00A80F4C" w:rsidRPr="009E704A" w:rsidRDefault="00A80F4C" w:rsidP="00F91C91">
            <w:pPr>
              <w:pStyle w:val="Tabletext"/>
              <w:keepNext/>
              <w:keepLines/>
              <w:spacing w:before="60" w:after="40" w:line="260" w:lineRule="exact"/>
              <w:jc w:val="center"/>
            </w:pPr>
            <w:r w:rsidRPr="009E704A">
              <w:t>N</w:t>
            </w:r>
          </w:p>
        </w:tc>
        <w:tc>
          <w:tcPr>
            <w:tcW w:w="2644" w:type="pct"/>
            <w:vAlign w:val="center"/>
          </w:tcPr>
          <w:p w14:paraId="136B930D" w14:textId="72A9852C" w:rsidR="00A80F4C" w:rsidRPr="009E704A" w:rsidRDefault="00A80F4C" w:rsidP="00F91C91">
            <w:pPr>
              <w:pStyle w:val="Tabletext"/>
              <w:keepNext/>
              <w:keepLines/>
              <w:spacing w:before="60" w:after="40" w:line="260" w:lineRule="exact"/>
            </w:pPr>
            <w:r w:rsidRPr="009E704A">
              <w:rPr>
                <w:rtl/>
              </w:rPr>
              <w:t xml:space="preserve">لا توجد متطلبات إضافية </w:t>
            </w:r>
            <w:r w:rsidRPr="009E704A">
              <w:t xml:space="preserve">(0 ≤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Pr="009E704A">
              <w:t>≤ 7 MHz)</w:t>
            </w:r>
            <w:r w:rsidRPr="009E704A">
              <w:rPr>
                <w:rFonts w:hint="cs"/>
                <w:rtl/>
              </w:rPr>
              <w:t>،</w:t>
            </w:r>
          </w:p>
          <w:p w14:paraId="7DED446C" w14:textId="2EBD5C05" w:rsidR="00A80F4C" w:rsidRPr="009E704A" w:rsidRDefault="00BF3623" w:rsidP="00F91C91">
            <w:pPr>
              <w:pStyle w:val="Tabletext"/>
              <w:keepNext/>
              <w:keepLines/>
              <w:spacing w:before="60" w:after="40" w:line="260" w:lineRule="exact"/>
            </w:pPr>
            <w:r>
              <w:rPr>
                <w:rFonts w:cs="Times New Roman" w:hint="eastAsia"/>
                <w:rtl/>
              </w:rPr>
              <w:t>–</w:t>
            </w:r>
            <w:r w:rsidR="00A80F4C" w:rsidRPr="009E704A">
              <w:t>41</w:t>
            </w:r>
            <w:r w:rsidR="00A80F4C" w:rsidRPr="009E704A">
              <w:rPr>
                <w:rtl/>
              </w:rPr>
              <w:t> </w:t>
            </w:r>
            <w:r w:rsidR="00A80F4C" w:rsidRPr="009E704A">
              <w:t>dBm/MHz</w:t>
            </w:r>
            <w:r w:rsidR="00A80F4C" w:rsidRPr="009E704A">
              <w:rPr>
                <w:rtl/>
              </w:rPr>
              <w:t xml:space="preserve"> </w:t>
            </w:r>
            <w:r w:rsidR="00A80F4C" w:rsidRPr="009E704A">
              <w:t xml:space="preserve">(7 MHz &lt;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41 MHz)</w:t>
            </w:r>
          </w:p>
        </w:tc>
      </w:tr>
      <w:tr w:rsidR="00A80F4C" w:rsidRPr="009E704A" w14:paraId="5851D9AD" w14:textId="77777777" w:rsidTr="006B32BC">
        <w:trPr>
          <w:jc w:val="center"/>
        </w:trPr>
        <w:tc>
          <w:tcPr>
            <w:tcW w:w="784" w:type="pct"/>
            <w:vAlign w:val="center"/>
          </w:tcPr>
          <w:p w14:paraId="11440506" w14:textId="77777777" w:rsidR="00A80F4C" w:rsidRPr="009E704A" w:rsidRDefault="00A80F4C" w:rsidP="00F91C91">
            <w:pPr>
              <w:pStyle w:val="Tabletext"/>
              <w:keepNext/>
              <w:keepLines/>
              <w:spacing w:before="60" w:after="40" w:line="260" w:lineRule="exact"/>
              <w:jc w:val="center"/>
            </w:pPr>
            <w:r w:rsidRPr="009E704A">
              <w:t>5</w:t>
            </w:r>
          </w:p>
        </w:tc>
        <w:tc>
          <w:tcPr>
            <w:tcW w:w="1572" w:type="pct"/>
            <w:vAlign w:val="center"/>
          </w:tcPr>
          <w:p w14:paraId="7981652F" w14:textId="77777777" w:rsidR="00A80F4C" w:rsidRPr="009E704A" w:rsidRDefault="00A80F4C" w:rsidP="00F91C91">
            <w:pPr>
              <w:pStyle w:val="Tabletext"/>
              <w:keepNext/>
              <w:keepLines/>
              <w:spacing w:before="60" w:after="40" w:line="260" w:lineRule="exact"/>
              <w:jc w:val="center"/>
            </w:pPr>
            <w:r w:rsidRPr="009E704A">
              <w:t>Y</w:t>
            </w:r>
          </w:p>
        </w:tc>
        <w:tc>
          <w:tcPr>
            <w:tcW w:w="2644" w:type="pct"/>
            <w:vAlign w:val="center"/>
          </w:tcPr>
          <w:p w14:paraId="09778DE5" w14:textId="1E39682B" w:rsidR="00A80F4C" w:rsidRPr="009E704A" w:rsidRDefault="00BF3623" w:rsidP="00F91C91">
            <w:pPr>
              <w:pStyle w:val="Tabletext"/>
              <w:keepNext/>
              <w:keepLines/>
              <w:spacing w:before="60" w:after="40" w:line="260" w:lineRule="exact"/>
              <w:rPr>
                <w:rtl/>
                <w:lang w:bidi="ar-SY"/>
              </w:rPr>
            </w:pPr>
            <w:r>
              <w:rPr>
                <w:rFonts w:cs="Times New Roman" w:hint="eastAsia"/>
                <w:rtl/>
              </w:rPr>
              <w:t>–</w:t>
            </w:r>
            <w:r w:rsidR="00A80F4C" w:rsidRPr="009E704A">
              <w:t>30</w:t>
            </w:r>
            <w:r w:rsidR="00A80F4C" w:rsidRPr="009E704A">
              <w:rPr>
                <w:rtl/>
              </w:rPr>
              <w:t> </w:t>
            </w:r>
            <w:r w:rsidR="00A80F4C" w:rsidRPr="009E704A">
              <w:t>dBm/MHz</w:t>
            </w:r>
            <w:r w:rsidR="00A80F4C" w:rsidRPr="009E704A">
              <w:rPr>
                <w:rtl/>
              </w:rPr>
              <w:t xml:space="preserve"> </w:t>
            </w:r>
            <w:r w:rsidR="00A80F4C" w:rsidRPr="009E704A">
              <w:t xml:space="preserve">(0 MHz ≤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2 MHz)</w:t>
            </w:r>
            <w:r w:rsidR="00AF0C07">
              <w:rPr>
                <w:rFonts w:hint="cs"/>
                <w:rtl/>
                <w:lang w:bidi="ar-SY"/>
              </w:rPr>
              <w:t>،</w:t>
            </w:r>
          </w:p>
          <w:p w14:paraId="4A8B3C78" w14:textId="5361A0A3" w:rsidR="00A80F4C" w:rsidRPr="009E704A" w:rsidRDefault="00BF3623" w:rsidP="00F91C91">
            <w:pPr>
              <w:pStyle w:val="Tabletext"/>
              <w:keepNext/>
              <w:keepLines/>
              <w:spacing w:before="60" w:after="40" w:line="260" w:lineRule="exact"/>
            </w:pPr>
            <w:r>
              <w:rPr>
                <w:rFonts w:cs="Times New Roman" w:hint="eastAsia"/>
                <w:rtl/>
              </w:rPr>
              <w:t>–</w:t>
            </w:r>
            <w:r w:rsidR="00A80F4C" w:rsidRPr="009E704A">
              <w:t>41</w:t>
            </w:r>
            <w:r w:rsidR="00A80F4C" w:rsidRPr="009E704A">
              <w:rPr>
                <w:rtl/>
              </w:rPr>
              <w:t> </w:t>
            </w:r>
            <w:r w:rsidR="00A80F4C" w:rsidRPr="009E704A">
              <w:t>dBm/MHz</w:t>
            </w:r>
            <w:r w:rsidR="00A80F4C" w:rsidRPr="009E704A">
              <w:rPr>
                <w:rtl/>
              </w:rPr>
              <w:t xml:space="preserve"> </w:t>
            </w:r>
            <w:r w:rsidR="00A80F4C" w:rsidRPr="009E704A">
              <w:t xml:space="preserve">(2 MHz &lt;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7 MHz)</w:t>
            </w:r>
            <w:r w:rsidR="00AF0C07">
              <w:rPr>
                <w:rFonts w:hint="cs"/>
                <w:rtl/>
              </w:rPr>
              <w:t>،</w:t>
            </w:r>
          </w:p>
          <w:p w14:paraId="28BF9207" w14:textId="4FCB4307" w:rsidR="00A80F4C" w:rsidRPr="009E704A" w:rsidRDefault="00BF3623" w:rsidP="00F91C91">
            <w:pPr>
              <w:pStyle w:val="Tabletext"/>
              <w:keepNext/>
              <w:keepLines/>
              <w:spacing w:before="60" w:after="40" w:line="260" w:lineRule="exact"/>
            </w:pPr>
            <w:r>
              <w:rPr>
                <w:rFonts w:cs="Times New Roman" w:hint="eastAsia"/>
                <w:rtl/>
              </w:rPr>
              <w:t>–</w:t>
            </w:r>
            <w:r w:rsidR="00A80F4C" w:rsidRPr="009E704A">
              <w:t>52</w:t>
            </w:r>
            <w:r w:rsidR="00A80F4C" w:rsidRPr="009E704A">
              <w:rPr>
                <w:rtl/>
              </w:rPr>
              <w:t> </w:t>
            </w:r>
            <w:r w:rsidR="00A80F4C" w:rsidRPr="009E704A">
              <w:t>dBm/MHz</w:t>
            </w:r>
            <w:r w:rsidR="00A80F4C" w:rsidRPr="009E704A">
              <w:rPr>
                <w:rtl/>
              </w:rPr>
              <w:t xml:space="preserve"> </w:t>
            </w:r>
            <w:r w:rsidR="00A80F4C" w:rsidRPr="009E704A">
              <w:t xml:space="preserve">(7 MHz &lt; </w:t>
            </w:r>
            <w:proofErr w:type="spellStart"/>
            <w:r w:rsidR="00AF0C07" w:rsidRPr="005A3993">
              <w:rPr>
                <w:rFonts w:cs="Times New Roman"/>
              </w:rPr>
              <w:t>Δ</w:t>
            </w:r>
            <w:r w:rsidR="00AF0C07" w:rsidRPr="005A3993">
              <w:rPr>
                <w:rFonts w:cs="Times New Roman"/>
                <w:i/>
                <w:iCs/>
              </w:rPr>
              <w:t>f</w:t>
            </w:r>
            <w:proofErr w:type="spellEnd"/>
            <w:r w:rsidR="00AF0C07" w:rsidRPr="005A3993">
              <w:rPr>
                <w:rFonts w:cs="Times New Roman"/>
              </w:rPr>
              <w:t xml:space="preserve"> </w:t>
            </w:r>
            <w:r w:rsidR="00A80F4C" w:rsidRPr="009E704A">
              <w:t>≤ 41 MHz)</w:t>
            </w:r>
          </w:p>
        </w:tc>
      </w:tr>
      <w:tr w:rsidR="00AF0C07" w:rsidRPr="009E704A" w14:paraId="4EB22A7B" w14:textId="77777777" w:rsidTr="006B32BC">
        <w:trPr>
          <w:jc w:val="center"/>
        </w:trPr>
        <w:tc>
          <w:tcPr>
            <w:tcW w:w="784" w:type="pct"/>
            <w:vAlign w:val="center"/>
          </w:tcPr>
          <w:p w14:paraId="121675AB" w14:textId="7FB60D27" w:rsidR="00AF0C07" w:rsidRPr="009E704A" w:rsidRDefault="00AF0C07" w:rsidP="00F91C91">
            <w:pPr>
              <w:pStyle w:val="Tabletext"/>
              <w:keepNext/>
              <w:keepLines/>
              <w:spacing w:before="60" w:after="40" w:line="260" w:lineRule="exact"/>
              <w:jc w:val="center"/>
            </w:pPr>
            <w:r w:rsidRPr="009E704A">
              <w:t>6</w:t>
            </w:r>
          </w:p>
        </w:tc>
        <w:tc>
          <w:tcPr>
            <w:tcW w:w="1572" w:type="pct"/>
            <w:vAlign w:val="center"/>
          </w:tcPr>
          <w:p w14:paraId="02ACDF3E" w14:textId="0623963F" w:rsidR="00AF0C07" w:rsidRPr="009E704A" w:rsidRDefault="00AF0C07" w:rsidP="00F91C91">
            <w:pPr>
              <w:pStyle w:val="Tabletext"/>
              <w:keepNext/>
              <w:keepLines/>
              <w:spacing w:before="60" w:after="40" w:line="260" w:lineRule="exact"/>
              <w:jc w:val="center"/>
            </w:pPr>
            <w:r w:rsidRPr="009E704A">
              <w:t>N</w:t>
            </w:r>
          </w:p>
        </w:tc>
        <w:tc>
          <w:tcPr>
            <w:tcW w:w="2644" w:type="pct"/>
            <w:vAlign w:val="center"/>
          </w:tcPr>
          <w:p w14:paraId="1E4792C8" w14:textId="77777777" w:rsidR="00AF0C07" w:rsidRPr="009E704A" w:rsidRDefault="00AF0C07" w:rsidP="00F91C91">
            <w:pPr>
              <w:pStyle w:val="Tabletext"/>
              <w:keepNext/>
              <w:keepLines/>
              <w:spacing w:before="60" w:after="40" w:line="260" w:lineRule="exact"/>
            </w:pPr>
            <w:r w:rsidRPr="009E704A">
              <w:rPr>
                <w:rtl/>
              </w:rPr>
              <w:t xml:space="preserve">لا توجد متطلبات إضافية </w:t>
            </w:r>
            <w:r w:rsidRPr="009E704A">
              <w:t xml:space="preserve">(0 ≤ </w:t>
            </w:r>
            <w:proofErr w:type="spellStart"/>
            <w:r w:rsidRPr="009E704A">
              <w:t>Δf</w:t>
            </w:r>
            <w:proofErr w:type="spellEnd"/>
            <w:r w:rsidRPr="009E704A">
              <w:t xml:space="preserve"> ≤ 7 MHz)</w:t>
            </w:r>
            <w:r w:rsidRPr="009E704A">
              <w:rPr>
                <w:rFonts w:hint="cs"/>
                <w:rtl/>
              </w:rPr>
              <w:t>،</w:t>
            </w:r>
          </w:p>
          <w:p w14:paraId="3CFCF0E4" w14:textId="3AD6B65B" w:rsidR="00AF0C07" w:rsidRDefault="00AF0C07" w:rsidP="00F91C91">
            <w:pPr>
              <w:pStyle w:val="Tabletext"/>
              <w:keepNext/>
              <w:keepLines/>
              <w:spacing w:before="60" w:after="40" w:line="260" w:lineRule="exact"/>
              <w:rPr>
                <w:rFonts w:cs="Times New Roman"/>
                <w:rtl/>
              </w:rPr>
            </w:pPr>
            <w:r>
              <w:rPr>
                <w:rFonts w:cs="Times New Roman" w:hint="eastAsia"/>
                <w:rtl/>
              </w:rPr>
              <w:t>–</w:t>
            </w:r>
            <w:r w:rsidRPr="009E704A">
              <w:t>52</w:t>
            </w:r>
            <w:r w:rsidRPr="009E704A">
              <w:rPr>
                <w:rtl/>
              </w:rPr>
              <w:t> </w:t>
            </w:r>
            <w:r w:rsidRPr="009E704A">
              <w:t>dBm/MHz</w:t>
            </w:r>
            <w:r w:rsidRPr="009E704A">
              <w:rPr>
                <w:rtl/>
              </w:rPr>
              <w:t xml:space="preserve"> </w:t>
            </w:r>
            <w:r w:rsidRPr="009E704A">
              <w:t xml:space="preserve">(7 MHz &lt; </w:t>
            </w:r>
            <w:proofErr w:type="spellStart"/>
            <w:r w:rsidRPr="009E704A">
              <w:t>Δf</w:t>
            </w:r>
            <w:proofErr w:type="spellEnd"/>
            <w:r w:rsidRPr="009E704A">
              <w:t xml:space="preserve"> ≤ 41 MHz)</w:t>
            </w:r>
          </w:p>
        </w:tc>
      </w:tr>
      <w:tr w:rsidR="00D56D81" w:rsidRPr="009E704A" w14:paraId="5C1F383F" w14:textId="77777777" w:rsidTr="006B32BC">
        <w:trPr>
          <w:jc w:val="center"/>
        </w:trPr>
        <w:tc>
          <w:tcPr>
            <w:tcW w:w="5000" w:type="pct"/>
            <w:gridSpan w:val="3"/>
            <w:tcBorders>
              <w:left w:val="nil"/>
              <w:bottom w:val="nil"/>
              <w:right w:val="nil"/>
            </w:tcBorders>
          </w:tcPr>
          <w:p w14:paraId="0C9C1D5D" w14:textId="40B58F5B" w:rsidR="00D56D81" w:rsidRPr="009E704A" w:rsidRDefault="00D56D81" w:rsidP="00F91C91">
            <w:pPr>
              <w:pStyle w:val="Tabletext"/>
              <w:keepNext/>
              <w:keepLines/>
              <w:spacing w:before="60" w:after="40" w:line="260" w:lineRule="exact"/>
              <w:rPr>
                <w:highlight w:val="yellow"/>
              </w:rPr>
            </w:pPr>
            <w:r w:rsidRPr="009E704A">
              <w:rPr>
                <w:vertAlign w:val="superscript"/>
              </w:rPr>
              <w:t>(1)</w:t>
            </w:r>
            <w:r w:rsidRPr="009E704A">
              <w:rPr>
                <w:rtl/>
              </w:rPr>
              <w:tab/>
              <w:t>يفترض هذا الخيار الحافة العليا ل</w:t>
            </w:r>
            <w:r w:rsidRPr="009E704A">
              <w:rPr>
                <w:rFonts w:hint="eastAsia"/>
                <w:rtl/>
              </w:rPr>
              <w:t>مجموعة</w:t>
            </w:r>
            <w:r w:rsidRPr="009E704A">
              <w:rPr>
                <w:rtl/>
              </w:rPr>
              <w:t xml:space="preserve"> ترددات الاتصالات المتنقلة الدولية عند </w:t>
            </w:r>
            <w:r w:rsidRPr="009E704A">
              <w:t>MHz 1 517</w:t>
            </w:r>
            <w:r w:rsidRPr="009E704A">
              <w:rPr>
                <w:rtl/>
              </w:rPr>
              <w:t xml:space="preserve"> بحد أقصى </w:t>
            </w:r>
            <w:r w:rsidRPr="009E704A">
              <w:rPr>
                <w:rFonts w:hint="eastAsia"/>
                <w:rtl/>
              </w:rPr>
              <w:t>يبلغ</w:t>
            </w:r>
            <w:r w:rsidRPr="009E704A">
              <w:rPr>
                <w:rtl/>
              </w:rPr>
              <w:t xml:space="preserve"> </w:t>
            </w:r>
            <w:r w:rsidRPr="009E704A">
              <w:t>dBm/5 MHz 5</w:t>
            </w:r>
            <w:r w:rsidRPr="009E704A">
              <w:rPr>
                <w:rtl/>
              </w:rPr>
              <w:t xml:space="preserve"> داخل النطاق للقدرة المشعة المكافئة </w:t>
            </w:r>
            <w:proofErr w:type="spellStart"/>
            <w:r w:rsidRPr="009E704A">
              <w:rPr>
                <w:rtl/>
              </w:rPr>
              <w:t>المتناحية</w:t>
            </w:r>
            <w:proofErr w:type="spellEnd"/>
            <w:r w:rsidRPr="009E704A">
              <w:rPr>
                <w:rtl/>
              </w:rPr>
              <w:t xml:space="preserve"> للنطاق </w:t>
            </w:r>
            <w:r w:rsidRPr="009E704A">
              <w:t>MHz 1 517-1 512</w:t>
            </w:r>
            <w:r w:rsidRPr="009E704A">
              <w:rPr>
                <w:rtl/>
              </w:rPr>
              <w:t xml:space="preserve">. ونتيجةً لتطبيق مستوى الإرسالات غير المطلوبة البالغ </w:t>
            </w:r>
            <w:r w:rsidRPr="009E704A">
              <w:t>dBm/MHz</w:t>
            </w:r>
            <w:r w:rsidR="00AF0C07">
              <w:t> </w:t>
            </w:r>
            <w:r w:rsidRPr="009E704A">
              <w:t>0,8</w:t>
            </w:r>
            <w:r w:rsidR="00AF0C07">
              <w:t>–</w:t>
            </w:r>
            <w:r w:rsidRPr="009E704A">
              <w:rPr>
                <w:rtl/>
              </w:rPr>
              <w:t xml:space="preserve"> فإنّ الخدمة المتنقلة الساتلية لن تتمكن في النطاق </w:t>
            </w:r>
            <w:r w:rsidRPr="009E704A">
              <w:t>MHz 1 520-</w:t>
            </w:r>
            <w:r w:rsidR="009E704A" w:rsidRPr="009E704A">
              <w:t>1 518</w:t>
            </w:r>
            <w:r w:rsidRPr="009E704A">
              <w:rPr>
                <w:rtl/>
              </w:rPr>
              <w:t xml:space="preserve"> من العمل في هذا الجزء من النطاق في المنطقة الجغرافية نفسها </w:t>
            </w:r>
            <w:r w:rsidRPr="009E704A">
              <w:rPr>
                <w:rFonts w:hint="eastAsia"/>
                <w:rtl/>
              </w:rPr>
              <w:t>الذي</w:t>
            </w:r>
            <w:r w:rsidRPr="009E704A">
              <w:rPr>
                <w:rtl/>
              </w:rPr>
              <w:t xml:space="preserve"> </w:t>
            </w:r>
            <w:r w:rsidRPr="009E704A">
              <w:rPr>
                <w:rFonts w:hint="eastAsia"/>
                <w:rtl/>
              </w:rPr>
              <w:t>تعمل</w:t>
            </w:r>
            <w:r w:rsidRPr="009E704A">
              <w:rPr>
                <w:rtl/>
              </w:rPr>
              <w:t xml:space="preserve"> </w:t>
            </w:r>
            <w:r w:rsidRPr="009E704A">
              <w:rPr>
                <w:rFonts w:hint="eastAsia"/>
                <w:rtl/>
              </w:rPr>
              <w:t>فيه</w:t>
            </w:r>
            <w:r w:rsidRPr="009E704A">
              <w:rPr>
                <w:rtl/>
              </w:rPr>
              <w:t xml:space="preserve"> </w:t>
            </w:r>
            <w:r w:rsidRPr="009E704A">
              <w:rPr>
                <w:rFonts w:hint="eastAsia"/>
                <w:rtl/>
              </w:rPr>
              <w:t>الاتصالات</w:t>
            </w:r>
            <w:r w:rsidRPr="009E704A">
              <w:rPr>
                <w:rtl/>
              </w:rPr>
              <w:t xml:space="preserve"> المتنقلة الدولية.</w:t>
            </w:r>
          </w:p>
        </w:tc>
      </w:tr>
    </w:tbl>
    <w:p w14:paraId="6EFAF2FC" w14:textId="3638CC3F" w:rsidR="00F85F93" w:rsidRPr="00770CE6" w:rsidRDefault="00F85F93" w:rsidP="00F91C91">
      <w:pPr>
        <w:spacing w:before="240"/>
        <w:rPr>
          <w:lang w:val="ar-SA" w:eastAsia="zh-TW" w:bidi="en-GB"/>
        </w:rPr>
      </w:pPr>
      <w:r w:rsidRPr="00770CE6">
        <w:rPr>
          <w:rtl/>
        </w:rPr>
        <w:t xml:space="preserve">ويحدّد الجدول </w:t>
      </w:r>
      <w:r w:rsidRPr="00770CE6">
        <w:t>2</w:t>
      </w:r>
      <w:r w:rsidRPr="00770CE6">
        <w:rPr>
          <w:rtl/>
        </w:rPr>
        <w:t xml:space="preserve"> خيارات معدّات مستعمِلي الاتصالات المتنقلة الدولية.</w:t>
      </w:r>
    </w:p>
    <w:p w14:paraId="2C48915A" w14:textId="77777777" w:rsidR="00F85F93" w:rsidRPr="00770CE6" w:rsidRDefault="00F85F93" w:rsidP="00AF0C07">
      <w:pPr>
        <w:pStyle w:val="TableNo0"/>
        <w:rPr>
          <w:rFonts w:eastAsia="Calibri"/>
          <w:lang w:val="ar-SA" w:eastAsia="zh-TW" w:bidi="en-GB"/>
        </w:rPr>
      </w:pPr>
      <w:r w:rsidRPr="00770CE6">
        <w:rPr>
          <w:rtl/>
        </w:rPr>
        <w:t xml:space="preserve">الجدول </w:t>
      </w:r>
      <w:r w:rsidRPr="00770CE6">
        <w:t>2</w:t>
      </w:r>
    </w:p>
    <w:p w14:paraId="76FD016F" w14:textId="77777777" w:rsidR="00F85F93" w:rsidRPr="00D56D81" w:rsidRDefault="00F85F93" w:rsidP="003E559A">
      <w:pPr>
        <w:pStyle w:val="Tabletitle"/>
        <w:rPr>
          <w:rFonts w:eastAsia="Calibri"/>
          <w:rtl/>
        </w:rPr>
      </w:pPr>
      <w:r w:rsidRPr="00D56D81">
        <w:rPr>
          <w:rtl/>
        </w:rPr>
        <w:t xml:space="preserve">خيارات حدود الإرسالات غير المطلوبة لمعدّات مستعمِلي الاتصالات المتنقلة الدولية </w:t>
      </w:r>
    </w:p>
    <w:tbl>
      <w:tblPr>
        <w:tblStyle w:val="TableGrid"/>
        <w:bidiVisual/>
        <w:tblW w:w="5000" w:type="pct"/>
        <w:jc w:val="center"/>
        <w:tblLayout w:type="fixed"/>
        <w:tblLook w:val="04A0" w:firstRow="1" w:lastRow="0" w:firstColumn="1" w:lastColumn="0" w:noHBand="0" w:noVBand="1"/>
      </w:tblPr>
      <w:tblGrid>
        <w:gridCol w:w="1200"/>
        <w:gridCol w:w="2340"/>
        <w:gridCol w:w="6089"/>
      </w:tblGrid>
      <w:tr w:rsidR="00F85F93" w:rsidRPr="00770CE6" w14:paraId="41E595FF" w14:textId="77777777" w:rsidTr="00AF0C07">
        <w:trPr>
          <w:jc w:val="center"/>
        </w:trPr>
        <w:tc>
          <w:tcPr>
            <w:tcW w:w="623" w:type="pct"/>
          </w:tcPr>
          <w:p w14:paraId="632CF410" w14:textId="77777777" w:rsidR="00F85F93" w:rsidRPr="00D56D81" w:rsidRDefault="00F85F93" w:rsidP="00AF0C07">
            <w:pPr>
              <w:pStyle w:val="Tablehead"/>
              <w:spacing w:line="240" w:lineRule="exact"/>
            </w:pPr>
            <w:r w:rsidRPr="00D56D81">
              <w:rPr>
                <w:rtl/>
              </w:rPr>
              <w:t>الخيار</w:t>
            </w:r>
          </w:p>
        </w:tc>
        <w:tc>
          <w:tcPr>
            <w:tcW w:w="1215" w:type="pct"/>
          </w:tcPr>
          <w:p w14:paraId="4E9BE3A7" w14:textId="77777777" w:rsidR="00F85F93" w:rsidRPr="00D56D81" w:rsidDel="00D95693" w:rsidRDefault="00F85F93" w:rsidP="00AF0C07">
            <w:pPr>
              <w:pStyle w:val="Tablehead"/>
              <w:spacing w:line="240" w:lineRule="exact"/>
            </w:pPr>
            <w:r w:rsidRPr="00D56D81">
              <w:rPr>
                <w:rtl/>
              </w:rPr>
              <w:t>التطبيق</w:t>
            </w:r>
          </w:p>
        </w:tc>
        <w:tc>
          <w:tcPr>
            <w:tcW w:w="3162" w:type="pct"/>
          </w:tcPr>
          <w:p w14:paraId="4D794F57" w14:textId="2395AC34" w:rsidR="00F85F93" w:rsidRPr="00AF0C07" w:rsidRDefault="00F85F93" w:rsidP="00AF0C07">
            <w:pPr>
              <w:pStyle w:val="Tablehead"/>
              <w:spacing w:line="240" w:lineRule="exact"/>
              <w:rPr>
                <w:spacing w:val="-6"/>
              </w:rPr>
            </w:pPr>
            <w:r w:rsidRPr="00AF0C07">
              <w:rPr>
                <w:spacing w:val="-6"/>
                <w:rtl/>
              </w:rPr>
              <w:t>الحد الأقصى للبث غير المطلوب (</w:t>
            </w:r>
            <w:proofErr w:type="spellStart"/>
            <w:r w:rsidR="00AF0C07" w:rsidRPr="005A3993">
              <w:rPr>
                <w:rFonts w:ascii="Times New Roman" w:hAnsi="Times New Roman" w:cs="Times New Roman"/>
              </w:rPr>
              <w:t>Δ</w:t>
            </w:r>
            <w:r w:rsidR="00AF0C07" w:rsidRPr="005A3993">
              <w:rPr>
                <w:rFonts w:ascii="Times New Roman" w:hAnsi="Times New Roman" w:cs="Times New Roman"/>
                <w:i/>
                <w:iCs/>
              </w:rPr>
              <w:t>f</w:t>
            </w:r>
            <w:proofErr w:type="spellEnd"/>
            <w:r w:rsidR="00AF0C07">
              <w:rPr>
                <w:rFonts w:ascii="Times New Roman" w:hAnsi="Times New Roman" w:cs="Times New Roman" w:hint="cs"/>
                <w:rtl/>
              </w:rPr>
              <w:t xml:space="preserve"> </w:t>
            </w:r>
            <w:r w:rsidRPr="00AF0C07">
              <w:rPr>
                <w:spacing w:val="-6"/>
                <w:rtl/>
              </w:rPr>
              <w:t xml:space="preserve">هو التردد بالنسبة إلى التردد </w:t>
            </w:r>
            <w:r w:rsidRPr="00AF0C07">
              <w:rPr>
                <w:spacing w:val="-6"/>
              </w:rPr>
              <w:t xml:space="preserve">MHz </w:t>
            </w:r>
            <w:r w:rsidR="009E704A" w:rsidRPr="00AF0C07">
              <w:rPr>
                <w:spacing w:val="-6"/>
              </w:rPr>
              <w:t>1 518</w:t>
            </w:r>
            <w:r w:rsidRPr="00AF0C07">
              <w:rPr>
                <w:spacing w:val="-6"/>
                <w:rtl/>
              </w:rPr>
              <w:t xml:space="preserve"> وفوقه)</w:t>
            </w:r>
          </w:p>
        </w:tc>
      </w:tr>
      <w:tr w:rsidR="00F85F93" w:rsidRPr="00770CE6" w14:paraId="5BC6F3B4" w14:textId="77777777" w:rsidTr="00AF0C07">
        <w:trPr>
          <w:jc w:val="center"/>
        </w:trPr>
        <w:tc>
          <w:tcPr>
            <w:tcW w:w="623" w:type="pct"/>
            <w:vAlign w:val="center"/>
          </w:tcPr>
          <w:p w14:paraId="1FB825DD" w14:textId="2C035DDE" w:rsidR="00F85F93" w:rsidRPr="003D1971" w:rsidRDefault="00F85F93" w:rsidP="00F91C91">
            <w:pPr>
              <w:pStyle w:val="Tabletext"/>
              <w:jc w:val="center"/>
            </w:pPr>
            <w:r w:rsidRPr="003D1971">
              <w:t>1</w:t>
            </w:r>
            <w:r w:rsidRPr="003D1971">
              <w:rPr>
                <w:vertAlign w:val="superscript"/>
                <w:rtl/>
              </w:rPr>
              <w:t xml:space="preserve"> </w:t>
            </w:r>
            <w:r w:rsidRPr="003D1971">
              <w:rPr>
                <w:vertAlign w:val="superscript"/>
              </w:rPr>
              <w:t>(</w:t>
            </w:r>
            <w:proofErr w:type="gramStart"/>
            <w:r w:rsidRPr="003D1971">
              <w:rPr>
                <w:vertAlign w:val="superscript"/>
              </w:rPr>
              <w:t>1)</w:t>
            </w:r>
            <w:r w:rsidR="00D56D81" w:rsidRPr="003D1971">
              <w:rPr>
                <w:rFonts w:hint="cs"/>
                <w:vertAlign w:val="superscript"/>
                <w:rtl/>
              </w:rPr>
              <w:t>،</w:t>
            </w:r>
            <w:proofErr w:type="gramEnd"/>
            <w:r w:rsidRPr="003D1971">
              <w:rPr>
                <w:vertAlign w:val="superscript"/>
                <w:rtl/>
              </w:rPr>
              <w:t xml:space="preserve"> </w:t>
            </w:r>
            <w:r w:rsidRPr="003D1971">
              <w:rPr>
                <w:vertAlign w:val="superscript"/>
              </w:rPr>
              <w:t>(2)</w:t>
            </w:r>
          </w:p>
        </w:tc>
        <w:tc>
          <w:tcPr>
            <w:tcW w:w="1215" w:type="pct"/>
            <w:vAlign w:val="center"/>
          </w:tcPr>
          <w:p w14:paraId="76915B09" w14:textId="77777777" w:rsidR="00F85F93" w:rsidRPr="00AF0C07" w:rsidRDefault="00F85F93" w:rsidP="008F5D6D">
            <w:pPr>
              <w:jc w:val="center"/>
              <w:rPr>
                <w:sz w:val="26"/>
                <w:szCs w:val="26"/>
              </w:rPr>
            </w:pPr>
            <w:r w:rsidRPr="00AF0C07">
              <w:rPr>
                <w:sz w:val="26"/>
                <w:szCs w:val="26"/>
                <w:rtl/>
              </w:rPr>
              <w:t>ازدواج الإرسال بتقسيم الزمن للاتصالات المتنقلة الدولية</w:t>
            </w:r>
          </w:p>
        </w:tc>
        <w:tc>
          <w:tcPr>
            <w:tcW w:w="3162" w:type="pct"/>
            <w:vAlign w:val="center"/>
          </w:tcPr>
          <w:p w14:paraId="415E5A9C" w14:textId="45C05106" w:rsidR="00F85F93" w:rsidRPr="003D1971" w:rsidRDefault="00BF3623" w:rsidP="00DB5611">
            <w:pPr>
              <w:pStyle w:val="Tabletext"/>
            </w:pPr>
            <w:r>
              <w:rPr>
                <w:rFonts w:hint="eastAsia"/>
                <w:rtl/>
              </w:rPr>
              <w:t>–</w:t>
            </w:r>
            <w:r w:rsidR="00F85F93" w:rsidRPr="003D1971">
              <w:t>70</w:t>
            </w:r>
            <w:r w:rsidR="00F85F93" w:rsidRPr="003D1971">
              <w:rPr>
                <w:rtl/>
              </w:rPr>
              <w:t xml:space="preserve"> </w:t>
            </w:r>
            <w:r w:rsidR="00F85F93" w:rsidRPr="003D1971">
              <w:t>dBm/MHz</w:t>
            </w:r>
            <w:r w:rsidR="00F85F93" w:rsidRPr="003D1971">
              <w:rPr>
                <w:rtl/>
              </w:rPr>
              <w:t xml:space="preserve"> </w:t>
            </w:r>
            <w:r w:rsidR="00AF0C07" w:rsidRPr="005A3993">
              <w:t xml:space="preserve">(0 MHz &lt; </w:t>
            </w:r>
            <w:proofErr w:type="spellStart"/>
            <w:r w:rsidR="00AF0C07" w:rsidRPr="005A3993">
              <w:t>Δ</w:t>
            </w:r>
            <w:r w:rsidR="00AF0C07" w:rsidRPr="005A3993">
              <w:rPr>
                <w:i/>
                <w:iCs/>
              </w:rPr>
              <w:t>f</w:t>
            </w:r>
            <w:proofErr w:type="spellEnd"/>
            <w:r w:rsidR="00AF0C07" w:rsidRPr="005A3993">
              <w:t xml:space="preserve"> ≤ 41 MHz)</w:t>
            </w:r>
          </w:p>
        </w:tc>
      </w:tr>
      <w:tr w:rsidR="00F85F93" w:rsidRPr="00770CE6" w14:paraId="2D17BDF1" w14:textId="77777777" w:rsidTr="00AF0C07">
        <w:trPr>
          <w:jc w:val="center"/>
        </w:trPr>
        <w:tc>
          <w:tcPr>
            <w:tcW w:w="623" w:type="pct"/>
            <w:vAlign w:val="center"/>
          </w:tcPr>
          <w:p w14:paraId="7A8022D8" w14:textId="77777777" w:rsidR="00F85F93" w:rsidRPr="003D1971" w:rsidRDefault="00F85F93" w:rsidP="00F91C91">
            <w:pPr>
              <w:pStyle w:val="Tabletext"/>
              <w:jc w:val="center"/>
            </w:pPr>
            <w:r w:rsidRPr="003D1971">
              <w:t>2</w:t>
            </w:r>
            <w:r w:rsidRPr="003D1971">
              <w:rPr>
                <w:rtl/>
              </w:rPr>
              <w:t xml:space="preserve"> </w:t>
            </w:r>
            <w:r w:rsidRPr="003D1971">
              <w:rPr>
                <w:vertAlign w:val="superscript"/>
              </w:rPr>
              <w:t>(3)</w:t>
            </w:r>
          </w:p>
        </w:tc>
        <w:tc>
          <w:tcPr>
            <w:tcW w:w="1215" w:type="pct"/>
            <w:vAlign w:val="center"/>
          </w:tcPr>
          <w:p w14:paraId="20C5AC3C" w14:textId="77777777" w:rsidR="00F85F93" w:rsidRPr="00AF0C07" w:rsidRDefault="00F85F93" w:rsidP="008F5D6D">
            <w:pPr>
              <w:jc w:val="center"/>
              <w:rPr>
                <w:sz w:val="26"/>
                <w:szCs w:val="26"/>
              </w:rPr>
            </w:pPr>
            <w:r w:rsidRPr="00AF0C07">
              <w:rPr>
                <w:sz w:val="26"/>
                <w:szCs w:val="26"/>
                <w:rtl/>
              </w:rPr>
              <w:t>ازدواج الإرسال بتقسيم الزمن للاتصالات المتنقلة الدولية</w:t>
            </w:r>
          </w:p>
        </w:tc>
        <w:tc>
          <w:tcPr>
            <w:tcW w:w="3162" w:type="pct"/>
            <w:vAlign w:val="center"/>
          </w:tcPr>
          <w:p w14:paraId="5A6D45B3" w14:textId="6E350B0D" w:rsidR="00F85F93" w:rsidRPr="003D1971" w:rsidRDefault="00BF3623" w:rsidP="00DB5611">
            <w:pPr>
              <w:pStyle w:val="Tabletext"/>
            </w:pPr>
            <w:r>
              <w:rPr>
                <w:rFonts w:hint="eastAsia"/>
                <w:rtl/>
              </w:rPr>
              <w:t>–</w:t>
            </w:r>
            <w:r w:rsidR="00F85F93" w:rsidRPr="003D1971">
              <w:t>20</w:t>
            </w:r>
            <w:r w:rsidR="00F85F93" w:rsidRPr="003D1971">
              <w:rPr>
                <w:rtl/>
              </w:rPr>
              <w:t xml:space="preserve"> </w:t>
            </w:r>
            <w:r w:rsidR="00F85F93" w:rsidRPr="003D1971">
              <w:t>dBm/MHz</w:t>
            </w:r>
            <w:r w:rsidR="00F85F93" w:rsidRPr="003D1971">
              <w:rPr>
                <w:rtl/>
              </w:rPr>
              <w:t xml:space="preserve"> </w:t>
            </w:r>
            <w:r w:rsidR="00AF0C07" w:rsidRPr="005A3993">
              <w:t xml:space="preserve">(2 MHz &lt; </w:t>
            </w:r>
            <w:proofErr w:type="spellStart"/>
            <w:r w:rsidR="00AF0C07" w:rsidRPr="005A3993">
              <w:t>Δ</w:t>
            </w:r>
            <w:r w:rsidR="00AF0C07" w:rsidRPr="005A3993">
              <w:rPr>
                <w:i/>
                <w:iCs/>
              </w:rPr>
              <w:t>f</w:t>
            </w:r>
            <w:proofErr w:type="spellEnd"/>
            <w:r w:rsidR="00AF0C07" w:rsidRPr="005A3993">
              <w:t xml:space="preserve"> ≤ 41 MHz)</w:t>
            </w:r>
          </w:p>
        </w:tc>
      </w:tr>
      <w:tr w:rsidR="00F85F93" w:rsidRPr="00770CE6" w14:paraId="7F7B914F" w14:textId="77777777" w:rsidTr="00AF0C07">
        <w:trPr>
          <w:jc w:val="center"/>
        </w:trPr>
        <w:tc>
          <w:tcPr>
            <w:tcW w:w="623" w:type="pct"/>
            <w:tcBorders>
              <w:bottom w:val="single" w:sz="4" w:space="0" w:color="auto"/>
            </w:tcBorders>
            <w:vAlign w:val="center"/>
          </w:tcPr>
          <w:p w14:paraId="02DE9F32" w14:textId="77777777" w:rsidR="00F85F93" w:rsidRPr="003D1971" w:rsidRDefault="00F85F93" w:rsidP="00F91C91">
            <w:pPr>
              <w:pStyle w:val="Tabletext"/>
              <w:jc w:val="center"/>
            </w:pPr>
            <w:r w:rsidRPr="003D1971">
              <w:t>3</w:t>
            </w:r>
          </w:p>
        </w:tc>
        <w:tc>
          <w:tcPr>
            <w:tcW w:w="1215" w:type="pct"/>
            <w:tcBorders>
              <w:bottom w:val="single" w:sz="4" w:space="0" w:color="auto"/>
            </w:tcBorders>
            <w:vAlign w:val="center"/>
          </w:tcPr>
          <w:p w14:paraId="318DF012" w14:textId="77777777" w:rsidR="00F85F93" w:rsidRPr="00AF0C07" w:rsidRDefault="00F85F93" w:rsidP="008F5D6D">
            <w:pPr>
              <w:jc w:val="center"/>
              <w:rPr>
                <w:sz w:val="26"/>
                <w:szCs w:val="26"/>
              </w:rPr>
            </w:pPr>
            <w:r w:rsidRPr="00AF0C07">
              <w:rPr>
                <w:sz w:val="26"/>
                <w:szCs w:val="26"/>
                <w:rtl/>
              </w:rPr>
              <w:t>الوصلة الهابطة التكميلية أو ازدواج الإرسال بتقسيم التردد للاتصالات المتنقلة الدولية</w:t>
            </w:r>
          </w:p>
        </w:tc>
        <w:tc>
          <w:tcPr>
            <w:tcW w:w="3162" w:type="pct"/>
            <w:tcBorders>
              <w:bottom w:val="single" w:sz="4" w:space="0" w:color="auto"/>
            </w:tcBorders>
            <w:vAlign w:val="center"/>
          </w:tcPr>
          <w:p w14:paraId="2D3FB125" w14:textId="6CF17FC8" w:rsidR="00F85F93" w:rsidRPr="003D1971" w:rsidRDefault="00F85F93" w:rsidP="00DB5611">
            <w:pPr>
              <w:pStyle w:val="Tabletext"/>
            </w:pPr>
            <w:r w:rsidRPr="003D1971">
              <w:rPr>
                <w:rtl/>
              </w:rPr>
              <w:t xml:space="preserve">لا يوجد، مع ملاحظة عدم وجود معدّات مستعمِلين تُرسِل في النطاق </w:t>
            </w:r>
            <w:r w:rsidR="00BE4802" w:rsidRPr="003D1971">
              <w:t>MHz </w:t>
            </w:r>
            <w:r w:rsidR="009E704A" w:rsidRPr="003D1971">
              <w:t>1 518</w:t>
            </w:r>
            <w:r w:rsidR="00BE4802" w:rsidRPr="003D1971">
              <w:t>-1 492</w:t>
            </w:r>
          </w:p>
        </w:tc>
      </w:tr>
      <w:tr w:rsidR="00F85F93" w:rsidRPr="00770CE6" w14:paraId="1E267CE8" w14:textId="77777777" w:rsidTr="00AF0C07">
        <w:trPr>
          <w:jc w:val="center"/>
        </w:trPr>
        <w:tc>
          <w:tcPr>
            <w:tcW w:w="5000" w:type="pct"/>
            <w:gridSpan w:val="3"/>
            <w:tcBorders>
              <w:left w:val="nil"/>
              <w:bottom w:val="nil"/>
              <w:right w:val="nil"/>
            </w:tcBorders>
          </w:tcPr>
          <w:p w14:paraId="42827EBB" w14:textId="77777777" w:rsidR="00F85F93" w:rsidRPr="00AF0C07" w:rsidRDefault="00F85F93" w:rsidP="00DB5611">
            <w:pPr>
              <w:pStyle w:val="Tabletext"/>
              <w:jc w:val="both"/>
            </w:pPr>
            <w:r w:rsidRPr="00AF0C07">
              <w:rPr>
                <w:vertAlign w:val="superscript"/>
              </w:rPr>
              <w:t>(1)</w:t>
            </w:r>
            <w:r w:rsidRPr="00AF0C07">
              <w:rPr>
                <w:rtl/>
              </w:rPr>
              <w:tab/>
              <w:t xml:space="preserve">يتعيّن تطبيق هذا الخيار مع شرط تنظيمي إضافي يقضي بألا تُستعمل معدات المستعمِلين ضمن حدود مسافة </w:t>
            </w:r>
            <w:r w:rsidRPr="00AF0C07">
              <w:t>10</w:t>
            </w:r>
            <w:r w:rsidRPr="00AF0C07">
              <w:rPr>
                <w:rtl/>
              </w:rPr>
              <w:t xml:space="preserve"> </w:t>
            </w:r>
            <w:r w:rsidRPr="00AF0C07">
              <w:t>m</w:t>
            </w:r>
            <w:r w:rsidRPr="00AF0C07">
              <w:rPr>
                <w:rtl/>
              </w:rPr>
              <w:t xml:space="preserve"> من محطة أرضية لسفينة.</w:t>
            </w:r>
          </w:p>
          <w:p w14:paraId="2344AFAA" w14:textId="6ECEA61E" w:rsidR="00F85F93" w:rsidRPr="00AF0C07" w:rsidRDefault="00F85F93" w:rsidP="00DB5611">
            <w:pPr>
              <w:pStyle w:val="Tabletext"/>
              <w:jc w:val="both"/>
            </w:pPr>
            <w:r w:rsidRPr="00AF0C07">
              <w:rPr>
                <w:vertAlign w:val="superscript"/>
              </w:rPr>
              <w:t>(2)</w:t>
            </w:r>
            <w:r w:rsidRPr="00AF0C07">
              <w:rPr>
                <w:rtl/>
              </w:rPr>
              <w:tab/>
              <w:t xml:space="preserve">من شأن الخيار الذي يستخدم الحد الأدنى للإرسالات غير المطلوبة لمعدّات مستعمِلي الاتصالات المتنقلة الدولية أن يقلّل من خطر التداخل الضار على عمليات الخدمة المتنقلة الساتلية في نطاق التردد فوق </w:t>
            </w:r>
            <w:r w:rsidRPr="00AF0C07">
              <w:t xml:space="preserve">MHz </w:t>
            </w:r>
            <w:r w:rsidR="009E704A" w:rsidRPr="00AF0C07">
              <w:t>1 518</w:t>
            </w:r>
            <w:r w:rsidRPr="00AF0C07">
              <w:rPr>
                <w:rtl/>
              </w:rPr>
              <w:t>. ومع ذلك، فإن الامتثال للحد الأدنى للإرسالات غير المطلوبة من شأنه أن يزيد من صعوبة تنفيذ معدّات مستعمِلي الاتصالات المتنقلة الدولية.</w:t>
            </w:r>
          </w:p>
          <w:p w14:paraId="1D13DD88" w14:textId="63D5CCB4" w:rsidR="00F85F93" w:rsidRPr="00AF0C07" w:rsidRDefault="00F85F93" w:rsidP="00DB5611">
            <w:pPr>
              <w:pStyle w:val="Tabletext"/>
              <w:jc w:val="both"/>
            </w:pPr>
            <w:r w:rsidRPr="00AF0C07">
              <w:rPr>
                <w:vertAlign w:val="superscript"/>
              </w:rPr>
              <w:t>(3)</w:t>
            </w:r>
            <w:r w:rsidRPr="00AF0C07">
              <w:rPr>
                <w:rtl/>
              </w:rPr>
              <w:tab/>
              <w:t xml:space="preserve">من شأن استخدام الحدود العُليا للإرسالات غير المطلوبة لمعدّات مستعمِلي الاتصالات المتنقلة الدولية أن يزيد من خطر التداخل الضار على عمليات الخدمة المتنقلة الساتلية في نطاق التردد فوق </w:t>
            </w:r>
            <w:r w:rsidRPr="00AF0C07">
              <w:t xml:space="preserve">MHz </w:t>
            </w:r>
            <w:r w:rsidR="009E704A" w:rsidRPr="00AF0C07">
              <w:t>1 518</w:t>
            </w:r>
            <w:r w:rsidRPr="00AF0C07">
              <w:rPr>
                <w:rtl/>
              </w:rPr>
              <w:t>، في حين يكون تحقيقا</w:t>
            </w:r>
            <w:r w:rsidR="002243DF" w:rsidRPr="00AF0C07">
              <w:rPr>
                <w:rFonts w:hint="cs"/>
                <w:rtl/>
              </w:rPr>
              <w:t xml:space="preserve"> </w:t>
            </w:r>
            <w:r w:rsidRPr="00AF0C07">
              <w:rPr>
                <w:rtl/>
              </w:rPr>
              <w:t>لامتثال للحد الأعلى للإرسالات غير المطلوبة أكثر سهولةً في معدّات مستعمِلي الاتصالات المتنقلة الدولية. ولذلك، فإن هذا الخيار سيزيد من صعوبة تشغيل أنظمة الخدمة المتنقلة الساتلية. وبالإضافة إلى ذلك، لا يوفر هذا الخيار أيَّ مستوى</w:t>
            </w:r>
            <w:r w:rsidR="002243DF" w:rsidRPr="00AF0C07">
              <w:rPr>
                <w:rFonts w:hint="cs"/>
                <w:rtl/>
              </w:rPr>
              <w:t xml:space="preserve"> </w:t>
            </w:r>
            <w:r w:rsidRPr="00AF0C07">
              <w:rPr>
                <w:rtl/>
              </w:rPr>
              <w:t xml:space="preserve">للإرسالات غير المطلوبة لنطاق الخدمة المتنقلة الساتلية في المدى </w:t>
            </w:r>
            <w:r w:rsidRPr="00AF0C07">
              <w:t>MHz 1 520-</w:t>
            </w:r>
            <w:r w:rsidR="009E704A" w:rsidRPr="00AF0C07">
              <w:t>1 518</w:t>
            </w:r>
            <w:r w:rsidRPr="00AF0C07">
              <w:rPr>
                <w:rtl/>
              </w:rPr>
              <w:t>.</w:t>
            </w:r>
          </w:p>
        </w:tc>
      </w:tr>
    </w:tbl>
    <w:p w14:paraId="20C15C0E" w14:textId="2B8B9B2A" w:rsidR="00F85F93" w:rsidRPr="002C3037" w:rsidRDefault="00F85F93" w:rsidP="003E559A">
      <w:pPr>
        <w:pStyle w:val="AnnexNoTitle"/>
      </w:pPr>
      <w:bookmarkStart w:id="6" w:name="_Hlk160782139"/>
      <w:r w:rsidRPr="002C3037">
        <w:rPr>
          <w:rtl/>
        </w:rPr>
        <w:lastRenderedPageBreak/>
        <w:t xml:space="preserve">الملحق </w:t>
      </w:r>
      <w:r w:rsidRPr="002C3037">
        <w:t>2</w:t>
      </w:r>
      <w:r w:rsidR="00BF3623">
        <w:rPr>
          <w:rtl/>
          <w:lang w:bidi="ar-SY"/>
        </w:rPr>
        <w:br/>
      </w:r>
      <w:r w:rsidR="002C3037" w:rsidRPr="002C3037">
        <w:rPr>
          <w:rtl/>
        </w:rPr>
        <w:br/>
      </w:r>
      <w:r w:rsidRPr="002C3037">
        <w:rPr>
          <w:rtl/>
        </w:rPr>
        <w:t>مستويات القدرة على الصمود أمام حَجْب مستقبِل المحطة الأرضية المتنقلة</w:t>
      </w:r>
      <w:bookmarkEnd w:id="6"/>
    </w:p>
    <w:p w14:paraId="34F554F6" w14:textId="77777777" w:rsidR="00F85F93" w:rsidRPr="00770CE6" w:rsidRDefault="00F85F93" w:rsidP="003E559A">
      <w:pPr>
        <w:rPr>
          <w:lang w:val="ar-SA" w:eastAsia="zh-TW" w:bidi="en-GB"/>
        </w:rPr>
      </w:pPr>
      <w:r w:rsidRPr="00EA4BE4">
        <w:rPr>
          <w:rtl/>
        </w:rPr>
        <w:t xml:space="preserve">يقدّم هذا الملحق مستويات حَجْب المستقبِل في معدّات </w:t>
      </w:r>
      <w:r w:rsidRPr="00EA4BE4">
        <w:rPr>
          <w:rtl/>
          <w:lang w:val="en-GB" w:bidi="ar-AE"/>
        </w:rPr>
        <w:t xml:space="preserve">المحطات الأرضية المتنقلة </w:t>
      </w:r>
      <w:r w:rsidRPr="00EA4BE4">
        <w:rPr>
          <w:lang w:val="en-GB" w:bidi="ar-AE"/>
        </w:rPr>
        <w:t>(</w:t>
      </w:r>
      <w:r w:rsidRPr="00EA4BE4">
        <w:rPr>
          <w:lang w:bidi="ar-AE"/>
        </w:rPr>
        <w:t>MES</w:t>
      </w:r>
      <w:r w:rsidRPr="00EA4BE4">
        <w:rPr>
          <w:lang w:val="en-GB" w:bidi="ar-AE"/>
        </w:rPr>
        <w:t>)</w:t>
      </w:r>
      <w:r w:rsidRPr="00EA4BE4">
        <w:rPr>
          <w:rtl/>
          <w:lang w:val="en-GB" w:bidi="ar-AE"/>
        </w:rPr>
        <w:t>.</w:t>
      </w:r>
      <w:r w:rsidRPr="00EA4BE4">
        <w:rPr>
          <w:rtl/>
        </w:rPr>
        <w:t xml:space="preserve"> وتشمل تدابير كثافة تدفق القدرة والقدرة المشعة المكافئة </w:t>
      </w:r>
      <w:proofErr w:type="spellStart"/>
      <w:r w:rsidRPr="00EA4BE4">
        <w:rPr>
          <w:rtl/>
        </w:rPr>
        <w:t>المتناحية</w:t>
      </w:r>
      <w:proofErr w:type="spellEnd"/>
      <w:r w:rsidRPr="00EA4BE4">
        <w:rPr>
          <w:rtl/>
        </w:rPr>
        <w:t xml:space="preserve"> لضمان استمرار تشغيل الخدمة المتنقلة الساتلية المحدَّدة في الملحقَيْن </w:t>
      </w:r>
      <w:r w:rsidRPr="00EA4BE4">
        <w:t>3</w:t>
      </w:r>
      <w:r w:rsidRPr="00EA4BE4">
        <w:rPr>
          <w:rtl/>
        </w:rPr>
        <w:t xml:space="preserve"> و</w:t>
      </w:r>
      <w:r w:rsidRPr="00EA4BE4">
        <w:t>4</w:t>
      </w:r>
      <w:r w:rsidRPr="00EA4BE4">
        <w:rPr>
          <w:rtl/>
        </w:rPr>
        <w:t xml:space="preserve"> تدابيرَ تستند إلى أوجُه التحسُّن المتوقعة في أداء حَجْب المستقبِلات للمحطات الأرضية المتنقلة. وتُطبَّق حدود المرحلة </w:t>
      </w:r>
      <w:r w:rsidRPr="00EA4BE4">
        <w:t>2</w:t>
      </w:r>
      <w:r w:rsidRPr="00EA4BE4">
        <w:rPr>
          <w:rtl/>
        </w:rPr>
        <w:t xml:space="preserve"> بصفة خاصة في وقت يمكن فيه للمحطات الأرضية المتنقلة تحمُّل مستوى أعلى من الإرسالات من الاتصالات المتنقلة الدولية. وبالتالي، يتوقف توقيت الانتقال من حدود المرحلة </w:t>
      </w:r>
      <w:r w:rsidRPr="00EA4BE4">
        <w:t>1</w:t>
      </w:r>
      <w:r w:rsidRPr="00EA4BE4">
        <w:rPr>
          <w:rtl/>
        </w:rPr>
        <w:t xml:space="preserve"> إلى حدود المرحلة </w:t>
      </w:r>
      <w:r w:rsidRPr="00EA4BE4">
        <w:t>2</w:t>
      </w:r>
      <w:r w:rsidRPr="00EA4BE4">
        <w:rPr>
          <w:rtl/>
        </w:rPr>
        <w:t xml:space="preserve"> على نشر المحطات الأرضية المتنقلة مع تحسين أداء المستقبِل.</w:t>
      </w:r>
    </w:p>
    <w:p w14:paraId="42C92CF8" w14:textId="77777777" w:rsidR="00F85F93" w:rsidRPr="00770CE6" w:rsidRDefault="00F85F93" w:rsidP="003E559A">
      <w:pPr>
        <w:rPr>
          <w:lang w:val="ar-SA" w:eastAsia="zh-TW" w:bidi="en-GB"/>
        </w:rPr>
      </w:pPr>
      <w:r w:rsidRPr="00770CE6">
        <w:rPr>
          <w:rtl/>
        </w:rPr>
        <w:t xml:space="preserve">وقد ترغب الإدارات في التخطيط للانتقال من حدود المرحلة </w:t>
      </w:r>
      <w:r w:rsidRPr="00770CE6">
        <w:t>1</w:t>
      </w:r>
      <w:r w:rsidRPr="00770CE6">
        <w:rPr>
          <w:rtl/>
        </w:rPr>
        <w:t xml:space="preserve"> إلى </w:t>
      </w:r>
      <w:r w:rsidRPr="00770CE6">
        <w:rPr>
          <w:rtl/>
          <w:lang w:bidi="ar-EG"/>
        </w:rPr>
        <w:t xml:space="preserve">حدود </w:t>
      </w:r>
      <w:r w:rsidRPr="00770CE6">
        <w:rPr>
          <w:rtl/>
        </w:rPr>
        <w:t xml:space="preserve">المرحلة </w:t>
      </w:r>
      <w:r w:rsidRPr="00770CE6">
        <w:t>2</w:t>
      </w:r>
      <w:r w:rsidRPr="00770CE6">
        <w:rPr>
          <w:rtl/>
        </w:rPr>
        <w:t xml:space="preserve"> </w:t>
      </w:r>
      <w:proofErr w:type="spellStart"/>
      <w:r w:rsidRPr="00770CE6">
        <w:rPr>
          <w:rtl/>
        </w:rPr>
        <w:t>لمطاريف</w:t>
      </w:r>
      <w:proofErr w:type="spellEnd"/>
      <w:r w:rsidRPr="00770CE6">
        <w:rPr>
          <w:rtl/>
        </w:rPr>
        <w:t xml:space="preserve"> المحطات الأرضية المتنقلة البرية والبحرية والخاصة بالطيران، مع مراعاة دورات استبدال المعدّات المختلفة لهذه الفئات. ويجوز للإدارات التشاور مع الوكالات الدولية والوطنية المعنيّة بالطيران والبحرية، وشركات الخطوط الجوية، وصناعة الاتصالات المتنقلة والمنظمات الأخرى ذات الصلة لتحديد الشروط والجداول الزمنية حسب الاقتضاء.</w:t>
      </w:r>
    </w:p>
    <w:p w14:paraId="3ACF0A80" w14:textId="77777777" w:rsidR="00F85F93" w:rsidRPr="007E446A" w:rsidRDefault="00F85F93" w:rsidP="00AF0C07">
      <w:pPr>
        <w:pStyle w:val="TableNo0"/>
      </w:pPr>
      <w:r w:rsidRPr="007E446A">
        <w:rPr>
          <w:rtl/>
        </w:rPr>
        <w:t xml:space="preserve">الجدول </w:t>
      </w:r>
      <w:r w:rsidRPr="007E446A">
        <w:t>3</w:t>
      </w:r>
    </w:p>
    <w:p w14:paraId="33D29343" w14:textId="77777777" w:rsidR="00F85F93" w:rsidRPr="007E446A" w:rsidRDefault="00F85F93" w:rsidP="003E559A">
      <w:pPr>
        <w:pStyle w:val="Tabletitle"/>
        <w:rPr>
          <w:rtl/>
        </w:rPr>
      </w:pPr>
      <w:r w:rsidRPr="007E446A">
        <w:rPr>
          <w:rtl/>
        </w:rPr>
        <w:t xml:space="preserve">مستوى حَجْب مستقبِل المحطة الأرضية المتنقلة </w:t>
      </w:r>
    </w:p>
    <w:tbl>
      <w:tblPr>
        <w:tblStyle w:val="TableGrid"/>
        <w:bidiVisual/>
        <w:tblW w:w="9639" w:type="dxa"/>
        <w:jc w:val="center"/>
        <w:tblLayout w:type="fixed"/>
        <w:tblLook w:val="04A0" w:firstRow="1" w:lastRow="0" w:firstColumn="1" w:lastColumn="0" w:noHBand="0" w:noVBand="1"/>
      </w:tblPr>
      <w:tblGrid>
        <w:gridCol w:w="2834"/>
        <w:gridCol w:w="3547"/>
        <w:gridCol w:w="3258"/>
      </w:tblGrid>
      <w:tr w:rsidR="00F85F93" w:rsidRPr="00770CE6" w14:paraId="56B74313" w14:textId="77777777" w:rsidTr="006B32BC">
        <w:trPr>
          <w:jc w:val="center"/>
        </w:trPr>
        <w:tc>
          <w:tcPr>
            <w:tcW w:w="1470" w:type="pct"/>
            <w:vAlign w:val="center"/>
          </w:tcPr>
          <w:p w14:paraId="3068451C" w14:textId="77777777" w:rsidR="00F85F93" w:rsidRPr="007E446A" w:rsidRDefault="00F85F93" w:rsidP="003E559A">
            <w:pPr>
              <w:pStyle w:val="Tablehead"/>
            </w:pPr>
            <w:r w:rsidRPr="007E446A">
              <w:rPr>
                <w:rtl/>
              </w:rPr>
              <w:t>مستوى إشارة الحجب</w:t>
            </w:r>
          </w:p>
        </w:tc>
        <w:tc>
          <w:tcPr>
            <w:tcW w:w="1840" w:type="pct"/>
            <w:vAlign w:val="center"/>
          </w:tcPr>
          <w:p w14:paraId="2B301FDC" w14:textId="77777777" w:rsidR="00F85F93" w:rsidRPr="007E446A" w:rsidRDefault="00F85F93" w:rsidP="003E559A">
            <w:pPr>
              <w:pStyle w:val="Tablehead"/>
            </w:pPr>
            <w:r w:rsidRPr="007E446A">
              <w:rPr>
                <w:rtl/>
              </w:rPr>
              <w:t>إشارة الاتصالات المتنقلة الدولية</w:t>
            </w:r>
          </w:p>
        </w:tc>
        <w:tc>
          <w:tcPr>
            <w:tcW w:w="1690" w:type="pct"/>
            <w:vAlign w:val="center"/>
          </w:tcPr>
          <w:p w14:paraId="704308D8" w14:textId="77777777" w:rsidR="00F85F93" w:rsidRPr="007E446A" w:rsidRDefault="00F85F93" w:rsidP="003E559A">
            <w:pPr>
              <w:pStyle w:val="Tablehead"/>
            </w:pPr>
            <w:r w:rsidRPr="007E446A">
              <w:rPr>
                <w:rtl/>
              </w:rPr>
              <w:t>شرط تشغيل المحطة الأرضية المتنقلة</w:t>
            </w:r>
          </w:p>
        </w:tc>
      </w:tr>
      <w:tr w:rsidR="00F85F93" w:rsidRPr="00770CE6" w14:paraId="3A08239D" w14:textId="77777777" w:rsidTr="006B32BC">
        <w:trPr>
          <w:jc w:val="center"/>
        </w:trPr>
        <w:tc>
          <w:tcPr>
            <w:tcW w:w="1470" w:type="pct"/>
            <w:tcBorders>
              <w:bottom w:val="single" w:sz="4" w:space="0" w:color="auto"/>
            </w:tcBorders>
            <w:vAlign w:val="center"/>
          </w:tcPr>
          <w:p w14:paraId="4F950C70" w14:textId="2579414D" w:rsidR="00F85F93" w:rsidRPr="007E446A" w:rsidRDefault="00BF3623" w:rsidP="00E70045">
            <w:pPr>
              <w:pStyle w:val="Tabletext"/>
              <w:jc w:val="center"/>
            </w:pPr>
            <w:r>
              <w:rPr>
                <w:rFonts w:cs="Times New Roman" w:hint="eastAsia"/>
                <w:rtl/>
              </w:rPr>
              <w:t>–</w:t>
            </w:r>
            <w:r w:rsidR="00F85F93" w:rsidRPr="007E446A">
              <w:t>30</w:t>
            </w:r>
            <w:r w:rsidR="00F85F93" w:rsidRPr="007E446A">
              <w:rPr>
                <w:rtl/>
              </w:rPr>
              <w:t xml:space="preserve"> </w:t>
            </w:r>
            <w:r w:rsidR="00F85F93" w:rsidRPr="007E446A">
              <w:t>dBm</w:t>
            </w:r>
            <w:r w:rsidR="00F85F93" w:rsidRPr="007E446A">
              <w:rPr>
                <w:rtl/>
              </w:rPr>
              <w:t xml:space="preserve"> </w:t>
            </w:r>
            <w:r w:rsidR="00F85F93" w:rsidRPr="007E446A">
              <w:rPr>
                <w:vertAlign w:val="superscript"/>
              </w:rPr>
              <w:t>(1)</w:t>
            </w:r>
          </w:p>
        </w:tc>
        <w:tc>
          <w:tcPr>
            <w:tcW w:w="1840" w:type="pct"/>
            <w:tcBorders>
              <w:bottom w:val="single" w:sz="4" w:space="0" w:color="auto"/>
            </w:tcBorders>
            <w:vAlign w:val="center"/>
          </w:tcPr>
          <w:p w14:paraId="240B0B0B" w14:textId="758A4F4F" w:rsidR="00F85F93" w:rsidRPr="005D44BB" w:rsidRDefault="00F85F93" w:rsidP="00BD4378">
            <w:pPr>
              <w:pStyle w:val="Tabletext"/>
              <w:tabs>
                <w:tab w:val="clear" w:pos="567"/>
                <w:tab w:val="clear" w:pos="794"/>
              </w:tabs>
              <w:ind w:left="453" w:hanging="114"/>
            </w:pPr>
            <w:r w:rsidRPr="005D44BB">
              <w:rPr>
                <w:rtl/>
              </w:rPr>
              <w:t xml:space="preserve">إشارة الاتصالات </w:t>
            </w:r>
            <w:bookmarkStart w:id="7" w:name="_Hlk158650233"/>
            <w:r w:rsidRPr="005D44BB">
              <w:rPr>
                <w:sz w:val="26"/>
                <w:rtl/>
              </w:rPr>
              <w:t>المتنقلة</w:t>
            </w:r>
            <w:r w:rsidRPr="005D44BB">
              <w:rPr>
                <w:rtl/>
              </w:rPr>
              <w:t xml:space="preserve"> </w:t>
            </w:r>
            <w:bookmarkEnd w:id="7"/>
            <w:r w:rsidRPr="005D44BB">
              <w:rPr>
                <w:rtl/>
              </w:rPr>
              <w:t xml:space="preserve">الدولية بعرض نطاق </w:t>
            </w:r>
            <w:r w:rsidRPr="005D44BB">
              <w:t>MHz</w:t>
            </w:r>
            <w:r w:rsidR="00AF0C07">
              <w:t> </w:t>
            </w:r>
            <w:r w:rsidRPr="005D44BB">
              <w:t>5</w:t>
            </w:r>
            <w:r w:rsidR="007E446A" w:rsidRPr="005D44BB">
              <w:rPr>
                <w:rFonts w:hint="cs"/>
                <w:rtl/>
              </w:rPr>
              <w:t xml:space="preserve"> </w:t>
            </w:r>
            <w:r w:rsidRPr="005D44BB">
              <w:rPr>
                <w:rtl/>
              </w:rPr>
              <w:t xml:space="preserve">تعمل تحت </w:t>
            </w:r>
            <w:r w:rsidRPr="005D44BB">
              <w:t>MHz 1 517</w:t>
            </w:r>
          </w:p>
        </w:tc>
        <w:tc>
          <w:tcPr>
            <w:tcW w:w="1690" w:type="pct"/>
            <w:tcBorders>
              <w:bottom w:val="single" w:sz="4" w:space="0" w:color="auto"/>
            </w:tcBorders>
            <w:vAlign w:val="center"/>
          </w:tcPr>
          <w:p w14:paraId="56B35D1E" w14:textId="55D05D1F" w:rsidR="00F85F93" w:rsidRPr="007E446A" w:rsidRDefault="00F85F93" w:rsidP="00E70045">
            <w:pPr>
              <w:pStyle w:val="Tabletext"/>
              <w:jc w:val="center"/>
            </w:pPr>
            <w:r w:rsidRPr="007E446A">
              <w:rPr>
                <w:rtl/>
              </w:rPr>
              <w:t xml:space="preserve">الإشارة المطلوبة فوق </w:t>
            </w:r>
            <w:r w:rsidRPr="007E446A">
              <w:t xml:space="preserve">MHz </w:t>
            </w:r>
            <w:r w:rsidR="009E704A">
              <w:t>1 518</w:t>
            </w:r>
            <w:r w:rsidRPr="007E446A">
              <w:rPr>
                <w:rtl/>
              </w:rPr>
              <w:t xml:space="preserve"> </w:t>
            </w:r>
            <w:r w:rsidRPr="007E446A">
              <w:rPr>
                <w:vertAlign w:val="superscript"/>
              </w:rPr>
              <w:t>(2)</w:t>
            </w:r>
          </w:p>
        </w:tc>
      </w:tr>
      <w:tr w:rsidR="00F85F93" w:rsidRPr="00770CE6" w14:paraId="4FEC615C" w14:textId="77777777" w:rsidTr="006B32BC">
        <w:trPr>
          <w:jc w:val="center"/>
        </w:trPr>
        <w:tc>
          <w:tcPr>
            <w:tcW w:w="5000" w:type="pct"/>
            <w:gridSpan w:val="3"/>
            <w:tcBorders>
              <w:left w:val="nil"/>
              <w:bottom w:val="nil"/>
              <w:right w:val="nil"/>
            </w:tcBorders>
          </w:tcPr>
          <w:p w14:paraId="654AFE19" w14:textId="6BD2F090" w:rsidR="00F85F93" w:rsidRPr="005D44BB" w:rsidRDefault="00F85F93" w:rsidP="00DB5611">
            <w:pPr>
              <w:pStyle w:val="Tabletext"/>
              <w:jc w:val="both"/>
            </w:pPr>
            <w:r w:rsidRPr="005D44BB">
              <w:rPr>
                <w:vertAlign w:val="superscript"/>
              </w:rPr>
              <w:t>(1)</w:t>
            </w:r>
            <w:r w:rsidRPr="005D44BB">
              <w:rPr>
                <w:rtl/>
              </w:rPr>
              <w:tab/>
              <w:t xml:space="preserve">يمكن تطبيق مستوى حَجْب المحطة الأرضية المتنقلة البالغ </w:t>
            </w:r>
            <w:r w:rsidRPr="005D44BB">
              <w:t>dBm 40</w:t>
            </w:r>
            <w:r w:rsidR="00BF3623">
              <w:t>–</w:t>
            </w:r>
            <w:r w:rsidRPr="005D44BB">
              <w:rPr>
                <w:rtl/>
              </w:rPr>
              <w:t xml:space="preserve"> أو أقلّ على </w:t>
            </w:r>
            <w:proofErr w:type="spellStart"/>
            <w:r w:rsidRPr="005D44BB">
              <w:rPr>
                <w:rtl/>
              </w:rPr>
              <w:t>المطاريف</w:t>
            </w:r>
            <w:proofErr w:type="spellEnd"/>
            <w:r w:rsidRPr="005D44BB">
              <w:rPr>
                <w:rtl/>
              </w:rPr>
              <w:t xml:space="preserve"> الصغيرة، دون تغيير تدابير التعايش المحدَّدة في</w:t>
            </w:r>
            <w:r w:rsidR="00BD4378">
              <w:rPr>
                <w:rFonts w:hint="cs"/>
                <w:rtl/>
              </w:rPr>
              <w:t> </w:t>
            </w:r>
            <w:r w:rsidRPr="005D44BB">
              <w:rPr>
                <w:rtl/>
              </w:rPr>
              <w:t>أماكن أخرى من هذه التوصية.</w:t>
            </w:r>
          </w:p>
          <w:p w14:paraId="0902EA8A" w14:textId="77777777" w:rsidR="00F85F93" w:rsidRPr="00770CE6" w:rsidRDefault="00F85F93" w:rsidP="00DB5611">
            <w:pPr>
              <w:pStyle w:val="Tabletext"/>
              <w:jc w:val="both"/>
              <w:rPr>
                <w:lang w:val="ar-SA" w:eastAsia="zh-TW" w:bidi="en-GB"/>
              </w:rPr>
            </w:pPr>
            <w:r w:rsidRPr="005D44BB">
              <w:rPr>
                <w:vertAlign w:val="superscript"/>
              </w:rPr>
              <w:t>(2)</w:t>
            </w:r>
            <w:r w:rsidRPr="005D44BB">
              <w:rPr>
                <w:rtl/>
              </w:rPr>
              <w:tab/>
              <w:t xml:space="preserve">لأغراض الاختبار، تكون الإشارة المطلوبة للمحطات الأرضية المتنقلة فوق </w:t>
            </w:r>
            <w:r w:rsidRPr="005D44BB">
              <w:t>MHz 1 520</w:t>
            </w:r>
          </w:p>
        </w:tc>
      </w:tr>
    </w:tbl>
    <w:p w14:paraId="3A5FED39" w14:textId="77777777" w:rsidR="00F85F93" w:rsidRDefault="00F85F93" w:rsidP="00DB5611"/>
    <w:p w14:paraId="64A53441" w14:textId="77777777" w:rsidR="00AF0C07" w:rsidRPr="00AF0C07" w:rsidRDefault="00AF0C07" w:rsidP="00DB5611">
      <w:pPr>
        <w:rPr>
          <w:lang w:eastAsia="zh-CN"/>
        </w:rPr>
      </w:pPr>
    </w:p>
    <w:p w14:paraId="170C27FD" w14:textId="47BDB583" w:rsidR="00F85F93" w:rsidRPr="007E446A" w:rsidRDefault="00F85F93" w:rsidP="003E559A">
      <w:pPr>
        <w:pStyle w:val="AnnexNoTitle"/>
      </w:pPr>
      <w:bookmarkStart w:id="8" w:name="_Hlk160782148"/>
      <w:r w:rsidRPr="007E446A">
        <w:rPr>
          <w:rtl/>
        </w:rPr>
        <w:t xml:space="preserve">الملحق </w:t>
      </w:r>
      <w:r w:rsidRPr="007E446A">
        <w:t>3</w:t>
      </w:r>
      <w:r w:rsidR="00BF3623">
        <w:rPr>
          <w:rtl/>
        </w:rPr>
        <w:br/>
      </w:r>
      <w:r w:rsidR="007E446A" w:rsidRPr="007E446A">
        <w:rPr>
          <w:rtl/>
        </w:rPr>
        <w:br/>
      </w:r>
      <w:r w:rsidRPr="007E446A">
        <w:rPr>
          <w:rtl/>
        </w:rPr>
        <w:t>تدابير إضافية للمحطات القاعدة للاتصالات المتنقلة الدولية لتحقيق التوافق مع المحطات الأرضية للسفن والمحطات الأرضية للطائرات في مناطق مختارة</w:t>
      </w:r>
      <w:bookmarkEnd w:id="8"/>
      <w:r w:rsidRPr="007E446A">
        <w:rPr>
          <w:vertAlign w:val="superscript"/>
        </w:rPr>
        <w:footnoteReference w:id="3"/>
      </w:r>
    </w:p>
    <w:p w14:paraId="4866E53C" w14:textId="44D7E8FD" w:rsidR="00F85F93" w:rsidRPr="00770CE6" w:rsidRDefault="00F85F93" w:rsidP="003E559A">
      <w:pPr>
        <w:rPr>
          <w:rtl/>
        </w:rPr>
      </w:pPr>
      <w:r w:rsidRPr="00770CE6">
        <w:rPr>
          <w:rtl/>
        </w:rPr>
        <w:t>تُضافُ تدابير التوافق الواردة في هذا الملحق إلى المتطلبات التقنية للمحطات الأرضية المتنقلة والاتصالات المتنقلة الدولية الواردة في</w:t>
      </w:r>
      <w:r w:rsidR="0097353B">
        <w:rPr>
          <w:rFonts w:hint="cs"/>
          <w:rtl/>
        </w:rPr>
        <w:t> </w:t>
      </w:r>
      <w:r w:rsidR="00AF0C07">
        <w:rPr>
          <w:rFonts w:hint="cs"/>
          <w:rtl/>
          <w:lang w:bidi="ar-SY"/>
        </w:rPr>
        <w:t>(</w:t>
      </w:r>
      <w:r w:rsidRPr="00770CE6">
        <w:rPr>
          <w:rtl/>
        </w:rPr>
        <w:t xml:space="preserve">الملحقات </w:t>
      </w:r>
      <w:r w:rsidRPr="00770CE6">
        <w:t xml:space="preserve">1 </w:t>
      </w:r>
      <w:r w:rsidRPr="00770CE6">
        <w:rPr>
          <w:rtl/>
        </w:rPr>
        <w:t>و</w:t>
      </w:r>
      <w:r w:rsidRPr="00770CE6">
        <w:t>2</w:t>
      </w:r>
      <w:r w:rsidRPr="00770CE6">
        <w:rPr>
          <w:rtl/>
        </w:rPr>
        <w:t xml:space="preserve"> و</w:t>
      </w:r>
      <w:r w:rsidRPr="00770CE6">
        <w:t>4</w:t>
      </w:r>
      <w:r w:rsidR="00AF0C07">
        <w:rPr>
          <w:rFonts w:hint="cs"/>
          <w:rtl/>
        </w:rPr>
        <w:t>)</w:t>
      </w:r>
      <w:r w:rsidRPr="00770CE6">
        <w:rPr>
          <w:rtl/>
        </w:rPr>
        <w:t xml:space="preserve"> وهي تستند إلى المستويات القصوى لكثافة تدفق القدرة المطبقة كأحد الشروط التنظيمية داخل المناطق الجغرافية التي تختارها الإدارات. ويتمثل تأثير حدود كثافة تدفق القدرة في الحدّ من خطر التداخل على المحطات الأرضية المتنقلة البحرية وسيُطبَّق عند حدود مناطق جغرافية مختارة تستخدم فيها السفن </w:t>
      </w:r>
      <w:proofErr w:type="spellStart"/>
      <w:r w:rsidRPr="00770CE6">
        <w:rPr>
          <w:rtl/>
        </w:rPr>
        <w:t>مطاريف</w:t>
      </w:r>
      <w:proofErr w:type="spellEnd"/>
      <w:r w:rsidRPr="00770CE6">
        <w:rPr>
          <w:rtl/>
        </w:rPr>
        <w:t xml:space="preserve"> المحطات الأرضية المتحركة، أي الموانئ، وقد تشمل أيضاً مناطق ساحلية وبعض الممرات المائية الداخلية. ويتمثل تأثير حدود كثافة تدفق القدرة في الحدّ من خطر التداخل على المحطات الأرضية المتنقلة للطيران وسيُطبَّق عند حدود المنطقة التي تعمل فيها الطائرات على الأرض، أي المطارات وقد تشمل بعض مرافق </w:t>
      </w:r>
      <w:r w:rsidRPr="00770CE6">
        <w:rPr>
          <w:rtl/>
        </w:rPr>
        <w:lastRenderedPageBreak/>
        <w:t>الصيانة. وتُنشر المحطات القاعدة للاتصالات المتنقلة الدولية بحيث يُراعى في المناطق المختارة تفادي تجاوز حدود كثافة تدفق القدرة داخلها. وبالإضافة إلى أيّ متطلبات وطنية للمحطات الأرضية للسفن والمحطات الأرضية للطائرات، قد تكون هناك أيضاً التزامات على السفن والطائرات الأجنبية الزائرة في هذه المواقع.</w:t>
      </w:r>
    </w:p>
    <w:p w14:paraId="2E74FDD9" w14:textId="6A08A837" w:rsidR="00F85F93" w:rsidRPr="00770CE6" w:rsidRDefault="00F85F93" w:rsidP="003E559A">
      <w:pPr>
        <w:rPr>
          <w:lang w:val="ar-SA" w:eastAsia="zh-TW" w:bidi="en-GB"/>
        </w:rPr>
      </w:pPr>
      <w:r w:rsidRPr="00770CE6">
        <w:rPr>
          <w:rtl/>
        </w:rPr>
        <w:t xml:space="preserve">عندما تقرّر إدارة ما استعمال تدابير التوافق الواردة في هذا الملحق، يلزم عادة فَصْل جغرافي بين المحطة القاعدة للاتصالات المتنقلة الدولية وحدود المناطق الجغرافية. ويعتمد الفصل الجغرافي على عدد من العوامل بما في ذلك القدرة المشعة المكافئة </w:t>
      </w:r>
      <w:proofErr w:type="spellStart"/>
      <w:r w:rsidRPr="00770CE6">
        <w:rPr>
          <w:rtl/>
        </w:rPr>
        <w:t>المتناحية</w:t>
      </w:r>
      <w:proofErr w:type="spellEnd"/>
      <w:r w:rsidRPr="00770CE6">
        <w:rPr>
          <w:rtl/>
        </w:rPr>
        <w:t xml:space="preserve"> للمحطة القاعدة للاتصالات المتنقلة الدولية، والجلبة المحلية، وحدود كثافة تدفق القدرة المطبقة (المرحلة </w:t>
      </w:r>
      <w:r w:rsidRPr="00770CE6">
        <w:t>1</w:t>
      </w:r>
      <w:r w:rsidRPr="00770CE6">
        <w:rPr>
          <w:rtl/>
        </w:rPr>
        <w:t xml:space="preserve"> أو المرحلة </w:t>
      </w:r>
      <w:r w:rsidRPr="00770CE6">
        <w:t>2</w:t>
      </w:r>
      <w:r w:rsidRPr="00770CE6">
        <w:rPr>
          <w:rtl/>
        </w:rPr>
        <w:t>). وبالنسبة لبعض قيم كثافة تدفق القدرة، قد يصل هذا الفصل الجغرافي إلى عشرات الكيلومترات.</w:t>
      </w:r>
    </w:p>
    <w:p w14:paraId="593B3982" w14:textId="77777777" w:rsidR="00F85F93" w:rsidRPr="00770CE6" w:rsidRDefault="00F85F93" w:rsidP="003E559A">
      <w:pPr>
        <w:rPr>
          <w:lang w:val="ar-SA" w:eastAsia="zh-TW" w:bidi="en-GB"/>
        </w:rPr>
      </w:pPr>
      <w:r w:rsidRPr="00770CE6">
        <w:rPr>
          <w:rtl/>
        </w:rPr>
        <w:t xml:space="preserve">وكمثال على ذلك، أذِنت إحدى الإدارات بأنظمة الاتصالات المتنقلة الدولية في النطاق </w:t>
      </w:r>
      <w:r w:rsidRPr="00770CE6">
        <w:t>MHz 1 517-1 492</w:t>
      </w:r>
      <w:r w:rsidRPr="00770CE6">
        <w:rPr>
          <w:rtl/>
        </w:rPr>
        <w:t xml:space="preserve"> وقدَّمت مؤشراً على أن المحطة القاعدة للاتصالات المتنقلة الدولية حول المطارات يجب أن تكون على مسافات من </w:t>
      </w:r>
      <w:r w:rsidRPr="00770CE6">
        <w:t>km 3</w:t>
      </w:r>
      <w:r w:rsidRPr="00770CE6">
        <w:rPr>
          <w:rtl/>
        </w:rPr>
        <w:t xml:space="preserve"> إلى </w:t>
      </w:r>
      <w:r w:rsidRPr="00770CE6">
        <w:t>km 12</w:t>
      </w:r>
      <w:r w:rsidRPr="00770CE6">
        <w:rPr>
          <w:rtl/>
        </w:rPr>
        <w:t xml:space="preserve"> للوفاء بحدود كثافة تدفق القدرة </w:t>
      </w:r>
      <w:proofErr w:type="spellStart"/>
      <w:r w:rsidRPr="00770CE6">
        <w:rPr>
          <w:rtl/>
        </w:rPr>
        <w:t>الموصى</w:t>
      </w:r>
      <w:proofErr w:type="spellEnd"/>
      <w:r w:rsidRPr="00770CE6">
        <w:rPr>
          <w:rtl/>
        </w:rPr>
        <w:t xml:space="preserve"> بها في هذه التوصية.</w:t>
      </w:r>
    </w:p>
    <w:p w14:paraId="501A1B99" w14:textId="20D84293" w:rsidR="00F85F93" w:rsidRPr="00770CE6" w:rsidRDefault="00F85F93" w:rsidP="00AF0C07">
      <w:pPr>
        <w:rPr>
          <w:lang w:val="ar-SA" w:eastAsia="zh-TW" w:bidi="en-GB"/>
        </w:rPr>
      </w:pPr>
      <w:r w:rsidRPr="00A37243">
        <w:rPr>
          <w:rtl/>
        </w:rPr>
        <w:t>ولم ينظر هذا الملحق في استعمال المحطات القاعدة للاتصالات المتنقلة الدولية الواقعة في البحر أو على منصات جوية في</w:t>
      </w:r>
      <w:r w:rsidR="005D44BB" w:rsidRPr="00A37243">
        <w:rPr>
          <w:rFonts w:hint="cs"/>
          <w:rtl/>
        </w:rPr>
        <w:t> </w:t>
      </w:r>
      <w:r w:rsidRPr="00A37243">
        <w:rPr>
          <w:rtl/>
        </w:rPr>
        <w:t>النطاق</w:t>
      </w:r>
      <w:r w:rsidR="005D44BB" w:rsidRPr="00A37243">
        <w:rPr>
          <w:rFonts w:hint="cs"/>
          <w:rtl/>
        </w:rPr>
        <w:t> </w:t>
      </w:r>
      <w:r w:rsidR="00BE4802" w:rsidRPr="00A37243">
        <w:t>MHz </w:t>
      </w:r>
      <w:r w:rsidR="009E704A" w:rsidRPr="00A37243">
        <w:t>1 518</w:t>
      </w:r>
      <w:r w:rsidR="00BE4802" w:rsidRPr="00A37243">
        <w:t>-1 492</w:t>
      </w:r>
      <w:r w:rsidRPr="00A37243">
        <w:rPr>
          <w:rtl/>
        </w:rPr>
        <w:t>.</w:t>
      </w:r>
    </w:p>
    <w:p w14:paraId="14A1A197" w14:textId="366B1E06" w:rsidR="00F85F93" w:rsidRPr="00770CE6" w:rsidRDefault="00F85F93" w:rsidP="003E559A">
      <w:pPr>
        <w:rPr>
          <w:lang w:val="ar-SA" w:eastAsia="zh-TW" w:bidi="en-GB"/>
        </w:rPr>
      </w:pPr>
      <w:r w:rsidRPr="00770CE6">
        <w:rPr>
          <w:rtl/>
        </w:rPr>
        <w:t xml:space="preserve">وتُطبَّق حدود كثافة تدفق القدرة على مرحلتين متتاليتين زمنياً. وتستند حدود المرحلة </w:t>
      </w:r>
      <w:r w:rsidRPr="00770CE6">
        <w:t>1</w:t>
      </w:r>
      <w:r w:rsidR="00057D19">
        <w:rPr>
          <w:rFonts w:hint="cs"/>
          <w:rtl/>
        </w:rPr>
        <w:t xml:space="preserve"> </w:t>
      </w:r>
      <w:r w:rsidRPr="00770CE6">
        <w:rPr>
          <w:rtl/>
        </w:rPr>
        <w:t xml:space="preserve">إلى خصائص المحطات الأرضية المتنقلة العاملة حالياً فيما تستند حدود المرحلة </w:t>
      </w:r>
      <w:r w:rsidRPr="00770CE6">
        <w:t>2</w:t>
      </w:r>
      <w:r w:rsidRPr="00770CE6">
        <w:rPr>
          <w:rtl/>
        </w:rPr>
        <w:t xml:space="preserve"> إلى خصائص </w:t>
      </w:r>
      <w:proofErr w:type="spellStart"/>
      <w:r w:rsidRPr="00770CE6">
        <w:rPr>
          <w:rtl/>
        </w:rPr>
        <w:t>المطاريف</w:t>
      </w:r>
      <w:proofErr w:type="spellEnd"/>
      <w:r w:rsidRPr="00770CE6">
        <w:rPr>
          <w:rtl/>
        </w:rPr>
        <w:t xml:space="preserve"> التي تفي بمستويات الحجب التقنية لهذه التوصية، والتي يُتوقع أن تكون أكثر قدرةً على الصمود أمام الحجب، ومن ثم تؤدي إلى قِيم أقلّ تطلباً من حيث كثافة تدفق القدرة.</w:t>
      </w:r>
    </w:p>
    <w:p w14:paraId="17C0CBA4" w14:textId="77777777" w:rsidR="00F85F93" w:rsidRPr="00770CE6" w:rsidRDefault="00F85F93" w:rsidP="003E559A">
      <w:pPr>
        <w:rPr>
          <w:rtl/>
        </w:rPr>
      </w:pPr>
      <w:r w:rsidRPr="00770CE6">
        <w:rPr>
          <w:rtl/>
        </w:rPr>
        <w:t xml:space="preserve">وبالنسبة للقيم المحدَّدة لكثافة تدفق القدرة للمرحلة </w:t>
      </w:r>
      <w:r w:rsidRPr="00770CE6">
        <w:t>1</w:t>
      </w:r>
      <w:r w:rsidRPr="00770CE6">
        <w:rPr>
          <w:rtl/>
        </w:rPr>
        <w:t xml:space="preserve">، يُعرض خياران استناداً إلى افتراضات مختلفة تتعلق بأداء الحجب </w:t>
      </w:r>
      <w:proofErr w:type="spellStart"/>
      <w:r w:rsidRPr="00770CE6">
        <w:rPr>
          <w:rtl/>
        </w:rPr>
        <w:t>لمطاريف</w:t>
      </w:r>
      <w:proofErr w:type="spellEnd"/>
      <w:r w:rsidRPr="00770CE6">
        <w:rPr>
          <w:rtl/>
        </w:rPr>
        <w:t xml:space="preserve"> المحطات الأرضية المتنقلة العاملة حالياً والموصوفة أدناه. وبالنسبة لقيم كثافة تدفق القدرة للمرحلة </w:t>
      </w:r>
      <w:r w:rsidRPr="00770CE6">
        <w:t>2</w:t>
      </w:r>
      <w:r w:rsidRPr="00770CE6">
        <w:rPr>
          <w:rtl/>
        </w:rPr>
        <w:t xml:space="preserve">، يحدِّد الخياران كلاهما حدود كثافة تدفق القدرة استناداً إلى أداء الحجب </w:t>
      </w:r>
      <w:proofErr w:type="spellStart"/>
      <w:r w:rsidRPr="00770CE6">
        <w:rPr>
          <w:rtl/>
        </w:rPr>
        <w:t>لمطاريف</w:t>
      </w:r>
      <w:proofErr w:type="spellEnd"/>
      <w:r w:rsidRPr="00770CE6">
        <w:rPr>
          <w:rtl/>
        </w:rPr>
        <w:t xml:space="preserve"> المحطات الأرضية المتنقلة التي تفي بمستويات الحجب التقنية لهذه التوصية.</w:t>
      </w:r>
    </w:p>
    <w:p w14:paraId="5A510561" w14:textId="13942E06" w:rsidR="00F85F93" w:rsidRPr="00057D19" w:rsidRDefault="00F85F93" w:rsidP="003E559A">
      <w:pPr>
        <w:rPr>
          <w:spacing w:val="4"/>
          <w:lang w:val="ar-SA" w:eastAsia="zh-TW" w:bidi="en-GB"/>
        </w:rPr>
      </w:pPr>
      <w:proofErr w:type="spellStart"/>
      <w:r w:rsidRPr="00057D19">
        <w:rPr>
          <w:spacing w:val="4"/>
          <w:rtl/>
        </w:rPr>
        <w:t>ومطاريف</w:t>
      </w:r>
      <w:proofErr w:type="spellEnd"/>
      <w:r w:rsidRPr="00057D19">
        <w:rPr>
          <w:spacing w:val="4"/>
          <w:rtl/>
        </w:rPr>
        <w:t xml:space="preserve"> المحطات الأرضية المتنقلة أكثر عرضةً للتداخل من القنوات المتعددة للاتصالات المتنقلة الدولية في</w:t>
      </w:r>
      <w:r w:rsidR="0097353B">
        <w:rPr>
          <w:rFonts w:hint="cs"/>
          <w:spacing w:val="4"/>
          <w:rtl/>
        </w:rPr>
        <w:t> </w:t>
      </w:r>
      <w:r w:rsidRPr="00057D19">
        <w:rPr>
          <w:spacing w:val="4"/>
          <w:rtl/>
        </w:rPr>
        <w:t>النطاق</w:t>
      </w:r>
      <w:r w:rsidR="00A37243">
        <w:rPr>
          <w:rFonts w:hint="cs"/>
          <w:spacing w:val="4"/>
          <w:rtl/>
        </w:rPr>
        <w:t> </w:t>
      </w:r>
      <w:r w:rsidRPr="00057D19">
        <w:rPr>
          <w:spacing w:val="4"/>
        </w:rPr>
        <w:t>MHz</w:t>
      </w:r>
      <w:r w:rsidR="00057D19">
        <w:rPr>
          <w:spacing w:val="4"/>
        </w:rPr>
        <w:t> </w:t>
      </w:r>
      <w:r w:rsidRPr="00057D19">
        <w:rPr>
          <w:spacing w:val="4"/>
        </w:rPr>
        <w:t>1</w:t>
      </w:r>
      <w:r w:rsidR="00057D19">
        <w:rPr>
          <w:spacing w:val="4"/>
        </w:rPr>
        <w:t> </w:t>
      </w:r>
      <w:r w:rsidRPr="00057D19">
        <w:rPr>
          <w:spacing w:val="4"/>
        </w:rPr>
        <w:t>517-1 492</w:t>
      </w:r>
      <w:r w:rsidRPr="00057D19">
        <w:rPr>
          <w:spacing w:val="4"/>
          <w:rtl/>
        </w:rPr>
        <w:t xml:space="preserve">. وقد أُجريت قياسات لتقييم الحجب الناجم عن التشكيل البيني من محطة قاعدة ترسل قنوات متعددة للاتصالات المتنقلة الدولية. وفي إطار الخيار الأول </w:t>
      </w:r>
      <w:r w:rsidRPr="00057D19">
        <w:rPr>
          <w:spacing w:val="4"/>
        </w:rPr>
        <w:t>(A)</w:t>
      </w:r>
      <w:r w:rsidRPr="00057D19">
        <w:rPr>
          <w:spacing w:val="4"/>
          <w:rtl/>
        </w:rPr>
        <w:t xml:space="preserve">، تَرِدُ حدود كثافة تدفق القدرة في جدولين، الجدول </w:t>
      </w:r>
      <w:r w:rsidRPr="00057D19">
        <w:rPr>
          <w:spacing w:val="4"/>
        </w:rPr>
        <w:t>4</w:t>
      </w:r>
      <w:r w:rsidRPr="00057D19">
        <w:rPr>
          <w:spacing w:val="4"/>
          <w:rtl/>
        </w:rPr>
        <w:t xml:space="preserve"> لمحطة قاعدة للاتصالات المتنقلة الدولية ترسل قناة واحدة في هذا النطاق والجدول </w:t>
      </w:r>
      <w:r w:rsidRPr="00057D19">
        <w:rPr>
          <w:spacing w:val="4"/>
        </w:rPr>
        <w:t>5</w:t>
      </w:r>
      <w:r w:rsidRPr="00057D19">
        <w:rPr>
          <w:spacing w:val="4"/>
          <w:rtl/>
        </w:rPr>
        <w:t xml:space="preserve"> لمحطة قاعدة للاتصالات المتنقلة الدولية ترسل على قنوات متعددة في هذا النطاق، حيث تواجه الإشارات الصادرة عن القنوات ظروف الانتشار نفسها وتُستقبل عند مستويات الإشارة النسبية نفسها عند </w:t>
      </w:r>
      <w:proofErr w:type="spellStart"/>
      <w:r w:rsidRPr="00057D19">
        <w:rPr>
          <w:spacing w:val="4"/>
          <w:rtl/>
        </w:rPr>
        <w:t>مطراف</w:t>
      </w:r>
      <w:proofErr w:type="spellEnd"/>
      <w:r w:rsidRPr="00057D19">
        <w:rPr>
          <w:spacing w:val="4"/>
          <w:rtl/>
        </w:rPr>
        <w:t xml:space="preserve"> المحطة الأرضية المتنقلة. وفي إطار الخيار الثاني </w:t>
      </w:r>
      <w:r w:rsidRPr="00057D19">
        <w:rPr>
          <w:spacing w:val="4"/>
        </w:rPr>
        <w:t>(B)</w:t>
      </w:r>
      <w:r w:rsidRPr="00057D19">
        <w:rPr>
          <w:spacing w:val="4"/>
          <w:rtl/>
        </w:rPr>
        <w:t xml:space="preserve">، تَرِدُ حدود كثافة تدفق القدرة في جدول واحد (انظر الجدول </w:t>
      </w:r>
      <w:r w:rsidRPr="00057D19">
        <w:rPr>
          <w:spacing w:val="4"/>
        </w:rPr>
        <w:t>6</w:t>
      </w:r>
      <w:r w:rsidRPr="00057D19">
        <w:rPr>
          <w:spacing w:val="4"/>
          <w:rtl/>
        </w:rPr>
        <w:t xml:space="preserve">) وهو ما ينطبق على القناة الواحدة وعلى القنوات المتعددة. ويستند ذلك إلى افتراض أنه عندما تُستقبل إشارات المحطة القاعدة للاتصالات المتنقلة الدولية من قنوات متعددة عند </w:t>
      </w:r>
      <w:proofErr w:type="spellStart"/>
      <w:r w:rsidRPr="00057D19">
        <w:rPr>
          <w:spacing w:val="4"/>
          <w:rtl/>
        </w:rPr>
        <w:t>مطراف</w:t>
      </w:r>
      <w:proofErr w:type="spellEnd"/>
      <w:r w:rsidRPr="00057D19">
        <w:rPr>
          <w:spacing w:val="4"/>
          <w:rtl/>
        </w:rPr>
        <w:t xml:space="preserve"> المحطة الأرضية المتنقلة، فبسبب خصائص الانتشار، لا تهيمن إلا قناة واحدة، ومن ثم يُعدُّ تأثير القنوات المتعددة مهملاً.</w:t>
      </w:r>
    </w:p>
    <w:p w14:paraId="714839EB" w14:textId="77777777" w:rsidR="00F85F93" w:rsidRPr="0058264F" w:rsidRDefault="00F85F93" w:rsidP="003E559A">
      <w:pPr>
        <w:pStyle w:val="Headingb"/>
      </w:pPr>
      <w:r w:rsidRPr="0058264F">
        <w:rPr>
          <w:rtl/>
        </w:rPr>
        <w:t xml:space="preserve">الخيار </w:t>
      </w:r>
      <w:r w:rsidRPr="0058264F">
        <w:t>A</w:t>
      </w:r>
    </w:p>
    <w:p w14:paraId="7AE2EAD9" w14:textId="0A39C02D" w:rsidR="00F85F93" w:rsidRPr="0058264F" w:rsidRDefault="00F85F93" w:rsidP="003E559A">
      <w:pPr>
        <w:pStyle w:val="enumlev1"/>
        <w:rPr>
          <w:rtl/>
        </w:rPr>
      </w:pPr>
      <w:r w:rsidRPr="0058264F">
        <w:t>–</w:t>
      </w:r>
      <w:r w:rsidRPr="0058264F">
        <w:rPr>
          <w:rtl/>
        </w:rPr>
        <w:tab/>
        <w:t xml:space="preserve">فيما يتعلق بالمرحلة </w:t>
      </w:r>
      <w:r w:rsidRPr="0058264F">
        <w:t>1</w:t>
      </w:r>
      <w:r w:rsidRPr="0058264F">
        <w:rPr>
          <w:rtl/>
        </w:rPr>
        <w:t>، تستند قِيم كثافة تدفق القدرة</w:t>
      </w:r>
      <w:r w:rsidRPr="0058264F">
        <w:rPr>
          <w:rtl/>
          <w:lang w:bidi="ar-SA"/>
        </w:rPr>
        <w:t xml:space="preserve"> </w:t>
      </w:r>
      <w:r w:rsidRPr="0058264F">
        <w:rPr>
          <w:rtl/>
        </w:rPr>
        <w:t xml:space="preserve">إلى قياسات الحَجْب للمطاريف العاملة حالياً والتي يقوم بها بعض المصنِّعين. وقد حدَّدت هذه القياسات أن الحجب يحدث، فيما يتعلق بإرسالات الاتصالات المتنقلة الدولية في النطاق </w:t>
      </w:r>
      <w:r w:rsidRPr="0058264F">
        <w:t>MHz 1 517-1 512</w:t>
      </w:r>
      <w:r w:rsidRPr="0058264F">
        <w:rPr>
          <w:rtl/>
        </w:rPr>
        <w:t xml:space="preserve">، عند مستوى </w:t>
      </w:r>
      <w:r w:rsidRPr="0058264F">
        <w:t>dBm 78</w:t>
      </w:r>
      <w:r w:rsidR="00BF3623">
        <w:t>–</w:t>
      </w:r>
      <w:r w:rsidRPr="0058264F">
        <w:rPr>
          <w:rtl/>
        </w:rPr>
        <w:t xml:space="preserve"> </w:t>
      </w:r>
      <w:proofErr w:type="spellStart"/>
      <w:r w:rsidRPr="0058264F">
        <w:rPr>
          <w:rtl/>
        </w:rPr>
        <w:t>للمطاريف</w:t>
      </w:r>
      <w:proofErr w:type="spellEnd"/>
      <w:r w:rsidRPr="0058264F">
        <w:rPr>
          <w:rtl/>
        </w:rPr>
        <w:t xml:space="preserve"> البحرية العاملة حالياً </w:t>
      </w:r>
      <w:r w:rsidRPr="0058264F">
        <w:t>dBm 50,3-</w:t>
      </w:r>
      <w:r w:rsidRPr="0058264F">
        <w:rPr>
          <w:rtl/>
        </w:rPr>
        <w:t xml:space="preserve"> </w:t>
      </w:r>
      <w:proofErr w:type="spellStart"/>
      <w:r w:rsidRPr="0058264F">
        <w:rPr>
          <w:rtl/>
        </w:rPr>
        <w:t>لمطاريف</w:t>
      </w:r>
      <w:proofErr w:type="spellEnd"/>
      <w:r w:rsidRPr="0058264F">
        <w:rPr>
          <w:rtl/>
        </w:rPr>
        <w:t xml:space="preserve"> الطيران العاملة حالياً. وبالنسبة إلى إرسالات الاتصالات المتنقلة الدولية في النطاق </w:t>
      </w:r>
      <w:r w:rsidRPr="0058264F">
        <w:t>MHz 1 512-1 502</w:t>
      </w:r>
      <w:r w:rsidRPr="0058264F">
        <w:rPr>
          <w:rtl/>
        </w:rPr>
        <w:t xml:space="preserve">، يحدث الحجب عند المستويَيْن </w:t>
      </w:r>
      <w:r w:rsidRPr="0058264F">
        <w:t>dBm 68-</w:t>
      </w:r>
      <w:r w:rsidRPr="0058264F">
        <w:rPr>
          <w:rtl/>
        </w:rPr>
        <w:t xml:space="preserve"> و</w:t>
      </w:r>
      <w:r w:rsidRPr="0058264F">
        <w:t>dBm 35-</w:t>
      </w:r>
      <w:r w:rsidRPr="0058264F">
        <w:rPr>
          <w:rtl/>
        </w:rPr>
        <w:t xml:space="preserve"> </w:t>
      </w:r>
      <w:proofErr w:type="spellStart"/>
      <w:r w:rsidRPr="0058264F">
        <w:rPr>
          <w:rtl/>
        </w:rPr>
        <w:t>للمطاريف</w:t>
      </w:r>
      <w:proofErr w:type="spellEnd"/>
      <w:r w:rsidRPr="0058264F">
        <w:rPr>
          <w:rtl/>
        </w:rPr>
        <w:t xml:space="preserve"> البحرية </w:t>
      </w:r>
      <w:proofErr w:type="spellStart"/>
      <w:r w:rsidRPr="0058264F">
        <w:rPr>
          <w:rtl/>
        </w:rPr>
        <w:t>ومطاريف</w:t>
      </w:r>
      <w:proofErr w:type="spellEnd"/>
      <w:r w:rsidRPr="0058264F">
        <w:rPr>
          <w:rtl/>
        </w:rPr>
        <w:t xml:space="preserve"> الطيران على التوالي. وبالنسبة إلى إرسالات الاتصالات المتنقلة الدولية في النطاق </w:t>
      </w:r>
      <w:r w:rsidRPr="0058264F">
        <w:t>MHz 1 502-1 492</w:t>
      </w:r>
      <w:r w:rsidRPr="0058264F">
        <w:rPr>
          <w:rtl/>
        </w:rPr>
        <w:t xml:space="preserve">، يحدث الحجب عند المستويَيْن </w:t>
      </w:r>
      <w:r w:rsidRPr="0058264F">
        <w:t>dBm 53</w:t>
      </w:r>
      <w:r w:rsidR="00BF3623">
        <w:t>–</w:t>
      </w:r>
      <w:r w:rsidRPr="0058264F">
        <w:rPr>
          <w:rtl/>
        </w:rPr>
        <w:t xml:space="preserve"> و</w:t>
      </w:r>
      <w:r w:rsidRPr="0058264F">
        <w:t>dBm 21</w:t>
      </w:r>
      <w:r w:rsidR="00BF3623">
        <w:t>–</w:t>
      </w:r>
      <w:r w:rsidRPr="0058264F">
        <w:rPr>
          <w:rtl/>
        </w:rPr>
        <w:t xml:space="preserve"> </w:t>
      </w:r>
      <w:proofErr w:type="spellStart"/>
      <w:r w:rsidRPr="0058264F">
        <w:rPr>
          <w:rtl/>
        </w:rPr>
        <w:t>للمطاريف</w:t>
      </w:r>
      <w:proofErr w:type="spellEnd"/>
      <w:r w:rsidRPr="0058264F">
        <w:rPr>
          <w:rtl/>
        </w:rPr>
        <w:t xml:space="preserve"> البحرية </w:t>
      </w:r>
      <w:proofErr w:type="spellStart"/>
      <w:r w:rsidRPr="0058264F">
        <w:rPr>
          <w:rtl/>
        </w:rPr>
        <w:t>ومطاريف</w:t>
      </w:r>
      <w:proofErr w:type="spellEnd"/>
      <w:r w:rsidRPr="0058264F">
        <w:rPr>
          <w:rtl/>
        </w:rPr>
        <w:t xml:space="preserve"> الطيران على التوالي.</w:t>
      </w:r>
    </w:p>
    <w:p w14:paraId="6E58780C" w14:textId="1C35332E" w:rsidR="00F85F93" w:rsidRPr="005D44BB" w:rsidRDefault="00F85F93" w:rsidP="003E559A">
      <w:pPr>
        <w:pStyle w:val="enumlev1"/>
        <w:rPr>
          <w:spacing w:val="2"/>
        </w:rPr>
      </w:pPr>
      <w:r w:rsidRPr="005D44BB">
        <w:rPr>
          <w:spacing w:val="2"/>
        </w:rPr>
        <w:lastRenderedPageBreak/>
        <w:t>–</w:t>
      </w:r>
      <w:r w:rsidRPr="005D44BB">
        <w:rPr>
          <w:spacing w:val="2"/>
          <w:rtl/>
        </w:rPr>
        <w:tab/>
        <w:t xml:space="preserve">وتستند حدود كثافة تدفق القدرة المطبقة في أثناء المرحلة </w:t>
      </w:r>
      <w:r w:rsidRPr="005D44BB">
        <w:rPr>
          <w:spacing w:val="2"/>
        </w:rPr>
        <w:t>2</w:t>
      </w:r>
      <w:r w:rsidRPr="005D44BB">
        <w:rPr>
          <w:spacing w:val="2"/>
          <w:rtl/>
        </w:rPr>
        <w:t xml:space="preserve"> إلى الأداء المفترض للحجب للمحطات الأرضية المتنقلة من الجيل التالي. فبالنسبة للمرحلة </w:t>
      </w:r>
      <w:r w:rsidRPr="005D44BB">
        <w:rPr>
          <w:spacing w:val="2"/>
        </w:rPr>
        <w:t>2</w:t>
      </w:r>
      <w:r w:rsidRPr="005D44BB">
        <w:rPr>
          <w:spacing w:val="2"/>
          <w:rtl/>
        </w:rPr>
        <w:t>، تستند حدود كثافة تدفق القدرة</w:t>
      </w:r>
      <w:r w:rsidRPr="005D44BB">
        <w:rPr>
          <w:spacing w:val="2"/>
          <w:rtl/>
          <w:lang w:bidi="ar-SA"/>
        </w:rPr>
        <w:t xml:space="preserve"> </w:t>
      </w:r>
      <w:r w:rsidRPr="005D44BB">
        <w:rPr>
          <w:spacing w:val="2"/>
          <w:rtl/>
        </w:rPr>
        <w:t xml:space="preserve">الواردة </w:t>
      </w:r>
      <w:r w:rsidRPr="00D97F37">
        <w:rPr>
          <w:spacing w:val="2"/>
          <w:rtl/>
        </w:rPr>
        <w:t xml:space="preserve">في الجدول </w:t>
      </w:r>
      <w:r w:rsidR="002555F2">
        <w:rPr>
          <w:spacing w:val="2"/>
        </w:rPr>
        <w:t>4</w:t>
      </w:r>
      <w:r w:rsidRPr="00D97F37">
        <w:rPr>
          <w:spacing w:val="2"/>
          <w:rtl/>
        </w:rPr>
        <w:t xml:space="preserve"> إلى</w:t>
      </w:r>
      <w:r w:rsidRPr="005D44BB">
        <w:rPr>
          <w:spacing w:val="2"/>
          <w:rtl/>
        </w:rPr>
        <w:t xml:space="preserve"> مستويي حجب يبلغان </w:t>
      </w:r>
      <w:r w:rsidRPr="005D44BB">
        <w:rPr>
          <w:spacing w:val="2"/>
        </w:rPr>
        <w:t>dBm 20</w:t>
      </w:r>
      <w:r w:rsidR="00BF3623">
        <w:rPr>
          <w:spacing w:val="2"/>
        </w:rPr>
        <w:t>–</w:t>
      </w:r>
      <w:r w:rsidRPr="005D44BB">
        <w:rPr>
          <w:spacing w:val="2"/>
          <w:rtl/>
        </w:rPr>
        <w:t xml:space="preserve"> و</w:t>
      </w:r>
      <w:r w:rsidRPr="005D44BB">
        <w:rPr>
          <w:spacing w:val="2"/>
        </w:rPr>
        <w:t>dBm 30</w:t>
      </w:r>
      <w:r w:rsidR="00BF3623">
        <w:rPr>
          <w:spacing w:val="2"/>
        </w:rPr>
        <w:t>–</w:t>
      </w:r>
      <w:r w:rsidRPr="005D44BB">
        <w:rPr>
          <w:spacing w:val="2"/>
          <w:rtl/>
        </w:rPr>
        <w:t xml:space="preserve"> ناتجين عن النطاق </w:t>
      </w:r>
      <w:r w:rsidRPr="005D44BB">
        <w:rPr>
          <w:spacing w:val="2"/>
        </w:rPr>
        <w:t>MHz 1 512-1 502</w:t>
      </w:r>
      <w:r w:rsidRPr="005D44BB">
        <w:rPr>
          <w:spacing w:val="2"/>
          <w:rtl/>
        </w:rPr>
        <w:t xml:space="preserve"> والنطاق </w:t>
      </w:r>
      <w:r w:rsidRPr="005D44BB">
        <w:rPr>
          <w:spacing w:val="2"/>
        </w:rPr>
        <w:t>MHz 1 517-1 512</w:t>
      </w:r>
      <w:r w:rsidRPr="005D44BB">
        <w:rPr>
          <w:spacing w:val="2"/>
          <w:rtl/>
        </w:rPr>
        <w:t xml:space="preserve"> على التوالي؛ وتستند قِيَم كثافة تدفق القدرة</w:t>
      </w:r>
      <w:r w:rsidRPr="005D44BB">
        <w:rPr>
          <w:spacing w:val="2"/>
          <w:rtl/>
          <w:lang w:bidi="ar-SA"/>
        </w:rPr>
        <w:t xml:space="preserve"> </w:t>
      </w:r>
      <w:r w:rsidRPr="005D44BB">
        <w:rPr>
          <w:spacing w:val="2"/>
          <w:rtl/>
        </w:rPr>
        <w:t xml:space="preserve">الواردة في الجدول </w:t>
      </w:r>
      <w:r w:rsidR="002555F2">
        <w:rPr>
          <w:spacing w:val="2"/>
        </w:rPr>
        <w:t>5</w:t>
      </w:r>
      <w:r w:rsidRPr="005D44BB">
        <w:rPr>
          <w:spacing w:val="2"/>
          <w:rtl/>
        </w:rPr>
        <w:t xml:space="preserve"> إلى مستويي حجب يبلغان </w:t>
      </w:r>
      <w:r w:rsidRPr="005D44BB">
        <w:rPr>
          <w:spacing w:val="2"/>
        </w:rPr>
        <w:t>dBm 23</w:t>
      </w:r>
      <w:r w:rsidR="00BF3623">
        <w:rPr>
          <w:spacing w:val="2"/>
        </w:rPr>
        <w:t>–</w:t>
      </w:r>
      <w:r w:rsidRPr="005D44BB">
        <w:rPr>
          <w:spacing w:val="2"/>
          <w:rtl/>
        </w:rPr>
        <w:t xml:space="preserve"> و</w:t>
      </w:r>
      <w:r w:rsidRPr="005D44BB">
        <w:rPr>
          <w:spacing w:val="2"/>
        </w:rPr>
        <w:t>dBm 33</w:t>
      </w:r>
      <w:r w:rsidR="00BF3623">
        <w:rPr>
          <w:spacing w:val="2"/>
        </w:rPr>
        <w:t>–</w:t>
      </w:r>
      <w:r w:rsidR="005D44BB">
        <w:rPr>
          <w:rFonts w:hint="cs"/>
          <w:spacing w:val="2"/>
          <w:rtl/>
        </w:rPr>
        <w:t xml:space="preserve"> </w:t>
      </w:r>
      <w:r w:rsidRPr="005D44BB">
        <w:rPr>
          <w:spacing w:val="2"/>
          <w:rtl/>
        </w:rPr>
        <w:t xml:space="preserve">ناتجين عن النطاق </w:t>
      </w:r>
      <w:r w:rsidRPr="005D44BB">
        <w:rPr>
          <w:spacing w:val="2"/>
        </w:rPr>
        <w:t>MHz 1 512-1 492</w:t>
      </w:r>
      <w:r w:rsidRPr="005D44BB">
        <w:rPr>
          <w:spacing w:val="2"/>
          <w:rtl/>
        </w:rPr>
        <w:t xml:space="preserve"> والنطاق </w:t>
      </w:r>
      <w:r w:rsidRPr="005D44BB">
        <w:rPr>
          <w:spacing w:val="2"/>
        </w:rPr>
        <w:t>MHz 1 517-1 512</w:t>
      </w:r>
      <w:r w:rsidRPr="005D44BB">
        <w:rPr>
          <w:spacing w:val="2"/>
          <w:rtl/>
        </w:rPr>
        <w:t xml:space="preserve"> على التوالي.</w:t>
      </w:r>
    </w:p>
    <w:p w14:paraId="53024FE1" w14:textId="77777777" w:rsidR="00F85F93" w:rsidRPr="0058264F" w:rsidRDefault="00F85F93" w:rsidP="00AF0C07">
      <w:pPr>
        <w:pStyle w:val="TableNo0"/>
      </w:pPr>
      <w:r w:rsidRPr="00770CE6">
        <w:rPr>
          <w:rtl/>
        </w:rPr>
        <w:t xml:space="preserve">الجدول </w:t>
      </w:r>
      <w:r w:rsidRPr="00770CE6">
        <w:t>4</w:t>
      </w:r>
    </w:p>
    <w:p w14:paraId="1ABF5DC1" w14:textId="451A786B" w:rsidR="00F85F93" w:rsidRPr="0058264F" w:rsidRDefault="00F85F93" w:rsidP="003E559A">
      <w:pPr>
        <w:pStyle w:val="Tabletitle"/>
      </w:pPr>
      <w:r w:rsidRPr="0058264F">
        <w:rPr>
          <w:rtl/>
        </w:rPr>
        <w:t>حدود كثافة تدفق القدرة للمحطات القاعدة للاتصالات المتنقلة الدولية التي ترسل قناة واحدة</w:t>
      </w:r>
    </w:p>
    <w:tbl>
      <w:tblPr>
        <w:tblStyle w:val="TableGrid1"/>
        <w:bidiVisual/>
        <w:tblW w:w="5000" w:type="pct"/>
        <w:jc w:val="center"/>
        <w:tblLayout w:type="fixed"/>
        <w:tblLook w:val="04A0" w:firstRow="1" w:lastRow="0" w:firstColumn="1" w:lastColumn="0" w:noHBand="0" w:noVBand="1"/>
      </w:tblPr>
      <w:tblGrid>
        <w:gridCol w:w="1211"/>
        <w:gridCol w:w="1048"/>
        <w:gridCol w:w="1082"/>
        <w:gridCol w:w="1333"/>
        <w:gridCol w:w="1275"/>
        <w:gridCol w:w="1421"/>
        <w:gridCol w:w="1132"/>
        <w:gridCol w:w="1127"/>
      </w:tblGrid>
      <w:tr w:rsidR="00F85F93" w:rsidRPr="00770CE6" w14:paraId="4D9AF295" w14:textId="77777777" w:rsidTr="00D97F37">
        <w:trPr>
          <w:tblHeader/>
          <w:jc w:val="center"/>
        </w:trPr>
        <w:tc>
          <w:tcPr>
            <w:tcW w:w="629" w:type="pct"/>
            <w:vAlign w:val="center"/>
            <w:hideMark/>
          </w:tcPr>
          <w:p w14:paraId="3A7C87FC" w14:textId="77777777"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المرحلة</w:t>
            </w:r>
          </w:p>
        </w:tc>
        <w:tc>
          <w:tcPr>
            <w:tcW w:w="544" w:type="pct"/>
            <w:vAlign w:val="center"/>
          </w:tcPr>
          <w:p w14:paraId="5679A457" w14:textId="77777777" w:rsidR="00F85F93" w:rsidRPr="00D97F37" w:rsidRDefault="00F85F93" w:rsidP="00D97F37">
            <w:pPr>
              <w:pStyle w:val="Tablehead"/>
              <w:spacing w:line="240" w:lineRule="exact"/>
              <w:rPr>
                <w:rFonts w:ascii="Times New Roman" w:hAnsi="Times New Roman"/>
                <w:sz w:val="18"/>
                <w:szCs w:val="24"/>
              </w:rPr>
            </w:pPr>
          </w:p>
        </w:tc>
        <w:tc>
          <w:tcPr>
            <w:tcW w:w="1916" w:type="pct"/>
            <w:gridSpan w:val="3"/>
            <w:vAlign w:val="center"/>
            <w:hideMark/>
          </w:tcPr>
          <w:p w14:paraId="13A276A0" w14:textId="77777777"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 xml:space="preserve">المرحلة </w:t>
            </w:r>
            <w:r w:rsidRPr="00D97F37">
              <w:rPr>
                <w:rFonts w:ascii="Times New Roman" w:hAnsi="Times New Roman"/>
                <w:sz w:val="18"/>
                <w:szCs w:val="24"/>
              </w:rPr>
              <w:t>1</w:t>
            </w:r>
          </w:p>
        </w:tc>
        <w:tc>
          <w:tcPr>
            <w:tcW w:w="1911" w:type="pct"/>
            <w:gridSpan w:val="3"/>
            <w:vAlign w:val="center"/>
            <w:hideMark/>
          </w:tcPr>
          <w:p w14:paraId="5AAD8382" w14:textId="77777777"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 xml:space="preserve">المرحلة </w:t>
            </w:r>
            <w:r w:rsidRPr="00D97F37">
              <w:rPr>
                <w:rFonts w:ascii="Times New Roman" w:hAnsi="Times New Roman"/>
                <w:sz w:val="18"/>
                <w:szCs w:val="24"/>
              </w:rPr>
              <w:t>2</w:t>
            </w:r>
          </w:p>
        </w:tc>
      </w:tr>
      <w:tr w:rsidR="00D97F37" w:rsidRPr="00770CE6" w14:paraId="391B2E57" w14:textId="77777777" w:rsidTr="00D97F37">
        <w:trPr>
          <w:tblHeader/>
          <w:jc w:val="center"/>
        </w:trPr>
        <w:tc>
          <w:tcPr>
            <w:tcW w:w="629" w:type="pct"/>
            <w:vAlign w:val="center"/>
          </w:tcPr>
          <w:p w14:paraId="4C592E99" w14:textId="77777777" w:rsidR="00F85F93" w:rsidRPr="00D97F37" w:rsidRDefault="00F85F93" w:rsidP="00D97F37">
            <w:pPr>
              <w:pStyle w:val="Tablehead"/>
              <w:keepLines/>
              <w:spacing w:line="240" w:lineRule="exact"/>
              <w:rPr>
                <w:rFonts w:ascii="Times New Roman" w:hAnsi="Times New Roman"/>
                <w:sz w:val="18"/>
                <w:szCs w:val="24"/>
              </w:rPr>
            </w:pPr>
            <w:bookmarkStart w:id="9" w:name="_Hlk158647555"/>
          </w:p>
        </w:tc>
        <w:tc>
          <w:tcPr>
            <w:tcW w:w="544" w:type="pct"/>
            <w:vAlign w:val="center"/>
            <w:hideMark/>
          </w:tcPr>
          <w:p w14:paraId="145D6FB6" w14:textId="77777777"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 xml:space="preserve">كسب هوائي </w:t>
            </w:r>
            <w:proofErr w:type="spellStart"/>
            <w:r w:rsidRPr="00D97F37">
              <w:rPr>
                <w:rFonts w:ascii="Times New Roman" w:hAnsi="Times New Roman"/>
                <w:sz w:val="18"/>
                <w:szCs w:val="24"/>
                <w:rtl/>
              </w:rPr>
              <w:t>مطراف</w:t>
            </w:r>
            <w:proofErr w:type="spellEnd"/>
            <w:r w:rsidRPr="00D97F37">
              <w:rPr>
                <w:rFonts w:ascii="Times New Roman" w:hAnsi="Times New Roman"/>
                <w:sz w:val="18"/>
                <w:szCs w:val="24"/>
                <w:rtl/>
              </w:rPr>
              <w:t xml:space="preserve"> المحطة الأرضية المتنقلة </w:t>
            </w:r>
            <w:r w:rsidRPr="00D97F37">
              <w:rPr>
                <w:rFonts w:ascii="Times New Roman" w:hAnsi="Times New Roman"/>
                <w:sz w:val="18"/>
                <w:szCs w:val="24"/>
              </w:rPr>
              <w:t>(</w:t>
            </w:r>
            <w:proofErr w:type="spellStart"/>
            <w:r w:rsidRPr="00D97F37">
              <w:rPr>
                <w:rFonts w:ascii="Times New Roman" w:hAnsi="Times New Roman"/>
                <w:sz w:val="18"/>
                <w:szCs w:val="24"/>
              </w:rPr>
              <w:t>dBi</w:t>
            </w:r>
            <w:proofErr w:type="spellEnd"/>
            <w:r w:rsidRPr="00D97F37">
              <w:rPr>
                <w:rFonts w:ascii="Times New Roman" w:hAnsi="Times New Roman"/>
                <w:sz w:val="18"/>
                <w:szCs w:val="24"/>
              </w:rPr>
              <w:t>)</w:t>
            </w:r>
          </w:p>
        </w:tc>
        <w:tc>
          <w:tcPr>
            <w:tcW w:w="562" w:type="pct"/>
            <w:vAlign w:val="center"/>
            <w:hideMark/>
          </w:tcPr>
          <w:p w14:paraId="5F936192" w14:textId="6C6C5E7E" w:rsidR="00D97F37" w:rsidRPr="00D97F37" w:rsidRDefault="00F85F93" w:rsidP="00D97F37">
            <w:pPr>
              <w:pStyle w:val="Tablehead"/>
              <w:spacing w:line="240" w:lineRule="exact"/>
              <w:rPr>
                <w:b w:val="0"/>
                <w:bCs w:val="0"/>
                <w:sz w:val="18"/>
                <w:szCs w:val="18"/>
                <w:lang w:bidi="ar-SY"/>
              </w:rPr>
            </w:pPr>
            <w:r w:rsidRPr="00D97F37">
              <w:rPr>
                <w:rFonts w:ascii="Times New Roman" w:hAnsi="Times New Roman"/>
                <w:sz w:val="18"/>
                <w:szCs w:val="24"/>
                <w:rtl/>
              </w:rPr>
              <w:t>حدّ كثافة تدفق القدرة لإرسالات المحطات القاعدة في النطاق</w:t>
            </w:r>
            <w:r w:rsidR="00D97F37">
              <w:rPr>
                <w:rFonts w:ascii="Times New Roman" w:hAnsi="Times New Roman"/>
                <w:sz w:val="18"/>
                <w:szCs w:val="24"/>
                <w:rtl/>
                <w:lang w:bidi="ar-SY"/>
              </w:rPr>
              <w:br/>
            </w:r>
            <w:r w:rsidR="00D97F37">
              <w:rPr>
                <w:rFonts w:ascii="Times New Roman" w:hAnsi="Times New Roman"/>
                <w:sz w:val="18"/>
                <w:szCs w:val="24"/>
                <w:lang w:bidi="ar-SY"/>
              </w:rPr>
              <w:t>MHz 1 502</w:t>
            </w:r>
            <w:r w:rsidR="00D97F37">
              <w:rPr>
                <w:rFonts w:ascii="Times New Roman" w:hAnsi="Times New Roman"/>
                <w:sz w:val="18"/>
                <w:szCs w:val="24"/>
                <w:lang w:bidi="ar-SY"/>
              </w:rPr>
              <w:noBreakHyphen/>
              <w:t>1 492</w:t>
            </w:r>
            <w:r w:rsidR="00D97F37">
              <w:rPr>
                <w:rFonts w:ascii="Times New Roman" w:hAnsi="Times New Roman" w:hint="cs"/>
                <w:sz w:val="18"/>
                <w:szCs w:val="24"/>
                <w:rtl/>
                <w:lang w:bidi="ar-SY"/>
              </w:rPr>
              <w:t xml:space="preserve"> </w:t>
            </w:r>
            <w:r w:rsidR="00D97F37" w:rsidRPr="00D97F37">
              <w:rPr>
                <w:rFonts w:ascii="Times New Roman" w:hAnsi="Times New Roman" w:cs="Times New Roman"/>
                <w:sz w:val="18"/>
                <w:szCs w:val="18"/>
              </w:rPr>
              <w:t>(</w:t>
            </w:r>
            <w:proofErr w:type="spellStart"/>
            <w:r w:rsidR="00D97F37" w:rsidRPr="00D97F37">
              <w:rPr>
                <w:rFonts w:ascii="Times New Roman" w:hAnsi="Times New Roman" w:cs="Times New Roman"/>
                <w:sz w:val="18"/>
                <w:szCs w:val="18"/>
              </w:rPr>
              <w:t>dBW</w:t>
            </w:r>
            <w:proofErr w:type="spellEnd"/>
            <w:r w:rsidR="00D97F37" w:rsidRPr="00D97F37">
              <w:rPr>
                <w:rFonts w:ascii="Times New Roman" w:hAnsi="Times New Roman" w:cs="Times New Roman"/>
                <w:sz w:val="18"/>
                <w:szCs w:val="18"/>
              </w:rPr>
              <w:t>/m</w:t>
            </w:r>
            <w:r w:rsidR="00D97F37" w:rsidRPr="00D97F37">
              <w:rPr>
                <w:rFonts w:ascii="Times New Roman" w:hAnsi="Times New Roman" w:cs="Times New Roman"/>
                <w:sz w:val="18"/>
                <w:szCs w:val="18"/>
                <w:vertAlign w:val="superscript"/>
              </w:rPr>
              <w:t>2</w:t>
            </w:r>
            <w:r w:rsidR="00D97F37" w:rsidRPr="00D97F37">
              <w:rPr>
                <w:rFonts w:ascii="Times New Roman" w:hAnsi="Times New Roman" w:cs="Times New Roman"/>
                <w:sz w:val="18"/>
                <w:szCs w:val="18"/>
              </w:rPr>
              <w:t>)</w:t>
            </w:r>
          </w:p>
        </w:tc>
        <w:tc>
          <w:tcPr>
            <w:tcW w:w="692" w:type="pct"/>
            <w:vAlign w:val="center"/>
            <w:hideMark/>
          </w:tcPr>
          <w:p w14:paraId="341310AE" w14:textId="4723E5F1"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حدّ كثافة تدفق القدرة لإرسالات المحطات القاعدة في النطاق</w:t>
            </w:r>
            <w:r w:rsidR="0058264F" w:rsidRPr="00D97F37">
              <w:rPr>
                <w:rFonts w:ascii="Times New Roman" w:hAnsi="Times New Roman"/>
                <w:sz w:val="18"/>
                <w:szCs w:val="24"/>
              </w:rPr>
              <w:br/>
            </w:r>
            <w:r w:rsidR="00FD391D" w:rsidRPr="00D97F37">
              <w:rPr>
                <w:rFonts w:ascii="Times New Roman" w:hAnsi="Times New Roman"/>
                <w:sz w:val="18"/>
                <w:szCs w:val="24"/>
              </w:rPr>
              <w:t>MHz 1 512-1 502</w:t>
            </w:r>
            <w:r w:rsidR="00FD391D" w:rsidRPr="00D97F37">
              <w:rPr>
                <w:rFonts w:ascii="Times New Roman" w:hAnsi="Times New Roman" w:hint="cs"/>
                <w:sz w:val="18"/>
                <w:szCs w:val="24"/>
                <w:rtl/>
                <w:lang w:bidi="ar-EG"/>
              </w:rPr>
              <w:t xml:space="preserve"> </w:t>
            </w:r>
            <w:r w:rsidR="00FD391D" w:rsidRPr="00D97F37">
              <w:rPr>
                <w:rFonts w:ascii="Times New Roman" w:hAnsi="Times New Roman"/>
                <w:sz w:val="18"/>
                <w:szCs w:val="24"/>
                <w:lang w:bidi="ar-EG"/>
              </w:rPr>
              <w:t>(</w:t>
            </w:r>
            <w:proofErr w:type="spellStart"/>
            <w:r w:rsidR="00FD391D" w:rsidRPr="00D97F37">
              <w:rPr>
                <w:rFonts w:ascii="Times New Roman" w:hAnsi="Times New Roman"/>
                <w:sz w:val="18"/>
                <w:szCs w:val="24"/>
                <w:lang w:bidi="ar-EG"/>
              </w:rPr>
              <w:t>dBW</w:t>
            </w:r>
            <w:proofErr w:type="spellEnd"/>
            <w:r w:rsidR="00FD391D" w:rsidRPr="00D97F37">
              <w:rPr>
                <w:rFonts w:ascii="Times New Roman" w:hAnsi="Times New Roman"/>
                <w:sz w:val="18"/>
                <w:szCs w:val="24"/>
                <w:lang w:bidi="ar-EG"/>
              </w:rPr>
              <w:t>/m</w:t>
            </w:r>
            <w:r w:rsidR="00FD391D" w:rsidRPr="00D97F37">
              <w:rPr>
                <w:rFonts w:ascii="Times New Roman" w:hAnsi="Times New Roman"/>
                <w:sz w:val="18"/>
                <w:szCs w:val="24"/>
                <w:vertAlign w:val="superscript"/>
                <w:lang w:bidi="ar-EG"/>
              </w:rPr>
              <w:t>2</w:t>
            </w:r>
            <w:r w:rsidR="00FD391D" w:rsidRPr="00D97F37">
              <w:rPr>
                <w:rFonts w:ascii="Times New Roman" w:hAnsi="Times New Roman"/>
                <w:sz w:val="18"/>
                <w:szCs w:val="24"/>
                <w:lang w:bidi="ar-EG"/>
              </w:rPr>
              <w:t>)</w:t>
            </w:r>
          </w:p>
        </w:tc>
        <w:tc>
          <w:tcPr>
            <w:tcW w:w="662" w:type="pct"/>
            <w:vAlign w:val="center"/>
            <w:hideMark/>
          </w:tcPr>
          <w:p w14:paraId="5A73B99A" w14:textId="664FAC89"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حدّ كثافة تدفق القدرة لإرسالات المحطات القاعدة في النطاق</w:t>
            </w:r>
            <w:r w:rsidR="0058264F" w:rsidRPr="00D97F37">
              <w:rPr>
                <w:rFonts w:ascii="Times New Roman" w:hAnsi="Times New Roman"/>
                <w:sz w:val="18"/>
                <w:szCs w:val="24"/>
              </w:rPr>
              <w:br/>
            </w:r>
            <w:r w:rsidR="00FD391D" w:rsidRPr="00D97F37">
              <w:rPr>
                <w:rFonts w:ascii="Times New Roman" w:hAnsi="Times New Roman"/>
                <w:sz w:val="18"/>
                <w:szCs w:val="24"/>
              </w:rPr>
              <w:t>MHz 1 517-1 512</w:t>
            </w:r>
            <w:r w:rsidR="00FD391D" w:rsidRPr="00D97F37">
              <w:rPr>
                <w:rFonts w:ascii="Times New Roman" w:hAnsi="Times New Roman" w:hint="cs"/>
                <w:sz w:val="18"/>
                <w:szCs w:val="24"/>
                <w:rtl/>
                <w:lang w:bidi="ar-EG"/>
              </w:rPr>
              <w:t xml:space="preserve"> </w:t>
            </w:r>
            <w:r w:rsidR="00FD391D" w:rsidRPr="00D97F37">
              <w:rPr>
                <w:rFonts w:ascii="Times New Roman" w:hAnsi="Times New Roman"/>
                <w:sz w:val="18"/>
                <w:szCs w:val="24"/>
                <w:lang w:bidi="ar-EG"/>
              </w:rPr>
              <w:t>(</w:t>
            </w:r>
            <w:proofErr w:type="spellStart"/>
            <w:r w:rsidR="00FD391D" w:rsidRPr="00D97F37">
              <w:rPr>
                <w:rFonts w:ascii="Times New Roman" w:hAnsi="Times New Roman"/>
                <w:sz w:val="18"/>
                <w:szCs w:val="24"/>
                <w:lang w:bidi="ar-EG"/>
              </w:rPr>
              <w:t>dBW</w:t>
            </w:r>
            <w:proofErr w:type="spellEnd"/>
            <w:r w:rsidR="00FD391D" w:rsidRPr="00D97F37">
              <w:rPr>
                <w:rFonts w:ascii="Times New Roman" w:hAnsi="Times New Roman"/>
                <w:sz w:val="18"/>
                <w:szCs w:val="24"/>
                <w:lang w:bidi="ar-EG"/>
              </w:rPr>
              <w:t>/m</w:t>
            </w:r>
            <w:r w:rsidR="00FD391D" w:rsidRPr="00D97F37">
              <w:rPr>
                <w:rFonts w:ascii="Times New Roman" w:hAnsi="Times New Roman"/>
                <w:sz w:val="18"/>
                <w:szCs w:val="24"/>
                <w:vertAlign w:val="superscript"/>
                <w:lang w:bidi="ar-EG"/>
              </w:rPr>
              <w:t>2</w:t>
            </w:r>
            <w:r w:rsidR="00FD391D" w:rsidRPr="00D97F37">
              <w:rPr>
                <w:rFonts w:ascii="Times New Roman" w:hAnsi="Times New Roman"/>
                <w:sz w:val="18"/>
                <w:szCs w:val="24"/>
                <w:lang w:bidi="ar-EG"/>
              </w:rPr>
              <w:t>)</w:t>
            </w:r>
          </w:p>
        </w:tc>
        <w:tc>
          <w:tcPr>
            <w:tcW w:w="738" w:type="pct"/>
            <w:vAlign w:val="center"/>
            <w:hideMark/>
          </w:tcPr>
          <w:p w14:paraId="24A43358" w14:textId="62A2AF6E"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حدّ كثافة تدفق القدرة لإرسالات المحطات القاعدة في النطاق</w:t>
            </w:r>
            <w:r w:rsidR="0058264F" w:rsidRPr="00D97F37">
              <w:rPr>
                <w:rFonts w:ascii="Times New Roman" w:hAnsi="Times New Roman"/>
                <w:sz w:val="18"/>
                <w:szCs w:val="24"/>
              </w:rPr>
              <w:br/>
            </w:r>
            <w:r w:rsidR="00FD391D" w:rsidRPr="00D97F37">
              <w:rPr>
                <w:rFonts w:ascii="Times New Roman" w:hAnsi="Times New Roman"/>
                <w:sz w:val="18"/>
                <w:szCs w:val="24"/>
              </w:rPr>
              <w:t>MHz</w:t>
            </w:r>
            <w:r w:rsidR="00D97F37">
              <w:rPr>
                <w:rFonts w:ascii="Times New Roman" w:hAnsi="Times New Roman"/>
                <w:sz w:val="18"/>
                <w:szCs w:val="24"/>
              </w:rPr>
              <w:t> </w:t>
            </w:r>
            <w:r w:rsidR="00FD391D" w:rsidRPr="00D97F37">
              <w:rPr>
                <w:rFonts w:ascii="Times New Roman" w:hAnsi="Times New Roman"/>
                <w:sz w:val="18"/>
                <w:szCs w:val="24"/>
              </w:rPr>
              <w:t>1</w:t>
            </w:r>
            <w:r w:rsidR="00D97F37">
              <w:rPr>
                <w:rFonts w:ascii="Times New Roman" w:hAnsi="Times New Roman"/>
                <w:sz w:val="18"/>
                <w:szCs w:val="24"/>
              </w:rPr>
              <w:t> </w:t>
            </w:r>
            <w:r w:rsidR="00FD391D" w:rsidRPr="00D97F37">
              <w:rPr>
                <w:rFonts w:ascii="Times New Roman" w:hAnsi="Times New Roman"/>
                <w:sz w:val="18"/>
                <w:szCs w:val="24"/>
              </w:rPr>
              <w:t>502</w:t>
            </w:r>
            <w:r w:rsidR="00D97F37">
              <w:rPr>
                <w:rFonts w:ascii="Times New Roman" w:hAnsi="Times New Roman"/>
                <w:sz w:val="18"/>
                <w:szCs w:val="24"/>
              </w:rPr>
              <w:t xml:space="preserve">- </w:t>
            </w:r>
            <w:r w:rsidR="00FD391D" w:rsidRPr="00D97F37">
              <w:rPr>
                <w:rFonts w:ascii="Times New Roman" w:hAnsi="Times New Roman"/>
                <w:sz w:val="18"/>
                <w:szCs w:val="24"/>
              </w:rPr>
              <w:t>1</w:t>
            </w:r>
            <w:r w:rsidR="00D97F37">
              <w:rPr>
                <w:rFonts w:ascii="Times New Roman" w:hAnsi="Times New Roman"/>
                <w:sz w:val="18"/>
                <w:szCs w:val="24"/>
              </w:rPr>
              <w:t> </w:t>
            </w:r>
            <w:r w:rsidR="00FD391D" w:rsidRPr="00D97F37">
              <w:rPr>
                <w:rFonts w:ascii="Times New Roman" w:hAnsi="Times New Roman"/>
                <w:sz w:val="18"/>
                <w:szCs w:val="24"/>
              </w:rPr>
              <w:t>492</w:t>
            </w:r>
            <w:r w:rsidR="00FD391D" w:rsidRPr="00D97F37">
              <w:rPr>
                <w:rFonts w:ascii="Times New Roman" w:hAnsi="Times New Roman" w:hint="cs"/>
                <w:sz w:val="18"/>
                <w:szCs w:val="24"/>
                <w:rtl/>
                <w:lang w:bidi="ar-EG"/>
              </w:rPr>
              <w:t xml:space="preserve"> </w:t>
            </w:r>
            <w:r w:rsidR="00FD391D" w:rsidRPr="00D97F37">
              <w:rPr>
                <w:rFonts w:ascii="Times New Roman" w:hAnsi="Times New Roman"/>
                <w:sz w:val="18"/>
                <w:szCs w:val="24"/>
                <w:lang w:bidi="ar-EG"/>
              </w:rPr>
              <w:t>(</w:t>
            </w:r>
            <w:proofErr w:type="spellStart"/>
            <w:r w:rsidR="00FD391D" w:rsidRPr="00D97F37">
              <w:rPr>
                <w:rFonts w:ascii="Times New Roman" w:hAnsi="Times New Roman"/>
                <w:sz w:val="18"/>
                <w:szCs w:val="24"/>
                <w:lang w:bidi="ar-EG"/>
              </w:rPr>
              <w:t>dBW</w:t>
            </w:r>
            <w:proofErr w:type="spellEnd"/>
            <w:r w:rsidR="00FD391D" w:rsidRPr="00D97F37">
              <w:rPr>
                <w:rFonts w:ascii="Times New Roman" w:hAnsi="Times New Roman"/>
                <w:sz w:val="18"/>
                <w:szCs w:val="24"/>
                <w:lang w:bidi="ar-EG"/>
              </w:rPr>
              <w:t>/m</w:t>
            </w:r>
            <w:r w:rsidR="00FD391D" w:rsidRPr="00D97F37">
              <w:rPr>
                <w:rFonts w:ascii="Times New Roman" w:hAnsi="Times New Roman"/>
                <w:sz w:val="18"/>
                <w:szCs w:val="24"/>
                <w:vertAlign w:val="superscript"/>
                <w:lang w:bidi="ar-EG"/>
              </w:rPr>
              <w:t>2</w:t>
            </w:r>
            <w:r w:rsidR="00FD391D" w:rsidRPr="00D97F37">
              <w:rPr>
                <w:rFonts w:ascii="Times New Roman" w:hAnsi="Times New Roman"/>
                <w:sz w:val="18"/>
                <w:szCs w:val="24"/>
                <w:lang w:bidi="ar-EG"/>
              </w:rPr>
              <w:t>)</w:t>
            </w:r>
          </w:p>
        </w:tc>
        <w:tc>
          <w:tcPr>
            <w:tcW w:w="588" w:type="pct"/>
            <w:vAlign w:val="center"/>
            <w:hideMark/>
          </w:tcPr>
          <w:p w14:paraId="4A528E1C" w14:textId="56D210D5" w:rsidR="0058264F"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حدّ كثافة تدفق القدرة لإرسالات المحطات القاعدة في النطاق</w:t>
            </w:r>
            <w:r w:rsidR="0058264F" w:rsidRPr="00D97F37">
              <w:rPr>
                <w:rFonts w:ascii="Times New Roman" w:hAnsi="Times New Roman"/>
                <w:sz w:val="18"/>
                <w:szCs w:val="24"/>
              </w:rPr>
              <w:br/>
            </w:r>
            <w:r w:rsidR="00FD391D" w:rsidRPr="00D97F37">
              <w:rPr>
                <w:rFonts w:ascii="Times New Roman" w:hAnsi="Times New Roman"/>
                <w:sz w:val="18"/>
                <w:szCs w:val="24"/>
              </w:rPr>
              <w:t>MHz</w:t>
            </w:r>
            <w:r w:rsidR="00D97F37">
              <w:rPr>
                <w:rFonts w:ascii="Times New Roman" w:hAnsi="Times New Roman"/>
                <w:sz w:val="18"/>
                <w:szCs w:val="24"/>
              </w:rPr>
              <w:t> </w:t>
            </w:r>
            <w:r w:rsidR="00FD391D" w:rsidRPr="00D97F37">
              <w:rPr>
                <w:rFonts w:ascii="Times New Roman" w:hAnsi="Times New Roman"/>
                <w:sz w:val="18"/>
                <w:szCs w:val="24"/>
              </w:rPr>
              <w:t>1</w:t>
            </w:r>
            <w:r w:rsidR="00D97F37">
              <w:rPr>
                <w:rFonts w:ascii="Times New Roman" w:hAnsi="Times New Roman"/>
                <w:sz w:val="18"/>
                <w:szCs w:val="24"/>
              </w:rPr>
              <w:t> </w:t>
            </w:r>
            <w:r w:rsidR="00FD391D" w:rsidRPr="00D97F37">
              <w:rPr>
                <w:rFonts w:ascii="Times New Roman" w:hAnsi="Times New Roman"/>
                <w:sz w:val="18"/>
                <w:szCs w:val="24"/>
              </w:rPr>
              <w:t>512</w:t>
            </w:r>
            <w:r w:rsidR="00D97F37">
              <w:rPr>
                <w:rFonts w:ascii="Times New Roman" w:hAnsi="Times New Roman"/>
                <w:sz w:val="18"/>
                <w:szCs w:val="24"/>
              </w:rPr>
              <w:noBreakHyphen/>
            </w:r>
            <w:r w:rsidR="00FD391D" w:rsidRPr="00D97F37">
              <w:rPr>
                <w:rFonts w:ascii="Times New Roman" w:hAnsi="Times New Roman"/>
                <w:sz w:val="18"/>
                <w:szCs w:val="24"/>
              </w:rPr>
              <w:t>1</w:t>
            </w:r>
            <w:r w:rsidR="00D97F37">
              <w:rPr>
                <w:rFonts w:ascii="Times New Roman" w:hAnsi="Times New Roman"/>
                <w:sz w:val="18"/>
                <w:szCs w:val="24"/>
              </w:rPr>
              <w:t> </w:t>
            </w:r>
            <w:r w:rsidR="00FD391D" w:rsidRPr="00D97F37">
              <w:rPr>
                <w:rFonts w:ascii="Times New Roman" w:hAnsi="Times New Roman"/>
                <w:sz w:val="18"/>
                <w:szCs w:val="24"/>
              </w:rPr>
              <w:t>502</w:t>
            </w:r>
            <w:r w:rsidR="00FD391D" w:rsidRPr="00D97F37">
              <w:rPr>
                <w:rFonts w:ascii="Times New Roman" w:hAnsi="Times New Roman" w:hint="cs"/>
                <w:sz w:val="18"/>
                <w:szCs w:val="24"/>
                <w:rtl/>
                <w:lang w:bidi="ar-EG"/>
              </w:rPr>
              <w:t xml:space="preserve"> </w:t>
            </w:r>
            <w:r w:rsidR="00FD391D" w:rsidRPr="00D97F37">
              <w:rPr>
                <w:rFonts w:ascii="Times New Roman" w:hAnsi="Times New Roman"/>
                <w:sz w:val="18"/>
                <w:szCs w:val="24"/>
                <w:lang w:bidi="ar-EG"/>
              </w:rPr>
              <w:t>(</w:t>
            </w:r>
            <w:proofErr w:type="spellStart"/>
            <w:r w:rsidR="00FD391D" w:rsidRPr="00D97F37">
              <w:rPr>
                <w:rFonts w:ascii="Times New Roman" w:hAnsi="Times New Roman"/>
                <w:sz w:val="18"/>
                <w:szCs w:val="24"/>
                <w:lang w:bidi="ar-EG"/>
              </w:rPr>
              <w:t>dBW</w:t>
            </w:r>
            <w:proofErr w:type="spellEnd"/>
            <w:r w:rsidR="00FD391D" w:rsidRPr="00D97F37">
              <w:rPr>
                <w:rFonts w:ascii="Times New Roman" w:hAnsi="Times New Roman"/>
                <w:sz w:val="18"/>
                <w:szCs w:val="24"/>
                <w:lang w:bidi="ar-EG"/>
              </w:rPr>
              <w:t>/m</w:t>
            </w:r>
            <w:r w:rsidR="00FD391D" w:rsidRPr="00D97F37">
              <w:rPr>
                <w:rFonts w:ascii="Times New Roman" w:hAnsi="Times New Roman"/>
                <w:sz w:val="18"/>
                <w:szCs w:val="24"/>
                <w:vertAlign w:val="superscript"/>
                <w:lang w:bidi="ar-EG"/>
              </w:rPr>
              <w:t>2</w:t>
            </w:r>
            <w:r w:rsidR="00FD391D" w:rsidRPr="00D97F37">
              <w:rPr>
                <w:rFonts w:ascii="Times New Roman" w:hAnsi="Times New Roman"/>
                <w:sz w:val="18"/>
                <w:szCs w:val="24"/>
                <w:lang w:bidi="ar-EG"/>
              </w:rPr>
              <w:t>)</w:t>
            </w:r>
          </w:p>
        </w:tc>
        <w:tc>
          <w:tcPr>
            <w:tcW w:w="585" w:type="pct"/>
            <w:vAlign w:val="center"/>
            <w:hideMark/>
          </w:tcPr>
          <w:p w14:paraId="5C22AB87" w14:textId="0350B7BD" w:rsidR="00F85F93" w:rsidRPr="00D97F37" w:rsidRDefault="00F85F93" w:rsidP="00D97F37">
            <w:pPr>
              <w:pStyle w:val="Tablehead"/>
              <w:spacing w:line="240" w:lineRule="exact"/>
              <w:rPr>
                <w:rFonts w:ascii="Times New Roman" w:hAnsi="Times New Roman"/>
                <w:sz w:val="18"/>
                <w:szCs w:val="24"/>
              </w:rPr>
            </w:pPr>
            <w:r w:rsidRPr="00D97F37">
              <w:rPr>
                <w:rFonts w:ascii="Times New Roman" w:hAnsi="Times New Roman"/>
                <w:sz w:val="18"/>
                <w:szCs w:val="24"/>
                <w:rtl/>
              </w:rPr>
              <w:t>حدّ كثافة تدفق القدرة لإرسالات المحطات القاعدة في النطاق</w:t>
            </w:r>
            <w:r w:rsidR="00D97F37">
              <w:rPr>
                <w:rFonts w:ascii="Times New Roman" w:hAnsi="Times New Roman" w:hint="cs"/>
                <w:sz w:val="18"/>
                <w:szCs w:val="24"/>
                <w:rtl/>
              </w:rPr>
              <w:t xml:space="preserve"> </w:t>
            </w:r>
            <w:r w:rsidR="00FD391D" w:rsidRPr="00D97F37">
              <w:rPr>
                <w:rFonts w:ascii="Times New Roman" w:hAnsi="Times New Roman"/>
                <w:sz w:val="18"/>
                <w:szCs w:val="24"/>
              </w:rPr>
              <w:t>MHz</w:t>
            </w:r>
            <w:r w:rsidR="00D97F37">
              <w:rPr>
                <w:rFonts w:ascii="Times New Roman" w:hAnsi="Times New Roman"/>
                <w:sz w:val="18"/>
                <w:szCs w:val="24"/>
              </w:rPr>
              <w:t> </w:t>
            </w:r>
            <w:r w:rsidR="00FD391D" w:rsidRPr="00D97F37">
              <w:rPr>
                <w:rFonts w:ascii="Times New Roman" w:hAnsi="Times New Roman"/>
                <w:sz w:val="18"/>
                <w:szCs w:val="24"/>
              </w:rPr>
              <w:t>1</w:t>
            </w:r>
            <w:r w:rsidR="00D97F37">
              <w:rPr>
                <w:rFonts w:ascii="Times New Roman" w:hAnsi="Times New Roman"/>
                <w:sz w:val="18"/>
                <w:szCs w:val="24"/>
              </w:rPr>
              <w:t> </w:t>
            </w:r>
            <w:r w:rsidR="00FD391D" w:rsidRPr="00D97F37">
              <w:rPr>
                <w:rFonts w:ascii="Times New Roman" w:hAnsi="Times New Roman"/>
                <w:sz w:val="18"/>
                <w:szCs w:val="24"/>
              </w:rPr>
              <w:t>517</w:t>
            </w:r>
            <w:r w:rsidR="00D97F37">
              <w:rPr>
                <w:rFonts w:ascii="Times New Roman" w:hAnsi="Times New Roman"/>
                <w:sz w:val="18"/>
                <w:szCs w:val="24"/>
              </w:rPr>
              <w:noBreakHyphen/>
            </w:r>
            <w:r w:rsidR="00FD391D" w:rsidRPr="00D97F37">
              <w:rPr>
                <w:rFonts w:ascii="Times New Roman" w:hAnsi="Times New Roman"/>
                <w:sz w:val="18"/>
                <w:szCs w:val="24"/>
              </w:rPr>
              <w:t>1</w:t>
            </w:r>
            <w:r w:rsidR="00D97F37">
              <w:rPr>
                <w:rFonts w:ascii="Times New Roman" w:hAnsi="Times New Roman"/>
                <w:sz w:val="18"/>
                <w:szCs w:val="24"/>
              </w:rPr>
              <w:t> </w:t>
            </w:r>
            <w:r w:rsidR="00FD391D" w:rsidRPr="00D97F37">
              <w:rPr>
                <w:rFonts w:ascii="Times New Roman" w:hAnsi="Times New Roman"/>
                <w:sz w:val="18"/>
                <w:szCs w:val="24"/>
              </w:rPr>
              <w:t>512</w:t>
            </w:r>
            <w:r w:rsidR="00FD391D" w:rsidRPr="00D97F37">
              <w:rPr>
                <w:rFonts w:ascii="Times New Roman" w:hAnsi="Times New Roman" w:hint="cs"/>
                <w:sz w:val="18"/>
                <w:szCs w:val="24"/>
                <w:rtl/>
                <w:lang w:bidi="ar-EG"/>
              </w:rPr>
              <w:t xml:space="preserve"> </w:t>
            </w:r>
            <w:r w:rsidR="00FD391D" w:rsidRPr="00D97F37">
              <w:rPr>
                <w:rFonts w:ascii="Times New Roman" w:hAnsi="Times New Roman"/>
                <w:sz w:val="18"/>
                <w:szCs w:val="24"/>
                <w:lang w:bidi="ar-EG"/>
              </w:rPr>
              <w:t>(</w:t>
            </w:r>
            <w:proofErr w:type="spellStart"/>
            <w:r w:rsidR="00FD391D" w:rsidRPr="00D97F37">
              <w:rPr>
                <w:rFonts w:ascii="Times New Roman" w:hAnsi="Times New Roman"/>
                <w:sz w:val="18"/>
                <w:szCs w:val="24"/>
                <w:lang w:bidi="ar-EG"/>
              </w:rPr>
              <w:t>dBW</w:t>
            </w:r>
            <w:proofErr w:type="spellEnd"/>
            <w:r w:rsidR="00FD391D" w:rsidRPr="00D97F37">
              <w:rPr>
                <w:rFonts w:ascii="Times New Roman" w:hAnsi="Times New Roman"/>
                <w:sz w:val="18"/>
                <w:szCs w:val="24"/>
                <w:lang w:bidi="ar-EG"/>
              </w:rPr>
              <w:t>/m</w:t>
            </w:r>
            <w:r w:rsidR="00FD391D" w:rsidRPr="00D97F37">
              <w:rPr>
                <w:rFonts w:ascii="Times New Roman" w:hAnsi="Times New Roman"/>
                <w:sz w:val="18"/>
                <w:szCs w:val="24"/>
                <w:vertAlign w:val="superscript"/>
                <w:lang w:bidi="ar-EG"/>
              </w:rPr>
              <w:t>2</w:t>
            </w:r>
            <w:r w:rsidR="00FD391D" w:rsidRPr="00D97F37">
              <w:rPr>
                <w:rFonts w:ascii="Times New Roman" w:hAnsi="Times New Roman"/>
                <w:sz w:val="18"/>
                <w:szCs w:val="24"/>
                <w:lang w:bidi="ar-EG"/>
              </w:rPr>
              <w:t>)</w:t>
            </w:r>
          </w:p>
        </w:tc>
      </w:tr>
      <w:bookmarkEnd w:id="9"/>
      <w:tr w:rsidR="00D97F37" w:rsidRPr="00770CE6" w14:paraId="64398DD1" w14:textId="77777777" w:rsidTr="00D97F37">
        <w:trPr>
          <w:jc w:val="center"/>
        </w:trPr>
        <w:tc>
          <w:tcPr>
            <w:tcW w:w="629" w:type="pct"/>
            <w:vMerge w:val="restart"/>
            <w:vAlign w:val="center"/>
            <w:hideMark/>
          </w:tcPr>
          <w:p w14:paraId="62CD8057" w14:textId="77777777" w:rsidR="00F85F93" w:rsidRPr="00D97F37" w:rsidRDefault="00F85F93" w:rsidP="00D97F37">
            <w:pPr>
              <w:rPr>
                <w:sz w:val="24"/>
                <w:szCs w:val="24"/>
              </w:rPr>
            </w:pPr>
            <w:r w:rsidRPr="00D97F37">
              <w:rPr>
                <w:sz w:val="24"/>
                <w:szCs w:val="24"/>
                <w:rtl/>
              </w:rPr>
              <w:t>الموانئ والممرات المائية الداخلية</w:t>
            </w:r>
          </w:p>
        </w:tc>
        <w:tc>
          <w:tcPr>
            <w:tcW w:w="544" w:type="pct"/>
            <w:vAlign w:val="center"/>
            <w:hideMark/>
          </w:tcPr>
          <w:p w14:paraId="00C1876A" w14:textId="77777777" w:rsidR="00F85F93" w:rsidRPr="00D97F37" w:rsidRDefault="00F85F93" w:rsidP="00E70045">
            <w:pPr>
              <w:pStyle w:val="Tabletext"/>
              <w:jc w:val="center"/>
            </w:pPr>
            <w:r w:rsidRPr="00D97F37">
              <w:t>3</w:t>
            </w:r>
          </w:p>
        </w:tc>
        <w:tc>
          <w:tcPr>
            <w:tcW w:w="562" w:type="pct"/>
            <w:vAlign w:val="center"/>
            <w:hideMark/>
          </w:tcPr>
          <w:p w14:paraId="1B74A003" w14:textId="493DB116" w:rsidR="00F85F93" w:rsidRPr="00D97F37" w:rsidRDefault="00F85F93" w:rsidP="00E70045">
            <w:pPr>
              <w:pStyle w:val="Tabletext"/>
              <w:jc w:val="center"/>
            </w:pPr>
            <w:r w:rsidRPr="00D97F37">
              <w:t>60</w:t>
            </w:r>
            <w:r w:rsidR="0058264F" w:rsidRPr="00D97F37">
              <w:t>,</w:t>
            </w:r>
            <w:r w:rsidRPr="00D97F37">
              <w:t>9</w:t>
            </w:r>
            <w:r w:rsidR="00BF3623" w:rsidRPr="00D97F37">
              <w:t>–</w:t>
            </w:r>
          </w:p>
        </w:tc>
        <w:tc>
          <w:tcPr>
            <w:tcW w:w="692" w:type="pct"/>
            <w:vAlign w:val="center"/>
            <w:hideMark/>
          </w:tcPr>
          <w:p w14:paraId="642B56E6" w14:textId="5F2FCD41" w:rsidR="00F85F93" w:rsidRPr="00D97F37" w:rsidRDefault="00F85F93" w:rsidP="00E70045">
            <w:pPr>
              <w:pStyle w:val="Tabletext"/>
              <w:jc w:val="center"/>
            </w:pPr>
            <w:r w:rsidRPr="00D97F37">
              <w:t>75</w:t>
            </w:r>
            <w:r w:rsidR="0058264F" w:rsidRPr="00D97F37">
              <w:t>,</w:t>
            </w:r>
            <w:r w:rsidRPr="00D97F37">
              <w:t>9</w:t>
            </w:r>
            <w:r w:rsidR="00BF3623" w:rsidRPr="00D97F37">
              <w:t>–</w:t>
            </w:r>
          </w:p>
        </w:tc>
        <w:tc>
          <w:tcPr>
            <w:tcW w:w="662" w:type="pct"/>
            <w:vAlign w:val="center"/>
            <w:hideMark/>
          </w:tcPr>
          <w:p w14:paraId="6DB1A9A7" w14:textId="1BAB492F" w:rsidR="00F85F93" w:rsidRPr="00D97F37" w:rsidRDefault="00F85F93" w:rsidP="00E70045">
            <w:pPr>
              <w:pStyle w:val="Tabletext"/>
              <w:jc w:val="center"/>
            </w:pPr>
            <w:r w:rsidRPr="00D97F37">
              <w:t>83</w:t>
            </w:r>
            <w:r w:rsidR="0058264F" w:rsidRPr="00D97F37">
              <w:t>,</w:t>
            </w:r>
            <w:r w:rsidRPr="00D97F37">
              <w:t>9</w:t>
            </w:r>
            <w:r w:rsidR="00BF3623" w:rsidRPr="00D97F37">
              <w:t>–</w:t>
            </w:r>
          </w:p>
        </w:tc>
        <w:tc>
          <w:tcPr>
            <w:tcW w:w="738" w:type="pct"/>
            <w:vAlign w:val="center"/>
            <w:hideMark/>
          </w:tcPr>
          <w:p w14:paraId="53C669FF" w14:textId="1DF65001" w:rsidR="00F85F93" w:rsidRPr="00D97F37" w:rsidRDefault="00F85F93" w:rsidP="002A0E10">
            <w:pPr>
              <w:spacing w:line="240" w:lineRule="exact"/>
              <w:jc w:val="left"/>
              <w:rPr>
                <w:sz w:val="18"/>
                <w:szCs w:val="24"/>
              </w:rPr>
            </w:pPr>
            <w:r w:rsidRPr="00D97F37">
              <w:rPr>
                <w:sz w:val="18"/>
                <w:szCs w:val="24"/>
                <w:rtl/>
              </w:rPr>
              <w:t xml:space="preserve">لا حاجة إلى حدّ شريطة ألا تتجاوز القدرة المشعة المكافئة </w:t>
            </w:r>
            <w:proofErr w:type="spellStart"/>
            <w:r w:rsidRPr="00D97F37">
              <w:rPr>
                <w:sz w:val="18"/>
                <w:szCs w:val="24"/>
                <w:rtl/>
              </w:rPr>
              <w:t>المتناحية</w:t>
            </w:r>
            <w:proofErr w:type="spellEnd"/>
            <w:r w:rsidRPr="00D97F37">
              <w:rPr>
                <w:sz w:val="18"/>
                <w:szCs w:val="24"/>
                <w:rtl/>
              </w:rPr>
              <w:t xml:space="preserve"> للمحطة القاعدة </w:t>
            </w:r>
            <w:r w:rsidR="0058264F" w:rsidRPr="00D97F37">
              <w:rPr>
                <w:sz w:val="18"/>
                <w:szCs w:val="24"/>
                <w:lang w:bidi="ar-EG"/>
              </w:rPr>
              <w:t>68</w:t>
            </w:r>
            <w:r w:rsidR="0058264F" w:rsidRPr="00D97F37">
              <w:rPr>
                <w:rFonts w:hint="cs"/>
                <w:sz w:val="18"/>
                <w:szCs w:val="24"/>
                <w:rtl/>
              </w:rPr>
              <w:t> </w:t>
            </w:r>
            <w:r w:rsidR="0058264F" w:rsidRPr="00D97F37">
              <w:rPr>
                <w:sz w:val="18"/>
                <w:szCs w:val="24"/>
              </w:rPr>
              <w:t>dBm</w:t>
            </w:r>
          </w:p>
        </w:tc>
        <w:tc>
          <w:tcPr>
            <w:tcW w:w="588" w:type="pct"/>
            <w:vAlign w:val="center"/>
            <w:hideMark/>
          </w:tcPr>
          <w:p w14:paraId="7DDD3F10" w14:textId="7F8342BB" w:rsidR="00F85F93" w:rsidRPr="00D97F37" w:rsidRDefault="00F85F93" w:rsidP="00E70045">
            <w:pPr>
              <w:pStyle w:val="Tabletext"/>
              <w:jc w:val="center"/>
            </w:pPr>
            <w:r w:rsidRPr="00D97F37">
              <w:t>27</w:t>
            </w:r>
            <w:r w:rsidR="0058264F" w:rsidRPr="00D97F37">
              <w:t>,</w:t>
            </w:r>
            <w:r w:rsidRPr="00D97F37">
              <w:t>9</w:t>
            </w:r>
            <w:r w:rsidR="00BF3623" w:rsidRPr="00D97F37">
              <w:t>–</w:t>
            </w:r>
          </w:p>
        </w:tc>
        <w:tc>
          <w:tcPr>
            <w:tcW w:w="585" w:type="pct"/>
            <w:vAlign w:val="center"/>
            <w:hideMark/>
          </w:tcPr>
          <w:p w14:paraId="2BC94A71" w14:textId="1FFFC28B" w:rsidR="00F85F93" w:rsidRPr="00D97F37" w:rsidRDefault="00F85F93" w:rsidP="00E70045">
            <w:pPr>
              <w:pStyle w:val="Tabletext"/>
              <w:jc w:val="center"/>
            </w:pPr>
            <w:r w:rsidRPr="00D97F37">
              <w:t>37</w:t>
            </w:r>
            <w:r w:rsidR="0058264F" w:rsidRPr="00D97F37">
              <w:t>,</w:t>
            </w:r>
            <w:r w:rsidRPr="00D97F37">
              <w:t>9</w:t>
            </w:r>
            <w:r w:rsidR="00BF3623" w:rsidRPr="00D97F37">
              <w:t>–</w:t>
            </w:r>
          </w:p>
        </w:tc>
      </w:tr>
      <w:tr w:rsidR="00D97F37" w:rsidRPr="00770CE6" w14:paraId="49683D8B" w14:textId="77777777" w:rsidTr="00D97F37">
        <w:trPr>
          <w:jc w:val="center"/>
        </w:trPr>
        <w:tc>
          <w:tcPr>
            <w:tcW w:w="629" w:type="pct"/>
            <w:vMerge/>
            <w:vAlign w:val="center"/>
            <w:hideMark/>
          </w:tcPr>
          <w:p w14:paraId="0F0270AF" w14:textId="77777777" w:rsidR="00F85F93" w:rsidRPr="00D97F37" w:rsidRDefault="00F85F93" w:rsidP="00DB5611">
            <w:pPr>
              <w:pStyle w:val="Tabletext"/>
            </w:pPr>
          </w:p>
        </w:tc>
        <w:tc>
          <w:tcPr>
            <w:tcW w:w="544" w:type="pct"/>
            <w:vAlign w:val="center"/>
            <w:hideMark/>
          </w:tcPr>
          <w:p w14:paraId="6BA9904F" w14:textId="77777777" w:rsidR="00F85F93" w:rsidRPr="00D97F37" w:rsidRDefault="00F85F93" w:rsidP="00E70045">
            <w:pPr>
              <w:pStyle w:val="Tabletext"/>
              <w:jc w:val="center"/>
            </w:pPr>
            <w:r w:rsidRPr="00D97F37">
              <w:t>19-3</w:t>
            </w:r>
            <w:r w:rsidRPr="00D97F37">
              <w:rPr>
                <w:rtl/>
              </w:rPr>
              <w:t xml:space="preserve"> </w:t>
            </w:r>
            <w:r w:rsidRPr="00D97F37">
              <w:rPr>
                <w:vertAlign w:val="superscript"/>
              </w:rPr>
              <w:t>(1)</w:t>
            </w:r>
          </w:p>
        </w:tc>
        <w:tc>
          <w:tcPr>
            <w:tcW w:w="562" w:type="pct"/>
            <w:vAlign w:val="center"/>
            <w:hideMark/>
          </w:tcPr>
          <w:p w14:paraId="63122361" w14:textId="18FD94FA" w:rsidR="00F85F93" w:rsidRPr="00D97F37" w:rsidRDefault="00F85F93" w:rsidP="00E70045">
            <w:pPr>
              <w:spacing w:line="240" w:lineRule="exact"/>
              <w:jc w:val="center"/>
              <w:rPr>
                <w:sz w:val="18"/>
                <w:szCs w:val="24"/>
              </w:rPr>
            </w:pPr>
            <w:r w:rsidRPr="00D97F37">
              <w:rPr>
                <w:sz w:val="18"/>
                <w:szCs w:val="24"/>
              </w:rPr>
              <w:t>60,9</w:t>
            </w:r>
            <w:r w:rsidR="00BF3623" w:rsidRPr="00D97F37">
              <w:rPr>
                <w:sz w:val="18"/>
                <w:szCs w:val="24"/>
              </w:rPr>
              <w:t>–</w:t>
            </w:r>
            <w:r w:rsidRPr="00D97F37">
              <w:rPr>
                <w:sz w:val="18"/>
                <w:szCs w:val="24"/>
                <w:rtl/>
              </w:rPr>
              <w:t xml:space="preserve"> إلى </w:t>
            </w:r>
            <w:r w:rsidRPr="00D97F37">
              <w:rPr>
                <w:sz w:val="18"/>
                <w:szCs w:val="24"/>
              </w:rPr>
              <w:t>76,9</w:t>
            </w:r>
            <w:r w:rsidR="00BF3623" w:rsidRPr="00D97F37">
              <w:rPr>
                <w:sz w:val="18"/>
                <w:szCs w:val="24"/>
              </w:rPr>
              <w:t>–</w:t>
            </w:r>
          </w:p>
        </w:tc>
        <w:tc>
          <w:tcPr>
            <w:tcW w:w="692" w:type="pct"/>
            <w:vAlign w:val="center"/>
            <w:hideMark/>
          </w:tcPr>
          <w:p w14:paraId="49E423AB" w14:textId="067D0938" w:rsidR="00F85F93" w:rsidRPr="00D97F37" w:rsidRDefault="00F85F93" w:rsidP="00E70045">
            <w:pPr>
              <w:spacing w:line="240" w:lineRule="exact"/>
              <w:jc w:val="center"/>
              <w:rPr>
                <w:sz w:val="18"/>
                <w:szCs w:val="24"/>
              </w:rPr>
            </w:pPr>
            <w:r w:rsidRPr="00D97F37">
              <w:rPr>
                <w:sz w:val="18"/>
                <w:szCs w:val="24"/>
              </w:rPr>
              <w:t>75,9</w:t>
            </w:r>
            <w:r w:rsidR="00BF3623" w:rsidRPr="00D97F37">
              <w:rPr>
                <w:sz w:val="18"/>
                <w:szCs w:val="24"/>
              </w:rPr>
              <w:t>–</w:t>
            </w:r>
            <w:r w:rsidRPr="00D97F37">
              <w:rPr>
                <w:sz w:val="18"/>
                <w:szCs w:val="24"/>
                <w:rtl/>
              </w:rPr>
              <w:t xml:space="preserve"> إلى </w:t>
            </w:r>
            <w:r w:rsidRPr="00D97F37">
              <w:rPr>
                <w:sz w:val="18"/>
                <w:szCs w:val="24"/>
              </w:rPr>
              <w:t>91,9</w:t>
            </w:r>
            <w:r w:rsidR="00BF3623" w:rsidRPr="00D97F37">
              <w:rPr>
                <w:sz w:val="18"/>
                <w:szCs w:val="24"/>
              </w:rPr>
              <w:t>–</w:t>
            </w:r>
          </w:p>
        </w:tc>
        <w:tc>
          <w:tcPr>
            <w:tcW w:w="662" w:type="pct"/>
            <w:vAlign w:val="center"/>
            <w:hideMark/>
          </w:tcPr>
          <w:p w14:paraId="50393262" w14:textId="4D6761D3" w:rsidR="00F85F93" w:rsidRPr="00D97F37" w:rsidRDefault="00F85F93" w:rsidP="00E70045">
            <w:pPr>
              <w:spacing w:line="240" w:lineRule="exact"/>
              <w:jc w:val="center"/>
              <w:rPr>
                <w:sz w:val="18"/>
                <w:szCs w:val="24"/>
              </w:rPr>
            </w:pPr>
            <w:r w:rsidRPr="00D97F37">
              <w:rPr>
                <w:sz w:val="18"/>
                <w:szCs w:val="24"/>
              </w:rPr>
              <w:t>83,9</w:t>
            </w:r>
            <w:r w:rsidR="00BF3623" w:rsidRPr="00D97F37">
              <w:rPr>
                <w:sz w:val="18"/>
                <w:szCs w:val="24"/>
              </w:rPr>
              <w:t>–</w:t>
            </w:r>
            <w:r w:rsidRPr="00D97F37">
              <w:rPr>
                <w:sz w:val="18"/>
                <w:szCs w:val="24"/>
                <w:rtl/>
              </w:rPr>
              <w:t xml:space="preserve"> إلى </w:t>
            </w:r>
            <w:r w:rsidRPr="00D97F37">
              <w:rPr>
                <w:sz w:val="18"/>
                <w:szCs w:val="24"/>
              </w:rPr>
              <w:t>99,9</w:t>
            </w:r>
            <w:r w:rsidR="00BF3623" w:rsidRPr="00D97F37">
              <w:rPr>
                <w:sz w:val="18"/>
                <w:szCs w:val="24"/>
              </w:rPr>
              <w:t>–</w:t>
            </w:r>
          </w:p>
        </w:tc>
        <w:tc>
          <w:tcPr>
            <w:tcW w:w="738" w:type="pct"/>
            <w:vAlign w:val="center"/>
            <w:hideMark/>
          </w:tcPr>
          <w:p w14:paraId="3D4EBC95" w14:textId="329352AA" w:rsidR="00F85F93" w:rsidRPr="00D97F37" w:rsidRDefault="00F85F93" w:rsidP="002A0E10">
            <w:pPr>
              <w:spacing w:line="240" w:lineRule="exact"/>
              <w:jc w:val="left"/>
              <w:rPr>
                <w:sz w:val="18"/>
                <w:szCs w:val="24"/>
              </w:rPr>
            </w:pPr>
            <w:r w:rsidRPr="00D97F37">
              <w:rPr>
                <w:sz w:val="18"/>
                <w:szCs w:val="24"/>
                <w:rtl/>
              </w:rPr>
              <w:t xml:space="preserve">لا حاجة إلى حدّ شريطة ألا تتجاوز القدرة المشعة المكافئة </w:t>
            </w:r>
            <w:proofErr w:type="spellStart"/>
            <w:r w:rsidRPr="00D97F37">
              <w:rPr>
                <w:sz w:val="18"/>
                <w:szCs w:val="24"/>
                <w:rtl/>
              </w:rPr>
              <w:t>المتناحية</w:t>
            </w:r>
            <w:proofErr w:type="spellEnd"/>
            <w:r w:rsidRPr="00D97F37">
              <w:rPr>
                <w:sz w:val="18"/>
                <w:szCs w:val="24"/>
                <w:rtl/>
              </w:rPr>
              <w:t xml:space="preserve"> للمحطة القاعدة </w:t>
            </w:r>
            <w:r w:rsidR="0058264F" w:rsidRPr="00D97F37">
              <w:rPr>
                <w:sz w:val="18"/>
                <w:szCs w:val="24"/>
                <w:lang w:bidi="ar-EG"/>
              </w:rPr>
              <w:t>68</w:t>
            </w:r>
            <w:r w:rsidR="0058264F" w:rsidRPr="00D97F37">
              <w:rPr>
                <w:rFonts w:hint="cs"/>
                <w:sz w:val="18"/>
                <w:szCs w:val="24"/>
                <w:rtl/>
              </w:rPr>
              <w:t> </w:t>
            </w:r>
            <w:r w:rsidR="0058264F" w:rsidRPr="00D97F37">
              <w:rPr>
                <w:sz w:val="18"/>
                <w:szCs w:val="24"/>
              </w:rPr>
              <w:t>dBm</w:t>
            </w:r>
          </w:p>
        </w:tc>
        <w:tc>
          <w:tcPr>
            <w:tcW w:w="588" w:type="pct"/>
            <w:vAlign w:val="center"/>
            <w:hideMark/>
          </w:tcPr>
          <w:p w14:paraId="10A577F3" w14:textId="736858DB" w:rsidR="00F85F93" w:rsidRPr="00D97F37" w:rsidRDefault="00F85F93" w:rsidP="00E70045">
            <w:pPr>
              <w:spacing w:line="240" w:lineRule="exact"/>
              <w:jc w:val="center"/>
              <w:rPr>
                <w:sz w:val="18"/>
                <w:szCs w:val="24"/>
              </w:rPr>
            </w:pPr>
            <w:r w:rsidRPr="00D97F37">
              <w:rPr>
                <w:sz w:val="18"/>
                <w:szCs w:val="24"/>
              </w:rPr>
              <w:t>27,9</w:t>
            </w:r>
            <w:r w:rsidR="00BF3623" w:rsidRPr="00D97F37">
              <w:rPr>
                <w:sz w:val="18"/>
                <w:szCs w:val="24"/>
              </w:rPr>
              <w:t>–</w:t>
            </w:r>
            <w:r w:rsidRPr="00D97F37">
              <w:rPr>
                <w:sz w:val="18"/>
                <w:szCs w:val="24"/>
                <w:rtl/>
              </w:rPr>
              <w:t xml:space="preserve"> إلى </w:t>
            </w:r>
            <w:r w:rsidRPr="00D97F37">
              <w:rPr>
                <w:sz w:val="18"/>
                <w:szCs w:val="24"/>
              </w:rPr>
              <w:t>43,9</w:t>
            </w:r>
            <w:r w:rsidR="00BF3623" w:rsidRPr="00D97F37">
              <w:rPr>
                <w:sz w:val="18"/>
                <w:szCs w:val="24"/>
              </w:rPr>
              <w:t>–</w:t>
            </w:r>
          </w:p>
        </w:tc>
        <w:tc>
          <w:tcPr>
            <w:tcW w:w="585" w:type="pct"/>
            <w:vAlign w:val="center"/>
            <w:hideMark/>
          </w:tcPr>
          <w:p w14:paraId="36F75442" w14:textId="739A6731" w:rsidR="00F85F93" w:rsidRPr="00D97F37" w:rsidRDefault="00F85F93" w:rsidP="00E70045">
            <w:pPr>
              <w:spacing w:line="240" w:lineRule="exact"/>
              <w:jc w:val="center"/>
              <w:rPr>
                <w:sz w:val="18"/>
                <w:szCs w:val="24"/>
              </w:rPr>
            </w:pPr>
            <w:r w:rsidRPr="00D97F37">
              <w:rPr>
                <w:sz w:val="18"/>
                <w:szCs w:val="24"/>
              </w:rPr>
              <w:t>37,9</w:t>
            </w:r>
            <w:r w:rsidR="00BF3623" w:rsidRPr="00D97F37">
              <w:rPr>
                <w:sz w:val="18"/>
                <w:szCs w:val="24"/>
              </w:rPr>
              <w:t>–</w:t>
            </w:r>
            <w:r w:rsidRPr="00D97F37">
              <w:rPr>
                <w:sz w:val="18"/>
                <w:szCs w:val="24"/>
                <w:rtl/>
              </w:rPr>
              <w:t xml:space="preserve"> إلى </w:t>
            </w:r>
            <w:r w:rsidRPr="00D97F37">
              <w:rPr>
                <w:sz w:val="18"/>
                <w:szCs w:val="24"/>
              </w:rPr>
              <w:t>53,9</w:t>
            </w:r>
            <w:r w:rsidR="00BF3623" w:rsidRPr="00D97F37">
              <w:rPr>
                <w:sz w:val="18"/>
                <w:szCs w:val="24"/>
              </w:rPr>
              <w:t>–</w:t>
            </w:r>
          </w:p>
        </w:tc>
      </w:tr>
      <w:tr w:rsidR="00D97F37" w:rsidRPr="00770CE6" w14:paraId="2AE508A1" w14:textId="77777777" w:rsidTr="00D97F37">
        <w:trPr>
          <w:jc w:val="center"/>
        </w:trPr>
        <w:tc>
          <w:tcPr>
            <w:tcW w:w="629" w:type="pct"/>
            <w:vMerge w:val="restart"/>
            <w:vAlign w:val="center"/>
            <w:hideMark/>
          </w:tcPr>
          <w:p w14:paraId="3F0DE7F8" w14:textId="77777777" w:rsidR="00F85F93" w:rsidRPr="00D97F37" w:rsidRDefault="00F85F93" w:rsidP="00DB5611">
            <w:pPr>
              <w:pStyle w:val="Tabletext"/>
            </w:pPr>
            <w:r w:rsidRPr="00D97F37">
              <w:rPr>
                <w:rtl/>
              </w:rPr>
              <w:t>المطارات</w:t>
            </w:r>
          </w:p>
        </w:tc>
        <w:tc>
          <w:tcPr>
            <w:tcW w:w="544" w:type="pct"/>
            <w:vAlign w:val="center"/>
            <w:hideMark/>
          </w:tcPr>
          <w:p w14:paraId="1388F335" w14:textId="77777777" w:rsidR="00F85F93" w:rsidRPr="00D97F37" w:rsidRDefault="00F85F93" w:rsidP="00E70045">
            <w:pPr>
              <w:pStyle w:val="Tabletext"/>
              <w:jc w:val="center"/>
            </w:pPr>
            <w:r w:rsidRPr="00D97F37">
              <w:t>3</w:t>
            </w:r>
          </w:p>
        </w:tc>
        <w:tc>
          <w:tcPr>
            <w:tcW w:w="562" w:type="pct"/>
            <w:vAlign w:val="center"/>
            <w:hideMark/>
          </w:tcPr>
          <w:p w14:paraId="07E6F121" w14:textId="0E5171AE" w:rsidR="00F85F93" w:rsidRPr="00D97F37" w:rsidRDefault="00F85F93" w:rsidP="00E70045">
            <w:pPr>
              <w:pStyle w:val="Tabletext"/>
              <w:jc w:val="center"/>
            </w:pPr>
            <w:r w:rsidRPr="00D97F37">
              <w:t>28</w:t>
            </w:r>
            <w:r w:rsidR="0058264F" w:rsidRPr="00D97F37">
              <w:t>,</w:t>
            </w:r>
            <w:r w:rsidRPr="00D97F37">
              <w:t>9</w:t>
            </w:r>
            <w:r w:rsidR="00BF3623" w:rsidRPr="00D97F37">
              <w:t>–</w:t>
            </w:r>
          </w:p>
        </w:tc>
        <w:tc>
          <w:tcPr>
            <w:tcW w:w="692" w:type="pct"/>
            <w:vAlign w:val="center"/>
            <w:hideMark/>
          </w:tcPr>
          <w:p w14:paraId="41BD2D4B" w14:textId="4F02E758" w:rsidR="00F85F93" w:rsidRPr="00D97F37" w:rsidRDefault="00F85F93" w:rsidP="00E70045">
            <w:pPr>
              <w:pStyle w:val="Tabletext"/>
              <w:jc w:val="center"/>
            </w:pPr>
            <w:r w:rsidRPr="00D97F37">
              <w:t>42</w:t>
            </w:r>
            <w:r w:rsidR="0058264F" w:rsidRPr="00D97F37">
              <w:t>,</w:t>
            </w:r>
            <w:r w:rsidRPr="00D97F37">
              <w:t>9</w:t>
            </w:r>
            <w:r w:rsidR="00BF3623" w:rsidRPr="00D97F37">
              <w:t>–</w:t>
            </w:r>
          </w:p>
        </w:tc>
        <w:tc>
          <w:tcPr>
            <w:tcW w:w="662" w:type="pct"/>
            <w:vAlign w:val="center"/>
            <w:hideMark/>
          </w:tcPr>
          <w:p w14:paraId="117F79D4" w14:textId="3B4365E2" w:rsidR="00F85F93" w:rsidRPr="00D97F37" w:rsidRDefault="00F85F93" w:rsidP="00E70045">
            <w:pPr>
              <w:pStyle w:val="Tabletext"/>
              <w:jc w:val="center"/>
            </w:pPr>
            <w:r w:rsidRPr="00D97F37">
              <w:t>58</w:t>
            </w:r>
            <w:r w:rsidR="0058264F" w:rsidRPr="00D97F37">
              <w:t>,</w:t>
            </w:r>
            <w:r w:rsidRPr="00D97F37">
              <w:t>2</w:t>
            </w:r>
            <w:r w:rsidR="00BF3623" w:rsidRPr="00D97F37">
              <w:t>–</w:t>
            </w:r>
          </w:p>
        </w:tc>
        <w:tc>
          <w:tcPr>
            <w:tcW w:w="738" w:type="pct"/>
            <w:vAlign w:val="center"/>
            <w:hideMark/>
          </w:tcPr>
          <w:p w14:paraId="62717CDA" w14:textId="35F8C4B6" w:rsidR="00F85F93" w:rsidRPr="00D97F37" w:rsidRDefault="00F85F93" w:rsidP="002A0E10">
            <w:pPr>
              <w:spacing w:line="240" w:lineRule="exact"/>
              <w:jc w:val="left"/>
              <w:rPr>
                <w:sz w:val="18"/>
                <w:szCs w:val="24"/>
              </w:rPr>
            </w:pPr>
            <w:r w:rsidRPr="00D97F37">
              <w:rPr>
                <w:sz w:val="18"/>
                <w:szCs w:val="24"/>
                <w:rtl/>
              </w:rPr>
              <w:t xml:space="preserve">لا حاجة إلى حدّ شريطة ألا تتجاوز القدرة المشعة المكافئة </w:t>
            </w:r>
            <w:proofErr w:type="spellStart"/>
            <w:r w:rsidRPr="00D97F37">
              <w:rPr>
                <w:sz w:val="18"/>
                <w:szCs w:val="24"/>
                <w:rtl/>
              </w:rPr>
              <w:t>المتناحية</w:t>
            </w:r>
            <w:proofErr w:type="spellEnd"/>
            <w:r w:rsidRPr="00D97F37">
              <w:rPr>
                <w:sz w:val="18"/>
                <w:szCs w:val="24"/>
                <w:rtl/>
              </w:rPr>
              <w:t xml:space="preserve"> للمحطة القاعدة </w:t>
            </w:r>
            <w:r w:rsidR="0058264F" w:rsidRPr="00D97F37">
              <w:rPr>
                <w:sz w:val="18"/>
                <w:szCs w:val="24"/>
                <w:lang w:bidi="ar-EG"/>
              </w:rPr>
              <w:t>68</w:t>
            </w:r>
            <w:r w:rsidR="0058264F" w:rsidRPr="00D97F37">
              <w:rPr>
                <w:rFonts w:hint="cs"/>
                <w:sz w:val="18"/>
                <w:szCs w:val="24"/>
                <w:rtl/>
              </w:rPr>
              <w:t> </w:t>
            </w:r>
            <w:r w:rsidR="0058264F" w:rsidRPr="00D97F37">
              <w:rPr>
                <w:sz w:val="18"/>
                <w:szCs w:val="24"/>
              </w:rPr>
              <w:t>dBm</w:t>
            </w:r>
          </w:p>
        </w:tc>
        <w:tc>
          <w:tcPr>
            <w:tcW w:w="588" w:type="pct"/>
            <w:vAlign w:val="center"/>
            <w:hideMark/>
          </w:tcPr>
          <w:p w14:paraId="36CF91EF" w14:textId="4C899D8F" w:rsidR="00F85F93" w:rsidRPr="00D97F37" w:rsidRDefault="00F85F93" w:rsidP="00E70045">
            <w:pPr>
              <w:pStyle w:val="Tabletext"/>
              <w:jc w:val="center"/>
            </w:pPr>
            <w:r w:rsidRPr="00D97F37">
              <w:t>27</w:t>
            </w:r>
            <w:r w:rsidR="0058264F" w:rsidRPr="00D97F37">
              <w:t>,</w:t>
            </w:r>
            <w:r w:rsidRPr="00D97F37">
              <w:t>9</w:t>
            </w:r>
            <w:r w:rsidR="00BF3623" w:rsidRPr="00D97F37">
              <w:t>–</w:t>
            </w:r>
          </w:p>
        </w:tc>
        <w:tc>
          <w:tcPr>
            <w:tcW w:w="585" w:type="pct"/>
            <w:vAlign w:val="center"/>
            <w:hideMark/>
          </w:tcPr>
          <w:p w14:paraId="541E5663" w14:textId="14636B44" w:rsidR="00F85F93" w:rsidRPr="00D97F37" w:rsidRDefault="00F85F93" w:rsidP="00E70045">
            <w:pPr>
              <w:pStyle w:val="Tabletext"/>
              <w:jc w:val="center"/>
            </w:pPr>
            <w:r w:rsidRPr="00D97F37">
              <w:t>37</w:t>
            </w:r>
            <w:r w:rsidR="0058264F" w:rsidRPr="00D97F37">
              <w:t>,</w:t>
            </w:r>
            <w:r w:rsidRPr="00D97F37">
              <w:t>9</w:t>
            </w:r>
            <w:r w:rsidR="00BF3623" w:rsidRPr="00D97F37">
              <w:t>–</w:t>
            </w:r>
          </w:p>
        </w:tc>
      </w:tr>
      <w:tr w:rsidR="00D97F37" w:rsidRPr="00770CE6" w14:paraId="22D2B476" w14:textId="77777777" w:rsidTr="00D97F37">
        <w:trPr>
          <w:jc w:val="center"/>
        </w:trPr>
        <w:tc>
          <w:tcPr>
            <w:tcW w:w="629" w:type="pct"/>
            <w:vMerge/>
            <w:tcBorders>
              <w:bottom w:val="single" w:sz="4" w:space="0" w:color="auto"/>
            </w:tcBorders>
            <w:vAlign w:val="center"/>
            <w:hideMark/>
          </w:tcPr>
          <w:p w14:paraId="2F88DB36" w14:textId="77777777" w:rsidR="00F85F93" w:rsidRPr="00D97F37" w:rsidRDefault="00F85F93" w:rsidP="00DB5611">
            <w:pPr>
              <w:pStyle w:val="Tabletext"/>
            </w:pPr>
            <w:bookmarkStart w:id="10" w:name="_Hlk158646505"/>
          </w:p>
        </w:tc>
        <w:tc>
          <w:tcPr>
            <w:tcW w:w="544" w:type="pct"/>
            <w:tcBorders>
              <w:bottom w:val="single" w:sz="4" w:space="0" w:color="auto"/>
            </w:tcBorders>
            <w:vAlign w:val="center"/>
            <w:hideMark/>
          </w:tcPr>
          <w:p w14:paraId="304E6E7A" w14:textId="77777777" w:rsidR="00F85F93" w:rsidRPr="00D97F37" w:rsidRDefault="00F85F93" w:rsidP="00E70045">
            <w:pPr>
              <w:pStyle w:val="Tabletext"/>
              <w:jc w:val="center"/>
            </w:pPr>
            <w:r w:rsidRPr="00D97F37">
              <w:t>17-3</w:t>
            </w:r>
            <w:r w:rsidRPr="00D97F37">
              <w:rPr>
                <w:rtl/>
              </w:rPr>
              <w:t xml:space="preserve"> </w:t>
            </w:r>
            <w:r w:rsidRPr="00D97F37">
              <w:rPr>
                <w:vertAlign w:val="superscript"/>
              </w:rPr>
              <w:t>(1)</w:t>
            </w:r>
          </w:p>
        </w:tc>
        <w:tc>
          <w:tcPr>
            <w:tcW w:w="562" w:type="pct"/>
            <w:tcBorders>
              <w:bottom w:val="single" w:sz="4" w:space="0" w:color="auto"/>
            </w:tcBorders>
            <w:vAlign w:val="center"/>
            <w:hideMark/>
          </w:tcPr>
          <w:p w14:paraId="4BF0F937" w14:textId="731418C4" w:rsidR="00F85F93" w:rsidRPr="00D97F37" w:rsidRDefault="00F85F93" w:rsidP="00E70045">
            <w:pPr>
              <w:spacing w:line="240" w:lineRule="exact"/>
              <w:jc w:val="center"/>
              <w:rPr>
                <w:sz w:val="18"/>
                <w:szCs w:val="24"/>
              </w:rPr>
            </w:pPr>
            <w:r w:rsidRPr="00D97F37">
              <w:rPr>
                <w:sz w:val="18"/>
                <w:szCs w:val="24"/>
              </w:rPr>
              <w:t>28,9</w:t>
            </w:r>
            <w:r w:rsidR="00BF3623" w:rsidRPr="00D97F37">
              <w:rPr>
                <w:sz w:val="18"/>
                <w:szCs w:val="24"/>
              </w:rPr>
              <w:t>–</w:t>
            </w:r>
            <w:r w:rsidRPr="00D97F37">
              <w:rPr>
                <w:sz w:val="18"/>
                <w:szCs w:val="24"/>
                <w:rtl/>
              </w:rPr>
              <w:t xml:space="preserve"> إلى </w:t>
            </w:r>
            <w:r w:rsidRPr="00D97F37">
              <w:rPr>
                <w:sz w:val="18"/>
                <w:szCs w:val="24"/>
              </w:rPr>
              <w:t>42,9</w:t>
            </w:r>
            <w:r w:rsidR="00BF3623" w:rsidRPr="00D97F37">
              <w:rPr>
                <w:sz w:val="18"/>
                <w:szCs w:val="24"/>
              </w:rPr>
              <w:t>–</w:t>
            </w:r>
          </w:p>
        </w:tc>
        <w:tc>
          <w:tcPr>
            <w:tcW w:w="692" w:type="pct"/>
            <w:tcBorders>
              <w:bottom w:val="single" w:sz="4" w:space="0" w:color="auto"/>
            </w:tcBorders>
            <w:vAlign w:val="center"/>
            <w:hideMark/>
          </w:tcPr>
          <w:p w14:paraId="769583FA" w14:textId="24F291D6" w:rsidR="00F85F93" w:rsidRPr="00D97F37" w:rsidRDefault="00F85F93" w:rsidP="00E70045">
            <w:pPr>
              <w:spacing w:line="240" w:lineRule="exact"/>
              <w:jc w:val="center"/>
              <w:rPr>
                <w:sz w:val="18"/>
                <w:szCs w:val="24"/>
              </w:rPr>
            </w:pPr>
            <w:r w:rsidRPr="00D97F37">
              <w:rPr>
                <w:sz w:val="18"/>
                <w:szCs w:val="24"/>
              </w:rPr>
              <w:t>42,9</w:t>
            </w:r>
            <w:r w:rsidR="00BF3623" w:rsidRPr="00D97F37">
              <w:rPr>
                <w:sz w:val="18"/>
                <w:szCs w:val="24"/>
              </w:rPr>
              <w:t>–</w:t>
            </w:r>
            <w:r w:rsidRPr="00D97F37">
              <w:rPr>
                <w:sz w:val="18"/>
                <w:szCs w:val="24"/>
                <w:rtl/>
              </w:rPr>
              <w:t xml:space="preserve"> إلى </w:t>
            </w:r>
            <w:r w:rsidRPr="00D97F37">
              <w:rPr>
                <w:sz w:val="18"/>
                <w:szCs w:val="24"/>
              </w:rPr>
              <w:t>56,9</w:t>
            </w:r>
            <w:r w:rsidR="00BF3623" w:rsidRPr="00D97F37">
              <w:rPr>
                <w:sz w:val="18"/>
                <w:szCs w:val="24"/>
              </w:rPr>
              <w:t>–</w:t>
            </w:r>
          </w:p>
        </w:tc>
        <w:tc>
          <w:tcPr>
            <w:tcW w:w="662" w:type="pct"/>
            <w:tcBorders>
              <w:bottom w:val="single" w:sz="4" w:space="0" w:color="auto"/>
            </w:tcBorders>
            <w:vAlign w:val="center"/>
            <w:hideMark/>
          </w:tcPr>
          <w:p w14:paraId="60F4F538" w14:textId="6DC77B27" w:rsidR="00F85F93" w:rsidRPr="00D97F37" w:rsidRDefault="00F85F93" w:rsidP="00E70045">
            <w:pPr>
              <w:spacing w:line="240" w:lineRule="exact"/>
              <w:jc w:val="center"/>
              <w:rPr>
                <w:sz w:val="18"/>
                <w:szCs w:val="24"/>
              </w:rPr>
            </w:pPr>
            <w:r w:rsidRPr="00D97F37">
              <w:rPr>
                <w:sz w:val="18"/>
                <w:szCs w:val="24"/>
              </w:rPr>
              <w:t>58,2</w:t>
            </w:r>
            <w:r w:rsidR="00BF3623" w:rsidRPr="00D97F37">
              <w:rPr>
                <w:sz w:val="18"/>
                <w:szCs w:val="24"/>
              </w:rPr>
              <w:t>–</w:t>
            </w:r>
            <w:r w:rsidRPr="00D97F37">
              <w:rPr>
                <w:sz w:val="18"/>
                <w:szCs w:val="24"/>
                <w:rtl/>
              </w:rPr>
              <w:t xml:space="preserve"> إلى </w:t>
            </w:r>
            <w:r w:rsidRPr="00D97F37">
              <w:rPr>
                <w:sz w:val="18"/>
                <w:szCs w:val="24"/>
              </w:rPr>
              <w:t>72,2</w:t>
            </w:r>
            <w:r w:rsidR="00BF3623" w:rsidRPr="00D97F37">
              <w:rPr>
                <w:sz w:val="18"/>
                <w:szCs w:val="24"/>
              </w:rPr>
              <w:t>–</w:t>
            </w:r>
          </w:p>
        </w:tc>
        <w:tc>
          <w:tcPr>
            <w:tcW w:w="738" w:type="pct"/>
            <w:tcBorders>
              <w:bottom w:val="single" w:sz="4" w:space="0" w:color="auto"/>
            </w:tcBorders>
            <w:vAlign w:val="center"/>
            <w:hideMark/>
          </w:tcPr>
          <w:p w14:paraId="307058A9" w14:textId="18E121EC" w:rsidR="00F85F93" w:rsidRPr="00D97F37" w:rsidRDefault="00F85F93" w:rsidP="002A0E10">
            <w:pPr>
              <w:spacing w:line="240" w:lineRule="exact"/>
              <w:jc w:val="left"/>
              <w:rPr>
                <w:sz w:val="18"/>
                <w:szCs w:val="24"/>
              </w:rPr>
            </w:pPr>
            <w:r w:rsidRPr="00D97F37">
              <w:rPr>
                <w:sz w:val="18"/>
                <w:szCs w:val="24"/>
                <w:rtl/>
              </w:rPr>
              <w:t xml:space="preserve">لا حاجة إلى حدّ شريطة ألا تتجاوز القدرة المشعة المكافئة </w:t>
            </w:r>
            <w:proofErr w:type="spellStart"/>
            <w:r w:rsidRPr="00D97F37">
              <w:rPr>
                <w:sz w:val="18"/>
                <w:szCs w:val="24"/>
                <w:rtl/>
              </w:rPr>
              <w:t>المتناحية</w:t>
            </w:r>
            <w:proofErr w:type="spellEnd"/>
            <w:r w:rsidRPr="00D97F37">
              <w:rPr>
                <w:sz w:val="18"/>
                <w:szCs w:val="24"/>
                <w:rtl/>
              </w:rPr>
              <w:t xml:space="preserve"> للمحطة القاعدة</w:t>
            </w:r>
            <w:r w:rsidR="0058264F" w:rsidRPr="00D97F37">
              <w:rPr>
                <w:rFonts w:hint="cs"/>
                <w:sz w:val="18"/>
                <w:szCs w:val="24"/>
                <w:rtl/>
                <w:lang w:bidi="ar-EG"/>
              </w:rPr>
              <w:t xml:space="preserve"> </w:t>
            </w:r>
            <w:r w:rsidR="0058264F" w:rsidRPr="00D97F37">
              <w:rPr>
                <w:sz w:val="18"/>
                <w:szCs w:val="24"/>
                <w:lang w:bidi="ar-EG"/>
              </w:rPr>
              <w:t>68</w:t>
            </w:r>
            <w:r w:rsidR="0058264F" w:rsidRPr="00D97F37">
              <w:rPr>
                <w:rFonts w:hint="cs"/>
                <w:sz w:val="18"/>
                <w:szCs w:val="24"/>
                <w:rtl/>
              </w:rPr>
              <w:t> </w:t>
            </w:r>
            <w:r w:rsidRPr="00D97F37">
              <w:rPr>
                <w:sz w:val="18"/>
                <w:szCs w:val="24"/>
              </w:rPr>
              <w:t>dBm</w:t>
            </w:r>
          </w:p>
        </w:tc>
        <w:tc>
          <w:tcPr>
            <w:tcW w:w="588" w:type="pct"/>
            <w:tcBorders>
              <w:bottom w:val="single" w:sz="4" w:space="0" w:color="auto"/>
            </w:tcBorders>
            <w:vAlign w:val="center"/>
            <w:hideMark/>
          </w:tcPr>
          <w:p w14:paraId="610613C6" w14:textId="3CDD82A6" w:rsidR="00F85F93" w:rsidRPr="00D97F37" w:rsidRDefault="00F85F93" w:rsidP="00E70045">
            <w:pPr>
              <w:spacing w:line="240" w:lineRule="exact"/>
              <w:jc w:val="center"/>
              <w:rPr>
                <w:sz w:val="18"/>
                <w:szCs w:val="24"/>
              </w:rPr>
            </w:pPr>
            <w:r w:rsidRPr="00D97F37">
              <w:rPr>
                <w:sz w:val="18"/>
                <w:szCs w:val="24"/>
              </w:rPr>
              <w:t>27,9</w:t>
            </w:r>
            <w:r w:rsidR="00BF3623" w:rsidRPr="00D97F37">
              <w:rPr>
                <w:sz w:val="18"/>
                <w:szCs w:val="24"/>
              </w:rPr>
              <w:t>–</w:t>
            </w:r>
            <w:r w:rsidRPr="00D97F37">
              <w:rPr>
                <w:sz w:val="18"/>
                <w:szCs w:val="24"/>
                <w:rtl/>
              </w:rPr>
              <w:t xml:space="preserve"> إلى </w:t>
            </w:r>
            <w:r w:rsidRPr="00D97F37">
              <w:rPr>
                <w:sz w:val="18"/>
                <w:szCs w:val="24"/>
              </w:rPr>
              <w:t>41,9</w:t>
            </w:r>
            <w:r w:rsidR="00BF3623" w:rsidRPr="00D97F37">
              <w:rPr>
                <w:sz w:val="18"/>
                <w:szCs w:val="24"/>
              </w:rPr>
              <w:t>–</w:t>
            </w:r>
          </w:p>
        </w:tc>
        <w:tc>
          <w:tcPr>
            <w:tcW w:w="585" w:type="pct"/>
            <w:tcBorders>
              <w:bottom w:val="single" w:sz="4" w:space="0" w:color="auto"/>
            </w:tcBorders>
            <w:vAlign w:val="center"/>
            <w:hideMark/>
          </w:tcPr>
          <w:p w14:paraId="41317E9A" w14:textId="566E5FEE" w:rsidR="00F85F93" w:rsidRPr="00D97F37" w:rsidRDefault="00F85F93" w:rsidP="00E70045">
            <w:pPr>
              <w:spacing w:line="240" w:lineRule="exact"/>
              <w:jc w:val="center"/>
              <w:rPr>
                <w:sz w:val="18"/>
                <w:szCs w:val="24"/>
              </w:rPr>
            </w:pPr>
            <w:r w:rsidRPr="00D97F37">
              <w:rPr>
                <w:sz w:val="18"/>
                <w:szCs w:val="24"/>
              </w:rPr>
              <w:t>37,9</w:t>
            </w:r>
            <w:r w:rsidR="00BF3623" w:rsidRPr="00D97F37">
              <w:rPr>
                <w:sz w:val="18"/>
                <w:szCs w:val="24"/>
              </w:rPr>
              <w:t>–</w:t>
            </w:r>
            <w:r w:rsidRPr="00D97F37">
              <w:rPr>
                <w:sz w:val="18"/>
                <w:szCs w:val="24"/>
                <w:rtl/>
              </w:rPr>
              <w:t xml:space="preserve"> إلى </w:t>
            </w:r>
            <w:r w:rsidRPr="00D97F37">
              <w:rPr>
                <w:sz w:val="18"/>
                <w:szCs w:val="24"/>
              </w:rPr>
              <w:t>51,9</w:t>
            </w:r>
            <w:r w:rsidR="00BF3623" w:rsidRPr="00D97F37">
              <w:rPr>
                <w:sz w:val="18"/>
                <w:szCs w:val="24"/>
              </w:rPr>
              <w:t>–</w:t>
            </w:r>
          </w:p>
        </w:tc>
      </w:tr>
      <w:bookmarkEnd w:id="10"/>
      <w:tr w:rsidR="00F85F93" w:rsidRPr="00770CE6" w14:paraId="2C6FD3B5" w14:textId="77777777" w:rsidTr="00D97F37">
        <w:trPr>
          <w:jc w:val="center"/>
        </w:trPr>
        <w:tc>
          <w:tcPr>
            <w:tcW w:w="5000" w:type="pct"/>
            <w:gridSpan w:val="8"/>
            <w:tcBorders>
              <w:left w:val="nil"/>
              <w:bottom w:val="nil"/>
              <w:right w:val="nil"/>
            </w:tcBorders>
            <w:hideMark/>
          </w:tcPr>
          <w:p w14:paraId="0861D688" w14:textId="2DBD2576" w:rsidR="00F85F93" w:rsidRPr="002E5F1E" w:rsidRDefault="00F85F93" w:rsidP="00DB5611">
            <w:pPr>
              <w:pStyle w:val="Tabletext"/>
              <w:jc w:val="both"/>
            </w:pPr>
            <w:r w:rsidRPr="002E5F1E">
              <w:rPr>
                <w:vertAlign w:val="superscript"/>
              </w:rPr>
              <w:t>(1)</w:t>
            </w:r>
            <w:r w:rsidRPr="002E5F1E">
              <w:rPr>
                <w:rtl/>
              </w:rPr>
              <w:tab/>
              <w:t xml:space="preserve">تنطبق قِيم كثافة تدفق القدرة القائمة على كسب هوائي المحطة الأرضية المتنقلة البالغ </w:t>
            </w:r>
            <w:r w:rsidR="0058264F" w:rsidRPr="002E5F1E">
              <w:t>3</w:t>
            </w:r>
            <w:r w:rsidR="0058264F" w:rsidRPr="002E5F1E">
              <w:rPr>
                <w:rtl/>
              </w:rPr>
              <w:t xml:space="preserve"> </w:t>
            </w:r>
            <w:proofErr w:type="spellStart"/>
            <w:r w:rsidR="0058264F" w:rsidRPr="002E5F1E">
              <w:t>dBi</w:t>
            </w:r>
            <w:proofErr w:type="spellEnd"/>
            <w:r w:rsidR="0058264F" w:rsidRPr="002E5F1E">
              <w:rPr>
                <w:rFonts w:hint="cs"/>
                <w:rtl/>
              </w:rPr>
              <w:t xml:space="preserve"> </w:t>
            </w:r>
            <w:r w:rsidRPr="002E5F1E">
              <w:rPr>
                <w:rtl/>
              </w:rPr>
              <w:t>في معظم الحالات، ولكن ثمة مواقع في العالم يمكن أن يتجاوز فيها كسب الهوائي نحو الأفق القيمة</w:t>
            </w:r>
            <w:r w:rsidR="0058264F" w:rsidRPr="002E5F1E">
              <w:rPr>
                <w:rFonts w:hint="cs"/>
                <w:rtl/>
              </w:rPr>
              <w:t xml:space="preserve"> </w:t>
            </w:r>
            <w:r w:rsidR="0058264F" w:rsidRPr="002E5F1E">
              <w:t>3</w:t>
            </w:r>
            <w:r w:rsidRPr="002E5F1E">
              <w:rPr>
                <w:rtl/>
              </w:rPr>
              <w:t xml:space="preserve"> </w:t>
            </w:r>
            <w:proofErr w:type="spellStart"/>
            <w:r w:rsidRPr="002E5F1E">
              <w:t>dBi</w:t>
            </w:r>
            <w:proofErr w:type="spellEnd"/>
            <w:r w:rsidR="0058264F" w:rsidRPr="002E5F1E">
              <w:rPr>
                <w:rFonts w:hint="cs"/>
                <w:rtl/>
              </w:rPr>
              <w:t xml:space="preserve"> </w:t>
            </w:r>
            <w:r w:rsidRPr="002E5F1E">
              <w:rPr>
                <w:rtl/>
              </w:rPr>
              <w:t>(ليصل إلى</w:t>
            </w:r>
            <w:r w:rsidR="0058264F" w:rsidRPr="002E5F1E">
              <w:rPr>
                <w:rFonts w:hint="cs"/>
                <w:rtl/>
              </w:rPr>
              <w:t xml:space="preserve"> </w:t>
            </w:r>
            <w:r w:rsidR="0058264F" w:rsidRPr="002E5F1E">
              <w:t>19</w:t>
            </w:r>
            <w:r w:rsidRPr="002E5F1E">
              <w:rPr>
                <w:rtl/>
              </w:rPr>
              <w:t xml:space="preserve"> </w:t>
            </w:r>
            <w:proofErr w:type="spellStart"/>
            <w:r w:rsidRPr="002E5F1E">
              <w:t>dBi</w:t>
            </w:r>
            <w:proofErr w:type="spellEnd"/>
            <w:r w:rsidRPr="002E5F1E">
              <w:rPr>
                <w:rtl/>
              </w:rPr>
              <w:t xml:space="preserve"> أو</w:t>
            </w:r>
            <w:r w:rsidR="0058264F" w:rsidRPr="002E5F1E">
              <w:rPr>
                <w:rFonts w:hint="cs"/>
                <w:rtl/>
              </w:rPr>
              <w:t xml:space="preserve"> </w:t>
            </w:r>
            <w:r w:rsidR="0058264F" w:rsidRPr="002E5F1E">
              <w:t>17</w:t>
            </w:r>
            <w:r w:rsidRPr="002E5F1E">
              <w:rPr>
                <w:rtl/>
              </w:rPr>
              <w:t xml:space="preserve"> </w:t>
            </w:r>
            <w:proofErr w:type="spellStart"/>
            <w:r w:rsidRPr="002E5F1E">
              <w:t>dBi</w:t>
            </w:r>
            <w:proofErr w:type="spellEnd"/>
            <w:r w:rsidRPr="002E5F1E">
              <w:rPr>
                <w:rtl/>
              </w:rPr>
              <w:t xml:space="preserve">). وذلك حيث توجد زاوية ارتفاع منخفضة للمحطات الأرضية المتنقلة وحيث يمكن نَشْر المحطة القاعدة للاتصالات المتنقلة الدولية في اتجاه ساتل الخدمة المتنقلة الساتلية كما يُرى من المحطة الأرضية المتنقلة. وفي هذه الحالات، ينبغي أن تؤخذ الزوايا الفعلية مع </w:t>
            </w:r>
            <w:proofErr w:type="spellStart"/>
            <w:r w:rsidRPr="002E5F1E">
              <w:rPr>
                <w:rtl/>
              </w:rPr>
              <w:t>الساتل</w:t>
            </w:r>
            <w:proofErr w:type="spellEnd"/>
            <w:r w:rsidRPr="002E5F1E">
              <w:rPr>
                <w:rtl/>
              </w:rPr>
              <w:t xml:space="preserve"> ونَشْر الاتصالات المتنقلة الدولية في الحسبان وأن تضبط كثافة تدفق القدرة على قيمة ضمن المَدَيات المبيَّنة.</w:t>
            </w:r>
          </w:p>
        </w:tc>
      </w:tr>
    </w:tbl>
    <w:p w14:paraId="45F6871E" w14:textId="77777777" w:rsidR="00F85F93" w:rsidRPr="00770CE6" w:rsidRDefault="00F85F93" w:rsidP="00AF0C07">
      <w:pPr>
        <w:pStyle w:val="TableNo0"/>
        <w:rPr>
          <w:lang w:val="ar-SA" w:eastAsia="zh-TW" w:bidi="en-GB"/>
        </w:rPr>
      </w:pPr>
      <w:r w:rsidRPr="00770CE6">
        <w:rPr>
          <w:rtl/>
        </w:rPr>
        <w:lastRenderedPageBreak/>
        <w:t xml:space="preserve">الجدول </w:t>
      </w:r>
      <w:r w:rsidRPr="00770CE6">
        <w:t>5</w:t>
      </w:r>
    </w:p>
    <w:p w14:paraId="1DAA5C3F" w14:textId="77777777" w:rsidR="00F85F93" w:rsidRPr="003E559A" w:rsidRDefault="00F85F93" w:rsidP="003E559A">
      <w:pPr>
        <w:pStyle w:val="Tabletitle"/>
      </w:pPr>
      <w:r w:rsidRPr="003E559A">
        <w:rPr>
          <w:rtl/>
        </w:rPr>
        <w:t>حدود كثافة تدفق القدرة للمحطات القاعدة للاتصالات المتنقلة الدولية التي ترسل قنوات متعددة</w:t>
      </w:r>
    </w:p>
    <w:tbl>
      <w:tblPr>
        <w:tblStyle w:val="TableGrid1"/>
        <w:bidiVisual/>
        <w:tblW w:w="9639" w:type="dxa"/>
        <w:jc w:val="center"/>
        <w:tblLayout w:type="fixed"/>
        <w:tblLook w:val="04A0" w:firstRow="1" w:lastRow="0" w:firstColumn="1" w:lastColumn="0" w:noHBand="0" w:noVBand="1"/>
      </w:tblPr>
      <w:tblGrid>
        <w:gridCol w:w="1134"/>
        <w:gridCol w:w="854"/>
        <w:gridCol w:w="1914"/>
        <w:gridCol w:w="1914"/>
        <w:gridCol w:w="1914"/>
        <w:gridCol w:w="1909"/>
      </w:tblGrid>
      <w:tr w:rsidR="003E559A" w:rsidRPr="002E5F1E" w14:paraId="5B964641" w14:textId="77777777" w:rsidTr="003E559A">
        <w:trPr>
          <w:tblHeader/>
          <w:jc w:val="center"/>
        </w:trPr>
        <w:tc>
          <w:tcPr>
            <w:tcW w:w="588" w:type="pct"/>
            <w:vAlign w:val="center"/>
            <w:hideMark/>
          </w:tcPr>
          <w:p w14:paraId="2BA1A844" w14:textId="6B652354" w:rsidR="003E559A" w:rsidRPr="002E5F1E" w:rsidRDefault="003E559A"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المرحلة</w:t>
            </w:r>
          </w:p>
        </w:tc>
        <w:tc>
          <w:tcPr>
            <w:tcW w:w="443" w:type="pct"/>
            <w:vMerge w:val="restart"/>
            <w:vAlign w:val="center"/>
            <w:hideMark/>
          </w:tcPr>
          <w:p w14:paraId="73C10833" w14:textId="77777777" w:rsidR="003E559A" w:rsidRPr="002E5F1E" w:rsidRDefault="003E559A" w:rsidP="003E559A">
            <w:pPr>
              <w:pStyle w:val="Tablehead"/>
              <w:textDirection w:val="tbRlV"/>
              <w:rPr>
                <w:rFonts w:ascii="Times New Roman" w:hAnsi="Times New Roman"/>
                <w:bCs w:val="0"/>
                <w:sz w:val="18"/>
                <w:szCs w:val="24"/>
                <w:rtl/>
              </w:rPr>
            </w:pPr>
            <w:r w:rsidRPr="002E5F1E">
              <w:rPr>
                <w:rFonts w:ascii="Times New Roman" w:hAnsi="Times New Roman"/>
                <w:sz w:val="18"/>
                <w:szCs w:val="24"/>
                <w:rtl/>
              </w:rPr>
              <w:t xml:space="preserve">كسب هوائي </w:t>
            </w:r>
            <w:proofErr w:type="spellStart"/>
            <w:r w:rsidRPr="002E5F1E">
              <w:rPr>
                <w:rFonts w:ascii="Times New Roman" w:hAnsi="Times New Roman"/>
                <w:sz w:val="18"/>
                <w:szCs w:val="24"/>
                <w:rtl/>
              </w:rPr>
              <w:t>مطراف</w:t>
            </w:r>
            <w:proofErr w:type="spellEnd"/>
            <w:r w:rsidRPr="002E5F1E">
              <w:rPr>
                <w:rFonts w:ascii="Times New Roman" w:hAnsi="Times New Roman"/>
                <w:sz w:val="18"/>
                <w:szCs w:val="24"/>
                <w:rtl/>
              </w:rPr>
              <w:t xml:space="preserve"> المحطة الأرضية المتنقلة</w:t>
            </w:r>
          </w:p>
          <w:p w14:paraId="4F648204" w14:textId="77777777" w:rsidR="003E559A" w:rsidRPr="002E5F1E" w:rsidRDefault="003E559A" w:rsidP="003E559A">
            <w:pPr>
              <w:pStyle w:val="Tablehead"/>
              <w:textDirection w:val="tbRlV"/>
              <w:rPr>
                <w:rFonts w:ascii="Times New Roman" w:hAnsi="Times New Roman"/>
                <w:sz w:val="18"/>
                <w:szCs w:val="24"/>
                <w:rtl/>
                <w:lang w:val="ar-SA" w:eastAsia="zh-TW" w:bidi="ar-EG"/>
              </w:rPr>
            </w:pPr>
            <w:r w:rsidRPr="002E5F1E">
              <w:rPr>
                <w:rFonts w:ascii="Times New Roman" w:hAnsi="Times New Roman"/>
                <w:sz w:val="18"/>
                <w:szCs w:val="24"/>
              </w:rPr>
              <w:t>(</w:t>
            </w:r>
            <w:proofErr w:type="spellStart"/>
            <w:r w:rsidRPr="002E5F1E">
              <w:rPr>
                <w:rFonts w:ascii="Times New Roman" w:hAnsi="Times New Roman"/>
                <w:sz w:val="18"/>
                <w:szCs w:val="24"/>
              </w:rPr>
              <w:t>dBi</w:t>
            </w:r>
            <w:proofErr w:type="spellEnd"/>
            <w:r w:rsidRPr="002E5F1E">
              <w:rPr>
                <w:rFonts w:ascii="Times New Roman" w:hAnsi="Times New Roman"/>
                <w:sz w:val="18"/>
                <w:szCs w:val="24"/>
              </w:rPr>
              <w:t>)</w:t>
            </w:r>
          </w:p>
        </w:tc>
        <w:tc>
          <w:tcPr>
            <w:tcW w:w="1986" w:type="pct"/>
            <w:gridSpan w:val="2"/>
            <w:vAlign w:val="center"/>
            <w:hideMark/>
          </w:tcPr>
          <w:p w14:paraId="5DDCA619" w14:textId="24253CCA" w:rsidR="003E559A" w:rsidRPr="002E5F1E" w:rsidRDefault="003E559A"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 xml:space="preserve">المرحلة </w:t>
            </w:r>
            <w:r w:rsidRPr="002E5F1E">
              <w:rPr>
                <w:rFonts w:ascii="Times New Roman" w:hAnsi="Times New Roman"/>
                <w:sz w:val="18"/>
                <w:szCs w:val="24"/>
              </w:rPr>
              <w:t>1</w:t>
            </w:r>
          </w:p>
        </w:tc>
        <w:tc>
          <w:tcPr>
            <w:tcW w:w="1984" w:type="pct"/>
            <w:gridSpan w:val="2"/>
            <w:vAlign w:val="center"/>
            <w:hideMark/>
          </w:tcPr>
          <w:p w14:paraId="74DCF455" w14:textId="7F9A6123" w:rsidR="003E559A" w:rsidRPr="002E5F1E" w:rsidRDefault="003E559A"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 xml:space="preserve">المرحلة </w:t>
            </w:r>
            <w:r w:rsidRPr="002E5F1E">
              <w:rPr>
                <w:rFonts w:ascii="Times New Roman" w:hAnsi="Times New Roman"/>
                <w:sz w:val="18"/>
                <w:szCs w:val="24"/>
              </w:rPr>
              <w:t>2</w:t>
            </w:r>
          </w:p>
        </w:tc>
      </w:tr>
      <w:tr w:rsidR="00F85F93" w:rsidRPr="002E5F1E" w14:paraId="0C716099" w14:textId="77777777" w:rsidTr="003E559A">
        <w:trPr>
          <w:tblHeader/>
          <w:jc w:val="center"/>
        </w:trPr>
        <w:tc>
          <w:tcPr>
            <w:tcW w:w="588" w:type="pct"/>
            <w:vAlign w:val="center"/>
          </w:tcPr>
          <w:p w14:paraId="2F1222AD" w14:textId="77777777" w:rsidR="00F85F93" w:rsidRPr="002E5F1E" w:rsidRDefault="00F85F93" w:rsidP="003E559A">
            <w:pPr>
              <w:pStyle w:val="Tablehead"/>
              <w:rPr>
                <w:rFonts w:ascii="Times New Roman" w:hAnsi="Times New Roman"/>
                <w:sz w:val="18"/>
                <w:szCs w:val="24"/>
              </w:rPr>
            </w:pPr>
          </w:p>
        </w:tc>
        <w:tc>
          <w:tcPr>
            <w:tcW w:w="443" w:type="pct"/>
            <w:vMerge/>
            <w:vAlign w:val="center"/>
            <w:hideMark/>
          </w:tcPr>
          <w:p w14:paraId="65C91260" w14:textId="77777777" w:rsidR="00F85F93" w:rsidRPr="002E5F1E" w:rsidRDefault="00F85F93" w:rsidP="003E559A">
            <w:pPr>
              <w:pStyle w:val="Tablehead"/>
              <w:rPr>
                <w:rFonts w:ascii="Times New Roman" w:hAnsi="Times New Roman"/>
                <w:bCs w:val="0"/>
                <w:sz w:val="18"/>
                <w:szCs w:val="24"/>
              </w:rPr>
            </w:pPr>
          </w:p>
        </w:tc>
        <w:tc>
          <w:tcPr>
            <w:tcW w:w="993" w:type="pct"/>
            <w:vAlign w:val="center"/>
            <w:hideMark/>
          </w:tcPr>
          <w:p w14:paraId="6DD2CA4F" w14:textId="3762F4F9" w:rsidR="00F85F93" w:rsidRPr="002E5F1E" w:rsidRDefault="00F85F93"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 xml:space="preserve">حدّ كثافة تدفق القدرة لإرسالات المحطات القاعدة في النطاق </w:t>
            </w:r>
            <w:r w:rsidR="00FD391D" w:rsidRPr="002E5F1E">
              <w:rPr>
                <w:rFonts w:ascii="Times New Roman" w:hAnsi="Times New Roman"/>
                <w:sz w:val="18"/>
                <w:szCs w:val="24"/>
                <w:rtl/>
              </w:rPr>
              <w:br/>
            </w:r>
            <w:r w:rsidRPr="002E5F1E">
              <w:rPr>
                <w:rFonts w:ascii="Times New Roman" w:hAnsi="Times New Roman"/>
                <w:sz w:val="18"/>
                <w:szCs w:val="24"/>
              </w:rPr>
              <w:t>MHz</w:t>
            </w:r>
            <w:r w:rsidR="003F3046" w:rsidRPr="002E5F1E">
              <w:rPr>
                <w:rFonts w:ascii="Times New Roman" w:hAnsi="Times New Roman"/>
                <w:sz w:val="18"/>
                <w:szCs w:val="24"/>
              </w:rPr>
              <w:t> 1 512-1 492</w:t>
            </w:r>
            <w:r w:rsidRPr="002E5F1E">
              <w:rPr>
                <w:rFonts w:ascii="Times New Roman" w:hAnsi="Times New Roman"/>
                <w:sz w:val="18"/>
                <w:szCs w:val="24"/>
                <w:rtl/>
              </w:rPr>
              <w:t xml:space="preserve"> </w:t>
            </w:r>
            <w:r w:rsidRPr="002E5F1E">
              <w:rPr>
                <w:rFonts w:ascii="Times New Roman" w:hAnsi="Times New Roman"/>
                <w:sz w:val="18"/>
                <w:szCs w:val="24"/>
              </w:rPr>
              <w:t>(</w:t>
            </w:r>
            <w:proofErr w:type="spellStart"/>
            <w:r w:rsidRPr="002E5F1E">
              <w:rPr>
                <w:rFonts w:ascii="Times New Roman" w:hAnsi="Times New Roman"/>
                <w:sz w:val="18"/>
                <w:szCs w:val="24"/>
              </w:rPr>
              <w:t>dBW</w:t>
            </w:r>
            <w:proofErr w:type="spellEnd"/>
            <w:r w:rsidRPr="002E5F1E">
              <w:rPr>
                <w:rFonts w:ascii="Times New Roman" w:hAnsi="Times New Roman"/>
                <w:sz w:val="18"/>
                <w:szCs w:val="24"/>
              </w:rPr>
              <w:t>/</w:t>
            </w:r>
            <w:r w:rsidRPr="002E5F1E">
              <w:rPr>
                <w:rFonts w:ascii="Times New Roman" w:hAnsi="Times New Roman"/>
                <w:bCs w:val="0"/>
                <w:sz w:val="18"/>
                <w:szCs w:val="24"/>
              </w:rPr>
              <w:t>m</w:t>
            </w:r>
            <w:r w:rsidRPr="002E5F1E">
              <w:rPr>
                <w:rFonts w:ascii="Times New Roman" w:hAnsi="Times New Roman"/>
                <w:bCs w:val="0"/>
                <w:sz w:val="18"/>
                <w:szCs w:val="24"/>
                <w:vertAlign w:val="superscript"/>
              </w:rPr>
              <w:t>2</w:t>
            </w:r>
            <w:r w:rsidRPr="002E5F1E">
              <w:rPr>
                <w:rFonts w:ascii="Times New Roman" w:hAnsi="Times New Roman"/>
                <w:sz w:val="18"/>
                <w:szCs w:val="24"/>
              </w:rPr>
              <w:t>)</w:t>
            </w:r>
          </w:p>
        </w:tc>
        <w:tc>
          <w:tcPr>
            <w:tcW w:w="993" w:type="pct"/>
            <w:vAlign w:val="center"/>
            <w:hideMark/>
          </w:tcPr>
          <w:p w14:paraId="4AA825F2" w14:textId="2F64AF24" w:rsidR="00F85F93" w:rsidRPr="002E5F1E" w:rsidRDefault="00F85F93"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 xml:space="preserve">حدّ كثافة تدفق القدرة لإرسالات المحطات القاعدة في النطاق </w:t>
            </w:r>
            <w:r w:rsidR="00FD391D" w:rsidRPr="002E5F1E">
              <w:rPr>
                <w:rFonts w:ascii="Times New Roman" w:hAnsi="Times New Roman"/>
                <w:sz w:val="18"/>
                <w:szCs w:val="24"/>
                <w:rtl/>
              </w:rPr>
              <w:br/>
            </w:r>
            <w:r w:rsidR="003F3046" w:rsidRPr="002E5F1E">
              <w:rPr>
                <w:rFonts w:ascii="Times New Roman" w:hAnsi="Times New Roman"/>
                <w:sz w:val="18"/>
                <w:szCs w:val="24"/>
              </w:rPr>
              <w:t>MHz 1 517-1 512</w:t>
            </w:r>
            <w:r w:rsidR="003F3046" w:rsidRPr="002E5F1E">
              <w:rPr>
                <w:rFonts w:ascii="Times New Roman" w:hAnsi="Times New Roman"/>
                <w:sz w:val="18"/>
                <w:szCs w:val="24"/>
                <w:rtl/>
              </w:rPr>
              <w:t xml:space="preserve"> </w:t>
            </w:r>
            <w:r w:rsidR="003F3046" w:rsidRPr="002E5F1E">
              <w:rPr>
                <w:rFonts w:ascii="Times New Roman" w:hAnsi="Times New Roman"/>
                <w:sz w:val="18"/>
                <w:szCs w:val="24"/>
              </w:rPr>
              <w:t>(</w:t>
            </w:r>
            <w:proofErr w:type="spellStart"/>
            <w:r w:rsidR="003F3046" w:rsidRPr="002E5F1E">
              <w:rPr>
                <w:rFonts w:ascii="Times New Roman" w:hAnsi="Times New Roman"/>
                <w:sz w:val="18"/>
                <w:szCs w:val="24"/>
              </w:rPr>
              <w:t>dBW</w:t>
            </w:r>
            <w:proofErr w:type="spellEnd"/>
            <w:r w:rsidR="003F3046" w:rsidRPr="002E5F1E">
              <w:rPr>
                <w:rFonts w:ascii="Times New Roman" w:hAnsi="Times New Roman"/>
                <w:sz w:val="18"/>
                <w:szCs w:val="24"/>
              </w:rPr>
              <w:t>/</w:t>
            </w:r>
            <w:r w:rsidR="003F3046" w:rsidRPr="002E5F1E">
              <w:rPr>
                <w:rFonts w:ascii="Times New Roman" w:hAnsi="Times New Roman"/>
                <w:bCs w:val="0"/>
                <w:sz w:val="18"/>
                <w:szCs w:val="24"/>
              </w:rPr>
              <w:t>m</w:t>
            </w:r>
            <w:r w:rsidR="003F3046" w:rsidRPr="002E5F1E">
              <w:rPr>
                <w:rFonts w:ascii="Times New Roman" w:hAnsi="Times New Roman"/>
                <w:bCs w:val="0"/>
                <w:sz w:val="18"/>
                <w:szCs w:val="24"/>
                <w:vertAlign w:val="superscript"/>
              </w:rPr>
              <w:t>2</w:t>
            </w:r>
            <w:r w:rsidR="003F3046" w:rsidRPr="002E5F1E">
              <w:rPr>
                <w:rFonts w:ascii="Times New Roman" w:hAnsi="Times New Roman"/>
                <w:sz w:val="18"/>
                <w:szCs w:val="24"/>
              </w:rPr>
              <w:t>)</w:t>
            </w:r>
          </w:p>
        </w:tc>
        <w:tc>
          <w:tcPr>
            <w:tcW w:w="993" w:type="pct"/>
            <w:vAlign w:val="center"/>
            <w:hideMark/>
          </w:tcPr>
          <w:p w14:paraId="2FC48876" w14:textId="4BB6C403" w:rsidR="00F85F93" w:rsidRPr="002E5F1E" w:rsidRDefault="00F85F93"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 xml:space="preserve">حدّ كثافة تدفق القدرة لإرسالات المحطات القاعدة في النطاق </w:t>
            </w:r>
            <w:r w:rsidR="00FD391D" w:rsidRPr="002E5F1E">
              <w:rPr>
                <w:rFonts w:ascii="Times New Roman" w:hAnsi="Times New Roman"/>
                <w:sz w:val="18"/>
                <w:szCs w:val="24"/>
                <w:rtl/>
              </w:rPr>
              <w:br/>
            </w:r>
            <w:r w:rsidR="003F3046" w:rsidRPr="002E5F1E">
              <w:rPr>
                <w:rFonts w:ascii="Times New Roman" w:hAnsi="Times New Roman"/>
                <w:sz w:val="18"/>
                <w:szCs w:val="24"/>
              </w:rPr>
              <w:t>MHz 1 512-1 492</w:t>
            </w:r>
            <w:r w:rsidR="003F3046" w:rsidRPr="002E5F1E">
              <w:rPr>
                <w:rFonts w:ascii="Times New Roman" w:hAnsi="Times New Roman"/>
                <w:sz w:val="18"/>
                <w:szCs w:val="24"/>
                <w:rtl/>
              </w:rPr>
              <w:t xml:space="preserve"> </w:t>
            </w:r>
            <w:r w:rsidR="003F3046" w:rsidRPr="002E5F1E">
              <w:rPr>
                <w:rFonts w:ascii="Times New Roman" w:hAnsi="Times New Roman"/>
                <w:sz w:val="18"/>
                <w:szCs w:val="24"/>
              </w:rPr>
              <w:t>(</w:t>
            </w:r>
            <w:proofErr w:type="spellStart"/>
            <w:r w:rsidR="003F3046" w:rsidRPr="002E5F1E">
              <w:rPr>
                <w:rFonts w:ascii="Times New Roman" w:hAnsi="Times New Roman"/>
                <w:sz w:val="18"/>
                <w:szCs w:val="24"/>
              </w:rPr>
              <w:t>dBW</w:t>
            </w:r>
            <w:proofErr w:type="spellEnd"/>
            <w:r w:rsidR="003F3046" w:rsidRPr="002E5F1E">
              <w:rPr>
                <w:rFonts w:ascii="Times New Roman" w:hAnsi="Times New Roman"/>
                <w:sz w:val="18"/>
                <w:szCs w:val="24"/>
              </w:rPr>
              <w:t>/</w:t>
            </w:r>
            <w:r w:rsidR="003F3046" w:rsidRPr="002E5F1E">
              <w:rPr>
                <w:rFonts w:ascii="Times New Roman" w:hAnsi="Times New Roman"/>
                <w:bCs w:val="0"/>
                <w:sz w:val="18"/>
                <w:szCs w:val="24"/>
              </w:rPr>
              <w:t>m</w:t>
            </w:r>
            <w:r w:rsidR="003F3046" w:rsidRPr="002E5F1E">
              <w:rPr>
                <w:rFonts w:ascii="Times New Roman" w:hAnsi="Times New Roman"/>
                <w:bCs w:val="0"/>
                <w:sz w:val="18"/>
                <w:szCs w:val="24"/>
                <w:vertAlign w:val="superscript"/>
              </w:rPr>
              <w:t>2</w:t>
            </w:r>
            <w:r w:rsidR="003F3046" w:rsidRPr="002E5F1E">
              <w:rPr>
                <w:rFonts w:ascii="Times New Roman" w:hAnsi="Times New Roman"/>
                <w:sz w:val="18"/>
                <w:szCs w:val="24"/>
              </w:rPr>
              <w:t>)</w:t>
            </w:r>
          </w:p>
        </w:tc>
        <w:tc>
          <w:tcPr>
            <w:tcW w:w="991" w:type="pct"/>
            <w:vAlign w:val="center"/>
            <w:hideMark/>
          </w:tcPr>
          <w:p w14:paraId="21B3DEA7" w14:textId="2C31B735" w:rsidR="00F85F93" w:rsidRPr="002E5F1E" w:rsidRDefault="00F85F93" w:rsidP="003E559A">
            <w:pPr>
              <w:pStyle w:val="Tablehead"/>
              <w:textDirection w:val="tbRlV"/>
              <w:rPr>
                <w:rFonts w:ascii="Times New Roman" w:hAnsi="Times New Roman"/>
                <w:sz w:val="18"/>
                <w:szCs w:val="24"/>
                <w:lang w:val="ar-SA" w:eastAsia="zh-TW" w:bidi="en-GB"/>
              </w:rPr>
            </w:pPr>
            <w:r w:rsidRPr="002E5F1E">
              <w:rPr>
                <w:rFonts w:ascii="Times New Roman" w:hAnsi="Times New Roman"/>
                <w:sz w:val="18"/>
                <w:szCs w:val="24"/>
                <w:rtl/>
              </w:rPr>
              <w:t xml:space="preserve">حدّ كثافة تدفق القدرة لإرسالات المحطات القاعدة في النطاق </w:t>
            </w:r>
            <w:r w:rsidR="00FD391D" w:rsidRPr="002E5F1E">
              <w:rPr>
                <w:rFonts w:ascii="Times New Roman" w:hAnsi="Times New Roman"/>
                <w:sz w:val="18"/>
                <w:szCs w:val="24"/>
                <w:rtl/>
              </w:rPr>
              <w:br/>
            </w:r>
            <w:r w:rsidR="003F3046" w:rsidRPr="002E5F1E">
              <w:rPr>
                <w:rFonts w:ascii="Times New Roman" w:hAnsi="Times New Roman"/>
                <w:sz w:val="18"/>
                <w:szCs w:val="24"/>
              </w:rPr>
              <w:t>MHz 1 517-1 512</w:t>
            </w:r>
            <w:r w:rsidR="003F3046" w:rsidRPr="002E5F1E">
              <w:rPr>
                <w:rFonts w:ascii="Times New Roman" w:hAnsi="Times New Roman"/>
                <w:sz w:val="18"/>
                <w:szCs w:val="24"/>
                <w:rtl/>
              </w:rPr>
              <w:t xml:space="preserve"> </w:t>
            </w:r>
            <w:r w:rsidR="003F3046" w:rsidRPr="002E5F1E">
              <w:rPr>
                <w:rFonts w:ascii="Times New Roman" w:hAnsi="Times New Roman"/>
                <w:sz w:val="18"/>
                <w:szCs w:val="24"/>
              </w:rPr>
              <w:t>(</w:t>
            </w:r>
            <w:proofErr w:type="spellStart"/>
            <w:r w:rsidR="003F3046" w:rsidRPr="002E5F1E">
              <w:rPr>
                <w:rFonts w:ascii="Times New Roman" w:hAnsi="Times New Roman"/>
                <w:sz w:val="18"/>
                <w:szCs w:val="24"/>
              </w:rPr>
              <w:t>dBW</w:t>
            </w:r>
            <w:proofErr w:type="spellEnd"/>
            <w:r w:rsidR="003F3046" w:rsidRPr="002E5F1E">
              <w:rPr>
                <w:rFonts w:ascii="Times New Roman" w:hAnsi="Times New Roman"/>
                <w:sz w:val="18"/>
                <w:szCs w:val="24"/>
              </w:rPr>
              <w:t>/</w:t>
            </w:r>
            <w:r w:rsidR="003F3046" w:rsidRPr="002E5F1E">
              <w:rPr>
                <w:rFonts w:ascii="Times New Roman" w:hAnsi="Times New Roman"/>
                <w:bCs w:val="0"/>
                <w:sz w:val="18"/>
                <w:szCs w:val="24"/>
              </w:rPr>
              <w:t>m</w:t>
            </w:r>
            <w:r w:rsidR="003F3046" w:rsidRPr="002E5F1E">
              <w:rPr>
                <w:rFonts w:ascii="Times New Roman" w:hAnsi="Times New Roman"/>
                <w:bCs w:val="0"/>
                <w:sz w:val="18"/>
                <w:szCs w:val="24"/>
                <w:vertAlign w:val="superscript"/>
              </w:rPr>
              <w:t>2</w:t>
            </w:r>
            <w:r w:rsidR="003F3046" w:rsidRPr="002E5F1E">
              <w:rPr>
                <w:rFonts w:ascii="Times New Roman" w:hAnsi="Times New Roman"/>
                <w:sz w:val="18"/>
                <w:szCs w:val="24"/>
              </w:rPr>
              <w:t>)</w:t>
            </w:r>
          </w:p>
        </w:tc>
      </w:tr>
      <w:tr w:rsidR="00F85F93" w:rsidRPr="002E5F1E" w14:paraId="2467605A" w14:textId="77777777" w:rsidTr="003E559A">
        <w:trPr>
          <w:jc w:val="center"/>
        </w:trPr>
        <w:tc>
          <w:tcPr>
            <w:tcW w:w="588" w:type="pct"/>
            <w:vMerge w:val="restart"/>
            <w:vAlign w:val="center"/>
            <w:hideMark/>
          </w:tcPr>
          <w:p w14:paraId="74937C56" w14:textId="77777777" w:rsidR="00F85F93" w:rsidRPr="002E5F1E" w:rsidRDefault="00F85F93" w:rsidP="002E5F1E">
            <w:pPr>
              <w:rPr>
                <w:sz w:val="18"/>
                <w:szCs w:val="24"/>
              </w:rPr>
            </w:pPr>
            <w:r w:rsidRPr="002E5F1E">
              <w:rPr>
                <w:sz w:val="18"/>
                <w:szCs w:val="24"/>
                <w:rtl/>
              </w:rPr>
              <w:t>الموانئ والممرات المائية الداخلية</w:t>
            </w:r>
          </w:p>
        </w:tc>
        <w:tc>
          <w:tcPr>
            <w:tcW w:w="443" w:type="pct"/>
            <w:vAlign w:val="center"/>
            <w:hideMark/>
          </w:tcPr>
          <w:p w14:paraId="5915D644" w14:textId="77777777" w:rsidR="00F85F93" w:rsidRPr="002E5F1E" w:rsidRDefault="00F85F93" w:rsidP="00E70045">
            <w:pPr>
              <w:pStyle w:val="Tabletext"/>
              <w:jc w:val="center"/>
            </w:pPr>
            <w:r w:rsidRPr="002E5F1E">
              <w:t>3</w:t>
            </w:r>
          </w:p>
        </w:tc>
        <w:tc>
          <w:tcPr>
            <w:tcW w:w="993" w:type="pct"/>
            <w:vAlign w:val="center"/>
            <w:hideMark/>
          </w:tcPr>
          <w:p w14:paraId="35C9E59E" w14:textId="49D154B3" w:rsidR="00F85F93" w:rsidRPr="002E5F1E" w:rsidRDefault="00F85F93" w:rsidP="00E70045">
            <w:pPr>
              <w:pStyle w:val="Tabletext"/>
              <w:jc w:val="center"/>
            </w:pPr>
            <w:r w:rsidRPr="002E5F1E">
              <w:t>74</w:t>
            </w:r>
            <w:r w:rsidR="003E559A" w:rsidRPr="002E5F1E">
              <w:t>,</w:t>
            </w:r>
            <w:r w:rsidRPr="002E5F1E">
              <w:t>9</w:t>
            </w:r>
            <w:r w:rsidR="00BF3623" w:rsidRPr="002E5F1E">
              <w:t>–</w:t>
            </w:r>
          </w:p>
        </w:tc>
        <w:tc>
          <w:tcPr>
            <w:tcW w:w="993" w:type="pct"/>
            <w:vAlign w:val="center"/>
            <w:hideMark/>
          </w:tcPr>
          <w:p w14:paraId="1D7A9BFE" w14:textId="5595C183" w:rsidR="00F85F93" w:rsidRPr="002E5F1E" w:rsidRDefault="00F85F93" w:rsidP="00E70045">
            <w:pPr>
              <w:pStyle w:val="Tabletext"/>
              <w:jc w:val="center"/>
            </w:pPr>
            <w:r w:rsidRPr="002E5F1E">
              <w:t>85</w:t>
            </w:r>
            <w:r w:rsidR="003E559A" w:rsidRPr="002E5F1E">
              <w:t>,</w:t>
            </w:r>
            <w:r w:rsidRPr="002E5F1E">
              <w:t>9</w:t>
            </w:r>
            <w:r w:rsidR="00BF3623" w:rsidRPr="002E5F1E">
              <w:t>–</w:t>
            </w:r>
          </w:p>
        </w:tc>
        <w:tc>
          <w:tcPr>
            <w:tcW w:w="993" w:type="pct"/>
            <w:vAlign w:val="center"/>
            <w:hideMark/>
          </w:tcPr>
          <w:p w14:paraId="03BF1E98" w14:textId="312B17F1" w:rsidR="00F85F93" w:rsidRPr="002E5F1E" w:rsidRDefault="00F85F93" w:rsidP="00E70045">
            <w:pPr>
              <w:pStyle w:val="Tabletext"/>
              <w:jc w:val="center"/>
            </w:pPr>
            <w:r w:rsidRPr="002E5F1E">
              <w:t>30</w:t>
            </w:r>
            <w:r w:rsidR="003E559A" w:rsidRPr="002E5F1E">
              <w:t>,</w:t>
            </w:r>
            <w:r w:rsidRPr="002E5F1E">
              <w:t>9</w:t>
            </w:r>
            <w:r w:rsidR="000642EB">
              <w:t>–</w:t>
            </w:r>
          </w:p>
        </w:tc>
        <w:tc>
          <w:tcPr>
            <w:tcW w:w="991" w:type="pct"/>
            <w:vAlign w:val="center"/>
            <w:hideMark/>
          </w:tcPr>
          <w:p w14:paraId="56054CFD" w14:textId="3A0BA43C" w:rsidR="00F85F93" w:rsidRPr="002E5F1E" w:rsidRDefault="00F85F93" w:rsidP="00E70045">
            <w:pPr>
              <w:pStyle w:val="Tabletext"/>
              <w:jc w:val="center"/>
            </w:pPr>
            <w:r w:rsidRPr="002E5F1E">
              <w:t>40</w:t>
            </w:r>
            <w:r w:rsidR="003E559A" w:rsidRPr="002E5F1E">
              <w:t>,</w:t>
            </w:r>
            <w:r w:rsidRPr="002E5F1E">
              <w:t>9</w:t>
            </w:r>
            <w:r w:rsidR="00034397" w:rsidRPr="002E5F1E">
              <w:t>–</w:t>
            </w:r>
          </w:p>
        </w:tc>
      </w:tr>
      <w:tr w:rsidR="00F85F93" w:rsidRPr="002E5F1E" w14:paraId="357A6F48" w14:textId="77777777" w:rsidTr="003E559A">
        <w:trPr>
          <w:jc w:val="center"/>
        </w:trPr>
        <w:tc>
          <w:tcPr>
            <w:tcW w:w="588" w:type="pct"/>
            <w:vMerge/>
            <w:vAlign w:val="center"/>
            <w:hideMark/>
          </w:tcPr>
          <w:p w14:paraId="2CE81964" w14:textId="77777777" w:rsidR="00F85F93" w:rsidRPr="002E5F1E" w:rsidRDefault="00F85F93" w:rsidP="00DB5611">
            <w:pPr>
              <w:pStyle w:val="Tabletext"/>
            </w:pPr>
          </w:p>
        </w:tc>
        <w:tc>
          <w:tcPr>
            <w:tcW w:w="443" w:type="pct"/>
            <w:vAlign w:val="center"/>
            <w:hideMark/>
          </w:tcPr>
          <w:p w14:paraId="5F22C9BF" w14:textId="77777777" w:rsidR="00F85F93" w:rsidRPr="002E5F1E" w:rsidRDefault="00F85F93" w:rsidP="00E70045">
            <w:pPr>
              <w:pStyle w:val="Tabletext"/>
              <w:jc w:val="center"/>
            </w:pPr>
            <w:r w:rsidRPr="002E5F1E">
              <w:t>19-3</w:t>
            </w:r>
            <w:r w:rsidRPr="002E5F1E">
              <w:rPr>
                <w:rtl/>
              </w:rPr>
              <w:t xml:space="preserve"> </w:t>
            </w:r>
            <w:r w:rsidRPr="002E5F1E">
              <w:rPr>
                <w:vertAlign w:val="superscript"/>
              </w:rPr>
              <w:t>(1)</w:t>
            </w:r>
          </w:p>
        </w:tc>
        <w:tc>
          <w:tcPr>
            <w:tcW w:w="993" w:type="pct"/>
            <w:vAlign w:val="center"/>
            <w:hideMark/>
          </w:tcPr>
          <w:p w14:paraId="54A29BF9" w14:textId="707DFB80" w:rsidR="00F85F93" w:rsidRPr="002E5F1E" w:rsidRDefault="00F85F93" w:rsidP="00E70045">
            <w:pPr>
              <w:pStyle w:val="Tabletext"/>
              <w:jc w:val="center"/>
            </w:pPr>
            <w:r w:rsidRPr="002E5F1E">
              <w:t>74,9</w:t>
            </w:r>
            <w:r w:rsidR="00BF3623" w:rsidRPr="002E5F1E">
              <w:t>–</w:t>
            </w:r>
            <w:r w:rsidRPr="002E5F1E">
              <w:rPr>
                <w:rtl/>
              </w:rPr>
              <w:t xml:space="preserve"> </w:t>
            </w:r>
            <w:r w:rsidR="003E559A" w:rsidRPr="002E5F1E">
              <w:rPr>
                <w:rtl/>
              </w:rPr>
              <w:t xml:space="preserve">إلى </w:t>
            </w:r>
            <w:r w:rsidRPr="002E5F1E">
              <w:t>90,9</w:t>
            </w:r>
            <w:r w:rsidR="00BF3623" w:rsidRPr="002E5F1E">
              <w:t>–</w:t>
            </w:r>
          </w:p>
        </w:tc>
        <w:tc>
          <w:tcPr>
            <w:tcW w:w="993" w:type="pct"/>
            <w:vAlign w:val="center"/>
            <w:hideMark/>
          </w:tcPr>
          <w:p w14:paraId="7D467565" w14:textId="5EE82039" w:rsidR="00F85F93" w:rsidRPr="002E5F1E" w:rsidRDefault="00F85F93" w:rsidP="00E70045">
            <w:pPr>
              <w:pStyle w:val="Tabletext"/>
              <w:jc w:val="center"/>
              <w:rPr>
                <w:rtl/>
                <w:lang w:bidi="ar-SY"/>
              </w:rPr>
            </w:pPr>
            <w:r w:rsidRPr="002E5F1E">
              <w:rPr>
                <w:rtl/>
              </w:rPr>
              <w:t xml:space="preserve">من </w:t>
            </w:r>
            <w:r w:rsidRPr="002E5F1E">
              <w:t>85,9</w:t>
            </w:r>
            <w:r w:rsidR="00BF3623" w:rsidRPr="002E5F1E">
              <w:t>–</w:t>
            </w:r>
            <w:r w:rsidRPr="002E5F1E">
              <w:rPr>
                <w:rtl/>
              </w:rPr>
              <w:t xml:space="preserve"> إلى </w:t>
            </w:r>
            <w:r w:rsidRPr="002E5F1E">
              <w:t>101,9</w:t>
            </w:r>
            <w:r w:rsidR="00BF3623" w:rsidRPr="002E5F1E">
              <w:t>–</w:t>
            </w:r>
          </w:p>
        </w:tc>
        <w:tc>
          <w:tcPr>
            <w:tcW w:w="993" w:type="pct"/>
            <w:vAlign w:val="center"/>
            <w:hideMark/>
          </w:tcPr>
          <w:p w14:paraId="1312B102" w14:textId="77777777" w:rsidR="00F85F93" w:rsidRPr="002E5F1E" w:rsidRDefault="00F85F93" w:rsidP="00E70045">
            <w:pPr>
              <w:pStyle w:val="Tabletext"/>
              <w:jc w:val="center"/>
            </w:pPr>
            <w:r w:rsidRPr="002E5F1E">
              <w:t>30,9–</w:t>
            </w:r>
            <w:r w:rsidRPr="002E5F1E">
              <w:rPr>
                <w:rtl/>
              </w:rPr>
              <w:t xml:space="preserve"> إلى </w:t>
            </w:r>
            <w:r w:rsidRPr="002E5F1E">
              <w:t>46,9–</w:t>
            </w:r>
          </w:p>
        </w:tc>
        <w:tc>
          <w:tcPr>
            <w:tcW w:w="991" w:type="pct"/>
            <w:vAlign w:val="center"/>
            <w:hideMark/>
          </w:tcPr>
          <w:p w14:paraId="4F1D6361" w14:textId="6A71A002" w:rsidR="00F85F93" w:rsidRPr="002E5F1E" w:rsidRDefault="00F85F93" w:rsidP="00E70045">
            <w:pPr>
              <w:pStyle w:val="Tabletext"/>
              <w:jc w:val="center"/>
            </w:pPr>
            <w:r w:rsidRPr="002E5F1E">
              <w:t>40</w:t>
            </w:r>
            <w:r w:rsidR="003E559A" w:rsidRPr="002E5F1E">
              <w:t>,</w:t>
            </w:r>
            <w:r w:rsidRPr="002E5F1E">
              <w:t>9</w:t>
            </w:r>
            <w:r w:rsidR="00034397" w:rsidRPr="002E5F1E">
              <w:t>–</w:t>
            </w:r>
            <w:r w:rsidRPr="002E5F1E">
              <w:rPr>
                <w:rtl/>
              </w:rPr>
              <w:t xml:space="preserve"> </w:t>
            </w:r>
            <w:r w:rsidR="003E559A" w:rsidRPr="002E5F1E">
              <w:rPr>
                <w:rtl/>
              </w:rPr>
              <w:t>إلى</w:t>
            </w:r>
            <w:r w:rsidR="003E559A" w:rsidRPr="002E5F1E">
              <w:rPr>
                <w:rFonts w:hint="cs"/>
                <w:rtl/>
              </w:rPr>
              <w:t xml:space="preserve"> </w:t>
            </w:r>
            <w:r w:rsidRPr="002E5F1E">
              <w:t>56</w:t>
            </w:r>
            <w:r w:rsidR="003E559A" w:rsidRPr="002E5F1E">
              <w:t>,</w:t>
            </w:r>
            <w:r w:rsidRPr="002E5F1E">
              <w:t>9</w:t>
            </w:r>
            <w:r w:rsidR="00034397" w:rsidRPr="002E5F1E">
              <w:t>–</w:t>
            </w:r>
          </w:p>
        </w:tc>
      </w:tr>
      <w:tr w:rsidR="00F85F93" w:rsidRPr="002E5F1E" w14:paraId="3719E649" w14:textId="77777777" w:rsidTr="003E559A">
        <w:trPr>
          <w:jc w:val="center"/>
        </w:trPr>
        <w:tc>
          <w:tcPr>
            <w:tcW w:w="588" w:type="pct"/>
            <w:vMerge w:val="restart"/>
            <w:vAlign w:val="center"/>
            <w:hideMark/>
          </w:tcPr>
          <w:p w14:paraId="350BFE57" w14:textId="77777777" w:rsidR="00F85F93" w:rsidRPr="002E5F1E" w:rsidRDefault="00F85F93" w:rsidP="00DB5611">
            <w:pPr>
              <w:pStyle w:val="Tabletext"/>
            </w:pPr>
            <w:r w:rsidRPr="002E5F1E">
              <w:rPr>
                <w:rtl/>
              </w:rPr>
              <w:t>المطارات</w:t>
            </w:r>
          </w:p>
        </w:tc>
        <w:tc>
          <w:tcPr>
            <w:tcW w:w="443" w:type="pct"/>
            <w:vAlign w:val="center"/>
            <w:hideMark/>
          </w:tcPr>
          <w:p w14:paraId="282919A3" w14:textId="77777777" w:rsidR="00F85F93" w:rsidRPr="002E5F1E" w:rsidRDefault="00F85F93" w:rsidP="00E70045">
            <w:pPr>
              <w:pStyle w:val="Tabletext"/>
              <w:jc w:val="center"/>
            </w:pPr>
            <w:r w:rsidRPr="002E5F1E">
              <w:t>3</w:t>
            </w:r>
          </w:p>
        </w:tc>
        <w:tc>
          <w:tcPr>
            <w:tcW w:w="993" w:type="pct"/>
            <w:vAlign w:val="center"/>
            <w:hideMark/>
          </w:tcPr>
          <w:p w14:paraId="4BC94760" w14:textId="4843B0B3" w:rsidR="00F85F93" w:rsidRPr="002E5F1E" w:rsidRDefault="00F85F93" w:rsidP="00E70045">
            <w:pPr>
              <w:pStyle w:val="Tabletext"/>
              <w:jc w:val="center"/>
            </w:pPr>
            <w:r w:rsidRPr="002E5F1E">
              <w:t>53</w:t>
            </w:r>
            <w:r w:rsidR="003E559A" w:rsidRPr="002E5F1E">
              <w:t>,</w:t>
            </w:r>
            <w:r w:rsidRPr="002E5F1E">
              <w:t>5</w:t>
            </w:r>
            <w:r w:rsidR="00BF3623" w:rsidRPr="002E5F1E">
              <w:t>–</w:t>
            </w:r>
          </w:p>
        </w:tc>
        <w:tc>
          <w:tcPr>
            <w:tcW w:w="993" w:type="pct"/>
            <w:vAlign w:val="center"/>
            <w:hideMark/>
          </w:tcPr>
          <w:p w14:paraId="03C3FA75" w14:textId="6E572890" w:rsidR="00F85F93" w:rsidRPr="002E5F1E" w:rsidRDefault="00F85F93" w:rsidP="00E70045">
            <w:pPr>
              <w:pStyle w:val="Tabletext"/>
              <w:jc w:val="center"/>
            </w:pPr>
            <w:r w:rsidRPr="002E5F1E">
              <w:t>63</w:t>
            </w:r>
            <w:r w:rsidR="003E559A" w:rsidRPr="002E5F1E">
              <w:t>,</w:t>
            </w:r>
            <w:r w:rsidRPr="002E5F1E">
              <w:t>4</w:t>
            </w:r>
            <w:r w:rsidR="00034397" w:rsidRPr="002E5F1E">
              <w:t>–</w:t>
            </w:r>
          </w:p>
        </w:tc>
        <w:tc>
          <w:tcPr>
            <w:tcW w:w="993" w:type="pct"/>
            <w:vAlign w:val="center"/>
            <w:hideMark/>
          </w:tcPr>
          <w:p w14:paraId="106C000C" w14:textId="7B30485B" w:rsidR="00F85F93" w:rsidRPr="002E5F1E" w:rsidRDefault="00F85F93" w:rsidP="00E70045">
            <w:pPr>
              <w:pStyle w:val="Tabletext"/>
              <w:jc w:val="center"/>
            </w:pPr>
            <w:r w:rsidRPr="002E5F1E">
              <w:t>30</w:t>
            </w:r>
            <w:r w:rsidR="003E559A" w:rsidRPr="002E5F1E">
              <w:t>,</w:t>
            </w:r>
            <w:r w:rsidRPr="002E5F1E">
              <w:t>9</w:t>
            </w:r>
            <w:r w:rsidR="00034397" w:rsidRPr="002E5F1E">
              <w:t>–</w:t>
            </w:r>
          </w:p>
        </w:tc>
        <w:tc>
          <w:tcPr>
            <w:tcW w:w="991" w:type="pct"/>
            <w:vAlign w:val="center"/>
            <w:hideMark/>
          </w:tcPr>
          <w:p w14:paraId="1A4A7FEA" w14:textId="73C484A0" w:rsidR="00F85F93" w:rsidRPr="002E5F1E" w:rsidRDefault="00F85F93" w:rsidP="00E70045">
            <w:pPr>
              <w:pStyle w:val="Tabletext"/>
              <w:jc w:val="center"/>
            </w:pPr>
            <w:r w:rsidRPr="002E5F1E">
              <w:t>40</w:t>
            </w:r>
            <w:r w:rsidR="003E559A" w:rsidRPr="002E5F1E">
              <w:t>,</w:t>
            </w:r>
            <w:r w:rsidRPr="002E5F1E">
              <w:t>9</w:t>
            </w:r>
            <w:r w:rsidR="00034397" w:rsidRPr="002E5F1E">
              <w:t>–</w:t>
            </w:r>
          </w:p>
        </w:tc>
      </w:tr>
      <w:tr w:rsidR="00F85F93" w:rsidRPr="002E5F1E" w14:paraId="5071C761" w14:textId="77777777" w:rsidTr="003E559A">
        <w:trPr>
          <w:jc w:val="center"/>
        </w:trPr>
        <w:tc>
          <w:tcPr>
            <w:tcW w:w="588" w:type="pct"/>
            <w:vMerge/>
            <w:tcBorders>
              <w:bottom w:val="single" w:sz="4" w:space="0" w:color="auto"/>
            </w:tcBorders>
            <w:vAlign w:val="center"/>
            <w:hideMark/>
          </w:tcPr>
          <w:p w14:paraId="77A453C9" w14:textId="77777777" w:rsidR="00F85F93" w:rsidRPr="002E5F1E" w:rsidRDefault="00F85F93" w:rsidP="00DB5611">
            <w:pPr>
              <w:pStyle w:val="Tabletext"/>
            </w:pPr>
          </w:p>
        </w:tc>
        <w:tc>
          <w:tcPr>
            <w:tcW w:w="443" w:type="pct"/>
            <w:tcBorders>
              <w:bottom w:val="single" w:sz="4" w:space="0" w:color="auto"/>
            </w:tcBorders>
            <w:vAlign w:val="center"/>
            <w:hideMark/>
          </w:tcPr>
          <w:p w14:paraId="762F3AFB" w14:textId="77777777" w:rsidR="00F85F93" w:rsidRPr="002E5F1E" w:rsidRDefault="00F85F93" w:rsidP="00E70045">
            <w:pPr>
              <w:pStyle w:val="Tabletext"/>
              <w:jc w:val="center"/>
            </w:pPr>
            <w:r w:rsidRPr="002E5F1E">
              <w:t>17-3</w:t>
            </w:r>
            <w:r w:rsidRPr="002E5F1E">
              <w:rPr>
                <w:rtl/>
              </w:rPr>
              <w:t xml:space="preserve"> </w:t>
            </w:r>
            <w:r w:rsidRPr="002E5F1E">
              <w:rPr>
                <w:vertAlign w:val="superscript"/>
              </w:rPr>
              <w:t>(1)</w:t>
            </w:r>
          </w:p>
        </w:tc>
        <w:tc>
          <w:tcPr>
            <w:tcW w:w="993" w:type="pct"/>
            <w:tcBorders>
              <w:bottom w:val="single" w:sz="4" w:space="0" w:color="auto"/>
            </w:tcBorders>
            <w:vAlign w:val="center"/>
            <w:hideMark/>
          </w:tcPr>
          <w:p w14:paraId="0CF69DDB" w14:textId="46494EBB" w:rsidR="00F85F93" w:rsidRPr="002E5F1E" w:rsidRDefault="00BF3623" w:rsidP="00E70045">
            <w:pPr>
              <w:pStyle w:val="Tabletext"/>
              <w:jc w:val="center"/>
            </w:pPr>
            <w:r w:rsidRPr="002E5F1E">
              <w:t>53,5–</w:t>
            </w:r>
            <w:r w:rsidR="00F85F93" w:rsidRPr="002E5F1E">
              <w:rPr>
                <w:rtl/>
              </w:rPr>
              <w:t xml:space="preserve"> </w:t>
            </w:r>
            <w:r w:rsidR="003E559A" w:rsidRPr="002E5F1E">
              <w:rPr>
                <w:rtl/>
              </w:rPr>
              <w:t xml:space="preserve">إلى </w:t>
            </w:r>
            <w:r w:rsidR="00F85F93" w:rsidRPr="002E5F1E">
              <w:t>67,5</w:t>
            </w:r>
            <w:r w:rsidRPr="002E5F1E">
              <w:t>–</w:t>
            </w:r>
          </w:p>
        </w:tc>
        <w:tc>
          <w:tcPr>
            <w:tcW w:w="993" w:type="pct"/>
            <w:tcBorders>
              <w:bottom w:val="single" w:sz="4" w:space="0" w:color="auto"/>
            </w:tcBorders>
            <w:vAlign w:val="center"/>
            <w:hideMark/>
          </w:tcPr>
          <w:p w14:paraId="6C1298F9" w14:textId="4877A6D8" w:rsidR="00F85F93" w:rsidRPr="002E5F1E" w:rsidRDefault="00F85F93" w:rsidP="00E70045">
            <w:pPr>
              <w:pStyle w:val="Tabletext"/>
              <w:jc w:val="center"/>
            </w:pPr>
            <w:r w:rsidRPr="002E5F1E">
              <w:t>63,4</w:t>
            </w:r>
            <w:r w:rsidR="00034397" w:rsidRPr="002E5F1E">
              <w:t>–</w:t>
            </w:r>
            <w:r w:rsidRPr="002E5F1E">
              <w:rPr>
                <w:rtl/>
              </w:rPr>
              <w:t xml:space="preserve"> </w:t>
            </w:r>
            <w:r w:rsidR="003E559A" w:rsidRPr="002E5F1E">
              <w:rPr>
                <w:rtl/>
              </w:rPr>
              <w:t xml:space="preserve">إلى </w:t>
            </w:r>
            <w:r w:rsidRPr="002E5F1E">
              <w:t>77,4</w:t>
            </w:r>
            <w:r w:rsidR="00034397" w:rsidRPr="002E5F1E">
              <w:t>–</w:t>
            </w:r>
          </w:p>
        </w:tc>
        <w:tc>
          <w:tcPr>
            <w:tcW w:w="993" w:type="pct"/>
            <w:tcBorders>
              <w:bottom w:val="single" w:sz="4" w:space="0" w:color="auto"/>
            </w:tcBorders>
            <w:vAlign w:val="center"/>
            <w:hideMark/>
          </w:tcPr>
          <w:p w14:paraId="20836E10" w14:textId="2D942CE5" w:rsidR="00F85F93" w:rsidRPr="002E5F1E" w:rsidRDefault="00F85F93" w:rsidP="00E70045">
            <w:pPr>
              <w:pStyle w:val="Tabletext"/>
              <w:jc w:val="center"/>
            </w:pPr>
            <w:r w:rsidRPr="002E5F1E">
              <w:t>30,9</w:t>
            </w:r>
            <w:r w:rsidR="00034397" w:rsidRPr="002E5F1E">
              <w:t>–</w:t>
            </w:r>
            <w:r w:rsidRPr="002E5F1E">
              <w:rPr>
                <w:rtl/>
              </w:rPr>
              <w:t xml:space="preserve"> </w:t>
            </w:r>
            <w:r w:rsidR="003E559A" w:rsidRPr="002E5F1E">
              <w:rPr>
                <w:rtl/>
              </w:rPr>
              <w:t xml:space="preserve">إلى </w:t>
            </w:r>
            <w:r w:rsidRPr="002E5F1E">
              <w:t>44,9</w:t>
            </w:r>
            <w:r w:rsidR="00034397" w:rsidRPr="002E5F1E">
              <w:t>–</w:t>
            </w:r>
          </w:p>
        </w:tc>
        <w:tc>
          <w:tcPr>
            <w:tcW w:w="991" w:type="pct"/>
            <w:tcBorders>
              <w:bottom w:val="single" w:sz="4" w:space="0" w:color="auto"/>
            </w:tcBorders>
            <w:vAlign w:val="center"/>
            <w:hideMark/>
          </w:tcPr>
          <w:p w14:paraId="6D221AFA" w14:textId="03225F84" w:rsidR="00F85F93" w:rsidRPr="002E5F1E" w:rsidRDefault="00F85F93" w:rsidP="00E70045">
            <w:pPr>
              <w:pStyle w:val="Tabletext"/>
              <w:jc w:val="center"/>
            </w:pPr>
            <w:r w:rsidRPr="002E5F1E">
              <w:t>40,9</w:t>
            </w:r>
            <w:r w:rsidR="00034397" w:rsidRPr="002E5F1E">
              <w:t>–</w:t>
            </w:r>
            <w:r w:rsidRPr="002E5F1E">
              <w:rPr>
                <w:rtl/>
              </w:rPr>
              <w:t xml:space="preserve"> </w:t>
            </w:r>
            <w:r w:rsidR="003E559A" w:rsidRPr="002E5F1E">
              <w:rPr>
                <w:rtl/>
              </w:rPr>
              <w:t xml:space="preserve">إلى </w:t>
            </w:r>
            <w:r w:rsidRPr="002E5F1E">
              <w:t>54,9</w:t>
            </w:r>
            <w:r w:rsidR="00034397" w:rsidRPr="002E5F1E">
              <w:t>–</w:t>
            </w:r>
          </w:p>
        </w:tc>
      </w:tr>
      <w:tr w:rsidR="00F85F93" w:rsidRPr="002E5F1E" w14:paraId="284DF76C" w14:textId="77777777" w:rsidTr="006B32BC">
        <w:trPr>
          <w:jc w:val="center"/>
        </w:trPr>
        <w:tc>
          <w:tcPr>
            <w:tcW w:w="5000" w:type="pct"/>
            <w:gridSpan w:val="6"/>
            <w:tcBorders>
              <w:left w:val="nil"/>
              <w:bottom w:val="nil"/>
              <w:right w:val="nil"/>
            </w:tcBorders>
            <w:hideMark/>
          </w:tcPr>
          <w:p w14:paraId="37FAB712" w14:textId="2372B066" w:rsidR="00F85F93" w:rsidRPr="002E5F1E" w:rsidRDefault="00F85F93" w:rsidP="00DB5611">
            <w:pPr>
              <w:pStyle w:val="Tabletext"/>
              <w:jc w:val="both"/>
            </w:pPr>
            <w:r w:rsidRPr="002E5F1E">
              <w:rPr>
                <w:vertAlign w:val="superscript"/>
              </w:rPr>
              <w:t>(1)</w:t>
            </w:r>
            <w:r w:rsidRPr="002E5F1E">
              <w:rPr>
                <w:rtl/>
              </w:rPr>
              <w:tab/>
              <w:t xml:space="preserve">تنطبق قِيم كثافة تدفق القدرة القائمة على كسب هوائي المحطة الأرضية المتنقلة البالغ </w:t>
            </w:r>
            <w:r w:rsidR="00B651EA" w:rsidRPr="002E5F1E">
              <w:t>3</w:t>
            </w:r>
            <w:r w:rsidR="00B651EA" w:rsidRPr="002E5F1E">
              <w:rPr>
                <w:rtl/>
              </w:rPr>
              <w:t xml:space="preserve"> </w:t>
            </w:r>
            <w:proofErr w:type="spellStart"/>
            <w:r w:rsidR="00B651EA" w:rsidRPr="002E5F1E">
              <w:t>dBi</w:t>
            </w:r>
            <w:proofErr w:type="spellEnd"/>
            <w:r w:rsidR="00B651EA" w:rsidRPr="002E5F1E">
              <w:rPr>
                <w:rFonts w:hint="cs"/>
                <w:rtl/>
              </w:rPr>
              <w:t xml:space="preserve"> </w:t>
            </w:r>
            <w:r w:rsidRPr="002E5F1E">
              <w:rPr>
                <w:rtl/>
              </w:rPr>
              <w:t xml:space="preserve">في معظم الحالات، ولكن ثمة مواقع في العالم يمكن أن يتجاوز فيها كسب الهوائي نحو الأفق القيمة </w:t>
            </w:r>
            <w:r w:rsidR="00B651EA" w:rsidRPr="002E5F1E">
              <w:t>3</w:t>
            </w:r>
            <w:r w:rsidR="00B651EA" w:rsidRPr="002E5F1E">
              <w:rPr>
                <w:rtl/>
              </w:rPr>
              <w:t xml:space="preserve"> </w:t>
            </w:r>
            <w:proofErr w:type="spellStart"/>
            <w:r w:rsidR="00B651EA" w:rsidRPr="002E5F1E">
              <w:t>dBi</w:t>
            </w:r>
            <w:proofErr w:type="spellEnd"/>
            <w:r w:rsidRPr="002E5F1E">
              <w:rPr>
                <w:rtl/>
              </w:rPr>
              <w:t xml:space="preserve"> (ليصل إلى </w:t>
            </w:r>
            <w:r w:rsidR="00B651EA" w:rsidRPr="002E5F1E">
              <w:t>19</w:t>
            </w:r>
            <w:r w:rsidR="00B651EA" w:rsidRPr="002E5F1E">
              <w:rPr>
                <w:rtl/>
              </w:rPr>
              <w:t xml:space="preserve"> </w:t>
            </w:r>
            <w:proofErr w:type="spellStart"/>
            <w:r w:rsidR="00B651EA" w:rsidRPr="002E5F1E">
              <w:t>dBi</w:t>
            </w:r>
            <w:proofErr w:type="spellEnd"/>
            <w:r w:rsidR="00B651EA" w:rsidRPr="002E5F1E">
              <w:rPr>
                <w:rtl/>
              </w:rPr>
              <w:t xml:space="preserve"> أو</w:t>
            </w:r>
            <w:r w:rsidR="00B651EA" w:rsidRPr="002E5F1E">
              <w:rPr>
                <w:rFonts w:hint="cs"/>
                <w:rtl/>
              </w:rPr>
              <w:t xml:space="preserve"> </w:t>
            </w:r>
            <w:r w:rsidR="00B651EA" w:rsidRPr="002E5F1E">
              <w:t>17</w:t>
            </w:r>
            <w:r w:rsidR="00B651EA" w:rsidRPr="002E5F1E">
              <w:rPr>
                <w:rtl/>
              </w:rPr>
              <w:t xml:space="preserve"> </w:t>
            </w:r>
            <w:proofErr w:type="spellStart"/>
            <w:r w:rsidR="00B651EA" w:rsidRPr="002E5F1E">
              <w:t>dBi</w:t>
            </w:r>
            <w:proofErr w:type="spellEnd"/>
            <w:r w:rsidRPr="002E5F1E">
              <w:rPr>
                <w:rtl/>
              </w:rPr>
              <w:t xml:space="preserve">). وذلك حيث توجد زاوية ارتفاع منخفضة للمحطات الأرضية المتنقلة وحيث يمكن نَشْر المحطة القاعدة للاتصالات المتنقلة الدولية في اتجاه ساتل الخدمة المتنقلة الساتلية كما يُرى من المحطة الأرضية المتنقلة. وفي هذه الحالات، ينبغي أن تؤخذ الزوايا الفعلية مع </w:t>
            </w:r>
            <w:proofErr w:type="spellStart"/>
            <w:r w:rsidRPr="002E5F1E">
              <w:rPr>
                <w:rtl/>
              </w:rPr>
              <w:t>الساتل</w:t>
            </w:r>
            <w:proofErr w:type="spellEnd"/>
            <w:r w:rsidRPr="002E5F1E">
              <w:rPr>
                <w:rtl/>
              </w:rPr>
              <w:t xml:space="preserve"> ونَشْر الاتصالات المتنقلة الدولية في الحسبان وأن تضبط كثافة تدفق القدرة على قيمة ضمن المَدَيات المبيَّنة.</w:t>
            </w:r>
          </w:p>
        </w:tc>
      </w:tr>
    </w:tbl>
    <w:p w14:paraId="3C53DA53" w14:textId="77777777" w:rsidR="00F85F93" w:rsidRPr="00B651EA" w:rsidRDefault="00F85F93" w:rsidP="00B651EA">
      <w:pPr>
        <w:pStyle w:val="Headingb"/>
        <w:rPr>
          <w:rtl/>
        </w:rPr>
      </w:pPr>
      <w:r w:rsidRPr="00B651EA">
        <w:rPr>
          <w:rtl/>
        </w:rPr>
        <w:t xml:space="preserve">الخيار </w:t>
      </w:r>
      <w:r w:rsidRPr="00B651EA">
        <w:t>B</w:t>
      </w:r>
    </w:p>
    <w:p w14:paraId="77EB6D4D" w14:textId="00CEE822" w:rsidR="00F85F93" w:rsidRPr="000642EB" w:rsidRDefault="00F85F93" w:rsidP="000642EB">
      <w:pPr>
        <w:rPr>
          <w:lang w:val="ar-SA" w:eastAsia="zh-TW" w:bidi="en-GB"/>
        </w:rPr>
      </w:pPr>
      <w:r w:rsidRPr="000642EB">
        <w:rPr>
          <w:rtl/>
        </w:rPr>
        <w:t xml:space="preserve">تَرِدُ حدود كثافة تدفق القدرة لهذا الخيار في الجدول </w:t>
      </w:r>
      <w:r w:rsidRPr="000642EB">
        <w:t>6</w:t>
      </w:r>
      <w:r w:rsidRPr="000642EB">
        <w:rPr>
          <w:rtl/>
        </w:rPr>
        <w:t xml:space="preserve"> وهي مشتقة بالنسبة إلى قياسات </w:t>
      </w:r>
      <w:proofErr w:type="spellStart"/>
      <w:r w:rsidRPr="000642EB">
        <w:rPr>
          <w:rtl/>
        </w:rPr>
        <w:t>مطاريف</w:t>
      </w:r>
      <w:proofErr w:type="spellEnd"/>
      <w:r w:rsidRPr="000642EB">
        <w:rPr>
          <w:rtl/>
        </w:rPr>
        <w:t xml:space="preserve"> الخدمة المتنقلة </w:t>
      </w:r>
      <w:proofErr w:type="spellStart"/>
      <w:r w:rsidRPr="000642EB">
        <w:rPr>
          <w:rtl/>
        </w:rPr>
        <w:t>الساتلية</w:t>
      </w:r>
      <w:proofErr w:type="spellEnd"/>
      <w:r w:rsidRPr="000642EB">
        <w:rPr>
          <w:rtl/>
        </w:rPr>
        <w:t xml:space="preserve"> التي أجرتها </w:t>
      </w:r>
      <w:bookmarkStart w:id="11" w:name="_Hlk158557685"/>
      <w:r w:rsidRPr="000642EB">
        <w:rPr>
          <w:rtl/>
        </w:rPr>
        <w:t xml:space="preserve">لجنة الاتصالات الفيدرالية </w:t>
      </w:r>
      <w:bookmarkEnd w:id="11"/>
      <w:r w:rsidRPr="000642EB">
        <w:rPr>
          <w:rtl/>
        </w:rPr>
        <w:t xml:space="preserve">في الولايات المتحدة في عام </w:t>
      </w:r>
      <w:r w:rsidRPr="000642EB">
        <w:t>2004</w:t>
      </w:r>
      <w:r w:rsidRPr="000642EB">
        <w:rPr>
          <w:rtl/>
        </w:rPr>
        <w:t xml:space="preserve">. وتسجل الوثيقة </w:t>
      </w:r>
      <w:r w:rsidRPr="000642EB">
        <w:t>FCC 05-30</w:t>
      </w:r>
      <w:r w:rsidR="00B32358" w:rsidRPr="000642EB">
        <w:rPr>
          <w:rFonts w:hint="cs"/>
          <w:rtl/>
          <w:lang w:bidi="ar-EG"/>
        </w:rPr>
        <w:t xml:space="preserve"> </w:t>
      </w:r>
      <w:r w:rsidR="00B32358" w:rsidRPr="000642EB">
        <w:rPr>
          <w:rStyle w:val="FootnoteReference"/>
          <w:rFonts w:cs="Traditional Arabic"/>
          <w:sz w:val="22"/>
          <w:szCs w:val="30"/>
        </w:rPr>
        <w:footnoteReference w:id="4"/>
      </w:r>
      <w:r w:rsidRPr="000642EB">
        <w:rPr>
          <w:rtl/>
        </w:rPr>
        <w:t xml:space="preserve"> للجنة الاتصالات الفيدرالية اختباراً يستند إلى معمارية الأنظمة المتنقلة </w:t>
      </w:r>
      <w:r w:rsidRPr="000642EB">
        <w:t>CDMA-2000</w:t>
      </w:r>
      <w:r w:rsidRPr="000642EB">
        <w:rPr>
          <w:rtl/>
        </w:rPr>
        <w:t xml:space="preserve"> و</w:t>
      </w:r>
      <w:r w:rsidRPr="000642EB">
        <w:t>GSM/TDMA 800</w:t>
      </w:r>
      <w:r w:rsidRPr="000642EB">
        <w:rPr>
          <w:rtl/>
        </w:rPr>
        <w:t xml:space="preserve"> و</w:t>
      </w:r>
      <w:r w:rsidRPr="000642EB">
        <w:t>GSM 1 800</w:t>
      </w:r>
      <w:r w:rsidRPr="000642EB">
        <w:rPr>
          <w:rtl/>
        </w:rPr>
        <w:t xml:space="preserve">. وبيّنت الوثيقة أن النظام المتنقل </w:t>
      </w:r>
      <w:r w:rsidRPr="000642EB">
        <w:t>CDMA-2000</w:t>
      </w:r>
      <w:r w:rsidRPr="000642EB">
        <w:rPr>
          <w:rtl/>
        </w:rPr>
        <w:t xml:space="preserve"> يقابل مستوى الحَجْب </w:t>
      </w:r>
      <w:r w:rsidRPr="000642EB">
        <w:t>dBm 52</w:t>
      </w:r>
      <w:r w:rsidR="00BF3623" w:rsidRPr="000642EB">
        <w:t>–</w:t>
      </w:r>
      <w:r w:rsidRPr="000642EB">
        <w:rPr>
          <w:rtl/>
        </w:rPr>
        <w:t xml:space="preserve"> لفصل الترددات بين </w:t>
      </w:r>
      <w:r w:rsidRPr="000642EB">
        <w:t>1</w:t>
      </w:r>
      <w:r w:rsidRPr="000642EB">
        <w:rPr>
          <w:rtl/>
        </w:rPr>
        <w:t xml:space="preserve"> و</w:t>
      </w:r>
      <w:r w:rsidRPr="000642EB">
        <w:t>MHz 2</w:t>
      </w:r>
      <w:r w:rsidRPr="000642EB">
        <w:rPr>
          <w:rtl/>
        </w:rPr>
        <w:t xml:space="preserve">. ومستوى الحَجْب المستعمل لهذا الخيار هو </w:t>
      </w:r>
      <w:r w:rsidRPr="000642EB">
        <w:t>dBm 50</w:t>
      </w:r>
      <w:r w:rsidR="00BF3623" w:rsidRPr="000642EB">
        <w:t>–</w:t>
      </w:r>
      <w:r w:rsidRPr="000642EB">
        <w:rPr>
          <w:rtl/>
        </w:rPr>
        <w:t xml:space="preserve"> للاتصالات المتنقلة الدولية </w:t>
      </w:r>
      <w:r w:rsidRPr="000642EB">
        <w:t>(IMT)</w:t>
      </w:r>
      <w:r w:rsidRPr="000642EB">
        <w:rPr>
          <w:rtl/>
        </w:rPr>
        <w:t xml:space="preserve"> في النطاق </w:t>
      </w:r>
      <w:r w:rsidRPr="000642EB">
        <w:t>MHz 1 517-1 512</w:t>
      </w:r>
      <w:r w:rsidRPr="000642EB">
        <w:rPr>
          <w:rtl/>
        </w:rPr>
        <w:t xml:space="preserve"> و</w:t>
      </w:r>
      <w:r w:rsidRPr="000642EB">
        <w:t>dBm 35</w:t>
      </w:r>
      <w:r w:rsidR="00034397" w:rsidRPr="000642EB">
        <w:t>–</w:t>
      </w:r>
      <w:r w:rsidRPr="000642EB">
        <w:rPr>
          <w:rtl/>
          <w:lang w:bidi="ar-EG"/>
        </w:rPr>
        <w:t xml:space="preserve"> </w:t>
      </w:r>
      <w:r w:rsidRPr="000642EB">
        <w:rPr>
          <w:rtl/>
        </w:rPr>
        <w:t>للترددات الأدنى. ولم تُدرَج في</w:t>
      </w:r>
      <w:r w:rsidR="0097353B">
        <w:rPr>
          <w:rFonts w:hint="cs"/>
          <w:rtl/>
        </w:rPr>
        <w:t> </w:t>
      </w:r>
      <w:r w:rsidRPr="000642EB">
        <w:rPr>
          <w:rtl/>
        </w:rPr>
        <w:t xml:space="preserve">الاختبارات التي أجريت في عام </w:t>
      </w:r>
      <w:r w:rsidRPr="000642EB">
        <w:t>2004</w:t>
      </w:r>
      <w:r w:rsidRPr="000642EB">
        <w:rPr>
          <w:rtl/>
        </w:rPr>
        <w:t xml:space="preserve"> </w:t>
      </w:r>
      <w:proofErr w:type="spellStart"/>
      <w:r w:rsidRPr="000642EB">
        <w:rPr>
          <w:rtl/>
        </w:rPr>
        <w:t>المطاريفُ</w:t>
      </w:r>
      <w:proofErr w:type="spellEnd"/>
      <w:r w:rsidRPr="000642EB">
        <w:rPr>
          <w:rtl/>
        </w:rPr>
        <w:t xml:space="preserve"> البحرية </w:t>
      </w:r>
      <w:proofErr w:type="spellStart"/>
      <w:r w:rsidRPr="000642EB">
        <w:rPr>
          <w:rtl/>
        </w:rPr>
        <w:t>ومطاريف</w:t>
      </w:r>
      <w:proofErr w:type="spellEnd"/>
      <w:r w:rsidRPr="000642EB">
        <w:rPr>
          <w:rtl/>
        </w:rPr>
        <w:t xml:space="preserve"> الطيران المستعملة حالياً (مثل </w:t>
      </w:r>
      <w:proofErr w:type="spellStart"/>
      <w:r w:rsidRPr="000642EB">
        <w:rPr>
          <w:rtl/>
        </w:rPr>
        <w:t>مطاريف</w:t>
      </w:r>
      <w:proofErr w:type="spellEnd"/>
      <w:r w:rsidRPr="000642EB">
        <w:rPr>
          <w:rtl/>
        </w:rPr>
        <w:t xml:space="preserve"> </w:t>
      </w:r>
      <w:proofErr w:type="spellStart"/>
      <w:r w:rsidRPr="000642EB">
        <w:rPr>
          <w:rtl/>
        </w:rPr>
        <w:t>إنمارسات</w:t>
      </w:r>
      <w:proofErr w:type="spellEnd"/>
      <w:r w:rsidRPr="000642EB">
        <w:rPr>
          <w:rtl/>
        </w:rPr>
        <w:t>-</w:t>
      </w:r>
      <w:r w:rsidRPr="000642EB">
        <w:t>C</w:t>
      </w:r>
      <w:r w:rsidRPr="000642EB">
        <w:rPr>
          <w:rtl/>
        </w:rPr>
        <w:t xml:space="preserve"> </w:t>
      </w:r>
      <w:proofErr w:type="spellStart"/>
      <w:r w:rsidR="00FD391D" w:rsidRPr="000642EB">
        <w:rPr>
          <w:rFonts w:hint="cs"/>
          <w:rtl/>
        </w:rPr>
        <w:t>وإنمارسات</w:t>
      </w:r>
      <w:proofErr w:type="spellEnd"/>
      <w:r w:rsidRPr="000642EB">
        <w:rPr>
          <w:rtl/>
        </w:rPr>
        <w:t xml:space="preserve"> للطيران). ويلاحظ أن إشارات الاتصالات المتنقلة الدولية-</w:t>
      </w:r>
      <w:r w:rsidRPr="000642EB">
        <w:t>2020</w:t>
      </w:r>
      <w:r w:rsidRPr="000642EB">
        <w:rPr>
          <w:rtl/>
        </w:rPr>
        <w:t xml:space="preserve"> والاتصالات المتنقلة الدولية-المتقدمة يمكن أن يكون لها عرض النطاق الأوسع الذي تستخدمه إشارة النظام </w:t>
      </w:r>
      <w:r w:rsidRPr="000642EB">
        <w:t>CDMA-2000</w:t>
      </w:r>
      <w:r w:rsidRPr="000642EB">
        <w:rPr>
          <w:rtl/>
        </w:rPr>
        <w:t>.</w:t>
      </w:r>
    </w:p>
    <w:p w14:paraId="62DC5AE2" w14:textId="77777777" w:rsidR="00F85F93" w:rsidRPr="00770CE6" w:rsidRDefault="00F85F93" w:rsidP="00E61539">
      <w:pPr>
        <w:pStyle w:val="TableNo0"/>
        <w:rPr>
          <w:lang w:val="ar-SA" w:eastAsia="zh-TW" w:bidi="en-GB"/>
        </w:rPr>
      </w:pPr>
      <w:r w:rsidRPr="00770CE6">
        <w:rPr>
          <w:rtl/>
        </w:rPr>
        <w:lastRenderedPageBreak/>
        <w:t xml:space="preserve">الجدول </w:t>
      </w:r>
      <w:r w:rsidRPr="00770CE6">
        <w:t>6</w:t>
      </w:r>
    </w:p>
    <w:p w14:paraId="3A976F90" w14:textId="77777777" w:rsidR="00F85F93" w:rsidRPr="00B32358" w:rsidRDefault="00F85F93" w:rsidP="00E61539">
      <w:pPr>
        <w:pStyle w:val="Tabletitle"/>
        <w:keepNext/>
        <w:keepLines/>
      </w:pPr>
      <w:r w:rsidRPr="00B32358">
        <w:rPr>
          <w:rtl/>
        </w:rPr>
        <w:t>حدود كثافة تدفق القدرة للمحطات القاعدة للاتصالات المتنقلة الدولية التي ترسل قناة واحدة أو قنوات متعددة</w:t>
      </w:r>
    </w:p>
    <w:tbl>
      <w:tblPr>
        <w:tblStyle w:val="TableGrid15"/>
        <w:bidiVisual/>
        <w:tblW w:w="9639" w:type="dxa"/>
        <w:tblLayout w:type="fixed"/>
        <w:tblLook w:val="04A0" w:firstRow="1" w:lastRow="0" w:firstColumn="1" w:lastColumn="0" w:noHBand="0" w:noVBand="1"/>
      </w:tblPr>
      <w:tblGrid>
        <w:gridCol w:w="1532"/>
        <w:gridCol w:w="1351"/>
        <w:gridCol w:w="1440"/>
        <w:gridCol w:w="1317"/>
        <w:gridCol w:w="1326"/>
        <w:gridCol w:w="1324"/>
        <w:gridCol w:w="1349"/>
      </w:tblGrid>
      <w:tr w:rsidR="00FD391D" w:rsidRPr="002A6E97" w14:paraId="2150DC21" w14:textId="77777777" w:rsidTr="00FD391D">
        <w:tc>
          <w:tcPr>
            <w:tcW w:w="794" w:type="pct"/>
            <w:vAlign w:val="center"/>
            <w:hideMark/>
          </w:tcPr>
          <w:p w14:paraId="5E9FAA86" w14:textId="7CD5AF50" w:rsidR="00FD391D" w:rsidRPr="002A6E97" w:rsidRDefault="00FD391D" w:rsidP="00E13C43">
            <w:pPr>
              <w:pStyle w:val="Tablehead"/>
              <w:rPr>
                <w:rFonts w:ascii="Times New Roman" w:hAnsi="Times New Roman"/>
                <w:sz w:val="18"/>
                <w:szCs w:val="24"/>
              </w:rPr>
            </w:pPr>
            <w:r w:rsidRPr="002A6E97">
              <w:rPr>
                <w:rFonts w:ascii="Times New Roman" w:hAnsi="Times New Roman"/>
                <w:sz w:val="18"/>
                <w:szCs w:val="24"/>
                <w:rtl/>
              </w:rPr>
              <w:t>المرحلة</w:t>
            </w:r>
          </w:p>
        </w:tc>
        <w:tc>
          <w:tcPr>
            <w:tcW w:w="2131" w:type="pct"/>
            <w:gridSpan w:val="3"/>
            <w:vAlign w:val="center"/>
            <w:hideMark/>
          </w:tcPr>
          <w:p w14:paraId="2E5DADE6" w14:textId="409E8678" w:rsidR="00FD391D" w:rsidRPr="002A6E97" w:rsidRDefault="00FD391D" w:rsidP="00E13C43">
            <w:pPr>
              <w:pStyle w:val="Tablehead"/>
              <w:rPr>
                <w:rFonts w:ascii="Times New Roman" w:hAnsi="Times New Roman"/>
                <w:sz w:val="18"/>
                <w:szCs w:val="24"/>
              </w:rPr>
            </w:pPr>
            <w:r w:rsidRPr="002A6E97">
              <w:rPr>
                <w:rFonts w:ascii="Times New Roman" w:hAnsi="Times New Roman"/>
                <w:sz w:val="18"/>
                <w:szCs w:val="24"/>
                <w:rtl/>
              </w:rPr>
              <w:t xml:space="preserve">المرحلة </w:t>
            </w:r>
            <w:r w:rsidRPr="002A6E97">
              <w:rPr>
                <w:rFonts w:ascii="Times New Roman" w:hAnsi="Times New Roman"/>
                <w:sz w:val="18"/>
                <w:szCs w:val="24"/>
              </w:rPr>
              <w:t>1</w:t>
            </w:r>
          </w:p>
        </w:tc>
        <w:tc>
          <w:tcPr>
            <w:tcW w:w="2075" w:type="pct"/>
            <w:gridSpan w:val="3"/>
            <w:vAlign w:val="center"/>
            <w:hideMark/>
          </w:tcPr>
          <w:p w14:paraId="5AE51483" w14:textId="497C1DAD" w:rsidR="00FD391D" w:rsidRPr="002A6E97" w:rsidRDefault="00FD391D" w:rsidP="00E13C43">
            <w:pPr>
              <w:pStyle w:val="Tablehead"/>
              <w:rPr>
                <w:rFonts w:ascii="Times New Roman" w:hAnsi="Times New Roman"/>
                <w:sz w:val="18"/>
                <w:szCs w:val="24"/>
              </w:rPr>
            </w:pPr>
            <w:r w:rsidRPr="002A6E97">
              <w:rPr>
                <w:rFonts w:ascii="Times New Roman" w:hAnsi="Times New Roman"/>
                <w:sz w:val="18"/>
                <w:szCs w:val="24"/>
                <w:rtl/>
              </w:rPr>
              <w:t xml:space="preserve">المرحلة </w:t>
            </w:r>
            <w:r w:rsidRPr="002A6E97">
              <w:rPr>
                <w:rFonts w:ascii="Times New Roman" w:hAnsi="Times New Roman"/>
                <w:sz w:val="18"/>
                <w:szCs w:val="24"/>
              </w:rPr>
              <w:t>2</w:t>
            </w:r>
          </w:p>
        </w:tc>
      </w:tr>
      <w:tr w:rsidR="00F85F93" w:rsidRPr="002A6E97" w14:paraId="5C2A6594" w14:textId="77777777" w:rsidTr="00FD391D">
        <w:tc>
          <w:tcPr>
            <w:tcW w:w="794" w:type="pct"/>
            <w:vAlign w:val="center"/>
          </w:tcPr>
          <w:p w14:paraId="36199F1A" w14:textId="77777777" w:rsidR="00F85F93" w:rsidRPr="002A6E97" w:rsidRDefault="00F85F93" w:rsidP="00E13C43">
            <w:pPr>
              <w:pStyle w:val="Tablehead"/>
              <w:rPr>
                <w:rFonts w:ascii="Times New Roman" w:hAnsi="Times New Roman"/>
                <w:sz w:val="18"/>
                <w:szCs w:val="24"/>
              </w:rPr>
            </w:pPr>
            <w:bookmarkStart w:id="12" w:name="_Hlk158648090"/>
          </w:p>
        </w:tc>
        <w:tc>
          <w:tcPr>
            <w:tcW w:w="701" w:type="pct"/>
            <w:vAlign w:val="center"/>
            <w:hideMark/>
          </w:tcPr>
          <w:p w14:paraId="0FF97C5E" w14:textId="3EBCD929" w:rsidR="00F85F93" w:rsidRPr="002A6E97" w:rsidRDefault="00F85F93" w:rsidP="00E13C43">
            <w:pPr>
              <w:pStyle w:val="Tablehead"/>
              <w:rPr>
                <w:rFonts w:ascii="Times New Roman" w:hAnsi="Times New Roman"/>
                <w:sz w:val="18"/>
                <w:szCs w:val="24"/>
              </w:rPr>
            </w:pPr>
            <w:r w:rsidRPr="002A6E97">
              <w:rPr>
                <w:rFonts w:ascii="Times New Roman" w:hAnsi="Times New Roman"/>
                <w:sz w:val="18"/>
                <w:szCs w:val="24"/>
                <w:rtl/>
              </w:rPr>
              <w:t>حدّ كثافة تدفق القدرة لإرسالات المحطات القاعدة في النطاق</w:t>
            </w:r>
            <w:r w:rsidR="00FD391D" w:rsidRPr="002A6E97">
              <w:rPr>
                <w:rFonts w:ascii="Times New Roman" w:hAnsi="Times New Roman"/>
                <w:sz w:val="18"/>
                <w:szCs w:val="24"/>
                <w:rtl/>
              </w:rPr>
              <w:br/>
            </w:r>
            <w:r w:rsidR="00D5165C" w:rsidRPr="002A6E97">
              <w:rPr>
                <w:rFonts w:ascii="Times New Roman" w:hAnsi="Times New Roman"/>
                <w:sz w:val="18"/>
                <w:szCs w:val="24"/>
              </w:rPr>
              <w:t>MHz 1 502-1 492</w:t>
            </w:r>
            <w:r w:rsidR="00D5165C" w:rsidRPr="002A6E97">
              <w:rPr>
                <w:rFonts w:ascii="Times New Roman" w:hAnsi="Times New Roman"/>
                <w:sz w:val="18"/>
                <w:szCs w:val="24"/>
                <w:rtl/>
              </w:rPr>
              <w:t xml:space="preserve"> </w:t>
            </w:r>
            <w:r w:rsidR="002A6E97" w:rsidRPr="002A6E97">
              <w:rPr>
                <w:rFonts w:ascii="Times New Roman" w:hAnsi="Times New Roman"/>
                <w:sz w:val="18"/>
                <w:szCs w:val="18"/>
              </w:rPr>
              <w:t>(</w:t>
            </w:r>
            <w:proofErr w:type="spellStart"/>
            <w:r w:rsidR="002A6E97" w:rsidRPr="002A6E97">
              <w:rPr>
                <w:rFonts w:ascii="Times New Roman" w:hAnsi="Times New Roman"/>
                <w:sz w:val="18"/>
                <w:szCs w:val="18"/>
              </w:rPr>
              <w:t>dBW</w:t>
            </w:r>
            <w:proofErr w:type="spellEnd"/>
            <w:r w:rsidR="002A6E97" w:rsidRPr="002A6E97">
              <w:rPr>
                <w:rFonts w:ascii="Times New Roman" w:hAnsi="Times New Roman"/>
                <w:sz w:val="18"/>
                <w:szCs w:val="18"/>
              </w:rPr>
              <w:t>/m</w:t>
            </w:r>
            <w:r w:rsidR="002A6E97" w:rsidRPr="002A6E97">
              <w:rPr>
                <w:rFonts w:ascii="Times New Roman" w:hAnsi="Times New Roman"/>
                <w:sz w:val="18"/>
                <w:szCs w:val="18"/>
                <w:vertAlign w:val="superscript"/>
              </w:rPr>
              <w:t>2</w:t>
            </w:r>
            <w:r w:rsidR="002A6E97" w:rsidRPr="002A6E97">
              <w:rPr>
                <w:rFonts w:ascii="Times New Roman" w:hAnsi="Times New Roman"/>
                <w:sz w:val="18"/>
                <w:szCs w:val="18"/>
              </w:rPr>
              <w:t>)</w:t>
            </w:r>
          </w:p>
        </w:tc>
        <w:tc>
          <w:tcPr>
            <w:tcW w:w="747" w:type="pct"/>
            <w:vAlign w:val="center"/>
            <w:hideMark/>
          </w:tcPr>
          <w:p w14:paraId="7124E668" w14:textId="265805EC" w:rsidR="00F85F93" w:rsidRPr="002A6E97" w:rsidRDefault="00F85F93" w:rsidP="00E13C43">
            <w:pPr>
              <w:pStyle w:val="Tablehead"/>
              <w:rPr>
                <w:rFonts w:ascii="Times New Roman" w:hAnsi="Times New Roman"/>
                <w:sz w:val="18"/>
                <w:szCs w:val="24"/>
              </w:rPr>
            </w:pPr>
            <w:r w:rsidRPr="002A6E97">
              <w:rPr>
                <w:rFonts w:ascii="Times New Roman" w:hAnsi="Times New Roman"/>
                <w:sz w:val="18"/>
                <w:szCs w:val="24"/>
                <w:rtl/>
              </w:rPr>
              <w:t xml:space="preserve">حدّ كثافة تدفق القدرة لإرسالات المحطات القاعدة في النطاق </w:t>
            </w:r>
            <w:r w:rsidR="00D5165C" w:rsidRPr="002A6E97">
              <w:rPr>
                <w:rFonts w:ascii="Times New Roman" w:hAnsi="Times New Roman"/>
                <w:sz w:val="18"/>
                <w:szCs w:val="24"/>
              </w:rPr>
              <w:br/>
              <w:t>MHz 1 512-1 502</w:t>
            </w:r>
            <w:r w:rsidR="00D5165C" w:rsidRPr="002A6E97">
              <w:rPr>
                <w:rFonts w:ascii="Times New Roman" w:hAnsi="Times New Roman"/>
                <w:sz w:val="18"/>
                <w:szCs w:val="24"/>
                <w:rtl/>
              </w:rPr>
              <w:t xml:space="preserve"> </w:t>
            </w:r>
            <w:r w:rsidR="002A6E97" w:rsidRPr="002A6E97">
              <w:rPr>
                <w:rFonts w:ascii="Times New Roman" w:hAnsi="Times New Roman"/>
                <w:sz w:val="18"/>
                <w:szCs w:val="18"/>
              </w:rPr>
              <w:t>(</w:t>
            </w:r>
            <w:proofErr w:type="spellStart"/>
            <w:r w:rsidR="002A6E97" w:rsidRPr="002A6E97">
              <w:rPr>
                <w:rFonts w:ascii="Times New Roman" w:hAnsi="Times New Roman"/>
                <w:sz w:val="18"/>
                <w:szCs w:val="18"/>
              </w:rPr>
              <w:t>dBW</w:t>
            </w:r>
            <w:proofErr w:type="spellEnd"/>
            <w:r w:rsidR="002A6E97" w:rsidRPr="002A6E97">
              <w:rPr>
                <w:rFonts w:ascii="Times New Roman" w:hAnsi="Times New Roman"/>
                <w:sz w:val="18"/>
                <w:szCs w:val="18"/>
              </w:rPr>
              <w:t>/m</w:t>
            </w:r>
            <w:r w:rsidR="002A6E97" w:rsidRPr="002A6E97">
              <w:rPr>
                <w:rFonts w:ascii="Times New Roman" w:hAnsi="Times New Roman"/>
                <w:sz w:val="18"/>
                <w:szCs w:val="18"/>
                <w:vertAlign w:val="superscript"/>
              </w:rPr>
              <w:t>2</w:t>
            </w:r>
            <w:r w:rsidR="002A6E97" w:rsidRPr="002A6E97">
              <w:rPr>
                <w:rFonts w:ascii="Times New Roman" w:hAnsi="Times New Roman"/>
                <w:sz w:val="18"/>
                <w:szCs w:val="18"/>
              </w:rPr>
              <w:t>)</w:t>
            </w:r>
          </w:p>
        </w:tc>
        <w:tc>
          <w:tcPr>
            <w:tcW w:w="683" w:type="pct"/>
            <w:vAlign w:val="center"/>
            <w:hideMark/>
          </w:tcPr>
          <w:p w14:paraId="2FA80FD4" w14:textId="7D34F275" w:rsidR="00F85F93" w:rsidRPr="002A6E97" w:rsidRDefault="00F85F93" w:rsidP="00E13C43">
            <w:pPr>
              <w:pStyle w:val="Tablehead"/>
              <w:rPr>
                <w:rFonts w:ascii="Times New Roman" w:hAnsi="Times New Roman"/>
                <w:sz w:val="18"/>
                <w:szCs w:val="24"/>
              </w:rPr>
            </w:pPr>
            <w:r w:rsidRPr="002A6E97">
              <w:rPr>
                <w:rFonts w:ascii="Times New Roman" w:hAnsi="Times New Roman"/>
                <w:sz w:val="18"/>
                <w:szCs w:val="24"/>
                <w:rtl/>
              </w:rPr>
              <w:t xml:space="preserve">حدّ كثافة تدفق القدرة لإرسالات المحطات القاعدة في النطاق </w:t>
            </w:r>
            <w:r w:rsidR="00D5165C" w:rsidRPr="002A6E97">
              <w:rPr>
                <w:rFonts w:ascii="Times New Roman" w:hAnsi="Times New Roman"/>
                <w:sz w:val="18"/>
                <w:szCs w:val="24"/>
              </w:rPr>
              <w:br/>
              <w:t>MHz 1 517-1 512</w:t>
            </w:r>
            <w:r w:rsidR="00D5165C" w:rsidRPr="002A6E97">
              <w:rPr>
                <w:rFonts w:ascii="Times New Roman" w:hAnsi="Times New Roman"/>
                <w:sz w:val="18"/>
                <w:szCs w:val="24"/>
                <w:rtl/>
              </w:rPr>
              <w:t xml:space="preserve"> </w:t>
            </w:r>
            <w:r w:rsidR="002A6E97" w:rsidRPr="002A6E97">
              <w:rPr>
                <w:rFonts w:ascii="Times New Roman" w:hAnsi="Times New Roman"/>
                <w:sz w:val="18"/>
                <w:szCs w:val="18"/>
              </w:rPr>
              <w:t>(</w:t>
            </w:r>
            <w:proofErr w:type="spellStart"/>
            <w:r w:rsidR="002A6E97" w:rsidRPr="002A6E97">
              <w:rPr>
                <w:rFonts w:ascii="Times New Roman" w:hAnsi="Times New Roman"/>
                <w:sz w:val="18"/>
                <w:szCs w:val="18"/>
              </w:rPr>
              <w:t>dBW</w:t>
            </w:r>
            <w:proofErr w:type="spellEnd"/>
            <w:r w:rsidR="002A6E97" w:rsidRPr="002A6E97">
              <w:rPr>
                <w:rFonts w:ascii="Times New Roman" w:hAnsi="Times New Roman"/>
                <w:sz w:val="18"/>
                <w:szCs w:val="18"/>
              </w:rPr>
              <w:t>/m</w:t>
            </w:r>
            <w:r w:rsidR="002A6E97" w:rsidRPr="002A6E97">
              <w:rPr>
                <w:rFonts w:ascii="Times New Roman" w:hAnsi="Times New Roman"/>
                <w:sz w:val="18"/>
                <w:szCs w:val="18"/>
                <w:vertAlign w:val="superscript"/>
              </w:rPr>
              <w:t>2</w:t>
            </w:r>
            <w:r w:rsidR="002A6E97" w:rsidRPr="002A6E97">
              <w:rPr>
                <w:rFonts w:ascii="Times New Roman" w:hAnsi="Times New Roman"/>
                <w:sz w:val="18"/>
                <w:szCs w:val="18"/>
              </w:rPr>
              <w:t>)</w:t>
            </w:r>
          </w:p>
        </w:tc>
        <w:tc>
          <w:tcPr>
            <w:tcW w:w="688" w:type="pct"/>
            <w:vAlign w:val="center"/>
            <w:hideMark/>
          </w:tcPr>
          <w:p w14:paraId="5D740F28" w14:textId="3159B7D6" w:rsidR="00F85F93" w:rsidRPr="002A6E97" w:rsidRDefault="00F85F93" w:rsidP="00E13C43">
            <w:pPr>
              <w:pStyle w:val="Tablehead"/>
              <w:rPr>
                <w:rFonts w:ascii="Times New Roman" w:hAnsi="Times New Roman"/>
                <w:sz w:val="18"/>
                <w:szCs w:val="24"/>
              </w:rPr>
            </w:pPr>
            <w:r w:rsidRPr="002A6E97">
              <w:rPr>
                <w:rFonts w:ascii="Times New Roman" w:hAnsi="Times New Roman"/>
                <w:sz w:val="18"/>
                <w:szCs w:val="24"/>
                <w:rtl/>
              </w:rPr>
              <w:t xml:space="preserve">حدّ كثافة تدفق القدرة لإرسالات المحطات القاعدة في النطاق </w:t>
            </w:r>
            <w:r w:rsidR="00D5165C" w:rsidRPr="002A6E97">
              <w:rPr>
                <w:rFonts w:ascii="Times New Roman" w:hAnsi="Times New Roman"/>
                <w:sz w:val="18"/>
                <w:szCs w:val="24"/>
              </w:rPr>
              <w:br/>
              <w:t>MHz 1 502-1 492</w:t>
            </w:r>
            <w:r w:rsidR="00D5165C" w:rsidRPr="002A6E97">
              <w:rPr>
                <w:rFonts w:ascii="Times New Roman" w:hAnsi="Times New Roman"/>
                <w:sz w:val="18"/>
                <w:szCs w:val="24"/>
                <w:rtl/>
              </w:rPr>
              <w:t xml:space="preserve"> </w:t>
            </w:r>
            <w:r w:rsidR="002A6E97" w:rsidRPr="002A6E97">
              <w:rPr>
                <w:rFonts w:ascii="Times New Roman" w:hAnsi="Times New Roman"/>
                <w:sz w:val="18"/>
                <w:szCs w:val="18"/>
              </w:rPr>
              <w:t>(</w:t>
            </w:r>
            <w:proofErr w:type="spellStart"/>
            <w:r w:rsidR="002A6E97" w:rsidRPr="002A6E97">
              <w:rPr>
                <w:rFonts w:ascii="Times New Roman" w:hAnsi="Times New Roman"/>
                <w:sz w:val="18"/>
                <w:szCs w:val="18"/>
              </w:rPr>
              <w:t>dBW</w:t>
            </w:r>
            <w:proofErr w:type="spellEnd"/>
            <w:r w:rsidR="002A6E97" w:rsidRPr="002A6E97">
              <w:rPr>
                <w:rFonts w:ascii="Times New Roman" w:hAnsi="Times New Roman"/>
                <w:sz w:val="18"/>
                <w:szCs w:val="18"/>
              </w:rPr>
              <w:t>/m</w:t>
            </w:r>
            <w:r w:rsidR="002A6E97" w:rsidRPr="002A6E97">
              <w:rPr>
                <w:rFonts w:ascii="Times New Roman" w:hAnsi="Times New Roman"/>
                <w:sz w:val="18"/>
                <w:szCs w:val="18"/>
                <w:vertAlign w:val="superscript"/>
              </w:rPr>
              <w:t>2</w:t>
            </w:r>
            <w:r w:rsidR="002A6E97" w:rsidRPr="002A6E97">
              <w:rPr>
                <w:rFonts w:ascii="Times New Roman" w:hAnsi="Times New Roman"/>
                <w:sz w:val="18"/>
                <w:szCs w:val="18"/>
              </w:rPr>
              <w:t>)</w:t>
            </w:r>
          </w:p>
        </w:tc>
        <w:tc>
          <w:tcPr>
            <w:tcW w:w="687" w:type="pct"/>
            <w:vAlign w:val="center"/>
            <w:hideMark/>
          </w:tcPr>
          <w:p w14:paraId="487654E3" w14:textId="7AB9CD45" w:rsidR="00F85F93" w:rsidRPr="002A6E97" w:rsidRDefault="00F85F93" w:rsidP="00E13C43">
            <w:pPr>
              <w:pStyle w:val="Tablehead"/>
              <w:rPr>
                <w:rFonts w:ascii="Times New Roman" w:hAnsi="Times New Roman"/>
                <w:sz w:val="18"/>
                <w:szCs w:val="24"/>
              </w:rPr>
            </w:pPr>
            <w:r w:rsidRPr="002A6E97">
              <w:rPr>
                <w:rFonts w:ascii="Times New Roman" w:hAnsi="Times New Roman"/>
                <w:sz w:val="18"/>
                <w:szCs w:val="24"/>
                <w:rtl/>
              </w:rPr>
              <w:t xml:space="preserve">حدّ كثافة تدفق القدرة لإرسالات المحطات القاعدة في النطاق </w:t>
            </w:r>
            <w:r w:rsidR="00D5165C" w:rsidRPr="002A6E97">
              <w:rPr>
                <w:rFonts w:ascii="Times New Roman" w:hAnsi="Times New Roman"/>
                <w:sz w:val="18"/>
                <w:szCs w:val="24"/>
              </w:rPr>
              <w:br/>
              <w:t>MHz 1 512-1 502</w:t>
            </w:r>
            <w:r w:rsidR="00D5165C" w:rsidRPr="002A6E97">
              <w:rPr>
                <w:rFonts w:ascii="Times New Roman" w:hAnsi="Times New Roman"/>
                <w:sz w:val="18"/>
                <w:szCs w:val="24"/>
                <w:rtl/>
              </w:rPr>
              <w:t xml:space="preserve"> </w:t>
            </w:r>
            <w:r w:rsidR="002A6E97" w:rsidRPr="002A6E97">
              <w:rPr>
                <w:rFonts w:ascii="Times New Roman" w:hAnsi="Times New Roman"/>
                <w:sz w:val="18"/>
                <w:szCs w:val="18"/>
              </w:rPr>
              <w:t>(</w:t>
            </w:r>
            <w:proofErr w:type="spellStart"/>
            <w:r w:rsidR="002A6E97" w:rsidRPr="002A6E97">
              <w:rPr>
                <w:rFonts w:ascii="Times New Roman" w:hAnsi="Times New Roman"/>
                <w:sz w:val="18"/>
                <w:szCs w:val="18"/>
              </w:rPr>
              <w:t>dBW</w:t>
            </w:r>
            <w:proofErr w:type="spellEnd"/>
            <w:r w:rsidR="002A6E97" w:rsidRPr="002A6E97">
              <w:rPr>
                <w:rFonts w:ascii="Times New Roman" w:hAnsi="Times New Roman"/>
                <w:sz w:val="18"/>
                <w:szCs w:val="18"/>
              </w:rPr>
              <w:t>/m</w:t>
            </w:r>
            <w:r w:rsidR="002A6E97" w:rsidRPr="002A6E97">
              <w:rPr>
                <w:rFonts w:ascii="Times New Roman" w:hAnsi="Times New Roman"/>
                <w:sz w:val="18"/>
                <w:szCs w:val="18"/>
                <w:vertAlign w:val="superscript"/>
              </w:rPr>
              <w:t>2</w:t>
            </w:r>
            <w:r w:rsidR="002A6E97" w:rsidRPr="002A6E97">
              <w:rPr>
                <w:rFonts w:ascii="Times New Roman" w:hAnsi="Times New Roman"/>
                <w:sz w:val="18"/>
                <w:szCs w:val="18"/>
              </w:rPr>
              <w:t>)</w:t>
            </w:r>
          </w:p>
        </w:tc>
        <w:tc>
          <w:tcPr>
            <w:tcW w:w="701" w:type="pct"/>
            <w:vAlign w:val="center"/>
            <w:hideMark/>
          </w:tcPr>
          <w:p w14:paraId="7EA35CC1" w14:textId="1FD9342F" w:rsidR="00F85F93" w:rsidRPr="002A6E97" w:rsidRDefault="00F85F93" w:rsidP="00E13C43">
            <w:pPr>
              <w:pStyle w:val="Tablehead"/>
              <w:rPr>
                <w:rFonts w:ascii="Times New Roman" w:hAnsi="Times New Roman"/>
                <w:sz w:val="18"/>
                <w:szCs w:val="24"/>
              </w:rPr>
            </w:pPr>
            <w:r w:rsidRPr="002A6E97">
              <w:rPr>
                <w:rFonts w:ascii="Times New Roman" w:hAnsi="Times New Roman"/>
                <w:sz w:val="18"/>
                <w:szCs w:val="24"/>
                <w:rtl/>
              </w:rPr>
              <w:t xml:space="preserve">حدّ كثافة تدفق القدرة لإرسالات المحطات القاعدة في النطاق </w:t>
            </w:r>
            <w:r w:rsidR="00D5165C" w:rsidRPr="002A6E97">
              <w:rPr>
                <w:rFonts w:ascii="Times New Roman" w:hAnsi="Times New Roman"/>
                <w:sz w:val="18"/>
                <w:szCs w:val="24"/>
              </w:rPr>
              <w:br/>
              <w:t>MHz 1 517-1 512</w:t>
            </w:r>
            <w:r w:rsidR="00D5165C" w:rsidRPr="002A6E97">
              <w:rPr>
                <w:rFonts w:ascii="Times New Roman" w:hAnsi="Times New Roman"/>
                <w:sz w:val="18"/>
                <w:szCs w:val="24"/>
                <w:rtl/>
              </w:rPr>
              <w:t xml:space="preserve"> </w:t>
            </w:r>
            <w:r w:rsidR="002A6E97" w:rsidRPr="002A6E97">
              <w:rPr>
                <w:rFonts w:ascii="Times New Roman" w:hAnsi="Times New Roman"/>
                <w:sz w:val="18"/>
                <w:szCs w:val="18"/>
              </w:rPr>
              <w:t>(</w:t>
            </w:r>
            <w:proofErr w:type="spellStart"/>
            <w:r w:rsidR="002A6E97" w:rsidRPr="002A6E97">
              <w:rPr>
                <w:rFonts w:ascii="Times New Roman" w:hAnsi="Times New Roman"/>
                <w:sz w:val="18"/>
                <w:szCs w:val="18"/>
              </w:rPr>
              <w:t>dBW</w:t>
            </w:r>
            <w:proofErr w:type="spellEnd"/>
            <w:r w:rsidR="002A6E97" w:rsidRPr="002A6E97">
              <w:rPr>
                <w:rFonts w:ascii="Times New Roman" w:hAnsi="Times New Roman"/>
                <w:sz w:val="18"/>
                <w:szCs w:val="18"/>
              </w:rPr>
              <w:t>/m</w:t>
            </w:r>
            <w:r w:rsidR="002A6E97" w:rsidRPr="002A6E97">
              <w:rPr>
                <w:rFonts w:ascii="Times New Roman" w:hAnsi="Times New Roman"/>
                <w:sz w:val="18"/>
                <w:szCs w:val="18"/>
                <w:vertAlign w:val="superscript"/>
              </w:rPr>
              <w:t>2</w:t>
            </w:r>
            <w:r w:rsidR="002A6E97" w:rsidRPr="002A6E97">
              <w:rPr>
                <w:rFonts w:ascii="Times New Roman" w:hAnsi="Times New Roman"/>
                <w:sz w:val="18"/>
                <w:szCs w:val="18"/>
              </w:rPr>
              <w:t>)</w:t>
            </w:r>
          </w:p>
        </w:tc>
      </w:tr>
      <w:bookmarkEnd w:id="12"/>
      <w:tr w:rsidR="00F85F93" w:rsidRPr="002A6E97" w14:paraId="7A9A4952" w14:textId="77777777" w:rsidTr="00FD391D">
        <w:tc>
          <w:tcPr>
            <w:tcW w:w="794" w:type="pct"/>
            <w:vAlign w:val="center"/>
            <w:hideMark/>
          </w:tcPr>
          <w:p w14:paraId="6187B635" w14:textId="77777777" w:rsidR="00F85F93" w:rsidRPr="002A6E97" w:rsidRDefault="00F85F93" w:rsidP="002A6E97">
            <w:pPr>
              <w:rPr>
                <w:sz w:val="18"/>
                <w:szCs w:val="24"/>
              </w:rPr>
            </w:pPr>
            <w:r w:rsidRPr="002A6E97">
              <w:rPr>
                <w:sz w:val="18"/>
                <w:szCs w:val="24"/>
                <w:rtl/>
              </w:rPr>
              <w:t>مناطق الموانئ والمناطق البحرية التي تحددها الإدارات</w:t>
            </w:r>
          </w:p>
        </w:tc>
        <w:tc>
          <w:tcPr>
            <w:tcW w:w="701" w:type="pct"/>
            <w:vAlign w:val="center"/>
            <w:hideMark/>
          </w:tcPr>
          <w:p w14:paraId="2E65E81F" w14:textId="5D98D6A0" w:rsidR="00F85F93" w:rsidRPr="002A6E97" w:rsidRDefault="00F85F93" w:rsidP="00DB5611">
            <w:pPr>
              <w:pStyle w:val="Tabletext"/>
              <w:jc w:val="center"/>
            </w:pPr>
            <w:r w:rsidRPr="002A6E97">
              <w:t>42,9</w:t>
            </w:r>
            <w:r w:rsidR="00034397" w:rsidRPr="002A6E97">
              <w:t>–</w:t>
            </w:r>
          </w:p>
        </w:tc>
        <w:tc>
          <w:tcPr>
            <w:tcW w:w="747" w:type="pct"/>
            <w:vAlign w:val="center"/>
            <w:hideMark/>
          </w:tcPr>
          <w:p w14:paraId="1686B113" w14:textId="61013009" w:rsidR="00F85F93" w:rsidRPr="002A6E97" w:rsidRDefault="00F85F93" w:rsidP="00DB5611">
            <w:pPr>
              <w:pStyle w:val="Tabletext"/>
              <w:jc w:val="center"/>
            </w:pPr>
            <w:r w:rsidRPr="002A6E97">
              <w:t>42,9</w:t>
            </w:r>
            <w:r w:rsidR="00034397" w:rsidRPr="002A6E97">
              <w:t>–</w:t>
            </w:r>
          </w:p>
        </w:tc>
        <w:tc>
          <w:tcPr>
            <w:tcW w:w="683" w:type="pct"/>
            <w:vAlign w:val="center"/>
            <w:hideMark/>
          </w:tcPr>
          <w:p w14:paraId="4843E824" w14:textId="39B87EFC" w:rsidR="00F85F93" w:rsidRPr="002A6E97" w:rsidRDefault="00F85F93" w:rsidP="00DB5611">
            <w:pPr>
              <w:pStyle w:val="Tabletext"/>
              <w:jc w:val="center"/>
            </w:pPr>
            <w:r w:rsidRPr="002A6E97">
              <w:t>57</w:t>
            </w:r>
            <w:r w:rsidR="00E13C43" w:rsidRPr="002A6E97">
              <w:t>,</w:t>
            </w:r>
            <w:r w:rsidRPr="002A6E97">
              <w:t>9</w:t>
            </w:r>
            <w:r w:rsidR="00034397" w:rsidRPr="002A6E97">
              <w:t>–</w:t>
            </w:r>
          </w:p>
        </w:tc>
        <w:tc>
          <w:tcPr>
            <w:tcW w:w="688" w:type="pct"/>
            <w:vAlign w:val="center"/>
            <w:hideMark/>
          </w:tcPr>
          <w:p w14:paraId="702D766E" w14:textId="62F86094" w:rsidR="00F85F93" w:rsidRPr="002A6E97" w:rsidRDefault="00F85F93" w:rsidP="002A0E10">
            <w:pPr>
              <w:jc w:val="left"/>
              <w:rPr>
                <w:sz w:val="18"/>
                <w:szCs w:val="24"/>
              </w:rPr>
            </w:pPr>
            <w:r w:rsidRPr="002A6E97">
              <w:rPr>
                <w:sz w:val="18"/>
                <w:szCs w:val="24"/>
                <w:rtl/>
              </w:rPr>
              <w:t xml:space="preserve">لا حاجة إلى حدّ شريطة ألا تتجاوز القدرة المشعة المكافئة </w:t>
            </w:r>
            <w:proofErr w:type="spellStart"/>
            <w:r w:rsidRPr="002A6E97">
              <w:rPr>
                <w:sz w:val="18"/>
                <w:szCs w:val="24"/>
                <w:rtl/>
              </w:rPr>
              <w:t>المتناحية</w:t>
            </w:r>
            <w:proofErr w:type="spellEnd"/>
            <w:r w:rsidRPr="002A6E97">
              <w:rPr>
                <w:sz w:val="18"/>
                <w:szCs w:val="24"/>
                <w:rtl/>
              </w:rPr>
              <w:t xml:space="preserve"> للمحطة القاعدة </w:t>
            </w:r>
            <w:r w:rsidR="00E13C43" w:rsidRPr="002A6E97">
              <w:rPr>
                <w:sz w:val="18"/>
                <w:szCs w:val="24"/>
              </w:rPr>
              <w:t>68</w:t>
            </w:r>
            <w:r w:rsidR="00E13C43" w:rsidRPr="002A6E97">
              <w:rPr>
                <w:rFonts w:hint="cs"/>
                <w:sz w:val="18"/>
                <w:szCs w:val="24"/>
                <w:rtl/>
              </w:rPr>
              <w:t> </w:t>
            </w:r>
            <w:r w:rsidR="00E13C43" w:rsidRPr="002A6E97">
              <w:rPr>
                <w:sz w:val="18"/>
                <w:szCs w:val="24"/>
              </w:rPr>
              <w:t>dBm</w:t>
            </w:r>
          </w:p>
        </w:tc>
        <w:tc>
          <w:tcPr>
            <w:tcW w:w="687" w:type="pct"/>
            <w:vAlign w:val="center"/>
            <w:hideMark/>
          </w:tcPr>
          <w:p w14:paraId="1B25537F" w14:textId="1C5CB08C" w:rsidR="00F85F93" w:rsidRPr="002A6E97" w:rsidRDefault="00F85F93" w:rsidP="00DB5611">
            <w:pPr>
              <w:pStyle w:val="Tabletext"/>
              <w:jc w:val="center"/>
            </w:pPr>
            <w:r w:rsidRPr="002A6E97">
              <w:t>27</w:t>
            </w:r>
            <w:r w:rsidR="00E13C43" w:rsidRPr="002A6E97">
              <w:t>,</w:t>
            </w:r>
            <w:r w:rsidRPr="002A6E97">
              <w:t>9</w:t>
            </w:r>
            <w:r w:rsidR="00034397" w:rsidRPr="002A6E97">
              <w:t>–</w:t>
            </w:r>
          </w:p>
        </w:tc>
        <w:tc>
          <w:tcPr>
            <w:tcW w:w="701" w:type="pct"/>
            <w:vAlign w:val="center"/>
            <w:hideMark/>
          </w:tcPr>
          <w:p w14:paraId="0200FA98" w14:textId="0947DDA4" w:rsidR="00F85F93" w:rsidRPr="002A6E97" w:rsidRDefault="00F85F93" w:rsidP="00DB5611">
            <w:pPr>
              <w:pStyle w:val="Tabletext"/>
              <w:jc w:val="center"/>
            </w:pPr>
            <w:r w:rsidRPr="002A6E97">
              <w:t>37</w:t>
            </w:r>
            <w:r w:rsidR="00E13C43" w:rsidRPr="002A6E97">
              <w:t>,</w:t>
            </w:r>
            <w:r w:rsidRPr="002A6E97">
              <w:t>9</w:t>
            </w:r>
            <w:r w:rsidR="00034397" w:rsidRPr="002A6E97">
              <w:t>–</w:t>
            </w:r>
          </w:p>
        </w:tc>
      </w:tr>
      <w:tr w:rsidR="00F85F93" w:rsidRPr="002A6E97" w14:paraId="44F30719" w14:textId="77777777" w:rsidTr="00FD391D">
        <w:tc>
          <w:tcPr>
            <w:tcW w:w="794" w:type="pct"/>
            <w:tcBorders>
              <w:bottom w:val="single" w:sz="4" w:space="0" w:color="auto"/>
            </w:tcBorders>
            <w:vAlign w:val="center"/>
            <w:hideMark/>
          </w:tcPr>
          <w:p w14:paraId="0BFBC029" w14:textId="77777777" w:rsidR="00F85F93" w:rsidRPr="002A6E97" w:rsidRDefault="00F85F93" w:rsidP="002A6E97">
            <w:pPr>
              <w:rPr>
                <w:sz w:val="18"/>
                <w:szCs w:val="24"/>
              </w:rPr>
            </w:pPr>
            <w:r w:rsidRPr="002A6E97">
              <w:rPr>
                <w:sz w:val="18"/>
                <w:szCs w:val="24"/>
                <w:rtl/>
              </w:rPr>
              <w:t>المطارات</w:t>
            </w:r>
          </w:p>
        </w:tc>
        <w:tc>
          <w:tcPr>
            <w:tcW w:w="701" w:type="pct"/>
            <w:tcBorders>
              <w:bottom w:val="single" w:sz="4" w:space="0" w:color="auto"/>
            </w:tcBorders>
            <w:vAlign w:val="center"/>
            <w:hideMark/>
          </w:tcPr>
          <w:p w14:paraId="5407A88E" w14:textId="53680E99" w:rsidR="00F85F93" w:rsidRPr="002A6E97" w:rsidRDefault="00F85F93" w:rsidP="00DB5611">
            <w:pPr>
              <w:pStyle w:val="Tabletext"/>
              <w:jc w:val="center"/>
            </w:pPr>
            <w:r w:rsidRPr="002A6E97">
              <w:t>42</w:t>
            </w:r>
            <w:r w:rsidR="00E13C43" w:rsidRPr="002A6E97">
              <w:t>,</w:t>
            </w:r>
            <w:r w:rsidRPr="002A6E97">
              <w:t>9</w:t>
            </w:r>
            <w:r w:rsidR="00034397" w:rsidRPr="002A6E97">
              <w:t>–</w:t>
            </w:r>
          </w:p>
        </w:tc>
        <w:tc>
          <w:tcPr>
            <w:tcW w:w="747" w:type="pct"/>
            <w:tcBorders>
              <w:bottom w:val="single" w:sz="4" w:space="0" w:color="auto"/>
            </w:tcBorders>
            <w:vAlign w:val="center"/>
            <w:hideMark/>
          </w:tcPr>
          <w:p w14:paraId="44DA2A40" w14:textId="38F0224A" w:rsidR="00F85F93" w:rsidRPr="002A6E97" w:rsidRDefault="00F85F93" w:rsidP="00DB5611">
            <w:pPr>
              <w:pStyle w:val="Tabletext"/>
              <w:jc w:val="center"/>
            </w:pPr>
            <w:r w:rsidRPr="002A6E97">
              <w:t>42</w:t>
            </w:r>
            <w:r w:rsidR="00E13C43" w:rsidRPr="002A6E97">
              <w:t>,</w:t>
            </w:r>
            <w:r w:rsidRPr="002A6E97">
              <w:t>9</w:t>
            </w:r>
            <w:r w:rsidR="00034397" w:rsidRPr="002A6E97">
              <w:t>–</w:t>
            </w:r>
          </w:p>
        </w:tc>
        <w:tc>
          <w:tcPr>
            <w:tcW w:w="683" w:type="pct"/>
            <w:tcBorders>
              <w:bottom w:val="single" w:sz="4" w:space="0" w:color="auto"/>
            </w:tcBorders>
            <w:vAlign w:val="center"/>
            <w:hideMark/>
          </w:tcPr>
          <w:p w14:paraId="0093AADA" w14:textId="0EFB271D" w:rsidR="00F85F93" w:rsidRPr="002A6E97" w:rsidRDefault="00F85F93" w:rsidP="00DB5611">
            <w:pPr>
              <w:pStyle w:val="Tabletext"/>
              <w:jc w:val="center"/>
            </w:pPr>
            <w:r w:rsidRPr="002A6E97">
              <w:t>57</w:t>
            </w:r>
            <w:r w:rsidR="00E13C43" w:rsidRPr="002A6E97">
              <w:t>,</w:t>
            </w:r>
            <w:r w:rsidRPr="002A6E97">
              <w:t>9</w:t>
            </w:r>
            <w:r w:rsidR="00034397" w:rsidRPr="002A6E97">
              <w:t>–</w:t>
            </w:r>
          </w:p>
        </w:tc>
        <w:tc>
          <w:tcPr>
            <w:tcW w:w="688" w:type="pct"/>
            <w:tcBorders>
              <w:bottom w:val="single" w:sz="4" w:space="0" w:color="auto"/>
            </w:tcBorders>
            <w:vAlign w:val="center"/>
            <w:hideMark/>
          </w:tcPr>
          <w:p w14:paraId="3C0E1941" w14:textId="1C196A5F" w:rsidR="00F85F93" w:rsidRPr="002A6E97" w:rsidRDefault="00F85F93" w:rsidP="002A0E10">
            <w:pPr>
              <w:jc w:val="left"/>
              <w:rPr>
                <w:sz w:val="18"/>
                <w:szCs w:val="24"/>
              </w:rPr>
            </w:pPr>
            <w:r w:rsidRPr="002A6E97">
              <w:rPr>
                <w:sz w:val="18"/>
                <w:szCs w:val="24"/>
                <w:rtl/>
              </w:rPr>
              <w:t xml:space="preserve">لا حاجة إلى حدّ شريطة ألا تتجاوز القدرة المشعة المكافئة </w:t>
            </w:r>
            <w:proofErr w:type="spellStart"/>
            <w:r w:rsidRPr="002A6E97">
              <w:rPr>
                <w:sz w:val="18"/>
                <w:szCs w:val="24"/>
                <w:rtl/>
              </w:rPr>
              <w:t>المتناحية</w:t>
            </w:r>
            <w:proofErr w:type="spellEnd"/>
            <w:r w:rsidRPr="002A6E97">
              <w:rPr>
                <w:sz w:val="18"/>
                <w:szCs w:val="24"/>
                <w:rtl/>
              </w:rPr>
              <w:t xml:space="preserve"> للمحطة القاعدة </w:t>
            </w:r>
            <w:r w:rsidR="00E13C43" w:rsidRPr="002A6E97">
              <w:rPr>
                <w:sz w:val="18"/>
                <w:szCs w:val="24"/>
              </w:rPr>
              <w:t>68</w:t>
            </w:r>
            <w:r w:rsidR="00E13C43" w:rsidRPr="002A6E97">
              <w:rPr>
                <w:rFonts w:hint="cs"/>
                <w:sz w:val="18"/>
                <w:szCs w:val="24"/>
                <w:rtl/>
              </w:rPr>
              <w:t> </w:t>
            </w:r>
            <w:r w:rsidR="00E13C43" w:rsidRPr="002A6E97">
              <w:rPr>
                <w:sz w:val="18"/>
                <w:szCs w:val="24"/>
              </w:rPr>
              <w:t>dBm</w:t>
            </w:r>
          </w:p>
        </w:tc>
        <w:tc>
          <w:tcPr>
            <w:tcW w:w="687" w:type="pct"/>
            <w:tcBorders>
              <w:bottom w:val="single" w:sz="4" w:space="0" w:color="auto"/>
            </w:tcBorders>
            <w:vAlign w:val="center"/>
            <w:hideMark/>
          </w:tcPr>
          <w:p w14:paraId="03EBA4F7" w14:textId="082D3075" w:rsidR="00F85F93" w:rsidRPr="002A6E97" w:rsidRDefault="00F85F93" w:rsidP="00DB5611">
            <w:pPr>
              <w:pStyle w:val="Tabletext"/>
              <w:jc w:val="center"/>
            </w:pPr>
            <w:r w:rsidRPr="002A6E97">
              <w:t>27</w:t>
            </w:r>
            <w:r w:rsidR="00E13C43" w:rsidRPr="002A6E97">
              <w:t>,</w:t>
            </w:r>
            <w:r w:rsidRPr="002A6E97">
              <w:t>9</w:t>
            </w:r>
            <w:r w:rsidR="00034397" w:rsidRPr="002A6E97">
              <w:t>–</w:t>
            </w:r>
          </w:p>
        </w:tc>
        <w:tc>
          <w:tcPr>
            <w:tcW w:w="701" w:type="pct"/>
            <w:tcBorders>
              <w:bottom w:val="single" w:sz="4" w:space="0" w:color="auto"/>
            </w:tcBorders>
            <w:vAlign w:val="center"/>
            <w:hideMark/>
          </w:tcPr>
          <w:p w14:paraId="02244837" w14:textId="331EBBB0" w:rsidR="00F85F93" w:rsidRPr="002A6E97" w:rsidRDefault="00F85F93" w:rsidP="00DB5611">
            <w:pPr>
              <w:pStyle w:val="Tabletext"/>
              <w:jc w:val="center"/>
            </w:pPr>
            <w:r w:rsidRPr="002A6E97">
              <w:t>37</w:t>
            </w:r>
            <w:r w:rsidR="00E13C43" w:rsidRPr="002A6E97">
              <w:t>,</w:t>
            </w:r>
            <w:r w:rsidRPr="002A6E97">
              <w:t>9</w:t>
            </w:r>
            <w:r w:rsidR="00034397" w:rsidRPr="002A6E97">
              <w:t>–</w:t>
            </w:r>
          </w:p>
        </w:tc>
      </w:tr>
      <w:tr w:rsidR="00F85F93" w:rsidRPr="002A6E97" w14:paraId="3066AA87" w14:textId="77777777" w:rsidTr="006B32BC">
        <w:tc>
          <w:tcPr>
            <w:tcW w:w="5000" w:type="pct"/>
            <w:gridSpan w:val="7"/>
            <w:tcBorders>
              <w:left w:val="nil"/>
              <w:bottom w:val="nil"/>
              <w:right w:val="nil"/>
            </w:tcBorders>
            <w:vAlign w:val="center"/>
          </w:tcPr>
          <w:p w14:paraId="3A642EDD" w14:textId="45DF86F4" w:rsidR="00F85F93" w:rsidRPr="002A6E97" w:rsidRDefault="00F85F93" w:rsidP="00E13C43">
            <w:pPr>
              <w:pStyle w:val="Note"/>
              <w:rPr>
                <w:sz w:val="18"/>
                <w:szCs w:val="24"/>
                <w:lang w:val="ar-SA" w:eastAsia="zh-TW" w:bidi="en-GB"/>
              </w:rPr>
            </w:pPr>
            <w:r w:rsidRPr="002A6E97">
              <w:rPr>
                <w:i/>
                <w:iCs/>
                <w:sz w:val="18"/>
                <w:szCs w:val="24"/>
                <w:rtl/>
              </w:rPr>
              <w:t>ملاحظة</w:t>
            </w:r>
            <w:r w:rsidRPr="002A6E97">
              <w:rPr>
                <w:sz w:val="18"/>
                <w:szCs w:val="24"/>
                <w:rtl/>
              </w:rPr>
              <w:t xml:space="preserve">: تنطبق قِيم كثافة تدفق القدرة القائمة على كسب هوائي المحطة الأرضية المتنقلة البالغ </w:t>
            </w:r>
            <w:r w:rsidR="00E13C43" w:rsidRPr="002A6E97">
              <w:rPr>
                <w:sz w:val="18"/>
                <w:szCs w:val="24"/>
                <w:lang w:bidi="ar-EG"/>
              </w:rPr>
              <w:t>3</w:t>
            </w:r>
            <w:r w:rsidR="00E13C43" w:rsidRPr="002A6E97">
              <w:rPr>
                <w:sz w:val="18"/>
                <w:szCs w:val="24"/>
                <w:rtl/>
              </w:rPr>
              <w:t xml:space="preserve"> </w:t>
            </w:r>
            <w:proofErr w:type="spellStart"/>
            <w:r w:rsidR="00E13C43" w:rsidRPr="002A6E97">
              <w:rPr>
                <w:sz w:val="18"/>
                <w:szCs w:val="24"/>
              </w:rPr>
              <w:t>dBi</w:t>
            </w:r>
            <w:proofErr w:type="spellEnd"/>
            <w:r w:rsidR="00E13C43" w:rsidRPr="002A6E97">
              <w:rPr>
                <w:rFonts w:hint="cs"/>
                <w:sz w:val="18"/>
                <w:szCs w:val="24"/>
                <w:rtl/>
              </w:rPr>
              <w:t xml:space="preserve"> </w:t>
            </w:r>
            <w:r w:rsidRPr="002A6E97">
              <w:rPr>
                <w:sz w:val="18"/>
                <w:szCs w:val="24"/>
                <w:rtl/>
              </w:rPr>
              <w:t xml:space="preserve">في معظم الحالات، ولكن ثمة مواقع في العالم يمكن أن يتجاوز فيها كسب الهوائي نحو الأفق القيمة </w:t>
            </w:r>
            <w:r w:rsidR="00E13C43" w:rsidRPr="002A6E97">
              <w:rPr>
                <w:sz w:val="18"/>
                <w:szCs w:val="24"/>
                <w:lang w:bidi="ar-EG"/>
              </w:rPr>
              <w:t>3</w:t>
            </w:r>
            <w:r w:rsidR="00E13C43" w:rsidRPr="002A6E97">
              <w:rPr>
                <w:sz w:val="18"/>
                <w:szCs w:val="24"/>
                <w:rtl/>
              </w:rPr>
              <w:t xml:space="preserve"> </w:t>
            </w:r>
            <w:proofErr w:type="spellStart"/>
            <w:r w:rsidR="00E13C43" w:rsidRPr="002A6E97">
              <w:rPr>
                <w:sz w:val="18"/>
                <w:szCs w:val="24"/>
              </w:rPr>
              <w:t>dBi</w:t>
            </w:r>
            <w:proofErr w:type="spellEnd"/>
            <w:r w:rsidR="00E13C43" w:rsidRPr="002A6E97">
              <w:rPr>
                <w:rFonts w:hint="cs"/>
                <w:sz w:val="18"/>
                <w:szCs w:val="24"/>
                <w:rtl/>
              </w:rPr>
              <w:t xml:space="preserve"> </w:t>
            </w:r>
            <w:r w:rsidRPr="002A6E97">
              <w:rPr>
                <w:sz w:val="18"/>
                <w:szCs w:val="24"/>
                <w:rtl/>
              </w:rPr>
              <w:t xml:space="preserve">(ليصل إلى </w:t>
            </w:r>
            <w:r w:rsidR="00E13C43" w:rsidRPr="002A6E97">
              <w:rPr>
                <w:sz w:val="18"/>
                <w:szCs w:val="24"/>
                <w:lang w:bidi="ar-EG"/>
              </w:rPr>
              <w:t>19</w:t>
            </w:r>
            <w:r w:rsidR="00E13C43" w:rsidRPr="002A6E97">
              <w:rPr>
                <w:sz w:val="18"/>
                <w:szCs w:val="24"/>
                <w:rtl/>
              </w:rPr>
              <w:t xml:space="preserve"> </w:t>
            </w:r>
            <w:proofErr w:type="spellStart"/>
            <w:r w:rsidR="00E13C43" w:rsidRPr="002A6E97">
              <w:rPr>
                <w:sz w:val="18"/>
                <w:szCs w:val="24"/>
              </w:rPr>
              <w:t>dBi</w:t>
            </w:r>
            <w:proofErr w:type="spellEnd"/>
            <w:r w:rsidR="00E13C43" w:rsidRPr="002A6E97">
              <w:rPr>
                <w:rFonts w:hint="cs"/>
                <w:sz w:val="18"/>
                <w:szCs w:val="24"/>
                <w:rtl/>
              </w:rPr>
              <w:t xml:space="preserve"> </w:t>
            </w:r>
            <w:r w:rsidRPr="002A6E97">
              <w:rPr>
                <w:sz w:val="18"/>
                <w:szCs w:val="24"/>
                <w:rtl/>
              </w:rPr>
              <w:t xml:space="preserve">بالنسبة للمحطات الأرضية المتنقلة البحرية أو </w:t>
            </w:r>
            <w:r w:rsidR="00E13C43" w:rsidRPr="002A6E97">
              <w:rPr>
                <w:sz w:val="18"/>
                <w:szCs w:val="24"/>
                <w:lang w:bidi="ar-EG"/>
              </w:rPr>
              <w:t>17</w:t>
            </w:r>
            <w:r w:rsidR="00E13C43" w:rsidRPr="002A6E97">
              <w:rPr>
                <w:sz w:val="18"/>
                <w:szCs w:val="24"/>
                <w:rtl/>
              </w:rPr>
              <w:t xml:space="preserve"> </w:t>
            </w:r>
            <w:proofErr w:type="spellStart"/>
            <w:r w:rsidR="00E13C43" w:rsidRPr="002A6E97">
              <w:rPr>
                <w:sz w:val="18"/>
                <w:szCs w:val="24"/>
              </w:rPr>
              <w:t>dBi</w:t>
            </w:r>
            <w:proofErr w:type="spellEnd"/>
            <w:r w:rsidR="00E13C43" w:rsidRPr="002A6E97">
              <w:rPr>
                <w:rFonts w:hint="cs"/>
                <w:sz w:val="18"/>
                <w:szCs w:val="24"/>
                <w:rtl/>
              </w:rPr>
              <w:t xml:space="preserve"> </w:t>
            </w:r>
            <w:r w:rsidRPr="002A6E97">
              <w:rPr>
                <w:sz w:val="18"/>
                <w:szCs w:val="24"/>
                <w:rtl/>
              </w:rPr>
              <w:t xml:space="preserve">للمحطات الأرضية المتنقلة للطيران). وذلك حيث توجد زاوية ارتفاع منخفضة للمحطات الأرضية المتنقلة وحيث يمكن نَشْر المحطة القاعدة للاتصالات المتنقلة الدولية في اتجاه ساتل الخدمة المتنقلة الساتلية كما يُرى من المحطة الأرضية المتنقلة. وفي هذه الحالات، ينبغي أن تؤخذ الزوايا الفعلية مع </w:t>
            </w:r>
            <w:proofErr w:type="spellStart"/>
            <w:r w:rsidRPr="002A6E97">
              <w:rPr>
                <w:sz w:val="18"/>
                <w:szCs w:val="24"/>
                <w:rtl/>
              </w:rPr>
              <w:t>الساتل</w:t>
            </w:r>
            <w:proofErr w:type="spellEnd"/>
            <w:r w:rsidRPr="002A6E97">
              <w:rPr>
                <w:sz w:val="18"/>
                <w:szCs w:val="24"/>
                <w:rtl/>
              </w:rPr>
              <w:t xml:space="preserve"> ونَشْر الاتصالات المتنقلة الدولية في الحسبان وأن تضبط كثافة تدفق القدرة على قيمة تبيّن ذلك.</w:t>
            </w:r>
          </w:p>
        </w:tc>
      </w:tr>
    </w:tbl>
    <w:p w14:paraId="625A2CF6" w14:textId="77777777" w:rsidR="00034397" w:rsidRDefault="00034397" w:rsidP="00034397"/>
    <w:p w14:paraId="60C94EE3" w14:textId="77777777" w:rsidR="002A6E97" w:rsidRDefault="002A6E97" w:rsidP="00034397"/>
    <w:p w14:paraId="69249E03" w14:textId="214B76C1" w:rsidR="00F85F93" w:rsidRPr="00E13C43" w:rsidRDefault="00F85F93" w:rsidP="0097353B">
      <w:pPr>
        <w:pStyle w:val="AppendixNoTitle"/>
      </w:pPr>
      <w:bookmarkStart w:id="13" w:name="_Hlk160782164"/>
      <w:r w:rsidRPr="00E13C43">
        <w:rPr>
          <w:rtl/>
        </w:rPr>
        <w:t>المرفق</w:t>
      </w:r>
      <w:r w:rsidR="00E13C43" w:rsidRPr="00E13C43">
        <w:br/>
      </w:r>
      <w:r w:rsidRPr="00E13C43">
        <w:rPr>
          <w:rtl/>
        </w:rPr>
        <w:t xml:space="preserve">بالملحق </w:t>
      </w:r>
      <w:r w:rsidRPr="00E13C43">
        <w:t>3</w:t>
      </w:r>
      <w:r w:rsidR="00871586">
        <w:rPr>
          <w:rtl/>
        </w:rPr>
        <w:br/>
      </w:r>
      <w:r w:rsidR="00E13C43" w:rsidRPr="00E13C43">
        <w:br/>
      </w:r>
      <w:r w:rsidRPr="00E13C43">
        <w:rPr>
          <w:rtl/>
        </w:rPr>
        <w:t xml:space="preserve">افتراضات أداء الحَجْب </w:t>
      </w:r>
      <w:proofErr w:type="spellStart"/>
      <w:r w:rsidRPr="00E13C43">
        <w:rPr>
          <w:rtl/>
        </w:rPr>
        <w:t>لمطاريف</w:t>
      </w:r>
      <w:proofErr w:type="spellEnd"/>
      <w:r w:rsidRPr="00E13C43">
        <w:rPr>
          <w:rtl/>
        </w:rPr>
        <w:t xml:space="preserve"> المحطات الأرضية المتنقلة</w:t>
      </w:r>
      <w:r w:rsidR="00871586">
        <w:rPr>
          <w:rtl/>
        </w:rPr>
        <w:br/>
      </w:r>
      <w:r w:rsidRPr="00E13C43">
        <w:rPr>
          <w:rtl/>
        </w:rPr>
        <w:t xml:space="preserve">المتناولة في الجداول من </w:t>
      </w:r>
      <w:r w:rsidRPr="00E13C43">
        <w:t>4</w:t>
      </w:r>
      <w:r w:rsidRPr="00E13C43">
        <w:rPr>
          <w:rtl/>
        </w:rPr>
        <w:t xml:space="preserve"> إلى </w:t>
      </w:r>
      <w:r w:rsidRPr="00E13C43">
        <w:t>6</w:t>
      </w:r>
      <w:bookmarkEnd w:id="13"/>
    </w:p>
    <w:p w14:paraId="3CCECA75" w14:textId="089F5C6F" w:rsidR="00F85F93" w:rsidRPr="00770CE6" w:rsidRDefault="00F85F93" w:rsidP="0097353B">
      <w:pPr>
        <w:pStyle w:val="Normalaftertitle"/>
        <w:rPr>
          <w:lang w:val="ar-SA" w:eastAsia="zh-TW" w:bidi="en-GB"/>
        </w:rPr>
      </w:pPr>
      <w:r w:rsidRPr="00770CE6">
        <w:rPr>
          <w:rtl/>
        </w:rPr>
        <w:t xml:space="preserve">تَرِدُ أدناه في الجدولين </w:t>
      </w:r>
      <w:r w:rsidRPr="00770CE6">
        <w:t xml:space="preserve">7 </w:t>
      </w:r>
      <w:r w:rsidRPr="00770CE6">
        <w:rPr>
          <w:rtl/>
        </w:rPr>
        <w:t>و</w:t>
      </w:r>
      <w:r w:rsidRPr="00770CE6">
        <w:t>8</w:t>
      </w:r>
      <w:r w:rsidRPr="00770CE6">
        <w:rPr>
          <w:rtl/>
        </w:rPr>
        <w:t xml:space="preserve"> افتراضات أداء الحجب </w:t>
      </w:r>
      <w:proofErr w:type="spellStart"/>
      <w:r w:rsidRPr="00770CE6">
        <w:rPr>
          <w:rtl/>
        </w:rPr>
        <w:t>لمطاريف</w:t>
      </w:r>
      <w:proofErr w:type="spellEnd"/>
      <w:r w:rsidRPr="00770CE6">
        <w:rPr>
          <w:rtl/>
        </w:rPr>
        <w:t xml:space="preserve"> المحطات الأرضية المتنقلة</w:t>
      </w:r>
      <w:r w:rsidR="00E13C43">
        <w:rPr>
          <w:rFonts w:hint="cs"/>
          <w:rtl/>
          <w:lang w:bidi="ar-EG"/>
        </w:rPr>
        <w:t xml:space="preserve"> </w:t>
      </w:r>
      <w:r w:rsidRPr="00770CE6">
        <w:rPr>
          <w:rtl/>
        </w:rPr>
        <w:t xml:space="preserve">للطيران والبحرية لمدى تردد إشارة الاتصالات المتنقلة الدولية ذات الصلة. ويَرِدُ وصفٌ لمصادر قِيم المرحلة </w:t>
      </w:r>
      <w:r w:rsidRPr="00770CE6">
        <w:t>1</w:t>
      </w:r>
      <w:r w:rsidR="00E13C43">
        <w:rPr>
          <w:rFonts w:hint="cs"/>
          <w:rtl/>
        </w:rPr>
        <w:t xml:space="preserve"> </w:t>
      </w:r>
      <w:r w:rsidRPr="00770CE6">
        <w:rPr>
          <w:rtl/>
        </w:rPr>
        <w:t xml:space="preserve">في الملحق </w:t>
      </w:r>
      <w:r w:rsidRPr="00770CE6">
        <w:t>3</w:t>
      </w:r>
      <w:r w:rsidRPr="00770CE6">
        <w:rPr>
          <w:rtl/>
        </w:rPr>
        <w:t xml:space="preserve">. وفي حين أن قِيم المرحلة </w:t>
      </w:r>
      <w:r w:rsidRPr="00770CE6">
        <w:t>2</w:t>
      </w:r>
      <w:r w:rsidRPr="00770CE6">
        <w:rPr>
          <w:rtl/>
        </w:rPr>
        <w:t xml:space="preserve"> للاتصالات المتنقلة الدولية في النطاق </w:t>
      </w:r>
      <w:r w:rsidRPr="00770CE6">
        <w:t>MHz 1 517-1 512</w:t>
      </w:r>
      <w:r w:rsidRPr="00770CE6">
        <w:rPr>
          <w:rtl/>
        </w:rPr>
        <w:t xml:space="preserve"> تستند إلى المحطات الأرضية المتنقلة التي تفي بمستويات الحَجْب التقنية لهذه التوصية والواردة في</w:t>
      </w:r>
      <w:r w:rsidR="0097353B">
        <w:rPr>
          <w:rFonts w:hint="cs"/>
          <w:rtl/>
        </w:rPr>
        <w:t> </w:t>
      </w:r>
      <w:r w:rsidRPr="00770CE6">
        <w:rPr>
          <w:rtl/>
        </w:rPr>
        <w:t xml:space="preserve">الملحق </w:t>
      </w:r>
      <w:r w:rsidRPr="00770CE6">
        <w:t>2</w:t>
      </w:r>
      <w:r w:rsidRPr="00770CE6">
        <w:rPr>
          <w:rtl/>
        </w:rPr>
        <w:t xml:space="preserve">، فإنَّ قِيم النطاق </w:t>
      </w:r>
      <w:r w:rsidRPr="00770CE6">
        <w:t>MHz 1 512-1 492</w:t>
      </w:r>
      <w:r w:rsidRPr="00770CE6">
        <w:rPr>
          <w:rtl/>
        </w:rPr>
        <w:t xml:space="preserve"> تستند إلى افتراضات. وبالتالي، عندما تتوافر </w:t>
      </w:r>
      <w:proofErr w:type="spellStart"/>
      <w:r w:rsidRPr="00770CE6">
        <w:rPr>
          <w:rtl/>
        </w:rPr>
        <w:t>مطاريف</w:t>
      </w:r>
      <w:proofErr w:type="spellEnd"/>
      <w:r w:rsidRPr="00770CE6">
        <w:rPr>
          <w:rtl/>
        </w:rPr>
        <w:t xml:space="preserve"> المحطات الأرضية المتنقلة التي تفي بمستويات الحَجْب التقنية الواردة في الملحق </w:t>
      </w:r>
      <w:r w:rsidRPr="00770CE6">
        <w:t>2</w:t>
      </w:r>
      <w:r w:rsidRPr="00770CE6">
        <w:rPr>
          <w:rtl/>
        </w:rPr>
        <w:t xml:space="preserve">، قد تحتاج الإدارات إلى استعراض أداء حَجبها للنطاق </w:t>
      </w:r>
      <w:r w:rsidRPr="00770CE6">
        <w:t>MHz</w:t>
      </w:r>
      <w:r w:rsidR="00034397">
        <w:t> </w:t>
      </w:r>
      <w:r w:rsidRPr="00770CE6">
        <w:t>1</w:t>
      </w:r>
      <w:r w:rsidR="00034397">
        <w:t> </w:t>
      </w:r>
      <w:r w:rsidRPr="00770CE6">
        <w:t>512</w:t>
      </w:r>
      <w:r w:rsidR="00034397">
        <w:noBreakHyphen/>
      </w:r>
      <w:r w:rsidRPr="00770CE6">
        <w:t>1</w:t>
      </w:r>
      <w:r w:rsidR="00034397">
        <w:t> </w:t>
      </w:r>
      <w:r w:rsidRPr="00770CE6">
        <w:t>492</w:t>
      </w:r>
      <w:r w:rsidRPr="00770CE6">
        <w:rPr>
          <w:rtl/>
        </w:rPr>
        <w:t xml:space="preserve"> وقِيم كثافة تدفق القدرة المقابلة الواردة في الملحق </w:t>
      </w:r>
      <w:r w:rsidRPr="00770CE6">
        <w:t>3</w:t>
      </w:r>
      <w:r w:rsidRPr="00770CE6">
        <w:rPr>
          <w:rtl/>
        </w:rPr>
        <w:t>.</w:t>
      </w:r>
    </w:p>
    <w:p w14:paraId="6439BD86" w14:textId="77777777" w:rsidR="00F85F93" w:rsidRPr="00770CE6" w:rsidRDefault="00F85F93" w:rsidP="00AF0C07">
      <w:pPr>
        <w:pStyle w:val="TableNo0"/>
        <w:rPr>
          <w:lang w:val="ar-SA" w:eastAsia="zh-TW" w:bidi="en-GB"/>
        </w:rPr>
      </w:pPr>
      <w:r w:rsidRPr="00770CE6">
        <w:rPr>
          <w:rtl/>
        </w:rPr>
        <w:lastRenderedPageBreak/>
        <w:t xml:space="preserve">الجدول </w:t>
      </w:r>
      <w:r w:rsidRPr="00770CE6">
        <w:t>7</w:t>
      </w:r>
    </w:p>
    <w:p w14:paraId="1628A16A" w14:textId="77777777" w:rsidR="00F85F93" w:rsidRPr="00E13C43" w:rsidRDefault="00F85F93" w:rsidP="00E13C43">
      <w:pPr>
        <w:pStyle w:val="Tabletitle"/>
      </w:pPr>
      <w:r w:rsidRPr="00E13C43">
        <w:rPr>
          <w:rtl/>
        </w:rPr>
        <w:t xml:space="preserve">افتراضات أداء الحَجب </w:t>
      </w:r>
      <w:r w:rsidRPr="00E13C43">
        <w:t>(dBm)</w:t>
      </w:r>
      <w:r w:rsidRPr="00E13C43">
        <w:rPr>
          <w:rtl/>
        </w:rPr>
        <w:t xml:space="preserve"> </w:t>
      </w:r>
      <w:proofErr w:type="spellStart"/>
      <w:r w:rsidRPr="00E13C43">
        <w:rPr>
          <w:rtl/>
        </w:rPr>
        <w:t>لمطاريف</w:t>
      </w:r>
      <w:proofErr w:type="spellEnd"/>
      <w:r w:rsidRPr="00E13C43">
        <w:rPr>
          <w:rtl/>
        </w:rPr>
        <w:t xml:space="preserve"> المحطات الأرضية المتنقلة</w:t>
      </w:r>
      <w:r w:rsidRPr="00E13C43">
        <w:rPr>
          <w:rtl/>
          <w:lang w:bidi="ar-SA"/>
        </w:rPr>
        <w:t xml:space="preserve"> </w:t>
      </w:r>
      <w:r w:rsidRPr="00E13C43">
        <w:rPr>
          <w:rtl/>
        </w:rPr>
        <w:t xml:space="preserve">للطيران والبحرية في الخيار </w:t>
      </w:r>
      <w:r w:rsidRPr="00E13C43">
        <w:t>A</w:t>
      </w:r>
    </w:p>
    <w:tbl>
      <w:tblPr>
        <w:tblStyle w:val="TableGrid"/>
        <w:bidiVisual/>
        <w:tblW w:w="0" w:type="auto"/>
        <w:tblLayout w:type="fixed"/>
        <w:tblLook w:val="04A0" w:firstRow="1" w:lastRow="0" w:firstColumn="1" w:lastColumn="0" w:noHBand="0" w:noVBand="1"/>
      </w:tblPr>
      <w:tblGrid>
        <w:gridCol w:w="986"/>
        <w:gridCol w:w="2341"/>
        <w:gridCol w:w="1204"/>
        <w:gridCol w:w="1276"/>
        <w:gridCol w:w="1276"/>
        <w:gridCol w:w="1276"/>
        <w:gridCol w:w="1270"/>
      </w:tblGrid>
      <w:tr w:rsidR="00E13C43" w:rsidRPr="00770CE6" w14:paraId="227D91FD" w14:textId="77777777" w:rsidTr="006B32BC">
        <w:tc>
          <w:tcPr>
            <w:tcW w:w="3327" w:type="dxa"/>
            <w:gridSpan w:val="2"/>
            <w:vAlign w:val="center"/>
          </w:tcPr>
          <w:p w14:paraId="2FC509EB" w14:textId="6709C68C" w:rsidR="00E13C43" w:rsidRPr="00770CE6" w:rsidRDefault="00E13C43" w:rsidP="00E13C43">
            <w:pPr>
              <w:pStyle w:val="Tablehead"/>
              <w:textDirection w:val="tbRlV"/>
              <w:rPr>
                <w:rFonts w:ascii="Times New Roman" w:hAnsi="Times New Roman"/>
                <w:szCs w:val="22"/>
                <w:lang w:val="ar-SA" w:eastAsia="zh-TW" w:bidi="en-GB"/>
              </w:rPr>
            </w:pPr>
            <w:r w:rsidRPr="00E13C43">
              <w:rPr>
                <w:rtl/>
              </w:rPr>
              <w:t>المرحلة</w:t>
            </w:r>
          </w:p>
        </w:tc>
        <w:tc>
          <w:tcPr>
            <w:tcW w:w="3756" w:type="dxa"/>
            <w:gridSpan w:val="3"/>
            <w:vAlign w:val="center"/>
          </w:tcPr>
          <w:p w14:paraId="351A4EDE" w14:textId="54E0B1E5" w:rsidR="00E13C43" w:rsidRPr="00770CE6" w:rsidRDefault="00E13C43" w:rsidP="00E13C43">
            <w:pPr>
              <w:pStyle w:val="Tablehead"/>
              <w:textDirection w:val="tbRlV"/>
              <w:rPr>
                <w:rFonts w:ascii="Times New Roman" w:hAnsi="Times New Roman"/>
                <w:szCs w:val="22"/>
                <w:lang w:val="ar-SA" w:eastAsia="zh-TW" w:bidi="en-GB"/>
              </w:rPr>
            </w:pPr>
            <w:r w:rsidRPr="00E13C43">
              <w:rPr>
                <w:rtl/>
              </w:rPr>
              <w:t xml:space="preserve">المرحلة </w:t>
            </w:r>
            <w:r w:rsidRPr="00E13C43">
              <w:t>1</w:t>
            </w:r>
          </w:p>
        </w:tc>
        <w:tc>
          <w:tcPr>
            <w:tcW w:w="2546" w:type="dxa"/>
            <w:gridSpan w:val="2"/>
            <w:vAlign w:val="center"/>
          </w:tcPr>
          <w:p w14:paraId="4D5073F6" w14:textId="13B5C50B" w:rsidR="00E13C43" w:rsidRPr="00770CE6" w:rsidRDefault="00E13C43" w:rsidP="00E13C43">
            <w:pPr>
              <w:pStyle w:val="Tablehead"/>
              <w:textDirection w:val="tbRlV"/>
              <w:rPr>
                <w:rFonts w:ascii="Times New Roman" w:hAnsi="Times New Roman"/>
                <w:szCs w:val="22"/>
                <w:lang w:val="ar-SA" w:eastAsia="zh-TW" w:bidi="en-GB"/>
              </w:rPr>
            </w:pPr>
            <w:r w:rsidRPr="00E13C43">
              <w:rPr>
                <w:rtl/>
              </w:rPr>
              <w:t xml:space="preserve">المرحلة </w:t>
            </w:r>
            <w:r w:rsidRPr="00E13C43">
              <w:t>2</w:t>
            </w:r>
          </w:p>
        </w:tc>
      </w:tr>
      <w:tr w:rsidR="00E13C43" w:rsidRPr="00770CE6" w14:paraId="56218037" w14:textId="77777777" w:rsidTr="006B32BC">
        <w:tc>
          <w:tcPr>
            <w:tcW w:w="3327" w:type="dxa"/>
            <w:gridSpan w:val="2"/>
            <w:vAlign w:val="center"/>
          </w:tcPr>
          <w:p w14:paraId="465666C9" w14:textId="77777777" w:rsidR="00E13C43" w:rsidRPr="00E13C43" w:rsidRDefault="00E13C43" w:rsidP="00E13C43">
            <w:pPr>
              <w:pStyle w:val="Tablehead"/>
              <w:textDirection w:val="tbRlV"/>
            </w:pPr>
            <w:r w:rsidRPr="00E13C43">
              <w:rPr>
                <w:rtl/>
              </w:rPr>
              <w:t xml:space="preserve">مدى الترددات </w:t>
            </w:r>
            <w:r w:rsidRPr="00E13C43">
              <w:t>(MHz)</w:t>
            </w:r>
          </w:p>
        </w:tc>
        <w:tc>
          <w:tcPr>
            <w:tcW w:w="1204" w:type="dxa"/>
            <w:vAlign w:val="center"/>
          </w:tcPr>
          <w:p w14:paraId="7BB1F89E" w14:textId="62587C02" w:rsidR="00E13C43" w:rsidRPr="00E13C43" w:rsidRDefault="00E13C43" w:rsidP="00E13C43">
            <w:pPr>
              <w:pStyle w:val="Tablehead"/>
              <w:textDirection w:val="tbRlV"/>
            </w:pPr>
            <w:r w:rsidRPr="00053593">
              <w:rPr>
                <w:rFonts w:ascii="Times New Roman" w:hAnsi="Times New Roman" w:cs="Times New Roman"/>
                <w:lang w:eastAsia="ja-JP"/>
              </w:rPr>
              <w:t>1 492</w:t>
            </w:r>
            <w:r w:rsidRPr="00053593">
              <w:rPr>
                <w:rFonts w:ascii="Times New Roman" w:hAnsi="Times New Roman" w:cs="Times New Roman"/>
                <w:rtl/>
                <w:lang w:eastAsia="ja-JP"/>
              </w:rPr>
              <w:t>-</w:t>
            </w:r>
            <w:r w:rsidRPr="00053593">
              <w:rPr>
                <w:rFonts w:ascii="Times New Roman" w:hAnsi="Times New Roman" w:cs="Times New Roman"/>
                <w:lang w:eastAsia="ja-JP"/>
              </w:rPr>
              <w:t>1 502</w:t>
            </w:r>
          </w:p>
        </w:tc>
        <w:tc>
          <w:tcPr>
            <w:tcW w:w="1276" w:type="dxa"/>
            <w:vAlign w:val="center"/>
          </w:tcPr>
          <w:p w14:paraId="759BD02A" w14:textId="39639DEC" w:rsidR="00E13C43" w:rsidRPr="00E13C43" w:rsidRDefault="00E13C43" w:rsidP="00E13C43">
            <w:pPr>
              <w:pStyle w:val="Tablehead"/>
              <w:textDirection w:val="tbRlV"/>
            </w:pPr>
            <w:r w:rsidRPr="00053593">
              <w:rPr>
                <w:rFonts w:ascii="Times New Roman" w:hAnsi="Times New Roman" w:cs="Times New Roman"/>
                <w:lang w:eastAsia="ja-JP"/>
              </w:rPr>
              <w:t>1 502</w:t>
            </w:r>
            <w:r w:rsidRPr="00053593">
              <w:rPr>
                <w:rFonts w:ascii="Times New Roman" w:hAnsi="Times New Roman" w:cs="Times New Roman"/>
                <w:rtl/>
                <w:lang w:eastAsia="ja-JP"/>
              </w:rPr>
              <w:t>-</w:t>
            </w:r>
            <w:r w:rsidRPr="00053593">
              <w:rPr>
                <w:rFonts w:ascii="Times New Roman" w:hAnsi="Times New Roman" w:cs="Times New Roman"/>
                <w:lang w:eastAsia="ja-JP"/>
              </w:rPr>
              <w:t>1 512</w:t>
            </w:r>
          </w:p>
        </w:tc>
        <w:tc>
          <w:tcPr>
            <w:tcW w:w="1276" w:type="dxa"/>
            <w:vAlign w:val="center"/>
          </w:tcPr>
          <w:p w14:paraId="758DC461" w14:textId="33710D56" w:rsidR="00E13C43" w:rsidRPr="00E13C43" w:rsidRDefault="00E13C43" w:rsidP="00E13C43">
            <w:pPr>
              <w:pStyle w:val="Tablehead"/>
              <w:textDirection w:val="tbRlV"/>
            </w:pPr>
            <w:r w:rsidRPr="00053593">
              <w:rPr>
                <w:rFonts w:ascii="Times New Roman" w:hAnsi="Times New Roman" w:cs="Times New Roman"/>
                <w:lang w:eastAsia="ja-JP"/>
              </w:rPr>
              <w:t>1 512</w:t>
            </w:r>
            <w:r w:rsidRPr="00053593">
              <w:rPr>
                <w:rFonts w:ascii="Times New Roman" w:hAnsi="Times New Roman" w:cs="Times New Roman"/>
                <w:rtl/>
                <w:lang w:eastAsia="ja-JP"/>
              </w:rPr>
              <w:t>-</w:t>
            </w:r>
            <w:r w:rsidRPr="00053593">
              <w:rPr>
                <w:rFonts w:ascii="Times New Roman" w:hAnsi="Times New Roman" w:cs="Times New Roman"/>
                <w:lang w:eastAsia="ja-JP"/>
              </w:rPr>
              <w:t>1 517</w:t>
            </w:r>
          </w:p>
        </w:tc>
        <w:tc>
          <w:tcPr>
            <w:tcW w:w="1276" w:type="dxa"/>
            <w:vAlign w:val="center"/>
          </w:tcPr>
          <w:p w14:paraId="5AB3B772" w14:textId="6A9CCB7C" w:rsidR="00E13C43" w:rsidRPr="00E13C43" w:rsidRDefault="00E13C43" w:rsidP="00E13C43">
            <w:pPr>
              <w:pStyle w:val="Tablehead"/>
              <w:textDirection w:val="tbRlV"/>
            </w:pPr>
            <w:r w:rsidRPr="00053593">
              <w:rPr>
                <w:rFonts w:ascii="Times New Roman" w:hAnsi="Times New Roman" w:cs="Times New Roman"/>
                <w:lang w:eastAsia="ja-JP"/>
              </w:rPr>
              <w:t>1 492</w:t>
            </w:r>
            <w:r w:rsidRPr="00053593">
              <w:rPr>
                <w:rFonts w:ascii="Times New Roman" w:hAnsi="Times New Roman" w:cs="Times New Roman"/>
                <w:rtl/>
                <w:lang w:eastAsia="ja-JP"/>
              </w:rPr>
              <w:t>-</w:t>
            </w:r>
            <w:r w:rsidRPr="00053593">
              <w:rPr>
                <w:rFonts w:ascii="Times New Roman" w:hAnsi="Times New Roman" w:cs="Times New Roman"/>
                <w:lang w:eastAsia="ja-JP"/>
              </w:rPr>
              <w:t>1 512</w:t>
            </w:r>
          </w:p>
        </w:tc>
        <w:tc>
          <w:tcPr>
            <w:tcW w:w="1270" w:type="dxa"/>
            <w:vAlign w:val="center"/>
          </w:tcPr>
          <w:p w14:paraId="3B917425" w14:textId="0BB6755F" w:rsidR="00E13C43" w:rsidRPr="00E13C43" w:rsidRDefault="00E13C43" w:rsidP="00E13C43">
            <w:pPr>
              <w:pStyle w:val="Tablehead"/>
              <w:textDirection w:val="tbRlV"/>
            </w:pPr>
            <w:r w:rsidRPr="00053593">
              <w:rPr>
                <w:rFonts w:ascii="Times New Roman" w:hAnsi="Times New Roman" w:cs="Times New Roman"/>
                <w:lang w:eastAsia="ja-JP"/>
              </w:rPr>
              <w:t>1 512</w:t>
            </w:r>
            <w:r w:rsidRPr="00053593">
              <w:rPr>
                <w:rFonts w:ascii="Times New Roman" w:hAnsi="Times New Roman" w:cs="Times New Roman"/>
                <w:rtl/>
                <w:lang w:eastAsia="ja-JP"/>
              </w:rPr>
              <w:t>-</w:t>
            </w:r>
            <w:r w:rsidRPr="00053593">
              <w:rPr>
                <w:rFonts w:ascii="Times New Roman" w:hAnsi="Times New Roman" w:cs="Times New Roman"/>
                <w:lang w:eastAsia="ja-JP"/>
              </w:rPr>
              <w:t>1 517</w:t>
            </w:r>
          </w:p>
        </w:tc>
      </w:tr>
      <w:tr w:rsidR="00E13C43" w:rsidRPr="00770CE6" w14:paraId="59B71489" w14:textId="77777777" w:rsidTr="00E13C43">
        <w:tc>
          <w:tcPr>
            <w:tcW w:w="986" w:type="dxa"/>
            <w:vMerge w:val="restart"/>
            <w:vAlign w:val="center"/>
          </w:tcPr>
          <w:p w14:paraId="5E40907A" w14:textId="77777777" w:rsidR="00E13C43" w:rsidRPr="00E13C43" w:rsidRDefault="00E13C43" w:rsidP="00DB5611">
            <w:pPr>
              <w:pStyle w:val="Tabletext"/>
            </w:pPr>
            <w:r w:rsidRPr="00E13C43">
              <w:rPr>
                <w:rtl/>
              </w:rPr>
              <w:t xml:space="preserve">للجدول </w:t>
            </w:r>
            <w:r w:rsidRPr="00E13C43">
              <w:t>4</w:t>
            </w:r>
          </w:p>
        </w:tc>
        <w:tc>
          <w:tcPr>
            <w:tcW w:w="2341" w:type="dxa"/>
            <w:vAlign w:val="center"/>
          </w:tcPr>
          <w:p w14:paraId="6DF371A2" w14:textId="77777777" w:rsidR="00E13C43" w:rsidRPr="00E13C43" w:rsidRDefault="00E13C43" w:rsidP="00DB5611">
            <w:pPr>
              <w:pStyle w:val="Tabletext"/>
            </w:pPr>
            <w:r w:rsidRPr="00E13C43">
              <w:rPr>
                <w:rtl/>
              </w:rPr>
              <w:t>المحطات الأرضية المتنقلة البحرية</w:t>
            </w:r>
          </w:p>
        </w:tc>
        <w:tc>
          <w:tcPr>
            <w:tcW w:w="1204" w:type="dxa"/>
            <w:vAlign w:val="center"/>
          </w:tcPr>
          <w:p w14:paraId="2F5B4179" w14:textId="27481E93" w:rsidR="00E13C43" w:rsidRPr="00E13C43" w:rsidRDefault="00E13C43" w:rsidP="00DB5611">
            <w:pPr>
              <w:pStyle w:val="Tabletext"/>
              <w:jc w:val="center"/>
            </w:pPr>
            <w:r w:rsidRPr="00E13C43">
              <w:t>53</w:t>
            </w:r>
            <w:r w:rsidR="00034397">
              <w:t>–</w:t>
            </w:r>
          </w:p>
        </w:tc>
        <w:tc>
          <w:tcPr>
            <w:tcW w:w="1276" w:type="dxa"/>
            <w:vAlign w:val="center"/>
          </w:tcPr>
          <w:p w14:paraId="5AEB8EE7" w14:textId="77777777" w:rsidR="00E13C43" w:rsidRPr="00E13C43" w:rsidRDefault="00E13C43" w:rsidP="00DB5611">
            <w:pPr>
              <w:pStyle w:val="Tabletext"/>
              <w:jc w:val="center"/>
            </w:pPr>
            <w:r w:rsidRPr="00E13C43">
              <w:rPr>
                <w:rFonts w:cs="Times New Roman" w:hint="cs"/>
                <w:rtl/>
              </w:rPr>
              <w:t>−</w:t>
            </w:r>
            <w:r w:rsidRPr="00E13C43">
              <w:t>68</w:t>
            </w:r>
          </w:p>
        </w:tc>
        <w:tc>
          <w:tcPr>
            <w:tcW w:w="1276" w:type="dxa"/>
            <w:vAlign w:val="center"/>
          </w:tcPr>
          <w:p w14:paraId="19D62CDB" w14:textId="5F57E4D8" w:rsidR="00E13C43" w:rsidRPr="00E13C43" w:rsidRDefault="00E13C43" w:rsidP="00DB5611">
            <w:pPr>
              <w:pStyle w:val="Tabletext"/>
              <w:jc w:val="center"/>
            </w:pPr>
            <w:r w:rsidRPr="00E13C43">
              <w:t>76</w:t>
            </w:r>
            <w:r w:rsidR="00034397">
              <w:t>–</w:t>
            </w:r>
          </w:p>
        </w:tc>
        <w:tc>
          <w:tcPr>
            <w:tcW w:w="1276" w:type="dxa"/>
            <w:vAlign w:val="center"/>
          </w:tcPr>
          <w:p w14:paraId="4883877A" w14:textId="10D13165" w:rsidR="00E13C43" w:rsidRPr="00E13C43" w:rsidRDefault="00E13C43" w:rsidP="00DB5611">
            <w:pPr>
              <w:pStyle w:val="Tabletext"/>
              <w:jc w:val="center"/>
            </w:pPr>
            <w:r w:rsidRPr="00E13C43">
              <w:t>20</w:t>
            </w:r>
            <w:r w:rsidR="00034397">
              <w:t>–</w:t>
            </w:r>
          </w:p>
        </w:tc>
        <w:tc>
          <w:tcPr>
            <w:tcW w:w="1270" w:type="dxa"/>
            <w:vAlign w:val="center"/>
          </w:tcPr>
          <w:p w14:paraId="78F13CD1" w14:textId="62CAA769" w:rsidR="00E13C43" w:rsidRPr="00E13C43" w:rsidRDefault="00E13C43" w:rsidP="00DB5611">
            <w:pPr>
              <w:pStyle w:val="Tabletext"/>
              <w:jc w:val="center"/>
            </w:pPr>
            <w:r w:rsidRPr="00E13C43">
              <w:t>30</w:t>
            </w:r>
            <w:r w:rsidR="00034397">
              <w:t>–</w:t>
            </w:r>
          </w:p>
        </w:tc>
      </w:tr>
      <w:tr w:rsidR="00E13C43" w:rsidRPr="00770CE6" w14:paraId="77572D58" w14:textId="77777777" w:rsidTr="00E13C43">
        <w:tc>
          <w:tcPr>
            <w:tcW w:w="986" w:type="dxa"/>
            <w:vMerge/>
            <w:vAlign w:val="center"/>
          </w:tcPr>
          <w:p w14:paraId="5F9BBA4A" w14:textId="77777777" w:rsidR="00E13C43" w:rsidRPr="00E13C43" w:rsidRDefault="00E13C43" w:rsidP="00DB5611">
            <w:pPr>
              <w:pStyle w:val="Tabletext"/>
            </w:pPr>
          </w:p>
        </w:tc>
        <w:tc>
          <w:tcPr>
            <w:tcW w:w="2341" w:type="dxa"/>
            <w:vAlign w:val="center"/>
          </w:tcPr>
          <w:p w14:paraId="74467FA6" w14:textId="77777777" w:rsidR="00E13C43" w:rsidRPr="00E13C43" w:rsidRDefault="00E13C43" w:rsidP="00DB5611">
            <w:pPr>
              <w:pStyle w:val="Tabletext"/>
            </w:pPr>
            <w:r w:rsidRPr="00E13C43">
              <w:rPr>
                <w:rtl/>
              </w:rPr>
              <w:t>المحطات الأرضية المتنقلة للطيران</w:t>
            </w:r>
          </w:p>
        </w:tc>
        <w:tc>
          <w:tcPr>
            <w:tcW w:w="1204" w:type="dxa"/>
            <w:vAlign w:val="center"/>
          </w:tcPr>
          <w:p w14:paraId="4F9BEA2E" w14:textId="4BB5E75D" w:rsidR="00E13C43" w:rsidRPr="00E13C43" w:rsidRDefault="00E13C43" w:rsidP="00DB5611">
            <w:pPr>
              <w:pStyle w:val="Tabletext"/>
              <w:jc w:val="center"/>
            </w:pPr>
            <w:r w:rsidRPr="00E13C43">
              <w:t>21</w:t>
            </w:r>
            <w:r w:rsidR="00034397">
              <w:t>–</w:t>
            </w:r>
          </w:p>
        </w:tc>
        <w:tc>
          <w:tcPr>
            <w:tcW w:w="1276" w:type="dxa"/>
            <w:vAlign w:val="center"/>
          </w:tcPr>
          <w:p w14:paraId="2B73CFB0" w14:textId="77777777" w:rsidR="00E13C43" w:rsidRPr="00E13C43" w:rsidRDefault="00E13C43" w:rsidP="00DB5611">
            <w:pPr>
              <w:pStyle w:val="Tabletext"/>
              <w:jc w:val="center"/>
            </w:pPr>
            <w:r w:rsidRPr="00E13C43">
              <w:rPr>
                <w:rFonts w:cs="Times New Roman" w:hint="cs"/>
                <w:rtl/>
              </w:rPr>
              <w:t>−</w:t>
            </w:r>
            <w:r w:rsidRPr="00E13C43">
              <w:t>35</w:t>
            </w:r>
          </w:p>
        </w:tc>
        <w:tc>
          <w:tcPr>
            <w:tcW w:w="1276" w:type="dxa"/>
            <w:vAlign w:val="center"/>
          </w:tcPr>
          <w:p w14:paraId="14F358C6" w14:textId="625C85A4" w:rsidR="00E13C43" w:rsidRPr="00E13C43" w:rsidRDefault="00E13C43" w:rsidP="00DB5611">
            <w:pPr>
              <w:pStyle w:val="Tabletext"/>
              <w:jc w:val="center"/>
            </w:pPr>
            <w:r w:rsidRPr="00E13C43">
              <w:t>50</w:t>
            </w:r>
            <w:r>
              <w:t>,</w:t>
            </w:r>
            <w:r w:rsidRPr="00E13C43">
              <w:t>3</w:t>
            </w:r>
            <w:r w:rsidR="00034397">
              <w:t>–</w:t>
            </w:r>
          </w:p>
        </w:tc>
        <w:tc>
          <w:tcPr>
            <w:tcW w:w="1276" w:type="dxa"/>
            <w:vAlign w:val="center"/>
          </w:tcPr>
          <w:p w14:paraId="56A1627E" w14:textId="460D19AD" w:rsidR="00E13C43" w:rsidRPr="00E13C43" w:rsidRDefault="00E13C43" w:rsidP="00DB5611">
            <w:pPr>
              <w:pStyle w:val="Tabletext"/>
              <w:jc w:val="center"/>
            </w:pPr>
            <w:r w:rsidRPr="00E13C43">
              <w:t>20</w:t>
            </w:r>
            <w:r w:rsidR="00034397">
              <w:t>–</w:t>
            </w:r>
          </w:p>
        </w:tc>
        <w:tc>
          <w:tcPr>
            <w:tcW w:w="1270" w:type="dxa"/>
            <w:vAlign w:val="center"/>
          </w:tcPr>
          <w:p w14:paraId="084C6F51" w14:textId="70CDAF25" w:rsidR="00E13C43" w:rsidRPr="00E13C43" w:rsidRDefault="00E13C43" w:rsidP="00DB5611">
            <w:pPr>
              <w:pStyle w:val="Tabletext"/>
              <w:jc w:val="center"/>
            </w:pPr>
            <w:r w:rsidRPr="00E13C43">
              <w:t>30</w:t>
            </w:r>
            <w:r w:rsidR="00034397">
              <w:t>–</w:t>
            </w:r>
          </w:p>
        </w:tc>
      </w:tr>
      <w:tr w:rsidR="00E13C43" w:rsidRPr="00770CE6" w14:paraId="7FEE9939" w14:textId="77777777" w:rsidTr="00E13C43">
        <w:tc>
          <w:tcPr>
            <w:tcW w:w="986" w:type="dxa"/>
            <w:vMerge w:val="restart"/>
            <w:vAlign w:val="center"/>
          </w:tcPr>
          <w:p w14:paraId="66738EA4" w14:textId="77777777" w:rsidR="00E13C43" w:rsidRPr="00E13C43" w:rsidRDefault="00E13C43" w:rsidP="00DB5611">
            <w:pPr>
              <w:pStyle w:val="Tabletext"/>
            </w:pPr>
            <w:r w:rsidRPr="00E13C43">
              <w:rPr>
                <w:rtl/>
              </w:rPr>
              <w:t xml:space="preserve">للجدول </w:t>
            </w:r>
            <w:r w:rsidRPr="00E13C43">
              <w:t>5</w:t>
            </w:r>
          </w:p>
        </w:tc>
        <w:tc>
          <w:tcPr>
            <w:tcW w:w="2341" w:type="dxa"/>
            <w:vAlign w:val="center"/>
          </w:tcPr>
          <w:p w14:paraId="7A340536" w14:textId="77777777" w:rsidR="00E13C43" w:rsidRPr="00E13C43" w:rsidRDefault="00E13C43" w:rsidP="00DB5611">
            <w:pPr>
              <w:pStyle w:val="Tabletext"/>
            </w:pPr>
            <w:r w:rsidRPr="00E13C43">
              <w:rPr>
                <w:rtl/>
              </w:rPr>
              <w:t>المحطات الأرضية المتنقلة البحرية</w:t>
            </w:r>
          </w:p>
        </w:tc>
        <w:tc>
          <w:tcPr>
            <w:tcW w:w="2480" w:type="dxa"/>
            <w:gridSpan w:val="2"/>
            <w:vAlign w:val="center"/>
          </w:tcPr>
          <w:p w14:paraId="38B8EE71" w14:textId="0EC7DF93" w:rsidR="00E13C43" w:rsidRPr="00E13C43" w:rsidRDefault="00E13C43" w:rsidP="00DB5611">
            <w:pPr>
              <w:pStyle w:val="Tabletext"/>
              <w:jc w:val="center"/>
            </w:pPr>
            <w:r w:rsidRPr="00E13C43">
              <w:t>67</w:t>
            </w:r>
            <w:r w:rsidR="00034397">
              <w:t>–</w:t>
            </w:r>
          </w:p>
        </w:tc>
        <w:tc>
          <w:tcPr>
            <w:tcW w:w="1276" w:type="dxa"/>
            <w:vAlign w:val="center"/>
          </w:tcPr>
          <w:p w14:paraId="29A0286A" w14:textId="52EB0DBE" w:rsidR="00E13C43" w:rsidRPr="00E13C43" w:rsidRDefault="00E13C43" w:rsidP="00DB5611">
            <w:pPr>
              <w:pStyle w:val="Tabletext"/>
              <w:jc w:val="center"/>
            </w:pPr>
            <w:r w:rsidRPr="00E13C43">
              <w:t>78</w:t>
            </w:r>
            <w:r w:rsidR="00034397">
              <w:t>–</w:t>
            </w:r>
          </w:p>
        </w:tc>
        <w:tc>
          <w:tcPr>
            <w:tcW w:w="1276" w:type="dxa"/>
            <w:vAlign w:val="center"/>
          </w:tcPr>
          <w:p w14:paraId="003B294D" w14:textId="6ADDC79B" w:rsidR="00E13C43" w:rsidRPr="00E13C43" w:rsidRDefault="00E13C43" w:rsidP="00DB5611">
            <w:pPr>
              <w:pStyle w:val="Tabletext"/>
              <w:jc w:val="center"/>
            </w:pPr>
            <w:r w:rsidRPr="00E13C43">
              <w:t>23</w:t>
            </w:r>
            <w:r w:rsidR="00034397">
              <w:t>–</w:t>
            </w:r>
          </w:p>
        </w:tc>
        <w:tc>
          <w:tcPr>
            <w:tcW w:w="1270" w:type="dxa"/>
            <w:vAlign w:val="center"/>
          </w:tcPr>
          <w:p w14:paraId="78AC2AB0" w14:textId="0950FAA1" w:rsidR="00E13C43" w:rsidRPr="00E13C43" w:rsidRDefault="00E13C43" w:rsidP="00DB5611">
            <w:pPr>
              <w:pStyle w:val="Tabletext"/>
              <w:jc w:val="center"/>
            </w:pPr>
            <w:r w:rsidRPr="00E13C43">
              <w:t>33</w:t>
            </w:r>
            <w:r w:rsidR="00034397">
              <w:t>–</w:t>
            </w:r>
          </w:p>
        </w:tc>
      </w:tr>
      <w:tr w:rsidR="00E13C43" w:rsidRPr="00770CE6" w14:paraId="0CDA6C72" w14:textId="77777777" w:rsidTr="00E13C43">
        <w:tc>
          <w:tcPr>
            <w:tcW w:w="986" w:type="dxa"/>
            <w:vMerge/>
            <w:vAlign w:val="center"/>
          </w:tcPr>
          <w:p w14:paraId="7F790E86" w14:textId="77777777" w:rsidR="00E13C43" w:rsidRPr="00E13C43" w:rsidRDefault="00E13C43" w:rsidP="00DB5611">
            <w:pPr>
              <w:pStyle w:val="Tabletext"/>
            </w:pPr>
          </w:p>
        </w:tc>
        <w:tc>
          <w:tcPr>
            <w:tcW w:w="2341" w:type="dxa"/>
            <w:vAlign w:val="center"/>
          </w:tcPr>
          <w:p w14:paraId="622F1D65" w14:textId="77777777" w:rsidR="00E13C43" w:rsidRPr="00E13C43" w:rsidRDefault="00E13C43" w:rsidP="00DB5611">
            <w:pPr>
              <w:pStyle w:val="Tabletext"/>
            </w:pPr>
            <w:r w:rsidRPr="00E13C43">
              <w:rPr>
                <w:rtl/>
              </w:rPr>
              <w:t>المحطات الأرضية المتنقلة للطيران</w:t>
            </w:r>
          </w:p>
        </w:tc>
        <w:tc>
          <w:tcPr>
            <w:tcW w:w="2480" w:type="dxa"/>
            <w:gridSpan w:val="2"/>
            <w:vAlign w:val="center"/>
          </w:tcPr>
          <w:p w14:paraId="44878921" w14:textId="4BB02004" w:rsidR="00E13C43" w:rsidRPr="00E13C43" w:rsidRDefault="00E13C43" w:rsidP="00DB5611">
            <w:pPr>
              <w:pStyle w:val="Tabletext"/>
              <w:jc w:val="center"/>
            </w:pPr>
            <w:r w:rsidRPr="00E13C43">
              <w:t>45</w:t>
            </w:r>
            <w:r>
              <w:t>,</w:t>
            </w:r>
            <w:r w:rsidRPr="00E13C43">
              <w:t>6</w:t>
            </w:r>
            <w:r w:rsidR="00034397">
              <w:t>–</w:t>
            </w:r>
          </w:p>
        </w:tc>
        <w:tc>
          <w:tcPr>
            <w:tcW w:w="1276" w:type="dxa"/>
            <w:vAlign w:val="center"/>
          </w:tcPr>
          <w:p w14:paraId="1EA47DDF" w14:textId="6FFD664B" w:rsidR="00E13C43" w:rsidRPr="00E13C43" w:rsidRDefault="00E13C43" w:rsidP="00DB5611">
            <w:pPr>
              <w:pStyle w:val="Tabletext"/>
              <w:jc w:val="center"/>
            </w:pPr>
            <w:r w:rsidRPr="00E13C43">
              <w:t>55</w:t>
            </w:r>
            <w:r>
              <w:t>,</w:t>
            </w:r>
            <w:r w:rsidRPr="00E13C43">
              <w:t>5</w:t>
            </w:r>
            <w:r w:rsidR="00034397">
              <w:t>–</w:t>
            </w:r>
          </w:p>
        </w:tc>
        <w:tc>
          <w:tcPr>
            <w:tcW w:w="1276" w:type="dxa"/>
            <w:vAlign w:val="center"/>
          </w:tcPr>
          <w:p w14:paraId="277DA769" w14:textId="31BF2550" w:rsidR="00E13C43" w:rsidRPr="00E13C43" w:rsidRDefault="00E13C43" w:rsidP="00DB5611">
            <w:pPr>
              <w:pStyle w:val="Tabletext"/>
              <w:jc w:val="center"/>
            </w:pPr>
            <w:r w:rsidRPr="00E13C43">
              <w:t>23</w:t>
            </w:r>
            <w:r w:rsidR="00034397">
              <w:t>–</w:t>
            </w:r>
          </w:p>
        </w:tc>
        <w:tc>
          <w:tcPr>
            <w:tcW w:w="1270" w:type="dxa"/>
            <w:vAlign w:val="center"/>
          </w:tcPr>
          <w:p w14:paraId="1A8C20FE" w14:textId="22A13B1F" w:rsidR="00E13C43" w:rsidRPr="00E13C43" w:rsidRDefault="00E13C43" w:rsidP="00DB5611">
            <w:pPr>
              <w:pStyle w:val="Tabletext"/>
              <w:jc w:val="center"/>
            </w:pPr>
            <w:r w:rsidRPr="00E13C43">
              <w:t>33</w:t>
            </w:r>
            <w:r w:rsidR="00034397">
              <w:t>–</w:t>
            </w:r>
          </w:p>
        </w:tc>
      </w:tr>
    </w:tbl>
    <w:p w14:paraId="4E3D19B8" w14:textId="77777777" w:rsidR="00AC4220" w:rsidRDefault="00AC4220" w:rsidP="00AC4220">
      <w:pPr>
        <w:rPr>
          <w:rtl/>
        </w:rPr>
      </w:pPr>
    </w:p>
    <w:p w14:paraId="4D1999F1" w14:textId="0D569920" w:rsidR="00F85F93" w:rsidRPr="00770CE6" w:rsidRDefault="00F85F93" w:rsidP="00AF0C07">
      <w:pPr>
        <w:pStyle w:val="TableNo0"/>
        <w:rPr>
          <w:lang w:val="ar-SA" w:eastAsia="zh-TW" w:bidi="en-GB"/>
        </w:rPr>
      </w:pPr>
      <w:r w:rsidRPr="00770CE6">
        <w:rPr>
          <w:rtl/>
        </w:rPr>
        <w:t xml:space="preserve">الجدول </w:t>
      </w:r>
      <w:r w:rsidRPr="00770CE6">
        <w:t>8</w:t>
      </w:r>
    </w:p>
    <w:p w14:paraId="6A3385DE" w14:textId="77777777" w:rsidR="00F85F93" w:rsidRPr="00E13C43" w:rsidRDefault="00F85F93" w:rsidP="00E13C43">
      <w:pPr>
        <w:pStyle w:val="Tabletitle"/>
      </w:pPr>
      <w:r w:rsidRPr="00E13C43">
        <w:rPr>
          <w:rtl/>
        </w:rPr>
        <w:t xml:space="preserve">افتراضات أداء الحجب </w:t>
      </w:r>
      <w:r w:rsidRPr="00E13C43">
        <w:t>(dBm)</w:t>
      </w:r>
      <w:r w:rsidRPr="00E13C43">
        <w:rPr>
          <w:rtl/>
        </w:rPr>
        <w:t xml:space="preserve"> </w:t>
      </w:r>
      <w:proofErr w:type="spellStart"/>
      <w:r w:rsidRPr="00E13C43">
        <w:rPr>
          <w:rtl/>
        </w:rPr>
        <w:t>لمطاريف</w:t>
      </w:r>
      <w:proofErr w:type="spellEnd"/>
      <w:r w:rsidRPr="00E13C43">
        <w:rPr>
          <w:rtl/>
        </w:rPr>
        <w:t xml:space="preserve"> المحطات الأرضية المتنقلة للطيران والبحرية في الخيار </w:t>
      </w:r>
      <w:r w:rsidRPr="00E13C43">
        <w:t>B</w:t>
      </w:r>
    </w:p>
    <w:tbl>
      <w:tblPr>
        <w:tblStyle w:val="TableGrid"/>
        <w:bidiVisual/>
        <w:tblW w:w="0" w:type="auto"/>
        <w:tblLayout w:type="fixed"/>
        <w:tblLook w:val="04A0" w:firstRow="1" w:lastRow="0" w:firstColumn="1" w:lastColumn="0" w:noHBand="0" w:noVBand="1"/>
      </w:tblPr>
      <w:tblGrid>
        <w:gridCol w:w="1479"/>
        <w:gridCol w:w="1848"/>
        <w:gridCol w:w="1204"/>
        <w:gridCol w:w="1276"/>
        <w:gridCol w:w="1276"/>
        <w:gridCol w:w="1276"/>
        <w:gridCol w:w="1270"/>
      </w:tblGrid>
      <w:tr w:rsidR="00F85F93" w:rsidRPr="00770CE6" w14:paraId="6FBCF74F" w14:textId="77777777" w:rsidTr="006B32BC">
        <w:tc>
          <w:tcPr>
            <w:tcW w:w="3327" w:type="dxa"/>
            <w:gridSpan w:val="2"/>
            <w:vAlign w:val="center"/>
          </w:tcPr>
          <w:p w14:paraId="55A39540" w14:textId="77777777" w:rsidR="00F85F93" w:rsidRPr="00E13C43" w:rsidRDefault="00F85F93" w:rsidP="003E559A">
            <w:pPr>
              <w:pStyle w:val="Tablehead"/>
              <w:textDirection w:val="tbRlV"/>
            </w:pPr>
            <w:r w:rsidRPr="00E13C43">
              <w:rPr>
                <w:rtl/>
              </w:rPr>
              <w:t>المرحلة</w:t>
            </w:r>
          </w:p>
        </w:tc>
        <w:tc>
          <w:tcPr>
            <w:tcW w:w="3756" w:type="dxa"/>
            <w:gridSpan w:val="3"/>
            <w:vAlign w:val="center"/>
          </w:tcPr>
          <w:p w14:paraId="7FA19EE6" w14:textId="77777777" w:rsidR="00F85F93" w:rsidRPr="00E13C43" w:rsidRDefault="00F85F93" w:rsidP="003E559A">
            <w:pPr>
              <w:pStyle w:val="Tablehead"/>
              <w:textDirection w:val="tbRlV"/>
            </w:pPr>
            <w:r w:rsidRPr="00E13C43">
              <w:rPr>
                <w:rtl/>
              </w:rPr>
              <w:t xml:space="preserve">المرحلة </w:t>
            </w:r>
            <w:r w:rsidRPr="00E13C43">
              <w:t>1</w:t>
            </w:r>
          </w:p>
        </w:tc>
        <w:tc>
          <w:tcPr>
            <w:tcW w:w="2546" w:type="dxa"/>
            <w:gridSpan w:val="2"/>
            <w:vAlign w:val="center"/>
          </w:tcPr>
          <w:p w14:paraId="7659D7E9" w14:textId="77777777" w:rsidR="00F85F93" w:rsidRPr="00E13C43" w:rsidRDefault="00F85F93" w:rsidP="003E559A">
            <w:pPr>
              <w:pStyle w:val="Tablehead"/>
              <w:textDirection w:val="tbRlV"/>
            </w:pPr>
            <w:r w:rsidRPr="00E13C43">
              <w:rPr>
                <w:rtl/>
              </w:rPr>
              <w:t xml:space="preserve">المرحلة </w:t>
            </w:r>
            <w:r w:rsidRPr="00E13C43">
              <w:t>2</w:t>
            </w:r>
          </w:p>
        </w:tc>
      </w:tr>
      <w:tr w:rsidR="00E13C43" w:rsidRPr="00770CE6" w14:paraId="6859972F" w14:textId="77777777" w:rsidTr="006B32BC">
        <w:tc>
          <w:tcPr>
            <w:tcW w:w="3327" w:type="dxa"/>
            <w:gridSpan w:val="2"/>
            <w:vAlign w:val="center"/>
          </w:tcPr>
          <w:p w14:paraId="3F6880AB" w14:textId="77777777" w:rsidR="00E13C43" w:rsidRPr="00E13C43" w:rsidRDefault="00E13C43" w:rsidP="00E13C43">
            <w:pPr>
              <w:pStyle w:val="Tablehead"/>
              <w:textDirection w:val="tbRlV"/>
            </w:pPr>
            <w:r w:rsidRPr="00E13C43">
              <w:rPr>
                <w:rtl/>
              </w:rPr>
              <w:t xml:space="preserve">مدى الترددات </w:t>
            </w:r>
            <w:r w:rsidRPr="00E13C43">
              <w:t>(MHz)</w:t>
            </w:r>
          </w:p>
        </w:tc>
        <w:tc>
          <w:tcPr>
            <w:tcW w:w="1204" w:type="dxa"/>
            <w:vAlign w:val="center"/>
          </w:tcPr>
          <w:p w14:paraId="271CFA69" w14:textId="529814A5" w:rsidR="00E13C43" w:rsidRPr="00E13C43" w:rsidRDefault="00E13C43" w:rsidP="00E13C43">
            <w:pPr>
              <w:pStyle w:val="Tablehead"/>
              <w:textDirection w:val="tbRlV"/>
            </w:pPr>
            <w:r w:rsidRPr="00053593">
              <w:rPr>
                <w:rFonts w:ascii="Times New Roman" w:hAnsi="Times New Roman" w:cs="Times New Roman"/>
                <w:lang w:eastAsia="ja-JP"/>
              </w:rPr>
              <w:t>1 492</w:t>
            </w:r>
            <w:r w:rsidRPr="00053593">
              <w:rPr>
                <w:rFonts w:ascii="Times New Roman" w:hAnsi="Times New Roman" w:cs="Times New Roman"/>
                <w:rtl/>
                <w:lang w:eastAsia="ja-JP"/>
              </w:rPr>
              <w:t>-</w:t>
            </w:r>
            <w:r w:rsidRPr="00053593">
              <w:rPr>
                <w:rFonts w:ascii="Times New Roman" w:hAnsi="Times New Roman" w:cs="Times New Roman"/>
                <w:lang w:eastAsia="ja-JP"/>
              </w:rPr>
              <w:t>1 502</w:t>
            </w:r>
          </w:p>
        </w:tc>
        <w:tc>
          <w:tcPr>
            <w:tcW w:w="1276" w:type="dxa"/>
            <w:vAlign w:val="center"/>
          </w:tcPr>
          <w:p w14:paraId="1DBF6344" w14:textId="77F8A7EA" w:rsidR="00E13C43" w:rsidRPr="00E13C43" w:rsidRDefault="00E13C43" w:rsidP="00E13C43">
            <w:pPr>
              <w:pStyle w:val="Tablehead"/>
              <w:textDirection w:val="tbRlV"/>
            </w:pPr>
            <w:r w:rsidRPr="00053593">
              <w:rPr>
                <w:rFonts w:ascii="Times New Roman" w:hAnsi="Times New Roman" w:cs="Times New Roman"/>
                <w:lang w:eastAsia="ja-JP"/>
              </w:rPr>
              <w:t>1 502</w:t>
            </w:r>
            <w:r w:rsidRPr="00053593">
              <w:rPr>
                <w:rFonts w:ascii="Times New Roman" w:hAnsi="Times New Roman" w:cs="Times New Roman"/>
                <w:rtl/>
                <w:lang w:eastAsia="ja-JP"/>
              </w:rPr>
              <w:t>-</w:t>
            </w:r>
            <w:r w:rsidRPr="00053593">
              <w:rPr>
                <w:rFonts w:ascii="Times New Roman" w:hAnsi="Times New Roman" w:cs="Times New Roman"/>
                <w:lang w:eastAsia="ja-JP"/>
              </w:rPr>
              <w:t>1 512</w:t>
            </w:r>
          </w:p>
        </w:tc>
        <w:tc>
          <w:tcPr>
            <w:tcW w:w="1276" w:type="dxa"/>
            <w:vAlign w:val="center"/>
          </w:tcPr>
          <w:p w14:paraId="524FE85E" w14:textId="499FF3AD" w:rsidR="00E13C43" w:rsidRPr="00E13C43" w:rsidRDefault="00E13C43" w:rsidP="00E13C43">
            <w:pPr>
              <w:pStyle w:val="Tablehead"/>
              <w:textDirection w:val="tbRlV"/>
            </w:pPr>
            <w:r w:rsidRPr="00053593">
              <w:rPr>
                <w:rFonts w:ascii="Times New Roman" w:hAnsi="Times New Roman" w:cs="Times New Roman"/>
                <w:lang w:eastAsia="ja-JP"/>
              </w:rPr>
              <w:t>1 512</w:t>
            </w:r>
            <w:r w:rsidRPr="00053593">
              <w:rPr>
                <w:rFonts w:ascii="Times New Roman" w:hAnsi="Times New Roman" w:cs="Times New Roman"/>
                <w:rtl/>
                <w:lang w:eastAsia="ja-JP"/>
              </w:rPr>
              <w:t>-</w:t>
            </w:r>
            <w:r w:rsidRPr="00053593">
              <w:rPr>
                <w:rFonts w:ascii="Times New Roman" w:hAnsi="Times New Roman" w:cs="Times New Roman"/>
                <w:lang w:eastAsia="ja-JP"/>
              </w:rPr>
              <w:t>1 517</w:t>
            </w:r>
          </w:p>
        </w:tc>
        <w:tc>
          <w:tcPr>
            <w:tcW w:w="1276" w:type="dxa"/>
            <w:vAlign w:val="center"/>
          </w:tcPr>
          <w:p w14:paraId="5E922E9F" w14:textId="0F47B4AC" w:rsidR="00E13C43" w:rsidRPr="00E13C43" w:rsidRDefault="00E13C43" w:rsidP="00E13C43">
            <w:pPr>
              <w:pStyle w:val="Tablehead"/>
              <w:textDirection w:val="tbRlV"/>
            </w:pPr>
            <w:r w:rsidRPr="00053593">
              <w:rPr>
                <w:rFonts w:ascii="Times New Roman" w:hAnsi="Times New Roman" w:cs="Times New Roman"/>
                <w:lang w:eastAsia="ja-JP"/>
              </w:rPr>
              <w:t>1 492</w:t>
            </w:r>
            <w:r w:rsidRPr="00053593">
              <w:rPr>
                <w:rFonts w:ascii="Times New Roman" w:hAnsi="Times New Roman" w:cs="Times New Roman"/>
                <w:rtl/>
                <w:lang w:eastAsia="ja-JP"/>
              </w:rPr>
              <w:t>-</w:t>
            </w:r>
            <w:r w:rsidRPr="00053593">
              <w:rPr>
                <w:rFonts w:ascii="Times New Roman" w:hAnsi="Times New Roman" w:cs="Times New Roman"/>
                <w:lang w:eastAsia="ja-JP"/>
              </w:rPr>
              <w:t>1 512</w:t>
            </w:r>
          </w:p>
        </w:tc>
        <w:tc>
          <w:tcPr>
            <w:tcW w:w="1270" w:type="dxa"/>
            <w:vAlign w:val="center"/>
          </w:tcPr>
          <w:p w14:paraId="291366C0" w14:textId="63023250" w:rsidR="00E13C43" w:rsidRPr="00E13C43" w:rsidRDefault="00E13C43" w:rsidP="00E13C43">
            <w:pPr>
              <w:pStyle w:val="Tablehead"/>
              <w:textDirection w:val="tbRlV"/>
            </w:pPr>
            <w:r w:rsidRPr="00053593">
              <w:rPr>
                <w:rFonts w:ascii="Times New Roman" w:hAnsi="Times New Roman" w:cs="Times New Roman"/>
                <w:lang w:eastAsia="ja-JP"/>
              </w:rPr>
              <w:t>1 512</w:t>
            </w:r>
            <w:r w:rsidRPr="00053593">
              <w:rPr>
                <w:rFonts w:ascii="Times New Roman" w:hAnsi="Times New Roman" w:cs="Times New Roman"/>
                <w:rtl/>
                <w:lang w:eastAsia="ja-JP"/>
              </w:rPr>
              <w:t>-</w:t>
            </w:r>
            <w:r w:rsidRPr="00053593">
              <w:rPr>
                <w:rFonts w:ascii="Times New Roman" w:hAnsi="Times New Roman" w:cs="Times New Roman"/>
                <w:lang w:eastAsia="ja-JP"/>
              </w:rPr>
              <w:t>1 517</w:t>
            </w:r>
          </w:p>
        </w:tc>
      </w:tr>
      <w:tr w:rsidR="00E13C43" w:rsidRPr="00770CE6" w14:paraId="66E6F2E9" w14:textId="77777777" w:rsidTr="006B32BC">
        <w:tc>
          <w:tcPr>
            <w:tcW w:w="1479" w:type="dxa"/>
            <w:vMerge w:val="restart"/>
            <w:vAlign w:val="center"/>
          </w:tcPr>
          <w:p w14:paraId="5009D232" w14:textId="77777777" w:rsidR="00E13C43" w:rsidRPr="00E13C43" w:rsidRDefault="00E13C43" w:rsidP="00DB5611">
            <w:pPr>
              <w:pStyle w:val="Tabletext"/>
            </w:pPr>
            <w:r w:rsidRPr="00E13C43">
              <w:rPr>
                <w:rtl/>
              </w:rPr>
              <w:t xml:space="preserve">للجدول </w:t>
            </w:r>
            <w:r w:rsidRPr="00E13C43">
              <w:t>6</w:t>
            </w:r>
          </w:p>
        </w:tc>
        <w:tc>
          <w:tcPr>
            <w:tcW w:w="1848" w:type="dxa"/>
            <w:vAlign w:val="center"/>
          </w:tcPr>
          <w:p w14:paraId="23D1A620" w14:textId="77777777" w:rsidR="00E13C43" w:rsidRPr="00E13C43" w:rsidRDefault="00E13C43" w:rsidP="00E70045">
            <w:pPr>
              <w:pStyle w:val="Tabletext"/>
              <w:ind w:left="0" w:firstLine="0"/>
            </w:pPr>
            <w:r w:rsidRPr="00E13C43">
              <w:rPr>
                <w:rtl/>
              </w:rPr>
              <w:t>المحطات الأرضية المتنقلة البحرية</w:t>
            </w:r>
          </w:p>
        </w:tc>
        <w:tc>
          <w:tcPr>
            <w:tcW w:w="1204" w:type="dxa"/>
            <w:vAlign w:val="center"/>
          </w:tcPr>
          <w:p w14:paraId="3CDEEAEC" w14:textId="11E824DC" w:rsidR="00E13C43" w:rsidRPr="00E13C43" w:rsidRDefault="00E13C43" w:rsidP="00DB5611">
            <w:pPr>
              <w:pStyle w:val="Tabletext"/>
              <w:jc w:val="center"/>
            </w:pPr>
            <w:r w:rsidRPr="00E13C43">
              <w:t>35</w:t>
            </w:r>
            <w:r w:rsidR="00034397">
              <w:t>–</w:t>
            </w:r>
          </w:p>
        </w:tc>
        <w:tc>
          <w:tcPr>
            <w:tcW w:w="1276" w:type="dxa"/>
            <w:vAlign w:val="center"/>
          </w:tcPr>
          <w:p w14:paraId="4EE73CA5" w14:textId="790B4F44" w:rsidR="00E13C43" w:rsidRPr="00E13C43" w:rsidRDefault="00034397" w:rsidP="00DB5611">
            <w:pPr>
              <w:pStyle w:val="Tabletext"/>
              <w:jc w:val="center"/>
            </w:pPr>
            <w:r w:rsidRPr="00E13C43">
              <w:t>35</w:t>
            </w:r>
            <w:r>
              <w:t>–</w:t>
            </w:r>
          </w:p>
        </w:tc>
        <w:tc>
          <w:tcPr>
            <w:tcW w:w="1276" w:type="dxa"/>
            <w:vAlign w:val="center"/>
          </w:tcPr>
          <w:p w14:paraId="180E68C6" w14:textId="2FA7968A" w:rsidR="00E13C43" w:rsidRPr="00E13C43" w:rsidRDefault="00E13C43" w:rsidP="00DB5611">
            <w:pPr>
              <w:pStyle w:val="Tabletext"/>
              <w:jc w:val="center"/>
            </w:pPr>
            <w:r w:rsidRPr="00E13C43">
              <w:t>50</w:t>
            </w:r>
            <w:r w:rsidR="00034397">
              <w:t>–</w:t>
            </w:r>
          </w:p>
        </w:tc>
        <w:tc>
          <w:tcPr>
            <w:tcW w:w="1276" w:type="dxa"/>
            <w:vAlign w:val="center"/>
          </w:tcPr>
          <w:p w14:paraId="7BD63DCE" w14:textId="1E8D7411" w:rsidR="00E13C43" w:rsidRPr="00E13C43" w:rsidRDefault="00034397" w:rsidP="00DB5611">
            <w:pPr>
              <w:pStyle w:val="Tabletext"/>
              <w:jc w:val="center"/>
            </w:pPr>
            <w:r>
              <w:t>2</w:t>
            </w:r>
            <w:r w:rsidRPr="00E13C43">
              <w:t>0</w:t>
            </w:r>
            <w:r>
              <w:t>–</w:t>
            </w:r>
          </w:p>
        </w:tc>
        <w:tc>
          <w:tcPr>
            <w:tcW w:w="1270" w:type="dxa"/>
            <w:vAlign w:val="center"/>
          </w:tcPr>
          <w:p w14:paraId="650E0BC8" w14:textId="603151F5" w:rsidR="00E13C43" w:rsidRPr="00E13C43" w:rsidRDefault="00034397" w:rsidP="00DB5611">
            <w:pPr>
              <w:pStyle w:val="Tabletext"/>
              <w:jc w:val="center"/>
            </w:pPr>
            <w:r>
              <w:t>3</w:t>
            </w:r>
            <w:r w:rsidRPr="00E13C43">
              <w:t>0</w:t>
            </w:r>
            <w:r>
              <w:t>–</w:t>
            </w:r>
          </w:p>
        </w:tc>
      </w:tr>
      <w:tr w:rsidR="00E13C43" w:rsidRPr="00770CE6" w14:paraId="1B38B5DE" w14:textId="77777777" w:rsidTr="006B32BC">
        <w:tc>
          <w:tcPr>
            <w:tcW w:w="1479" w:type="dxa"/>
            <w:vMerge/>
            <w:vAlign w:val="center"/>
          </w:tcPr>
          <w:p w14:paraId="4501CD21" w14:textId="77777777" w:rsidR="00E13C43" w:rsidRPr="00E13C43" w:rsidRDefault="00E13C43" w:rsidP="00DB5611">
            <w:pPr>
              <w:pStyle w:val="Tabletext"/>
            </w:pPr>
          </w:p>
        </w:tc>
        <w:tc>
          <w:tcPr>
            <w:tcW w:w="1848" w:type="dxa"/>
            <w:vAlign w:val="center"/>
          </w:tcPr>
          <w:p w14:paraId="712747D2" w14:textId="77777777" w:rsidR="00E13C43" w:rsidRPr="00E13C43" w:rsidRDefault="00E13C43" w:rsidP="00E70045">
            <w:pPr>
              <w:pStyle w:val="Tabletext"/>
              <w:ind w:left="0" w:firstLine="0"/>
            </w:pPr>
            <w:r w:rsidRPr="00E13C43">
              <w:rPr>
                <w:rtl/>
              </w:rPr>
              <w:t>المحطات الأرضية المتنقلة للطيران</w:t>
            </w:r>
          </w:p>
        </w:tc>
        <w:tc>
          <w:tcPr>
            <w:tcW w:w="1204" w:type="dxa"/>
            <w:vAlign w:val="center"/>
          </w:tcPr>
          <w:p w14:paraId="0AFB4585" w14:textId="79B1431F" w:rsidR="00E13C43" w:rsidRPr="00E13C43" w:rsidRDefault="00034397" w:rsidP="00DB5611">
            <w:pPr>
              <w:pStyle w:val="Tabletext"/>
              <w:jc w:val="center"/>
            </w:pPr>
            <w:r w:rsidRPr="00E13C43">
              <w:t>35</w:t>
            </w:r>
            <w:r>
              <w:t>–</w:t>
            </w:r>
          </w:p>
        </w:tc>
        <w:tc>
          <w:tcPr>
            <w:tcW w:w="1276" w:type="dxa"/>
            <w:vAlign w:val="center"/>
          </w:tcPr>
          <w:p w14:paraId="64A6A71A" w14:textId="7CDBB2D2" w:rsidR="00E13C43" w:rsidRPr="00E13C43" w:rsidRDefault="00034397" w:rsidP="00DB5611">
            <w:pPr>
              <w:pStyle w:val="Tabletext"/>
              <w:jc w:val="center"/>
            </w:pPr>
            <w:r w:rsidRPr="00E13C43">
              <w:t>35</w:t>
            </w:r>
            <w:r>
              <w:t>–</w:t>
            </w:r>
          </w:p>
        </w:tc>
        <w:tc>
          <w:tcPr>
            <w:tcW w:w="1276" w:type="dxa"/>
            <w:vAlign w:val="center"/>
          </w:tcPr>
          <w:p w14:paraId="68657B97" w14:textId="13CC895B" w:rsidR="00E13C43" w:rsidRPr="00E13C43" w:rsidRDefault="00034397" w:rsidP="00DB5611">
            <w:pPr>
              <w:pStyle w:val="Tabletext"/>
              <w:jc w:val="center"/>
            </w:pPr>
            <w:r w:rsidRPr="00E13C43">
              <w:t>50</w:t>
            </w:r>
            <w:r>
              <w:t>–</w:t>
            </w:r>
          </w:p>
        </w:tc>
        <w:tc>
          <w:tcPr>
            <w:tcW w:w="1276" w:type="dxa"/>
            <w:vAlign w:val="center"/>
          </w:tcPr>
          <w:p w14:paraId="18434652" w14:textId="6D6AD51A" w:rsidR="00E13C43" w:rsidRPr="00E13C43" w:rsidRDefault="00034397" w:rsidP="00DB5611">
            <w:pPr>
              <w:pStyle w:val="Tabletext"/>
              <w:jc w:val="center"/>
            </w:pPr>
            <w:r>
              <w:t>2</w:t>
            </w:r>
            <w:r w:rsidRPr="00E13C43">
              <w:t>0</w:t>
            </w:r>
            <w:r>
              <w:t>–</w:t>
            </w:r>
          </w:p>
        </w:tc>
        <w:tc>
          <w:tcPr>
            <w:tcW w:w="1270" w:type="dxa"/>
            <w:vAlign w:val="center"/>
          </w:tcPr>
          <w:p w14:paraId="67ED71EE" w14:textId="7AD76901" w:rsidR="00E13C43" w:rsidRPr="00E13C43" w:rsidRDefault="00034397" w:rsidP="00DB5611">
            <w:pPr>
              <w:pStyle w:val="Tabletext"/>
              <w:jc w:val="center"/>
            </w:pPr>
            <w:r>
              <w:t>3</w:t>
            </w:r>
            <w:r w:rsidRPr="00E13C43">
              <w:t>0</w:t>
            </w:r>
            <w:r>
              <w:t>–</w:t>
            </w:r>
          </w:p>
        </w:tc>
      </w:tr>
    </w:tbl>
    <w:p w14:paraId="357BC8DC" w14:textId="77777777" w:rsidR="00A00A18" w:rsidRDefault="00A00A18" w:rsidP="00A00A18">
      <w:pPr>
        <w:rPr>
          <w:rtl/>
        </w:rPr>
      </w:pPr>
    </w:p>
    <w:p w14:paraId="5C2BB89E" w14:textId="77777777" w:rsidR="00A00A18" w:rsidRPr="00A00A18" w:rsidRDefault="00A00A18" w:rsidP="00A00A18">
      <w:pPr>
        <w:rPr>
          <w:rtl/>
        </w:rPr>
      </w:pPr>
    </w:p>
    <w:p w14:paraId="6DB48FA1" w14:textId="5C4DF34D" w:rsidR="00F85F93" w:rsidRPr="00E13C43" w:rsidRDefault="00F85F93" w:rsidP="00917D57">
      <w:pPr>
        <w:pStyle w:val="AnnexNoTitle"/>
      </w:pPr>
      <w:bookmarkStart w:id="14" w:name="_Hlk160782180"/>
      <w:r w:rsidRPr="00E13C43">
        <w:rPr>
          <w:rtl/>
        </w:rPr>
        <w:t xml:space="preserve">الملحق </w:t>
      </w:r>
      <w:r w:rsidRPr="00E13C43">
        <w:t>4</w:t>
      </w:r>
      <w:r w:rsidR="00A00A18">
        <w:rPr>
          <w:rtl/>
          <w:lang w:bidi="ar-SY"/>
        </w:rPr>
        <w:br/>
      </w:r>
      <w:r w:rsidR="00E13C43" w:rsidRPr="00E13C43">
        <w:rPr>
          <w:rtl/>
        </w:rPr>
        <w:br/>
      </w:r>
      <w:r w:rsidRPr="00E13C43">
        <w:rPr>
          <w:rtl/>
        </w:rPr>
        <w:t>تدابير تنظيمية إضافية للتوافق مع المحطات الأرضية المتنقلة البرية</w:t>
      </w:r>
      <w:bookmarkEnd w:id="14"/>
    </w:p>
    <w:p w14:paraId="42F71424" w14:textId="77777777" w:rsidR="00F85F93" w:rsidRPr="00E13C43" w:rsidRDefault="00F85F93" w:rsidP="00E13C43">
      <w:pPr>
        <w:pStyle w:val="Heading2"/>
      </w:pPr>
      <w:bookmarkStart w:id="15" w:name="_Hlk160782214"/>
      <w:r w:rsidRPr="00E13C43">
        <w:t>1-A4</w:t>
      </w:r>
      <w:r w:rsidRPr="00E13C43">
        <w:rPr>
          <w:rtl/>
        </w:rPr>
        <w:tab/>
        <w:t>مقدمة</w:t>
      </w:r>
      <w:bookmarkEnd w:id="15"/>
    </w:p>
    <w:p w14:paraId="1BCC7E46" w14:textId="2D5A16D6" w:rsidR="00F85F93" w:rsidRPr="00770CE6" w:rsidRDefault="00F85F93" w:rsidP="00E13C43">
      <w:pPr>
        <w:rPr>
          <w:lang w:val="ar-SA" w:eastAsia="zh-TW" w:bidi="en-GB"/>
        </w:rPr>
      </w:pPr>
      <w:r w:rsidRPr="00770CE6">
        <w:rPr>
          <w:rtl/>
        </w:rPr>
        <w:t xml:space="preserve">تتناول التدابير الواردة في هذا الملحق الحالة التي تقرِّر فيها الإدارة تطبيق تدابير </w:t>
      </w:r>
      <w:r w:rsidRPr="00770CE6">
        <w:rPr>
          <w:rtl/>
          <w:lang w:bidi="ar-EG"/>
        </w:rPr>
        <w:t xml:space="preserve">تنظيمية </w:t>
      </w:r>
      <w:r w:rsidRPr="00770CE6">
        <w:rPr>
          <w:rtl/>
        </w:rPr>
        <w:t xml:space="preserve">إضافية للتوافق للحدّ من </w:t>
      </w:r>
      <w:proofErr w:type="gramStart"/>
      <w:r w:rsidRPr="00770CE6">
        <w:rPr>
          <w:rtl/>
        </w:rPr>
        <w:t>مخاطر</w:t>
      </w:r>
      <w:proofErr w:type="gramEnd"/>
      <w:r w:rsidRPr="00770CE6">
        <w:rPr>
          <w:rtl/>
        </w:rPr>
        <w:t xml:space="preserve"> التداخل في</w:t>
      </w:r>
      <w:r w:rsidR="00B70007">
        <w:rPr>
          <w:rFonts w:hint="cs"/>
          <w:rtl/>
        </w:rPr>
        <w:t> </w:t>
      </w:r>
      <w:r w:rsidRPr="00770CE6">
        <w:rPr>
          <w:rtl/>
        </w:rPr>
        <w:t>مناطق جغرافية محدَّدة للمحطات الأرضية المتنقلة البرية. وقد يكون ذلك في مناطق محلية أو في جميع أنحاء بلد ما. ويمكن استخدام هذه التدابير بمفردها أو معاً في مناطق مختلفة من بلد ما لاستكمال بعضها البعض. وهي تشمل ما يلي:</w:t>
      </w:r>
    </w:p>
    <w:p w14:paraId="0F150B10" w14:textId="02C98342" w:rsidR="00F85F93" w:rsidRPr="00E13C43" w:rsidRDefault="00E13C43" w:rsidP="00E13C43">
      <w:pPr>
        <w:pStyle w:val="enumlev1"/>
        <w:rPr>
          <w:rtl/>
        </w:rPr>
      </w:pPr>
      <w:r>
        <w:t>(1</w:t>
      </w:r>
      <w:r w:rsidR="00F85F93" w:rsidRPr="00E13C43">
        <w:rPr>
          <w:rtl/>
        </w:rPr>
        <w:tab/>
        <w:t>تطبيق حدود كثافة تدفق القدرة على منطقة (مناطق) مختارة تستعملها المحطات الأرضية المتنقلة البرية.</w:t>
      </w:r>
    </w:p>
    <w:p w14:paraId="3556312A" w14:textId="4C4CB113" w:rsidR="00F85F93" w:rsidRPr="00E13C43" w:rsidRDefault="00E13C43" w:rsidP="00E13C43">
      <w:pPr>
        <w:pStyle w:val="enumlev1"/>
        <w:rPr>
          <w:rtl/>
        </w:rPr>
      </w:pPr>
      <w:r>
        <w:t>(2</w:t>
      </w:r>
      <w:r w:rsidR="00F85F93" w:rsidRPr="00E13C43">
        <w:rPr>
          <w:rtl/>
        </w:rPr>
        <w:tab/>
        <w:t xml:space="preserve">تطبيق حد داخل النطاق للقدرة المشعة المكافئة </w:t>
      </w:r>
      <w:proofErr w:type="spellStart"/>
      <w:r w:rsidR="00F85F93" w:rsidRPr="00E13C43">
        <w:rPr>
          <w:rtl/>
        </w:rPr>
        <w:t>المتناحية</w:t>
      </w:r>
      <w:proofErr w:type="spellEnd"/>
      <w:r w:rsidR="00F85F93" w:rsidRPr="00E13C43">
        <w:rPr>
          <w:rtl/>
          <w:lang w:bidi="ar-SA"/>
        </w:rPr>
        <w:t xml:space="preserve"> </w:t>
      </w:r>
      <w:r w:rsidR="00F85F93" w:rsidRPr="00E13C43">
        <w:rPr>
          <w:rtl/>
        </w:rPr>
        <w:t>على المحطات القاعدة للاتصالات المتنقلة الدولية.</w:t>
      </w:r>
    </w:p>
    <w:p w14:paraId="46A8F59E" w14:textId="799E0A0F" w:rsidR="00F85F93" w:rsidRPr="00770CE6" w:rsidRDefault="00F85F93" w:rsidP="00E13C43">
      <w:pPr>
        <w:rPr>
          <w:rtl/>
        </w:rPr>
      </w:pPr>
      <w:r w:rsidRPr="00770CE6">
        <w:rPr>
          <w:rtl/>
        </w:rPr>
        <w:t xml:space="preserve">وبصفة عامة، تُنشر المحطات الأرضية المتنقلة البرية في كلّ مكان وتعمل على صعيد البلد بأكمله. ولذلك، قد لا تكون عمليات الاتصالات المتنقلة الدولية ممكنةً في النطاق </w:t>
      </w:r>
      <w:r w:rsidRPr="00770CE6">
        <w:t xml:space="preserve">MHz </w:t>
      </w:r>
      <w:r w:rsidR="009E704A">
        <w:t>1 518</w:t>
      </w:r>
      <w:r w:rsidRPr="00770CE6">
        <w:t>-1 512</w:t>
      </w:r>
      <w:r w:rsidRPr="00770CE6">
        <w:rPr>
          <w:rtl/>
        </w:rPr>
        <w:t xml:space="preserve"> في مثل هذه الحالات.</w:t>
      </w:r>
    </w:p>
    <w:p w14:paraId="5AE394AD" w14:textId="77777777" w:rsidR="00F85F93" w:rsidRPr="00770CE6" w:rsidRDefault="00F85F93" w:rsidP="00E13C43">
      <w:pPr>
        <w:rPr>
          <w:lang w:val="ar-SA" w:eastAsia="zh-TW" w:bidi="en-GB"/>
        </w:rPr>
      </w:pPr>
      <w:r w:rsidRPr="00770CE6">
        <w:rPr>
          <w:rtl/>
        </w:rPr>
        <w:t>وللاطلاع على إمكانية تطبيق هذا الملحق، انظر حاشية العنوان. ويَرِدُ أدناه مزيد من التفاصيل بشأن تعريف هذه التدابير وتطبيقها.</w:t>
      </w:r>
    </w:p>
    <w:p w14:paraId="67CB885D" w14:textId="1590108B" w:rsidR="00F85F93" w:rsidRPr="00907A1A" w:rsidRDefault="00907A1A" w:rsidP="003E559A">
      <w:pPr>
        <w:pStyle w:val="Heading2"/>
        <w:textDirection w:val="tbRlV"/>
        <w:rPr>
          <w:rtl/>
        </w:rPr>
      </w:pPr>
      <w:bookmarkStart w:id="16" w:name="_Hlk160782225"/>
      <w:r>
        <w:lastRenderedPageBreak/>
        <w:t>2</w:t>
      </w:r>
      <w:r w:rsidRPr="00E13C43">
        <w:t>-A4</w:t>
      </w:r>
      <w:r w:rsidR="00F85F93" w:rsidRPr="00907A1A">
        <w:rPr>
          <w:rtl/>
        </w:rPr>
        <w:tab/>
        <w:t xml:space="preserve">التدبير </w:t>
      </w:r>
      <w:r w:rsidR="00F85F93" w:rsidRPr="00907A1A">
        <w:t>1</w:t>
      </w:r>
      <w:r w:rsidR="00F85F93" w:rsidRPr="00907A1A">
        <w:rPr>
          <w:rtl/>
        </w:rPr>
        <w:t xml:space="preserve"> - حدود كثافة تدفق القدرة</w:t>
      </w:r>
      <w:bookmarkEnd w:id="16"/>
    </w:p>
    <w:p w14:paraId="063B379F" w14:textId="236ACD1E" w:rsidR="00F85F93" w:rsidRPr="00770CE6" w:rsidRDefault="00F85F93" w:rsidP="00907A1A">
      <w:pPr>
        <w:rPr>
          <w:lang w:val="ar-SA" w:eastAsia="zh-TW" w:bidi="en-GB"/>
        </w:rPr>
      </w:pPr>
      <w:r w:rsidRPr="00770CE6">
        <w:rPr>
          <w:rtl/>
        </w:rPr>
        <w:t>ينبغي للإدارات أن تحدِّد المناطق الجغرافية (أجزاء من البلد أو البلاد بأكملها) التي تنطبق عليها حدود كثافة تدفق القدرة. وتنطبق هذه المستويات القصوى لكثافة تدفق القدرة على إرسالات المحطات القاعدة للاتصالات المتنقلة الدولية الواردة إلى المناطق المحدَّدة بصرف النظر عن موقع المحطات القاعدة للاتصالات المتنقلة الدولية. ويجب الوفاء بالمستويات القصوى لكثافة تدفق القدرة عند ارتفاع محدد فوق سطح الأرض (</w:t>
      </w:r>
      <w:r w:rsidR="00907A1A">
        <w:t>1,5</w:t>
      </w:r>
      <w:r w:rsidR="00907A1A">
        <w:rPr>
          <w:rFonts w:hint="cs"/>
          <w:rtl/>
          <w:lang w:bidi="ar-EG"/>
        </w:rPr>
        <w:t xml:space="preserve"> </w:t>
      </w:r>
      <w:r w:rsidR="00907A1A">
        <w:rPr>
          <w:lang w:bidi="ar-EG"/>
        </w:rPr>
        <w:t>m</w:t>
      </w:r>
      <w:r w:rsidRPr="00770CE6">
        <w:rPr>
          <w:rtl/>
        </w:rPr>
        <w:t xml:space="preserve"> مثلاً) عند حدود المنطقة وداخلها. وتحسِّن حدود كثافة تدفق القدرة التوافقَ مع إرسالات الاتصالات المتنقلة الدولية وتُفرض بجانب المتطلبات التقنية الواردة في الملحق </w:t>
      </w:r>
      <w:r w:rsidRPr="00770CE6">
        <w:t>1</w:t>
      </w:r>
      <w:r w:rsidRPr="00770CE6">
        <w:rPr>
          <w:rtl/>
        </w:rPr>
        <w:t>. وبما أن معدّات مستعمِلي الاتصالات المتنقلة الدولية لا يمكن أن ترسلَ إلا عند توصيلها بالشبكة، فإن مسافة الفصل الجغرافية الناتجة عن مستويات كثافة تدفق القدرة للمحطات القاعدة للاتصالات المتنقلة الدولية يمكن أن توفر أيضاً فصلاً لمعدّات المستعملين فيما يتعلق بالمحطات الأرضية المتنقلة، إلى جانب توهين إضافي ناتج عن ارتفاع هوائي معدّات المستعمِلين والجلبة المحيطة.</w:t>
      </w:r>
    </w:p>
    <w:p w14:paraId="28D18E74" w14:textId="77777777" w:rsidR="00F85F93" w:rsidRPr="00907A1A" w:rsidRDefault="00F85F93" w:rsidP="00907A1A">
      <w:pPr>
        <w:rPr>
          <w:spacing w:val="-2"/>
          <w:rtl/>
        </w:rPr>
      </w:pPr>
      <w:r w:rsidRPr="00907A1A">
        <w:rPr>
          <w:spacing w:val="-2"/>
          <w:rtl/>
        </w:rPr>
        <w:t xml:space="preserve">وتطبق حدود كثافة تدفق القدرة على مرحلتين. ففي المرحلة </w:t>
      </w:r>
      <w:r w:rsidRPr="00907A1A">
        <w:rPr>
          <w:spacing w:val="-2"/>
        </w:rPr>
        <w:t>1</w:t>
      </w:r>
      <w:r w:rsidRPr="00907A1A">
        <w:rPr>
          <w:spacing w:val="-2"/>
          <w:rtl/>
        </w:rPr>
        <w:t xml:space="preserve">، تستند قِيَم كثافة تدفق القدرة إلى أداء الحجب المقاس للمحطات الأرضية المتنقلة البرية الحالية. وفي المرحلة </w:t>
      </w:r>
      <w:r w:rsidRPr="00907A1A">
        <w:rPr>
          <w:spacing w:val="-2"/>
        </w:rPr>
        <w:t>2</w:t>
      </w:r>
      <w:r w:rsidRPr="00907A1A">
        <w:rPr>
          <w:spacing w:val="-2"/>
          <w:rtl/>
        </w:rPr>
        <w:t xml:space="preserve">، تستند قِيَم كثافة تدفق القدرة إلى المحطات الأرضية المتنقلة التي تستوفي مستويات القدرة على الصمود أمام الحَجْب الواردة في الملحق </w:t>
      </w:r>
      <w:r w:rsidRPr="00907A1A">
        <w:rPr>
          <w:spacing w:val="-2"/>
        </w:rPr>
        <w:t>1</w:t>
      </w:r>
      <w:r w:rsidRPr="00907A1A">
        <w:rPr>
          <w:spacing w:val="-2"/>
          <w:rtl/>
        </w:rPr>
        <w:t xml:space="preserve">. وقيم كثافة تدفق القدرة للمرحلة </w:t>
      </w:r>
      <w:r w:rsidRPr="00907A1A">
        <w:rPr>
          <w:spacing w:val="-2"/>
        </w:rPr>
        <w:t>2</w:t>
      </w:r>
      <w:r w:rsidRPr="00907A1A">
        <w:rPr>
          <w:spacing w:val="-2"/>
          <w:rtl/>
        </w:rPr>
        <w:t xml:space="preserve"> أقلّ تقييداً لنشر الاتصالات المتنقلة الدولية وينبغي استعمالها عندما تطلب الإدارة المعنيّة ذلك في وقت تُعتبر فيه </w:t>
      </w:r>
      <w:proofErr w:type="spellStart"/>
      <w:r w:rsidRPr="00907A1A">
        <w:rPr>
          <w:spacing w:val="-2"/>
          <w:rtl/>
        </w:rPr>
        <w:t>مطاريف</w:t>
      </w:r>
      <w:proofErr w:type="spellEnd"/>
      <w:r w:rsidRPr="00907A1A">
        <w:rPr>
          <w:spacing w:val="-2"/>
          <w:rtl/>
        </w:rPr>
        <w:t xml:space="preserve"> المحطات الأرضية المتنقلة القادرة على الصمود أكثر انتشاراً. وتتعلق حدود كثافة تدفق القدرة بالإرسالات من المحطات القاعدة للاتصالات المتنقلة الدولية في النطاق </w:t>
      </w:r>
      <w:r w:rsidRPr="00907A1A">
        <w:rPr>
          <w:spacing w:val="-2"/>
        </w:rPr>
        <w:t>MHz 1 517-1 502</w:t>
      </w:r>
      <w:r w:rsidRPr="00907A1A">
        <w:rPr>
          <w:spacing w:val="-2"/>
          <w:rtl/>
        </w:rPr>
        <w:t>.</w:t>
      </w:r>
    </w:p>
    <w:p w14:paraId="0A52BAC1" w14:textId="534AF7CC" w:rsidR="00F85F93" w:rsidRPr="00907A1A" w:rsidRDefault="00F85F93" w:rsidP="00907A1A">
      <w:pPr>
        <w:rPr>
          <w:spacing w:val="4"/>
          <w:rtl/>
        </w:rPr>
      </w:pPr>
      <w:r w:rsidRPr="00907A1A">
        <w:rPr>
          <w:spacing w:val="4"/>
          <w:rtl/>
        </w:rPr>
        <w:t xml:space="preserve">وعادةً ما تكون عمليات الخدمة المتنقلة الساتلية البرية مرخصةً في جميع أنحاء البلاد، وفي هذه الحالة يمكن تطبيق حدود كثافة تدفق القدرة على امتداد كامل الأراضي الوطنية. ولذلك، قد لا تكون عمليات الاتصالات المتنقلة الدولية ممكنةً في النطاق </w:t>
      </w:r>
      <w:r w:rsidRPr="00907A1A">
        <w:rPr>
          <w:spacing w:val="4"/>
        </w:rPr>
        <w:t xml:space="preserve">MHz </w:t>
      </w:r>
      <w:r w:rsidR="009E704A">
        <w:rPr>
          <w:spacing w:val="4"/>
        </w:rPr>
        <w:t>1 518</w:t>
      </w:r>
      <w:r w:rsidRPr="00907A1A">
        <w:rPr>
          <w:spacing w:val="4"/>
        </w:rPr>
        <w:t>-1 512</w:t>
      </w:r>
      <w:r w:rsidRPr="00907A1A">
        <w:rPr>
          <w:spacing w:val="4"/>
          <w:rtl/>
        </w:rPr>
        <w:t xml:space="preserve"> في مثل هذه الحالات.</w:t>
      </w:r>
    </w:p>
    <w:p w14:paraId="22D343F3" w14:textId="52E4D273" w:rsidR="00F85F93" w:rsidRPr="00B70007" w:rsidRDefault="00F85F93" w:rsidP="00907A1A">
      <w:pPr>
        <w:rPr>
          <w:spacing w:val="4"/>
          <w:rtl/>
        </w:rPr>
      </w:pPr>
      <w:r w:rsidRPr="00B70007">
        <w:rPr>
          <w:spacing w:val="4"/>
          <w:rtl/>
        </w:rPr>
        <w:t xml:space="preserve">وحدود كثافة تدفق القدرة الواردة في الجدول </w:t>
      </w:r>
      <w:r w:rsidRPr="00B70007">
        <w:rPr>
          <w:spacing w:val="4"/>
        </w:rPr>
        <w:t>9</w:t>
      </w:r>
      <w:r w:rsidRPr="00B70007">
        <w:rPr>
          <w:spacing w:val="4"/>
          <w:rtl/>
        </w:rPr>
        <w:t xml:space="preserve"> هي أعلى وأدنى قِيم لكسب هوائي المحطات الأرضية المتنقلة الواردة في</w:t>
      </w:r>
      <w:r w:rsidR="00B70007" w:rsidRPr="00B70007">
        <w:rPr>
          <w:rFonts w:hint="cs"/>
          <w:spacing w:val="4"/>
          <w:rtl/>
        </w:rPr>
        <w:t> </w:t>
      </w:r>
      <w:r w:rsidRPr="00B70007">
        <w:rPr>
          <w:spacing w:val="4"/>
          <w:rtl/>
        </w:rPr>
        <w:t>التقرير</w:t>
      </w:r>
      <w:r w:rsidR="00D83383" w:rsidRPr="00B70007">
        <w:rPr>
          <w:rFonts w:hint="cs"/>
          <w:spacing w:val="4"/>
          <w:rtl/>
        </w:rPr>
        <w:t> </w:t>
      </w:r>
      <w:hyperlink r:id="rId20" w:history="1">
        <w:r w:rsidR="00D83383" w:rsidRPr="00B70007">
          <w:rPr>
            <w:rStyle w:val="Hyperlink"/>
            <w:color w:val="auto"/>
            <w:u w:val="none"/>
          </w:rPr>
          <w:t>ITU-R M.2529</w:t>
        </w:r>
      </w:hyperlink>
      <w:r w:rsidRPr="00B70007">
        <w:rPr>
          <w:spacing w:val="4"/>
          <w:rtl/>
        </w:rPr>
        <w:t>.</w:t>
      </w:r>
    </w:p>
    <w:p w14:paraId="1DE27FD8" w14:textId="77777777" w:rsidR="00F85F93" w:rsidRPr="00770CE6" w:rsidRDefault="00F85F93" w:rsidP="00AF0C07">
      <w:pPr>
        <w:pStyle w:val="TableNo0"/>
        <w:rPr>
          <w:lang w:val="ar-SA" w:eastAsia="zh-TW" w:bidi="en-GB"/>
        </w:rPr>
      </w:pPr>
      <w:r w:rsidRPr="00770CE6">
        <w:rPr>
          <w:rtl/>
        </w:rPr>
        <w:t xml:space="preserve">الجدول </w:t>
      </w:r>
      <w:r w:rsidRPr="00770CE6">
        <w:t>9</w:t>
      </w:r>
    </w:p>
    <w:p w14:paraId="154F4EA6" w14:textId="77777777" w:rsidR="00F85F93" w:rsidRPr="00907A1A" w:rsidRDefault="00F85F93" w:rsidP="00907A1A">
      <w:pPr>
        <w:pStyle w:val="Tabletitle"/>
      </w:pPr>
      <w:r w:rsidRPr="00907A1A">
        <w:rPr>
          <w:rtl/>
        </w:rPr>
        <w:t>حدود كثافة تدفق القدرة</w:t>
      </w:r>
      <w:r w:rsidRPr="00907A1A">
        <w:rPr>
          <w:rtl/>
          <w:lang w:bidi="ar-SA"/>
        </w:rPr>
        <w:t xml:space="preserve"> </w:t>
      </w:r>
      <w:r w:rsidRPr="00907A1A">
        <w:rPr>
          <w:rtl/>
        </w:rPr>
        <w:t>لإرسالات المحطات القاعدة للاتصالات المتنقلة الدولية</w:t>
      </w:r>
    </w:p>
    <w:tbl>
      <w:tblPr>
        <w:tblStyle w:val="TableGrid71"/>
        <w:bidiVisual/>
        <w:tblW w:w="9639" w:type="dxa"/>
        <w:jc w:val="center"/>
        <w:tblLayout w:type="fixed"/>
        <w:tblLook w:val="04A0" w:firstRow="1" w:lastRow="0" w:firstColumn="1" w:lastColumn="0" w:noHBand="0" w:noVBand="1"/>
      </w:tblPr>
      <w:tblGrid>
        <w:gridCol w:w="781"/>
        <w:gridCol w:w="1531"/>
        <w:gridCol w:w="1195"/>
        <w:gridCol w:w="1211"/>
        <w:gridCol w:w="1245"/>
        <w:gridCol w:w="1195"/>
        <w:gridCol w:w="1195"/>
        <w:gridCol w:w="1286"/>
      </w:tblGrid>
      <w:tr w:rsidR="00907A1A" w:rsidRPr="00A00A18" w14:paraId="321155F4" w14:textId="77777777" w:rsidTr="00907A1A">
        <w:trPr>
          <w:jc w:val="center"/>
        </w:trPr>
        <w:tc>
          <w:tcPr>
            <w:tcW w:w="405" w:type="pct"/>
            <w:vAlign w:val="center"/>
            <w:hideMark/>
          </w:tcPr>
          <w:p w14:paraId="1E88ED3B" w14:textId="589E23CC"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المرحلة</w:t>
            </w:r>
          </w:p>
        </w:tc>
        <w:tc>
          <w:tcPr>
            <w:tcW w:w="794" w:type="pct"/>
            <w:vAlign w:val="center"/>
          </w:tcPr>
          <w:p w14:paraId="0601A962" w14:textId="4EA20538" w:rsidR="00907A1A" w:rsidRPr="00A00A18" w:rsidRDefault="00907A1A" w:rsidP="00907A1A">
            <w:pPr>
              <w:pStyle w:val="Tablehead"/>
              <w:rPr>
                <w:rFonts w:ascii="Times New Roman" w:hAnsi="Times New Roman"/>
                <w:sz w:val="18"/>
                <w:szCs w:val="24"/>
              </w:rPr>
            </w:pPr>
          </w:p>
        </w:tc>
        <w:tc>
          <w:tcPr>
            <w:tcW w:w="1894" w:type="pct"/>
            <w:gridSpan w:val="3"/>
            <w:vAlign w:val="center"/>
          </w:tcPr>
          <w:p w14:paraId="08CBC9E1" w14:textId="0FFE536A"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 xml:space="preserve">المرحلة </w:t>
            </w:r>
            <w:r w:rsidRPr="00A00A18">
              <w:rPr>
                <w:rFonts w:ascii="Times New Roman" w:hAnsi="Times New Roman"/>
                <w:sz w:val="18"/>
                <w:szCs w:val="24"/>
              </w:rPr>
              <w:t>1</w:t>
            </w:r>
          </w:p>
        </w:tc>
        <w:tc>
          <w:tcPr>
            <w:tcW w:w="1907" w:type="pct"/>
            <w:gridSpan w:val="3"/>
            <w:vAlign w:val="center"/>
            <w:hideMark/>
          </w:tcPr>
          <w:p w14:paraId="0D0C75D6" w14:textId="74DEFC3B"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 xml:space="preserve">المرحلة </w:t>
            </w:r>
            <w:r w:rsidRPr="00A00A18">
              <w:rPr>
                <w:rFonts w:ascii="Times New Roman" w:hAnsi="Times New Roman"/>
                <w:sz w:val="18"/>
                <w:szCs w:val="24"/>
              </w:rPr>
              <w:t>2</w:t>
            </w:r>
          </w:p>
        </w:tc>
      </w:tr>
      <w:tr w:rsidR="00907A1A" w:rsidRPr="00A00A18" w14:paraId="72F499EE" w14:textId="77777777" w:rsidTr="006B32BC">
        <w:trPr>
          <w:jc w:val="center"/>
        </w:trPr>
        <w:tc>
          <w:tcPr>
            <w:tcW w:w="405" w:type="pct"/>
            <w:vAlign w:val="center"/>
          </w:tcPr>
          <w:p w14:paraId="5E1B48DB" w14:textId="77777777" w:rsidR="00907A1A" w:rsidRPr="00A00A18" w:rsidRDefault="00907A1A" w:rsidP="00907A1A">
            <w:pPr>
              <w:pStyle w:val="Tablehead"/>
              <w:rPr>
                <w:rFonts w:ascii="Times New Roman" w:hAnsi="Times New Roman"/>
                <w:sz w:val="18"/>
                <w:szCs w:val="24"/>
              </w:rPr>
            </w:pPr>
          </w:p>
        </w:tc>
        <w:tc>
          <w:tcPr>
            <w:tcW w:w="794" w:type="pct"/>
            <w:vAlign w:val="center"/>
            <w:hideMark/>
          </w:tcPr>
          <w:p w14:paraId="57C6E3E1" w14:textId="77777777"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 xml:space="preserve"> كسب</w:t>
            </w:r>
            <w:r w:rsidRPr="00A00A18">
              <w:rPr>
                <w:rFonts w:ascii="Times New Roman" w:hAnsi="Times New Roman"/>
                <w:bCs w:val="0"/>
                <w:sz w:val="18"/>
                <w:szCs w:val="24"/>
                <w:rtl/>
              </w:rPr>
              <w:t xml:space="preserve"> </w:t>
            </w:r>
            <w:r w:rsidRPr="00A00A18">
              <w:rPr>
                <w:rFonts w:ascii="Times New Roman" w:hAnsi="Times New Roman"/>
                <w:sz w:val="18"/>
                <w:szCs w:val="24"/>
                <w:rtl/>
              </w:rPr>
              <w:t>هوائي</w:t>
            </w:r>
            <w:r w:rsidRPr="00A00A18">
              <w:rPr>
                <w:rFonts w:ascii="Times New Roman" w:hAnsi="Times New Roman"/>
                <w:bCs w:val="0"/>
                <w:sz w:val="18"/>
                <w:szCs w:val="24"/>
                <w:rtl/>
              </w:rPr>
              <w:t xml:space="preserve"> </w:t>
            </w:r>
            <w:proofErr w:type="spellStart"/>
            <w:r w:rsidRPr="00A00A18">
              <w:rPr>
                <w:rFonts w:ascii="Times New Roman" w:hAnsi="Times New Roman"/>
                <w:sz w:val="18"/>
                <w:szCs w:val="24"/>
                <w:rtl/>
              </w:rPr>
              <w:t>مطراف</w:t>
            </w:r>
            <w:proofErr w:type="spellEnd"/>
            <w:r w:rsidRPr="00A00A18">
              <w:rPr>
                <w:rFonts w:ascii="Times New Roman" w:hAnsi="Times New Roman"/>
                <w:sz w:val="18"/>
                <w:szCs w:val="24"/>
                <w:rtl/>
              </w:rPr>
              <w:t xml:space="preserve"> المحطة الأرضية المتنقلة </w:t>
            </w:r>
            <w:r w:rsidRPr="00A00A18">
              <w:rPr>
                <w:rFonts w:ascii="Times New Roman" w:hAnsi="Times New Roman"/>
                <w:sz w:val="18"/>
                <w:szCs w:val="24"/>
              </w:rPr>
              <w:t>(</w:t>
            </w:r>
            <w:proofErr w:type="spellStart"/>
            <w:r w:rsidRPr="00A00A18">
              <w:rPr>
                <w:rFonts w:ascii="Times New Roman" w:hAnsi="Times New Roman"/>
                <w:sz w:val="18"/>
                <w:szCs w:val="24"/>
              </w:rPr>
              <w:t>dBi</w:t>
            </w:r>
            <w:proofErr w:type="spellEnd"/>
            <w:r w:rsidRPr="00A00A18">
              <w:rPr>
                <w:rFonts w:ascii="Times New Roman" w:hAnsi="Times New Roman"/>
                <w:sz w:val="18"/>
                <w:szCs w:val="24"/>
              </w:rPr>
              <w:t>)</w:t>
            </w:r>
            <w:r w:rsidRPr="00A00A18">
              <w:rPr>
                <w:rFonts w:ascii="Times New Roman" w:hAnsi="Times New Roman"/>
                <w:sz w:val="18"/>
                <w:szCs w:val="24"/>
                <w:rtl/>
                <w:lang w:bidi="ar-EG"/>
              </w:rPr>
              <w:t xml:space="preserve"> </w:t>
            </w:r>
            <w:r w:rsidRPr="00A00A18">
              <w:rPr>
                <w:rFonts w:ascii="Times New Roman" w:hAnsi="Times New Roman"/>
                <w:sz w:val="18"/>
                <w:szCs w:val="24"/>
                <w:rtl/>
              </w:rPr>
              <w:t>في اتجاه المحطة القاعدة للاتصالات المتنقلة الدولية</w:t>
            </w:r>
          </w:p>
        </w:tc>
        <w:tc>
          <w:tcPr>
            <w:tcW w:w="620" w:type="pct"/>
            <w:vAlign w:val="center"/>
            <w:hideMark/>
          </w:tcPr>
          <w:p w14:paraId="04212547" w14:textId="3E12E83A"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حدّ كثافة تدفق القدرة لإرسالات المحطات القاعدة في النطاق</w:t>
            </w:r>
            <w:r w:rsidRPr="00A00A18">
              <w:rPr>
                <w:rFonts w:ascii="Times New Roman" w:hAnsi="Times New Roman"/>
                <w:sz w:val="18"/>
                <w:szCs w:val="24"/>
              </w:rPr>
              <w:br/>
              <w:t>MHz 1 507-1 502</w:t>
            </w:r>
            <w:r w:rsidRPr="00A00A18">
              <w:rPr>
                <w:rFonts w:ascii="Times New Roman" w:hAnsi="Times New Roman"/>
                <w:sz w:val="18"/>
                <w:szCs w:val="24"/>
                <w:rtl/>
              </w:rPr>
              <w:t xml:space="preserve"> </w:t>
            </w:r>
            <w:r w:rsidRPr="00A00A18">
              <w:rPr>
                <w:rFonts w:ascii="Times New Roman" w:hAnsi="Times New Roman"/>
                <w:sz w:val="18"/>
                <w:szCs w:val="24"/>
              </w:rPr>
              <w:t>(</w:t>
            </w:r>
            <w:proofErr w:type="spellStart"/>
            <w:r w:rsidRPr="00A00A18">
              <w:rPr>
                <w:rFonts w:ascii="Times New Roman" w:hAnsi="Times New Roman"/>
                <w:sz w:val="18"/>
                <w:szCs w:val="24"/>
              </w:rPr>
              <w:t>dBW</w:t>
            </w:r>
            <w:proofErr w:type="spellEnd"/>
            <w:r w:rsidRPr="00A00A18">
              <w:rPr>
                <w:rFonts w:ascii="Times New Roman" w:hAnsi="Times New Roman"/>
                <w:sz w:val="18"/>
                <w:szCs w:val="24"/>
              </w:rPr>
              <w:t>/m</w:t>
            </w:r>
            <w:r w:rsidRPr="00A00A18">
              <w:rPr>
                <w:rFonts w:ascii="Times New Roman" w:hAnsi="Times New Roman"/>
                <w:sz w:val="18"/>
                <w:szCs w:val="24"/>
                <w:vertAlign w:val="superscript"/>
              </w:rPr>
              <w:t>2</w:t>
            </w:r>
            <w:r w:rsidRPr="00A00A18">
              <w:rPr>
                <w:rFonts w:ascii="Times New Roman" w:hAnsi="Times New Roman"/>
                <w:sz w:val="18"/>
                <w:szCs w:val="24"/>
              </w:rPr>
              <w:t>)</w:t>
            </w:r>
          </w:p>
        </w:tc>
        <w:tc>
          <w:tcPr>
            <w:tcW w:w="628" w:type="pct"/>
            <w:vAlign w:val="center"/>
            <w:hideMark/>
          </w:tcPr>
          <w:p w14:paraId="069FD5E9" w14:textId="27824329"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حدّ كثافة تدفق القدرة لإرسالات المحطات القاعدة في النطاق</w:t>
            </w:r>
            <w:r w:rsidRPr="00A00A18">
              <w:rPr>
                <w:rFonts w:ascii="Times New Roman" w:hAnsi="Times New Roman"/>
                <w:sz w:val="18"/>
                <w:szCs w:val="24"/>
              </w:rPr>
              <w:br/>
              <w:t>MHz 1 512-1 507</w:t>
            </w:r>
            <w:r w:rsidRPr="00A00A18">
              <w:rPr>
                <w:rFonts w:ascii="Times New Roman" w:hAnsi="Times New Roman"/>
                <w:sz w:val="18"/>
                <w:szCs w:val="24"/>
                <w:rtl/>
              </w:rPr>
              <w:t xml:space="preserve"> </w:t>
            </w:r>
            <w:r w:rsidRPr="00A00A18">
              <w:rPr>
                <w:rFonts w:ascii="Times New Roman" w:hAnsi="Times New Roman"/>
                <w:sz w:val="18"/>
                <w:szCs w:val="24"/>
              </w:rPr>
              <w:t>(</w:t>
            </w:r>
            <w:proofErr w:type="spellStart"/>
            <w:r w:rsidRPr="00A00A18">
              <w:rPr>
                <w:rFonts w:ascii="Times New Roman" w:hAnsi="Times New Roman"/>
                <w:sz w:val="18"/>
                <w:szCs w:val="24"/>
              </w:rPr>
              <w:t>dBW</w:t>
            </w:r>
            <w:proofErr w:type="spellEnd"/>
            <w:r w:rsidRPr="00A00A18">
              <w:rPr>
                <w:rFonts w:ascii="Times New Roman" w:hAnsi="Times New Roman"/>
                <w:sz w:val="18"/>
                <w:szCs w:val="24"/>
              </w:rPr>
              <w:t>/m</w:t>
            </w:r>
            <w:r w:rsidR="001B6411" w:rsidRPr="00A00A18">
              <w:rPr>
                <w:rFonts w:ascii="Times New Roman" w:hAnsi="Times New Roman"/>
                <w:sz w:val="18"/>
                <w:szCs w:val="24"/>
                <w:vertAlign w:val="superscript"/>
              </w:rPr>
              <w:t>2</w:t>
            </w:r>
            <w:r w:rsidRPr="00A00A18">
              <w:rPr>
                <w:rFonts w:ascii="Times New Roman" w:hAnsi="Times New Roman"/>
                <w:sz w:val="18"/>
                <w:szCs w:val="24"/>
              </w:rPr>
              <w:t>)</w:t>
            </w:r>
          </w:p>
        </w:tc>
        <w:tc>
          <w:tcPr>
            <w:tcW w:w="646" w:type="pct"/>
            <w:vAlign w:val="center"/>
            <w:hideMark/>
          </w:tcPr>
          <w:p w14:paraId="3CDDF934" w14:textId="0E141E09"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حدّ كثافة تدفق القدرة لإرسالات المحطات القاعدة في النطاق</w:t>
            </w:r>
            <w:r w:rsidRPr="00A00A18">
              <w:rPr>
                <w:rFonts w:ascii="Times New Roman" w:hAnsi="Times New Roman"/>
                <w:sz w:val="18"/>
                <w:szCs w:val="24"/>
              </w:rPr>
              <w:br/>
              <w:t>MHz 1 517-1 512</w:t>
            </w:r>
            <w:r w:rsidRPr="00A00A18">
              <w:rPr>
                <w:rFonts w:ascii="Times New Roman" w:hAnsi="Times New Roman"/>
                <w:sz w:val="18"/>
                <w:szCs w:val="24"/>
                <w:rtl/>
              </w:rPr>
              <w:t xml:space="preserve"> </w:t>
            </w:r>
            <w:r w:rsidRPr="00A00A18">
              <w:rPr>
                <w:rFonts w:ascii="Times New Roman" w:hAnsi="Times New Roman"/>
                <w:sz w:val="18"/>
                <w:szCs w:val="24"/>
              </w:rPr>
              <w:t>(</w:t>
            </w:r>
            <w:proofErr w:type="spellStart"/>
            <w:r w:rsidRPr="00A00A18">
              <w:rPr>
                <w:rFonts w:ascii="Times New Roman" w:hAnsi="Times New Roman"/>
                <w:sz w:val="18"/>
                <w:szCs w:val="24"/>
              </w:rPr>
              <w:t>dBW</w:t>
            </w:r>
            <w:proofErr w:type="spellEnd"/>
            <w:r w:rsidRPr="00A00A18">
              <w:rPr>
                <w:rFonts w:ascii="Times New Roman" w:hAnsi="Times New Roman"/>
                <w:sz w:val="18"/>
                <w:szCs w:val="24"/>
              </w:rPr>
              <w:t>/m</w:t>
            </w:r>
            <w:r w:rsidR="001B6411" w:rsidRPr="00A00A18">
              <w:rPr>
                <w:rFonts w:ascii="Times New Roman" w:hAnsi="Times New Roman"/>
                <w:sz w:val="18"/>
                <w:szCs w:val="24"/>
                <w:vertAlign w:val="superscript"/>
              </w:rPr>
              <w:t>2</w:t>
            </w:r>
            <w:r w:rsidRPr="00A00A18">
              <w:rPr>
                <w:rFonts w:ascii="Times New Roman" w:hAnsi="Times New Roman"/>
                <w:sz w:val="18"/>
                <w:szCs w:val="24"/>
              </w:rPr>
              <w:t>)</w:t>
            </w:r>
          </w:p>
        </w:tc>
        <w:tc>
          <w:tcPr>
            <w:tcW w:w="620" w:type="pct"/>
            <w:vAlign w:val="center"/>
            <w:hideMark/>
          </w:tcPr>
          <w:p w14:paraId="2AAE0427" w14:textId="5E06E112"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حدّ كثافة تدفق القدرة لإرسالات المحطات القاعدة في النطاق</w:t>
            </w:r>
            <w:r w:rsidRPr="00A00A18">
              <w:rPr>
                <w:rFonts w:ascii="Times New Roman" w:hAnsi="Times New Roman"/>
                <w:sz w:val="18"/>
                <w:szCs w:val="24"/>
              </w:rPr>
              <w:br/>
              <w:t>MHz 1 507-1 502</w:t>
            </w:r>
            <w:r w:rsidRPr="00A00A18">
              <w:rPr>
                <w:rFonts w:ascii="Times New Roman" w:hAnsi="Times New Roman"/>
                <w:sz w:val="18"/>
                <w:szCs w:val="24"/>
                <w:rtl/>
              </w:rPr>
              <w:t xml:space="preserve"> </w:t>
            </w:r>
            <w:r w:rsidRPr="00A00A18">
              <w:rPr>
                <w:rFonts w:ascii="Times New Roman" w:hAnsi="Times New Roman"/>
                <w:sz w:val="18"/>
                <w:szCs w:val="24"/>
              </w:rPr>
              <w:t>(</w:t>
            </w:r>
            <w:proofErr w:type="spellStart"/>
            <w:r w:rsidRPr="00A00A18">
              <w:rPr>
                <w:rFonts w:ascii="Times New Roman" w:hAnsi="Times New Roman"/>
                <w:sz w:val="18"/>
                <w:szCs w:val="24"/>
              </w:rPr>
              <w:t>dBW</w:t>
            </w:r>
            <w:proofErr w:type="spellEnd"/>
            <w:r w:rsidRPr="00A00A18">
              <w:rPr>
                <w:rFonts w:ascii="Times New Roman" w:hAnsi="Times New Roman"/>
                <w:sz w:val="18"/>
                <w:szCs w:val="24"/>
              </w:rPr>
              <w:t>/m</w:t>
            </w:r>
            <w:r w:rsidR="001B6411" w:rsidRPr="00A00A18">
              <w:rPr>
                <w:rFonts w:ascii="Times New Roman" w:hAnsi="Times New Roman"/>
                <w:sz w:val="18"/>
                <w:szCs w:val="24"/>
                <w:vertAlign w:val="superscript"/>
              </w:rPr>
              <w:t>2</w:t>
            </w:r>
            <w:r w:rsidRPr="00A00A18">
              <w:rPr>
                <w:rFonts w:ascii="Times New Roman" w:hAnsi="Times New Roman"/>
                <w:sz w:val="18"/>
                <w:szCs w:val="24"/>
              </w:rPr>
              <w:t>)</w:t>
            </w:r>
          </w:p>
        </w:tc>
        <w:tc>
          <w:tcPr>
            <w:tcW w:w="620" w:type="pct"/>
            <w:vAlign w:val="center"/>
            <w:hideMark/>
          </w:tcPr>
          <w:p w14:paraId="70E211D9" w14:textId="19D67B6D"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 xml:space="preserve">حدّ كثافة تدفق القدرة لإرسالات المحطات القاعدة في النطاق </w:t>
            </w:r>
            <w:r w:rsidRPr="00A00A18">
              <w:rPr>
                <w:rFonts w:ascii="Times New Roman" w:hAnsi="Times New Roman"/>
                <w:sz w:val="18"/>
                <w:szCs w:val="24"/>
              </w:rPr>
              <w:br/>
              <w:t>MHz 1 512-1 507</w:t>
            </w:r>
            <w:r w:rsidRPr="00A00A18">
              <w:rPr>
                <w:rFonts w:ascii="Times New Roman" w:hAnsi="Times New Roman"/>
                <w:sz w:val="18"/>
                <w:szCs w:val="24"/>
                <w:rtl/>
              </w:rPr>
              <w:t xml:space="preserve"> </w:t>
            </w:r>
            <w:r w:rsidRPr="00A00A18">
              <w:rPr>
                <w:rFonts w:ascii="Times New Roman" w:hAnsi="Times New Roman"/>
                <w:sz w:val="18"/>
                <w:szCs w:val="24"/>
              </w:rPr>
              <w:t>(</w:t>
            </w:r>
            <w:proofErr w:type="spellStart"/>
            <w:r w:rsidRPr="00A00A18">
              <w:rPr>
                <w:rFonts w:ascii="Times New Roman" w:hAnsi="Times New Roman"/>
                <w:sz w:val="18"/>
                <w:szCs w:val="24"/>
              </w:rPr>
              <w:t>dBW</w:t>
            </w:r>
            <w:proofErr w:type="spellEnd"/>
            <w:r w:rsidRPr="00A00A18">
              <w:rPr>
                <w:rFonts w:ascii="Times New Roman" w:hAnsi="Times New Roman"/>
                <w:sz w:val="18"/>
                <w:szCs w:val="24"/>
              </w:rPr>
              <w:t>/m</w:t>
            </w:r>
            <w:r w:rsidR="001B6411" w:rsidRPr="00A00A18">
              <w:rPr>
                <w:rFonts w:ascii="Times New Roman" w:hAnsi="Times New Roman"/>
                <w:sz w:val="18"/>
                <w:szCs w:val="24"/>
                <w:vertAlign w:val="superscript"/>
              </w:rPr>
              <w:t>2</w:t>
            </w:r>
            <w:r w:rsidRPr="00A00A18">
              <w:rPr>
                <w:rFonts w:ascii="Times New Roman" w:hAnsi="Times New Roman"/>
                <w:sz w:val="18"/>
                <w:szCs w:val="24"/>
              </w:rPr>
              <w:t>)</w:t>
            </w:r>
          </w:p>
        </w:tc>
        <w:tc>
          <w:tcPr>
            <w:tcW w:w="667" w:type="pct"/>
            <w:vAlign w:val="center"/>
            <w:hideMark/>
          </w:tcPr>
          <w:p w14:paraId="2BD3AF30" w14:textId="1CC7A5C7" w:rsidR="00907A1A" w:rsidRPr="00A00A18" w:rsidRDefault="00907A1A" w:rsidP="00907A1A">
            <w:pPr>
              <w:pStyle w:val="Tablehead"/>
              <w:textDirection w:val="tbRlV"/>
              <w:rPr>
                <w:rFonts w:ascii="Times New Roman" w:hAnsi="Times New Roman"/>
                <w:sz w:val="18"/>
                <w:szCs w:val="24"/>
                <w:lang w:val="ar-SA" w:eastAsia="zh-TW" w:bidi="en-GB"/>
              </w:rPr>
            </w:pPr>
            <w:r w:rsidRPr="00A00A18">
              <w:rPr>
                <w:rFonts w:ascii="Times New Roman" w:hAnsi="Times New Roman"/>
                <w:sz w:val="18"/>
                <w:szCs w:val="24"/>
                <w:rtl/>
              </w:rPr>
              <w:t>حدّ كثافة تدفق القدرة لإرسالات المحطات القاعدة في النطاق</w:t>
            </w:r>
            <w:r w:rsidRPr="00A00A18">
              <w:rPr>
                <w:rFonts w:ascii="Times New Roman" w:hAnsi="Times New Roman"/>
                <w:sz w:val="18"/>
                <w:szCs w:val="24"/>
              </w:rPr>
              <w:br/>
            </w:r>
            <w:r w:rsidRPr="00A00A18">
              <w:rPr>
                <w:rFonts w:ascii="Times New Roman" w:hAnsi="Times New Roman"/>
                <w:sz w:val="18"/>
                <w:szCs w:val="24"/>
                <w:rtl/>
              </w:rPr>
              <w:t xml:space="preserve"> </w:t>
            </w:r>
            <w:r w:rsidRPr="00A00A18">
              <w:rPr>
                <w:rFonts w:ascii="Times New Roman" w:hAnsi="Times New Roman"/>
                <w:sz w:val="18"/>
                <w:szCs w:val="24"/>
              </w:rPr>
              <w:t>MHz 1 517-1 512</w:t>
            </w:r>
            <w:r w:rsidRPr="00A00A18">
              <w:rPr>
                <w:rFonts w:ascii="Times New Roman" w:hAnsi="Times New Roman"/>
                <w:sz w:val="18"/>
                <w:szCs w:val="24"/>
                <w:rtl/>
              </w:rPr>
              <w:t xml:space="preserve"> </w:t>
            </w:r>
            <w:r w:rsidRPr="00A00A18">
              <w:rPr>
                <w:rFonts w:ascii="Times New Roman" w:hAnsi="Times New Roman"/>
                <w:sz w:val="18"/>
                <w:szCs w:val="24"/>
              </w:rPr>
              <w:t>(</w:t>
            </w:r>
            <w:proofErr w:type="spellStart"/>
            <w:r w:rsidRPr="00A00A18">
              <w:rPr>
                <w:rFonts w:ascii="Times New Roman" w:hAnsi="Times New Roman"/>
                <w:sz w:val="18"/>
                <w:szCs w:val="24"/>
              </w:rPr>
              <w:t>dBW</w:t>
            </w:r>
            <w:proofErr w:type="spellEnd"/>
            <w:r w:rsidRPr="00A00A18">
              <w:rPr>
                <w:rFonts w:ascii="Times New Roman" w:hAnsi="Times New Roman"/>
                <w:sz w:val="18"/>
                <w:szCs w:val="24"/>
              </w:rPr>
              <w:t>/m</w:t>
            </w:r>
            <w:r w:rsidR="001B6411" w:rsidRPr="00A00A18">
              <w:rPr>
                <w:rFonts w:ascii="Times New Roman" w:hAnsi="Times New Roman"/>
                <w:sz w:val="18"/>
                <w:szCs w:val="24"/>
                <w:vertAlign w:val="superscript"/>
              </w:rPr>
              <w:t>2</w:t>
            </w:r>
            <w:r w:rsidRPr="00A00A18">
              <w:rPr>
                <w:rFonts w:ascii="Times New Roman" w:hAnsi="Times New Roman"/>
                <w:sz w:val="18"/>
                <w:szCs w:val="24"/>
              </w:rPr>
              <w:t>)</w:t>
            </w:r>
          </w:p>
        </w:tc>
      </w:tr>
      <w:tr w:rsidR="00907A1A" w:rsidRPr="00A00A18" w14:paraId="3F0A71C5" w14:textId="77777777" w:rsidTr="006B32BC">
        <w:trPr>
          <w:jc w:val="center"/>
        </w:trPr>
        <w:tc>
          <w:tcPr>
            <w:tcW w:w="405" w:type="pct"/>
            <w:vMerge w:val="restart"/>
            <w:vAlign w:val="center"/>
            <w:hideMark/>
          </w:tcPr>
          <w:p w14:paraId="2CC222F8" w14:textId="77777777" w:rsidR="00907A1A" w:rsidRPr="00A00A18" w:rsidRDefault="00907A1A" w:rsidP="00A00A18">
            <w:pPr>
              <w:rPr>
                <w:sz w:val="18"/>
                <w:szCs w:val="24"/>
              </w:rPr>
            </w:pPr>
            <w:r w:rsidRPr="00A00A18">
              <w:rPr>
                <w:sz w:val="18"/>
                <w:szCs w:val="24"/>
                <w:rtl/>
              </w:rPr>
              <w:t>المحطات الأرضية المتنقلة المقامة على اليابسة</w:t>
            </w:r>
          </w:p>
        </w:tc>
        <w:tc>
          <w:tcPr>
            <w:tcW w:w="794" w:type="pct"/>
            <w:vAlign w:val="center"/>
            <w:hideMark/>
          </w:tcPr>
          <w:p w14:paraId="2EC43FF6" w14:textId="77777777" w:rsidR="00907A1A" w:rsidRPr="00A00A18" w:rsidRDefault="00907A1A" w:rsidP="00DB5611">
            <w:pPr>
              <w:pStyle w:val="Tabletext"/>
              <w:jc w:val="center"/>
            </w:pPr>
            <w:r w:rsidRPr="00A00A18">
              <w:t>1</w:t>
            </w:r>
            <w:r w:rsidRPr="00A00A18">
              <w:rPr>
                <w:rtl/>
              </w:rPr>
              <w:t xml:space="preserve"> (الأدنى)</w:t>
            </w:r>
          </w:p>
        </w:tc>
        <w:tc>
          <w:tcPr>
            <w:tcW w:w="620" w:type="pct"/>
            <w:vAlign w:val="center"/>
            <w:hideMark/>
          </w:tcPr>
          <w:p w14:paraId="39D69F3A" w14:textId="499BD60F" w:rsidR="00907A1A" w:rsidRPr="00A00A18" w:rsidRDefault="00907A1A" w:rsidP="00DB5611">
            <w:pPr>
              <w:pStyle w:val="Tabletext"/>
              <w:jc w:val="center"/>
            </w:pPr>
            <w:r w:rsidRPr="00A00A18">
              <w:t>54,9</w:t>
            </w:r>
            <w:r w:rsidR="005E79B5" w:rsidRPr="00A00A18">
              <w:t>–</w:t>
            </w:r>
          </w:p>
        </w:tc>
        <w:tc>
          <w:tcPr>
            <w:tcW w:w="628" w:type="pct"/>
            <w:vAlign w:val="center"/>
            <w:hideMark/>
          </w:tcPr>
          <w:p w14:paraId="79A74C42" w14:textId="4ED8FF50" w:rsidR="00907A1A" w:rsidRPr="00A00A18" w:rsidRDefault="00907A1A" w:rsidP="00DB5611">
            <w:pPr>
              <w:pStyle w:val="Tabletext"/>
              <w:jc w:val="center"/>
            </w:pPr>
            <w:r w:rsidRPr="00A00A18">
              <w:t>61,9</w:t>
            </w:r>
            <w:r w:rsidR="005E79B5" w:rsidRPr="00A00A18">
              <w:t>–</w:t>
            </w:r>
          </w:p>
        </w:tc>
        <w:tc>
          <w:tcPr>
            <w:tcW w:w="646" w:type="pct"/>
            <w:vAlign w:val="center"/>
            <w:hideMark/>
          </w:tcPr>
          <w:p w14:paraId="2225782A" w14:textId="31D1F0B1" w:rsidR="00907A1A" w:rsidRPr="00A00A18" w:rsidRDefault="00907A1A" w:rsidP="00DB5611">
            <w:pPr>
              <w:pStyle w:val="Tabletext"/>
              <w:jc w:val="center"/>
            </w:pPr>
            <w:r w:rsidRPr="00A00A18">
              <w:t>68,9</w:t>
            </w:r>
            <w:r w:rsidR="005E79B5" w:rsidRPr="00A00A18">
              <w:t>–</w:t>
            </w:r>
          </w:p>
        </w:tc>
        <w:tc>
          <w:tcPr>
            <w:tcW w:w="620" w:type="pct"/>
            <w:vAlign w:val="center"/>
            <w:hideMark/>
          </w:tcPr>
          <w:p w14:paraId="127FA439" w14:textId="5F2FD7EC" w:rsidR="00907A1A" w:rsidRPr="00A00A18" w:rsidRDefault="00907A1A" w:rsidP="00DB5611">
            <w:pPr>
              <w:pStyle w:val="Tabletext"/>
              <w:jc w:val="center"/>
            </w:pPr>
            <w:r w:rsidRPr="00A00A18">
              <w:t>19,9</w:t>
            </w:r>
            <w:r w:rsidR="005E79B5" w:rsidRPr="00A00A18">
              <w:t>–</w:t>
            </w:r>
          </w:p>
        </w:tc>
        <w:tc>
          <w:tcPr>
            <w:tcW w:w="620" w:type="pct"/>
            <w:vAlign w:val="center"/>
            <w:hideMark/>
          </w:tcPr>
          <w:p w14:paraId="45CBE4B1" w14:textId="2211FDC2" w:rsidR="00907A1A" w:rsidRPr="00A00A18" w:rsidRDefault="00907A1A" w:rsidP="00DB5611">
            <w:pPr>
              <w:pStyle w:val="Tabletext"/>
              <w:jc w:val="center"/>
            </w:pPr>
            <w:r w:rsidRPr="00A00A18">
              <w:t>23,9</w:t>
            </w:r>
            <w:r w:rsidR="005E79B5" w:rsidRPr="00A00A18">
              <w:t>–</w:t>
            </w:r>
          </w:p>
        </w:tc>
        <w:tc>
          <w:tcPr>
            <w:tcW w:w="667" w:type="pct"/>
            <w:vAlign w:val="center"/>
            <w:hideMark/>
          </w:tcPr>
          <w:p w14:paraId="3A1126CE" w14:textId="18C41DB1" w:rsidR="00907A1A" w:rsidRPr="00A00A18" w:rsidRDefault="00907A1A" w:rsidP="00DB5611">
            <w:pPr>
              <w:pStyle w:val="Tabletext"/>
              <w:jc w:val="center"/>
            </w:pPr>
            <w:r w:rsidRPr="00A00A18">
              <w:t>38,9</w:t>
            </w:r>
            <w:r w:rsidR="005E79B5" w:rsidRPr="00A00A18">
              <w:t>–</w:t>
            </w:r>
          </w:p>
        </w:tc>
      </w:tr>
      <w:tr w:rsidR="00907A1A" w:rsidRPr="00A00A18" w14:paraId="752846B6" w14:textId="77777777" w:rsidTr="006B32BC">
        <w:trPr>
          <w:jc w:val="center"/>
        </w:trPr>
        <w:tc>
          <w:tcPr>
            <w:tcW w:w="405" w:type="pct"/>
            <w:vMerge/>
            <w:tcBorders>
              <w:bottom w:val="single" w:sz="4" w:space="0" w:color="auto"/>
            </w:tcBorders>
            <w:hideMark/>
          </w:tcPr>
          <w:p w14:paraId="0EBB709B" w14:textId="77777777" w:rsidR="00907A1A" w:rsidRPr="00A00A18" w:rsidRDefault="00907A1A" w:rsidP="00DB5611">
            <w:pPr>
              <w:pStyle w:val="Tabletext"/>
            </w:pPr>
          </w:p>
        </w:tc>
        <w:tc>
          <w:tcPr>
            <w:tcW w:w="794" w:type="pct"/>
            <w:tcBorders>
              <w:bottom w:val="single" w:sz="4" w:space="0" w:color="auto"/>
            </w:tcBorders>
            <w:vAlign w:val="center"/>
            <w:hideMark/>
          </w:tcPr>
          <w:p w14:paraId="47DB9C36" w14:textId="77777777" w:rsidR="00907A1A" w:rsidRPr="00A00A18" w:rsidRDefault="00907A1A" w:rsidP="00DB5611">
            <w:pPr>
              <w:pStyle w:val="Tabletext"/>
              <w:jc w:val="center"/>
            </w:pPr>
            <w:r w:rsidRPr="00A00A18">
              <w:t>32</w:t>
            </w:r>
            <w:r w:rsidRPr="00A00A18">
              <w:rPr>
                <w:rtl/>
              </w:rPr>
              <w:t xml:space="preserve"> (الأقصى)</w:t>
            </w:r>
          </w:p>
        </w:tc>
        <w:tc>
          <w:tcPr>
            <w:tcW w:w="620" w:type="pct"/>
            <w:tcBorders>
              <w:bottom w:val="single" w:sz="4" w:space="0" w:color="auto"/>
            </w:tcBorders>
            <w:vAlign w:val="center"/>
            <w:hideMark/>
          </w:tcPr>
          <w:p w14:paraId="4F049C68" w14:textId="0FDDBB9A" w:rsidR="00907A1A" w:rsidRPr="00A00A18" w:rsidRDefault="00907A1A" w:rsidP="00DB5611">
            <w:pPr>
              <w:pStyle w:val="Tabletext"/>
              <w:jc w:val="center"/>
            </w:pPr>
            <w:r w:rsidRPr="00A00A18">
              <w:t>85,9</w:t>
            </w:r>
            <w:r w:rsidR="005E79B5" w:rsidRPr="00A00A18">
              <w:t>–</w:t>
            </w:r>
          </w:p>
        </w:tc>
        <w:tc>
          <w:tcPr>
            <w:tcW w:w="628" w:type="pct"/>
            <w:tcBorders>
              <w:bottom w:val="single" w:sz="4" w:space="0" w:color="auto"/>
            </w:tcBorders>
            <w:vAlign w:val="center"/>
            <w:hideMark/>
          </w:tcPr>
          <w:p w14:paraId="7EF124FC" w14:textId="5223CC24" w:rsidR="00907A1A" w:rsidRPr="00A00A18" w:rsidRDefault="00907A1A" w:rsidP="00DB5611">
            <w:pPr>
              <w:pStyle w:val="Tabletext"/>
              <w:jc w:val="center"/>
            </w:pPr>
            <w:r w:rsidRPr="00A00A18">
              <w:t>92,9</w:t>
            </w:r>
            <w:r w:rsidR="005E79B5" w:rsidRPr="00A00A18">
              <w:t>–</w:t>
            </w:r>
          </w:p>
        </w:tc>
        <w:tc>
          <w:tcPr>
            <w:tcW w:w="646" w:type="pct"/>
            <w:tcBorders>
              <w:bottom w:val="single" w:sz="4" w:space="0" w:color="auto"/>
            </w:tcBorders>
            <w:vAlign w:val="center"/>
            <w:hideMark/>
          </w:tcPr>
          <w:p w14:paraId="0424C446" w14:textId="1D327B1B" w:rsidR="00907A1A" w:rsidRPr="00A00A18" w:rsidRDefault="00907A1A" w:rsidP="00DB5611">
            <w:pPr>
              <w:pStyle w:val="Tabletext"/>
              <w:jc w:val="center"/>
            </w:pPr>
            <w:r w:rsidRPr="00A00A18">
              <w:t>99,9</w:t>
            </w:r>
            <w:r w:rsidR="005E79B5" w:rsidRPr="00A00A18">
              <w:t>–</w:t>
            </w:r>
          </w:p>
        </w:tc>
        <w:tc>
          <w:tcPr>
            <w:tcW w:w="620" w:type="pct"/>
            <w:tcBorders>
              <w:bottom w:val="single" w:sz="4" w:space="0" w:color="auto"/>
            </w:tcBorders>
            <w:vAlign w:val="center"/>
            <w:hideMark/>
          </w:tcPr>
          <w:p w14:paraId="118A5420" w14:textId="254F610A" w:rsidR="00907A1A" w:rsidRPr="00A00A18" w:rsidRDefault="00907A1A" w:rsidP="00DB5611">
            <w:pPr>
              <w:pStyle w:val="Tabletext"/>
              <w:jc w:val="center"/>
            </w:pPr>
            <w:r w:rsidRPr="00A00A18">
              <w:t>50,9</w:t>
            </w:r>
            <w:r w:rsidR="005E79B5" w:rsidRPr="00A00A18">
              <w:t>–</w:t>
            </w:r>
          </w:p>
        </w:tc>
        <w:tc>
          <w:tcPr>
            <w:tcW w:w="620" w:type="pct"/>
            <w:tcBorders>
              <w:bottom w:val="single" w:sz="4" w:space="0" w:color="auto"/>
            </w:tcBorders>
            <w:vAlign w:val="center"/>
            <w:hideMark/>
          </w:tcPr>
          <w:p w14:paraId="02CA06ED" w14:textId="2D1156D5" w:rsidR="00907A1A" w:rsidRPr="00A00A18" w:rsidRDefault="00907A1A" w:rsidP="00DB5611">
            <w:pPr>
              <w:pStyle w:val="Tabletext"/>
              <w:jc w:val="center"/>
            </w:pPr>
            <w:r w:rsidRPr="00A00A18">
              <w:t>54,9</w:t>
            </w:r>
            <w:r w:rsidR="005E79B5" w:rsidRPr="00A00A18">
              <w:t>–</w:t>
            </w:r>
          </w:p>
        </w:tc>
        <w:tc>
          <w:tcPr>
            <w:tcW w:w="667" w:type="pct"/>
            <w:tcBorders>
              <w:bottom w:val="single" w:sz="4" w:space="0" w:color="auto"/>
            </w:tcBorders>
            <w:vAlign w:val="center"/>
            <w:hideMark/>
          </w:tcPr>
          <w:p w14:paraId="1B786786" w14:textId="08A4A6CE" w:rsidR="00907A1A" w:rsidRPr="00A00A18" w:rsidRDefault="00907A1A" w:rsidP="00DB5611">
            <w:pPr>
              <w:pStyle w:val="Tabletext"/>
              <w:jc w:val="center"/>
            </w:pPr>
            <w:r w:rsidRPr="00A00A18">
              <w:t>69,9</w:t>
            </w:r>
            <w:r w:rsidR="005E79B5" w:rsidRPr="00A00A18">
              <w:t>–</w:t>
            </w:r>
          </w:p>
        </w:tc>
      </w:tr>
      <w:tr w:rsidR="00907A1A" w:rsidRPr="00A00A18" w14:paraId="643DAD30" w14:textId="77777777" w:rsidTr="006B32BC">
        <w:trPr>
          <w:jc w:val="center"/>
        </w:trPr>
        <w:tc>
          <w:tcPr>
            <w:tcW w:w="5000" w:type="pct"/>
            <w:gridSpan w:val="8"/>
            <w:tcBorders>
              <w:left w:val="nil"/>
              <w:bottom w:val="nil"/>
              <w:right w:val="nil"/>
            </w:tcBorders>
          </w:tcPr>
          <w:p w14:paraId="252DAC74" w14:textId="0E15B2FF" w:rsidR="00907A1A" w:rsidRPr="00A00A18" w:rsidRDefault="00907A1A" w:rsidP="00907A1A">
            <w:pPr>
              <w:pStyle w:val="Note"/>
              <w:rPr>
                <w:sz w:val="18"/>
                <w:szCs w:val="24"/>
                <w:lang w:val="ar-SA" w:eastAsia="zh-TW" w:bidi="en-GB"/>
              </w:rPr>
            </w:pPr>
            <w:r w:rsidRPr="00A00A18">
              <w:rPr>
                <w:i/>
                <w:iCs/>
                <w:sz w:val="18"/>
                <w:szCs w:val="24"/>
                <w:rtl/>
              </w:rPr>
              <w:t>ملاحظة</w:t>
            </w:r>
            <w:r w:rsidRPr="00A00A18">
              <w:rPr>
                <w:sz w:val="18"/>
                <w:szCs w:val="24"/>
                <w:rtl/>
              </w:rPr>
              <w:t xml:space="preserve">: تنطبق حدود كثافة تدفق القدرة على القدرة الإجمالية التي تشعّها أيُّ محطة قاعدة في النطاق المشار إليه لعرض النطاق </w:t>
            </w:r>
            <w:r w:rsidRPr="00A00A18">
              <w:rPr>
                <w:sz w:val="18"/>
                <w:szCs w:val="24"/>
              </w:rPr>
              <w:t>MHz 5</w:t>
            </w:r>
            <w:r w:rsidRPr="00A00A18">
              <w:rPr>
                <w:sz w:val="18"/>
                <w:szCs w:val="24"/>
                <w:rtl/>
              </w:rPr>
              <w:t xml:space="preserve">. </w:t>
            </w:r>
          </w:p>
        </w:tc>
      </w:tr>
    </w:tbl>
    <w:p w14:paraId="3EC7BFB1" w14:textId="38D301C6" w:rsidR="00F85F93" w:rsidRPr="00770CE6" w:rsidRDefault="00F85F93" w:rsidP="00907A1A">
      <w:pPr>
        <w:rPr>
          <w:lang w:val="ar-SA" w:eastAsia="zh-TW" w:bidi="en-GB"/>
        </w:rPr>
      </w:pPr>
      <w:r w:rsidRPr="00770CE6">
        <w:rPr>
          <w:rtl/>
        </w:rPr>
        <w:lastRenderedPageBreak/>
        <w:t>وقد تحتاج الإدارات إلى تعديل القيم وفقاً لخصائص المحطات الأرضية المتنقلة المتوقع تشغيلها في أراضيها مع مراعاة أي تمييز في</w:t>
      </w:r>
      <w:r w:rsidR="00B70007">
        <w:rPr>
          <w:rFonts w:hint="cs"/>
          <w:rtl/>
        </w:rPr>
        <w:t> </w:t>
      </w:r>
      <w:r w:rsidRPr="00770CE6">
        <w:rPr>
          <w:rtl/>
        </w:rPr>
        <w:t>هوائي المحطة الأرضية المتنقلة قد يتمّ افتراضه. ويمكن ملاحظة أن غالبية هوائيات المحطات الأرضية المتنقلة المقامة على</w:t>
      </w:r>
      <w:r w:rsidR="00907A1A">
        <w:rPr>
          <w:rFonts w:hint="cs"/>
          <w:rtl/>
          <w:lang w:bidi="ar-EG"/>
        </w:rPr>
        <w:t xml:space="preserve"> </w:t>
      </w:r>
      <w:r w:rsidRPr="00770CE6">
        <w:rPr>
          <w:rtl/>
        </w:rPr>
        <w:t>اليابسة منخفضة الكسب لأنها أجهزة صغيرة قائمة على إنترنت الأشياء أو محمولة باليد. ومع ذلك، حيثما تُستخدم هوائيات المحطات الأرضية المتنقلة العالية الكسب، فإنها توفر مستوى أعلى من التمييز. وثمة مواقع في العالم يمكن أن يكون فيها كسب الهوائي نحو الأفق أو</w:t>
      </w:r>
      <w:r w:rsidR="00B70007">
        <w:rPr>
          <w:rFonts w:hint="cs"/>
          <w:rtl/>
        </w:rPr>
        <w:t> </w:t>
      </w:r>
      <w:r w:rsidRPr="00770CE6">
        <w:rPr>
          <w:rtl/>
        </w:rPr>
        <w:t xml:space="preserve">نحو محطة قاعدة قريباً من القيمة القصوى. وذلك حيث توجد زاوية ارتفاع منخفضة للمحطات الأرضية المتنقلة وحيث تُنشر المحطات القاعدة للاتصالات المتنقلة الدولية في الجوار وفي اتجاه ساتل الخدمة المتنقلة الساتلية كما يُرى من المحطة الأرضية المتنقلة. وفي هذه الحالات، ينبغي أن تؤخذ الزوايا الفعلية مع </w:t>
      </w:r>
      <w:proofErr w:type="spellStart"/>
      <w:r w:rsidRPr="00770CE6">
        <w:rPr>
          <w:rtl/>
        </w:rPr>
        <w:t>الساتل</w:t>
      </w:r>
      <w:proofErr w:type="spellEnd"/>
      <w:r w:rsidRPr="00770CE6">
        <w:rPr>
          <w:rtl/>
        </w:rPr>
        <w:t xml:space="preserve"> والاتجاه والمسافة فيما يتعلق بنَشْر الاتصالات المتنقلة الدولية في الحسبان وأن تضبط كثافة تدفق القدرة على قيمة تبيّن ذلك.</w:t>
      </w:r>
    </w:p>
    <w:p w14:paraId="1011CE4F" w14:textId="733B2802" w:rsidR="00F85F93" w:rsidRPr="00770CE6" w:rsidRDefault="00F85F93" w:rsidP="00907A1A">
      <w:pPr>
        <w:rPr>
          <w:lang w:val="ar-SA" w:eastAsia="zh-TW" w:bidi="en-GB"/>
        </w:rPr>
      </w:pPr>
      <w:r w:rsidRPr="00770CE6">
        <w:rPr>
          <w:rtl/>
        </w:rPr>
        <w:t xml:space="preserve">وقد يلزم فصل جغرافي بين المحطة القاعدة للاتصالات المتنقلة الدولية وحدود المناطق المحدَّدة التي تنطبق عليها حدود كثافة تدفق القدرة. وينطبق ذلك بصفة خاصة على قِيم المرحلة </w:t>
      </w:r>
      <w:r w:rsidRPr="00770CE6">
        <w:t>1</w:t>
      </w:r>
      <w:r w:rsidRPr="00770CE6">
        <w:rPr>
          <w:rtl/>
        </w:rPr>
        <w:t xml:space="preserve"> وعلى المحطات القاعدة للاتصالات المتنقلة الدولية ذات القدرة الأعلى التي تستعمل المجموعة الأعلى من ترددات الاتصالات المتنقلة الدولية (الأقرب إلى </w:t>
      </w:r>
      <w:r w:rsidRPr="00770CE6">
        <w:t xml:space="preserve">MHz </w:t>
      </w:r>
      <w:r w:rsidR="009E704A">
        <w:t>1 518</w:t>
      </w:r>
      <w:r w:rsidRPr="00770CE6">
        <w:rPr>
          <w:rtl/>
        </w:rPr>
        <w:t xml:space="preserve">). ويعتمد الفصل الجغرافي على عدد من العوامل بما في ذلك القدرة المشعة المكافئة </w:t>
      </w:r>
      <w:proofErr w:type="spellStart"/>
      <w:r w:rsidRPr="00770CE6">
        <w:rPr>
          <w:rtl/>
        </w:rPr>
        <w:t>المتناحية</w:t>
      </w:r>
      <w:proofErr w:type="spellEnd"/>
      <w:r w:rsidRPr="00770CE6">
        <w:rPr>
          <w:rtl/>
        </w:rPr>
        <w:t xml:space="preserve"> للمحطة القاعدة للاتصالات المتنقلة الدولية، والجلبة المحلية، وقِيَم كثافة تدفق القدرة المطبقة (المرحلة </w:t>
      </w:r>
      <w:r w:rsidRPr="00770CE6">
        <w:t>1</w:t>
      </w:r>
      <w:r w:rsidRPr="00770CE6">
        <w:rPr>
          <w:rtl/>
        </w:rPr>
        <w:t xml:space="preserve"> أو المرحلة </w:t>
      </w:r>
      <w:r w:rsidRPr="00770CE6">
        <w:t>2</w:t>
      </w:r>
      <w:r w:rsidRPr="00770CE6">
        <w:rPr>
          <w:rtl/>
        </w:rPr>
        <w:t>). وبالنسبة لبعض قِيم كثافة تدفق القدرة وزوايا ارتفاع هوائي المحطة الأرضية المتنقلة (المنخفضة جداً)، قد يصل هذا الفصل الجغرافي إلى عدة عشرات من الكيلومترات.</w:t>
      </w:r>
    </w:p>
    <w:p w14:paraId="16245A7C" w14:textId="112968AF" w:rsidR="00F85F93" w:rsidRPr="00907A1A" w:rsidRDefault="00907A1A" w:rsidP="003E559A">
      <w:pPr>
        <w:pStyle w:val="Heading2"/>
        <w:textDirection w:val="tbRlV"/>
      </w:pPr>
      <w:bookmarkStart w:id="17" w:name="_Hlk160782235"/>
      <w:r>
        <w:t>3</w:t>
      </w:r>
      <w:r w:rsidRPr="00E13C43">
        <w:t>-A4</w:t>
      </w:r>
      <w:r w:rsidR="00F85F93" w:rsidRPr="00907A1A">
        <w:rPr>
          <w:rtl/>
        </w:rPr>
        <w:tab/>
        <w:t xml:space="preserve">التدبير </w:t>
      </w:r>
      <w:r w:rsidR="00F85F93" w:rsidRPr="00907A1A">
        <w:t>2</w:t>
      </w:r>
      <w:r w:rsidR="00F85F93" w:rsidRPr="00907A1A">
        <w:rPr>
          <w:rtl/>
        </w:rPr>
        <w:t xml:space="preserve"> - حدود القدرة المشعة المكافئة </w:t>
      </w:r>
      <w:proofErr w:type="spellStart"/>
      <w:r w:rsidR="00F85F93" w:rsidRPr="00907A1A">
        <w:rPr>
          <w:rtl/>
        </w:rPr>
        <w:t>المتناحية</w:t>
      </w:r>
      <w:proofErr w:type="spellEnd"/>
      <w:r w:rsidR="00F85F93" w:rsidRPr="00907A1A">
        <w:rPr>
          <w:rtl/>
        </w:rPr>
        <w:t xml:space="preserve"> داخل النطاق</w:t>
      </w:r>
      <w:bookmarkEnd w:id="17"/>
    </w:p>
    <w:p w14:paraId="0BAFF9DA" w14:textId="77777777" w:rsidR="00F85F93" w:rsidRPr="00770CE6" w:rsidRDefault="00F85F93" w:rsidP="00907A1A">
      <w:pPr>
        <w:rPr>
          <w:rtl/>
        </w:rPr>
      </w:pPr>
      <w:r w:rsidRPr="00770CE6">
        <w:rPr>
          <w:rtl/>
        </w:rPr>
        <w:t xml:space="preserve">الغرض من حدود القدرة المشعة المكافئة </w:t>
      </w:r>
      <w:proofErr w:type="spellStart"/>
      <w:r w:rsidRPr="00770CE6">
        <w:rPr>
          <w:rtl/>
        </w:rPr>
        <w:t>المتناحية</w:t>
      </w:r>
      <w:proofErr w:type="spellEnd"/>
      <w:r w:rsidRPr="00770CE6">
        <w:rPr>
          <w:rtl/>
        </w:rPr>
        <w:t xml:space="preserve"> المبيّنة في الجدول </w:t>
      </w:r>
      <w:r w:rsidRPr="00770CE6">
        <w:t>10</w:t>
      </w:r>
      <w:r w:rsidRPr="00770CE6">
        <w:rPr>
          <w:rtl/>
        </w:rPr>
        <w:t xml:space="preserve"> هو تطبيقها على المحطات القاعدة ومعدات المستعمِلين للاتصالات المتنقلة الدولية ويمكن استعمالها كتدبير قائم بذاته في جميع أنحاء بلد معيّن أو يمكن استعمالها كتدبير تكميلي في الحالات التي تقرر فيها إدارة ما عدم استعمال مستويات كثافة تدفق القدرة للمحطات الأرضية المتنقلة للطيران أو البحرية أو البرية.</w:t>
      </w:r>
    </w:p>
    <w:p w14:paraId="7910D983" w14:textId="15C2BF70" w:rsidR="00F85F93" w:rsidRPr="00770CE6" w:rsidRDefault="00F85F93" w:rsidP="00907A1A">
      <w:pPr>
        <w:rPr>
          <w:rtl/>
        </w:rPr>
      </w:pPr>
      <w:r w:rsidRPr="00770CE6">
        <w:rPr>
          <w:rtl/>
        </w:rPr>
        <w:t xml:space="preserve">وتستند قيم القدرة المشعة المكافئة </w:t>
      </w:r>
      <w:proofErr w:type="spellStart"/>
      <w:r w:rsidRPr="00770CE6">
        <w:rPr>
          <w:rtl/>
        </w:rPr>
        <w:t>المتناحية</w:t>
      </w:r>
      <w:proofErr w:type="spellEnd"/>
      <w:r w:rsidRPr="00770CE6">
        <w:rPr>
          <w:rtl/>
        </w:rPr>
        <w:t xml:space="preserve"> إلى القدرة على الصمود أمام الحَجْب للمحطات الأرضية المتنقلة العاملة حالياً والجيل التالي منها</w:t>
      </w:r>
      <w:r w:rsidR="00907A1A">
        <w:rPr>
          <w:rFonts w:hint="cs"/>
          <w:rtl/>
        </w:rPr>
        <w:t xml:space="preserve"> </w:t>
      </w:r>
      <w:r w:rsidRPr="00770CE6">
        <w:rPr>
          <w:rtl/>
        </w:rPr>
        <w:t>التي تفي بالمتطلبات التقنية لهذه التوصية.</w:t>
      </w:r>
    </w:p>
    <w:p w14:paraId="16757512" w14:textId="77777777" w:rsidR="00F85F93" w:rsidRPr="00770CE6" w:rsidRDefault="00F85F93" w:rsidP="00907A1A">
      <w:pPr>
        <w:rPr>
          <w:bCs/>
          <w:lang w:val="ar-SA" w:eastAsia="zh-TW" w:bidi="en-GB"/>
        </w:rPr>
      </w:pPr>
      <w:r w:rsidRPr="00770CE6">
        <w:rPr>
          <w:rtl/>
        </w:rPr>
        <w:t xml:space="preserve">ويمكن تطبيق حدود كثافة تدفق القدرة على مرحلتين. ففي المرحلة </w:t>
      </w:r>
      <w:r w:rsidRPr="00770CE6">
        <w:t>1</w:t>
      </w:r>
      <w:r w:rsidRPr="00770CE6">
        <w:rPr>
          <w:rtl/>
        </w:rPr>
        <w:t xml:space="preserve">، تستند قِيَم القدرة المشعة المكافئة </w:t>
      </w:r>
      <w:proofErr w:type="spellStart"/>
      <w:r w:rsidRPr="00770CE6">
        <w:rPr>
          <w:rtl/>
        </w:rPr>
        <w:t>المتناحية</w:t>
      </w:r>
      <w:proofErr w:type="spellEnd"/>
      <w:r w:rsidRPr="00770CE6">
        <w:rPr>
          <w:rtl/>
        </w:rPr>
        <w:t xml:space="preserve"> إلى أداء الحجب المقاس للمحطات الأرضية المتنقلة البرية الحالية. وفي المرحلة </w:t>
      </w:r>
      <w:r w:rsidRPr="00770CE6">
        <w:t>2</w:t>
      </w:r>
      <w:r w:rsidRPr="00770CE6">
        <w:rPr>
          <w:rtl/>
        </w:rPr>
        <w:t xml:space="preserve">، تستند قِيَم القدرة المشعة المكافئة </w:t>
      </w:r>
      <w:proofErr w:type="spellStart"/>
      <w:r w:rsidRPr="00770CE6">
        <w:rPr>
          <w:rtl/>
        </w:rPr>
        <w:t>المتناحية</w:t>
      </w:r>
      <w:proofErr w:type="spellEnd"/>
      <w:r w:rsidRPr="00770CE6">
        <w:rPr>
          <w:rtl/>
        </w:rPr>
        <w:t xml:space="preserve"> إلى المحطات الأرضية المتنقلة التي تفي بمستويات القدرة على الصمود أمام الحَجْب الواردة في الملحق </w:t>
      </w:r>
      <w:r w:rsidRPr="00770CE6">
        <w:t>3</w:t>
      </w:r>
      <w:r w:rsidRPr="00770CE6">
        <w:rPr>
          <w:rtl/>
        </w:rPr>
        <w:t>.</w:t>
      </w:r>
    </w:p>
    <w:p w14:paraId="3318FE65" w14:textId="77777777" w:rsidR="00F85F93" w:rsidRPr="00770CE6" w:rsidRDefault="00F85F93" w:rsidP="00DB5611">
      <w:pPr>
        <w:pStyle w:val="TableNo0"/>
        <w:rPr>
          <w:lang w:val="ar-SA" w:eastAsia="zh-TW" w:bidi="en-GB"/>
        </w:rPr>
      </w:pPr>
      <w:r w:rsidRPr="00770CE6">
        <w:rPr>
          <w:rtl/>
        </w:rPr>
        <w:lastRenderedPageBreak/>
        <w:t xml:space="preserve">الجدول </w:t>
      </w:r>
      <w:r w:rsidRPr="00770CE6">
        <w:t>10</w:t>
      </w:r>
    </w:p>
    <w:p w14:paraId="60E42DC6" w14:textId="77777777" w:rsidR="00F85F93" w:rsidRPr="00907A1A" w:rsidRDefault="00F85F93" w:rsidP="00DB5611">
      <w:pPr>
        <w:pStyle w:val="Tabletitle"/>
        <w:keepNext/>
        <w:keepLines/>
      </w:pPr>
      <w:r w:rsidRPr="00907A1A">
        <w:rPr>
          <w:rtl/>
        </w:rPr>
        <w:t xml:space="preserve">حدود القدرة المشعة المكافئة </w:t>
      </w:r>
      <w:proofErr w:type="spellStart"/>
      <w:r w:rsidRPr="00907A1A">
        <w:rPr>
          <w:rtl/>
        </w:rPr>
        <w:t>المتناحية</w:t>
      </w:r>
      <w:proofErr w:type="spellEnd"/>
      <w:r w:rsidRPr="00907A1A">
        <w:rPr>
          <w:rtl/>
        </w:rPr>
        <w:t xml:space="preserve"> للمحطات القاعدة للاتصالات المتنقلة الدولية وقدرة إرسال معدّات المستعمِلين من أجل التوافق مع المحطات الأرضية المتنقلة البرية (لإشارة إرسال المحطة القاعدة/معدّات المستعمِلين للاتصالات المتنقلة الدولية في النطاق </w:t>
      </w:r>
      <w:r w:rsidRPr="00907A1A">
        <w:t>MHz 1 517-1 512</w:t>
      </w:r>
      <w:r w:rsidRPr="00907A1A">
        <w:rPr>
          <w:rtl/>
        </w:rPr>
        <w:t>)</w:t>
      </w:r>
    </w:p>
    <w:tbl>
      <w:tblPr>
        <w:tblStyle w:val="TableGrid14"/>
        <w:bidiVisual/>
        <w:tblW w:w="9639" w:type="dxa"/>
        <w:jc w:val="center"/>
        <w:tblLayout w:type="fixed"/>
        <w:tblCellMar>
          <w:left w:w="28" w:type="dxa"/>
          <w:right w:w="28" w:type="dxa"/>
        </w:tblCellMar>
        <w:tblLook w:val="04A0" w:firstRow="1" w:lastRow="0" w:firstColumn="1" w:lastColumn="0" w:noHBand="0" w:noVBand="1"/>
      </w:tblPr>
      <w:tblGrid>
        <w:gridCol w:w="1435"/>
        <w:gridCol w:w="2016"/>
        <w:gridCol w:w="2190"/>
        <w:gridCol w:w="2070"/>
        <w:gridCol w:w="1928"/>
      </w:tblGrid>
      <w:tr w:rsidR="00F85F93" w:rsidRPr="00770CE6" w14:paraId="5B601CBE" w14:textId="77777777" w:rsidTr="006B32BC">
        <w:trPr>
          <w:cantSplit/>
          <w:jc w:val="center"/>
        </w:trPr>
        <w:tc>
          <w:tcPr>
            <w:tcW w:w="744" w:type="pct"/>
            <w:vAlign w:val="center"/>
          </w:tcPr>
          <w:p w14:paraId="2CBCF0E7" w14:textId="77777777" w:rsidR="00F85F93" w:rsidRPr="00907A1A" w:rsidRDefault="00F85F93" w:rsidP="00DB5611">
            <w:pPr>
              <w:pStyle w:val="Tablehead"/>
              <w:keepLines/>
            </w:pPr>
            <w:r w:rsidRPr="00907A1A">
              <w:rPr>
                <w:rtl/>
              </w:rPr>
              <w:t>الخيار</w:t>
            </w:r>
          </w:p>
        </w:tc>
        <w:tc>
          <w:tcPr>
            <w:tcW w:w="1046" w:type="pct"/>
            <w:vAlign w:val="center"/>
          </w:tcPr>
          <w:p w14:paraId="67729DF0" w14:textId="77777777" w:rsidR="00F85F93" w:rsidRPr="00907A1A" w:rsidRDefault="00F85F93" w:rsidP="00DB5611">
            <w:pPr>
              <w:pStyle w:val="Tablehead"/>
              <w:keepLines/>
            </w:pPr>
            <w:r w:rsidRPr="00907A1A">
              <w:rPr>
                <w:rtl/>
              </w:rPr>
              <w:t xml:space="preserve">أقصى قدرة مشعة مكافئة </w:t>
            </w:r>
            <w:proofErr w:type="spellStart"/>
            <w:r w:rsidRPr="00907A1A">
              <w:rPr>
                <w:rtl/>
              </w:rPr>
              <w:t>متناحية</w:t>
            </w:r>
            <w:proofErr w:type="spellEnd"/>
            <w:r w:rsidRPr="00907A1A">
              <w:rPr>
                <w:rtl/>
              </w:rPr>
              <w:t xml:space="preserve"> من المحطة القاعدة للاتصالات المتنقلة الدولية </w:t>
            </w:r>
            <w:r w:rsidRPr="00907A1A">
              <w:t>(dBm)</w:t>
            </w:r>
            <w:r w:rsidRPr="00907A1A">
              <w:rPr>
                <w:rtl/>
              </w:rPr>
              <w:t xml:space="preserve"> النشر في المناطق الريفية</w:t>
            </w:r>
          </w:p>
        </w:tc>
        <w:tc>
          <w:tcPr>
            <w:tcW w:w="1136" w:type="pct"/>
            <w:vAlign w:val="center"/>
          </w:tcPr>
          <w:p w14:paraId="33220017" w14:textId="77777777" w:rsidR="00F85F93" w:rsidRPr="00907A1A" w:rsidRDefault="00F85F93" w:rsidP="00DB5611">
            <w:pPr>
              <w:pStyle w:val="Tablehead"/>
              <w:keepLines/>
            </w:pPr>
            <w:r w:rsidRPr="00907A1A">
              <w:rPr>
                <w:rtl/>
              </w:rPr>
              <w:t xml:space="preserve">أقصى قدرة مشعة مكافئة </w:t>
            </w:r>
            <w:proofErr w:type="spellStart"/>
            <w:r w:rsidRPr="00907A1A">
              <w:rPr>
                <w:rtl/>
              </w:rPr>
              <w:t>متناحية</w:t>
            </w:r>
            <w:proofErr w:type="spellEnd"/>
            <w:r w:rsidRPr="00907A1A">
              <w:rPr>
                <w:rtl/>
              </w:rPr>
              <w:t xml:space="preserve"> (من المحطة القاعدة للاتصالات المتنقلة الدولية </w:t>
            </w:r>
            <w:r w:rsidRPr="00907A1A">
              <w:t>(dBm)</w:t>
            </w:r>
            <w:r w:rsidRPr="00907A1A">
              <w:rPr>
                <w:rtl/>
              </w:rPr>
              <w:t xml:space="preserve"> النشر في الضواحي</w:t>
            </w:r>
          </w:p>
        </w:tc>
        <w:tc>
          <w:tcPr>
            <w:tcW w:w="1074" w:type="pct"/>
            <w:vAlign w:val="center"/>
          </w:tcPr>
          <w:p w14:paraId="3A6A4E85" w14:textId="4117F092" w:rsidR="00F85F93" w:rsidRPr="00907A1A" w:rsidRDefault="00F85F93" w:rsidP="00DB5611">
            <w:pPr>
              <w:pStyle w:val="Tablehead"/>
              <w:keepLines/>
            </w:pPr>
            <w:r w:rsidRPr="00907A1A">
              <w:rPr>
                <w:rtl/>
              </w:rPr>
              <w:t xml:space="preserve">أقصى قدرة مشعة مكافئة </w:t>
            </w:r>
            <w:proofErr w:type="spellStart"/>
            <w:r w:rsidRPr="00907A1A">
              <w:rPr>
                <w:rtl/>
              </w:rPr>
              <w:t>متناحية</w:t>
            </w:r>
            <w:proofErr w:type="spellEnd"/>
            <w:r w:rsidR="007C264C">
              <w:t xml:space="preserve"> </w:t>
            </w:r>
            <w:r w:rsidRPr="00907A1A">
              <w:rPr>
                <w:rtl/>
              </w:rPr>
              <w:t xml:space="preserve">من المحطة القاعدة للاتصالات المتنقلة الدولية </w:t>
            </w:r>
            <w:r w:rsidRPr="00907A1A">
              <w:t>(dBm)</w:t>
            </w:r>
            <w:r w:rsidRPr="00907A1A">
              <w:rPr>
                <w:rtl/>
              </w:rPr>
              <w:t xml:space="preserve"> النشر في المناطق الحضرية</w:t>
            </w:r>
          </w:p>
        </w:tc>
        <w:tc>
          <w:tcPr>
            <w:tcW w:w="1001" w:type="pct"/>
          </w:tcPr>
          <w:p w14:paraId="1B5307D4" w14:textId="77777777" w:rsidR="00F85F93" w:rsidRPr="00907A1A" w:rsidRDefault="00F85F93" w:rsidP="00DB5611">
            <w:pPr>
              <w:pStyle w:val="Tablehead"/>
              <w:keepLines/>
              <w:rPr>
                <w:rtl/>
              </w:rPr>
            </w:pPr>
            <w:r w:rsidRPr="00907A1A">
              <w:rPr>
                <w:rtl/>
              </w:rPr>
              <w:t xml:space="preserve">قدرة الإرسال القصوى من معدّات مستعمِلي الاتصالات المتنقلة الدولية </w:t>
            </w:r>
            <w:r w:rsidRPr="00907A1A">
              <w:t>(dBm)</w:t>
            </w:r>
          </w:p>
        </w:tc>
      </w:tr>
      <w:tr w:rsidR="00F85F93" w:rsidRPr="00770CE6" w14:paraId="59D0B39A" w14:textId="77777777" w:rsidTr="006B32BC">
        <w:trPr>
          <w:cantSplit/>
          <w:jc w:val="center"/>
        </w:trPr>
        <w:tc>
          <w:tcPr>
            <w:tcW w:w="744" w:type="pct"/>
            <w:vAlign w:val="center"/>
          </w:tcPr>
          <w:p w14:paraId="113B7EDE" w14:textId="77777777" w:rsidR="00F85F93" w:rsidRPr="00FA4ECF" w:rsidRDefault="00F85F93" w:rsidP="00DB5611">
            <w:pPr>
              <w:pStyle w:val="Tabletext"/>
              <w:keepNext/>
              <w:keepLines/>
            </w:pPr>
            <w:r w:rsidRPr="00FA4ECF">
              <w:t>1</w:t>
            </w:r>
            <w:r w:rsidRPr="00FA4ECF">
              <w:rPr>
                <w:rtl/>
              </w:rPr>
              <w:t xml:space="preserve"> (المرحلة </w:t>
            </w:r>
            <w:r w:rsidRPr="00FA4ECF">
              <w:t>1</w:t>
            </w:r>
            <w:r w:rsidRPr="00FA4ECF">
              <w:rPr>
                <w:rtl/>
              </w:rPr>
              <w:t xml:space="preserve">) </w:t>
            </w:r>
            <w:r w:rsidRPr="00FA4ECF">
              <w:rPr>
                <w:vertAlign w:val="superscript"/>
              </w:rPr>
              <w:t>(</w:t>
            </w:r>
            <w:proofErr w:type="gramStart"/>
            <w:r w:rsidRPr="00FA4ECF">
              <w:rPr>
                <w:vertAlign w:val="superscript"/>
              </w:rPr>
              <w:t>1)</w:t>
            </w:r>
            <w:r w:rsidRPr="00FA4ECF">
              <w:rPr>
                <w:vertAlign w:val="superscript"/>
                <w:rtl/>
              </w:rPr>
              <w:t>،</w:t>
            </w:r>
            <w:proofErr w:type="gramEnd"/>
            <w:r w:rsidRPr="00FA4ECF">
              <w:rPr>
                <w:vertAlign w:val="superscript"/>
                <w:rtl/>
              </w:rPr>
              <w:t xml:space="preserve"> </w:t>
            </w:r>
            <w:r w:rsidRPr="00FA4ECF">
              <w:rPr>
                <w:vertAlign w:val="superscript"/>
              </w:rPr>
              <w:t>(2)</w:t>
            </w:r>
          </w:p>
        </w:tc>
        <w:tc>
          <w:tcPr>
            <w:tcW w:w="1046" w:type="pct"/>
            <w:vAlign w:val="center"/>
          </w:tcPr>
          <w:p w14:paraId="327EB5F5" w14:textId="77777777" w:rsidR="00F85F93" w:rsidRPr="00FA4ECF" w:rsidRDefault="00F85F93" w:rsidP="00DB5611">
            <w:pPr>
              <w:pStyle w:val="Tabletext"/>
              <w:keepNext/>
              <w:keepLines/>
              <w:jc w:val="center"/>
            </w:pPr>
            <w:r w:rsidRPr="00FA4ECF">
              <w:t>19,5</w:t>
            </w:r>
          </w:p>
        </w:tc>
        <w:tc>
          <w:tcPr>
            <w:tcW w:w="1136" w:type="pct"/>
            <w:vAlign w:val="center"/>
          </w:tcPr>
          <w:p w14:paraId="42175165" w14:textId="77777777" w:rsidR="00F85F93" w:rsidRPr="00FA4ECF" w:rsidRDefault="00F85F93" w:rsidP="00DB5611">
            <w:pPr>
              <w:pStyle w:val="Tabletext"/>
              <w:keepNext/>
              <w:keepLines/>
              <w:jc w:val="center"/>
            </w:pPr>
            <w:r w:rsidRPr="00FA4ECF">
              <w:t>7</w:t>
            </w:r>
          </w:p>
        </w:tc>
        <w:tc>
          <w:tcPr>
            <w:tcW w:w="1074" w:type="pct"/>
            <w:vAlign w:val="center"/>
          </w:tcPr>
          <w:p w14:paraId="139A5DEB" w14:textId="77777777" w:rsidR="00F85F93" w:rsidRPr="00FA4ECF" w:rsidRDefault="00F85F93" w:rsidP="00DB5611">
            <w:pPr>
              <w:pStyle w:val="Tabletext"/>
              <w:keepNext/>
              <w:keepLines/>
              <w:jc w:val="center"/>
            </w:pPr>
            <w:r w:rsidRPr="00FA4ECF">
              <w:t>5,5</w:t>
            </w:r>
          </w:p>
        </w:tc>
        <w:tc>
          <w:tcPr>
            <w:tcW w:w="1001" w:type="pct"/>
          </w:tcPr>
          <w:p w14:paraId="2411CC20" w14:textId="77777777" w:rsidR="00F85F93" w:rsidRPr="00FA4ECF" w:rsidRDefault="00F85F93" w:rsidP="00DB5611">
            <w:pPr>
              <w:pStyle w:val="Tabletext"/>
              <w:keepNext/>
              <w:keepLines/>
              <w:jc w:val="center"/>
            </w:pPr>
            <w:r w:rsidRPr="00FA4ECF">
              <w:rPr>
                <w:rtl/>
              </w:rPr>
              <w:t>غير محددة</w:t>
            </w:r>
          </w:p>
        </w:tc>
      </w:tr>
      <w:tr w:rsidR="00F85F93" w:rsidRPr="00770CE6" w14:paraId="61812A2E" w14:textId="77777777" w:rsidTr="006B32BC">
        <w:trPr>
          <w:cantSplit/>
          <w:jc w:val="center"/>
        </w:trPr>
        <w:tc>
          <w:tcPr>
            <w:tcW w:w="744" w:type="pct"/>
            <w:vAlign w:val="center"/>
          </w:tcPr>
          <w:p w14:paraId="3686FBD4" w14:textId="77777777" w:rsidR="00F85F93" w:rsidRPr="00FA4ECF" w:rsidRDefault="00F85F93" w:rsidP="00DB5611">
            <w:pPr>
              <w:pStyle w:val="Tabletext"/>
              <w:keepNext/>
              <w:keepLines/>
            </w:pPr>
            <w:r w:rsidRPr="00FA4ECF">
              <w:t>1</w:t>
            </w:r>
            <w:r w:rsidRPr="00FA4ECF">
              <w:rPr>
                <w:rtl/>
              </w:rPr>
              <w:t xml:space="preserve"> (المرحلة </w:t>
            </w:r>
            <w:r w:rsidRPr="00FA4ECF">
              <w:t>2</w:t>
            </w:r>
            <w:r w:rsidRPr="00FA4ECF">
              <w:rPr>
                <w:rtl/>
              </w:rPr>
              <w:t xml:space="preserve">) </w:t>
            </w:r>
            <w:r w:rsidRPr="00FA4ECF">
              <w:rPr>
                <w:vertAlign w:val="superscript"/>
              </w:rPr>
              <w:t>(</w:t>
            </w:r>
            <w:proofErr w:type="gramStart"/>
            <w:r w:rsidRPr="00FA4ECF">
              <w:rPr>
                <w:vertAlign w:val="superscript"/>
              </w:rPr>
              <w:t>1)</w:t>
            </w:r>
            <w:r w:rsidRPr="00FA4ECF">
              <w:rPr>
                <w:vertAlign w:val="superscript"/>
                <w:rtl/>
              </w:rPr>
              <w:t>،</w:t>
            </w:r>
            <w:proofErr w:type="gramEnd"/>
            <w:r w:rsidRPr="00FA4ECF">
              <w:rPr>
                <w:vertAlign w:val="superscript"/>
                <w:rtl/>
              </w:rPr>
              <w:t xml:space="preserve"> </w:t>
            </w:r>
            <w:r w:rsidRPr="00FA4ECF">
              <w:rPr>
                <w:vertAlign w:val="superscript"/>
              </w:rPr>
              <w:t>(3)</w:t>
            </w:r>
          </w:p>
        </w:tc>
        <w:tc>
          <w:tcPr>
            <w:tcW w:w="1046" w:type="pct"/>
            <w:vAlign w:val="center"/>
          </w:tcPr>
          <w:p w14:paraId="7377C888" w14:textId="77777777" w:rsidR="00F85F93" w:rsidRPr="00FA4ECF" w:rsidRDefault="00F85F93" w:rsidP="00DB5611">
            <w:pPr>
              <w:pStyle w:val="Tabletext"/>
              <w:keepNext/>
              <w:keepLines/>
              <w:jc w:val="center"/>
            </w:pPr>
            <w:r w:rsidRPr="00FA4ECF">
              <w:t>52,5</w:t>
            </w:r>
          </w:p>
        </w:tc>
        <w:tc>
          <w:tcPr>
            <w:tcW w:w="1136" w:type="pct"/>
            <w:vAlign w:val="center"/>
          </w:tcPr>
          <w:p w14:paraId="55550569" w14:textId="77777777" w:rsidR="00F85F93" w:rsidRPr="00FA4ECF" w:rsidRDefault="00F85F93" w:rsidP="00DB5611">
            <w:pPr>
              <w:pStyle w:val="Tabletext"/>
              <w:keepNext/>
              <w:keepLines/>
              <w:jc w:val="center"/>
            </w:pPr>
            <w:r w:rsidRPr="00FA4ECF">
              <w:t>40</w:t>
            </w:r>
          </w:p>
        </w:tc>
        <w:tc>
          <w:tcPr>
            <w:tcW w:w="1074" w:type="pct"/>
            <w:vAlign w:val="center"/>
          </w:tcPr>
          <w:p w14:paraId="39BD7EA9" w14:textId="77777777" w:rsidR="00F85F93" w:rsidRPr="00FA4ECF" w:rsidRDefault="00F85F93" w:rsidP="00DB5611">
            <w:pPr>
              <w:pStyle w:val="Tabletext"/>
              <w:keepNext/>
              <w:keepLines/>
              <w:jc w:val="center"/>
            </w:pPr>
            <w:r w:rsidRPr="00FA4ECF">
              <w:t>38,5</w:t>
            </w:r>
          </w:p>
        </w:tc>
        <w:tc>
          <w:tcPr>
            <w:tcW w:w="1001" w:type="pct"/>
          </w:tcPr>
          <w:p w14:paraId="35B0FA5A" w14:textId="77777777" w:rsidR="00F85F93" w:rsidRPr="00FA4ECF" w:rsidRDefault="00F85F93" w:rsidP="00DB5611">
            <w:pPr>
              <w:pStyle w:val="Tabletext"/>
              <w:keepNext/>
              <w:keepLines/>
              <w:jc w:val="center"/>
            </w:pPr>
            <w:r w:rsidRPr="00FA4ECF">
              <w:t>23</w:t>
            </w:r>
          </w:p>
        </w:tc>
      </w:tr>
      <w:tr w:rsidR="00F85F93" w:rsidRPr="00770CE6" w14:paraId="7154D105" w14:textId="77777777" w:rsidTr="006B32BC">
        <w:trPr>
          <w:cantSplit/>
          <w:jc w:val="center"/>
        </w:trPr>
        <w:tc>
          <w:tcPr>
            <w:tcW w:w="744" w:type="pct"/>
            <w:vAlign w:val="center"/>
          </w:tcPr>
          <w:p w14:paraId="333C1E99" w14:textId="77777777" w:rsidR="00F85F93" w:rsidRPr="00FA4ECF" w:rsidRDefault="00F85F93" w:rsidP="00DB5611">
            <w:pPr>
              <w:pStyle w:val="Tabletext"/>
              <w:keepNext/>
              <w:keepLines/>
            </w:pPr>
            <w:r w:rsidRPr="00FA4ECF">
              <w:t>2</w:t>
            </w:r>
            <w:r w:rsidRPr="00FA4ECF">
              <w:rPr>
                <w:rtl/>
              </w:rPr>
              <w:t xml:space="preserve"> (المرحلة </w:t>
            </w:r>
            <w:r w:rsidRPr="00FA4ECF">
              <w:t>1</w:t>
            </w:r>
            <w:r w:rsidRPr="00FA4ECF">
              <w:rPr>
                <w:rtl/>
              </w:rPr>
              <w:t>)</w:t>
            </w:r>
          </w:p>
        </w:tc>
        <w:tc>
          <w:tcPr>
            <w:tcW w:w="1046" w:type="pct"/>
            <w:vAlign w:val="center"/>
          </w:tcPr>
          <w:p w14:paraId="246E9F09" w14:textId="77777777" w:rsidR="00F85F93" w:rsidRPr="00FA4ECF" w:rsidRDefault="00F85F93" w:rsidP="00DB5611">
            <w:pPr>
              <w:pStyle w:val="Tabletext"/>
              <w:keepNext/>
              <w:keepLines/>
              <w:jc w:val="center"/>
            </w:pPr>
            <w:r w:rsidRPr="00FA4ECF">
              <w:rPr>
                <w:rtl/>
              </w:rPr>
              <w:t>غير محددة</w:t>
            </w:r>
          </w:p>
        </w:tc>
        <w:tc>
          <w:tcPr>
            <w:tcW w:w="1136" w:type="pct"/>
            <w:vAlign w:val="center"/>
          </w:tcPr>
          <w:p w14:paraId="42D7F2BD" w14:textId="77777777" w:rsidR="00F85F93" w:rsidRPr="00FA4ECF" w:rsidRDefault="00F85F93" w:rsidP="00DB5611">
            <w:pPr>
              <w:pStyle w:val="Tabletext"/>
              <w:keepNext/>
              <w:keepLines/>
              <w:jc w:val="center"/>
            </w:pPr>
            <w:r w:rsidRPr="00FA4ECF">
              <w:rPr>
                <w:rtl/>
              </w:rPr>
              <w:t>غير محددة</w:t>
            </w:r>
          </w:p>
        </w:tc>
        <w:tc>
          <w:tcPr>
            <w:tcW w:w="1074" w:type="pct"/>
            <w:vAlign w:val="center"/>
          </w:tcPr>
          <w:p w14:paraId="718807A9" w14:textId="77777777" w:rsidR="00F85F93" w:rsidRPr="00FA4ECF" w:rsidRDefault="00F85F93" w:rsidP="00DB5611">
            <w:pPr>
              <w:pStyle w:val="Tabletext"/>
              <w:keepNext/>
              <w:keepLines/>
              <w:jc w:val="center"/>
            </w:pPr>
            <w:r w:rsidRPr="00FA4ECF">
              <w:rPr>
                <w:rtl/>
              </w:rPr>
              <w:t>غير محددة</w:t>
            </w:r>
          </w:p>
        </w:tc>
        <w:tc>
          <w:tcPr>
            <w:tcW w:w="1001" w:type="pct"/>
          </w:tcPr>
          <w:p w14:paraId="0A9AD7C8" w14:textId="77777777" w:rsidR="00F85F93" w:rsidRPr="00FA4ECF" w:rsidRDefault="00F85F93" w:rsidP="00DB5611">
            <w:pPr>
              <w:pStyle w:val="Tabletext"/>
              <w:keepNext/>
              <w:keepLines/>
              <w:jc w:val="center"/>
            </w:pPr>
            <w:r w:rsidRPr="00FA4ECF">
              <w:rPr>
                <w:rtl/>
              </w:rPr>
              <w:t>غير محددة</w:t>
            </w:r>
          </w:p>
        </w:tc>
      </w:tr>
      <w:tr w:rsidR="00F85F93" w:rsidRPr="00770CE6" w14:paraId="313E19D8" w14:textId="77777777" w:rsidTr="006B32BC">
        <w:trPr>
          <w:cantSplit/>
          <w:jc w:val="center"/>
        </w:trPr>
        <w:tc>
          <w:tcPr>
            <w:tcW w:w="744" w:type="pct"/>
            <w:tcBorders>
              <w:bottom w:val="single" w:sz="4" w:space="0" w:color="auto"/>
            </w:tcBorders>
            <w:vAlign w:val="center"/>
          </w:tcPr>
          <w:p w14:paraId="5DE3A3F3" w14:textId="77777777" w:rsidR="00F85F93" w:rsidRPr="00FA4ECF" w:rsidRDefault="00F85F93" w:rsidP="00DB5611">
            <w:pPr>
              <w:pStyle w:val="Tabletext"/>
              <w:keepNext/>
              <w:keepLines/>
            </w:pPr>
            <w:r w:rsidRPr="00FA4ECF">
              <w:t>2</w:t>
            </w:r>
            <w:r w:rsidRPr="00FA4ECF">
              <w:rPr>
                <w:rtl/>
              </w:rPr>
              <w:t xml:space="preserve"> (المرحلة </w:t>
            </w:r>
            <w:r w:rsidRPr="00FA4ECF">
              <w:t>2</w:t>
            </w:r>
            <w:r w:rsidRPr="00FA4ECF">
              <w:rPr>
                <w:rtl/>
              </w:rPr>
              <w:t xml:space="preserve">) </w:t>
            </w:r>
            <w:r w:rsidRPr="00FA4ECF">
              <w:rPr>
                <w:vertAlign w:val="superscript"/>
              </w:rPr>
              <w:t>(4)</w:t>
            </w:r>
          </w:p>
        </w:tc>
        <w:tc>
          <w:tcPr>
            <w:tcW w:w="1046" w:type="pct"/>
            <w:tcBorders>
              <w:bottom w:val="single" w:sz="4" w:space="0" w:color="auto"/>
            </w:tcBorders>
            <w:vAlign w:val="center"/>
          </w:tcPr>
          <w:p w14:paraId="01159A4A" w14:textId="77777777" w:rsidR="00F85F93" w:rsidRPr="00FA4ECF" w:rsidRDefault="00F85F93" w:rsidP="00DB5611">
            <w:pPr>
              <w:pStyle w:val="Tabletext"/>
              <w:keepNext/>
              <w:keepLines/>
              <w:jc w:val="center"/>
            </w:pPr>
            <w:r w:rsidRPr="00FA4ECF">
              <w:t>58</w:t>
            </w:r>
          </w:p>
        </w:tc>
        <w:tc>
          <w:tcPr>
            <w:tcW w:w="1136" w:type="pct"/>
            <w:tcBorders>
              <w:bottom w:val="single" w:sz="4" w:space="0" w:color="auto"/>
            </w:tcBorders>
            <w:vAlign w:val="center"/>
          </w:tcPr>
          <w:p w14:paraId="34CCC9C6" w14:textId="77777777" w:rsidR="00F85F93" w:rsidRPr="00FA4ECF" w:rsidRDefault="00F85F93" w:rsidP="00DB5611">
            <w:pPr>
              <w:pStyle w:val="Tabletext"/>
              <w:keepNext/>
              <w:keepLines/>
              <w:jc w:val="center"/>
            </w:pPr>
            <w:r w:rsidRPr="00FA4ECF">
              <w:t>58</w:t>
            </w:r>
          </w:p>
        </w:tc>
        <w:tc>
          <w:tcPr>
            <w:tcW w:w="1074" w:type="pct"/>
            <w:tcBorders>
              <w:bottom w:val="single" w:sz="4" w:space="0" w:color="auto"/>
            </w:tcBorders>
            <w:vAlign w:val="center"/>
          </w:tcPr>
          <w:p w14:paraId="2F656FF2" w14:textId="77777777" w:rsidR="00F85F93" w:rsidRPr="00FA4ECF" w:rsidRDefault="00F85F93" w:rsidP="00DB5611">
            <w:pPr>
              <w:pStyle w:val="Tabletext"/>
              <w:keepNext/>
              <w:keepLines/>
              <w:jc w:val="center"/>
            </w:pPr>
            <w:r w:rsidRPr="00FA4ECF">
              <w:t>58</w:t>
            </w:r>
          </w:p>
        </w:tc>
        <w:tc>
          <w:tcPr>
            <w:tcW w:w="1001" w:type="pct"/>
            <w:tcBorders>
              <w:bottom w:val="single" w:sz="4" w:space="0" w:color="auto"/>
            </w:tcBorders>
          </w:tcPr>
          <w:p w14:paraId="61847309" w14:textId="77777777" w:rsidR="00F85F93" w:rsidRPr="00FA4ECF" w:rsidRDefault="00F85F93" w:rsidP="00DB5611">
            <w:pPr>
              <w:pStyle w:val="Tabletext"/>
              <w:keepNext/>
              <w:keepLines/>
              <w:jc w:val="center"/>
            </w:pPr>
            <w:r w:rsidRPr="00FA4ECF">
              <w:t>23</w:t>
            </w:r>
          </w:p>
        </w:tc>
      </w:tr>
      <w:tr w:rsidR="00F85F93" w:rsidRPr="00770CE6" w14:paraId="5AED2B7D" w14:textId="77777777" w:rsidTr="006B32BC">
        <w:trPr>
          <w:cantSplit/>
          <w:jc w:val="center"/>
        </w:trPr>
        <w:tc>
          <w:tcPr>
            <w:tcW w:w="5000" w:type="pct"/>
            <w:gridSpan w:val="5"/>
            <w:tcBorders>
              <w:left w:val="nil"/>
              <w:bottom w:val="nil"/>
              <w:right w:val="nil"/>
            </w:tcBorders>
            <w:vAlign w:val="center"/>
          </w:tcPr>
          <w:p w14:paraId="36722F1D" w14:textId="77777777" w:rsidR="00F85F93" w:rsidRPr="00907A1A" w:rsidRDefault="00F85F93" w:rsidP="00DB5611">
            <w:pPr>
              <w:pStyle w:val="Tabletext"/>
            </w:pPr>
            <w:r w:rsidRPr="00907A1A">
              <w:rPr>
                <w:vertAlign w:val="superscript"/>
              </w:rPr>
              <w:t>(1)</w:t>
            </w:r>
            <w:r w:rsidRPr="00FA4ECF">
              <w:rPr>
                <w:rtl/>
              </w:rPr>
              <w:tab/>
            </w:r>
            <w:r w:rsidRPr="00907A1A">
              <w:rPr>
                <w:rtl/>
              </w:rPr>
              <w:t xml:space="preserve">لا تتسق حدود القدرة المشعة المكافئة </w:t>
            </w:r>
            <w:proofErr w:type="spellStart"/>
            <w:r w:rsidRPr="00907A1A">
              <w:rPr>
                <w:rtl/>
              </w:rPr>
              <w:t>المتناحية</w:t>
            </w:r>
            <w:proofErr w:type="spellEnd"/>
            <w:r w:rsidRPr="00907A1A">
              <w:rPr>
                <w:rtl/>
              </w:rPr>
              <w:t xml:space="preserve"> مع مَعلمات الاتصالات المتنقلة الدولية القياسية، ولكنها قد تسمح بنشر تطبيقات أخرى.</w:t>
            </w:r>
          </w:p>
          <w:p w14:paraId="5586357D" w14:textId="77777777" w:rsidR="00F85F93" w:rsidRPr="00907A1A" w:rsidRDefault="00F85F93" w:rsidP="00DB5611">
            <w:pPr>
              <w:pStyle w:val="Tabletext"/>
            </w:pPr>
            <w:r w:rsidRPr="00907A1A">
              <w:rPr>
                <w:vertAlign w:val="superscript"/>
              </w:rPr>
              <w:t>(2)</w:t>
            </w:r>
            <w:r w:rsidRPr="00FA4ECF">
              <w:rPr>
                <w:rtl/>
              </w:rPr>
              <w:tab/>
            </w:r>
            <w:r w:rsidRPr="00907A1A">
              <w:rPr>
                <w:rtl/>
              </w:rPr>
              <w:t>تحسين التوافق للمحطات الأرضية المتنقلة العاملة حالياً.</w:t>
            </w:r>
          </w:p>
          <w:p w14:paraId="18BEE0F7" w14:textId="77777777" w:rsidR="00F85F93" w:rsidRPr="00907A1A" w:rsidRDefault="00F85F93" w:rsidP="00DB5611">
            <w:pPr>
              <w:pStyle w:val="Tabletext"/>
              <w:rPr>
                <w:rtl/>
              </w:rPr>
            </w:pPr>
            <w:r w:rsidRPr="00907A1A">
              <w:rPr>
                <w:vertAlign w:val="superscript"/>
              </w:rPr>
              <w:t>(3)</w:t>
            </w:r>
            <w:r w:rsidRPr="00FA4ECF">
              <w:rPr>
                <w:rtl/>
              </w:rPr>
              <w:tab/>
            </w:r>
            <w:r w:rsidRPr="00907A1A">
              <w:rPr>
                <w:rtl/>
              </w:rPr>
              <w:t xml:space="preserve">توفير توافُق أفضل لمعيار الجيل التالي من المحطات الأرضية المتنقلة مقارنةً بالخيار </w:t>
            </w:r>
            <w:r w:rsidRPr="00907A1A">
              <w:t>2</w:t>
            </w:r>
            <w:r w:rsidRPr="00907A1A">
              <w:rPr>
                <w:rtl/>
              </w:rPr>
              <w:t>.</w:t>
            </w:r>
          </w:p>
          <w:p w14:paraId="6DC9346D" w14:textId="77777777" w:rsidR="00F85F93" w:rsidRPr="00770CE6" w:rsidRDefault="00F85F93" w:rsidP="00DB5611">
            <w:pPr>
              <w:pStyle w:val="Tabletext"/>
              <w:rPr>
                <w:lang w:val="ar-SA" w:eastAsia="zh-TW" w:bidi="en-GB"/>
              </w:rPr>
            </w:pPr>
            <w:r w:rsidRPr="00907A1A">
              <w:rPr>
                <w:vertAlign w:val="superscript"/>
              </w:rPr>
              <w:t>(4)</w:t>
            </w:r>
            <w:r w:rsidRPr="00FA4ECF">
              <w:rPr>
                <w:rtl/>
              </w:rPr>
              <w:tab/>
            </w:r>
            <w:r w:rsidRPr="00907A1A">
              <w:rPr>
                <w:rtl/>
              </w:rPr>
              <w:t xml:space="preserve">توفير التوافق مع معيار الجيل التالي من المحطات الأرضية المتنقلة، ولكن مع تداخُل أعلى مقارنةً بالخيار </w:t>
            </w:r>
            <w:r w:rsidRPr="00907A1A">
              <w:t>1</w:t>
            </w:r>
            <w:r w:rsidRPr="00907A1A">
              <w:rPr>
                <w:rtl/>
              </w:rPr>
              <w:t>.</w:t>
            </w:r>
          </w:p>
        </w:tc>
      </w:tr>
    </w:tbl>
    <w:p w14:paraId="3DA01931" w14:textId="18990A3A" w:rsidR="00E726E9" w:rsidRPr="00907A1A" w:rsidRDefault="00907A1A" w:rsidP="00907A1A">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w:t>
      </w:r>
    </w:p>
    <w:sectPr w:rsidR="00E726E9" w:rsidRPr="00907A1A" w:rsidSect="007059A8">
      <w:headerReference w:type="even" r:id="rId21"/>
      <w:headerReference w:type="default" r:id="rId22"/>
      <w:footerReference w:type="even" r:id="rId23"/>
      <w:footerReference w:type="default" r:id="rId24"/>
      <w:headerReference w:type="first" r:id="rId25"/>
      <w:footerReference w:type="first" r:id="rId26"/>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549F" w14:textId="77777777" w:rsidR="007059A8" w:rsidRDefault="007059A8">
      <w:r>
        <w:separator/>
      </w:r>
    </w:p>
  </w:endnote>
  <w:endnote w:type="continuationSeparator" w:id="0">
    <w:p w14:paraId="2E873CA3" w14:textId="77777777" w:rsidR="007059A8" w:rsidRDefault="0070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09C"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E5C7"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C910" w14:textId="64112326"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21542F">
      <w:rPr>
        <w:lang w:val="fr-FR"/>
      </w:rPr>
      <w:t>P:\QPUB\BR\REC\M\2159-0\M2159-0A.docx</w:t>
    </w:r>
    <w:r>
      <w:fldChar w:fldCharType="end"/>
    </w:r>
    <w:r w:rsidRPr="002E6ECC">
      <w:rPr>
        <w:lang w:val="fr-FR"/>
      </w:rPr>
      <w:tab/>
    </w:r>
    <w:r>
      <w:fldChar w:fldCharType="begin"/>
    </w:r>
    <w:r>
      <w:instrText xml:space="preserve"> savedate \@ dd.MM.yy </w:instrText>
    </w:r>
    <w:r>
      <w:fldChar w:fldCharType="separate"/>
    </w:r>
    <w:r w:rsidR="0021542F">
      <w:t>21.05.24</w:t>
    </w:r>
    <w:r>
      <w:fldChar w:fldCharType="end"/>
    </w:r>
    <w:r w:rsidRPr="002E6ECC">
      <w:rPr>
        <w:lang w:val="fr-FR"/>
      </w:rPr>
      <w:tab/>
    </w:r>
    <w:r>
      <w:fldChar w:fldCharType="begin"/>
    </w:r>
    <w:r>
      <w:instrText xml:space="preserve"> printdate \@ dd.MM.yy </w:instrText>
    </w:r>
    <w:r>
      <w:fldChar w:fldCharType="separate"/>
    </w:r>
    <w:r w:rsidR="0021542F">
      <w:t>21.05.24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364B" w14:textId="77777777" w:rsidR="007059A8" w:rsidRDefault="007059A8" w:rsidP="00E1601B">
      <w:pPr>
        <w:spacing w:line="240" w:lineRule="auto"/>
      </w:pPr>
      <w:r>
        <w:t>____________________</w:t>
      </w:r>
    </w:p>
  </w:footnote>
  <w:footnote w:type="continuationSeparator" w:id="0">
    <w:p w14:paraId="098A1EED" w14:textId="77777777" w:rsidR="007059A8" w:rsidRDefault="007059A8">
      <w:r>
        <w:continuationSeparator/>
      </w:r>
    </w:p>
  </w:footnote>
  <w:footnote w:id="1">
    <w:p w14:paraId="1F539DA7" w14:textId="6A41667C" w:rsidR="00B6197A" w:rsidRPr="00BE4802" w:rsidRDefault="00B6197A" w:rsidP="0095696B">
      <w:pPr>
        <w:pStyle w:val="FootnoteText"/>
        <w:ind w:left="283" w:hanging="283"/>
      </w:pPr>
      <w:r w:rsidRPr="009E704A">
        <w:rPr>
          <w:rStyle w:val="FootnoteReference"/>
          <w:rFonts w:cs="Traditional Arabic"/>
          <w:position w:val="0"/>
          <w:sz w:val="20"/>
          <w:szCs w:val="26"/>
        </w:rPr>
        <w:sym w:font="Symbol" w:char="F02A"/>
      </w:r>
      <w:r w:rsidRPr="00BE4802">
        <w:tab/>
      </w:r>
      <w:r w:rsidRPr="00BE4802">
        <w:rPr>
          <w:rtl/>
        </w:rPr>
        <w:t xml:space="preserve">ينبغي استرعاء انتباه المنظمة الدولية البحرية </w:t>
      </w:r>
      <w:r w:rsidRPr="00BE4802">
        <w:t>(IMO)</w:t>
      </w:r>
      <w:r w:rsidRPr="00BE4802">
        <w:rPr>
          <w:rtl/>
        </w:rPr>
        <w:t xml:space="preserve"> ومنظمة الطيران المدني الدولي </w:t>
      </w:r>
      <w:r w:rsidRPr="00BE4802">
        <w:t>(ICAO)</w:t>
      </w:r>
      <w:r w:rsidRPr="00BE4802">
        <w:rPr>
          <w:rtl/>
        </w:rPr>
        <w:t xml:space="preserve"> والمنظمة الدولية للاتصالات الساتلية المتنقلة </w:t>
      </w:r>
      <w:r w:rsidRPr="00BE4802">
        <w:t>(IMSO)</w:t>
      </w:r>
      <w:r w:rsidRPr="00BE4802">
        <w:rPr>
          <w:rtl/>
        </w:rPr>
        <w:t xml:space="preserve"> إلى هذه التوصية.</w:t>
      </w:r>
    </w:p>
  </w:footnote>
  <w:footnote w:id="2">
    <w:p w14:paraId="2419D8B9" w14:textId="322FF98D" w:rsidR="00770CE6" w:rsidRPr="00BE4802" w:rsidRDefault="00770CE6" w:rsidP="0095696B">
      <w:pPr>
        <w:pStyle w:val="FootnoteText"/>
        <w:ind w:left="283" w:hanging="283"/>
      </w:pPr>
      <w:r w:rsidRPr="009E704A">
        <w:rPr>
          <w:rStyle w:val="FootnoteReference"/>
          <w:rFonts w:cs="Traditional Arabic"/>
          <w:position w:val="0"/>
          <w:sz w:val="20"/>
          <w:szCs w:val="20"/>
          <w:rtl/>
        </w:rPr>
        <w:footnoteRef/>
      </w:r>
      <w:r w:rsidRPr="00BE4802">
        <w:rPr>
          <w:rtl/>
        </w:rPr>
        <w:tab/>
        <w:t xml:space="preserve">على الرغم من أن هذه التوصية تستند إلى الدراسات المطلوبة في القرار </w:t>
      </w:r>
      <w:r w:rsidRPr="00BE4802">
        <w:rPr>
          <w:b/>
          <w:bCs/>
        </w:rPr>
        <w:t>223 (Rev.WRC-19)</w:t>
      </w:r>
      <w:r w:rsidR="00BE4802">
        <w:rPr>
          <w:rFonts w:hint="cs"/>
          <w:rtl/>
          <w:lang w:bidi="ar-EG"/>
        </w:rPr>
        <w:t xml:space="preserve"> </w:t>
      </w:r>
      <w:r w:rsidRPr="00BE4802">
        <w:rPr>
          <w:rtl/>
        </w:rPr>
        <w:t>فيما يتعلق بالتعايش بين الاتصالات المتنقلة الدولية</w:t>
      </w:r>
      <w:r w:rsidR="00BE4802" w:rsidRPr="00BE4802">
        <w:rPr>
          <w:rStyle w:val="FootnoteReference"/>
          <w:rFonts w:cs="Traditional Arabic" w:hint="cs"/>
          <w:position w:val="0"/>
          <w:sz w:val="20"/>
          <w:szCs w:val="20"/>
          <w:vertAlign w:val="baseline"/>
          <w:rtl/>
        </w:rPr>
        <w:t xml:space="preserve"> </w:t>
      </w:r>
      <w:r w:rsidRPr="00BE4802">
        <w:rPr>
          <w:rtl/>
        </w:rPr>
        <w:t xml:space="preserve">في النطاق </w:t>
      </w:r>
      <w:r w:rsidR="00BE4802" w:rsidRPr="00BE4802">
        <w:rPr>
          <w:rStyle w:val="FootnoteReference"/>
          <w:rFonts w:cs="Traditional Arabic"/>
          <w:position w:val="0"/>
          <w:sz w:val="20"/>
          <w:szCs w:val="26"/>
          <w:vertAlign w:val="baseline"/>
        </w:rPr>
        <w:t>MHz 1 518-1 492</w:t>
      </w:r>
      <w:r w:rsidRPr="00BE4802">
        <w:rPr>
          <w:rtl/>
        </w:rPr>
        <w:t xml:space="preserve"> والخدمة المتنقلة الساتلية في النطاق </w:t>
      </w:r>
      <w:r w:rsidR="00BE4802" w:rsidRPr="00BE4802">
        <w:rPr>
          <w:rStyle w:val="FootnoteReference"/>
          <w:rFonts w:cs="Traditional Arabic"/>
          <w:position w:val="0"/>
          <w:sz w:val="20"/>
          <w:szCs w:val="26"/>
          <w:vertAlign w:val="baseline"/>
        </w:rPr>
        <w:t>MHz 1 525-1 518</w:t>
      </w:r>
      <w:r w:rsidRPr="00BE4802">
        <w:rPr>
          <w:rtl/>
        </w:rPr>
        <w:t xml:space="preserve">، فإن المتطلبات التقنية والتدابير التنظيمية الموصى بها فعّالة أيضاً ويمكن تطبيقها على المحطات الأرضية المتنقلة العاملة في النطاق </w:t>
      </w:r>
      <w:r w:rsidRPr="00BE4802">
        <w:t>MHz 1 559-1 525</w:t>
      </w:r>
      <w:r w:rsidRPr="00BE4802">
        <w:rPr>
          <w:rtl/>
        </w:rPr>
        <w:t>.</w:t>
      </w:r>
    </w:p>
  </w:footnote>
  <w:footnote w:id="3">
    <w:p w14:paraId="137718AA" w14:textId="0D073089" w:rsidR="00F85F93" w:rsidRPr="00BE4802" w:rsidRDefault="00F85F93" w:rsidP="0095696B">
      <w:pPr>
        <w:pStyle w:val="FootnoteText"/>
        <w:ind w:left="283" w:hanging="283"/>
        <w:rPr>
          <w:rStyle w:val="FootnoteReference"/>
          <w:rFonts w:cs="Traditional Arabic"/>
          <w:position w:val="0"/>
          <w:sz w:val="20"/>
          <w:szCs w:val="26"/>
          <w:vertAlign w:val="baseline"/>
        </w:rPr>
      </w:pPr>
      <w:r w:rsidRPr="005D44BB">
        <w:rPr>
          <w:rStyle w:val="FootnoteReference"/>
          <w:rFonts w:cs="Traditional Arabic"/>
          <w:position w:val="0"/>
          <w:sz w:val="20"/>
          <w:szCs w:val="20"/>
          <w:rtl/>
        </w:rPr>
        <w:footnoteRef/>
      </w:r>
      <w:r w:rsidRPr="00BE4802">
        <w:rPr>
          <w:rtl/>
        </w:rPr>
        <w:tab/>
      </w:r>
      <w:r w:rsidRPr="00BE4802">
        <w:rPr>
          <w:rFonts w:hint="eastAsia"/>
          <w:rtl/>
        </w:rPr>
        <w:t>فيما</w:t>
      </w:r>
      <w:r w:rsidRPr="00BE4802">
        <w:rPr>
          <w:rtl/>
        </w:rPr>
        <w:t xml:space="preserve"> يتعلق بتطبيق هذا الملحق على البلدان التي لديها عمليات للخدمة المتنقلة </w:t>
      </w:r>
      <w:r w:rsidRPr="00BE4802">
        <w:rPr>
          <w:rFonts w:hint="eastAsia"/>
          <w:rtl/>
        </w:rPr>
        <w:t>الساتلية</w:t>
      </w:r>
      <w:r w:rsidRPr="00BE4802">
        <w:rPr>
          <w:rtl/>
        </w:rPr>
        <w:t xml:space="preserve"> في أجزاء مختلفة من المدى </w:t>
      </w:r>
      <w:r w:rsidRPr="00BE4802">
        <w:t>GHz 1,5</w:t>
      </w:r>
      <w:r w:rsidRPr="00BE4802">
        <w:rPr>
          <w:rFonts w:hint="eastAsia"/>
          <w:rtl/>
        </w:rPr>
        <w:t>،</w:t>
      </w:r>
      <w:r w:rsidRPr="00BE4802">
        <w:rPr>
          <w:rtl/>
        </w:rPr>
        <w:t xml:space="preserve"> </w:t>
      </w:r>
      <w:r w:rsidRPr="00BE4802">
        <w:rPr>
          <w:rFonts w:hint="eastAsia"/>
          <w:rtl/>
        </w:rPr>
        <w:t>انظر</w:t>
      </w:r>
      <w:r w:rsidRPr="00BE4802">
        <w:rPr>
          <w:rtl/>
        </w:rPr>
        <w:t xml:space="preserve"> </w:t>
      </w:r>
      <w:r w:rsidRPr="00BE4802">
        <w:rPr>
          <w:rFonts w:hint="eastAsia"/>
          <w:rtl/>
        </w:rPr>
        <w:t>أيضاً</w:t>
      </w:r>
      <w:r w:rsidRPr="00BE4802">
        <w:rPr>
          <w:rtl/>
        </w:rPr>
        <w:t xml:space="preserve"> </w:t>
      </w:r>
      <w:r w:rsidRPr="00BE4802">
        <w:rPr>
          <w:rFonts w:hint="eastAsia"/>
          <w:rtl/>
        </w:rPr>
        <w:t>حاشية</w:t>
      </w:r>
      <w:r w:rsidRPr="00BE4802">
        <w:rPr>
          <w:rtl/>
        </w:rPr>
        <w:t xml:space="preserve"> </w:t>
      </w:r>
      <w:r w:rsidRPr="00BE4802">
        <w:rPr>
          <w:rFonts w:hint="eastAsia"/>
          <w:rtl/>
        </w:rPr>
        <w:t>عنوان</w:t>
      </w:r>
      <w:r w:rsidRPr="00BE4802">
        <w:rPr>
          <w:rtl/>
        </w:rPr>
        <w:t xml:space="preserve"> </w:t>
      </w:r>
      <w:r w:rsidRPr="00BE4802">
        <w:rPr>
          <w:rFonts w:hint="eastAsia"/>
          <w:rtl/>
        </w:rPr>
        <w:t>هذه</w:t>
      </w:r>
      <w:r w:rsidRPr="00BE4802">
        <w:rPr>
          <w:rtl/>
        </w:rPr>
        <w:t xml:space="preserve"> </w:t>
      </w:r>
      <w:r w:rsidRPr="00BE4802">
        <w:rPr>
          <w:rFonts w:hint="eastAsia"/>
          <w:rtl/>
        </w:rPr>
        <w:t>التوصية</w:t>
      </w:r>
      <w:r w:rsidRPr="00BE4802">
        <w:rPr>
          <w:rtl/>
        </w:rPr>
        <w:t>.</w:t>
      </w:r>
    </w:p>
  </w:footnote>
  <w:footnote w:id="4">
    <w:p w14:paraId="33853EE8" w14:textId="77777777" w:rsidR="00B32358" w:rsidRPr="00BE4802" w:rsidRDefault="00B32358" w:rsidP="0095696B">
      <w:pPr>
        <w:pStyle w:val="FootnoteText"/>
        <w:ind w:left="283" w:hanging="283"/>
      </w:pPr>
      <w:r w:rsidRPr="00B32358">
        <w:rPr>
          <w:rStyle w:val="FootnoteReference"/>
          <w:rFonts w:cs="Traditional Arabic"/>
          <w:position w:val="0"/>
          <w:sz w:val="20"/>
          <w:szCs w:val="20"/>
          <w:rtl/>
        </w:rPr>
        <w:footnoteRef/>
      </w:r>
      <w:r w:rsidRPr="00BE4802">
        <w:rPr>
          <w:rtl/>
        </w:rPr>
        <w:tab/>
      </w:r>
      <w:r w:rsidRPr="00BE4802">
        <w:rPr>
          <w:rFonts w:hint="eastAsia"/>
          <w:rtl/>
        </w:rPr>
        <w:t>اللجنة</w:t>
      </w:r>
      <w:r w:rsidRPr="00BE4802">
        <w:rPr>
          <w:rtl/>
        </w:rPr>
        <w:t xml:space="preserve"> </w:t>
      </w:r>
      <w:r w:rsidRPr="00BE4802">
        <w:t>FCC 05-30</w:t>
      </w:r>
      <w:r w:rsidRPr="00BE4802">
        <w:rPr>
          <w:rtl/>
        </w:rPr>
        <w:t>: "</w:t>
      </w:r>
      <w:r w:rsidRPr="00BE4802">
        <w:rPr>
          <w:rFonts w:hint="eastAsia"/>
          <w:rtl/>
        </w:rPr>
        <w:t>مرونة</w:t>
      </w:r>
      <w:r w:rsidRPr="00BE4802">
        <w:rPr>
          <w:rtl/>
        </w:rPr>
        <w:t xml:space="preserve"> </w:t>
      </w:r>
      <w:r w:rsidRPr="00BE4802">
        <w:rPr>
          <w:rFonts w:hint="eastAsia"/>
          <w:rtl/>
        </w:rPr>
        <w:t>تو</w:t>
      </w:r>
      <w:r w:rsidRPr="00BE4802">
        <w:rPr>
          <w:rtl/>
        </w:rPr>
        <w:t xml:space="preserve">فير </w:t>
      </w:r>
      <w:r w:rsidRPr="00BE4802">
        <w:rPr>
          <w:rFonts w:hint="eastAsia"/>
          <w:rtl/>
        </w:rPr>
        <w:t>الاتصالات</w:t>
      </w:r>
      <w:r w:rsidRPr="00BE4802">
        <w:rPr>
          <w:rtl/>
        </w:rPr>
        <w:t xml:space="preserve"> من جانب مقدِّمي الخدمة المتنقلة </w:t>
      </w:r>
      <w:r w:rsidRPr="00BE4802">
        <w:rPr>
          <w:rFonts w:hint="eastAsia"/>
          <w:rtl/>
        </w:rPr>
        <w:t>الساتلية</w:t>
      </w:r>
      <w:r w:rsidRPr="00BE4802">
        <w:rPr>
          <w:rtl/>
        </w:rPr>
        <w:t xml:space="preserve"> </w:t>
      </w:r>
      <w:r w:rsidRPr="00BE4802">
        <w:rPr>
          <w:rFonts w:hint="eastAsia"/>
          <w:rtl/>
        </w:rPr>
        <w:t>في</w:t>
      </w:r>
      <w:r w:rsidRPr="00BE4802">
        <w:rPr>
          <w:rtl/>
        </w:rPr>
        <w:t xml:space="preserve"> النطاق </w:t>
      </w:r>
      <w:r w:rsidRPr="00BE4802">
        <w:t>GHz 2</w:t>
      </w:r>
      <w:r w:rsidRPr="00BE4802">
        <w:rPr>
          <w:rtl/>
        </w:rPr>
        <w:t xml:space="preserve"> والنطاق </w:t>
      </w:r>
      <w:r w:rsidRPr="00BE4802">
        <w:t>L</w:t>
      </w:r>
      <w:r w:rsidRPr="00BE4802">
        <w:rPr>
          <w:rtl/>
        </w:rPr>
        <w:t xml:space="preserve"> والنطاقين </w:t>
      </w:r>
      <w:r w:rsidRPr="00BE4802">
        <w:t>GHz 2,4/1,6</w:t>
      </w:r>
      <w:r w:rsidRPr="00BE4802">
        <w:rPr>
          <w:rtl/>
        </w:rPr>
        <w:t xml:space="preserve"> - مذكرة رأي وأمر </w:t>
      </w:r>
      <w:proofErr w:type="spellStart"/>
      <w:r w:rsidRPr="00BE4802">
        <w:rPr>
          <w:rFonts w:hint="eastAsia"/>
          <w:rtl/>
        </w:rPr>
        <w:t>وأمر</w:t>
      </w:r>
      <w:proofErr w:type="spellEnd"/>
      <w:r w:rsidRPr="00BE4802">
        <w:rPr>
          <w:rtl/>
        </w:rPr>
        <w:t xml:space="preserve"> ثان بشأن إعادة النظر"، فبراير </w:t>
      </w:r>
      <w:r w:rsidRPr="00BE4802">
        <w:t>2005</w:t>
      </w:r>
      <w:r w:rsidRPr="00BE4802">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242" w14:textId="4C4F544C" w:rsidR="000B4F10" w:rsidRPr="003D017C" w:rsidRDefault="000B4F10" w:rsidP="003D017C">
    <w:pPr>
      <w:pStyle w:val="Header"/>
      <w:rPr>
        <w:b w:val="0"/>
        <w:bCs w:val="0"/>
        <w:lang w:bidi="ar-EG"/>
      </w:rPr>
    </w:pPr>
    <w:r w:rsidRPr="00E1601B">
      <w:rPr>
        <w:rtl/>
      </w:rPr>
      <w:t>التوصية</w:t>
    </w:r>
    <w:r w:rsidRPr="002C0F17">
      <w:rPr>
        <w:b w:val="0"/>
        <w:bCs w:val="0"/>
        <w:rtl/>
      </w:rPr>
      <w:t xml:space="preserve"> </w:t>
    </w:r>
    <w:r w:rsidRPr="002C0F17">
      <w:rPr>
        <w:b w:val="0"/>
        <w:bCs w:val="0"/>
      </w:rPr>
      <w:t xml:space="preserve">ITU-R </w:t>
    </w:r>
    <w:proofErr w:type="spellStart"/>
    <w:proofErr w:type="gramStart"/>
    <w:r>
      <w:rPr>
        <w:b w:val="0"/>
        <w:bCs w:val="0"/>
      </w:rPr>
      <w:t>X.xxxx</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42BCBEEC" w14:textId="77777777" w:rsidTr="00BF0907">
      <w:tc>
        <w:tcPr>
          <w:tcW w:w="5972" w:type="dxa"/>
        </w:tcPr>
        <w:p w14:paraId="46B70ED6"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77C103D3"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4882C969" w14:textId="77777777" w:rsidTr="00BF0907">
      <w:tc>
        <w:tcPr>
          <w:tcW w:w="5972" w:type="dxa"/>
        </w:tcPr>
        <w:p w14:paraId="5DF53495"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22EF1198"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5C75AF23"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41526214" wp14:editId="10897654">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048D3EEC" wp14:editId="39B3A55F">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3D7D0"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3BDC0BD9" wp14:editId="03BF519D">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0D46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8D53" w14:textId="18B2E5D8"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21542F">
      <w:rPr>
        <w:rFonts w:ascii="Times New Roman Bold" w:hAnsi="Times New Roman Bold"/>
        <w:b/>
        <w:bCs/>
        <w:noProof/>
      </w:rPr>
      <w:t>ITU-R M.2159-0</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88B1"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D467" w14:textId="6FDA7FEA"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205D51">
      <w:rPr>
        <w:rFonts w:ascii="Times New Roman Bold" w:hAnsi="Times New Roman Bold"/>
        <w:b/>
        <w:bCs/>
        <w:noProof/>
      </w:rPr>
      <w:t>ITU-R M.2159-0</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5499" w14:textId="5EA757AA"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205D51">
      <w:rPr>
        <w:rFonts w:ascii="Times New Roman Bold" w:hAnsi="Times New Roman Bold"/>
        <w:b/>
        <w:bCs/>
        <w:noProof/>
      </w:rPr>
      <w:t>ITU-R M.2159-0</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1716"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3"/>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2"/>
  </w:num>
  <w:num w:numId="13" w16cid:durableId="739401560">
    <w:abstractNumId w:val="21"/>
  </w:num>
  <w:num w:numId="14" w16cid:durableId="1407534973">
    <w:abstractNumId w:val="20"/>
  </w:num>
  <w:num w:numId="15" w16cid:durableId="173692686">
    <w:abstractNumId w:val="15"/>
  </w:num>
  <w:num w:numId="16" w16cid:durableId="435373542">
    <w:abstractNumId w:val="10"/>
  </w:num>
  <w:num w:numId="17" w16cid:durableId="856769614">
    <w:abstractNumId w:val="11"/>
  </w:num>
  <w:num w:numId="18" w16cid:durableId="1140997112">
    <w:abstractNumId w:val="16"/>
  </w:num>
  <w:num w:numId="19" w16cid:durableId="211162380">
    <w:abstractNumId w:val="18"/>
  </w:num>
  <w:num w:numId="20" w16cid:durableId="534468103">
    <w:abstractNumId w:val="19"/>
  </w:num>
  <w:num w:numId="21" w16cid:durableId="516964700">
    <w:abstractNumId w:val="17"/>
  </w:num>
  <w:num w:numId="22" w16cid:durableId="140571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A8"/>
    <w:rsid w:val="00002849"/>
    <w:rsid w:val="00004474"/>
    <w:rsid w:val="00027907"/>
    <w:rsid w:val="00034397"/>
    <w:rsid w:val="000473FF"/>
    <w:rsid w:val="00047AD2"/>
    <w:rsid w:val="000522D1"/>
    <w:rsid w:val="00057D19"/>
    <w:rsid w:val="000642EB"/>
    <w:rsid w:val="00067954"/>
    <w:rsid w:val="00081122"/>
    <w:rsid w:val="000827FB"/>
    <w:rsid w:val="00091A6B"/>
    <w:rsid w:val="00096F01"/>
    <w:rsid w:val="000A079C"/>
    <w:rsid w:val="000B30D7"/>
    <w:rsid w:val="000B4F10"/>
    <w:rsid w:val="000D02E3"/>
    <w:rsid w:val="000F312E"/>
    <w:rsid w:val="000F6D38"/>
    <w:rsid w:val="001048FC"/>
    <w:rsid w:val="00113EE4"/>
    <w:rsid w:val="001231D6"/>
    <w:rsid w:val="00132731"/>
    <w:rsid w:val="00134026"/>
    <w:rsid w:val="00140B98"/>
    <w:rsid w:val="001568ED"/>
    <w:rsid w:val="00160047"/>
    <w:rsid w:val="00160200"/>
    <w:rsid w:val="0017413D"/>
    <w:rsid w:val="00174247"/>
    <w:rsid w:val="00182385"/>
    <w:rsid w:val="00183CAB"/>
    <w:rsid w:val="00196389"/>
    <w:rsid w:val="00197749"/>
    <w:rsid w:val="001A5EC3"/>
    <w:rsid w:val="001B03B8"/>
    <w:rsid w:val="001B50B8"/>
    <w:rsid w:val="001B5BD1"/>
    <w:rsid w:val="001B6411"/>
    <w:rsid w:val="001D2146"/>
    <w:rsid w:val="001E0B6B"/>
    <w:rsid w:val="001E77BC"/>
    <w:rsid w:val="001F23C7"/>
    <w:rsid w:val="00201143"/>
    <w:rsid w:val="00205D51"/>
    <w:rsid w:val="002137FD"/>
    <w:rsid w:val="002144CB"/>
    <w:rsid w:val="0021542F"/>
    <w:rsid w:val="002243DF"/>
    <w:rsid w:val="00230502"/>
    <w:rsid w:val="002434E6"/>
    <w:rsid w:val="002469EF"/>
    <w:rsid w:val="002555F2"/>
    <w:rsid w:val="00255B10"/>
    <w:rsid w:val="00271843"/>
    <w:rsid w:val="00283E3A"/>
    <w:rsid w:val="002971E7"/>
    <w:rsid w:val="002A0E10"/>
    <w:rsid w:val="002A6E97"/>
    <w:rsid w:val="002B261D"/>
    <w:rsid w:val="002B706F"/>
    <w:rsid w:val="002C0F17"/>
    <w:rsid w:val="002C1FE8"/>
    <w:rsid w:val="002C3037"/>
    <w:rsid w:val="002D3483"/>
    <w:rsid w:val="002E5F1E"/>
    <w:rsid w:val="002E6ECC"/>
    <w:rsid w:val="002E7058"/>
    <w:rsid w:val="00303491"/>
    <w:rsid w:val="00304728"/>
    <w:rsid w:val="0030719D"/>
    <w:rsid w:val="00314E5F"/>
    <w:rsid w:val="00340205"/>
    <w:rsid w:val="00371DFC"/>
    <w:rsid w:val="00374B5D"/>
    <w:rsid w:val="00380511"/>
    <w:rsid w:val="00390B1B"/>
    <w:rsid w:val="00393745"/>
    <w:rsid w:val="003B4BE2"/>
    <w:rsid w:val="003D017C"/>
    <w:rsid w:val="003D1971"/>
    <w:rsid w:val="003D307E"/>
    <w:rsid w:val="003D40E1"/>
    <w:rsid w:val="003E559A"/>
    <w:rsid w:val="003F15D8"/>
    <w:rsid w:val="003F3046"/>
    <w:rsid w:val="00402F6B"/>
    <w:rsid w:val="004044EE"/>
    <w:rsid w:val="00414312"/>
    <w:rsid w:val="00422D17"/>
    <w:rsid w:val="0042647B"/>
    <w:rsid w:val="0044201D"/>
    <w:rsid w:val="0045598B"/>
    <w:rsid w:val="0047085B"/>
    <w:rsid w:val="00486B4C"/>
    <w:rsid w:val="004910A2"/>
    <w:rsid w:val="004B094A"/>
    <w:rsid w:val="004C6C0C"/>
    <w:rsid w:val="004D5EAE"/>
    <w:rsid w:val="004D79B4"/>
    <w:rsid w:val="004E1620"/>
    <w:rsid w:val="004E7D1E"/>
    <w:rsid w:val="00506547"/>
    <w:rsid w:val="00507FE2"/>
    <w:rsid w:val="00511801"/>
    <w:rsid w:val="00527EAF"/>
    <w:rsid w:val="005425A3"/>
    <w:rsid w:val="005514CA"/>
    <w:rsid w:val="005570BF"/>
    <w:rsid w:val="0056060A"/>
    <w:rsid w:val="00577803"/>
    <w:rsid w:val="0058264F"/>
    <w:rsid w:val="00584B8F"/>
    <w:rsid w:val="0058507E"/>
    <w:rsid w:val="0059020C"/>
    <w:rsid w:val="00591053"/>
    <w:rsid w:val="00591542"/>
    <w:rsid w:val="005960C8"/>
    <w:rsid w:val="005A018F"/>
    <w:rsid w:val="005A750D"/>
    <w:rsid w:val="005B530B"/>
    <w:rsid w:val="005C0D2D"/>
    <w:rsid w:val="005C397A"/>
    <w:rsid w:val="005C43CD"/>
    <w:rsid w:val="005C462C"/>
    <w:rsid w:val="005D44BB"/>
    <w:rsid w:val="005D6161"/>
    <w:rsid w:val="005D6A35"/>
    <w:rsid w:val="005E066B"/>
    <w:rsid w:val="005E79B5"/>
    <w:rsid w:val="005F01A2"/>
    <w:rsid w:val="005F24EB"/>
    <w:rsid w:val="005F3264"/>
    <w:rsid w:val="005F3E06"/>
    <w:rsid w:val="005F3FD2"/>
    <w:rsid w:val="00607FA9"/>
    <w:rsid w:val="00612510"/>
    <w:rsid w:val="00617A19"/>
    <w:rsid w:val="00625A54"/>
    <w:rsid w:val="00631E7D"/>
    <w:rsid w:val="006327BE"/>
    <w:rsid w:val="006405DD"/>
    <w:rsid w:val="00660279"/>
    <w:rsid w:val="00665EBF"/>
    <w:rsid w:val="00667C08"/>
    <w:rsid w:val="00680CA6"/>
    <w:rsid w:val="00684D45"/>
    <w:rsid w:val="00686ACA"/>
    <w:rsid w:val="006D24D6"/>
    <w:rsid w:val="006F0DD4"/>
    <w:rsid w:val="00702B23"/>
    <w:rsid w:val="007059A8"/>
    <w:rsid w:val="007362CE"/>
    <w:rsid w:val="00740FF8"/>
    <w:rsid w:val="007445DA"/>
    <w:rsid w:val="00770CE6"/>
    <w:rsid w:val="007727E5"/>
    <w:rsid w:val="00794E1C"/>
    <w:rsid w:val="00796478"/>
    <w:rsid w:val="00796F0C"/>
    <w:rsid w:val="007B1739"/>
    <w:rsid w:val="007C264C"/>
    <w:rsid w:val="007C58FE"/>
    <w:rsid w:val="007C78A1"/>
    <w:rsid w:val="007D7E68"/>
    <w:rsid w:val="007E446A"/>
    <w:rsid w:val="007F1856"/>
    <w:rsid w:val="00802B34"/>
    <w:rsid w:val="00811188"/>
    <w:rsid w:val="008113E9"/>
    <w:rsid w:val="00815E12"/>
    <w:rsid w:val="0083115C"/>
    <w:rsid w:val="00846C0D"/>
    <w:rsid w:val="008656C3"/>
    <w:rsid w:val="00871586"/>
    <w:rsid w:val="0087705A"/>
    <w:rsid w:val="00894394"/>
    <w:rsid w:val="00897041"/>
    <w:rsid w:val="008B76A0"/>
    <w:rsid w:val="008C5CCB"/>
    <w:rsid w:val="008C6A66"/>
    <w:rsid w:val="008C733D"/>
    <w:rsid w:val="008E173E"/>
    <w:rsid w:val="008F5D6D"/>
    <w:rsid w:val="00904910"/>
    <w:rsid w:val="009067BA"/>
    <w:rsid w:val="00907A1A"/>
    <w:rsid w:val="00912A86"/>
    <w:rsid w:val="00917D57"/>
    <w:rsid w:val="00925FAA"/>
    <w:rsid w:val="00930F9D"/>
    <w:rsid w:val="009352F6"/>
    <w:rsid w:val="00936CB4"/>
    <w:rsid w:val="009533AE"/>
    <w:rsid w:val="0095696B"/>
    <w:rsid w:val="0096112A"/>
    <w:rsid w:val="009643BD"/>
    <w:rsid w:val="00964A11"/>
    <w:rsid w:val="00972570"/>
    <w:rsid w:val="0097353B"/>
    <w:rsid w:val="009845C0"/>
    <w:rsid w:val="009C461A"/>
    <w:rsid w:val="009C6655"/>
    <w:rsid w:val="009E704A"/>
    <w:rsid w:val="009F3172"/>
    <w:rsid w:val="00A00A18"/>
    <w:rsid w:val="00A0453F"/>
    <w:rsid w:val="00A161D3"/>
    <w:rsid w:val="00A163C1"/>
    <w:rsid w:val="00A177D7"/>
    <w:rsid w:val="00A2420C"/>
    <w:rsid w:val="00A35603"/>
    <w:rsid w:val="00A37243"/>
    <w:rsid w:val="00A56CCF"/>
    <w:rsid w:val="00A70D90"/>
    <w:rsid w:val="00A80F4C"/>
    <w:rsid w:val="00A96D62"/>
    <w:rsid w:val="00AA1ACD"/>
    <w:rsid w:val="00AB0789"/>
    <w:rsid w:val="00AB2BD9"/>
    <w:rsid w:val="00AC4220"/>
    <w:rsid w:val="00AE09F4"/>
    <w:rsid w:val="00AE2234"/>
    <w:rsid w:val="00AE46C8"/>
    <w:rsid w:val="00AE7C5A"/>
    <w:rsid w:val="00AF0C07"/>
    <w:rsid w:val="00AF5F81"/>
    <w:rsid w:val="00AF6ABB"/>
    <w:rsid w:val="00B16E8C"/>
    <w:rsid w:val="00B22D33"/>
    <w:rsid w:val="00B244FA"/>
    <w:rsid w:val="00B312BE"/>
    <w:rsid w:val="00B32358"/>
    <w:rsid w:val="00B452E5"/>
    <w:rsid w:val="00B60FFE"/>
    <w:rsid w:val="00B6197A"/>
    <w:rsid w:val="00B651EA"/>
    <w:rsid w:val="00B70007"/>
    <w:rsid w:val="00B8554E"/>
    <w:rsid w:val="00B96473"/>
    <w:rsid w:val="00B978E1"/>
    <w:rsid w:val="00B97F45"/>
    <w:rsid w:val="00BD4378"/>
    <w:rsid w:val="00BE0D0E"/>
    <w:rsid w:val="00BE3014"/>
    <w:rsid w:val="00BE4802"/>
    <w:rsid w:val="00BE5AAE"/>
    <w:rsid w:val="00BF0907"/>
    <w:rsid w:val="00BF3623"/>
    <w:rsid w:val="00BF3DD6"/>
    <w:rsid w:val="00C04244"/>
    <w:rsid w:val="00C1100F"/>
    <w:rsid w:val="00C46925"/>
    <w:rsid w:val="00C50B28"/>
    <w:rsid w:val="00C53F27"/>
    <w:rsid w:val="00C71576"/>
    <w:rsid w:val="00C71721"/>
    <w:rsid w:val="00C93F89"/>
    <w:rsid w:val="00C94B6E"/>
    <w:rsid w:val="00CA603A"/>
    <w:rsid w:val="00CB4BE8"/>
    <w:rsid w:val="00CC48AA"/>
    <w:rsid w:val="00CC6EA6"/>
    <w:rsid w:val="00CD2510"/>
    <w:rsid w:val="00CD71D4"/>
    <w:rsid w:val="00CF545E"/>
    <w:rsid w:val="00CF6960"/>
    <w:rsid w:val="00CF73A8"/>
    <w:rsid w:val="00D168AE"/>
    <w:rsid w:val="00D2107D"/>
    <w:rsid w:val="00D231CE"/>
    <w:rsid w:val="00D23D39"/>
    <w:rsid w:val="00D30FE6"/>
    <w:rsid w:val="00D34703"/>
    <w:rsid w:val="00D5165C"/>
    <w:rsid w:val="00D53BE6"/>
    <w:rsid w:val="00D56D81"/>
    <w:rsid w:val="00D83383"/>
    <w:rsid w:val="00D85FA6"/>
    <w:rsid w:val="00D97F37"/>
    <w:rsid w:val="00DA348F"/>
    <w:rsid w:val="00DB3D2A"/>
    <w:rsid w:val="00DB5611"/>
    <w:rsid w:val="00DC3F02"/>
    <w:rsid w:val="00DC46DB"/>
    <w:rsid w:val="00DC7E91"/>
    <w:rsid w:val="00DD670F"/>
    <w:rsid w:val="00DF4E37"/>
    <w:rsid w:val="00E103BB"/>
    <w:rsid w:val="00E12EB0"/>
    <w:rsid w:val="00E13C43"/>
    <w:rsid w:val="00E15CD6"/>
    <w:rsid w:val="00E1601B"/>
    <w:rsid w:val="00E16062"/>
    <w:rsid w:val="00E27A46"/>
    <w:rsid w:val="00E3032C"/>
    <w:rsid w:val="00E3773B"/>
    <w:rsid w:val="00E37F5C"/>
    <w:rsid w:val="00E4105E"/>
    <w:rsid w:val="00E45AFF"/>
    <w:rsid w:val="00E577A6"/>
    <w:rsid w:val="00E61539"/>
    <w:rsid w:val="00E6418C"/>
    <w:rsid w:val="00E650A3"/>
    <w:rsid w:val="00E70045"/>
    <w:rsid w:val="00E726E9"/>
    <w:rsid w:val="00E736B4"/>
    <w:rsid w:val="00E9048A"/>
    <w:rsid w:val="00E92181"/>
    <w:rsid w:val="00E964C9"/>
    <w:rsid w:val="00EA4BE4"/>
    <w:rsid w:val="00EC2BCA"/>
    <w:rsid w:val="00EC44EE"/>
    <w:rsid w:val="00EF0744"/>
    <w:rsid w:val="00EF6496"/>
    <w:rsid w:val="00EF7CB5"/>
    <w:rsid w:val="00F03CE4"/>
    <w:rsid w:val="00F06729"/>
    <w:rsid w:val="00F1320B"/>
    <w:rsid w:val="00F15682"/>
    <w:rsid w:val="00F22C87"/>
    <w:rsid w:val="00F33253"/>
    <w:rsid w:val="00F3359B"/>
    <w:rsid w:val="00F40BC5"/>
    <w:rsid w:val="00F53B10"/>
    <w:rsid w:val="00F615CE"/>
    <w:rsid w:val="00F82FD6"/>
    <w:rsid w:val="00F85F93"/>
    <w:rsid w:val="00F91C91"/>
    <w:rsid w:val="00F939BC"/>
    <w:rsid w:val="00F9532F"/>
    <w:rsid w:val="00F95755"/>
    <w:rsid w:val="00FA3027"/>
    <w:rsid w:val="00FA3938"/>
    <w:rsid w:val="00FA4ECF"/>
    <w:rsid w:val="00FC6892"/>
    <w:rsid w:val="00FD391D"/>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B8019"/>
  <w15:docId w15:val="{6744FB92-E30B-4E57-BA65-840C9EB9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2971E7"/>
    <w:pPr>
      <w:spacing w:before="240"/>
      <w:outlineLvl w:val="1"/>
    </w:pPr>
    <w:rPr>
      <w:sz w:val="24"/>
      <w:szCs w:val="32"/>
    </w:rPr>
  </w:style>
  <w:style w:type="paragraph" w:styleId="Heading3">
    <w:name w:val="heading 3"/>
    <w:basedOn w:val="Heading1"/>
    <w:next w:val="Normal"/>
    <w:qFormat/>
    <w:rsid w:val="00C50B28"/>
    <w:pPr>
      <w:spacing w:before="180"/>
      <w:outlineLvl w:val="2"/>
    </w:pPr>
    <w:rPr>
      <w:sz w:val="22"/>
      <w:szCs w:val="30"/>
    </w:rPr>
  </w:style>
  <w:style w:type="paragraph" w:styleId="Heading4">
    <w:name w:val="heading 4"/>
    <w:basedOn w:val="Heading3"/>
    <w:next w:val="Normal"/>
    <w:qFormat/>
    <w:rsid w:val="00C50B28"/>
    <w:pPr>
      <w:ind w:left="1021" w:hanging="1021"/>
      <w:outlineLvl w:val="3"/>
    </w:pPr>
  </w:style>
  <w:style w:type="paragraph" w:styleId="Heading5">
    <w:name w:val="heading 5"/>
    <w:basedOn w:val="Heading4"/>
    <w:next w:val="Normal"/>
    <w:qFormat/>
    <w:rsid w:val="00C50B28"/>
    <w:pPr>
      <w:outlineLvl w:val="4"/>
    </w:pPr>
  </w:style>
  <w:style w:type="paragraph" w:styleId="Heading6">
    <w:name w:val="heading 6"/>
    <w:basedOn w:val="Heading4"/>
    <w:next w:val="Normal"/>
    <w:qFormat/>
    <w:rsid w:val="00A177D7"/>
    <w:pPr>
      <w:ind w:left="1588" w:right="1588" w:hanging="1588"/>
      <w:outlineLvl w:val="5"/>
    </w:pPr>
  </w:style>
  <w:style w:type="paragraph" w:styleId="Heading7">
    <w:name w:val="heading 7"/>
    <w:basedOn w:val="Heading6"/>
    <w:next w:val="Normal"/>
    <w:qFormat/>
    <w:rsid w:val="00A177D7"/>
    <w:pPr>
      <w:outlineLvl w:val="6"/>
    </w:pPr>
  </w:style>
  <w:style w:type="paragraph" w:styleId="Heading8">
    <w:name w:val="heading 8"/>
    <w:basedOn w:val="Heading6"/>
    <w:next w:val="Normal"/>
    <w:qFormat/>
    <w:rsid w:val="00A177D7"/>
    <w:pPr>
      <w:outlineLvl w:val="7"/>
    </w:pPr>
  </w:style>
  <w:style w:type="paragraph" w:styleId="Heading9">
    <w:name w:val="heading 9"/>
    <w:basedOn w:val="Heading6"/>
    <w:next w:val="Normal"/>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Title"/>
    <w:basedOn w:val="AnnexNoTitle"/>
    <w:next w:val="Normalaftertitle"/>
    <w:rsid w:val="0030719D"/>
  </w:style>
  <w:style w:type="paragraph" w:customStyle="1" w:styleId="AnnexNoTitle">
    <w:name w:val="Annex_No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qFormat/>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0"/>
    <w:qFormat/>
    <w:rsid w:val="00DB5611"/>
    <w:pPr>
      <w:tabs>
        <w:tab w:val="left" w:pos="567"/>
        <w:tab w:val="left" w:pos="794"/>
      </w:tabs>
      <w:spacing w:before="20" w:after="60" w:line="240" w:lineRule="exact"/>
      <w:ind w:left="567" w:hanging="567"/>
      <w:jc w:val="left"/>
    </w:pPr>
    <w:rPr>
      <w:rFonts w:eastAsia="SimSun"/>
      <w:spacing w:val="-2"/>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174247"/>
    <w:rPr>
      <w:rFonts w:cs="Times New Roman"/>
      <w:position w:val="2"/>
      <w:sz w:val="24"/>
      <w:szCs w:val="24"/>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0D02E3"/>
    <w:rPr>
      <w:rFonts w:ascii="Times New Roman" w:hAnsi="Times New Roman" w:cs="Traditional Arabic"/>
      <w:szCs w:val="26"/>
      <w:lang w:eastAsia="en-US"/>
    </w:rPr>
  </w:style>
  <w:style w:type="paragraph" w:styleId="Header">
    <w:name w:val="header"/>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link w:val="Rectitle0"/>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rsid w:val="00A177D7"/>
  </w:style>
  <w:style w:type="paragraph" w:customStyle="1" w:styleId="Reptitle">
    <w:name w:val="Rep_title"/>
    <w:basedOn w:val="Rectitle"/>
    <w:next w:val="Repref"/>
    <w:rsid w:val="00A177D7"/>
  </w:style>
  <w:style w:type="paragraph" w:customStyle="1" w:styleId="Repref">
    <w:name w:val="Rep_ref"/>
    <w:basedOn w:val="Recref"/>
    <w:next w:val="Repdate"/>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qForma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autoRedefine/>
    <w:rsid w:val="003E559A"/>
    <w:pPr>
      <w:tabs>
        <w:tab w:val="left" w:pos="284"/>
        <w:tab w:val="left" w:pos="567"/>
        <w:tab w:val="left" w:pos="794"/>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rFonts w:eastAsia="SimSun"/>
      <w:sz w:val="20"/>
      <w:szCs w:val="26"/>
      <w:vertAlign w:val="superscript"/>
    </w:r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rsid w:val="00F615CE"/>
    <w:pPr>
      <w:tabs>
        <w:tab w:val="right" w:leader="dot" w:pos="8788"/>
        <w:tab w:val="right" w:pos="9497"/>
      </w:tabs>
      <w:ind w:left="663" w:right="851" w:hanging="663"/>
    </w:pPr>
    <w:rPr>
      <w:lang w:bidi="ar-SY"/>
    </w:rPr>
  </w:style>
  <w:style w:type="paragraph" w:styleId="TOC2">
    <w:name w:val="toc 2"/>
    <w:basedOn w:val="TOC1"/>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_Sum"/>
    <w:basedOn w:val="Headingb"/>
    <w:next w:val="Normal"/>
    <w:autoRedefine/>
    <w:rsid w:val="00770CE6"/>
    <w:pPr>
      <w:keepLines/>
      <w:tabs>
        <w:tab w:val="left" w:pos="794"/>
        <w:tab w:val="left" w:pos="1191"/>
        <w:tab w:val="left" w:pos="1588"/>
        <w:tab w:val="left" w:pos="1985"/>
      </w:tabs>
      <w:spacing w:before="240" w:line="240" w:lineRule="auto"/>
      <w:textDirection w:val="tbRlV"/>
    </w:pPr>
    <w:rPr>
      <w:rFonts w:ascii="Times New Roman" w:hAnsi="Times New Roman"/>
      <w:szCs w:val="22"/>
      <w:lang w:eastAsia="zh-CN"/>
    </w:rPr>
  </w:style>
  <w:style w:type="paragraph" w:customStyle="1" w:styleId="Tablefin">
    <w:name w:val="Table_fin"/>
    <w:basedOn w:val="Normal"/>
    <w:next w:val="Normal"/>
    <w:rsid w:val="00F85F93"/>
    <w:pPr>
      <w:tabs>
        <w:tab w:val="left" w:pos="794"/>
        <w:tab w:val="left" w:pos="1191"/>
        <w:tab w:val="left" w:pos="1588"/>
        <w:tab w:val="left" w:pos="1985"/>
      </w:tabs>
      <w:bidi w:val="0"/>
      <w:spacing w:before="0" w:line="240" w:lineRule="auto"/>
    </w:pPr>
    <w:rPr>
      <w:rFonts w:cs="Simplified Arabic" w:hint="cs"/>
      <w:sz w:val="20"/>
      <w:lang w:eastAsia="zh-CN"/>
    </w:rPr>
  </w:style>
  <w:style w:type="paragraph" w:customStyle="1" w:styleId="TableNo0">
    <w:name w:val="Table_No"/>
    <w:basedOn w:val="Normal"/>
    <w:next w:val="Normal"/>
    <w:autoRedefine/>
    <w:rsid w:val="00AF0C07"/>
    <w:pPr>
      <w:keepNext/>
      <w:keepLines/>
      <w:tabs>
        <w:tab w:val="left" w:pos="794"/>
        <w:tab w:val="left" w:pos="1191"/>
        <w:tab w:val="left" w:pos="1588"/>
        <w:tab w:val="left" w:pos="1985"/>
      </w:tabs>
      <w:spacing w:before="360" w:after="120" w:line="240" w:lineRule="auto"/>
      <w:jc w:val="center"/>
    </w:pPr>
    <w:rPr>
      <w:lang w:eastAsia="zh-CN"/>
    </w:rPr>
  </w:style>
  <w:style w:type="paragraph" w:styleId="NormalIndent">
    <w:name w:val="Normal Indent"/>
    <w:basedOn w:val="Normal"/>
    <w:rsid w:val="00F85F93"/>
    <w:pPr>
      <w:tabs>
        <w:tab w:val="left" w:pos="794"/>
        <w:tab w:val="left" w:pos="1191"/>
        <w:tab w:val="left" w:pos="1588"/>
        <w:tab w:val="left" w:pos="1985"/>
      </w:tabs>
      <w:bidi w:val="0"/>
      <w:spacing w:line="240" w:lineRule="auto"/>
      <w:ind w:left="794"/>
    </w:pPr>
    <w:rPr>
      <w:rFonts w:cs="Simplified Arabic" w:hint="cs"/>
      <w:sz w:val="24"/>
      <w:lang w:eastAsia="zh-CN"/>
    </w:rPr>
  </w:style>
  <w:style w:type="paragraph" w:customStyle="1" w:styleId="tocpart">
    <w:name w:val="tocpart"/>
    <w:basedOn w:val="Normal"/>
    <w:rsid w:val="00F85F93"/>
    <w:pPr>
      <w:tabs>
        <w:tab w:val="left" w:pos="2693"/>
        <w:tab w:val="left" w:pos="8789"/>
        <w:tab w:val="right" w:pos="9639"/>
      </w:tabs>
      <w:bidi w:val="0"/>
      <w:spacing w:line="240" w:lineRule="auto"/>
      <w:ind w:left="2693" w:hanging="2693"/>
    </w:pPr>
    <w:rPr>
      <w:rFonts w:cs="Simplified Arabic" w:hint="cs"/>
      <w:sz w:val="24"/>
      <w:lang w:eastAsia="zh-CN"/>
    </w:rPr>
  </w:style>
  <w:style w:type="paragraph" w:customStyle="1" w:styleId="Blanc">
    <w:name w:val="Blanc"/>
    <w:basedOn w:val="Normal"/>
    <w:next w:val="Tabletext"/>
    <w:rsid w:val="00F85F93"/>
    <w:pPr>
      <w:keepNext/>
      <w:keepLines/>
      <w:bidi w:val="0"/>
      <w:spacing w:before="0" w:line="240" w:lineRule="auto"/>
    </w:pPr>
    <w:rPr>
      <w:rFonts w:cs="Simplified Arabic" w:hint="cs"/>
      <w:sz w:val="16"/>
      <w:lang w:eastAsia="zh-CN"/>
    </w:rPr>
  </w:style>
  <w:style w:type="paragraph" w:styleId="IndexHeading">
    <w:name w:val="index heading"/>
    <w:basedOn w:val="Normal"/>
    <w:next w:val="Index1"/>
    <w:semiHidden/>
    <w:rsid w:val="00F85F93"/>
    <w:pPr>
      <w:tabs>
        <w:tab w:val="left" w:pos="794"/>
        <w:tab w:val="left" w:pos="1191"/>
        <w:tab w:val="left" w:pos="1588"/>
        <w:tab w:val="left" w:pos="1985"/>
      </w:tabs>
      <w:bidi w:val="0"/>
      <w:spacing w:line="240" w:lineRule="auto"/>
    </w:pPr>
    <w:rPr>
      <w:rFonts w:cs="Simplified Arabic" w:hint="cs"/>
      <w:sz w:val="24"/>
      <w:lang w:eastAsia="zh-CN"/>
    </w:rPr>
  </w:style>
  <w:style w:type="paragraph" w:customStyle="1" w:styleId="toctemp">
    <w:name w:val="toctemp"/>
    <w:basedOn w:val="Normal"/>
    <w:rsid w:val="00F85F93"/>
    <w:pPr>
      <w:tabs>
        <w:tab w:val="left" w:pos="2693"/>
        <w:tab w:val="left" w:leader="dot" w:pos="8789"/>
        <w:tab w:val="right" w:pos="9639"/>
      </w:tabs>
      <w:bidi w:val="0"/>
      <w:spacing w:line="240" w:lineRule="auto"/>
      <w:ind w:left="2693" w:right="964" w:hanging="2693"/>
    </w:pPr>
    <w:rPr>
      <w:rFonts w:cs="Simplified Arabic" w:hint="cs"/>
      <w:sz w:val="24"/>
      <w:lang w:eastAsia="zh-CN"/>
    </w:rPr>
  </w:style>
  <w:style w:type="paragraph" w:customStyle="1" w:styleId="toc0">
    <w:name w:val="toc 0"/>
    <w:basedOn w:val="Normal"/>
    <w:next w:val="TOC1"/>
    <w:rsid w:val="00F85F93"/>
    <w:pPr>
      <w:tabs>
        <w:tab w:val="right" w:pos="9611"/>
      </w:tabs>
      <w:bidi w:val="0"/>
      <w:spacing w:line="240" w:lineRule="auto"/>
    </w:pPr>
    <w:rPr>
      <w:rFonts w:cs="Simplified Arabic" w:hint="cs"/>
      <w:i/>
      <w:sz w:val="24"/>
      <w:lang w:eastAsia="zh-CN"/>
    </w:rPr>
  </w:style>
  <w:style w:type="paragraph" w:customStyle="1" w:styleId="Annexref">
    <w:name w:val="Annex_ref"/>
    <w:basedOn w:val="Normal"/>
    <w:next w:val="Normalaftertitle"/>
    <w:rsid w:val="00F85F93"/>
    <w:pPr>
      <w:keepNext/>
      <w:keepLines/>
      <w:tabs>
        <w:tab w:val="left" w:pos="794"/>
        <w:tab w:val="left" w:pos="1191"/>
        <w:tab w:val="left" w:pos="1588"/>
        <w:tab w:val="left" w:pos="1985"/>
      </w:tabs>
      <w:bidi w:val="0"/>
      <w:spacing w:after="280" w:line="240" w:lineRule="auto"/>
      <w:jc w:val="center"/>
    </w:pPr>
    <w:rPr>
      <w:rFonts w:cs="Simplified Arabic" w:hint="cs"/>
      <w:sz w:val="24"/>
      <w:lang w:eastAsia="zh-CN"/>
    </w:rPr>
  </w:style>
  <w:style w:type="paragraph" w:customStyle="1" w:styleId="Appendixref">
    <w:name w:val="Appendix_ref"/>
    <w:basedOn w:val="Annexref"/>
    <w:next w:val="Normalaftertitle"/>
    <w:rsid w:val="00F85F93"/>
  </w:style>
  <w:style w:type="paragraph" w:customStyle="1" w:styleId="Figuretitle0">
    <w:name w:val="Figure_title"/>
    <w:basedOn w:val="Normal"/>
    <w:next w:val="Figure"/>
    <w:rsid w:val="00F85F93"/>
    <w:pPr>
      <w:keepNext/>
      <w:tabs>
        <w:tab w:val="left" w:pos="794"/>
        <w:tab w:val="left" w:pos="1191"/>
        <w:tab w:val="left" w:pos="1588"/>
        <w:tab w:val="left" w:pos="1985"/>
      </w:tabs>
      <w:bidi w:val="0"/>
      <w:spacing w:before="0" w:after="120" w:line="240" w:lineRule="auto"/>
      <w:jc w:val="center"/>
    </w:pPr>
    <w:rPr>
      <w:rFonts w:ascii="Times New Roman Bold" w:hAnsi="Times New Roman Bold" w:cs="Simplified Arabic" w:hint="cs"/>
      <w:b/>
      <w:sz w:val="18"/>
      <w:lang w:eastAsia="zh-CN"/>
    </w:rPr>
  </w:style>
  <w:style w:type="paragraph" w:customStyle="1" w:styleId="Summary">
    <w:name w:val="Summary"/>
    <w:basedOn w:val="Normal"/>
    <w:next w:val="Normalaftertitle"/>
    <w:autoRedefine/>
    <w:rsid w:val="00F85F93"/>
    <w:pPr>
      <w:tabs>
        <w:tab w:val="left" w:pos="794"/>
        <w:tab w:val="left" w:pos="1191"/>
        <w:tab w:val="left" w:pos="1588"/>
        <w:tab w:val="left" w:pos="1985"/>
      </w:tabs>
      <w:bidi w:val="0"/>
      <w:spacing w:after="480" w:line="240" w:lineRule="auto"/>
    </w:pPr>
    <w:rPr>
      <w:rFonts w:cs="Simplified Arabic" w:hint="cs"/>
      <w:lang w:eastAsia="zh-CN"/>
    </w:rPr>
  </w:style>
  <w:style w:type="paragraph" w:customStyle="1" w:styleId="TableLegendNote">
    <w:name w:val="Table_Legend_Note"/>
    <w:basedOn w:val="Tablelegend"/>
    <w:next w:val="Tablelegend"/>
    <w:rsid w:val="00F85F93"/>
    <w:pPr>
      <w:tabs>
        <w:tab w:val="left" w:pos="1985"/>
      </w:tabs>
      <w:bidi w:val="0"/>
      <w:spacing w:before="80" w:after="0" w:line="240" w:lineRule="auto"/>
      <w:ind w:left="-85" w:right="-85"/>
    </w:pPr>
    <w:rPr>
      <w:rFonts w:cs="Simplified Arabic" w:hint="cs"/>
      <w:lang w:eastAsia="zh-CN"/>
    </w:rPr>
  </w:style>
  <w:style w:type="paragraph" w:customStyle="1" w:styleId="Figure">
    <w:name w:val="Figure"/>
    <w:basedOn w:val="FigureNo"/>
    <w:next w:val="Normal"/>
    <w:rsid w:val="00F85F93"/>
    <w:pPr>
      <w:keepLines/>
      <w:tabs>
        <w:tab w:val="left" w:pos="794"/>
        <w:tab w:val="left" w:pos="1191"/>
        <w:tab w:val="left" w:pos="1588"/>
        <w:tab w:val="left" w:pos="1985"/>
      </w:tabs>
      <w:bidi w:val="0"/>
      <w:spacing w:before="0" w:after="240" w:line="240" w:lineRule="auto"/>
    </w:pPr>
    <w:rPr>
      <w:rFonts w:hAnsi="Times New Roman" w:cs="Simplified Arabic" w:hint="cs"/>
      <w:sz w:val="18"/>
      <w:lang w:val="en-US" w:eastAsia="zh-CN" w:bidi="ar-SA"/>
    </w:rPr>
  </w:style>
  <w:style w:type="table" w:customStyle="1" w:styleId="TableGrid1">
    <w:name w:val="Table Grid1"/>
    <w:basedOn w:val="TableNormal"/>
    <w:next w:val="TableGrid"/>
    <w:qFormat/>
    <w:rsid w:val="00F85F93"/>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3E559A"/>
    <w:rPr>
      <w:rFonts w:ascii="Times New Roman" w:eastAsia="SimSun" w:hAnsi="Times New Roman" w:cs="Traditional Arabic"/>
      <w:szCs w:val="26"/>
      <w:vertAlign w:val="superscript"/>
      <w:lang w:eastAsia="fr-FR"/>
    </w:rPr>
  </w:style>
  <w:style w:type="character" w:customStyle="1" w:styleId="Tabletext0">
    <w:name w:val="Table_text (文字)"/>
    <w:link w:val="Tabletext"/>
    <w:rsid w:val="00DB5611"/>
    <w:rPr>
      <w:rFonts w:ascii="Times New Roman" w:eastAsia="SimSun" w:hAnsi="Times New Roman" w:cs="Traditional Arabic"/>
      <w:spacing w:val="-2"/>
      <w:szCs w:val="26"/>
      <w:lang w:eastAsia="fr-FR"/>
    </w:rPr>
  </w:style>
  <w:style w:type="character" w:customStyle="1" w:styleId="Rectitle0">
    <w:name w:val="Rec_title Знак"/>
    <w:basedOn w:val="DefaultParagraphFont"/>
    <w:link w:val="Rectitle"/>
    <w:locked/>
    <w:rsid w:val="00F85F93"/>
    <w:rPr>
      <w:rFonts w:ascii="Times New Roman Bold" w:eastAsia="NSimSun" w:hAnsi="Times New Roman Bold" w:cs="Traditional Arabic"/>
      <w:b/>
      <w:bCs/>
      <w:sz w:val="28"/>
      <w:szCs w:val="40"/>
      <w:lang w:eastAsia="fr-FR" w:bidi="ar-EG"/>
    </w:rPr>
  </w:style>
  <w:style w:type="table" w:customStyle="1" w:styleId="TableGrid14">
    <w:name w:val="Table Grid14"/>
    <w:basedOn w:val="TableNormal"/>
    <w:next w:val="TableGrid"/>
    <w:qFormat/>
    <w:rsid w:val="00F85F93"/>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85F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85F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85F93"/>
    <w:rPr>
      <w:sz w:val="16"/>
      <w:szCs w:val="16"/>
    </w:rPr>
  </w:style>
  <w:style w:type="paragraph" w:styleId="CommentText">
    <w:name w:val="annotation text"/>
    <w:basedOn w:val="Normal"/>
    <w:link w:val="CommentTextChar"/>
    <w:unhideWhenUsed/>
    <w:rsid w:val="00F85F93"/>
    <w:pPr>
      <w:tabs>
        <w:tab w:val="left" w:pos="794"/>
        <w:tab w:val="left" w:pos="1191"/>
        <w:tab w:val="left" w:pos="1588"/>
        <w:tab w:val="left" w:pos="1985"/>
      </w:tabs>
      <w:bidi w:val="0"/>
      <w:spacing w:line="240" w:lineRule="auto"/>
    </w:pPr>
    <w:rPr>
      <w:rFonts w:cs="Simplified Arabic" w:hint="cs"/>
      <w:sz w:val="20"/>
      <w:lang w:eastAsia="zh-CN"/>
    </w:rPr>
  </w:style>
  <w:style w:type="character" w:customStyle="1" w:styleId="CommentTextChar">
    <w:name w:val="Comment Text Char"/>
    <w:basedOn w:val="DefaultParagraphFont"/>
    <w:link w:val="CommentText"/>
    <w:rsid w:val="00F85F93"/>
    <w:rPr>
      <w:rFonts w:ascii="Times New Roman" w:hAnsi="Times New Roman" w:cs="Simplified Arabic"/>
      <w:szCs w:val="30"/>
    </w:rPr>
  </w:style>
  <w:style w:type="paragraph" w:styleId="CommentSubject">
    <w:name w:val="annotation subject"/>
    <w:basedOn w:val="CommentText"/>
    <w:next w:val="CommentText"/>
    <w:link w:val="CommentSubjectChar"/>
    <w:semiHidden/>
    <w:unhideWhenUsed/>
    <w:rsid w:val="00F85F93"/>
    <w:rPr>
      <w:b/>
      <w:bCs/>
    </w:rPr>
  </w:style>
  <w:style w:type="character" w:customStyle="1" w:styleId="CommentSubjectChar">
    <w:name w:val="Comment Subject Char"/>
    <w:basedOn w:val="CommentTextChar"/>
    <w:link w:val="CommentSubject"/>
    <w:semiHidden/>
    <w:rsid w:val="00F85F93"/>
    <w:rPr>
      <w:rFonts w:ascii="Times New Roman" w:hAnsi="Times New Roman" w:cs="Simplified Arabic"/>
      <w:b/>
      <w:bCs/>
      <w:szCs w:val="30"/>
    </w:rPr>
  </w:style>
  <w:style w:type="character" w:styleId="UnresolvedMention">
    <w:name w:val="Unresolved Mention"/>
    <w:basedOn w:val="DefaultParagraphFont"/>
    <w:uiPriority w:val="99"/>
    <w:semiHidden/>
    <w:unhideWhenUsed/>
    <w:rsid w:val="00F85F93"/>
    <w:rPr>
      <w:color w:val="605E5C"/>
      <w:shd w:val="clear" w:color="auto" w:fill="E1DFDD"/>
    </w:rPr>
  </w:style>
  <w:style w:type="paragraph" w:styleId="Revision">
    <w:name w:val="Revision"/>
    <w:hidden/>
    <w:uiPriority w:val="99"/>
    <w:semiHidden/>
    <w:rsid w:val="00F85F93"/>
    <w:rPr>
      <w:rFonts w:ascii="Times New Roman" w:hAnsi="Times New Roman" w:cs="Simplified Arabic" w:hint="cs"/>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itu.int/rec/R-REC-M.1036/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itu.int/publ/R-REC/en" TargetMode="External"/><Relationship Id="rId17" Type="http://schemas.openxmlformats.org/officeDocument/2006/relationships/hyperlink" Target="https://www.itu.int/pub/R-REP-M.2529"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itu.int/pub/R-REP-M.2529" TargetMode="External"/><Relationship Id="rId20" Type="http://schemas.openxmlformats.org/officeDocument/2006/relationships/hyperlink" Target="https://www.itu.int/pub/R-REP-M.25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rec/R-REC-M.1036/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tu.int/pub/R-REP-M.252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R%20(BR)\PA_ITU-R%20Rec\2023-ITU-R-REC_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2023-ITU-R-REC_M-A.dotx</Template>
  <TotalTime>124</TotalTime>
  <Pages>15</Pages>
  <Words>5262</Words>
  <Characters>28065</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التوصيـة ‏ITU-R M.2159-0‎ ‎(2023/12)‎ التدابير التقنية والتنظيمية لتحقيق التوافق بين ‏الاتصالات المتنقلة الدولية والخدمات المتنقلة ‏الساتلية فيما يتعلق بعمليات الخدمات المتنقلة ‏الساتلية في نطاق التردد ‏MHz 1 525-1 518‎‏ ‏للإدارات التي ترغب في تنفيذ الاتص</vt:lpstr>
    </vt:vector>
  </TitlesOfParts>
  <Company>ITU</Company>
  <LinksUpToDate>false</LinksUpToDate>
  <CharactersWithSpaces>33261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M.2159-0‎ ‎(2023/12)‎ التدابير التقنية والتنظيمية لتحقيق التوافق بين ‏الاتصالات المتنقلة الدولية والخدمات المتنقلة ‏الساتلية فيما يتعلق بعمليات الخدمات المتنقلة ‏الساتلية في نطاق التردد ‏MHz 1 525-1 518‎‏ ‏للإدارات التي ترغب في تنفيذ الاتصالات المتنقلة ‏الدولية في نطاق التردد ‏MHz 1 518-1 492‎</dc:title>
  <dc:creator>Khattab, Alaa Atef Abdellatif</dc:creator>
  <cp:lastModifiedBy>Gergis, Mina</cp:lastModifiedBy>
  <cp:revision>20</cp:revision>
  <cp:lastPrinted>2024-05-21T14:05:00Z</cp:lastPrinted>
  <dcterms:created xsi:type="dcterms:W3CDTF">2024-03-07T13:54:00Z</dcterms:created>
  <dcterms:modified xsi:type="dcterms:W3CDTF">2024-05-21T14:14:00Z</dcterms:modified>
</cp:coreProperties>
</file>