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292" w:rsidRPr="00575CB8" w:rsidRDefault="00042292" w:rsidP="00042292">
      <w:pPr>
        <w:rPr>
          <w:lang w:val="en-US"/>
        </w:rPr>
      </w:pPr>
    </w:p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42292" w:rsidRPr="00ED4181" w:rsidTr="00A07AEB">
        <w:tc>
          <w:tcPr>
            <w:tcW w:w="10089" w:type="dxa"/>
          </w:tcPr>
          <w:p w:rsidR="00042292" w:rsidRPr="00A07AEB" w:rsidRDefault="00042292" w:rsidP="00A07A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42292" w:rsidRPr="00A07AEB" w:rsidRDefault="00042292" w:rsidP="002173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proofErr w:type="gram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</w:t>
            </w:r>
            <w:proofErr w:type="gram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-R  </w:t>
            </w:r>
            <w:r w:rsidR="0056762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485E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2122-0</w:t>
            </w:r>
          </w:p>
          <w:p w:rsidR="00042292" w:rsidRPr="00A07AEB" w:rsidRDefault="00042292" w:rsidP="00485E3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57474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485E3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485E3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2019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21735B" w:rsidTr="00A07AEB">
        <w:tc>
          <w:tcPr>
            <w:tcW w:w="10089" w:type="dxa"/>
          </w:tcPr>
          <w:p w:rsidR="00567624" w:rsidRPr="0010336F" w:rsidRDefault="00567624" w:rsidP="0056762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Pr="0010336F" w:rsidRDefault="0021735B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Default="00485E3B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485E3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Características técnicas y operativas de los sistemas del servicio móvil aeronáutico dedicados exclusivamente a las transmisiones de aeronave de </w:t>
            </w:r>
            <w:proofErr w:type="spellStart"/>
            <w:r w:rsidRPr="00485E3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telemedida</w:t>
            </w:r>
            <w:proofErr w:type="spellEnd"/>
            <w:r w:rsidRPr="00485E3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móvil aeronáutica para pruebas en vuelo en la banda 5 150-5 250 MHz en la Región 1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485E3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y en Brasil de conformidad con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485E3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el número 5.446C del RR</w:t>
            </w:r>
          </w:p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ED4181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A07AEB" w:rsidRDefault="00042292" w:rsidP="00A07A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Servicios móviles, de </w:t>
            </w:r>
            <w:proofErr w:type="spell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radiodeterminación</w:t>
            </w:r>
            <w:proofErr w:type="spell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,</w:t>
            </w:r>
            <w:r w:rsidR="00410F5B"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6C718C" w:rsidRDefault="00042292" w:rsidP="0004229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6C718C" w:rsidRDefault="00042292" w:rsidP="00042292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6C718C" w:rsidRDefault="00042292" w:rsidP="00042292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42292" w:rsidRPr="00021E8A" w:rsidRDefault="00042292" w:rsidP="00042292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042292" w:rsidRPr="00021E8A" w:rsidRDefault="00042292" w:rsidP="00ED4181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42292" w:rsidRPr="00ED4181" w:rsidTr="00CB1354">
        <w:tc>
          <w:tcPr>
            <w:tcW w:w="9360" w:type="dxa"/>
            <w:gridSpan w:val="2"/>
          </w:tcPr>
          <w:p w:rsidR="00042292" w:rsidRPr="00021E8A" w:rsidRDefault="00042292" w:rsidP="00CB135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763D08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42292" w:rsidRPr="00036EE3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042292" w:rsidRPr="00ED4181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42292" w:rsidRPr="00021E8A" w:rsidRDefault="00D131B8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042292" w:rsidRPr="00ED2695" w:rsidTr="00CB1354">
        <w:tc>
          <w:tcPr>
            <w:tcW w:w="1140" w:type="dxa"/>
            <w:shd w:val="clear" w:color="auto" w:fill="auto"/>
          </w:tcPr>
          <w:p w:rsidR="00042292" w:rsidRPr="00ED2695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042292" w:rsidRPr="00ED4181" w:rsidTr="00CB1354">
        <w:tc>
          <w:tcPr>
            <w:tcW w:w="1140" w:type="dxa"/>
            <w:shd w:val="clear" w:color="auto" w:fill="F3F3F3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1240BC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 xml:space="preserve">Servicios móviles, de </w:t>
            </w:r>
            <w:proofErr w:type="spellStart"/>
            <w:r w:rsidRPr="001240BC">
              <w:rPr>
                <w:bCs/>
                <w:color w:val="000080"/>
                <w:sz w:val="20"/>
                <w:lang w:val="es-ES_tradnl"/>
              </w:rPr>
              <w:t>radiodeterminación</w:t>
            </w:r>
            <w:proofErr w:type="spellEnd"/>
            <w:r w:rsidRPr="001240BC">
              <w:rPr>
                <w:bCs/>
                <w:color w:val="000080"/>
                <w:sz w:val="20"/>
                <w:lang w:val="es-ES_tradnl"/>
              </w:rPr>
              <w:t>, de aficionados y otros servicios por satélite conexos</w:t>
            </w:r>
          </w:p>
        </w:tc>
      </w:tr>
      <w:tr w:rsidR="00042292" w:rsidRPr="00ED4181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42292" w:rsidRPr="00021E8A" w:rsidRDefault="00042292" w:rsidP="00C411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Radioastronomía</w:t>
            </w:r>
            <w:proofErr w:type="spellEnd"/>
          </w:p>
        </w:tc>
      </w:tr>
      <w:tr w:rsidR="00042292" w:rsidRPr="00ED4181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042292" w:rsidRPr="00ED4181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ED4181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042292" w:rsidRPr="00036EE3" w:rsidRDefault="00042292" w:rsidP="00042292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42292" w:rsidTr="00CB1354">
        <w:tc>
          <w:tcPr>
            <w:tcW w:w="720" w:type="dxa"/>
          </w:tcPr>
          <w:p w:rsidR="00042292" w:rsidRDefault="00042292" w:rsidP="00CB135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42292" w:rsidRPr="00ED4181" w:rsidTr="00A07AEB">
        <w:tc>
          <w:tcPr>
            <w:tcW w:w="9360" w:type="dxa"/>
          </w:tcPr>
          <w:p w:rsidR="00042292" w:rsidRPr="00A07AEB" w:rsidRDefault="00042292" w:rsidP="00F90A3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042292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42292" w:rsidRPr="00763D08" w:rsidRDefault="00042292" w:rsidP="00CF7F63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B26B3">
        <w:rPr>
          <w:sz w:val="20"/>
          <w:lang w:val="es-ES_tradnl"/>
        </w:rPr>
        <w:t>1</w:t>
      </w:r>
      <w:r w:rsidR="00485E3B">
        <w:rPr>
          <w:sz w:val="20"/>
          <w:lang w:val="es-ES_tradnl"/>
        </w:rPr>
        <w:t>9</w:t>
      </w:r>
    </w:p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6F3D6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1B26B3">
        <w:rPr>
          <w:sz w:val="20"/>
          <w:lang w:val="es-ES_tradnl"/>
        </w:rPr>
        <w:t>1</w:t>
      </w:r>
      <w:r w:rsidR="00485E3B">
        <w:rPr>
          <w:sz w:val="20"/>
          <w:lang w:val="es-ES_tradnl"/>
        </w:rPr>
        <w:t>9</w:t>
      </w:r>
    </w:p>
    <w:p w:rsidR="00042292" w:rsidRPr="006C718C" w:rsidRDefault="00042292" w:rsidP="00042292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42292" w:rsidRPr="006C718C" w:rsidRDefault="00042292" w:rsidP="00042292">
      <w:pPr>
        <w:spacing w:before="160"/>
        <w:rPr>
          <w:i/>
          <w:sz w:val="20"/>
          <w:highlight w:val="yellow"/>
          <w:lang w:val="es-ES_tradnl"/>
        </w:rPr>
        <w:sectPr w:rsidR="00042292" w:rsidRPr="006C718C" w:rsidSect="00CB135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85E3B" w:rsidRDefault="00485E3B" w:rsidP="0021735B">
      <w:pPr>
        <w:pStyle w:val="RecNo"/>
        <w:spacing w:before="0"/>
        <w:rPr>
          <w:lang w:val="es-ES_tradnl"/>
        </w:rPr>
      </w:pPr>
      <w:bookmarkStart w:id="2" w:name="irecnoe"/>
      <w:bookmarkEnd w:id="2"/>
      <w:proofErr w:type="gramStart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>UIT</w:t>
      </w:r>
      <w:proofErr w:type="gramEnd"/>
      <w:r w:rsidRPr="0010336F">
        <w:rPr>
          <w:rStyle w:val="href"/>
          <w:lang w:val="es-ES_tradnl"/>
        </w:rPr>
        <w:t xml:space="preserve">-R  </w:t>
      </w:r>
      <w:r>
        <w:rPr>
          <w:rStyle w:val="href"/>
          <w:lang w:val="es-ES_tradnl"/>
        </w:rPr>
        <w:t>M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2122-0</w:t>
      </w:r>
    </w:p>
    <w:p w:rsidR="00485E3B" w:rsidRDefault="00485E3B" w:rsidP="00485E3B">
      <w:pPr>
        <w:pStyle w:val="Rectitle"/>
        <w:rPr>
          <w:lang w:val="es-ES_tradnl"/>
        </w:rPr>
      </w:pPr>
      <w:r>
        <w:rPr>
          <w:lang w:val="es-ES_tradnl"/>
        </w:rPr>
        <w:t xml:space="preserve">Características técnicas y operativas de los sistemas del servicio móvil aeronáutico dedicados exclusivamente a las transmisiones de aeronave </w:t>
      </w:r>
      <w:r w:rsidR="00AF6C13">
        <w:rPr>
          <w:lang w:val="es-ES_tradnl"/>
        </w:rPr>
        <w:br/>
      </w:r>
      <w:r>
        <w:rPr>
          <w:lang w:val="es-ES_tradnl"/>
        </w:rPr>
        <w:t xml:space="preserve">de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móvil aeronáutica para pruebas en vuelo en </w:t>
      </w:r>
      <w:r w:rsidR="00AF6C13">
        <w:rPr>
          <w:lang w:val="es-ES_tradnl"/>
        </w:rPr>
        <w:br/>
      </w:r>
      <w:r>
        <w:rPr>
          <w:lang w:val="es-ES_tradnl"/>
        </w:rPr>
        <w:t xml:space="preserve">la banda 5 150-5 250 MHz en la Región 1 y en Brasil </w:t>
      </w:r>
      <w:r w:rsidR="00AF6C13">
        <w:rPr>
          <w:lang w:val="es-ES_tradnl"/>
        </w:rPr>
        <w:br/>
      </w:r>
      <w:r>
        <w:rPr>
          <w:lang w:val="es-ES_tradnl"/>
        </w:rPr>
        <w:t>de conformidad con el número 5.446C del RR</w:t>
      </w:r>
    </w:p>
    <w:p w:rsidR="00485E3B" w:rsidRDefault="00485E3B" w:rsidP="00485E3B">
      <w:pPr>
        <w:pStyle w:val="Recdate"/>
        <w:rPr>
          <w:lang w:val="es-ES_tradnl"/>
        </w:rPr>
      </w:pPr>
      <w:r>
        <w:rPr>
          <w:lang w:val="es-ES_tradnl"/>
        </w:rPr>
        <w:t>(2019)</w:t>
      </w:r>
    </w:p>
    <w:p w:rsidR="00485E3B" w:rsidRDefault="00301A03" w:rsidP="00485E3B">
      <w:pPr>
        <w:pStyle w:val="HeadingSum"/>
        <w:jc w:val="left"/>
        <w:rPr>
          <w:szCs w:val="22"/>
        </w:rPr>
      </w:pPr>
      <w:r>
        <w:rPr>
          <w:szCs w:val="22"/>
        </w:rPr>
        <w:t>Cometido</w:t>
      </w:r>
    </w:p>
    <w:p w:rsidR="00485E3B" w:rsidRDefault="00485E3B" w:rsidP="00485E3B">
      <w:pPr>
        <w:pStyle w:val="Summary"/>
      </w:pPr>
      <w:r>
        <w:t xml:space="preserve">En esta Recomendación se abordan las características técnicas y operativas de las actividades de </w:t>
      </w:r>
      <w:proofErr w:type="spellStart"/>
      <w:r>
        <w:t>telemedida</w:t>
      </w:r>
      <w:proofErr w:type="spellEnd"/>
      <w:r>
        <w:t xml:space="preserve"> móvil aeronáutica (AMT) llevadas a cabo en países de la Región 1 (salvo en Argelia, Arabia Saudita, </w:t>
      </w:r>
      <w:proofErr w:type="spellStart"/>
      <w:r>
        <w:t>Bahrein</w:t>
      </w:r>
      <w:proofErr w:type="spellEnd"/>
      <w:r>
        <w:t>, Egipto, Emiratos Árabes Unidos, Jordania, Kuwait, Líbano, Marruecos, Omán, Qatar, República Árabe Siria, Sudán, Sudán del Sur y Túnez) y en Brasil en la gama de frecuencias 5 150-5 250 MHz de conformidad con el número </w:t>
      </w:r>
      <w:r>
        <w:rPr>
          <w:b/>
          <w:bCs/>
        </w:rPr>
        <w:t>5.446C</w:t>
      </w:r>
      <w:r>
        <w:t xml:space="preserve"> del RR, que recoge una atribución a título primario al servicio móvil aeronáutico, exclusivamente para l</w:t>
      </w:r>
      <w:bookmarkStart w:id="3" w:name="_GoBack"/>
      <w:bookmarkEnd w:id="3"/>
      <w:r>
        <w:t xml:space="preserve">as transmisiones de </w:t>
      </w:r>
      <w:proofErr w:type="spellStart"/>
      <w:r>
        <w:t>telemedida</w:t>
      </w:r>
      <w:proofErr w:type="spellEnd"/>
      <w:r>
        <w:t xml:space="preserve"> aeronáutica desde estaciones de aeronave.</w:t>
      </w:r>
    </w:p>
    <w:p w:rsidR="00485E3B" w:rsidRDefault="00485E3B" w:rsidP="00485E3B">
      <w:pPr>
        <w:pStyle w:val="Headingb"/>
        <w:rPr>
          <w:lang w:val="es-ES_tradnl"/>
        </w:rPr>
      </w:pPr>
      <w:r>
        <w:rPr>
          <w:lang w:val="es-ES_tradnl"/>
        </w:rPr>
        <w:t>Recomendaciones e Informes de la UIT conexas</w:t>
      </w:r>
    </w:p>
    <w:p w:rsidR="00485E3B" w:rsidRDefault="00485E3B" w:rsidP="00485E3B">
      <w:pPr>
        <w:pStyle w:val="Reftext"/>
        <w:rPr>
          <w:lang w:val="es-ES_tradnl"/>
        </w:rPr>
      </w:pPr>
      <w:r>
        <w:rPr>
          <w:lang w:val="es-ES_tradnl"/>
        </w:rPr>
        <w:t>Recomendación ITU-R S.580 – Diagramas de radiación que han de utilizarse como objetivos de diseño para las antenas de las estaciones terrenas que funcionan con satélites geoestacionarios</w:t>
      </w:r>
    </w:p>
    <w:p w:rsidR="00485E3B" w:rsidRDefault="00485E3B" w:rsidP="00485E3B">
      <w:pPr>
        <w:pStyle w:val="Reftext"/>
        <w:rPr>
          <w:lang w:val="es-ES_tradnl"/>
        </w:rPr>
      </w:pPr>
      <w:r>
        <w:rPr>
          <w:lang w:val="es-ES_tradnl"/>
        </w:rPr>
        <w:t xml:space="preserve">Recomendación ITU-R M.1459 – Criterios de protección aplicables a los sistemas de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del servicio móvil aeronáutico y técnicas de reducción de la interferencia para facilitar la compartición con los servicios de radiodifusión por satélite geoestacionario y móvil por satélite geoestacionario en las bandas de frecuencias 1 452-1 525 MHz y 2 310</w:t>
      </w:r>
      <w:r>
        <w:rPr>
          <w:lang w:val="es-ES_tradnl"/>
        </w:rPr>
        <w:noBreakHyphen/>
        <w:t>2 360 MHz</w:t>
      </w:r>
    </w:p>
    <w:p w:rsidR="00485E3B" w:rsidRDefault="00485E3B" w:rsidP="00485E3B">
      <w:pPr>
        <w:pStyle w:val="Reftext"/>
        <w:rPr>
          <w:lang w:val="es-ES_tradnl"/>
        </w:rPr>
      </w:pPr>
      <w:r>
        <w:rPr>
          <w:lang w:val="es-ES_tradnl"/>
        </w:rPr>
        <w:t xml:space="preserve">Recomendación ITU-R M.1828 – Requisitos técnicos y operacionales de las estaciones de aeronave del servicio móvil aeronáutico limitadas a las transmisiones de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para pruebas en vuelo en bandas en torno a 5 GHz</w:t>
      </w:r>
    </w:p>
    <w:p w:rsidR="00485E3B" w:rsidRDefault="00485E3B" w:rsidP="00485E3B">
      <w:pPr>
        <w:pStyle w:val="Reftext"/>
        <w:rPr>
          <w:lang w:val="es-ES_tradnl"/>
        </w:rPr>
      </w:pPr>
      <w:r>
        <w:rPr>
          <w:lang w:val="es-ES_tradnl"/>
        </w:rPr>
        <w:t>Informe ITU-R M.2221 – Viabilidad del funcionamiento del servicio móvil por satélite en determinadas bandas de frecuencias</w:t>
      </w:r>
    </w:p>
    <w:p w:rsidR="00485E3B" w:rsidRDefault="00485E3B" w:rsidP="00485E3B">
      <w:pPr>
        <w:pStyle w:val="Reftext"/>
        <w:rPr>
          <w:lang w:val="es-ES_tradnl"/>
        </w:rPr>
      </w:pPr>
      <w:r>
        <w:rPr>
          <w:lang w:val="es-ES_tradnl"/>
        </w:rPr>
        <w:t>Informe ITU-R M.2238 – Estudio de compatibilidad para soportar los enlaces de control y comunicaciones sin carga útil con visibilidad directa de sistemas de aeronaves no tripuladas propuestos en la banda de frecuencias 5 091</w:t>
      </w:r>
      <w:r>
        <w:rPr>
          <w:lang w:val="es-ES_tradnl"/>
        </w:rPr>
        <w:noBreakHyphen/>
        <w:t>5 150 MHz</w:t>
      </w:r>
    </w:p>
    <w:p w:rsidR="00485E3B" w:rsidRDefault="00485E3B" w:rsidP="00485E3B">
      <w:pPr>
        <w:pStyle w:val="Headingb"/>
        <w:rPr>
          <w:lang w:val="es-ES_tradnl"/>
        </w:rPr>
      </w:pPr>
      <w:r>
        <w:rPr>
          <w:lang w:val="es-ES_tradnl"/>
        </w:rPr>
        <w:t>Palabras clave</w:t>
      </w:r>
    </w:p>
    <w:p w:rsidR="00485E3B" w:rsidRDefault="00B13D42" w:rsidP="00485E3B">
      <w:pPr>
        <w:rPr>
          <w:szCs w:val="24"/>
          <w:lang w:val="es-ES_tradnl"/>
        </w:rPr>
      </w:pPr>
      <w:r>
        <w:rPr>
          <w:szCs w:val="24"/>
          <w:lang w:val="es-ES_tradnl"/>
        </w:rPr>
        <w:t xml:space="preserve">Aeronave, </w:t>
      </w:r>
      <w:proofErr w:type="spellStart"/>
      <w:r>
        <w:rPr>
          <w:szCs w:val="24"/>
          <w:lang w:val="es-ES_tradnl"/>
        </w:rPr>
        <w:t>t</w:t>
      </w:r>
      <w:r w:rsidR="00485E3B">
        <w:rPr>
          <w:szCs w:val="24"/>
          <w:lang w:val="es-ES_tradnl"/>
        </w:rPr>
        <w:t>elemedida</w:t>
      </w:r>
      <w:proofErr w:type="spellEnd"/>
    </w:p>
    <w:p w:rsidR="00485E3B" w:rsidRDefault="00485E3B" w:rsidP="00485E3B">
      <w:pPr>
        <w:pStyle w:val="Headingb"/>
        <w:rPr>
          <w:lang w:val="es-ES_tradnl"/>
        </w:rPr>
      </w:pPr>
      <w:r>
        <w:rPr>
          <w:lang w:val="es-ES_tradnl"/>
        </w:rPr>
        <w:t>Siglas/Glosario</w:t>
      </w:r>
    </w:p>
    <w:p w:rsidR="00485E3B" w:rsidRDefault="00485E3B" w:rsidP="00485E3B">
      <w:pPr>
        <w:rPr>
          <w:lang w:val="es-ES_tradnl"/>
        </w:rPr>
      </w:pPr>
      <w:r>
        <w:rPr>
          <w:i/>
          <w:iCs/>
          <w:lang w:val="es-ES_tradnl"/>
        </w:rPr>
        <w:t>I</w:t>
      </w:r>
      <w:r>
        <w:rPr>
          <w:lang w:val="es-ES_tradnl"/>
        </w:rPr>
        <w:t>/</w:t>
      </w:r>
      <w:r>
        <w:rPr>
          <w:i/>
          <w:iCs/>
          <w:lang w:val="es-ES_tradnl"/>
        </w:rPr>
        <w:t>N</w:t>
      </w:r>
      <w:r>
        <w:rPr>
          <w:lang w:val="es-ES_tradnl"/>
        </w:rPr>
        <w:tab/>
      </w:r>
      <w:r>
        <w:rPr>
          <w:lang w:val="es-ES_tradnl"/>
        </w:rPr>
        <w:tab/>
        <w:t>Relación interferencia-ruido</w:t>
      </w:r>
    </w:p>
    <w:p w:rsidR="00485E3B" w:rsidRDefault="00485E3B" w:rsidP="00485E3B">
      <w:pPr>
        <w:rPr>
          <w:lang w:val="es-ES_tradnl"/>
        </w:rPr>
      </w:pPr>
      <w:r>
        <w:rPr>
          <w:lang w:val="es-ES_tradnl"/>
        </w:rPr>
        <w:t>SMA</w:t>
      </w:r>
      <w:r>
        <w:rPr>
          <w:lang w:val="es-ES_tradnl"/>
        </w:rPr>
        <w:tab/>
      </w:r>
      <w:r>
        <w:rPr>
          <w:lang w:val="es-ES_tradnl"/>
        </w:rPr>
        <w:tab/>
        <w:t>Servicio móvil aeronáutico</w:t>
      </w:r>
    </w:p>
    <w:p w:rsidR="00485E3B" w:rsidRDefault="00485E3B" w:rsidP="00485E3B">
      <w:pPr>
        <w:rPr>
          <w:lang w:val="es-ES_tradnl"/>
        </w:rPr>
      </w:pPr>
      <w:r>
        <w:rPr>
          <w:lang w:val="es-ES_tradnl"/>
        </w:rPr>
        <w:t>TMA</w:t>
      </w:r>
      <w:r>
        <w:rPr>
          <w:lang w:val="es-ES_tradnl"/>
        </w:rPr>
        <w:tab/>
      </w:r>
      <w:r>
        <w:rPr>
          <w:lang w:val="es-ES_tradnl"/>
        </w:rPr>
        <w:tab/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móvil aeronáutica</w:t>
      </w:r>
    </w:p>
    <w:p w:rsidR="00485E3B" w:rsidRDefault="00485E3B" w:rsidP="00AF6C13">
      <w:pPr>
        <w:pStyle w:val="Normalaftertitle"/>
        <w:keepNext/>
        <w:keepLines/>
        <w:rPr>
          <w:lang w:val="es-ES_tradnl"/>
        </w:rPr>
      </w:pPr>
      <w:r>
        <w:rPr>
          <w:lang w:val="es-ES_tradnl"/>
        </w:rPr>
        <w:lastRenderedPageBreak/>
        <w:t>La Asamblea de Radiocomunicaciones de la UIT</w:t>
      </w:r>
    </w:p>
    <w:p w:rsidR="00485E3B" w:rsidRDefault="00485E3B" w:rsidP="00AF6C13">
      <w:pPr>
        <w:pStyle w:val="Call"/>
        <w:rPr>
          <w:lang w:val="es-ES_tradnl"/>
        </w:rPr>
      </w:pPr>
      <w:r>
        <w:rPr>
          <w:lang w:val="es-ES_tradnl"/>
        </w:rPr>
        <w:t>considerando</w:t>
      </w:r>
    </w:p>
    <w:p w:rsidR="00485E3B" w:rsidRDefault="00485E3B" w:rsidP="00AF6C13">
      <w:pPr>
        <w:keepNext/>
        <w:keepLines/>
        <w:rPr>
          <w:lang w:val="es-ES_tradnl"/>
        </w:rPr>
      </w:pPr>
      <w:r>
        <w:rPr>
          <w:i/>
          <w:iCs/>
          <w:lang w:val="es-ES_tradnl"/>
        </w:rPr>
        <w:t>a)</w:t>
      </w:r>
      <w:r>
        <w:rPr>
          <w:lang w:val="es-ES_tradnl"/>
        </w:rPr>
        <w:tab/>
        <w:t xml:space="preserve">que ya están funcionando varios sistemas del servicio móvil aeronáutico (SMA) diferentes desde el punto de vista técnico y de funcionamiento dedicados exclusivamente a las transmisiones de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para redes de pruebas en vuelo en la banda de frecuencias </w:t>
      </w:r>
      <w:r>
        <w:rPr>
          <w:szCs w:val="24"/>
          <w:lang w:val="es-ES_tradnl"/>
        </w:rPr>
        <w:t xml:space="preserve">5 GHz con arreglo a la Resolución </w:t>
      </w:r>
      <w:r>
        <w:rPr>
          <w:b/>
          <w:szCs w:val="24"/>
          <w:lang w:val="es-ES_tradnl"/>
        </w:rPr>
        <w:t>418 (Rev.CMR-15)</w:t>
      </w:r>
      <w:r>
        <w:rPr>
          <w:szCs w:val="24"/>
          <w:lang w:val="es-ES_tradnl"/>
        </w:rPr>
        <w:t>;</w:t>
      </w:r>
    </w:p>
    <w:p w:rsidR="00485E3B" w:rsidRDefault="00485E3B" w:rsidP="00485E3B">
      <w:pPr>
        <w:rPr>
          <w:lang w:val="es-ES_tradnl"/>
        </w:rPr>
      </w:pPr>
      <w:r>
        <w:rPr>
          <w:i/>
          <w:iCs/>
          <w:lang w:val="es-ES_tradnl"/>
        </w:rPr>
        <w:t>b)</w:t>
      </w:r>
      <w:r>
        <w:rPr>
          <w:lang w:val="es-ES_tradnl"/>
        </w:rPr>
        <w:tab/>
        <w:t>que el funcionamiento de las estaciones de aeronave suele estar sujeta a normas y reglamentos nacionales e internacionales, en particular a la conformidad con las normas técnicas y requisitos operativos mutuamente acordados;</w:t>
      </w:r>
    </w:p>
    <w:p w:rsidR="00485E3B" w:rsidRDefault="00485E3B" w:rsidP="00485E3B">
      <w:pPr>
        <w:rPr>
          <w:lang w:val="es-ES_tradnl"/>
        </w:rPr>
      </w:pPr>
      <w:r>
        <w:rPr>
          <w:i/>
          <w:iCs/>
          <w:lang w:val="es-ES_tradnl"/>
        </w:rPr>
        <w:t>c)</w:t>
      </w:r>
      <w:r>
        <w:rPr>
          <w:lang w:val="es-ES_tradnl"/>
        </w:rPr>
        <w:tab/>
        <w:t xml:space="preserve">que es necesario determinar las características técnicas y operativas para realizar análisis de compartición en el SMA limitadas a las transmisiones de los sistemas de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de las aeronaves para pruebas en vuelo;</w:t>
      </w:r>
    </w:p>
    <w:p w:rsidR="00485E3B" w:rsidRDefault="00485E3B" w:rsidP="00485E3B">
      <w:pPr>
        <w:rPr>
          <w:lang w:val="es-ES_tradnl"/>
        </w:rPr>
      </w:pPr>
      <w:r>
        <w:rPr>
          <w:i/>
          <w:iCs/>
          <w:lang w:val="es-ES_tradnl"/>
        </w:rPr>
        <w:t>d)</w:t>
      </w:r>
      <w:r>
        <w:rPr>
          <w:lang w:val="es-ES_tradnl"/>
        </w:rPr>
        <w:tab/>
        <w:t>que en la Recomendación UIT-R M.1828 se describe la determinación de los requisitos técnicos y operativos de las estaciones de aeronaves y se proporcionan fundamentos técnicos comunes para facilitar las pruebas de conformidad de las estaciones de aeronaves por parte de diversas autoridades nacionales e internacionales y el desarrollo de acuerdos de reconocimiento mutuo para la conformidad de las estaciones de aeronaves,</w:t>
      </w:r>
    </w:p>
    <w:p w:rsidR="00485E3B" w:rsidRDefault="00485E3B" w:rsidP="00485E3B">
      <w:pPr>
        <w:pStyle w:val="Call"/>
        <w:rPr>
          <w:lang w:val="es-ES_tradnl"/>
        </w:rPr>
      </w:pPr>
      <w:r>
        <w:rPr>
          <w:lang w:val="es-ES_tradnl"/>
        </w:rPr>
        <w:t>reconociendo</w:t>
      </w:r>
    </w:p>
    <w:p w:rsidR="00485E3B" w:rsidRDefault="00485E3B" w:rsidP="00485E3B">
      <w:pPr>
        <w:rPr>
          <w:lang w:val="es-ES_tradnl"/>
        </w:rPr>
      </w:pPr>
      <w:r>
        <w:rPr>
          <w:i/>
          <w:iCs/>
          <w:lang w:val="es-ES_tradnl"/>
        </w:rPr>
        <w:t>a)</w:t>
      </w:r>
      <w:r>
        <w:rPr>
          <w:lang w:val="es-ES_tradnl"/>
        </w:rPr>
        <w:tab/>
        <w:t>que en la banda de frecuencias 5 150</w:t>
      </w:r>
      <w:r>
        <w:rPr>
          <w:lang w:val="es-ES_tradnl"/>
        </w:rPr>
        <w:noBreakHyphen/>
        <w:t>5 250 MHz existen atribuciones a los servicios de radionavegación aeronáutica, fijo por satélite (Tierra</w:t>
      </w:r>
      <w:r>
        <w:rPr>
          <w:lang w:val="es-ES_tradnl"/>
        </w:rPr>
        <w:noBreakHyphen/>
        <w:t>espacio) y móvil, salvo móvil aeronáutico, a título primario;</w:t>
      </w:r>
    </w:p>
    <w:p w:rsidR="00485E3B" w:rsidRDefault="00485E3B" w:rsidP="00485E3B">
      <w:pPr>
        <w:rPr>
          <w:lang w:val="es-ES_tradnl" w:eastAsia="ja-JP"/>
        </w:rPr>
      </w:pPr>
      <w:r>
        <w:rPr>
          <w:i/>
          <w:iCs/>
          <w:lang w:val="es-ES_tradnl"/>
        </w:rPr>
        <w:t>b)</w:t>
      </w:r>
      <w:r>
        <w:rPr>
          <w:lang w:val="es-ES_tradnl"/>
        </w:rPr>
        <w:tab/>
        <w:t>que, d</w:t>
      </w:r>
      <w:r>
        <w:rPr>
          <w:lang w:val="es-ES_tradnl" w:eastAsia="ja-JP"/>
        </w:rPr>
        <w:t xml:space="preserve">e conformidad con el número </w:t>
      </w:r>
      <w:r>
        <w:rPr>
          <w:rStyle w:val="Artref"/>
          <w:b/>
          <w:lang w:val="es-ES_tradnl"/>
        </w:rPr>
        <w:t>5.446C</w:t>
      </w:r>
      <w:r>
        <w:rPr>
          <w:rStyle w:val="Artref"/>
          <w:lang w:val="es-ES_tradnl"/>
        </w:rPr>
        <w:t xml:space="preserve"> del RR</w:t>
      </w:r>
      <w:r>
        <w:rPr>
          <w:lang w:val="es-ES_tradnl" w:eastAsia="ja-JP"/>
        </w:rPr>
        <w:t xml:space="preserve">, </w:t>
      </w:r>
      <w:r>
        <w:rPr>
          <w:color w:val="000000"/>
          <w:szCs w:val="24"/>
          <w:lang w:val="es-ES_tradnl"/>
        </w:rPr>
        <w:t>en la</w:t>
      </w:r>
      <w:r>
        <w:rPr>
          <w:szCs w:val="24"/>
          <w:lang w:val="es-ES_tradnl"/>
        </w:rPr>
        <w:t xml:space="preserve"> </w:t>
      </w:r>
      <w:r>
        <w:rPr>
          <w:color w:val="000000"/>
          <w:szCs w:val="24"/>
          <w:lang w:val="es-ES_tradnl"/>
        </w:rPr>
        <w:t xml:space="preserve">Región 1 (salvo en Argelia, Arabia Saudita, Bahréin, Egipto, Emiratos Árabes Unidos, Jordania, Kuwait, Líbano, Marruecos, Omán, Qatar, República Árabe Siria, </w:t>
      </w:r>
      <w:r>
        <w:rPr>
          <w:lang w:val="es-ES_tradnl" w:eastAsia="ja-JP"/>
        </w:rPr>
        <w:t>Sudán</w:t>
      </w:r>
      <w:r>
        <w:rPr>
          <w:color w:val="000000"/>
          <w:szCs w:val="24"/>
          <w:lang w:val="es-ES_tradnl"/>
        </w:rPr>
        <w:t xml:space="preserve">, Sudán </w:t>
      </w:r>
      <w:r>
        <w:rPr>
          <w:szCs w:val="24"/>
          <w:lang w:val="es-ES_tradnl"/>
        </w:rPr>
        <w:t>del Sur</w:t>
      </w:r>
      <w:r>
        <w:rPr>
          <w:color w:val="000000"/>
          <w:szCs w:val="24"/>
          <w:lang w:val="es-ES_tradnl"/>
        </w:rPr>
        <w:t xml:space="preserve"> y Túnez) y en Brasil, la banda 5 150-5</w:t>
      </w:r>
      <w:r>
        <w:rPr>
          <w:rFonts w:ascii="Tms Rmn" w:hAnsi="Tms Rmn"/>
          <w:color w:val="000000"/>
          <w:szCs w:val="24"/>
          <w:lang w:val="es-ES_tradnl"/>
        </w:rPr>
        <w:t> </w:t>
      </w:r>
      <w:r>
        <w:rPr>
          <w:color w:val="000000"/>
          <w:szCs w:val="24"/>
          <w:lang w:val="es-ES_tradnl"/>
        </w:rPr>
        <w:t xml:space="preserve">250 MHz también está atribuida a título primario al servicio móvil aeronáutico, exclusivamente para las </w:t>
      </w:r>
      <w:r>
        <w:rPr>
          <w:lang w:val="es-ES_tradnl" w:eastAsia="ja-JP"/>
        </w:rPr>
        <w:t xml:space="preserve">transmisiones de </w:t>
      </w:r>
      <w:proofErr w:type="spellStart"/>
      <w:r>
        <w:rPr>
          <w:lang w:val="es-ES_tradnl" w:eastAsia="ja-JP"/>
        </w:rPr>
        <w:t>telemedida</w:t>
      </w:r>
      <w:proofErr w:type="spellEnd"/>
      <w:r>
        <w:rPr>
          <w:lang w:val="es-ES_tradnl" w:eastAsia="ja-JP"/>
        </w:rPr>
        <w:t xml:space="preserve"> aeronáutica desde estaciones de aeronave;</w:t>
      </w:r>
    </w:p>
    <w:p w:rsidR="00485E3B" w:rsidRDefault="00485E3B" w:rsidP="00485E3B">
      <w:pPr>
        <w:rPr>
          <w:bCs/>
          <w:lang w:val="es-ES_tradnl"/>
        </w:rPr>
      </w:pPr>
      <w:r>
        <w:rPr>
          <w:i/>
          <w:lang w:val="es-ES_tradnl"/>
        </w:rPr>
        <w:t>c)</w:t>
      </w:r>
      <w:r>
        <w:rPr>
          <w:lang w:val="es-ES_tradnl"/>
        </w:rPr>
        <w:tab/>
        <w:t xml:space="preserve">que en virtud del número </w:t>
      </w:r>
      <w:r>
        <w:rPr>
          <w:b/>
          <w:bCs/>
          <w:lang w:val="es-ES_tradnl" w:eastAsia="zh-CN"/>
        </w:rPr>
        <w:t>5.446C</w:t>
      </w:r>
      <w:r>
        <w:rPr>
          <w:lang w:val="es-ES_tradnl" w:eastAsia="zh-CN"/>
        </w:rPr>
        <w:t xml:space="preserve"> del RR, las estaciones de aeronave de </w:t>
      </w:r>
      <w:proofErr w:type="spellStart"/>
      <w:r>
        <w:rPr>
          <w:lang w:val="es-ES_tradnl" w:eastAsia="zh-CN"/>
        </w:rPr>
        <w:t>telemedida</w:t>
      </w:r>
      <w:proofErr w:type="spellEnd"/>
      <w:r>
        <w:rPr>
          <w:lang w:val="es-ES_tradnl" w:eastAsia="zh-CN"/>
        </w:rPr>
        <w:t xml:space="preserve"> móvil aeronáutica </w:t>
      </w:r>
      <w:r>
        <w:rPr>
          <w:lang w:val="es-ES_tradnl"/>
        </w:rPr>
        <w:t xml:space="preserve">(TMA) no reclamarán protección contra otras estaciones que funcionen de conformidad con el Artículo </w:t>
      </w:r>
      <w:r>
        <w:rPr>
          <w:b/>
          <w:lang w:val="es-ES_tradnl"/>
        </w:rPr>
        <w:t>5</w:t>
      </w:r>
      <w:r>
        <w:rPr>
          <w:bCs/>
          <w:lang w:val="es-ES_tradnl"/>
        </w:rPr>
        <w:t>;</w:t>
      </w:r>
    </w:p>
    <w:p w:rsidR="00485E3B" w:rsidRDefault="00485E3B" w:rsidP="00485E3B">
      <w:pPr>
        <w:rPr>
          <w:szCs w:val="24"/>
          <w:lang w:val="es-ES_tradnl"/>
        </w:rPr>
      </w:pPr>
      <w:r>
        <w:rPr>
          <w:i/>
          <w:iCs/>
          <w:szCs w:val="24"/>
          <w:lang w:val="es-ES_tradnl"/>
        </w:rPr>
        <w:t>d)</w:t>
      </w:r>
      <w:r>
        <w:rPr>
          <w:szCs w:val="24"/>
          <w:lang w:val="es-ES_tradnl"/>
        </w:rPr>
        <w:tab/>
        <w:t xml:space="preserve">que las </w:t>
      </w:r>
      <w:r>
        <w:rPr>
          <w:lang w:val="es-ES_tradnl"/>
        </w:rPr>
        <w:t>características</w:t>
      </w:r>
      <w:r>
        <w:rPr>
          <w:szCs w:val="24"/>
          <w:lang w:val="es-ES_tradnl"/>
        </w:rPr>
        <w:t xml:space="preserve"> del equipo de </w:t>
      </w:r>
      <w:proofErr w:type="spellStart"/>
      <w:r>
        <w:rPr>
          <w:szCs w:val="24"/>
          <w:lang w:val="es-ES_tradnl"/>
        </w:rPr>
        <w:t>telemedida</w:t>
      </w:r>
      <w:proofErr w:type="spellEnd"/>
      <w:r>
        <w:rPr>
          <w:szCs w:val="24"/>
          <w:lang w:val="es-ES_tradnl"/>
        </w:rPr>
        <w:t xml:space="preserve"> que funciona en la banda de frecuencias 5 150</w:t>
      </w:r>
      <w:r>
        <w:rPr>
          <w:szCs w:val="24"/>
          <w:lang w:val="es-ES_tradnl"/>
        </w:rPr>
        <w:noBreakHyphen/>
        <w:t xml:space="preserve">5 250 MHz pueden también aplicarse en la banda de frecuencias 5 091-5 150 MHz si este equipo también funciona en esa banda de frecuencias en las administraciones mencionadas en el </w:t>
      </w:r>
      <w:r>
        <w:rPr>
          <w:i/>
          <w:szCs w:val="24"/>
          <w:lang w:val="es-ES_tradnl"/>
        </w:rPr>
        <w:t xml:space="preserve">reconociendo </w:t>
      </w:r>
      <w:r>
        <w:rPr>
          <w:i/>
          <w:iCs/>
          <w:szCs w:val="24"/>
          <w:lang w:val="es-ES_tradnl"/>
        </w:rPr>
        <w:t>b)</w:t>
      </w:r>
      <w:r>
        <w:rPr>
          <w:szCs w:val="24"/>
          <w:lang w:val="es-ES_tradnl"/>
        </w:rPr>
        <w:t>,</w:t>
      </w:r>
    </w:p>
    <w:p w:rsidR="00485E3B" w:rsidRDefault="00485E3B" w:rsidP="00485E3B">
      <w:pPr>
        <w:pStyle w:val="Call"/>
        <w:rPr>
          <w:lang w:val="es-ES_tradnl"/>
        </w:rPr>
      </w:pPr>
      <w:r>
        <w:rPr>
          <w:lang w:val="es-ES_tradnl"/>
        </w:rPr>
        <w:t>observando</w:t>
      </w:r>
    </w:p>
    <w:p w:rsidR="00485E3B" w:rsidRDefault="00485E3B" w:rsidP="00485E3B">
      <w:pPr>
        <w:rPr>
          <w:lang w:val="es-ES_tradnl"/>
        </w:rPr>
      </w:pPr>
      <w:r>
        <w:rPr>
          <w:lang w:val="es-ES_tradnl"/>
        </w:rPr>
        <w:t xml:space="preserve">que la Recomendación UIT-R M.1459 y los Informes UIT-R M.2221 y UIT-R M.2238, también contienen parámetros técnicos y criterios de protección relativos a sistemas de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para pruebas en vuelo,</w:t>
      </w:r>
    </w:p>
    <w:p w:rsidR="00485E3B" w:rsidRDefault="00485E3B" w:rsidP="00485E3B">
      <w:pPr>
        <w:pStyle w:val="Call"/>
        <w:rPr>
          <w:lang w:val="es-ES_tradnl"/>
        </w:rPr>
      </w:pPr>
      <w:r>
        <w:rPr>
          <w:lang w:val="es-ES_tradnl"/>
        </w:rPr>
        <w:t>recomienda</w:t>
      </w:r>
    </w:p>
    <w:p w:rsidR="00485E3B" w:rsidRDefault="00485E3B" w:rsidP="00485E3B">
      <w:pPr>
        <w:rPr>
          <w:lang w:val="es-ES_tradnl"/>
        </w:rPr>
      </w:pPr>
      <w:r>
        <w:rPr>
          <w:b/>
          <w:bCs/>
          <w:lang w:val="es-ES_tradnl"/>
        </w:rPr>
        <w:t>1</w:t>
      </w:r>
      <w:r>
        <w:rPr>
          <w:lang w:val="es-ES_tradnl"/>
        </w:rPr>
        <w:tab/>
        <w:t xml:space="preserve">que para realizar el análisis de compartición se utilicen las características técnicas y operativas de las estaciones transmisoras de aeronaves y receptoras del servicio móvil aeronáutico, limitadas a las transmisiones de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para pruebas de vuelo en la banda de frecuencias 5 150</w:t>
      </w:r>
      <w:r>
        <w:rPr>
          <w:lang w:val="es-ES_tradnl"/>
        </w:rPr>
        <w:noBreakHyphen/>
        <w:t>5 250 MHz que figuran en el Anexo;</w:t>
      </w:r>
    </w:p>
    <w:p w:rsidR="00485E3B" w:rsidRDefault="00485E3B" w:rsidP="00485E3B">
      <w:pPr>
        <w:rPr>
          <w:lang w:val="es-ES_tradnl"/>
        </w:rPr>
      </w:pPr>
      <w:r>
        <w:rPr>
          <w:b/>
          <w:bCs/>
          <w:lang w:val="es-ES_tradnl"/>
        </w:rPr>
        <w:t>2</w:t>
      </w:r>
      <w:r>
        <w:rPr>
          <w:lang w:val="es-ES_tradnl"/>
        </w:rPr>
        <w:tab/>
        <w:t xml:space="preserve">que para las estaciones receptoras TMA en tierra se utilice el criterio de protección contra la interferencia combinada de </w:t>
      </w:r>
      <w:r>
        <w:rPr>
          <w:i/>
          <w:iCs/>
          <w:lang w:val="es-ES_tradnl"/>
        </w:rPr>
        <w:t>I</w:t>
      </w:r>
      <w:r>
        <w:rPr>
          <w:lang w:val="es-ES_tradnl"/>
        </w:rPr>
        <w:t>/</w:t>
      </w:r>
      <w:r>
        <w:rPr>
          <w:i/>
          <w:iCs/>
          <w:lang w:val="es-ES_tradnl"/>
        </w:rPr>
        <w:t>N</w:t>
      </w:r>
      <w:r>
        <w:rPr>
          <w:lang w:val="es-ES_tradnl"/>
        </w:rPr>
        <w:t xml:space="preserve"> igual a −6 dB.</w:t>
      </w:r>
    </w:p>
    <w:p w:rsidR="00485E3B" w:rsidRDefault="00485E3B" w:rsidP="00485E3B">
      <w:pPr>
        <w:pStyle w:val="AnnexNoTitle"/>
        <w:rPr>
          <w:lang w:val="es-ES_tradnl"/>
        </w:rPr>
      </w:pPr>
      <w:r>
        <w:rPr>
          <w:lang w:val="es-ES_tradnl"/>
        </w:rPr>
        <w:lastRenderedPageBreak/>
        <w:t>Anexo</w:t>
      </w:r>
      <w:r>
        <w:rPr>
          <w:lang w:val="es-ES_tradnl"/>
        </w:rPr>
        <w:br/>
      </w:r>
      <w:r>
        <w:rPr>
          <w:lang w:val="es-ES_tradnl"/>
        </w:rPr>
        <w:br/>
        <w:t xml:space="preserve">Características técnicas y operativas de las estaciones del servicio móvil aeronáutico dedicados exclusivamente a las transmisiones de aeronave </w:t>
      </w:r>
      <w:r>
        <w:rPr>
          <w:lang w:val="es-ES_tradnl"/>
        </w:rPr>
        <w:br/>
        <w:t xml:space="preserve">de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móvil aeronáutica para pruebas en vuelo en la banda </w:t>
      </w:r>
      <w:r>
        <w:rPr>
          <w:lang w:val="es-ES_tradnl"/>
        </w:rPr>
        <w:br/>
        <w:t xml:space="preserve">de frecuencias 5 150-5 250 MHz en la Región 1 y en Brasil </w:t>
      </w:r>
      <w:r>
        <w:rPr>
          <w:lang w:val="es-ES_tradnl"/>
        </w:rPr>
        <w:br/>
        <w:t>de conformidad con el número 5.446C del RR</w:t>
      </w:r>
    </w:p>
    <w:p w:rsidR="00485E3B" w:rsidRDefault="00485E3B" w:rsidP="00485E3B">
      <w:pPr>
        <w:pStyle w:val="Heading1"/>
        <w:rPr>
          <w:lang w:val="es-ES_tradnl"/>
        </w:rPr>
      </w:pPr>
      <w:r>
        <w:rPr>
          <w:lang w:val="es-ES_tradnl"/>
        </w:rPr>
        <w:t>1</w:t>
      </w:r>
      <w:r>
        <w:rPr>
          <w:lang w:val="es-ES_tradnl"/>
        </w:rPr>
        <w:tab/>
        <w:t xml:space="preserve">Características de la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móvil aeronáutica</w:t>
      </w:r>
    </w:p>
    <w:p w:rsidR="00485E3B" w:rsidRDefault="00485E3B" w:rsidP="00485E3B">
      <w:pPr>
        <w:rPr>
          <w:lang w:val="es-ES_tradnl"/>
        </w:rPr>
      </w:pPr>
      <w:r>
        <w:rPr>
          <w:lang w:val="es-ES_tradnl"/>
        </w:rPr>
        <w:t xml:space="preserve">En el siguiente cuadro se indican las características de las estaciones transmisoras y receptoras de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móvil aeronáutica pertinentes para realizar el análisis de la compartición con otros servicios en las mismas frecuencias.</w:t>
      </w:r>
    </w:p>
    <w:p w:rsidR="00485E3B" w:rsidRDefault="00485E3B" w:rsidP="00327263">
      <w:pPr>
        <w:pStyle w:val="TableNo"/>
        <w:spacing w:before="240"/>
        <w:rPr>
          <w:lang w:val="es-ES_tradnl"/>
        </w:rPr>
      </w:pPr>
      <w:r>
        <w:rPr>
          <w:lang w:val="es-ES_tradnl"/>
        </w:rPr>
        <w:t>CUADRO 1</w:t>
      </w:r>
    </w:p>
    <w:p w:rsidR="00485E3B" w:rsidRDefault="00485E3B" w:rsidP="00485E3B">
      <w:pPr>
        <w:pStyle w:val="Tabletitle"/>
        <w:rPr>
          <w:lang w:val="es-ES_tradnl"/>
        </w:rPr>
      </w:pPr>
      <w:r>
        <w:rPr>
          <w:lang w:val="es-ES_tradnl"/>
        </w:rPr>
        <w:t xml:space="preserve">Características de la </w:t>
      </w:r>
      <w:proofErr w:type="spellStart"/>
      <w:r>
        <w:rPr>
          <w:lang w:val="es-ES_tradnl"/>
        </w:rPr>
        <w:t>telemedida</w:t>
      </w:r>
      <w:proofErr w:type="spellEnd"/>
      <w:r>
        <w:rPr>
          <w:lang w:val="es-ES_tradnl"/>
        </w:rPr>
        <w:t xml:space="preserve"> móvil aeronáutica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5239"/>
      </w:tblGrid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E3B" w:rsidRPr="00327263" w:rsidRDefault="00485E3B">
            <w:pPr>
              <w:pStyle w:val="Tablehead"/>
              <w:rPr>
                <w:sz w:val="20"/>
                <w:lang w:val="es-ES_tradnl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head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 xml:space="preserve">Sistema de </w:t>
            </w:r>
            <w:proofErr w:type="spellStart"/>
            <w:r w:rsidRPr="00327263">
              <w:rPr>
                <w:sz w:val="20"/>
                <w:lang w:val="es-ES_tradnl"/>
              </w:rPr>
              <w:t>telemedida</w:t>
            </w:r>
            <w:proofErr w:type="spellEnd"/>
            <w:r w:rsidRPr="00327263">
              <w:rPr>
                <w:sz w:val="20"/>
                <w:lang w:val="es-ES_tradnl"/>
              </w:rPr>
              <w:t xml:space="preserve"> móvil aeronáutica</w:t>
            </w:r>
          </w:p>
        </w:tc>
      </w:tr>
      <w:tr w:rsidR="00485E3B" w:rsidRPr="00327263" w:rsidTr="00485E3B">
        <w:trPr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rPr>
                <w:b/>
                <w:bCs/>
                <w:sz w:val="20"/>
                <w:lang w:val="es-ES_tradnl"/>
              </w:rPr>
            </w:pPr>
            <w:r w:rsidRPr="00327263">
              <w:rPr>
                <w:b/>
                <w:bCs/>
                <w:sz w:val="20"/>
                <w:lang w:val="es-ES_tradnl"/>
              </w:rPr>
              <w:t>Transmisor (a bordo de aeronave)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Gama de frecuencias (MHz)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5 150-5 160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Ancho de banda del canal (MHz)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8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Modulación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proofErr w:type="spellStart"/>
            <w:r w:rsidRPr="00327263">
              <w:rPr>
                <w:sz w:val="20"/>
                <w:lang w:val="es-ES_tradnl"/>
              </w:rPr>
              <w:t>Monoportadora</w:t>
            </w:r>
            <w:proofErr w:type="spellEnd"/>
            <w:r w:rsidRPr="00327263">
              <w:rPr>
                <w:sz w:val="20"/>
                <w:lang w:val="es-ES_tradnl"/>
              </w:rPr>
              <w:t xml:space="preserve"> SO MDP-4 o MDFOC-MDP-4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 w:rsidP="00327263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Potencia máxima de transmisión (</w:t>
            </w:r>
            <w:proofErr w:type="spellStart"/>
            <w:r w:rsidRPr="00327263">
              <w:rPr>
                <w:sz w:val="20"/>
                <w:lang w:val="es-ES_tradnl"/>
              </w:rPr>
              <w:t>dBW</w:t>
            </w:r>
            <w:proofErr w:type="spellEnd"/>
            <w:r w:rsidRPr="00327263">
              <w:rPr>
                <w:sz w:val="20"/>
                <w:lang w:val="es-ES_tradnl"/>
              </w:rPr>
              <w:t>)</w:t>
            </w:r>
            <w:r w:rsidRPr="00327263">
              <w:rPr>
                <w:sz w:val="20"/>
                <w:vertAlign w:val="superscript"/>
                <w:lang w:val="es-ES_tradnl"/>
              </w:rPr>
              <w:t>(1)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20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Ubicación de las antenas de aeronave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Una antena en la parte inferior de la aeronave y otra en la parte superior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 xml:space="preserve">Ganancia de la antena </w:t>
            </w:r>
            <w:proofErr w:type="spellStart"/>
            <w:r w:rsidRPr="00327263">
              <w:rPr>
                <w:sz w:val="20"/>
                <w:lang w:val="es-ES_tradnl"/>
              </w:rPr>
              <w:t>Tx</w:t>
            </w:r>
            <w:proofErr w:type="spellEnd"/>
            <w:r w:rsidRPr="00327263">
              <w:rPr>
                <w:sz w:val="20"/>
                <w:lang w:val="es-ES_tradnl"/>
              </w:rPr>
              <w:t xml:space="preserve"> (</w:t>
            </w:r>
            <w:proofErr w:type="spellStart"/>
            <w:r w:rsidRPr="00327263">
              <w:rPr>
                <w:sz w:val="20"/>
                <w:lang w:val="es-ES_tradnl"/>
              </w:rPr>
              <w:t>dBi</w:t>
            </w:r>
            <w:proofErr w:type="spellEnd"/>
            <w:r w:rsidRPr="00327263">
              <w:rPr>
                <w:sz w:val="20"/>
                <w:lang w:val="es-ES_tradnl"/>
              </w:rPr>
              <w:t>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0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Pérdidas en los cables (dB)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2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Altitud de la aeronave (m)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0 – 15 000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Despliegue de la aeronave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 xml:space="preserve">Normalmente: 3 aeronaves en vuelo al mismo </w:t>
            </w:r>
            <w:proofErr w:type="gramStart"/>
            <w:r w:rsidRPr="00327263">
              <w:rPr>
                <w:sz w:val="20"/>
                <w:lang w:val="es-ES_tradnl"/>
              </w:rPr>
              <w:t>tiempo</w:t>
            </w:r>
            <w:proofErr w:type="gramEnd"/>
            <w:r w:rsidRPr="00327263">
              <w:rPr>
                <w:sz w:val="20"/>
                <w:lang w:val="es-ES_tradnl"/>
              </w:rPr>
              <w:t xml:space="preserve"> pero sin utilizar las mismas frecuencias (cada aeronave utiliza canales diferentes)</w:t>
            </w:r>
          </w:p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Máximo: 5 aeronaves en vuelo al mismo tiempo pero sin utilizar las mismas frecuencias (cada aeronave utiliza canales diferentes)</w:t>
            </w:r>
          </w:p>
        </w:tc>
      </w:tr>
      <w:tr w:rsidR="00485E3B" w:rsidRPr="00327263" w:rsidTr="00485E3B">
        <w:trPr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rPr>
                <w:b/>
                <w:bCs/>
                <w:sz w:val="20"/>
                <w:lang w:val="es-ES_tradnl"/>
              </w:rPr>
            </w:pPr>
            <w:r w:rsidRPr="00327263">
              <w:rPr>
                <w:b/>
                <w:bCs/>
                <w:sz w:val="20"/>
                <w:lang w:val="es-ES_tradnl"/>
              </w:rPr>
              <w:t>Receptor (en tierra)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Diagrama de la antena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Antena parabólica orientable</w:t>
            </w:r>
          </w:p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Recomendación UIT-R S.580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Ganancia de la antena receptora (</w:t>
            </w:r>
            <w:proofErr w:type="spellStart"/>
            <w:r w:rsidRPr="00327263">
              <w:rPr>
                <w:sz w:val="20"/>
                <w:lang w:val="es-ES_tradnl"/>
              </w:rPr>
              <w:t>dBi</w:t>
            </w:r>
            <w:proofErr w:type="spellEnd"/>
            <w:r w:rsidRPr="00327263">
              <w:rPr>
                <w:sz w:val="20"/>
                <w:lang w:val="es-ES_tradnl"/>
              </w:rPr>
              <w:t>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40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Figura de ruido (dB)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9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Gama de frecuencias del receptor (MHz)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5 150-5 160 MHz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Ancho de banda del receptor (MHz)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8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Altitud del receptor sobre el nivel del suelo (m)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Entre 6 y 40</w:t>
            </w:r>
          </w:p>
        </w:tc>
      </w:tr>
      <w:tr w:rsidR="00485E3B" w:rsidRPr="00327263" w:rsidTr="00485E3B">
        <w:trPr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rPr>
                <w:b/>
                <w:bCs/>
                <w:sz w:val="20"/>
                <w:lang w:val="es-ES_tradnl"/>
              </w:rPr>
            </w:pPr>
            <w:r w:rsidRPr="00327263">
              <w:rPr>
                <w:b/>
                <w:bCs/>
                <w:sz w:val="20"/>
                <w:lang w:val="es-ES_tradnl"/>
              </w:rPr>
              <w:t>Receptor (en tierra)</w:t>
            </w:r>
          </w:p>
        </w:tc>
      </w:tr>
      <w:tr w:rsidR="00485E3B" w:rsidRPr="00327263" w:rsidTr="00327263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Gama de elevación de la antena receptora (grados)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3B" w:rsidRPr="00327263" w:rsidRDefault="00485E3B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27263">
              <w:rPr>
                <w:sz w:val="20"/>
                <w:lang w:val="es-ES_tradnl"/>
              </w:rPr>
              <w:t>Entre −5 y 90 (el 99% del tiempo de elevación está entre −2° y 5°)</w:t>
            </w:r>
          </w:p>
        </w:tc>
      </w:tr>
      <w:tr w:rsidR="00485E3B" w:rsidRPr="00327263" w:rsidTr="00327263">
        <w:trPr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85E3B" w:rsidRPr="00327263" w:rsidRDefault="00485E3B">
            <w:pPr>
              <w:pStyle w:val="Tablelegend"/>
              <w:rPr>
                <w:sz w:val="20"/>
                <w:vertAlign w:val="superscript"/>
                <w:lang w:val="es-ES_tradnl"/>
              </w:rPr>
            </w:pPr>
            <w:r w:rsidRPr="00327263">
              <w:rPr>
                <w:sz w:val="20"/>
                <w:vertAlign w:val="superscript"/>
                <w:lang w:val="es-ES_tradnl"/>
              </w:rPr>
              <w:t>(1)</w:t>
            </w:r>
            <w:r w:rsidRPr="00327263">
              <w:rPr>
                <w:sz w:val="20"/>
                <w:lang w:val="es-ES_tradnl"/>
              </w:rPr>
              <w:tab/>
              <w:t xml:space="preserve">La potencia efectiva se ajusta para cumplir los límites de </w:t>
            </w:r>
            <w:proofErr w:type="spellStart"/>
            <w:r w:rsidRPr="00327263">
              <w:rPr>
                <w:sz w:val="20"/>
                <w:lang w:val="es-ES_tradnl"/>
              </w:rPr>
              <w:t>dfp</w:t>
            </w:r>
            <w:proofErr w:type="spellEnd"/>
            <w:r w:rsidRPr="00327263">
              <w:rPr>
                <w:sz w:val="20"/>
                <w:lang w:val="es-ES_tradnl"/>
              </w:rPr>
              <w:t xml:space="preserve"> definidos en el Anexo 1 a la Resolución </w:t>
            </w:r>
            <w:r w:rsidRPr="00327263">
              <w:rPr>
                <w:b/>
                <w:sz w:val="20"/>
                <w:lang w:val="es-ES_tradnl"/>
              </w:rPr>
              <w:t>418 (Rev.CMR</w:t>
            </w:r>
            <w:r w:rsidRPr="00327263">
              <w:rPr>
                <w:b/>
                <w:sz w:val="20"/>
                <w:lang w:val="es-ES_tradnl"/>
              </w:rPr>
              <w:noBreakHyphen/>
              <w:t>15)</w:t>
            </w:r>
            <w:r w:rsidRPr="00327263">
              <w:rPr>
                <w:sz w:val="20"/>
                <w:lang w:val="es-ES_tradnl"/>
              </w:rPr>
              <w:t>.</w:t>
            </w:r>
          </w:p>
        </w:tc>
      </w:tr>
    </w:tbl>
    <w:p w:rsidR="00327263" w:rsidRPr="00327263" w:rsidRDefault="00327263" w:rsidP="00327263">
      <w:pPr>
        <w:spacing w:before="0"/>
        <w:rPr>
          <w:sz w:val="4"/>
          <w:szCs w:val="4"/>
        </w:rPr>
      </w:pPr>
    </w:p>
    <w:p w:rsidR="00574749" w:rsidRDefault="00485E3B" w:rsidP="00327263">
      <w:pPr>
        <w:spacing w:before="0"/>
        <w:jc w:val="center"/>
        <w:rPr>
          <w:lang w:val="es-ES_tradnl"/>
        </w:rPr>
      </w:pPr>
      <w:r>
        <w:rPr>
          <w:lang w:val="es-ES_tradnl"/>
        </w:rPr>
        <w:t>______________</w:t>
      </w:r>
    </w:p>
    <w:sectPr w:rsidR="00574749" w:rsidSect="00042292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AEB" w:rsidRDefault="00A07AEB">
      <w:r>
        <w:separator/>
      </w:r>
    </w:p>
  </w:endnote>
  <w:endnote w:type="continuationSeparator" w:id="0">
    <w:p w:rsidR="00A07AEB" w:rsidRDefault="00A0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AEB" w:rsidRDefault="00A07AEB">
      <w:r>
        <w:separator/>
      </w:r>
    </w:p>
  </w:footnote>
  <w:footnote w:type="continuationSeparator" w:id="0">
    <w:p w:rsidR="00A07AEB" w:rsidRDefault="00A0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042292">
    <w:pPr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044D65" w:rsidP="00CB1354">
    <w:pPr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58DDEA23" wp14:editId="546C2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6870AA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42292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E728E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42292">
      <w:tab/>
    </w:r>
    <w:r w:rsidR="00113A18">
      <w:rPr>
        <w:b/>
        <w:bCs/>
      </w:rPr>
      <w:fldChar w:fldCharType="begin"/>
    </w:r>
    <w:r w:rsidR="00113A18">
      <w:rPr>
        <w:b/>
        <w:bCs/>
      </w:rPr>
      <w:instrText xml:space="preserve"> DOCPROPERTY "Header" \* MERGEFORMAT </w:instrText>
    </w:r>
    <w:r w:rsidR="00113A18">
      <w:rPr>
        <w:b/>
        <w:bCs/>
      </w:rPr>
      <w:fldChar w:fldCharType="separate"/>
    </w:r>
    <w:r w:rsidR="006E728E">
      <w:rPr>
        <w:b/>
        <w:bCs/>
      </w:rPr>
      <w:t xml:space="preserve">Rec. </w:t>
    </w:r>
    <w:r w:rsidR="00113A18">
      <w:rPr>
        <w:b/>
        <w:bCs/>
      </w:rPr>
      <w:fldChar w:fldCharType="end"/>
    </w:r>
    <w:r w:rsidR="00042292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42292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6E728E">
      <w:rPr>
        <w:b/>
        <w:bCs/>
        <w:noProof/>
      </w:rPr>
      <w:t>UIT-R  M.2122-0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042292">
    <w:r>
      <w:tab/>
    </w:r>
    <w:r w:rsidR="00113A18">
      <w:rPr>
        <w:b/>
        <w:bCs/>
      </w:rPr>
      <w:fldChar w:fldCharType="begin"/>
    </w:r>
    <w:r w:rsidR="00113A18">
      <w:rPr>
        <w:b/>
        <w:bCs/>
      </w:rPr>
      <w:instrText xml:space="preserve"> DOCPROPERTY "Header" \* MERGEFORMAT </w:instrText>
    </w:r>
    <w:r w:rsidR="00113A18">
      <w:rPr>
        <w:b/>
        <w:bCs/>
      </w:rPr>
      <w:fldChar w:fldCharType="separate"/>
    </w:r>
    <w:r w:rsidR="006E728E">
      <w:rPr>
        <w:b/>
        <w:bCs/>
      </w:rPr>
      <w:t xml:space="preserve">Rec. </w:t>
    </w:r>
    <w:r w:rsidR="00113A18">
      <w:rPr>
        <w:b/>
        <w:bCs/>
      </w:rPr>
      <w:fldChar w:fldCharType="end"/>
    </w:r>
    <w:r>
      <w:rPr>
        <w:b/>
        <w:bCs/>
      </w:rPr>
      <w:t xml:space="preserve"> </w:t>
    </w:r>
    <w:r w:rsidR="006870AA">
      <w:rPr>
        <w:b/>
        <w:bCs/>
      </w:rPr>
      <w:fldChar w:fldCharType="begin"/>
    </w:r>
    <w:r>
      <w:rPr>
        <w:b/>
        <w:bCs/>
      </w:rPr>
      <w:instrText>styleref href</w:instrText>
    </w:r>
    <w:r w:rsidR="006870AA">
      <w:rPr>
        <w:b/>
        <w:bCs/>
      </w:rPr>
      <w:fldChar w:fldCharType="separate"/>
    </w:r>
    <w:r w:rsidR="006E728E">
      <w:rPr>
        <w:b/>
        <w:bCs/>
        <w:noProof/>
      </w:rPr>
      <w:t>UIT-R  M.2122-0</w:t>
    </w:r>
    <w:r w:rsidR="006870AA">
      <w:rPr>
        <w:b/>
        <w:bCs/>
      </w:rPr>
      <w:fldChar w:fldCharType="end"/>
    </w:r>
    <w:r>
      <w:tab/>
    </w:r>
    <w:r w:rsidR="006870A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70A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6870AA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ED9" w:rsidRPr="00B13D42" w:rsidRDefault="006870AA" w:rsidP="00B13D42">
    <w:pPr>
      <w:tabs>
        <w:tab w:val="clear" w:pos="794"/>
        <w:tab w:val="clear" w:pos="1191"/>
        <w:tab w:val="clear" w:pos="1588"/>
        <w:tab w:val="clear" w:pos="1985"/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07D6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E728E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607D68">
      <w:rPr>
        <w:lang w:val="en-US"/>
      </w:rPr>
      <w:tab/>
    </w:r>
    <w:r w:rsidR="00113A18">
      <w:rPr>
        <w:b/>
        <w:bCs/>
        <w:lang w:val="en-US"/>
      </w:rPr>
      <w:fldChar w:fldCharType="begin"/>
    </w:r>
    <w:r w:rsidR="00113A18">
      <w:rPr>
        <w:b/>
        <w:bCs/>
        <w:lang w:val="en-US"/>
      </w:rPr>
      <w:instrText xml:space="preserve"> DOCPROPERTY "Header" \* MERGEFORMAT </w:instrText>
    </w:r>
    <w:r w:rsidR="00113A18">
      <w:rPr>
        <w:b/>
        <w:bCs/>
        <w:lang w:val="en-US"/>
      </w:rPr>
      <w:fldChar w:fldCharType="separate"/>
    </w:r>
    <w:r w:rsidR="006E728E">
      <w:rPr>
        <w:b/>
        <w:bCs/>
        <w:lang w:val="en-US"/>
      </w:rPr>
      <w:t xml:space="preserve">Rec. </w:t>
    </w:r>
    <w:r w:rsidR="00113A18">
      <w:rPr>
        <w:b/>
        <w:bCs/>
        <w:lang w:val="en-US"/>
      </w:rPr>
      <w:fldChar w:fldCharType="end"/>
    </w:r>
    <w:r w:rsidR="00607D68">
      <w:rPr>
        <w:b/>
        <w:bCs/>
      </w:rPr>
      <w:t xml:space="preserve"> </w:t>
    </w:r>
    <w:r>
      <w:rPr>
        <w:b/>
        <w:bCs/>
      </w:rPr>
      <w:fldChar w:fldCharType="begin"/>
    </w:r>
    <w:r w:rsidR="00607D6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E728E">
      <w:rPr>
        <w:b/>
        <w:bCs/>
        <w:noProof/>
        <w:lang w:val="en-US"/>
      </w:rPr>
      <w:t>UIT-R  M.2122-0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ED9" w:rsidRPr="000C2687" w:rsidRDefault="00F32218" w:rsidP="000C2687">
    <w:pPr>
      <w:pStyle w:val="Header"/>
      <w:jc w:val="left"/>
      <w:rPr>
        <w:b/>
        <w:bCs/>
      </w:rPr>
    </w:pPr>
    <w:r>
      <w:tab/>
    </w:r>
    <w:r w:rsidR="00113A18">
      <w:rPr>
        <w:b/>
        <w:bCs/>
      </w:rPr>
      <w:fldChar w:fldCharType="begin"/>
    </w:r>
    <w:r w:rsidR="00113A18">
      <w:rPr>
        <w:b/>
        <w:bCs/>
      </w:rPr>
      <w:instrText xml:space="preserve"> DOCPROPERTY "Header" \* MERGEFORMAT </w:instrText>
    </w:r>
    <w:r w:rsidR="00113A18">
      <w:rPr>
        <w:b/>
        <w:bCs/>
      </w:rPr>
      <w:fldChar w:fldCharType="separate"/>
    </w:r>
    <w:r w:rsidR="006E728E">
      <w:rPr>
        <w:b/>
        <w:bCs/>
      </w:rPr>
      <w:t xml:space="preserve">Rec. </w:t>
    </w:r>
    <w:r w:rsidR="00113A18">
      <w:rPr>
        <w:b/>
        <w:bCs/>
      </w:rPr>
      <w:fldChar w:fldCharType="end"/>
    </w:r>
    <w:r w:rsidR="00607D68" w:rsidRPr="001B395D">
      <w:rPr>
        <w:b/>
        <w:bCs/>
      </w:rPr>
      <w:t xml:space="preserve"> </w:t>
    </w:r>
    <w:r w:rsidR="006870AA" w:rsidRPr="001B395D">
      <w:rPr>
        <w:b/>
        <w:bCs/>
      </w:rPr>
      <w:fldChar w:fldCharType="begin"/>
    </w:r>
    <w:r w:rsidR="00607D68" w:rsidRPr="001B395D">
      <w:rPr>
        <w:b/>
        <w:bCs/>
      </w:rPr>
      <w:instrText>styleref href</w:instrText>
    </w:r>
    <w:r w:rsidR="006870AA" w:rsidRPr="001B395D">
      <w:rPr>
        <w:b/>
        <w:bCs/>
      </w:rPr>
      <w:fldChar w:fldCharType="separate"/>
    </w:r>
    <w:r w:rsidR="006E728E">
      <w:rPr>
        <w:b/>
        <w:bCs/>
        <w:noProof/>
      </w:rPr>
      <w:t>UIT-R  M.2122-0</w:t>
    </w:r>
    <w:r w:rsidR="006870AA" w:rsidRPr="001B395D">
      <w:rPr>
        <w:b/>
        <w:bCs/>
      </w:rPr>
      <w:fldChar w:fldCharType="end"/>
    </w:r>
    <w:r>
      <w:rPr>
        <w:b/>
        <w:bCs/>
      </w:rPr>
      <w:tab/>
    </w:r>
    <w:r w:rsidRPr="00F32218">
      <w:rPr>
        <w:rStyle w:val="PageNumber"/>
        <w:b/>
        <w:bCs/>
      </w:rPr>
      <w:fldChar w:fldCharType="begin"/>
    </w:r>
    <w:r w:rsidRPr="00F32218">
      <w:rPr>
        <w:rStyle w:val="PageNumber"/>
        <w:b/>
        <w:bCs/>
      </w:rPr>
      <w:instrText xml:space="preserve"> PAGE   \* MERGEFORMAT </w:instrText>
    </w:r>
    <w:r w:rsidRPr="00F32218">
      <w:rPr>
        <w:rStyle w:val="PageNumber"/>
        <w:b/>
        <w:bCs/>
      </w:rPr>
      <w:fldChar w:fldCharType="separate"/>
    </w:r>
    <w:r w:rsidR="006E728E">
      <w:rPr>
        <w:rStyle w:val="PageNumber"/>
        <w:b/>
        <w:bCs/>
        <w:noProof/>
      </w:rPr>
      <w:t>1</w:t>
    </w:r>
    <w:r w:rsidRPr="00F32218">
      <w:rPr>
        <w:rStyle w:val="PageNumber"/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7334C"/>
    <w:multiLevelType w:val="hybridMultilevel"/>
    <w:tmpl w:val="3C2012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54540"/>
    <w:multiLevelType w:val="hybridMultilevel"/>
    <w:tmpl w:val="615A21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292"/>
    <w:rsid w:val="000014FC"/>
    <w:rsid w:val="00042292"/>
    <w:rsid w:val="00044D65"/>
    <w:rsid w:val="000C2687"/>
    <w:rsid w:val="00113A18"/>
    <w:rsid w:val="001551A0"/>
    <w:rsid w:val="001B26B3"/>
    <w:rsid w:val="001B2F46"/>
    <w:rsid w:val="001B395D"/>
    <w:rsid w:val="0021735B"/>
    <w:rsid w:val="002D76C4"/>
    <w:rsid w:val="00301A03"/>
    <w:rsid w:val="00327263"/>
    <w:rsid w:val="00383195"/>
    <w:rsid w:val="003C5260"/>
    <w:rsid w:val="00410F5B"/>
    <w:rsid w:val="00427ED9"/>
    <w:rsid w:val="00485E3B"/>
    <w:rsid w:val="004E4FBE"/>
    <w:rsid w:val="005434E8"/>
    <w:rsid w:val="00567624"/>
    <w:rsid w:val="00574749"/>
    <w:rsid w:val="00607D68"/>
    <w:rsid w:val="00616F70"/>
    <w:rsid w:val="006870AA"/>
    <w:rsid w:val="006E728E"/>
    <w:rsid w:val="006F3D6E"/>
    <w:rsid w:val="007172BA"/>
    <w:rsid w:val="0072064A"/>
    <w:rsid w:val="0076082A"/>
    <w:rsid w:val="00792BED"/>
    <w:rsid w:val="0084702E"/>
    <w:rsid w:val="008C67E6"/>
    <w:rsid w:val="00906075"/>
    <w:rsid w:val="00982F3A"/>
    <w:rsid w:val="00A07AEB"/>
    <w:rsid w:val="00A10091"/>
    <w:rsid w:val="00A6617B"/>
    <w:rsid w:val="00A80825"/>
    <w:rsid w:val="00AB0DC8"/>
    <w:rsid w:val="00AF6C13"/>
    <w:rsid w:val="00B13D42"/>
    <w:rsid w:val="00B42F17"/>
    <w:rsid w:val="00B44E24"/>
    <w:rsid w:val="00C36A75"/>
    <w:rsid w:val="00C411AF"/>
    <w:rsid w:val="00CB1354"/>
    <w:rsid w:val="00CF7F63"/>
    <w:rsid w:val="00D131B8"/>
    <w:rsid w:val="00D33FA3"/>
    <w:rsid w:val="00D4362D"/>
    <w:rsid w:val="00D92A24"/>
    <w:rsid w:val="00DF4176"/>
    <w:rsid w:val="00DF4734"/>
    <w:rsid w:val="00E65EF1"/>
    <w:rsid w:val="00E704B6"/>
    <w:rsid w:val="00EB669E"/>
    <w:rsid w:val="00ED4181"/>
    <w:rsid w:val="00ED6A57"/>
    <w:rsid w:val="00EE743D"/>
    <w:rsid w:val="00F32218"/>
    <w:rsid w:val="00F81B22"/>
    <w:rsid w:val="00F90A3D"/>
    <w:rsid w:val="00F91385"/>
    <w:rsid w:val="00FD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99B471"/>
  <w15:docId w15:val="{6E9A067A-0C5A-4BDE-8F1C-68C97ECA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A1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13A1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13A1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13A1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13A1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13A18"/>
    <w:pPr>
      <w:outlineLvl w:val="4"/>
    </w:pPr>
  </w:style>
  <w:style w:type="paragraph" w:styleId="Heading6">
    <w:name w:val="heading 6"/>
    <w:basedOn w:val="Heading4"/>
    <w:next w:val="Normal"/>
    <w:qFormat/>
    <w:rsid w:val="00113A1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13A18"/>
    <w:pPr>
      <w:outlineLvl w:val="6"/>
    </w:pPr>
  </w:style>
  <w:style w:type="paragraph" w:styleId="Heading8">
    <w:name w:val="heading 8"/>
    <w:basedOn w:val="Heading6"/>
    <w:next w:val="Normal"/>
    <w:qFormat/>
    <w:rsid w:val="00113A18"/>
    <w:pPr>
      <w:outlineLvl w:val="7"/>
    </w:pPr>
  </w:style>
  <w:style w:type="paragraph" w:styleId="Heading9">
    <w:name w:val="heading 9"/>
    <w:basedOn w:val="Heading6"/>
    <w:next w:val="Normal"/>
    <w:qFormat/>
    <w:rsid w:val="00113A1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13A1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13A1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13A18"/>
  </w:style>
  <w:style w:type="paragraph" w:customStyle="1" w:styleId="Headingb">
    <w:name w:val="Heading_b"/>
    <w:basedOn w:val="Heading3"/>
    <w:next w:val="Normal"/>
    <w:rsid w:val="00113A1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13A1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13A18"/>
  </w:style>
  <w:style w:type="paragraph" w:customStyle="1" w:styleId="enumlev1">
    <w:name w:val="enumlev1"/>
    <w:basedOn w:val="Normal"/>
    <w:rsid w:val="00113A18"/>
    <w:pPr>
      <w:spacing w:before="80"/>
      <w:ind w:left="794" w:hanging="794"/>
    </w:pPr>
  </w:style>
  <w:style w:type="paragraph" w:customStyle="1" w:styleId="enumlev2">
    <w:name w:val="enumlev2"/>
    <w:basedOn w:val="enumlev1"/>
    <w:rsid w:val="00113A18"/>
    <w:pPr>
      <w:ind w:left="1191" w:hanging="397"/>
    </w:pPr>
  </w:style>
  <w:style w:type="paragraph" w:customStyle="1" w:styleId="enumlev3">
    <w:name w:val="enumlev3"/>
    <w:basedOn w:val="enumlev2"/>
    <w:rsid w:val="00113A18"/>
    <w:pPr>
      <w:ind w:left="1588"/>
    </w:pPr>
  </w:style>
  <w:style w:type="paragraph" w:customStyle="1" w:styleId="Normalaftertitle">
    <w:name w:val="Normal_after_title"/>
    <w:basedOn w:val="Normal"/>
    <w:next w:val="Normal"/>
    <w:rsid w:val="00113A18"/>
    <w:pPr>
      <w:spacing w:before="320"/>
    </w:pPr>
  </w:style>
  <w:style w:type="paragraph" w:customStyle="1" w:styleId="Note">
    <w:name w:val="Note"/>
    <w:basedOn w:val="Normal"/>
    <w:rsid w:val="00113A1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13A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113A18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113A18"/>
    <w:pPr>
      <w:jc w:val="center"/>
    </w:pPr>
  </w:style>
  <w:style w:type="paragraph" w:customStyle="1" w:styleId="Recdate">
    <w:name w:val="Rec_date"/>
    <w:basedOn w:val="Recref"/>
    <w:next w:val="Normalaftertitle"/>
    <w:rsid w:val="00113A18"/>
    <w:pPr>
      <w:jc w:val="right"/>
    </w:pPr>
  </w:style>
  <w:style w:type="paragraph" w:customStyle="1" w:styleId="AnnexNoTitle">
    <w:name w:val="Annex_NoTitle"/>
    <w:basedOn w:val="Normal"/>
    <w:next w:val="Normalaftertitle"/>
    <w:rsid w:val="00113A1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13A18"/>
  </w:style>
  <w:style w:type="paragraph" w:customStyle="1" w:styleId="Tablefin">
    <w:name w:val="Table_fin"/>
    <w:basedOn w:val="Normal"/>
    <w:next w:val="Normal"/>
    <w:rsid w:val="00113A1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13A1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13A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113A1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13A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13A1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13A1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13A18"/>
    <w:pPr>
      <w:ind w:left="794"/>
    </w:pPr>
  </w:style>
  <w:style w:type="paragraph" w:customStyle="1" w:styleId="Figurelegend">
    <w:name w:val="Figure_legend"/>
    <w:basedOn w:val="Normal"/>
    <w:rsid w:val="00113A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13A1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13A1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13A1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13A1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13A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13A1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13A1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13A18"/>
    <w:rPr>
      <w:b/>
    </w:rPr>
  </w:style>
  <w:style w:type="paragraph" w:customStyle="1" w:styleId="Chaptitle">
    <w:name w:val="Chap_title"/>
    <w:basedOn w:val="Arttitle"/>
    <w:next w:val="Normalaftertitle"/>
    <w:rsid w:val="00113A18"/>
  </w:style>
  <w:style w:type="character" w:styleId="FootnoteReference">
    <w:name w:val="footnote reference"/>
    <w:basedOn w:val="DefaultParagraphFont"/>
    <w:semiHidden/>
    <w:rsid w:val="00113A18"/>
    <w:rPr>
      <w:position w:val="6"/>
      <w:sz w:val="18"/>
    </w:rPr>
  </w:style>
  <w:style w:type="paragraph" w:styleId="FootnoteText">
    <w:name w:val="footnote text"/>
    <w:basedOn w:val="Normal"/>
    <w:semiHidden/>
    <w:rsid w:val="00113A1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113A18"/>
  </w:style>
  <w:style w:type="paragraph" w:styleId="Index2">
    <w:name w:val="index 2"/>
    <w:basedOn w:val="Normal"/>
    <w:next w:val="Normal"/>
    <w:semiHidden/>
    <w:rsid w:val="00113A18"/>
    <w:pPr>
      <w:ind w:left="283"/>
    </w:pPr>
  </w:style>
  <w:style w:type="paragraph" w:styleId="Index3">
    <w:name w:val="index 3"/>
    <w:basedOn w:val="Normal"/>
    <w:next w:val="Normal"/>
    <w:semiHidden/>
    <w:rsid w:val="00113A18"/>
    <w:pPr>
      <w:ind w:left="566"/>
    </w:pPr>
  </w:style>
  <w:style w:type="paragraph" w:styleId="IndexHeading">
    <w:name w:val="index heading"/>
    <w:basedOn w:val="Normal"/>
    <w:next w:val="Index1"/>
    <w:semiHidden/>
    <w:rsid w:val="00113A18"/>
  </w:style>
  <w:style w:type="paragraph" w:customStyle="1" w:styleId="Line">
    <w:name w:val="Line"/>
    <w:basedOn w:val="Normal"/>
    <w:next w:val="Normal"/>
    <w:rsid w:val="00113A1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13A1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13A18"/>
  </w:style>
  <w:style w:type="paragraph" w:customStyle="1" w:styleId="Partref">
    <w:name w:val="Part_ref"/>
    <w:basedOn w:val="Normal"/>
    <w:next w:val="Normal"/>
    <w:rsid w:val="00113A1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13A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13A18"/>
  </w:style>
  <w:style w:type="paragraph" w:customStyle="1" w:styleId="QuestionNo">
    <w:name w:val="Question_No"/>
    <w:basedOn w:val="RecNo"/>
    <w:next w:val="Normal"/>
    <w:rsid w:val="00113A18"/>
  </w:style>
  <w:style w:type="paragraph" w:customStyle="1" w:styleId="Questionref">
    <w:name w:val="Question_ref"/>
    <w:basedOn w:val="Recref"/>
    <w:next w:val="Questiondate"/>
    <w:rsid w:val="00113A18"/>
  </w:style>
  <w:style w:type="paragraph" w:customStyle="1" w:styleId="Questiontitle">
    <w:name w:val="Question_title"/>
    <w:basedOn w:val="Normal"/>
    <w:next w:val="Questionref"/>
    <w:rsid w:val="00113A18"/>
  </w:style>
  <w:style w:type="paragraph" w:customStyle="1" w:styleId="Reftext">
    <w:name w:val="Ref_text"/>
    <w:basedOn w:val="Normal"/>
    <w:rsid w:val="00113A1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13A1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13A18"/>
  </w:style>
  <w:style w:type="paragraph" w:customStyle="1" w:styleId="RepNo">
    <w:name w:val="Rep_No"/>
    <w:basedOn w:val="RecNo"/>
    <w:next w:val="Reptitle"/>
    <w:rsid w:val="00113A18"/>
  </w:style>
  <w:style w:type="paragraph" w:customStyle="1" w:styleId="Repref">
    <w:name w:val="Rep_ref"/>
    <w:basedOn w:val="Recref"/>
    <w:next w:val="Repdate"/>
    <w:rsid w:val="00113A18"/>
  </w:style>
  <w:style w:type="paragraph" w:customStyle="1" w:styleId="Reptitle">
    <w:name w:val="Rep_title"/>
    <w:basedOn w:val="Rectitle"/>
    <w:next w:val="Repref"/>
    <w:rsid w:val="00113A18"/>
  </w:style>
  <w:style w:type="paragraph" w:customStyle="1" w:styleId="Resdate">
    <w:name w:val="Res_date"/>
    <w:basedOn w:val="Recdate"/>
    <w:next w:val="Normalaftertitle"/>
    <w:rsid w:val="00113A18"/>
  </w:style>
  <w:style w:type="paragraph" w:customStyle="1" w:styleId="ResNo">
    <w:name w:val="Res_No"/>
    <w:basedOn w:val="RecNo"/>
    <w:next w:val="Restitle"/>
    <w:rsid w:val="00113A18"/>
  </w:style>
  <w:style w:type="paragraph" w:customStyle="1" w:styleId="Resref">
    <w:name w:val="Res_ref"/>
    <w:basedOn w:val="Recref"/>
    <w:next w:val="Resdate"/>
    <w:rsid w:val="00113A18"/>
  </w:style>
  <w:style w:type="paragraph" w:customStyle="1" w:styleId="Restitle">
    <w:name w:val="Res_title"/>
    <w:basedOn w:val="Normal"/>
    <w:next w:val="Resref"/>
    <w:rsid w:val="00113A1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13A18"/>
  </w:style>
  <w:style w:type="paragraph" w:customStyle="1" w:styleId="Sectiontitle">
    <w:name w:val="Section_title"/>
    <w:basedOn w:val="Normal"/>
    <w:next w:val="Normalaftertitle"/>
    <w:rsid w:val="00113A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13A1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13A1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13A1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13A1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13A1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13A18"/>
  </w:style>
  <w:style w:type="paragraph" w:styleId="TOC6">
    <w:name w:val="toc 6"/>
    <w:basedOn w:val="TOC4"/>
    <w:semiHidden/>
    <w:rsid w:val="00113A18"/>
  </w:style>
  <w:style w:type="paragraph" w:styleId="TOC7">
    <w:name w:val="toc 7"/>
    <w:basedOn w:val="TOC4"/>
    <w:semiHidden/>
    <w:rsid w:val="00113A18"/>
  </w:style>
  <w:style w:type="paragraph" w:styleId="TOC8">
    <w:name w:val="toc 8"/>
    <w:basedOn w:val="TOC4"/>
    <w:semiHidden/>
    <w:rsid w:val="00113A18"/>
  </w:style>
  <w:style w:type="paragraph" w:customStyle="1" w:styleId="Rectitle">
    <w:name w:val="Rec_title"/>
    <w:basedOn w:val="Normal"/>
    <w:next w:val="Recref"/>
    <w:rsid w:val="00113A18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113A1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13A18"/>
  </w:style>
  <w:style w:type="paragraph" w:customStyle="1" w:styleId="Figuretitle">
    <w:name w:val="Figure_title"/>
    <w:basedOn w:val="Normal"/>
    <w:next w:val="Figure"/>
    <w:rsid w:val="00113A1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13A1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113A18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113A18"/>
    <w:pPr>
      <w:keepNext w:val="0"/>
      <w:spacing w:before="0" w:after="240"/>
    </w:pPr>
  </w:style>
  <w:style w:type="table" w:styleId="TableGrid">
    <w:name w:val="Table Grid"/>
    <w:basedOn w:val="TableNormal"/>
    <w:rsid w:val="000422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113A18"/>
    <w:pPr>
      <w:ind w:left="-85" w:firstLine="0"/>
    </w:pPr>
    <w:rPr>
      <w:lang w:val="en-US"/>
    </w:rPr>
  </w:style>
  <w:style w:type="paragraph" w:customStyle="1" w:styleId="TableText0">
    <w:name w:val="Table_Text"/>
    <w:basedOn w:val="Normal"/>
    <w:rsid w:val="00C411AF"/>
    <w:pPr>
      <w:keepNext/>
      <w:spacing w:before="100" w:after="100" w:line="190" w:lineRule="exact"/>
    </w:pPr>
    <w:rPr>
      <w:sz w:val="18"/>
      <w:szCs w:val="18"/>
      <w:lang w:val="en-GB" w:eastAsia="zh-CN"/>
    </w:rPr>
  </w:style>
  <w:style w:type="paragraph" w:customStyle="1" w:styleId="Annex">
    <w:name w:val="Annex_#"/>
    <w:basedOn w:val="Normal"/>
    <w:next w:val="Normal"/>
    <w:rsid w:val="00C411A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 w:eastAsia="zh-CN"/>
    </w:rPr>
  </w:style>
  <w:style w:type="paragraph" w:customStyle="1" w:styleId="AnnexTitle">
    <w:name w:val="Annex_Title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bCs/>
      <w:szCs w:val="24"/>
      <w:lang w:val="en-GB" w:eastAsia="zh-CN"/>
    </w:rPr>
  </w:style>
  <w:style w:type="paragraph" w:customStyle="1" w:styleId="Normalaftertitle0">
    <w:name w:val="Normal after title"/>
    <w:basedOn w:val="Normal"/>
    <w:next w:val="Normal"/>
    <w:rsid w:val="00C411AF"/>
    <w:pPr>
      <w:spacing w:before="480"/>
    </w:pPr>
    <w:rPr>
      <w:sz w:val="20"/>
      <w:lang w:val="en-GB" w:eastAsia="zh-CN"/>
    </w:rPr>
  </w:style>
  <w:style w:type="paragraph" w:customStyle="1" w:styleId="call0">
    <w:name w:val="call"/>
    <w:basedOn w:val="Normal"/>
    <w:next w:val="Normal"/>
    <w:rsid w:val="00C411A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TitleRef">
    <w:name w:val="Rec_Title/Ref"/>
    <w:basedOn w:val="Normal"/>
    <w:next w:val="RecTitleDate"/>
    <w:rsid w:val="00C411AF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  <w:jc w:val="center"/>
    </w:pPr>
    <w:rPr>
      <w:sz w:val="20"/>
      <w:lang w:val="en-GB" w:eastAsia="zh-CN"/>
    </w:rPr>
  </w:style>
  <w:style w:type="paragraph" w:customStyle="1" w:styleId="RecTitleDate">
    <w:name w:val="Rec_Title/Date"/>
    <w:basedOn w:val="RecTitleRef"/>
    <w:next w:val="headfoot"/>
    <w:rsid w:val="00C411AF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  <w:lang w:val="en-GB" w:eastAsia="zh-CN"/>
    </w:rPr>
  </w:style>
  <w:style w:type="character" w:customStyle="1" w:styleId="TableheadChar">
    <w:name w:val="Table_head Char"/>
    <w:basedOn w:val="DefaultParagraphFont"/>
    <w:link w:val="Tablehead"/>
    <w:locked/>
    <w:rsid w:val="00D33FA3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33FA3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B2F4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B2F46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B2F46"/>
    <w:rPr>
      <w:caps/>
      <w:sz w:val="18"/>
      <w:lang w:val="fr-FR" w:eastAsia="en-US"/>
    </w:rPr>
  </w:style>
  <w:style w:type="character" w:styleId="CommentReference">
    <w:name w:val="annotation reference"/>
    <w:semiHidden/>
    <w:rsid w:val="0057474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7474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74749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74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74749"/>
    <w:rPr>
      <w:b/>
      <w:bCs/>
      <w:lang w:val="fr-FR" w:eastAsia="en-US"/>
    </w:rPr>
  </w:style>
  <w:style w:type="character" w:customStyle="1" w:styleId="Tablefreq">
    <w:name w:val="Table_freq"/>
    <w:rsid w:val="00574749"/>
    <w:rPr>
      <w:b/>
      <w:color w:val="auto"/>
    </w:rPr>
  </w:style>
  <w:style w:type="paragraph" w:customStyle="1" w:styleId="Table">
    <w:name w:val="Table_#"/>
    <w:basedOn w:val="Normal"/>
    <w:next w:val="Normal"/>
    <w:rsid w:val="00574749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</w:rPr>
  </w:style>
  <w:style w:type="character" w:customStyle="1" w:styleId="FooterChar">
    <w:name w:val="Footer Char"/>
    <w:link w:val="Footer"/>
    <w:rsid w:val="00574749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57474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574749"/>
    <w:rPr>
      <w:sz w:val="24"/>
      <w:lang w:val="fr-FR" w:eastAsia="en-US"/>
    </w:rPr>
  </w:style>
  <w:style w:type="character" w:customStyle="1" w:styleId="TableNoChar">
    <w:name w:val="Table_No Char"/>
    <w:link w:val="TableNo"/>
    <w:locked/>
    <w:rsid w:val="00485E3B"/>
    <w:rPr>
      <w:sz w:val="24"/>
      <w:lang w:val="fr-FR" w:eastAsia="en-US"/>
    </w:rPr>
  </w:style>
  <w:style w:type="character" w:customStyle="1" w:styleId="Artref">
    <w:name w:val="Art_ref"/>
    <w:basedOn w:val="DefaultParagraphFont"/>
    <w:qFormat/>
    <w:rsid w:val="00485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0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87</TotalTime>
  <Pages>5</Pages>
  <Words>1538</Words>
  <Characters>8905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10423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Catalano Moreira, Rossana</cp:lastModifiedBy>
  <cp:revision>10</cp:revision>
  <cp:lastPrinted>2019-04-08T11:30:00Z</cp:lastPrinted>
  <dcterms:created xsi:type="dcterms:W3CDTF">2019-04-08T10:09:00Z</dcterms:created>
  <dcterms:modified xsi:type="dcterms:W3CDTF">2019-04-08T11:36:00Z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