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E8B" w:rsidRDefault="006D0E8B" w:rsidP="006D0E8B"/>
    <w:p w:rsidR="006D0E8B" w:rsidRDefault="006D0E8B" w:rsidP="006D0E8B"/>
    <w:p w:rsidR="006D0E8B" w:rsidRDefault="006D0E8B" w:rsidP="006D0E8B"/>
    <w:p w:rsidR="006D0E8B" w:rsidRDefault="006D0E8B" w:rsidP="006D0E8B"/>
    <w:p w:rsidR="006D0E8B" w:rsidRDefault="006D0E8B" w:rsidP="006D0E8B"/>
    <w:p w:rsidR="006D0E8B" w:rsidRDefault="006D0E8B" w:rsidP="006D0E8B"/>
    <w:p w:rsidR="006D0E8B" w:rsidRDefault="006D0E8B" w:rsidP="006D0E8B"/>
    <w:p w:rsidR="006D0E8B" w:rsidRDefault="006D0E8B" w:rsidP="006D0E8B"/>
    <w:p w:rsidR="006D0E8B" w:rsidRDefault="006D0E8B" w:rsidP="006D0E8B"/>
    <w:tbl>
      <w:tblPr>
        <w:tblW w:w="10089" w:type="dxa"/>
        <w:tblLook w:val="01E0" w:firstRow="1" w:lastRow="1" w:firstColumn="1" w:lastColumn="1" w:noHBand="0" w:noVBand="0"/>
      </w:tblPr>
      <w:tblGrid>
        <w:gridCol w:w="10089"/>
      </w:tblGrid>
      <w:tr w:rsidR="006D0E8B" w:rsidRPr="00A443C2" w:rsidTr="00B72008">
        <w:tc>
          <w:tcPr>
            <w:tcW w:w="10089" w:type="dxa"/>
          </w:tcPr>
          <w:p w:rsidR="006D0E8B" w:rsidRPr="006D0E8B" w:rsidRDefault="006D0E8B" w:rsidP="00B72008">
            <w:pPr>
              <w:spacing w:before="380" w:line="280" w:lineRule="exact"/>
              <w:jc w:val="right"/>
              <w:rPr>
                <w:rFonts w:ascii="Tahoma" w:hAnsi="Tahoma" w:cs="Tahoma"/>
                <w:b/>
                <w:bCs/>
                <w:iCs/>
                <w:color w:val="243285"/>
                <w:sz w:val="32"/>
                <w:szCs w:val="32"/>
              </w:rPr>
            </w:pPr>
          </w:p>
          <w:p w:rsidR="006D0E8B" w:rsidRPr="00A443C2" w:rsidRDefault="006D0E8B" w:rsidP="006D0E8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2122-0</w:t>
            </w:r>
          </w:p>
          <w:p w:rsidR="006D0E8B" w:rsidRPr="00A443C2" w:rsidRDefault="006D0E8B" w:rsidP="006D0E8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01/2019</w:t>
            </w:r>
            <w:r w:rsidRPr="00A443C2">
              <w:rPr>
                <w:rFonts w:ascii="Tahoma" w:hAnsi="Tahoma" w:cs="Tahoma"/>
                <w:b/>
                <w:bCs/>
                <w:iCs/>
                <w:color w:val="243285"/>
                <w:szCs w:val="24"/>
              </w:rPr>
              <w:t>)</w:t>
            </w:r>
          </w:p>
        </w:tc>
      </w:tr>
      <w:tr w:rsidR="006D0E8B" w:rsidRPr="00F54FBD" w:rsidTr="00B72008">
        <w:trPr>
          <w:trHeight w:val="4629"/>
        </w:trPr>
        <w:tc>
          <w:tcPr>
            <w:tcW w:w="10089" w:type="dxa"/>
          </w:tcPr>
          <w:p w:rsidR="006D0E8B" w:rsidRDefault="006D0E8B" w:rsidP="00B72008">
            <w:pPr>
              <w:spacing w:before="80" w:line="500" w:lineRule="exact"/>
              <w:jc w:val="right"/>
              <w:rPr>
                <w:rFonts w:ascii="Tahoma" w:hAnsi="Tahoma" w:cs="Tahoma"/>
                <w:b/>
                <w:bCs/>
                <w:iCs/>
                <w:color w:val="243285"/>
                <w:sz w:val="44"/>
                <w:szCs w:val="44"/>
              </w:rPr>
            </w:pPr>
          </w:p>
          <w:p w:rsidR="006D0E8B" w:rsidRPr="006D0E8B" w:rsidRDefault="006D0E8B" w:rsidP="006D0E8B">
            <w:pPr>
              <w:spacing w:before="80" w:line="500" w:lineRule="exact"/>
              <w:jc w:val="right"/>
              <w:rPr>
                <w:rFonts w:ascii="Tahoma" w:hAnsi="Tahoma" w:cs="Tahoma"/>
                <w:b/>
                <w:bCs/>
                <w:iCs/>
                <w:color w:val="243285"/>
                <w:sz w:val="44"/>
                <w:szCs w:val="44"/>
              </w:rPr>
            </w:pPr>
            <w:r w:rsidRPr="006D0E8B">
              <w:rPr>
                <w:rFonts w:ascii="Tahoma" w:hAnsi="Tahoma" w:cs="Tahoma"/>
                <w:b/>
                <w:bCs/>
                <w:iCs/>
                <w:color w:val="243285"/>
                <w:sz w:val="44"/>
                <w:szCs w:val="44"/>
              </w:rPr>
              <w:t xml:space="preserve">Caractéristiques techniques et opérationnelles des systèmes du service mobile aéronautique limités aux transmissions de télémesure mobile aéronautique des aéronefs pour les essais en vol dans la bande 5 150-5 250 MHz dans </w:t>
            </w:r>
          </w:p>
          <w:p w:rsidR="006D0E8B" w:rsidRPr="00F54FBD" w:rsidRDefault="006D0E8B" w:rsidP="006202F2">
            <w:pPr>
              <w:spacing w:before="80" w:line="500" w:lineRule="exact"/>
              <w:jc w:val="right"/>
              <w:rPr>
                <w:rFonts w:ascii="Tahoma" w:hAnsi="Tahoma" w:cs="Tahoma"/>
                <w:b/>
                <w:bCs/>
                <w:iCs/>
                <w:color w:val="243285"/>
                <w:sz w:val="44"/>
                <w:szCs w:val="44"/>
              </w:rPr>
            </w:pPr>
            <w:r w:rsidRPr="006D0E8B">
              <w:rPr>
                <w:rFonts w:ascii="Tahoma" w:hAnsi="Tahoma" w:cs="Tahoma"/>
                <w:b/>
                <w:bCs/>
                <w:iCs/>
                <w:color w:val="243285"/>
                <w:sz w:val="44"/>
                <w:szCs w:val="44"/>
              </w:rPr>
              <w:t>la Région 1 et au Brésil, conformément au numéro 5.446C du Règlement des radiocommunications</w:t>
            </w:r>
          </w:p>
        </w:tc>
      </w:tr>
      <w:tr w:rsidR="006D0E8B" w:rsidRPr="00F54FBD" w:rsidTr="00B72008">
        <w:tc>
          <w:tcPr>
            <w:tcW w:w="10089" w:type="dxa"/>
          </w:tcPr>
          <w:p w:rsidR="006D0E8B" w:rsidRPr="00F54FBD" w:rsidRDefault="006D0E8B" w:rsidP="00B72008">
            <w:pPr>
              <w:spacing w:before="80" w:line="280" w:lineRule="exact"/>
              <w:ind w:right="640"/>
              <w:rPr>
                <w:rFonts w:ascii="Tahoma" w:hAnsi="Tahoma" w:cs="Tahoma"/>
                <w:b/>
                <w:bCs/>
                <w:iCs/>
                <w:color w:val="243285"/>
                <w:sz w:val="32"/>
                <w:szCs w:val="32"/>
              </w:rPr>
            </w:pPr>
          </w:p>
          <w:p w:rsidR="006D0E8B" w:rsidRPr="00F54FBD" w:rsidRDefault="006D0E8B" w:rsidP="00B72008">
            <w:pPr>
              <w:spacing w:before="80" w:line="280" w:lineRule="exact"/>
              <w:ind w:right="640"/>
              <w:rPr>
                <w:rFonts w:ascii="Tahoma" w:hAnsi="Tahoma" w:cs="Tahoma"/>
                <w:b/>
                <w:bCs/>
                <w:iCs/>
                <w:color w:val="243285"/>
                <w:sz w:val="32"/>
                <w:szCs w:val="32"/>
              </w:rPr>
            </w:pPr>
          </w:p>
          <w:p w:rsidR="006D0E8B" w:rsidRPr="00F54FBD" w:rsidRDefault="006D0E8B" w:rsidP="00B72008">
            <w:pPr>
              <w:spacing w:before="80" w:after="180" w:line="360" w:lineRule="exact"/>
              <w:ind w:right="720"/>
              <w:rPr>
                <w:rFonts w:ascii="Tahoma" w:hAnsi="Tahoma" w:cs="Tahoma"/>
                <w:b/>
                <w:bCs/>
                <w:iCs/>
                <w:color w:val="243285"/>
                <w:sz w:val="36"/>
                <w:szCs w:val="36"/>
              </w:rPr>
            </w:pPr>
          </w:p>
          <w:p w:rsidR="006D0E8B" w:rsidRPr="00F54FBD" w:rsidRDefault="006D0E8B" w:rsidP="00B7200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D0E8B" w:rsidRPr="00F54FBD" w:rsidRDefault="006D0E8B" w:rsidP="00B7200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w:t>
            </w:r>
            <w:r w:rsidR="00211BBA">
              <w:rPr>
                <w:rFonts w:ascii="Tahoma" w:hAnsi="Tahoma" w:cs="Tahoma"/>
                <w:b/>
                <w:bCs/>
                <w:iCs/>
                <w:color w:val="243285"/>
                <w:sz w:val="36"/>
                <w:szCs w:val="36"/>
              </w:rPr>
              <w:t>s mobile, de radiorepérage et d'</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6D0E8B" w:rsidRPr="00F54FBD" w:rsidRDefault="006D0E8B" w:rsidP="006D0E8B">
      <w:pPr>
        <w:spacing w:before="80"/>
        <w:rPr>
          <w:i/>
          <w:sz w:val="22"/>
        </w:rPr>
      </w:pPr>
    </w:p>
    <w:p w:rsidR="006D0E8B" w:rsidRPr="00F54FBD" w:rsidRDefault="006D0E8B" w:rsidP="006D0E8B">
      <w:pPr>
        <w:spacing w:before="80"/>
        <w:rPr>
          <w:i/>
          <w:sz w:val="22"/>
        </w:rPr>
      </w:pPr>
    </w:p>
    <w:p w:rsidR="006D0E8B" w:rsidRPr="00F54FBD" w:rsidRDefault="006D0E8B" w:rsidP="006D0E8B">
      <w:pPr>
        <w:spacing w:before="80"/>
        <w:rPr>
          <w:i/>
          <w:sz w:val="22"/>
        </w:rPr>
      </w:pPr>
    </w:p>
    <w:p w:rsidR="006D0E8B" w:rsidRPr="00F54FBD" w:rsidRDefault="006D0E8B" w:rsidP="006D0E8B">
      <w:pPr>
        <w:spacing w:before="80"/>
        <w:rPr>
          <w:i/>
          <w:sz w:val="22"/>
        </w:rPr>
      </w:pPr>
    </w:p>
    <w:p w:rsidR="006D0E8B" w:rsidRPr="00F54FBD" w:rsidRDefault="006D0E8B" w:rsidP="006D0E8B">
      <w:pPr>
        <w:pStyle w:val="Equation"/>
        <w:tabs>
          <w:tab w:val="clear" w:pos="4820"/>
          <w:tab w:val="clear" w:pos="9639"/>
          <w:tab w:val="left" w:pos="1191"/>
          <w:tab w:val="left" w:pos="1588"/>
          <w:tab w:val="left" w:pos="1985"/>
        </w:tabs>
        <w:rPr>
          <w:rFonts w:ascii="Palatino Linotype" w:hAnsi="Palatino Linotype"/>
        </w:rPr>
        <w:sectPr w:rsidR="006D0E8B" w:rsidRPr="00F54FBD">
          <w:headerReference w:type="even" r:id="rId6"/>
          <w:headerReference w:type="default" r:id="rId7"/>
          <w:pgSz w:w="11907" w:h="16840" w:code="9"/>
          <w:pgMar w:top="1089" w:right="1089" w:bottom="284" w:left="1089" w:header="567" w:footer="284" w:gutter="0"/>
          <w:pgNumType w:start="1"/>
          <w:cols w:space="720"/>
        </w:sectPr>
      </w:pPr>
    </w:p>
    <w:p w:rsidR="006D0E8B" w:rsidRPr="00F54FBD" w:rsidRDefault="006D0E8B" w:rsidP="006D0E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D0E8B" w:rsidRPr="00F54FBD" w:rsidRDefault="006D0E8B" w:rsidP="00211BBA">
      <w:pPr>
        <w:spacing w:before="240"/>
        <w:rPr>
          <w:sz w:val="20"/>
        </w:rPr>
      </w:pPr>
      <w:r w:rsidRPr="00F54FBD">
        <w:rPr>
          <w:sz w:val="20"/>
        </w:rPr>
        <w:t>Le rôle du Secteu</w:t>
      </w:r>
      <w:r w:rsidR="00211BBA">
        <w:rPr>
          <w:sz w:val="20"/>
        </w:rPr>
        <w:t>r des radiocommunications est d'</w:t>
      </w:r>
      <w:r w:rsidRPr="00F54FBD">
        <w:rPr>
          <w:sz w:val="20"/>
        </w:rPr>
        <w:t>assurer l</w:t>
      </w:r>
      <w:r w:rsidR="00211BBA">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0E8B" w:rsidRPr="00F54FBD" w:rsidRDefault="006D0E8B" w:rsidP="006D0E8B">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211BBA">
        <w:rPr>
          <w:sz w:val="20"/>
        </w:rPr>
        <w:t>assistées par les Commissions d'</w:t>
      </w:r>
      <w:r>
        <w:rPr>
          <w:sz w:val="20"/>
        </w:rPr>
        <w:t>études.</w:t>
      </w:r>
    </w:p>
    <w:p w:rsidR="006D0E8B" w:rsidRPr="00E44CBB" w:rsidRDefault="006D0E8B" w:rsidP="006D0E8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D0E8B" w:rsidRPr="00E44CBB" w:rsidRDefault="006D0E8B" w:rsidP="006D0E8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D0E8B" w:rsidRPr="00C95B6F" w:rsidRDefault="006D0E8B" w:rsidP="006D0E8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D0E8B" w:rsidRPr="009454F8" w:rsidTr="00B72008">
        <w:tc>
          <w:tcPr>
            <w:tcW w:w="9360" w:type="dxa"/>
            <w:gridSpan w:val="2"/>
          </w:tcPr>
          <w:p w:rsidR="006D0E8B" w:rsidRPr="009454F8" w:rsidRDefault="006D0E8B" w:rsidP="00B7200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D0E8B" w:rsidRPr="009454F8"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D0E8B" w:rsidRPr="00036EE3" w:rsidTr="00B72008">
        <w:tc>
          <w:tcPr>
            <w:tcW w:w="1140" w:type="dxa"/>
          </w:tcPr>
          <w:p w:rsidR="006D0E8B" w:rsidRPr="00614CC6" w:rsidRDefault="006D0E8B" w:rsidP="00B72008">
            <w:pPr>
              <w:spacing w:before="90" w:after="100"/>
              <w:ind w:left="57"/>
              <w:rPr>
                <w:b/>
                <w:bCs/>
                <w:sz w:val="20"/>
                <w:lang w:val="en-US"/>
              </w:rPr>
            </w:pPr>
            <w:r w:rsidRPr="00614CC6">
              <w:rPr>
                <w:b/>
                <w:bCs/>
                <w:sz w:val="20"/>
                <w:lang w:val="en-US"/>
              </w:rPr>
              <w:t>Séries</w:t>
            </w:r>
          </w:p>
        </w:tc>
        <w:tc>
          <w:tcPr>
            <w:tcW w:w="8220" w:type="dxa"/>
          </w:tcPr>
          <w:p w:rsidR="006D0E8B" w:rsidRPr="00614CC6"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BO</w:t>
            </w:r>
          </w:p>
        </w:tc>
        <w:tc>
          <w:tcPr>
            <w:tcW w:w="8220" w:type="dxa"/>
          </w:tcPr>
          <w:p w:rsidR="006D0E8B" w:rsidRPr="00614CC6"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D0E8B" w:rsidRPr="009454F8"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BR</w:t>
            </w:r>
          </w:p>
        </w:tc>
        <w:tc>
          <w:tcPr>
            <w:tcW w:w="8220" w:type="dxa"/>
          </w:tcPr>
          <w:p w:rsidR="006D0E8B" w:rsidRPr="00614CC6"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BS</w:t>
            </w:r>
          </w:p>
        </w:tc>
        <w:tc>
          <w:tcPr>
            <w:tcW w:w="8220" w:type="dxa"/>
          </w:tcPr>
          <w:p w:rsidR="006D0E8B" w:rsidRPr="00614CC6"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D0E8B" w:rsidRPr="00ED2695" w:rsidTr="00B72008">
        <w:tc>
          <w:tcPr>
            <w:tcW w:w="1140" w:type="dxa"/>
            <w:shd w:val="clear" w:color="auto" w:fill="auto"/>
          </w:tcPr>
          <w:p w:rsidR="006D0E8B" w:rsidRPr="00614CC6" w:rsidRDefault="006D0E8B" w:rsidP="00B72008">
            <w:pPr>
              <w:spacing w:before="30" w:after="30"/>
              <w:ind w:left="57"/>
              <w:jc w:val="left"/>
              <w:rPr>
                <w:b/>
                <w:bCs/>
                <w:sz w:val="20"/>
                <w:lang w:val="en-US"/>
              </w:rPr>
            </w:pPr>
            <w:r w:rsidRPr="00614CC6">
              <w:rPr>
                <w:b/>
                <w:bCs/>
                <w:sz w:val="20"/>
                <w:lang w:val="en-US"/>
              </w:rPr>
              <w:t>BT</w:t>
            </w:r>
          </w:p>
        </w:tc>
        <w:tc>
          <w:tcPr>
            <w:tcW w:w="8220" w:type="dxa"/>
            <w:shd w:val="clear" w:color="auto" w:fill="auto"/>
          </w:tcPr>
          <w:p w:rsidR="006D0E8B" w:rsidRPr="00614CC6"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D0E8B" w:rsidRPr="00036EE3" w:rsidTr="00B72008">
        <w:tc>
          <w:tcPr>
            <w:tcW w:w="1140" w:type="dxa"/>
            <w:shd w:val="clear" w:color="auto" w:fill="auto"/>
          </w:tcPr>
          <w:p w:rsidR="006D0E8B" w:rsidRPr="00614CC6" w:rsidRDefault="006D0E8B" w:rsidP="00B72008">
            <w:pPr>
              <w:spacing w:before="30" w:after="30"/>
              <w:ind w:left="57"/>
              <w:jc w:val="left"/>
              <w:rPr>
                <w:b/>
                <w:bCs/>
                <w:sz w:val="20"/>
                <w:lang w:val="fr-CH"/>
              </w:rPr>
            </w:pPr>
            <w:r w:rsidRPr="00614CC6">
              <w:rPr>
                <w:b/>
                <w:bCs/>
                <w:sz w:val="20"/>
                <w:lang w:val="fr-CH"/>
              </w:rPr>
              <w:t>F</w:t>
            </w:r>
          </w:p>
        </w:tc>
        <w:tc>
          <w:tcPr>
            <w:tcW w:w="8220" w:type="dxa"/>
            <w:shd w:val="clear" w:color="auto" w:fill="auto"/>
          </w:tcPr>
          <w:p w:rsidR="006D0E8B" w:rsidRPr="00614CC6" w:rsidRDefault="006D0E8B" w:rsidP="00B72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D0E8B" w:rsidRPr="00592F9F" w:rsidTr="00B72008">
        <w:tc>
          <w:tcPr>
            <w:tcW w:w="1140" w:type="dxa"/>
            <w:shd w:val="clear" w:color="auto" w:fill="F3F3F3"/>
          </w:tcPr>
          <w:p w:rsidR="006D0E8B" w:rsidRPr="00592F9F" w:rsidRDefault="006D0E8B" w:rsidP="00B7200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D0E8B" w:rsidRPr="00592F9F" w:rsidRDefault="006D0E8B" w:rsidP="00B72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D0E8B" w:rsidRPr="00036EE3" w:rsidTr="00B72008">
        <w:tc>
          <w:tcPr>
            <w:tcW w:w="1140" w:type="dxa"/>
          </w:tcPr>
          <w:p w:rsidR="006D0E8B" w:rsidRPr="00614CC6" w:rsidRDefault="006D0E8B" w:rsidP="00B72008">
            <w:pPr>
              <w:spacing w:before="30" w:after="30"/>
              <w:ind w:left="57"/>
              <w:jc w:val="left"/>
              <w:rPr>
                <w:b/>
                <w:bCs/>
                <w:sz w:val="20"/>
                <w:lang w:val="fr-CH"/>
              </w:rPr>
            </w:pPr>
            <w:r w:rsidRPr="00614CC6">
              <w:rPr>
                <w:b/>
                <w:bCs/>
                <w:sz w:val="20"/>
                <w:lang w:val="fr-CH"/>
              </w:rPr>
              <w:t>P</w:t>
            </w:r>
          </w:p>
        </w:tc>
        <w:tc>
          <w:tcPr>
            <w:tcW w:w="8220" w:type="dxa"/>
          </w:tcPr>
          <w:p w:rsidR="006D0E8B" w:rsidRPr="00614CC6" w:rsidRDefault="006D0E8B" w:rsidP="00B72008">
            <w:pPr>
              <w:spacing w:before="30" w:after="30"/>
              <w:jc w:val="left"/>
              <w:rPr>
                <w:sz w:val="20"/>
                <w:lang w:val="fr-CH"/>
              </w:rPr>
            </w:pPr>
            <w:r w:rsidRPr="00614CC6">
              <w:rPr>
                <w:sz w:val="20"/>
              </w:rPr>
              <w:t>Propagation des ondes radioélectriques</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RA</w:t>
            </w:r>
          </w:p>
        </w:tc>
        <w:tc>
          <w:tcPr>
            <w:tcW w:w="8220" w:type="dxa"/>
          </w:tcPr>
          <w:p w:rsidR="006D0E8B" w:rsidRPr="00614CC6" w:rsidRDefault="006D0E8B" w:rsidP="00B72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RS</w:t>
            </w:r>
          </w:p>
        </w:tc>
        <w:tc>
          <w:tcPr>
            <w:tcW w:w="8220" w:type="dxa"/>
          </w:tcPr>
          <w:p w:rsidR="006D0E8B" w:rsidRPr="00614CC6" w:rsidRDefault="006D0E8B" w:rsidP="00B72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S</w:t>
            </w:r>
          </w:p>
        </w:tc>
        <w:tc>
          <w:tcPr>
            <w:tcW w:w="8220" w:type="dxa"/>
          </w:tcPr>
          <w:p w:rsidR="006D0E8B" w:rsidRPr="00614CC6" w:rsidRDefault="006D0E8B" w:rsidP="00B72008">
            <w:pPr>
              <w:spacing w:before="30" w:after="30"/>
              <w:jc w:val="left"/>
              <w:rPr>
                <w:sz w:val="20"/>
                <w:lang w:val="en-US"/>
              </w:rPr>
            </w:pPr>
            <w:r w:rsidRPr="00614CC6">
              <w:rPr>
                <w:sz w:val="20"/>
              </w:rPr>
              <w:t>Service fixe par satellite</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SA</w:t>
            </w:r>
          </w:p>
        </w:tc>
        <w:tc>
          <w:tcPr>
            <w:tcW w:w="8220" w:type="dxa"/>
          </w:tcPr>
          <w:p w:rsidR="006D0E8B" w:rsidRPr="00614CC6" w:rsidRDefault="006D0E8B" w:rsidP="00B72008">
            <w:pPr>
              <w:spacing w:before="30" w:after="30"/>
              <w:jc w:val="left"/>
              <w:rPr>
                <w:sz w:val="20"/>
                <w:lang w:val="en-US"/>
              </w:rPr>
            </w:pPr>
            <w:r w:rsidRPr="00614CC6">
              <w:rPr>
                <w:sz w:val="20"/>
              </w:rPr>
              <w:t>Applications spatiales et météorologie</w:t>
            </w:r>
          </w:p>
        </w:tc>
      </w:tr>
      <w:tr w:rsidR="006D0E8B" w:rsidRPr="00614CC6"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SF</w:t>
            </w:r>
          </w:p>
        </w:tc>
        <w:tc>
          <w:tcPr>
            <w:tcW w:w="8220" w:type="dxa"/>
          </w:tcPr>
          <w:p w:rsidR="006D0E8B" w:rsidRPr="00614CC6" w:rsidRDefault="006D0E8B" w:rsidP="00B72008">
            <w:pPr>
              <w:spacing w:before="30" w:after="30"/>
              <w:jc w:val="left"/>
              <w:rPr>
                <w:sz w:val="20"/>
              </w:rPr>
            </w:pPr>
            <w:r w:rsidRPr="00614CC6">
              <w:rPr>
                <w:sz w:val="20"/>
              </w:rPr>
              <w:t>Partage des fréquences et coordination entre les systèmes du service fixe par satellite et du service fixe</w:t>
            </w:r>
          </w:p>
        </w:tc>
      </w:tr>
      <w:tr w:rsidR="006D0E8B" w:rsidRPr="00036EE3" w:rsidTr="00B72008">
        <w:tc>
          <w:tcPr>
            <w:tcW w:w="1140" w:type="dxa"/>
            <w:shd w:val="clear" w:color="auto" w:fill="auto"/>
          </w:tcPr>
          <w:p w:rsidR="006D0E8B" w:rsidRPr="00592F9F" w:rsidRDefault="006D0E8B" w:rsidP="00B72008">
            <w:pPr>
              <w:spacing w:before="30" w:after="30"/>
              <w:ind w:left="57"/>
              <w:jc w:val="left"/>
              <w:rPr>
                <w:b/>
                <w:bCs/>
                <w:sz w:val="20"/>
                <w:lang w:val="en-US"/>
              </w:rPr>
            </w:pPr>
            <w:r w:rsidRPr="00592F9F">
              <w:rPr>
                <w:b/>
                <w:bCs/>
                <w:sz w:val="20"/>
                <w:lang w:val="en-US"/>
              </w:rPr>
              <w:t>SM</w:t>
            </w:r>
          </w:p>
        </w:tc>
        <w:tc>
          <w:tcPr>
            <w:tcW w:w="8220" w:type="dxa"/>
            <w:shd w:val="clear" w:color="auto" w:fill="auto"/>
          </w:tcPr>
          <w:p w:rsidR="006D0E8B" w:rsidRPr="00592F9F" w:rsidRDefault="006D0E8B" w:rsidP="00B72008">
            <w:pPr>
              <w:spacing w:before="30" w:after="30"/>
              <w:jc w:val="left"/>
              <w:rPr>
                <w:sz w:val="20"/>
                <w:lang w:val="en-US"/>
              </w:rPr>
            </w:pPr>
            <w:r w:rsidRPr="00592F9F">
              <w:rPr>
                <w:sz w:val="20"/>
              </w:rPr>
              <w:t>Gestion du spectre</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SNG</w:t>
            </w:r>
          </w:p>
        </w:tc>
        <w:tc>
          <w:tcPr>
            <w:tcW w:w="8220" w:type="dxa"/>
          </w:tcPr>
          <w:p w:rsidR="006D0E8B" w:rsidRPr="00614CC6" w:rsidRDefault="006D0E8B" w:rsidP="00B72008">
            <w:pPr>
              <w:spacing w:before="30" w:after="30"/>
              <w:jc w:val="left"/>
              <w:rPr>
                <w:sz w:val="20"/>
                <w:lang w:val="en-US"/>
              </w:rPr>
            </w:pPr>
            <w:r w:rsidRPr="00614CC6">
              <w:rPr>
                <w:sz w:val="20"/>
              </w:rPr>
              <w:t>Reportage d'actualités par satellite</w:t>
            </w:r>
          </w:p>
        </w:tc>
      </w:tr>
      <w:tr w:rsidR="006D0E8B" w:rsidRPr="00614CC6"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TF</w:t>
            </w:r>
          </w:p>
        </w:tc>
        <w:tc>
          <w:tcPr>
            <w:tcW w:w="8220" w:type="dxa"/>
          </w:tcPr>
          <w:p w:rsidR="006D0E8B" w:rsidRPr="00614CC6" w:rsidRDefault="006D0E8B" w:rsidP="00B72008">
            <w:pPr>
              <w:spacing w:before="30" w:after="30"/>
              <w:jc w:val="left"/>
              <w:rPr>
                <w:sz w:val="20"/>
              </w:rPr>
            </w:pPr>
            <w:r w:rsidRPr="00614CC6">
              <w:rPr>
                <w:sz w:val="20"/>
              </w:rPr>
              <w:t>Emissions de fréquences étalon et de signaux horaires</w:t>
            </w:r>
          </w:p>
        </w:tc>
      </w:tr>
      <w:tr w:rsidR="006D0E8B" w:rsidRPr="00036EE3" w:rsidTr="00B72008">
        <w:tc>
          <w:tcPr>
            <w:tcW w:w="1140" w:type="dxa"/>
          </w:tcPr>
          <w:p w:rsidR="006D0E8B" w:rsidRPr="00614CC6" w:rsidRDefault="006D0E8B" w:rsidP="00B72008">
            <w:pPr>
              <w:spacing w:before="30" w:after="30"/>
              <w:ind w:left="57"/>
              <w:jc w:val="left"/>
              <w:rPr>
                <w:b/>
                <w:bCs/>
                <w:sz w:val="20"/>
                <w:lang w:val="en-US"/>
              </w:rPr>
            </w:pPr>
            <w:r w:rsidRPr="00614CC6">
              <w:rPr>
                <w:b/>
                <w:bCs/>
                <w:sz w:val="20"/>
                <w:lang w:val="en-US"/>
              </w:rPr>
              <w:t>V</w:t>
            </w:r>
          </w:p>
        </w:tc>
        <w:tc>
          <w:tcPr>
            <w:tcW w:w="8220" w:type="dxa"/>
          </w:tcPr>
          <w:p w:rsidR="006D0E8B" w:rsidRPr="00614CC6" w:rsidRDefault="006D0E8B" w:rsidP="00B72008">
            <w:pPr>
              <w:spacing w:before="30" w:after="140"/>
              <w:jc w:val="left"/>
              <w:rPr>
                <w:sz w:val="20"/>
                <w:lang w:val="en-US"/>
              </w:rPr>
            </w:pPr>
            <w:r w:rsidRPr="00614CC6">
              <w:rPr>
                <w:sz w:val="20"/>
              </w:rPr>
              <w:t>Vocabulaire et sujets associés</w:t>
            </w:r>
          </w:p>
        </w:tc>
      </w:tr>
    </w:tbl>
    <w:p w:rsidR="006D0E8B" w:rsidRPr="00036EE3" w:rsidRDefault="006D0E8B" w:rsidP="006D0E8B">
      <w:pPr>
        <w:spacing w:before="0"/>
        <w:jc w:val="center"/>
        <w:rPr>
          <w:sz w:val="20"/>
          <w:lang w:val="en-US"/>
        </w:rPr>
      </w:pPr>
    </w:p>
    <w:p w:rsidR="006D0E8B" w:rsidRPr="00036EE3" w:rsidRDefault="006D0E8B" w:rsidP="006D0E8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D0E8B" w:rsidRPr="00756B4D" w:rsidTr="00B72008">
        <w:tc>
          <w:tcPr>
            <w:tcW w:w="9360" w:type="dxa"/>
          </w:tcPr>
          <w:p w:rsidR="006D0E8B" w:rsidRPr="00756B4D" w:rsidRDefault="006D0E8B" w:rsidP="00AF404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AF4045">
              <w:rPr>
                <w:i/>
                <w:iCs/>
                <w:sz w:val="20"/>
              </w:rPr>
              <w:t xml:space="preserve"> </w:t>
            </w:r>
            <w:r w:rsidRPr="00756B4D">
              <w:rPr>
                <w:i/>
                <w:iCs/>
                <w:sz w:val="20"/>
              </w:rPr>
              <w:t xml:space="preserve">Résolution UIT-R 1. </w:t>
            </w:r>
          </w:p>
        </w:tc>
      </w:tr>
    </w:tbl>
    <w:p w:rsidR="006D0E8B" w:rsidRPr="00756B4D" w:rsidRDefault="006D0E8B" w:rsidP="006D0E8B">
      <w:pPr>
        <w:spacing w:before="0"/>
        <w:jc w:val="center"/>
        <w:rPr>
          <w:sz w:val="22"/>
        </w:rPr>
      </w:pPr>
    </w:p>
    <w:p w:rsidR="006D0E8B" w:rsidRPr="00614CC6" w:rsidRDefault="006D0E8B" w:rsidP="006D0E8B">
      <w:pPr>
        <w:spacing w:before="100"/>
        <w:jc w:val="right"/>
        <w:rPr>
          <w:i/>
          <w:iCs/>
          <w:sz w:val="20"/>
        </w:rPr>
      </w:pPr>
      <w:r w:rsidRPr="00614CC6">
        <w:rPr>
          <w:i/>
          <w:iCs/>
          <w:sz w:val="20"/>
        </w:rPr>
        <w:t>Publication électronique</w:t>
      </w:r>
    </w:p>
    <w:p w:rsidR="006D0E8B" w:rsidRPr="00614CC6" w:rsidRDefault="006D0E8B" w:rsidP="006D0E8B">
      <w:pPr>
        <w:spacing w:before="0"/>
        <w:jc w:val="right"/>
        <w:rPr>
          <w:sz w:val="20"/>
        </w:rPr>
      </w:pPr>
      <w:r w:rsidRPr="00614CC6">
        <w:rPr>
          <w:sz w:val="20"/>
        </w:rPr>
        <w:t>Genève, 20</w:t>
      </w:r>
      <w:r>
        <w:rPr>
          <w:sz w:val="20"/>
        </w:rPr>
        <w:t>1</w:t>
      </w:r>
      <w:r w:rsidR="00AF4045">
        <w:rPr>
          <w:sz w:val="20"/>
        </w:rPr>
        <w:t>9</w:t>
      </w:r>
    </w:p>
    <w:p w:rsidR="006D0E8B" w:rsidRPr="00614CC6" w:rsidRDefault="006D0E8B" w:rsidP="006D0E8B">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AF4045">
        <w:rPr>
          <w:sz w:val="20"/>
        </w:rPr>
        <w:t>9</w:t>
      </w:r>
    </w:p>
    <w:p w:rsidR="006D0E8B" w:rsidRPr="00614CC6" w:rsidRDefault="006D0E8B" w:rsidP="00211BB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211BBA">
        <w:rPr>
          <w:sz w:val="18"/>
          <w:szCs w:val="18"/>
        </w:rPr>
        <w:t>que procédé que ce soit, sans l'</w:t>
      </w:r>
      <w:r>
        <w:rPr>
          <w:sz w:val="18"/>
          <w:szCs w:val="18"/>
        </w:rPr>
        <w:t>accord écrit préalable de l</w:t>
      </w:r>
      <w:r w:rsidR="00211BBA">
        <w:rPr>
          <w:sz w:val="18"/>
          <w:szCs w:val="18"/>
        </w:rPr>
        <w:t>'</w:t>
      </w:r>
      <w:r>
        <w:rPr>
          <w:sz w:val="18"/>
          <w:szCs w:val="18"/>
        </w:rPr>
        <w:t>UIT</w:t>
      </w:r>
      <w:r w:rsidRPr="00614CC6">
        <w:rPr>
          <w:sz w:val="18"/>
          <w:szCs w:val="18"/>
        </w:rPr>
        <w:t>.</w:t>
      </w:r>
    </w:p>
    <w:p w:rsidR="006D0E8B" w:rsidRPr="00614CC6" w:rsidRDefault="006D0E8B" w:rsidP="006D0E8B">
      <w:pPr>
        <w:spacing w:before="160"/>
        <w:rPr>
          <w:i/>
          <w:sz w:val="20"/>
          <w:highlight w:val="yellow"/>
        </w:rPr>
        <w:sectPr w:rsidR="006D0E8B"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D0E8B" w:rsidRDefault="006D0E8B" w:rsidP="00877014">
      <w:pPr>
        <w:pStyle w:val="RecNo"/>
      </w:pPr>
      <w:bookmarkStart w:id="2" w:name="irecnoe"/>
      <w:bookmarkEnd w:id="2"/>
      <w:r w:rsidRPr="00877014">
        <w:lastRenderedPageBreak/>
        <w:t>RECOMMANDATION</w:t>
      </w:r>
      <w:r w:rsidRPr="00756B4D">
        <w:t xml:space="preserve">  </w:t>
      </w:r>
      <w:r>
        <w:rPr>
          <w:rStyle w:val="href"/>
        </w:rPr>
        <w:t>UIT</w:t>
      </w:r>
      <w:r w:rsidRPr="00756B4D">
        <w:rPr>
          <w:rStyle w:val="href"/>
        </w:rPr>
        <w:t>-R  M.</w:t>
      </w:r>
      <w:r>
        <w:rPr>
          <w:rStyle w:val="href"/>
        </w:rPr>
        <w:t>2122-0</w:t>
      </w:r>
    </w:p>
    <w:p w:rsidR="006D0E8B" w:rsidRPr="00F342C0" w:rsidRDefault="006D0E8B" w:rsidP="006D0E8B">
      <w:pPr>
        <w:pStyle w:val="Rectitle"/>
      </w:pPr>
      <w:r w:rsidRPr="00F342C0">
        <w:t xml:space="preserve">Caractéristiques techniques et opérationnelles des systèmes du service mobile aéronautique limités aux transmissions de télémesure mobile aéronautique </w:t>
      </w:r>
      <w:r>
        <w:br/>
      </w:r>
      <w:r w:rsidRPr="00F342C0">
        <w:t xml:space="preserve">des aéronefs pour les essais en vol dans la bande 5 150-5 250 MHz dans </w:t>
      </w:r>
      <w:r>
        <w:br/>
      </w:r>
      <w:r w:rsidRPr="00F342C0">
        <w:t xml:space="preserve">la Région 1 et au Brésil, conformément au numéro 5.446C </w:t>
      </w:r>
      <w:r>
        <w:br/>
      </w:r>
      <w:r w:rsidRPr="00F342C0">
        <w:t>du Règlement des radiocommunications</w:t>
      </w:r>
    </w:p>
    <w:p w:rsidR="006D0E8B" w:rsidRPr="00F342C0" w:rsidRDefault="006D0E8B" w:rsidP="006D0E8B">
      <w:pPr>
        <w:pStyle w:val="Recdate"/>
      </w:pPr>
      <w:r w:rsidRPr="00F342C0">
        <w:rPr>
          <w:szCs w:val="24"/>
        </w:rPr>
        <w:t>(2019)</w:t>
      </w:r>
    </w:p>
    <w:p w:rsidR="006D0E8B" w:rsidRPr="00F342C0" w:rsidRDefault="006D0E8B" w:rsidP="006D0E8B">
      <w:pPr>
        <w:pStyle w:val="headfoot"/>
      </w:pPr>
    </w:p>
    <w:p w:rsidR="006D0E8B" w:rsidRPr="00F342C0" w:rsidRDefault="006D0E8B" w:rsidP="006D0E8B">
      <w:pPr>
        <w:pStyle w:val="HeadingSum"/>
        <w:rPr>
          <w:lang w:val="fr-FR"/>
        </w:rPr>
      </w:pPr>
      <w:r w:rsidRPr="00F342C0">
        <w:rPr>
          <w:lang w:val="fr-FR"/>
        </w:rPr>
        <w:t>Domaine d'application</w:t>
      </w:r>
    </w:p>
    <w:p w:rsidR="006D0E8B" w:rsidRPr="00F342C0" w:rsidRDefault="006D0E8B" w:rsidP="006D0E8B">
      <w:pPr>
        <w:pStyle w:val="Summary"/>
        <w:rPr>
          <w:lang w:val="fr-FR"/>
        </w:rPr>
      </w:pPr>
      <w:r>
        <w:rPr>
          <w:lang w:val="fr-FR"/>
        </w:rPr>
        <w:t>La présente</w:t>
      </w:r>
      <w:r w:rsidRPr="00F342C0">
        <w:rPr>
          <w:lang w:val="fr-FR"/>
        </w:rPr>
        <w:t xml:space="preserve"> Recommandation fournit les caractéristiques techniques et opérationnelles de la télémesure mobile aéronautique (AMT) dans les pays de la Région 1 (sauf dans les pays suivants: Algérie, Arabie saoudite, Bahreïn, Égypte, Émirats arabes unis, Jordanie, Koweït, Liban, Maroc, Oman, Qatar, République arabe syrienne, Soudan, Soudan du Sud et Tunisie) et au Brésil dans la gamme de fréquences 5 150-5 250 MHz, conformément au numéro </w:t>
      </w:r>
      <w:r w:rsidRPr="00F342C0">
        <w:rPr>
          <w:b/>
          <w:bCs/>
          <w:lang w:val="fr-FR"/>
        </w:rPr>
        <w:t>5.446C</w:t>
      </w:r>
      <w:r w:rsidRPr="00F342C0">
        <w:rPr>
          <w:lang w:val="fr-FR"/>
        </w:rPr>
        <w:t xml:space="preserve"> du Règlement des radiocommunications (RR), par lequel une attribution est faite au service mobile aéronautique à titre primaire, cette attribution étant limitée aux transmissions de télémesure aéronautique des stations d'aéronef.</w:t>
      </w:r>
    </w:p>
    <w:p w:rsidR="006D0E8B" w:rsidRPr="00F342C0" w:rsidRDefault="006D0E8B" w:rsidP="006D0E8B">
      <w:pPr>
        <w:pStyle w:val="Headingb"/>
      </w:pPr>
      <w:r w:rsidRPr="00F342C0">
        <w:t>Recommandations et Rapports UIT-R connexes</w:t>
      </w:r>
    </w:p>
    <w:p w:rsidR="006D0E8B" w:rsidRPr="00F342C0" w:rsidRDefault="006D0E8B" w:rsidP="00AF4045">
      <w:pPr>
        <w:pStyle w:val="Reftext"/>
      </w:pPr>
      <w:r w:rsidRPr="00F342C0">
        <w:t>Recommandation UIT-R S.580 – Diagrammes de rayonnement à utiliser comme objectifs de conception pour les antennes des stations terriennes fonctionnant avec des satellites géostationnaires</w:t>
      </w:r>
    </w:p>
    <w:p w:rsidR="006D0E8B" w:rsidRPr="00F342C0" w:rsidRDefault="006D0E8B" w:rsidP="00AF4045">
      <w:pPr>
        <w:pStyle w:val="Reftext"/>
      </w:pPr>
      <w:r w:rsidRPr="00F342C0">
        <w:t>Recommandation UIT-R M.1459 – Critères de protection applicables aux systèmes de télémesure du service mobile aéronautique et techniques de réduction des brouillages propres à faciliter le partage avec les services de radiodiffusion par satellite géostationnaire et mobile par satellite géostationnaire dans les bandes de fréquences 1 452-1 525 MHz et 2 310-2 360 MHz</w:t>
      </w:r>
    </w:p>
    <w:p w:rsidR="006D0E8B" w:rsidRPr="00F342C0" w:rsidRDefault="006D0E8B" w:rsidP="00AF4045">
      <w:pPr>
        <w:pStyle w:val="Reftext"/>
      </w:pPr>
      <w:r w:rsidRPr="00F342C0">
        <w:t>Recommandation UIT-R M.1828 – Prescriptions techniques et opérationnelles applicables aux stations d'aéronef du service mobile aéronautique limité aux transmissions de télémesure pour les essais en vol dans les bandes au voisinage de 5 GHz</w:t>
      </w:r>
    </w:p>
    <w:p w:rsidR="006D0E8B" w:rsidRPr="00F342C0" w:rsidRDefault="006D0E8B" w:rsidP="00AF4045">
      <w:pPr>
        <w:pStyle w:val="Reftext"/>
      </w:pPr>
      <w:r w:rsidRPr="00F342C0">
        <w:t>Rapport UIT-R M.2221 – Possibilités d'exploitation du SMS dans certaines bandes de fréquences</w:t>
      </w:r>
    </w:p>
    <w:p w:rsidR="006D0E8B" w:rsidRPr="00F342C0" w:rsidRDefault="006D0E8B" w:rsidP="00AF4045">
      <w:pPr>
        <w:pStyle w:val="Reftext"/>
      </w:pPr>
      <w:r w:rsidRPr="00F342C0">
        <w:t>Rapport UIT-R M.2238 – Étude de compatibilité pour la prise en charge des liaison</w:t>
      </w:r>
      <w:r>
        <w:t>s</w:t>
      </w:r>
      <w:r w:rsidRPr="00F342C0">
        <w:t xml:space="preserve"> de contrôle en visibilité directe et des liaisons de communication non associées à la charge utile des systèmes d'aéronef sans pilote proposés dans la bande de fréquences 5 091</w:t>
      </w:r>
      <w:r>
        <w:t>-</w:t>
      </w:r>
      <w:r w:rsidRPr="00F342C0">
        <w:t>5 150 MHz</w:t>
      </w:r>
      <w:r>
        <w:t>.</w:t>
      </w:r>
    </w:p>
    <w:p w:rsidR="006D0E8B" w:rsidRPr="00F342C0" w:rsidRDefault="006D0E8B" w:rsidP="006D0E8B">
      <w:pPr>
        <w:pStyle w:val="Headingb"/>
      </w:pPr>
      <w:r w:rsidRPr="00F342C0">
        <w:t>Mots clés</w:t>
      </w:r>
    </w:p>
    <w:p w:rsidR="006D0E8B" w:rsidRPr="00F342C0" w:rsidRDefault="006D0E8B" w:rsidP="006D0E8B">
      <w:r w:rsidRPr="00F342C0">
        <w:t>Télémesure, aéronef</w:t>
      </w:r>
    </w:p>
    <w:p w:rsidR="006D0E8B" w:rsidRPr="00F342C0" w:rsidRDefault="006D0E8B" w:rsidP="006D0E8B">
      <w:pPr>
        <w:pStyle w:val="Headingb"/>
      </w:pPr>
      <w:r w:rsidRPr="00F342C0">
        <w:t>Abréviations/glossaire</w:t>
      </w:r>
    </w:p>
    <w:p w:rsidR="006D0E8B" w:rsidRPr="00F342C0" w:rsidRDefault="006D0E8B" w:rsidP="006D0E8B">
      <w:pPr>
        <w:tabs>
          <w:tab w:val="clear" w:pos="794"/>
          <w:tab w:val="clear" w:pos="1191"/>
        </w:tabs>
      </w:pPr>
      <w:r w:rsidRPr="00F342C0">
        <w:t>AMT</w:t>
      </w:r>
      <w:r w:rsidRPr="00F342C0">
        <w:tab/>
        <w:t xml:space="preserve">télémesure mobile aéronautique </w:t>
      </w:r>
      <w:r w:rsidRPr="008F3F17">
        <w:t>(</w:t>
      </w:r>
      <w:r w:rsidRPr="00F342C0">
        <w:rPr>
          <w:i/>
          <w:iCs/>
        </w:rPr>
        <w:t>aeronautical mobile telemetry</w:t>
      </w:r>
      <w:r w:rsidRPr="008F3F17">
        <w:t>)</w:t>
      </w:r>
    </w:p>
    <w:p w:rsidR="006D0E8B" w:rsidRPr="00F342C0" w:rsidRDefault="006D0E8B" w:rsidP="006D0E8B">
      <w:pPr>
        <w:tabs>
          <w:tab w:val="clear" w:pos="794"/>
          <w:tab w:val="clear" w:pos="1191"/>
        </w:tabs>
      </w:pPr>
      <w:r w:rsidRPr="00F342C0">
        <w:rPr>
          <w:i/>
          <w:iCs/>
        </w:rPr>
        <w:t>I</w:t>
      </w:r>
      <w:r w:rsidRPr="005B65D3">
        <w:rPr>
          <w:b/>
          <w:bCs/>
        </w:rPr>
        <w:t>/</w:t>
      </w:r>
      <w:r w:rsidRPr="00F342C0">
        <w:rPr>
          <w:i/>
          <w:iCs/>
        </w:rPr>
        <w:t>N</w:t>
      </w:r>
      <w:r w:rsidRPr="00F342C0">
        <w:tab/>
        <w:t xml:space="preserve">rapport brouillage/bruit </w:t>
      </w:r>
      <w:r w:rsidRPr="008F3F17">
        <w:t>(</w:t>
      </w:r>
      <w:r w:rsidRPr="00F342C0">
        <w:rPr>
          <w:i/>
          <w:iCs/>
        </w:rPr>
        <w:t>interference-to-noise ratio</w:t>
      </w:r>
      <w:r w:rsidRPr="008F3F17">
        <w:t>)</w:t>
      </w:r>
    </w:p>
    <w:p w:rsidR="006D0E8B" w:rsidRPr="00F342C0" w:rsidRDefault="006D0E8B" w:rsidP="006D0E8B">
      <w:pPr>
        <w:tabs>
          <w:tab w:val="clear" w:pos="794"/>
          <w:tab w:val="clear" w:pos="1191"/>
        </w:tabs>
      </w:pPr>
      <w:r w:rsidRPr="00F342C0">
        <w:t>SMA</w:t>
      </w:r>
      <w:r w:rsidRPr="00F342C0">
        <w:tab/>
        <w:t>service mobile aéronautique</w:t>
      </w:r>
    </w:p>
    <w:p w:rsidR="006D0E8B" w:rsidRPr="00F342C0" w:rsidRDefault="006D0E8B" w:rsidP="006D0E8B">
      <w:pPr>
        <w:pStyle w:val="Normalaftertitle"/>
        <w:keepNext/>
        <w:keepLines/>
      </w:pPr>
      <w:r w:rsidRPr="00F342C0">
        <w:lastRenderedPageBreak/>
        <w:t>L'Assemblée des radiocommunications de l'UIT,</w:t>
      </w:r>
    </w:p>
    <w:p w:rsidR="006D0E8B" w:rsidRPr="00F342C0" w:rsidRDefault="006D0E8B" w:rsidP="006D0E8B">
      <w:pPr>
        <w:pStyle w:val="Call"/>
      </w:pPr>
      <w:r w:rsidRPr="00F342C0">
        <w:t>considérant</w:t>
      </w:r>
    </w:p>
    <w:p w:rsidR="006D0E8B" w:rsidRPr="00F342C0" w:rsidRDefault="006D0E8B" w:rsidP="006D0E8B">
      <w:pPr>
        <w:keepNext/>
        <w:keepLines/>
      </w:pPr>
      <w:r w:rsidRPr="008C7870">
        <w:rPr>
          <w:i/>
          <w:iCs/>
        </w:rPr>
        <w:t>a)</w:t>
      </w:r>
      <w:r w:rsidRPr="00F342C0">
        <w:tab/>
        <w:t xml:space="preserve">que divers </w:t>
      </w:r>
      <w:r>
        <w:t>systèmes</w:t>
      </w:r>
      <w:r w:rsidRPr="00F342C0">
        <w:t xml:space="preserve"> du service mobile aéronautique (SMA) limités aux transmissions des systèmes de télémesure pour les essais en vol, techniquement et opérationnellement différents, sont déjà exploités dans la bande de fréquences des 5 GHz conformément à la Résolution </w:t>
      </w:r>
      <w:r w:rsidRPr="00F342C0">
        <w:rPr>
          <w:b/>
          <w:bCs/>
        </w:rPr>
        <w:t>418 (Rév.CMR</w:t>
      </w:r>
      <w:r w:rsidRPr="00F342C0">
        <w:rPr>
          <w:b/>
          <w:bCs/>
        </w:rPr>
        <w:noBreakHyphen/>
        <w:t>15)</w:t>
      </w:r>
      <w:r w:rsidRPr="00F342C0">
        <w:t>;</w:t>
      </w:r>
    </w:p>
    <w:p w:rsidR="006D0E8B" w:rsidRPr="00F342C0" w:rsidRDefault="006D0E8B" w:rsidP="006D0E8B">
      <w:r w:rsidRPr="008C7870">
        <w:rPr>
          <w:i/>
          <w:iCs/>
        </w:rPr>
        <w:t>b)</w:t>
      </w:r>
      <w:r w:rsidRPr="00F342C0">
        <w:tab/>
        <w:t xml:space="preserve">que l'exploitation des stations d'aéronef est généralement soumise à certaines règles et réglementations nationales et internationales et doit notamment être conforme à une norme technique </w:t>
      </w:r>
      <w:r>
        <w:t>et</w:t>
      </w:r>
      <w:r w:rsidRPr="00F342C0">
        <w:t xml:space="preserve"> à des </w:t>
      </w:r>
      <w:r>
        <w:t>exigences</w:t>
      </w:r>
      <w:r w:rsidRPr="00F342C0">
        <w:t xml:space="preserve"> opérationnelles communes;</w:t>
      </w:r>
    </w:p>
    <w:p w:rsidR="006D0E8B" w:rsidRPr="00F342C0" w:rsidRDefault="006D0E8B" w:rsidP="006D0E8B">
      <w:r w:rsidRPr="008C7870">
        <w:rPr>
          <w:i/>
          <w:iCs/>
        </w:rPr>
        <w:t>c)</w:t>
      </w:r>
      <w:r w:rsidRPr="00F342C0">
        <w:tab/>
        <w:t xml:space="preserve">qu'il est nécessaire de définir les caractéristiques techniques et opérationnelles </w:t>
      </w:r>
      <w:r>
        <w:t>aux fins des</w:t>
      </w:r>
      <w:r w:rsidRPr="00F342C0">
        <w:t xml:space="preserve"> analyses de partage concernant le SMA limité aux transmissions des systèmes de télémesure des aéronefs pour les essais en vol;</w:t>
      </w:r>
    </w:p>
    <w:p w:rsidR="006D0E8B" w:rsidRPr="00F342C0" w:rsidRDefault="006D0E8B" w:rsidP="006D0E8B">
      <w:r w:rsidRPr="008C7870">
        <w:rPr>
          <w:i/>
          <w:iCs/>
        </w:rPr>
        <w:t>d)</w:t>
      </w:r>
      <w:r w:rsidRPr="00F342C0">
        <w:tab/>
        <w:t xml:space="preserve">que les </w:t>
      </w:r>
      <w:r>
        <w:t>exigences</w:t>
      </w:r>
      <w:r w:rsidRPr="00F342C0">
        <w:t xml:space="preserve"> techniques et opérationnelles relatives aux stations d'aéronef sont définies dans la Recommandation UIT</w:t>
      </w:r>
      <w:r w:rsidRPr="00F342C0">
        <w:noBreakHyphen/>
        <w:t>R M.1828 et permettent de disposer d'une base technique commune pour faciliter les essais de conformité des stations d'aéronef par les diverses autorités nationales et internationales et l'élaboration d'accords de reconnaissance mutuelle relatifs à la conformité des stations d'aéronef,</w:t>
      </w:r>
    </w:p>
    <w:p w:rsidR="006D0E8B" w:rsidRPr="00F342C0" w:rsidRDefault="006D0E8B" w:rsidP="006D0E8B">
      <w:pPr>
        <w:pStyle w:val="Call"/>
      </w:pPr>
      <w:r w:rsidRPr="00F342C0">
        <w:t>reconnaissant</w:t>
      </w:r>
    </w:p>
    <w:p w:rsidR="006D0E8B" w:rsidRPr="00F342C0" w:rsidRDefault="006D0E8B" w:rsidP="006D0E8B">
      <w:r w:rsidRPr="008C7870">
        <w:rPr>
          <w:i/>
          <w:iCs/>
        </w:rPr>
        <w:t>a)</w:t>
      </w:r>
      <w:r w:rsidRPr="00F342C0">
        <w:tab/>
        <w:t xml:space="preserve">que la bande de fréquences </w:t>
      </w:r>
      <w:r>
        <w:t>5 150-</w:t>
      </w:r>
      <w:r w:rsidRPr="00F342C0">
        <w:t xml:space="preserve">5 250 MHz est attribuée à titre primaire </w:t>
      </w:r>
      <w:r>
        <w:t xml:space="preserve">à l'échelle mondiale </w:t>
      </w:r>
      <w:r w:rsidRPr="00F342C0">
        <w:t>aux services de radionavigation aéronautique, fixe par satellite (Terre vers espace) et mobile sauf mobile aéronautique;</w:t>
      </w:r>
    </w:p>
    <w:p w:rsidR="006D0E8B" w:rsidRPr="00F342C0" w:rsidRDefault="006D0E8B" w:rsidP="006D0E8B">
      <w:r w:rsidRPr="008C7870">
        <w:rPr>
          <w:i/>
          <w:iCs/>
        </w:rPr>
        <w:t>b)</w:t>
      </w:r>
      <w:r w:rsidRPr="00F342C0">
        <w:tab/>
        <w:t xml:space="preserve">qu'aux termes du numéro </w:t>
      </w:r>
      <w:r w:rsidRPr="00D512A5">
        <w:rPr>
          <w:b/>
          <w:bCs/>
        </w:rPr>
        <w:t xml:space="preserve">5.446C </w:t>
      </w:r>
      <w:r w:rsidRPr="00F342C0">
        <w:t>du RR, dans la Région 1 (sauf dans les pays suivants: Algérie, Arabie saoudite, Bahreïn, Égypte, Émirats arabes unis, Jordanie, Koweït, Liban, Maroc, Oman, Qatar, République arabe syrienne, Soudan, Soudan du Sud et Tunisi</w:t>
      </w:r>
      <w:r>
        <w:t>e) et au Brésil, la bande 5 150</w:t>
      </w:r>
      <w:r>
        <w:noBreakHyphen/>
      </w:r>
      <w:r w:rsidRPr="00F342C0">
        <w:t>5 250 MHz est, de plus, attribuée au service mobile aéronautique à titre primaire, cette attribution étant limitée aux transmissions de télémesure aéronautique des stations d'aéronef;</w:t>
      </w:r>
    </w:p>
    <w:p w:rsidR="006D0E8B" w:rsidRPr="00F342C0" w:rsidRDefault="006D0E8B" w:rsidP="006D0E8B">
      <w:r w:rsidRPr="008C7870">
        <w:rPr>
          <w:i/>
          <w:iCs/>
        </w:rPr>
        <w:t>c)</w:t>
      </w:r>
      <w:r w:rsidRPr="00F342C0">
        <w:tab/>
        <w:t xml:space="preserve">que, conformément au numéro </w:t>
      </w:r>
      <w:r w:rsidRPr="00F342C0">
        <w:rPr>
          <w:b/>
          <w:bCs/>
        </w:rPr>
        <w:t>5.446C</w:t>
      </w:r>
      <w:r w:rsidRPr="00F342C0">
        <w:t xml:space="preserve"> du RR, les stations d'aéronef utilisées pour la télémesure mobile aéronautique </w:t>
      </w:r>
      <w:r>
        <w:t xml:space="preserve">(AMT) </w:t>
      </w:r>
      <w:r w:rsidRPr="00F342C0">
        <w:t xml:space="preserve">ne doivent pas demander à être protégées vis-à-vis d'autres stations exploitées conformément aux dispositions de l'Article </w:t>
      </w:r>
      <w:r w:rsidRPr="00F342C0">
        <w:rPr>
          <w:b/>
          <w:bCs/>
        </w:rPr>
        <w:t>5</w:t>
      </w:r>
      <w:r w:rsidRPr="00F342C0">
        <w:t xml:space="preserve">; </w:t>
      </w:r>
    </w:p>
    <w:p w:rsidR="006D0E8B" w:rsidRPr="00F342C0" w:rsidRDefault="006D0E8B" w:rsidP="006D0E8B">
      <w:r w:rsidRPr="008C7870">
        <w:rPr>
          <w:i/>
          <w:iCs/>
        </w:rPr>
        <w:t>d)</w:t>
      </w:r>
      <w:r w:rsidRPr="00F342C0">
        <w:tab/>
        <w:t>que les caractéristiques des équipements de télémesure fonctionnant dans la bande de fréquences 5 150</w:t>
      </w:r>
      <w:r w:rsidRPr="00F342C0">
        <w:noBreakHyphen/>
        <w:t xml:space="preserve">5 250 MHz peuvent aussi s'appliquer à la bande de fréquences 5 091-5 150 MHz si ces équipements sont aussi exploités dans cette bande de fréquences dans les pays visés au point </w:t>
      </w:r>
      <w:r w:rsidRPr="00E3230E">
        <w:rPr>
          <w:i/>
          <w:iCs/>
        </w:rPr>
        <w:t>b)</w:t>
      </w:r>
      <w:r w:rsidRPr="00F342C0">
        <w:t xml:space="preserve"> du </w:t>
      </w:r>
      <w:r w:rsidRPr="00F342C0">
        <w:rPr>
          <w:i/>
          <w:iCs/>
        </w:rPr>
        <w:t>reconnaissant</w:t>
      </w:r>
      <w:r w:rsidRPr="00F342C0">
        <w:t>,</w:t>
      </w:r>
    </w:p>
    <w:p w:rsidR="006D0E8B" w:rsidRPr="00F342C0" w:rsidRDefault="006D0E8B" w:rsidP="006D0E8B">
      <w:pPr>
        <w:pStyle w:val="Call"/>
        <w:rPr>
          <w:szCs w:val="24"/>
        </w:rPr>
      </w:pPr>
      <w:r w:rsidRPr="00F342C0">
        <w:rPr>
          <w:szCs w:val="24"/>
        </w:rPr>
        <w:t>notant</w:t>
      </w:r>
    </w:p>
    <w:p w:rsidR="006D0E8B" w:rsidRPr="00F342C0" w:rsidRDefault="006D0E8B" w:rsidP="006D0E8B">
      <w:r w:rsidRPr="00F342C0">
        <w:t>que la Recommandation UIT-R M.1459, ainsi que les Rapports UIT-R M.2221 et UIT-R M.2238, définissent aussi des paramètres techniques et des critères de protection applicables aux systèmes de télémesure pour les essais en vol,</w:t>
      </w:r>
    </w:p>
    <w:p w:rsidR="006D0E8B" w:rsidRPr="00F342C0" w:rsidRDefault="006D0E8B" w:rsidP="006D0E8B">
      <w:pPr>
        <w:pStyle w:val="Call"/>
        <w:rPr>
          <w:b/>
          <w:szCs w:val="24"/>
        </w:rPr>
      </w:pPr>
      <w:r w:rsidRPr="00F342C0">
        <w:rPr>
          <w:szCs w:val="24"/>
        </w:rPr>
        <w:t>recommande</w:t>
      </w:r>
    </w:p>
    <w:p w:rsidR="006D0E8B" w:rsidRPr="00F342C0" w:rsidRDefault="006D0E8B" w:rsidP="006D0E8B">
      <w:r w:rsidRPr="00F342C0">
        <w:rPr>
          <w:b/>
          <w:bCs/>
        </w:rPr>
        <w:t>1</w:t>
      </w:r>
      <w:r w:rsidRPr="00F342C0">
        <w:tab/>
        <w:t xml:space="preserve">d'utiliser, </w:t>
      </w:r>
      <w:r>
        <w:t>aux fins des</w:t>
      </w:r>
      <w:r w:rsidRPr="00F342C0">
        <w:t xml:space="preserve"> analyses de partage, les caractéristiques techniques et opérationnelles données dans l'Annexe</w:t>
      </w:r>
      <w:r>
        <w:t xml:space="preserve"> concernant les</w:t>
      </w:r>
      <w:r w:rsidRPr="00F342C0">
        <w:t xml:space="preserve"> st</w:t>
      </w:r>
      <w:r>
        <w:t>ations d'aéronef d'émission et l</w:t>
      </w:r>
      <w:r w:rsidRPr="00F342C0">
        <w:t>es stations aéronautiques de réception du service mobile aéronautique limitées aux transmissions de télémesure pour les essais en vol dans la bande de fréquences 5 150-5 250 MHz;</w:t>
      </w:r>
    </w:p>
    <w:p w:rsidR="00AF4045" w:rsidRDefault="006D0E8B" w:rsidP="006D0E8B">
      <w:r w:rsidRPr="00F342C0">
        <w:rPr>
          <w:b/>
          <w:bCs/>
        </w:rPr>
        <w:t>2</w:t>
      </w:r>
      <w:r w:rsidRPr="00F342C0">
        <w:tab/>
        <w:t xml:space="preserve">d'utiliser un rapport </w:t>
      </w:r>
      <w:r w:rsidRPr="00D512A5">
        <w:rPr>
          <w:i/>
          <w:iCs/>
        </w:rPr>
        <w:t>I/N</w:t>
      </w:r>
      <w:r w:rsidRPr="00F342C0">
        <w:t xml:space="preserve"> de −6 dB comme critère de protection contre les brouillages cumulatifs pour les stations de réception AMT au sol.</w:t>
      </w:r>
    </w:p>
    <w:p w:rsidR="006D0E8B" w:rsidRPr="00AF4045" w:rsidRDefault="006D0E8B" w:rsidP="006D0E8B">
      <w:pPr>
        <w:rPr>
          <w:sz w:val="14"/>
          <w:szCs w:val="10"/>
        </w:rPr>
      </w:pPr>
      <w:r w:rsidRPr="00AF4045">
        <w:rPr>
          <w:sz w:val="14"/>
          <w:szCs w:val="10"/>
        </w:rPr>
        <w:br w:type="page"/>
      </w:r>
    </w:p>
    <w:p w:rsidR="006D0E8B" w:rsidRDefault="006D0E8B" w:rsidP="00877014">
      <w:pPr>
        <w:pStyle w:val="AnnexNoTitle"/>
        <w:outlineLvl w:val="0"/>
      </w:pPr>
      <w:r w:rsidRPr="00F342C0">
        <w:lastRenderedPageBreak/>
        <w:t>Annexe</w:t>
      </w:r>
      <w:r w:rsidRPr="00F342C0">
        <w:br/>
      </w:r>
      <w:r w:rsidRPr="00F342C0">
        <w:br/>
        <w:t xml:space="preserve">Caractéristiques techniques et opérationnelles des stations du service mobile aéronautique limitées aux transmissions de télémesure mobile aéronautique </w:t>
      </w:r>
      <w:r>
        <w:br/>
      </w:r>
      <w:r w:rsidRPr="00F342C0">
        <w:t xml:space="preserve">des aéronefs pour les essais en vol dans la bande de fréquences 5 150-5 250 MHz dans la Région 1 et au Brésil, conformément au numéro 5.446C du </w:t>
      </w:r>
      <w:r>
        <w:t>RR</w:t>
      </w:r>
    </w:p>
    <w:p w:rsidR="006D0E8B" w:rsidRPr="00F342C0" w:rsidRDefault="006D0E8B" w:rsidP="006D0E8B">
      <w:pPr>
        <w:pStyle w:val="Heading1"/>
      </w:pPr>
      <w:r w:rsidRPr="00F342C0">
        <w:t>1</w:t>
      </w:r>
      <w:r w:rsidRPr="00F342C0">
        <w:tab/>
        <w:t xml:space="preserve">Caractéristiques des </w:t>
      </w:r>
      <w:r>
        <w:t>systèmes</w:t>
      </w:r>
      <w:r w:rsidRPr="00F342C0">
        <w:t xml:space="preserve"> de télémesure mobile aéronautique</w:t>
      </w:r>
    </w:p>
    <w:p w:rsidR="006D0E8B" w:rsidRPr="00F342C0" w:rsidRDefault="006D0E8B" w:rsidP="006D0E8B">
      <w:r w:rsidRPr="00F342C0">
        <w:t xml:space="preserve">Le Tableau suivant présente les caractéristiques des stations d'émission et de réception de télémesure mobile aéronautique à utiliser </w:t>
      </w:r>
      <w:r>
        <w:t>aux fins des</w:t>
      </w:r>
      <w:r w:rsidRPr="00F342C0">
        <w:t xml:space="preserve"> analyses de partage avec d'autres services aux mêmes fréquences. </w:t>
      </w:r>
    </w:p>
    <w:p w:rsidR="006D0E8B" w:rsidRPr="00F342C0" w:rsidRDefault="006D0E8B" w:rsidP="006D0E8B">
      <w:pPr>
        <w:pStyle w:val="TableNo"/>
      </w:pPr>
      <w:r w:rsidRPr="00F342C0">
        <w:t>TABLEAU 1</w:t>
      </w:r>
    </w:p>
    <w:p w:rsidR="006D0E8B" w:rsidRPr="00F342C0" w:rsidRDefault="006D0E8B" w:rsidP="006D0E8B">
      <w:pPr>
        <w:pStyle w:val="Tabletitle"/>
      </w:pPr>
      <w:r w:rsidRPr="00F342C0">
        <w:t xml:space="preserve">Caractéristiques des </w:t>
      </w:r>
      <w:r>
        <w:t>systèmes</w:t>
      </w:r>
      <w:r w:rsidRPr="00F342C0">
        <w:t xml:space="preserve"> de télémesure mobile aéronautique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098"/>
      </w:tblGrid>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tcPr>
          <w:p w:rsidR="006D0E8B" w:rsidRPr="00C64BE7" w:rsidRDefault="006D0E8B" w:rsidP="00B72008">
            <w:pPr>
              <w:pStyle w:val="Tablehead"/>
              <w:rPr>
                <w:sz w:val="20"/>
              </w:rPr>
            </w:pP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head"/>
              <w:rPr>
                <w:sz w:val="20"/>
              </w:rPr>
            </w:pPr>
            <w:r w:rsidRPr="00C64BE7">
              <w:rPr>
                <w:sz w:val="20"/>
              </w:rPr>
              <w:t>Système de télémesure mobile aéronautique</w:t>
            </w:r>
          </w:p>
        </w:tc>
      </w:tr>
      <w:tr w:rsidR="006D0E8B" w:rsidRPr="00C64BE7" w:rsidTr="00B72008">
        <w:trPr>
          <w:jc w:val="center"/>
        </w:trPr>
        <w:tc>
          <w:tcPr>
            <w:tcW w:w="9629" w:type="dxa"/>
            <w:gridSpan w:val="2"/>
            <w:tcBorders>
              <w:top w:val="single" w:sz="4" w:space="0" w:color="auto"/>
              <w:left w:val="single" w:sz="4" w:space="0" w:color="auto"/>
              <w:bottom w:val="single" w:sz="4" w:space="0" w:color="auto"/>
              <w:right w:val="single" w:sz="4" w:space="0" w:color="auto"/>
            </w:tcBorders>
            <w:vAlign w:val="center"/>
            <w:hideMark/>
          </w:tcPr>
          <w:p w:rsidR="006D0E8B" w:rsidRPr="00C64BE7" w:rsidRDefault="00877014" w:rsidP="00B72008">
            <w:pPr>
              <w:pStyle w:val="Tabletext"/>
              <w:rPr>
                <w:sz w:val="20"/>
              </w:rPr>
            </w:pPr>
            <w:r w:rsidRPr="00C64BE7">
              <w:rPr>
                <w:b/>
                <w:bCs/>
                <w:sz w:val="20"/>
              </w:rPr>
              <w:t>E</w:t>
            </w:r>
            <w:r w:rsidR="006D0E8B" w:rsidRPr="00C64BE7">
              <w:rPr>
                <w:b/>
                <w:bCs/>
                <w:sz w:val="20"/>
              </w:rPr>
              <w:t>metteur (à bord d'un aéronef)</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Gamme de fréquences (MHz)</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5 150-5 160</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Largeur de bande de canal (MHz)</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 xml:space="preserve">8 </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Modulation</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SC-SOQPSK ou COFDM-QPSK</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 xml:space="preserve">Puissance maximale d'émission (dBW) </w:t>
            </w:r>
            <w:r w:rsidRPr="00C64BE7">
              <w:rPr>
                <w:sz w:val="20"/>
                <w:vertAlign w:val="superscript"/>
              </w:rPr>
              <w:t>(1)</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 xml:space="preserve">20 </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Emplacement des antennes sur l'aéronef</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 xml:space="preserve">Une antenne au-dessous de l'aéronef et une autre au-dessus </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Gain de l'antenne d'émission (dBi)</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0</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Affaiblissement dans le câble (dB)</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 xml:space="preserve">2 </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Altitude de l'aéronef (m)</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0 – 15 000</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C64BE7">
            <w:pPr>
              <w:pStyle w:val="Tabletext"/>
              <w:rPr>
                <w:sz w:val="20"/>
              </w:rPr>
            </w:pPr>
            <w:r w:rsidRPr="00C64BE7">
              <w:rPr>
                <w:sz w:val="20"/>
              </w:rPr>
              <w:t>Déploiement des aéronefs</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Type: 3 aéronefs en vol fonctionnant simultanément mais pas aux mêmes fréquences (chaque aéronef utilise un canal différent)</w:t>
            </w:r>
          </w:p>
          <w:p w:rsidR="006D0E8B" w:rsidRPr="00C64BE7" w:rsidRDefault="006D0E8B" w:rsidP="00877014">
            <w:pPr>
              <w:pStyle w:val="Tabletext"/>
              <w:jc w:val="left"/>
              <w:rPr>
                <w:sz w:val="20"/>
              </w:rPr>
            </w:pPr>
            <w:r w:rsidRPr="00C64BE7">
              <w:rPr>
                <w:sz w:val="20"/>
              </w:rPr>
              <w:t>Maximal: 5 aéronefs en vol fonctionnant simultanément mais pas aux mêmes fréquences (chaque aéronef utilise un canal différent)</w:t>
            </w:r>
          </w:p>
        </w:tc>
      </w:tr>
      <w:tr w:rsidR="006D0E8B" w:rsidRPr="00C64BE7" w:rsidTr="00B72008">
        <w:trPr>
          <w:jc w:val="center"/>
        </w:trPr>
        <w:tc>
          <w:tcPr>
            <w:tcW w:w="9629" w:type="dxa"/>
            <w:gridSpan w:val="2"/>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b/>
                <w:sz w:val="20"/>
              </w:rPr>
            </w:pPr>
            <w:r w:rsidRPr="00C64BE7">
              <w:rPr>
                <w:b/>
                <w:sz w:val="20"/>
              </w:rPr>
              <w:t>Récepteur (au sol)</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Diagramme d'antenne</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 xml:space="preserve">Antenne parabolique orientable </w:t>
            </w:r>
          </w:p>
          <w:p w:rsidR="006D0E8B" w:rsidRPr="00C64BE7" w:rsidRDefault="006D0E8B" w:rsidP="00877014">
            <w:pPr>
              <w:pStyle w:val="Tabletext"/>
              <w:jc w:val="left"/>
              <w:rPr>
                <w:sz w:val="20"/>
              </w:rPr>
            </w:pPr>
            <w:r w:rsidRPr="00C64BE7">
              <w:rPr>
                <w:sz w:val="20"/>
              </w:rPr>
              <w:t>Recommandation UIT-R S.580</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Gain d'antenne du récepteur (dBi)</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40</w:t>
            </w:r>
            <w:bookmarkStart w:id="3" w:name="_GoBack"/>
            <w:bookmarkEnd w:id="3"/>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Facteur de bruit (dB)</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9</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Gamme de fréquences du récepteur (MHz)</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5 150-5 160 MHz</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Largeur de bande du récepteur (MHz)</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8</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Altitude du récepteur par rapport au niveau du sol (m)</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Entre 6 et 40</w:t>
            </w:r>
          </w:p>
        </w:tc>
      </w:tr>
      <w:tr w:rsidR="006D0E8B" w:rsidRPr="00C64BE7" w:rsidTr="00C64BE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B72008">
            <w:pPr>
              <w:pStyle w:val="Tabletext"/>
              <w:rPr>
                <w:sz w:val="20"/>
              </w:rPr>
            </w:pPr>
            <w:r w:rsidRPr="00C64BE7">
              <w:rPr>
                <w:sz w:val="20"/>
              </w:rPr>
              <w:t>Plage d'élévation de l'antenne du récepteur (degrés)</w:t>
            </w:r>
          </w:p>
        </w:tc>
        <w:tc>
          <w:tcPr>
            <w:tcW w:w="5098" w:type="dxa"/>
            <w:tcBorders>
              <w:top w:val="single" w:sz="4" w:space="0" w:color="auto"/>
              <w:left w:val="single" w:sz="4" w:space="0" w:color="auto"/>
              <w:bottom w:val="single" w:sz="4" w:space="0" w:color="auto"/>
              <w:right w:val="single" w:sz="4" w:space="0" w:color="auto"/>
            </w:tcBorders>
            <w:vAlign w:val="center"/>
            <w:hideMark/>
          </w:tcPr>
          <w:p w:rsidR="006D0E8B" w:rsidRPr="00C64BE7" w:rsidRDefault="006D0E8B" w:rsidP="00877014">
            <w:pPr>
              <w:pStyle w:val="Tabletext"/>
              <w:jc w:val="left"/>
              <w:rPr>
                <w:sz w:val="20"/>
              </w:rPr>
            </w:pPr>
            <w:r w:rsidRPr="00C64BE7">
              <w:rPr>
                <w:sz w:val="20"/>
              </w:rPr>
              <w:t>Entre −5 et 90 (pendant 99% du temps, l'élévation est comprise entre −2° et 5°)</w:t>
            </w:r>
          </w:p>
        </w:tc>
      </w:tr>
      <w:tr w:rsidR="006D0E8B" w:rsidRPr="00C64BE7" w:rsidTr="00B72008">
        <w:trPr>
          <w:jc w:val="center"/>
        </w:trPr>
        <w:tc>
          <w:tcPr>
            <w:tcW w:w="9629" w:type="dxa"/>
            <w:gridSpan w:val="2"/>
            <w:tcBorders>
              <w:top w:val="single" w:sz="4" w:space="0" w:color="auto"/>
              <w:left w:val="nil"/>
              <w:bottom w:val="nil"/>
              <w:right w:val="nil"/>
            </w:tcBorders>
            <w:hideMark/>
          </w:tcPr>
          <w:p w:rsidR="006D0E8B" w:rsidRPr="00C64BE7" w:rsidRDefault="006D0E8B" w:rsidP="00B72008">
            <w:pPr>
              <w:pStyle w:val="Tabletext"/>
              <w:ind w:left="284" w:hanging="284"/>
              <w:rPr>
                <w:sz w:val="20"/>
                <w:vertAlign w:val="superscript"/>
              </w:rPr>
            </w:pPr>
            <w:r w:rsidRPr="00C64BE7">
              <w:rPr>
                <w:sz w:val="20"/>
                <w:vertAlign w:val="superscript"/>
              </w:rPr>
              <w:t>(1)</w:t>
            </w:r>
            <w:r w:rsidRPr="00C64BE7">
              <w:rPr>
                <w:sz w:val="20"/>
              </w:rPr>
              <w:tab/>
              <w:t xml:space="preserve">La puissance effective est ajustée afin de respecter les limites de puissance surfacique définies dans l'Annexe 1 de la Résolution </w:t>
            </w:r>
            <w:r w:rsidRPr="00C64BE7">
              <w:rPr>
                <w:b/>
                <w:sz w:val="20"/>
              </w:rPr>
              <w:t>418 (Rév.CMR</w:t>
            </w:r>
            <w:r w:rsidRPr="00C64BE7">
              <w:rPr>
                <w:b/>
                <w:sz w:val="20"/>
              </w:rPr>
              <w:noBreakHyphen/>
              <w:t>15)</w:t>
            </w:r>
            <w:r w:rsidRPr="00C64BE7">
              <w:rPr>
                <w:sz w:val="20"/>
              </w:rPr>
              <w:t xml:space="preserve">. </w:t>
            </w:r>
          </w:p>
        </w:tc>
      </w:tr>
    </w:tbl>
    <w:p w:rsidR="006D0E8B" w:rsidRPr="00C64BE7" w:rsidRDefault="006D0E8B" w:rsidP="00857CA5">
      <w:pPr>
        <w:pStyle w:val="Tablefin"/>
        <w:rPr>
          <w:lang w:val="fr-FR"/>
        </w:rPr>
      </w:pPr>
    </w:p>
    <w:p w:rsidR="00857CA5" w:rsidRPr="00C64BE7" w:rsidRDefault="00857CA5" w:rsidP="00857CA5">
      <w:pPr>
        <w:pStyle w:val="Line"/>
        <w:rPr>
          <w:lang w:val="fr-FR"/>
        </w:rPr>
      </w:pPr>
    </w:p>
    <w:sectPr w:rsidR="00857CA5" w:rsidRPr="00C64BE7" w:rsidSect="00AF4045">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E8B" w:rsidRDefault="006D0E8B">
      <w:r>
        <w:separator/>
      </w:r>
    </w:p>
  </w:endnote>
  <w:endnote w:type="continuationSeparator" w:id="0">
    <w:p w:rsidR="006D0E8B" w:rsidRDefault="006D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E8B" w:rsidRDefault="006D0E8B">
      <w:r>
        <w:separator/>
      </w:r>
    </w:p>
  </w:footnote>
  <w:footnote w:type="continuationSeparator" w:id="0">
    <w:p w:rsidR="006D0E8B" w:rsidRDefault="006D0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E8B" w:rsidRDefault="006D0E8B">
    <w:pPr>
      <w:pStyle w:val="Header"/>
      <w:ind w:right="360" w:firstLine="360"/>
    </w:pPr>
  </w:p>
  <w:p w:rsidR="006D0E8B" w:rsidRDefault="006D0E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E8B" w:rsidRDefault="006D0E8B" w:rsidP="00C668C8">
    <w:pPr>
      <w:pStyle w:val="Header"/>
      <w:ind w:right="360" w:firstLine="360"/>
    </w:pPr>
    <w:r>
      <w:rPr>
        <w:noProof/>
        <w:lang w:val="en-US" w:eastAsia="zh-CN"/>
      </w:rPr>
      <w:drawing>
        <wp:anchor distT="0" distB="0" distL="114300" distR="114300" simplePos="0" relativeHeight="251659264" behindDoc="1" locked="0" layoutInCell="1" allowOverlap="1" wp14:anchorId="1C7BA4D7" wp14:editId="4E6F953C">
          <wp:simplePos x="0" y="0"/>
          <wp:positionH relativeFrom="page">
            <wp:posOffset>635</wp:posOffset>
          </wp:positionH>
          <wp:positionV relativeFrom="page">
            <wp:posOffset>-53621</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p w:rsidR="006D0E8B" w:rsidRDefault="006D0E8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E8B" w:rsidRPr="00837CB5" w:rsidRDefault="006D0E8B"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10C28">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B10C28">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10C28">
      <w:rPr>
        <w:b/>
        <w:bCs/>
        <w:noProof/>
      </w:rPr>
      <w:t>UIT-R  M.2122-0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E8B" w:rsidRDefault="006D0E8B" w:rsidP="00A163D3">
    <w:pPr>
      <w:pStyle w:val="Header"/>
    </w:pPr>
    <w:r>
      <w:tab/>
    </w:r>
    <w:r>
      <w:rPr>
        <w:b/>
        <w:bCs/>
      </w:rPr>
      <w:fldChar w:fldCharType="begin"/>
    </w:r>
    <w:r>
      <w:rPr>
        <w:b/>
        <w:bCs/>
      </w:rPr>
      <w:instrText xml:space="preserve"> DOCPROPERTY "Header" \* MERGEFORMAT </w:instrText>
    </w:r>
    <w:r>
      <w:rPr>
        <w:b/>
        <w:bCs/>
      </w:rPr>
      <w:fldChar w:fldCharType="separate"/>
    </w:r>
    <w:r w:rsidR="00B10C2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10C28">
      <w:rPr>
        <w:b/>
        <w:bCs/>
        <w:noProof/>
      </w:rPr>
      <w:t>UIT-R  M.2122-0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0C2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10C28" w:rsidRPr="00B10C2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0C28">
      <w:rPr>
        <w:b/>
        <w:bCs/>
        <w:noProof/>
      </w:rPr>
      <w:t>UIT-R  M.2122-0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B10C28">
      <w:fldChar w:fldCharType="begin"/>
    </w:r>
    <w:r w:rsidR="00B10C28">
      <w:instrText xml:space="preserve"> DOCPROPERTY "Header" \* MERGEFORMAT </w:instrText>
    </w:r>
    <w:r w:rsidR="00B10C28">
      <w:fldChar w:fldCharType="separate"/>
    </w:r>
    <w:r w:rsidR="00B10C28" w:rsidRPr="00B10C28">
      <w:rPr>
        <w:b/>
        <w:bCs/>
      </w:rPr>
      <w:t xml:space="preserve">Rec. </w:t>
    </w:r>
    <w:r w:rsidR="00B10C28">
      <w:rPr>
        <w:b/>
        <w:bCs/>
      </w:rPr>
      <w:fldChar w:fldCharType="end"/>
    </w:r>
    <w:r>
      <w:rPr>
        <w:b/>
        <w:bCs/>
      </w:rPr>
      <w:t xml:space="preserve"> </w:t>
    </w:r>
    <w:r>
      <w:rPr>
        <w:b/>
        <w:bCs/>
      </w:rPr>
      <w:fldChar w:fldCharType="begin"/>
    </w:r>
    <w:r>
      <w:rPr>
        <w:b/>
        <w:bCs/>
      </w:rPr>
      <w:instrText>styleref href</w:instrText>
    </w:r>
    <w:r>
      <w:rPr>
        <w:b/>
        <w:bCs/>
      </w:rPr>
      <w:fldChar w:fldCharType="separate"/>
    </w:r>
    <w:r w:rsidR="00B10C28">
      <w:rPr>
        <w:b/>
        <w:bCs/>
        <w:noProof/>
      </w:rPr>
      <w:t>UIT-R  M.2122-0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0C2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8B"/>
    <w:rsid w:val="00211BBA"/>
    <w:rsid w:val="00217EBF"/>
    <w:rsid w:val="00242AEE"/>
    <w:rsid w:val="002D76C4"/>
    <w:rsid w:val="0052529D"/>
    <w:rsid w:val="00543B7A"/>
    <w:rsid w:val="00607D68"/>
    <w:rsid w:val="006202F2"/>
    <w:rsid w:val="006D0E8B"/>
    <w:rsid w:val="007468DA"/>
    <w:rsid w:val="00857CA5"/>
    <w:rsid w:val="00877014"/>
    <w:rsid w:val="009E00A8"/>
    <w:rsid w:val="00A6617B"/>
    <w:rsid w:val="00AB0DC8"/>
    <w:rsid w:val="00AF4045"/>
    <w:rsid w:val="00B10C28"/>
    <w:rsid w:val="00B44E24"/>
    <w:rsid w:val="00C64BE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3CE7E7-3FBA-4B36-B9E0-E3B9E614B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E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D0E8B"/>
    <w:rPr>
      <w:b/>
      <w:sz w:val="24"/>
      <w:lang w:val="fr-FR" w:eastAsia="en-US"/>
    </w:rPr>
  </w:style>
  <w:style w:type="character" w:customStyle="1" w:styleId="HeaderChar">
    <w:name w:val="Header Char"/>
    <w:basedOn w:val="DefaultParagraphFont"/>
    <w:link w:val="Header"/>
    <w:rsid w:val="006D0E8B"/>
    <w:rPr>
      <w:sz w:val="24"/>
      <w:lang w:val="fr-FR" w:eastAsia="en-US"/>
    </w:rPr>
  </w:style>
  <w:style w:type="character" w:styleId="Hyperlink">
    <w:name w:val="Hyperlink"/>
    <w:basedOn w:val="DefaultParagraphFont"/>
    <w:rsid w:val="006D0E8B"/>
    <w:rPr>
      <w:color w:val="0000FF"/>
      <w:u w:val="single"/>
    </w:rPr>
  </w:style>
  <w:style w:type="paragraph" w:customStyle="1" w:styleId="headfoot">
    <w:name w:val="head_foot"/>
    <w:basedOn w:val="Normal"/>
    <w:next w:val="Normal"/>
    <w:rsid w:val="006D0E8B"/>
    <w:pPr>
      <w:tabs>
        <w:tab w:val="clear" w:pos="794"/>
        <w:tab w:val="clear" w:pos="1191"/>
        <w:tab w:val="clear" w:pos="1588"/>
        <w:tab w:val="clear" w:pos="1985"/>
      </w:tabs>
      <w:spacing w:before="0"/>
      <w:jc w:val="left"/>
    </w:pPr>
    <w:rPr>
      <w:b/>
      <w:color w:val="FFFFFF"/>
      <w:sz w:val="8"/>
    </w:rPr>
  </w:style>
  <w:style w:type="paragraph" w:customStyle="1" w:styleId="Reasons">
    <w:name w:val="Reasons"/>
    <w:basedOn w:val="Normal"/>
    <w:qFormat/>
    <w:rsid w:val="006D0E8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164</TotalTime>
  <Pages>5</Pages>
  <Words>1531</Words>
  <Characters>9265</Characters>
  <Application>Microsoft Office Word</Application>
  <DocSecurity>0</DocSecurity>
  <Lines>215</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Limousin, Catherine</dc:creator>
  <cp:keywords/>
  <dc:description/>
  <cp:lastModifiedBy>Limousin, Catherine</cp:lastModifiedBy>
  <cp:revision>9</cp:revision>
  <cp:lastPrinted>2019-04-01T12:49:00Z</cp:lastPrinted>
  <dcterms:created xsi:type="dcterms:W3CDTF">2019-04-01T09:54:00Z</dcterms:created>
  <dcterms:modified xsi:type="dcterms:W3CDTF">2019-04-01T12:54:00Z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