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8009A" w14:textId="77777777" w:rsidR="00FE79FE" w:rsidRDefault="00FE79FE"/>
    <w:p w14:paraId="499BDD00" w14:textId="77777777" w:rsidR="00013002" w:rsidRDefault="00013002" w:rsidP="00DE5556">
      <w:pPr>
        <w:tabs>
          <w:tab w:val="clear" w:pos="794"/>
          <w:tab w:val="clear" w:pos="1191"/>
          <w:tab w:val="clear" w:pos="1588"/>
          <w:tab w:val="clear" w:pos="1985"/>
        </w:tabs>
      </w:pPr>
    </w:p>
    <w:p w14:paraId="7B7A26A8" w14:textId="422BF15F" w:rsidR="00D5024B" w:rsidRPr="00710A2A" w:rsidRDefault="00D5024B" w:rsidP="00D5024B">
      <w:pPr>
        <w:pStyle w:val="CoverNumber"/>
        <w:rPr>
          <w:lang w:val="fr-FR"/>
        </w:rPr>
      </w:pPr>
      <w:r w:rsidRPr="00710A2A">
        <w:rPr>
          <w:lang w:val="fr-FR"/>
        </w:rPr>
        <w:t>Recomm</w:t>
      </w:r>
      <w:r w:rsidR="00A25EE2" w:rsidRPr="00710A2A">
        <w:rPr>
          <w:lang w:val="fr-FR"/>
        </w:rPr>
        <w:t>a</w:t>
      </w:r>
      <w:r w:rsidRPr="00710A2A">
        <w:rPr>
          <w:lang w:val="fr-FR"/>
        </w:rPr>
        <w:t xml:space="preserve">ndation </w:t>
      </w:r>
      <w:r w:rsidR="007624B1" w:rsidRPr="00710A2A">
        <w:rPr>
          <w:lang w:val="fr-FR"/>
        </w:rPr>
        <w:t>U</w:t>
      </w:r>
      <w:r w:rsidRPr="00710A2A">
        <w:rPr>
          <w:lang w:val="fr-FR"/>
        </w:rPr>
        <w:t xml:space="preserve">IT-R </w:t>
      </w:r>
      <w:r w:rsidR="008F042B" w:rsidRPr="005E00F0">
        <w:rPr>
          <w:lang w:val="fr-FR"/>
        </w:rPr>
        <w:t>M.2121-1</w:t>
      </w:r>
    </w:p>
    <w:p w14:paraId="1829FD2F" w14:textId="2DA8CD1A" w:rsidR="00D5024B" w:rsidRPr="004F3F6F" w:rsidRDefault="00D5024B" w:rsidP="00D5024B">
      <w:pPr>
        <w:pStyle w:val="CoverDate"/>
        <w:rPr>
          <w:lang w:val="fr-FR"/>
        </w:rPr>
      </w:pPr>
      <w:r w:rsidRPr="004F3F6F">
        <w:rPr>
          <w:lang w:val="fr-FR"/>
        </w:rPr>
        <w:t>(</w:t>
      </w:r>
      <w:r w:rsidR="008F042B" w:rsidRPr="005E00F0">
        <w:rPr>
          <w:lang w:val="fr-FR"/>
        </w:rPr>
        <w:t>12/2023</w:t>
      </w:r>
      <w:r w:rsidRPr="004F3F6F">
        <w:rPr>
          <w:lang w:val="fr-FR"/>
        </w:rPr>
        <w:t>)</w:t>
      </w:r>
    </w:p>
    <w:p w14:paraId="1DE2BB2F" w14:textId="77777777" w:rsidR="00D5024B" w:rsidRPr="00BC3C85" w:rsidRDefault="00A25EE2" w:rsidP="00BC3C85">
      <w:pPr>
        <w:pStyle w:val="CoverSeries"/>
      </w:pPr>
      <w:r w:rsidRPr="00BC3C85">
        <w:t xml:space="preserve">Série </w:t>
      </w:r>
      <w:r w:rsidR="00BC3C85" w:rsidRPr="00BC3C85">
        <w:t>M</w:t>
      </w:r>
      <w:r w:rsidR="00D5024B" w:rsidRPr="00BC3C85">
        <w:t xml:space="preserve">: </w:t>
      </w:r>
      <w:r w:rsidR="00BC3C85" w:rsidRPr="00BC3C85">
        <w:t>Services mobile, de radiorepérage et d’amateur y compris les services par satellite associés</w:t>
      </w:r>
    </w:p>
    <w:p w14:paraId="1E33BC03" w14:textId="7294F17B" w:rsidR="00D5024B" w:rsidRPr="004F3F6F" w:rsidRDefault="008F042B" w:rsidP="00D5024B">
      <w:pPr>
        <w:pStyle w:val="CoverTitle"/>
        <w:rPr>
          <w:lang w:val="fr-FR"/>
        </w:rPr>
      </w:pPr>
      <w:r w:rsidRPr="008F042B">
        <w:rPr>
          <w:lang w:val="fr-FR"/>
        </w:rPr>
        <w:t>Harmonisation des bandes de fréquences pour les systèmes de transport intelligents dans le service mobile</w:t>
      </w:r>
    </w:p>
    <w:p w14:paraId="41C092EF" w14:textId="77777777" w:rsidR="00FE79FE" w:rsidRPr="004F3F6F" w:rsidRDefault="00FE79FE" w:rsidP="005373E0"/>
    <w:p w14:paraId="13D1BE7B" w14:textId="77777777" w:rsidR="00A71FE5" w:rsidRPr="005373E0" w:rsidRDefault="00A71FE5" w:rsidP="005373E0"/>
    <w:p w14:paraId="70853E7C"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2BB1807" w14:textId="77777777" w:rsidR="00A25EE2" w:rsidRPr="00F54FBD" w:rsidRDefault="00A25EE2" w:rsidP="00A25E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14:paraId="1E959D7C" w14:textId="77777777" w:rsidR="00A25EE2" w:rsidRPr="00F54FBD" w:rsidRDefault="00A25EE2" w:rsidP="00A25EE2">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6CC768D3" w14:textId="77777777" w:rsidR="00A25EE2" w:rsidRPr="00F54FBD" w:rsidRDefault="00A25EE2" w:rsidP="00A25EE2">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14:paraId="390D4B22" w14:textId="77777777" w:rsidR="00A25EE2" w:rsidRPr="00E44CBB" w:rsidRDefault="00A25EE2" w:rsidP="00A25EE2">
      <w:pPr>
        <w:pStyle w:val="Heading1"/>
        <w:spacing w:before="360"/>
        <w:jc w:val="center"/>
        <w:rPr>
          <w:szCs w:val="24"/>
        </w:rPr>
      </w:pPr>
      <w:r w:rsidRPr="003F6436">
        <w:rPr>
          <w:szCs w:val="24"/>
        </w:rPr>
        <w:t>Politique en matière de droits de propriété intellectuelle</w:t>
      </w:r>
      <w:r w:rsidRPr="00E44CBB">
        <w:rPr>
          <w:szCs w:val="24"/>
        </w:rPr>
        <w:t xml:space="preserve"> (IPR)</w:t>
      </w:r>
    </w:p>
    <w:p w14:paraId="4E082128" w14:textId="77777777" w:rsidR="00A25EE2" w:rsidRPr="00E44CBB" w:rsidRDefault="00A25EE2" w:rsidP="00A25EE2">
      <w:pPr>
        <w:spacing w:before="240"/>
        <w:rPr>
          <w:sz w:val="20"/>
          <w:lang w:val="fr-CH"/>
        </w:rPr>
      </w:pPr>
      <w:r w:rsidRPr="00E44CBB">
        <w:rPr>
          <w:sz w:val="20"/>
        </w:rPr>
        <w:t>La politique de l'UIT</w:t>
      </w:r>
      <w:r w:rsidRPr="00E44CBB">
        <w:rPr>
          <w:sz w:val="20"/>
        </w:rPr>
        <w:noBreakHyphen/>
        <w:t>R en matière de droits de propriété intellectuelle est décrite dans la</w:t>
      </w:r>
      <w:proofErr w:type="gramStart"/>
      <w:r w:rsidRPr="00E44CBB">
        <w:rPr>
          <w:sz w:val="20"/>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E44CBB">
        <w:rPr>
          <w:sz w:val="20"/>
        </w:rPr>
        <w:t xml:space="preserve">Les formulaires que les titulaires de brevets doivent utiliser pour soumettre les déclarations de brevet et d'octroi de licence sont accessibles à l'adresse </w:t>
      </w:r>
      <w:hyperlink r:id="rId11" w:history="1">
        <w:r w:rsidRPr="00E44CBB">
          <w:rPr>
            <w:rStyle w:val="Hyperlink"/>
            <w:sz w:val="20"/>
          </w:rPr>
          <w:t>http://www.itu.int/ITU-R/go/patents/fr</w:t>
        </w:r>
      </w:hyperlink>
      <w:r w:rsidRPr="00E44CBB">
        <w:rPr>
          <w:sz w:val="20"/>
        </w:rPr>
        <w:t>, où l'on trouvera également les Lignes directrices pour la mise en oeuvre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14:paraId="28ECD226" w14:textId="77777777" w:rsidR="00A25EE2" w:rsidRPr="0086089D" w:rsidRDefault="00A25EE2" w:rsidP="00A25EE2">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A25EE2" w:rsidRPr="009454F8" w14:paraId="6CFB25BC" w14:textId="77777777" w:rsidTr="00A25EE2">
        <w:tc>
          <w:tcPr>
            <w:tcW w:w="9360" w:type="dxa"/>
            <w:gridSpan w:val="2"/>
          </w:tcPr>
          <w:p w14:paraId="2046D4BF" w14:textId="77777777" w:rsidR="00A25EE2" w:rsidRPr="009454F8" w:rsidRDefault="00A25EE2" w:rsidP="000B4BD9">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Séries des Recommandations UIT-R</w:t>
            </w:r>
            <w:r>
              <w:rPr>
                <w:sz w:val="22"/>
                <w:szCs w:val="22"/>
              </w:rPr>
              <w:t xml:space="preserve"> </w:t>
            </w:r>
          </w:p>
          <w:p w14:paraId="585C6E2A" w14:textId="77777777" w:rsidR="00A25EE2" w:rsidRPr="009454F8"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r w:rsidRPr="009454F8">
              <w:rPr>
                <w:b w:val="0"/>
                <w:sz w:val="18"/>
                <w:szCs w:val="18"/>
              </w:rPr>
              <w:t xml:space="preserve">Egalement disponible en </w:t>
            </w:r>
            <w:proofErr w:type="gramStart"/>
            <w:r w:rsidRPr="009454F8">
              <w:rPr>
                <w:b w:val="0"/>
                <w:sz w:val="18"/>
                <w:szCs w:val="18"/>
              </w:rPr>
              <w:t>ligne:</w:t>
            </w:r>
            <w:proofErr w:type="gramEnd"/>
            <w:r w:rsidRPr="009454F8">
              <w:rPr>
                <w:b w:val="0"/>
                <w:sz w:val="18"/>
                <w:szCs w:val="18"/>
              </w:rPr>
              <w:t xml:space="preserve"> </w:t>
            </w:r>
            <w:hyperlink r:id="rId12" w:history="1">
              <w:r>
                <w:rPr>
                  <w:rStyle w:val="Hyperlink"/>
                  <w:b w:val="0"/>
                  <w:bCs/>
                  <w:sz w:val="18"/>
                  <w:szCs w:val="18"/>
                </w:rPr>
                <w:t>https://www.itu.int/publ/R-REC/fr</w:t>
              </w:r>
            </w:hyperlink>
            <w:r w:rsidRPr="00BC0651">
              <w:rPr>
                <w:b w:val="0"/>
                <w:bCs/>
                <w:sz w:val="18"/>
                <w:szCs w:val="18"/>
              </w:rPr>
              <w:t>)</w:t>
            </w:r>
          </w:p>
        </w:tc>
      </w:tr>
      <w:tr w:rsidR="00A25EE2" w:rsidRPr="00036EE3" w14:paraId="7A2FC7F4" w14:textId="77777777" w:rsidTr="00A25EE2">
        <w:tc>
          <w:tcPr>
            <w:tcW w:w="1140" w:type="dxa"/>
            <w:tcBorders>
              <w:bottom w:val="nil"/>
            </w:tcBorders>
          </w:tcPr>
          <w:p w14:paraId="79E38D63" w14:textId="77777777" w:rsidR="00A25EE2" w:rsidRPr="00614CC6" w:rsidRDefault="00A25EE2" w:rsidP="000B4BD9">
            <w:pPr>
              <w:spacing w:before="90" w:after="100"/>
              <w:ind w:left="57"/>
              <w:rPr>
                <w:b/>
                <w:bCs/>
                <w:sz w:val="20"/>
                <w:lang w:val="en-US"/>
              </w:rPr>
            </w:pPr>
            <w:r w:rsidRPr="00614CC6">
              <w:rPr>
                <w:b/>
                <w:bCs/>
                <w:sz w:val="20"/>
                <w:lang w:val="en-US"/>
              </w:rPr>
              <w:t>Séries</w:t>
            </w:r>
          </w:p>
        </w:tc>
        <w:tc>
          <w:tcPr>
            <w:tcW w:w="8220" w:type="dxa"/>
            <w:tcBorders>
              <w:bottom w:val="nil"/>
            </w:tcBorders>
          </w:tcPr>
          <w:p w14:paraId="29B404FB" w14:textId="77777777" w:rsidR="00A25EE2" w:rsidRPr="00614CC6"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r w:rsidRPr="00614CC6">
              <w:rPr>
                <w:bCs/>
                <w:sz w:val="20"/>
                <w:lang w:val="en-US"/>
              </w:rPr>
              <w:t>Titre</w:t>
            </w:r>
          </w:p>
        </w:tc>
      </w:tr>
      <w:tr w:rsidR="00A25EE2" w:rsidRPr="005E427C" w14:paraId="1F2EA391" w14:textId="77777777" w:rsidTr="00A25EE2">
        <w:tc>
          <w:tcPr>
            <w:tcW w:w="1140" w:type="dxa"/>
            <w:tcBorders>
              <w:top w:val="nil"/>
              <w:bottom w:val="nil"/>
            </w:tcBorders>
            <w:shd w:val="clear" w:color="auto" w:fill="auto"/>
          </w:tcPr>
          <w:p w14:paraId="1616D361" w14:textId="77777777" w:rsidR="00A25EE2" w:rsidRPr="008E50E5" w:rsidRDefault="00A25EE2" w:rsidP="000B4BD9">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04B7EDE9"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A25EE2" w:rsidRPr="009454F8" w14:paraId="76E64248" w14:textId="77777777" w:rsidTr="00A25EE2">
        <w:tc>
          <w:tcPr>
            <w:tcW w:w="1140" w:type="dxa"/>
            <w:tcBorders>
              <w:top w:val="nil"/>
              <w:bottom w:val="nil"/>
            </w:tcBorders>
          </w:tcPr>
          <w:p w14:paraId="5B45B3B0" w14:textId="77777777" w:rsidR="00A25EE2" w:rsidRPr="00A66700" w:rsidRDefault="00A25EE2" w:rsidP="000B4BD9">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1C0B41C1"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Enregistrement pour la production, l'archivage et la </w:t>
            </w:r>
            <w:proofErr w:type="gramStart"/>
            <w:r w:rsidRPr="00A66700">
              <w:rPr>
                <w:b w:val="0"/>
                <w:sz w:val="20"/>
              </w:rPr>
              <w:t>diffusion;</w:t>
            </w:r>
            <w:proofErr w:type="gramEnd"/>
            <w:r w:rsidRPr="00A66700">
              <w:rPr>
                <w:b w:val="0"/>
                <w:sz w:val="20"/>
              </w:rPr>
              <w:t xml:space="preserve"> films pour la télévision</w:t>
            </w:r>
          </w:p>
        </w:tc>
      </w:tr>
      <w:tr w:rsidR="00A25EE2" w:rsidRPr="00E80F1D" w14:paraId="0724F1C8" w14:textId="77777777" w:rsidTr="003B409A">
        <w:tc>
          <w:tcPr>
            <w:tcW w:w="1140" w:type="dxa"/>
            <w:tcBorders>
              <w:top w:val="nil"/>
              <w:bottom w:val="nil"/>
            </w:tcBorders>
            <w:shd w:val="clear" w:color="auto" w:fill="auto"/>
          </w:tcPr>
          <w:p w14:paraId="7A89B4B2" w14:textId="77777777" w:rsidR="00A25EE2" w:rsidRPr="003B409A" w:rsidRDefault="00A25EE2" w:rsidP="000B4BD9">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0FE60A47" w14:textId="77777777" w:rsidR="00A25EE2" w:rsidRPr="003B409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Service de radiodiffusion sonore</w:t>
            </w:r>
          </w:p>
        </w:tc>
      </w:tr>
      <w:tr w:rsidR="00A25EE2" w:rsidRPr="00ED2695" w14:paraId="42B3ADAC" w14:textId="77777777" w:rsidTr="00A25EE2">
        <w:tc>
          <w:tcPr>
            <w:tcW w:w="1140" w:type="dxa"/>
            <w:tcBorders>
              <w:top w:val="nil"/>
              <w:bottom w:val="nil"/>
            </w:tcBorders>
            <w:shd w:val="clear" w:color="auto" w:fill="auto"/>
          </w:tcPr>
          <w:p w14:paraId="2F5C2AAC" w14:textId="77777777" w:rsidR="00A25EE2" w:rsidRPr="00614CC6" w:rsidRDefault="00A25EE2" w:rsidP="000B4BD9">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7DDDD7FB"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de radiodiffusion télévisuelle</w:t>
            </w:r>
          </w:p>
        </w:tc>
      </w:tr>
      <w:tr w:rsidR="00A25EE2" w:rsidRPr="00DE5EA2" w14:paraId="51B5608A" w14:textId="77777777" w:rsidTr="00BC3C85">
        <w:tc>
          <w:tcPr>
            <w:tcW w:w="1140" w:type="dxa"/>
            <w:tcBorders>
              <w:top w:val="nil"/>
              <w:bottom w:val="nil"/>
            </w:tcBorders>
            <w:shd w:val="clear" w:color="auto" w:fill="FFFFFF" w:themeFill="background1"/>
          </w:tcPr>
          <w:p w14:paraId="021A7222" w14:textId="77777777" w:rsidR="00A25EE2" w:rsidRPr="00BC3C85" w:rsidRDefault="00A25EE2" w:rsidP="000B4BD9">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4B99433D" w14:textId="77777777" w:rsidR="00A25EE2" w:rsidRPr="00BC3C85"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A25EE2" w:rsidRPr="00B21066" w14:paraId="62792042" w14:textId="77777777" w:rsidTr="00BC3C85">
        <w:tc>
          <w:tcPr>
            <w:tcW w:w="1140" w:type="dxa"/>
            <w:tcBorders>
              <w:top w:val="nil"/>
              <w:bottom w:val="nil"/>
            </w:tcBorders>
            <w:shd w:val="clear" w:color="auto" w:fill="F3F3F3"/>
          </w:tcPr>
          <w:p w14:paraId="364575C2" w14:textId="77777777" w:rsidR="00A25EE2" w:rsidRPr="00BC3C85" w:rsidRDefault="00A25EE2" w:rsidP="000B4BD9">
            <w:pPr>
              <w:spacing w:before="30" w:after="30"/>
              <w:ind w:left="57"/>
              <w:jc w:val="left"/>
              <w:rPr>
                <w:b/>
                <w:bCs/>
                <w:color w:val="000080"/>
                <w:sz w:val="20"/>
                <w:lang w:val="en-US"/>
              </w:rPr>
            </w:pPr>
            <w:r w:rsidRPr="00BC3C85">
              <w:rPr>
                <w:b/>
                <w:bCs/>
                <w:color w:val="000080"/>
                <w:sz w:val="20"/>
                <w:lang w:val="en-US"/>
              </w:rPr>
              <w:t>M</w:t>
            </w:r>
          </w:p>
        </w:tc>
        <w:tc>
          <w:tcPr>
            <w:tcW w:w="8220" w:type="dxa"/>
            <w:tcBorders>
              <w:top w:val="nil"/>
              <w:bottom w:val="nil"/>
            </w:tcBorders>
            <w:shd w:val="clear" w:color="auto" w:fill="F3F3F3"/>
          </w:tcPr>
          <w:p w14:paraId="21C37556" w14:textId="77777777" w:rsidR="00A25EE2" w:rsidRPr="00BC3C85"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rPr>
            </w:pPr>
            <w:proofErr w:type="gramStart"/>
            <w:r w:rsidRPr="00BC3C85">
              <w:rPr>
                <w:rFonts w:ascii="Times New Roman Bold" w:hAnsi="Times New Roman Bold"/>
                <w:color w:val="000080"/>
                <w:sz w:val="20"/>
              </w:rPr>
              <w:t>Services mobile</w:t>
            </w:r>
            <w:proofErr w:type="gramEnd"/>
            <w:r w:rsidRPr="00BC3C85">
              <w:rPr>
                <w:rFonts w:ascii="Times New Roman Bold" w:hAnsi="Times New Roman Bold"/>
                <w:color w:val="000080"/>
                <w:sz w:val="20"/>
              </w:rPr>
              <w:t>, de radiorepérage et d'amateur y compris les services par satellite associés</w:t>
            </w:r>
          </w:p>
        </w:tc>
      </w:tr>
      <w:tr w:rsidR="00A25EE2" w:rsidRPr="00EC361D" w14:paraId="01B62950" w14:textId="77777777" w:rsidTr="00A25EE2">
        <w:tc>
          <w:tcPr>
            <w:tcW w:w="1140" w:type="dxa"/>
            <w:tcBorders>
              <w:top w:val="nil"/>
              <w:bottom w:val="nil"/>
            </w:tcBorders>
            <w:shd w:val="clear" w:color="auto" w:fill="auto"/>
          </w:tcPr>
          <w:p w14:paraId="5BD770C5" w14:textId="77777777" w:rsidR="00A25EE2" w:rsidRPr="00EC361D" w:rsidRDefault="00A25EE2" w:rsidP="000B4BD9">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730E2BE0"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Propagation des ondes radioélectriques</w:t>
            </w:r>
          </w:p>
        </w:tc>
      </w:tr>
      <w:tr w:rsidR="00A25EE2" w:rsidRPr="004822EF" w14:paraId="4B4E559B" w14:textId="77777777" w:rsidTr="00A25EE2">
        <w:tc>
          <w:tcPr>
            <w:tcW w:w="1140" w:type="dxa"/>
            <w:tcBorders>
              <w:top w:val="nil"/>
              <w:bottom w:val="nil"/>
            </w:tcBorders>
            <w:shd w:val="clear" w:color="auto" w:fill="auto"/>
          </w:tcPr>
          <w:p w14:paraId="445B9C22" w14:textId="77777777" w:rsidR="00A25EE2" w:rsidRPr="004822EF" w:rsidRDefault="00A25EE2" w:rsidP="000B4BD9">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0981956E"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Radio astronomie</w:t>
            </w:r>
          </w:p>
        </w:tc>
      </w:tr>
      <w:tr w:rsidR="00A25EE2" w:rsidRPr="00326525" w14:paraId="6D6DEBC7" w14:textId="77777777" w:rsidTr="00A25EE2">
        <w:tc>
          <w:tcPr>
            <w:tcW w:w="1140" w:type="dxa"/>
            <w:tcBorders>
              <w:top w:val="nil"/>
              <w:bottom w:val="nil"/>
            </w:tcBorders>
            <w:shd w:val="clear" w:color="auto" w:fill="auto"/>
          </w:tcPr>
          <w:p w14:paraId="17370170" w14:textId="77777777" w:rsidR="00A25EE2" w:rsidRPr="00326525" w:rsidRDefault="00A25EE2" w:rsidP="000B4BD9">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343EEF45"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Systèmes de télédétection</w:t>
            </w:r>
          </w:p>
        </w:tc>
      </w:tr>
      <w:tr w:rsidR="00A25EE2" w:rsidRPr="00C40D3E" w14:paraId="5E9BADD7" w14:textId="77777777" w:rsidTr="00A25EE2">
        <w:tc>
          <w:tcPr>
            <w:tcW w:w="1140" w:type="dxa"/>
            <w:tcBorders>
              <w:top w:val="nil"/>
              <w:bottom w:val="nil"/>
            </w:tcBorders>
            <w:shd w:val="clear" w:color="auto" w:fill="auto"/>
          </w:tcPr>
          <w:p w14:paraId="2CFB1699" w14:textId="77777777" w:rsidR="00A25EE2" w:rsidRPr="00C40D3E" w:rsidRDefault="00A25EE2" w:rsidP="000B4BD9">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379EB53D"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A25EE2" w:rsidRPr="00C40D3E" w14:paraId="562C382A" w14:textId="77777777" w:rsidTr="00CE7896">
        <w:tc>
          <w:tcPr>
            <w:tcW w:w="1140" w:type="dxa"/>
            <w:tcBorders>
              <w:top w:val="nil"/>
              <w:bottom w:val="nil"/>
            </w:tcBorders>
            <w:shd w:val="clear" w:color="auto" w:fill="FFFFFF" w:themeFill="background1"/>
          </w:tcPr>
          <w:p w14:paraId="1568F24A" w14:textId="77777777" w:rsidR="00A25EE2" w:rsidRPr="004F3F6F" w:rsidRDefault="00A25EE2" w:rsidP="000B4BD9">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7623CAE9"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Applications spatiales et météorologie</w:t>
            </w:r>
          </w:p>
        </w:tc>
      </w:tr>
      <w:tr w:rsidR="00A25EE2" w:rsidRPr="00614CC6" w14:paraId="03EF35EB" w14:textId="77777777" w:rsidTr="00A25EE2">
        <w:tc>
          <w:tcPr>
            <w:tcW w:w="1140" w:type="dxa"/>
            <w:tcBorders>
              <w:top w:val="nil"/>
            </w:tcBorders>
          </w:tcPr>
          <w:p w14:paraId="79739645" w14:textId="77777777" w:rsidR="00A25EE2" w:rsidRPr="00614CC6" w:rsidRDefault="00A25EE2" w:rsidP="000B4BD9">
            <w:pPr>
              <w:spacing w:before="30" w:after="30"/>
              <w:ind w:left="57"/>
              <w:jc w:val="left"/>
              <w:rPr>
                <w:b/>
                <w:bCs/>
                <w:sz w:val="20"/>
                <w:lang w:val="en-US"/>
              </w:rPr>
            </w:pPr>
            <w:r w:rsidRPr="00614CC6">
              <w:rPr>
                <w:b/>
                <w:bCs/>
                <w:sz w:val="20"/>
                <w:lang w:val="en-US"/>
              </w:rPr>
              <w:t>SF</w:t>
            </w:r>
          </w:p>
        </w:tc>
        <w:tc>
          <w:tcPr>
            <w:tcW w:w="8220" w:type="dxa"/>
            <w:tcBorders>
              <w:top w:val="nil"/>
            </w:tcBorders>
          </w:tcPr>
          <w:p w14:paraId="6258CE4C"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Partage des fréquences et coordination entre les systèmes du service fixe par satellite et du service fixe</w:t>
            </w:r>
          </w:p>
        </w:tc>
      </w:tr>
      <w:tr w:rsidR="00A25EE2" w:rsidRPr="00036EE3" w14:paraId="09F3921F" w14:textId="77777777" w:rsidTr="00A25EE2">
        <w:tc>
          <w:tcPr>
            <w:tcW w:w="1140" w:type="dxa"/>
            <w:shd w:val="clear" w:color="auto" w:fill="auto"/>
          </w:tcPr>
          <w:p w14:paraId="0AF438F6" w14:textId="77777777" w:rsidR="00A25EE2" w:rsidRPr="00592F9F" w:rsidRDefault="00A25EE2" w:rsidP="000B4BD9">
            <w:pPr>
              <w:spacing w:before="30" w:after="30"/>
              <w:ind w:left="57"/>
              <w:jc w:val="left"/>
              <w:rPr>
                <w:b/>
                <w:bCs/>
                <w:sz w:val="20"/>
                <w:lang w:val="en-US"/>
              </w:rPr>
            </w:pPr>
            <w:r w:rsidRPr="00592F9F">
              <w:rPr>
                <w:b/>
                <w:bCs/>
                <w:sz w:val="20"/>
                <w:lang w:val="en-US"/>
              </w:rPr>
              <w:t>SM</w:t>
            </w:r>
          </w:p>
        </w:tc>
        <w:tc>
          <w:tcPr>
            <w:tcW w:w="8220" w:type="dxa"/>
            <w:shd w:val="clear" w:color="auto" w:fill="auto"/>
          </w:tcPr>
          <w:p w14:paraId="5639FEDF"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A25EE2" w:rsidRPr="00036EE3" w14:paraId="3601A587" w14:textId="77777777" w:rsidTr="00A25EE2">
        <w:tc>
          <w:tcPr>
            <w:tcW w:w="1140" w:type="dxa"/>
          </w:tcPr>
          <w:p w14:paraId="60397252" w14:textId="77777777" w:rsidR="00A25EE2" w:rsidRPr="00614CC6" w:rsidRDefault="00A25EE2" w:rsidP="000B4BD9">
            <w:pPr>
              <w:spacing w:before="30" w:after="30"/>
              <w:ind w:left="57"/>
              <w:jc w:val="left"/>
              <w:rPr>
                <w:b/>
                <w:bCs/>
                <w:sz w:val="20"/>
                <w:lang w:val="en-US"/>
              </w:rPr>
            </w:pPr>
            <w:r w:rsidRPr="00614CC6">
              <w:rPr>
                <w:b/>
                <w:bCs/>
                <w:sz w:val="20"/>
                <w:lang w:val="en-US"/>
              </w:rPr>
              <w:t>SNG</w:t>
            </w:r>
          </w:p>
        </w:tc>
        <w:tc>
          <w:tcPr>
            <w:tcW w:w="8220" w:type="dxa"/>
          </w:tcPr>
          <w:p w14:paraId="16E3A36F"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Reportage d'actualités par satellite</w:t>
            </w:r>
          </w:p>
        </w:tc>
      </w:tr>
      <w:tr w:rsidR="00A25EE2" w:rsidRPr="00614CC6" w14:paraId="038B8699" w14:textId="77777777" w:rsidTr="00A25EE2">
        <w:tc>
          <w:tcPr>
            <w:tcW w:w="1140" w:type="dxa"/>
          </w:tcPr>
          <w:p w14:paraId="7837FB77" w14:textId="77777777" w:rsidR="00A25EE2" w:rsidRPr="00710A2A" w:rsidRDefault="00A25EE2" w:rsidP="000B4BD9">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16B6F2C1"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Emissions de fréquences étalon et de signaux horaires</w:t>
            </w:r>
          </w:p>
        </w:tc>
      </w:tr>
      <w:tr w:rsidR="00A25EE2" w:rsidRPr="00036EE3" w14:paraId="62ED5B70" w14:textId="77777777" w:rsidTr="00A25EE2">
        <w:tc>
          <w:tcPr>
            <w:tcW w:w="1140" w:type="dxa"/>
          </w:tcPr>
          <w:p w14:paraId="1AB73CB4" w14:textId="77777777" w:rsidR="00A25EE2" w:rsidRPr="00614CC6" w:rsidRDefault="00A25EE2" w:rsidP="000B4BD9">
            <w:pPr>
              <w:spacing w:before="30" w:after="30"/>
              <w:ind w:left="57"/>
              <w:jc w:val="left"/>
              <w:rPr>
                <w:b/>
                <w:bCs/>
                <w:sz w:val="20"/>
                <w:lang w:val="en-US"/>
              </w:rPr>
            </w:pPr>
            <w:r w:rsidRPr="00614CC6">
              <w:rPr>
                <w:b/>
                <w:bCs/>
                <w:sz w:val="20"/>
                <w:lang w:val="en-US"/>
              </w:rPr>
              <w:t>V</w:t>
            </w:r>
          </w:p>
        </w:tc>
        <w:tc>
          <w:tcPr>
            <w:tcW w:w="8220" w:type="dxa"/>
          </w:tcPr>
          <w:p w14:paraId="02A083CF" w14:textId="77777777" w:rsidR="00A25EE2" w:rsidRPr="00A66700" w:rsidRDefault="00A25EE2" w:rsidP="00B02C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A66700">
              <w:rPr>
                <w:b w:val="0"/>
                <w:sz w:val="20"/>
              </w:rPr>
              <w:t>Vocabulaire et sujets associés</w:t>
            </w:r>
          </w:p>
        </w:tc>
      </w:tr>
    </w:tbl>
    <w:p w14:paraId="46D9BD38" w14:textId="77777777" w:rsidR="00A25EE2" w:rsidRPr="00036EE3" w:rsidRDefault="00A25EE2" w:rsidP="00A25EE2">
      <w:pPr>
        <w:spacing w:before="0"/>
        <w:jc w:val="center"/>
        <w:rPr>
          <w:sz w:val="20"/>
          <w:lang w:val="en-US"/>
        </w:rPr>
      </w:pPr>
    </w:p>
    <w:p w14:paraId="2A3CDC8B" w14:textId="77777777" w:rsidR="00A25EE2" w:rsidRPr="00036EE3" w:rsidRDefault="00A25EE2" w:rsidP="00A25EE2">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A25EE2" w:rsidRPr="00756B4D" w14:paraId="3256074E" w14:textId="77777777" w:rsidTr="00A25EE2">
        <w:tc>
          <w:tcPr>
            <w:tcW w:w="9360" w:type="dxa"/>
          </w:tcPr>
          <w:p w14:paraId="7BE59A1B" w14:textId="77777777" w:rsidR="00A25EE2" w:rsidRPr="00756B4D" w:rsidRDefault="00A25EE2" w:rsidP="00A25EE2">
            <w:pPr>
              <w:spacing w:before="80" w:after="80"/>
              <w:rPr>
                <w:i/>
                <w:iCs/>
                <w:sz w:val="20"/>
              </w:rPr>
            </w:pPr>
            <w:proofErr w:type="gramStart"/>
            <w:r w:rsidRPr="00756B4D">
              <w:rPr>
                <w:b/>
                <w:bCs/>
                <w:i/>
                <w:iCs/>
                <w:sz w:val="20"/>
              </w:rPr>
              <w:t>Note</w:t>
            </w:r>
            <w:r w:rsidRPr="00756B4D">
              <w:rPr>
                <w:i/>
                <w:iCs/>
                <w:sz w:val="20"/>
              </w:rPr>
              <w:t>:</w:t>
            </w:r>
            <w:proofErr w:type="gramEnd"/>
            <w:r w:rsidRPr="00756B4D">
              <w:rPr>
                <w:i/>
                <w:iCs/>
                <w:sz w:val="20"/>
              </w:rPr>
              <w:t xml:space="preserve"> Cette Recommandation UIT-R a été approuvée en anglais aux termes de la procédure détaillée dans la</w:t>
            </w:r>
            <w:r w:rsidR="00BD554D">
              <w:rPr>
                <w:i/>
                <w:iCs/>
                <w:sz w:val="20"/>
              </w:rPr>
              <w:t xml:space="preserve"> </w:t>
            </w:r>
            <w:r w:rsidRPr="00756B4D">
              <w:rPr>
                <w:i/>
                <w:iCs/>
                <w:sz w:val="20"/>
              </w:rPr>
              <w:t xml:space="preserve">Résolution UIT-R 1. </w:t>
            </w:r>
          </w:p>
        </w:tc>
      </w:tr>
    </w:tbl>
    <w:p w14:paraId="2962FACD" w14:textId="77777777" w:rsidR="00A25EE2" w:rsidRPr="00756B4D" w:rsidRDefault="00A25EE2" w:rsidP="00A25EE2">
      <w:pPr>
        <w:spacing w:before="0"/>
        <w:jc w:val="center"/>
        <w:rPr>
          <w:sz w:val="22"/>
        </w:rPr>
      </w:pPr>
    </w:p>
    <w:p w14:paraId="553C5E8B" w14:textId="77777777" w:rsidR="00A25EE2" w:rsidRPr="00614CC6" w:rsidRDefault="00A25EE2" w:rsidP="00A25EE2">
      <w:pPr>
        <w:spacing w:before="100"/>
        <w:jc w:val="right"/>
        <w:rPr>
          <w:i/>
          <w:iCs/>
          <w:sz w:val="20"/>
        </w:rPr>
      </w:pPr>
      <w:r w:rsidRPr="00614CC6">
        <w:rPr>
          <w:i/>
          <w:iCs/>
          <w:sz w:val="20"/>
        </w:rPr>
        <w:t>Publication électronique</w:t>
      </w:r>
    </w:p>
    <w:p w14:paraId="0803CCB2" w14:textId="71ADA550" w:rsidR="00A25EE2" w:rsidRPr="00614CC6" w:rsidRDefault="00A25EE2" w:rsidP="00A25EE2">
      <w:pPr>
        <w:spacing w:before="0"/>
        <w:jc w:val="right"/>
        <w:rPr>
          <w:sz w:val="20"/>
        </w:rPr>
      </w:pPr>
      <w:r w:rsidRPr="00614CC6">
        <w:rPr>
          <w:sz w:val="20"/>
        </w:rPr>
        <w:t>Genève, 20</w:t>
      </w:r>
      <w:r>
        <w:rPr>
          <w:sz w:val="20"/>
        </w:rPr>
        <w:t>2</w:t>
      </w:r>
      <w:r w:rsidR="008F042B">
        <w:rPr>
          <w:sz w:val="20"/>
        </w:rPr>
        <w:t>4</w:t>
      </w:r>
    </w:p>
    <w:p w14:paraId="14D0861C" w14:textId="4A0AD973" w:rsidR="00A25EE2" w:rsidRPr="00614CC6" w:rsidRDefault="00A25EE2" w:rsidP="00A25EE2">
      <w:pPr>
        <w:spacing w:before="200"/>
        <w:jc w:val="center"/>
        <w:rPr>
          <w:sz w:val="20"/>
        </w:rPr>
      </w:pPr>
      <w:r w:rsidRPr="00470E28">
        <w:rPr>
          <w:sz w:val="20"/>
          <w:lang w:val="en-US"/>
        </w:rPr>
        <w:sym w:font="Symbol" w:char="F0E3"/>
      </w:r>
      <w:r w:rsidRPr="00614CC6">
        <w:rPr>
          <w:sz w:val="20"/>
        </w:rPr>
        <w:t xml:space="preserve"> UIT </w:t>
      </w:r>
      <w:bookmarkStart w:id="1" w:name="iiannee"/>
      <w:bookmarkEnd w:id="1"/>
      <w:r w:rsidRPr="00614CC6">
        <w:rPr>
          <w:sz w:val="20"/>
        </w:rPr>
        <w:t>20</w:t>
      </w:r>
      <w:r>
        <w:rPr>
          <w:sz w:val="20"/>
        </w:rPr>
        <w:t>2</w:t>
      </w:r>
      <w:r w:rsidR="008F042B">
        <w:rPr>
          <w:sz w:val="20"/>
        </w:rPr>
        <w:t>4</w:t>
      </w:r>
    </w:p>
    <w:p w14:paraId="1EB5918D" w14:textId="77777777" w:rsidR="00D5024B" w:rsidRPr="004F3F6F" w:rsidRDefault="00A25EE2" w:rsidP="00A25EE2">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14:paraId="369D9C99" w14:textId="77777777" w:rsidR="007565CC" w:rsidRPr="004F3F6F" w:rsidRDefault="007565CC" w:rsidP="00A971A1">
      <w:pPr>
        <w:spacing w:before="160"/>
        <w:rPr>
          <w:i/>
          <w:sz w:val="20"/>
        </w:rPr>
        <w:sectPr w:rsidR="007565CC" w:rsidRPr="004F3F6F"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578D7345" w14:textId="25642400" w:rsidR="00B874C6" w:rsidRPr="004F3F6F" w:rsidRDefault="00B874C6" w:rsidP="00A936CB">
      <w:pPr>
        <w:pStyle w:val="RecNo"/>
        <w:spacing w:before="0"/>
      </w:pPr>
      <w:bookmarkStart w:id="2" w:name="irecnoe"/>
      <w:bookmarkEnd w:id="2"/>
      <w:proofErr w:type="gramStart"/>
      <w:r w:rsidRPr="00BF487A">
        <w:lastRenderedPageBreak/>
        <w:t>RECOMM</w:t>
      </w:r>
      <w:r w:rsidR="00A25EE2">
        <w:t>A</w:t>
      </w:r>
      <w:r w:rsidRPr="00BF487A">
        <w:t xml:space="preserve">NDATION  </w:t>
      </w:r>
      <w:r w:rsidR="00A25EE2" w:rsidRPr="004F3F6F">
        <w:rPr>
          <w:rStyle w:val="href"/>
        </w:rPr>
        <w:t>UI</w:t>
      </w:r>
      <w:r w:rsidRPr="004F3F6F">
        <w:rPr>
          <w:rStyle w:val="href"/>
        </w:rPr>
        <w:t>T</w:t>
      </w:r>
      <w:proofErr w:type="gramEnd"/>
      <w:r w:rsidRPr="004F3F6F">
        <w:rPr>
          <w:rStyle w:val="href"/>
        </w:rPr>
        <w:t xml:space="preserve">-R  </w:t>
      </w:r>
      <w:r w:rsidR="00BC3C85">
        <w:rPr>
          <w:rStyle w:val="href"/>
        </w:rPr>
        <w:t>M</w:t>
      </w:r>
      <w:r w:rsidRPr="004F3F6F">
        <w:rPr>
          <w:rStyle w:val="href"/>
        </w:rPr>
        <w:t>.</w:t>
      </w:r>
      <w:r w:rsidR="008F042B">
        <w:rPr>
          <w:rStyle w:val="href"/>
        </w:rPr>
        <w:t>2121-1</w:t>
      </w:r>
    </w:p>
    <w:p w14:paraId="02FA885C" w14:textId="77777777" w:rsidR="008F042B" w:rsidRPr="005E00F0" w:rsidRDefault="008F042B" w:rsidP="00FD56F2">
      <w:pPr>
        <w:pStyle w:val="Rectitle"/>
      </w:pPr>
      <w:r w:rsidRPr="005E00F0">
        <w:t xml:space="preserve">Harmonisation des bandes de fréquences pour les systèmes </w:t>
      </w:r>
      <w:r w:rsidRPr="005E00F0">
        <w:br/>
        <w:t xml:space="preserve">de </w:t>
      </w:r>
      <w:proofErr w:type="gramStart"/>
      <w:r w:rsidRPr="005E00F0">
        <w:t>transport intelligents</w:t>
      </w:r>
      <w:proofErr w:type="gramEnd"/>
      <w:r w:rsidRPr="005E00F0">
        <w:t xml:space="preserve"> dans le service mobile</w:t>
      </w:r>
    </w:p>
    <w:p w14:paraId="604DE738" w14:textId="77777777" w:rsidR="008F042B" w:rsidRPr="005E00F0" w:rsidRDefault="008F042B" w:rsidP="00FD56F2">
      <w:pPr>
        <w:pStyle w:val="Questionref"/>
      </w:pPr>
      <w:r w:rsidRPr="005E00F0">
        <w:t>(Question UIT-R 205-6/5)</w:t>
      </w:r>
    </w:p>
    <w:p w14:paraId="27AC3939" w14:textId="77777777" w:rsidR="008F042B" w:rsidRPr="005E00F0" w:rsidRDefault="008F042B" w:rsidP="00FD56F2">
      <w:pPr>
        <w:pStyle w:val="Recdate"/>
      </w:pPr>
      <w:r w:rsidRPr="005E00F0">
        <w:t>(2019-2023)</w:t>
      </w:r>
    </w:p>
    <w:p w14:paraId="151BFD14" w14:textId="1EEB27EB" w:rsidR="008F042B" w:rsidRPr="008F042B" w:rsidRDefault="008F042B" w:rsidP="008F042B">
      <w:pPr>
        <w:pStyle w:val="HeadingSum"/>
      </w:pPr>
      <w:r w:rsidRPr="008F042B">
        <w:t>Domaine d'application</w:t>
      </w:r>
    </w:p>
    <w:p w14:paraId="6DC892AC" w14:textId="77777777" w:rsidR="008F042B" w:rsidRPr="008F042B" w:rsidRDefault="008F042B" w:rsidP="008F042B">
      <w:pPr>
        <w:pStyle w:val="Summary"/>
      </w:pPr>
      <w:r w:rsidRPr="008F042B">
        <w:t>La présente Recommandation fournit des orientations sur les bandes de fréquences harmonisées à utiliser par les systèmes de transport intelligents (ITS) pour l'échange d'informations en vue d'améliorer la gestion du trafic et de contribuer à la sécurité au volant. La Recommandation encourage les administrations à utiliser des bandes de fréquences harmonisées dans l'ensemble des Régions de l'UIT-R pour ces applications ITS. Des exemples de bandes de fréquences pertinentes sont donnés dans l'Annexe à la présente Recommandation.</w:t>
      </w:r>
    </w:p>
    <w:p w14:paraId="42AFC958" w14:textId="77777777" w:rsidR="008F042B" w:rsidRPr="005E00F0" w:rsidRDefault="008F042B" w:rsidP="00FD56F2">
      <w:pPr>
        <w:pStyle w:val="Headingb"/>
      </w:pPr>
      <w:r w:rsidRPr="005E00F0">
        <w:t>Mots clés</w:t>
      </w:r>
    </w:p>
    <w:p w14:paraId="6CCC0E5B" w14:textId="77777777" w:rsidR="008F042B" w:rsidRPr="005E00F0" w:rsidRDefault="008F042B" w:rsidP="00FD56F2">
      <w:r w:rsidRPr="005E00F0">
        <w:t>Systèmes de transport intelligents (ITS)</w:t>
      </w:r>
    </w:p>
    <w:p w14:paraId="6B4FADA5" w14:textId="77777777" w:rsidR="008F042B" w:rsidRPr="005E00F0" w:rsidRDefault="008F042B" w:rsidP="00FD56F2">
      <w:pPr>
        <w:pStyle w:val="Headingb"/>
      </w:pPr>
      <w:r w:rsidRPr="005E00F0">
        <w:t>Abréviations</w:t>
      </w:r>
    </w:p>
    <w:p w14:paraId="6AC5850E" w14:textId="77777777" w:rsidR="008F042B" w:rsidRPr="005E00F0" w:rsidRDefault="008F042B" w:rsidP="00FD56F2">
      <w:pPr>
        <w:tabs>
          <w:tab w:val="clear" w:pos="794"/>
          <w:tab w:val="clear" w:pos="1191"/>
          <w:tab w:val="clear" w:pos="1588"/>
          <w:tab w:val="clear" w:pos="1985"/>
          <w:tab w:val="left" w:pos="993"/>
        </w:tabs>
      </w:pPr>
      <w:r w:rsidRPr="005E00F0">
        <w:t>CEPT</w:t>
      </w:r>
      <w:r w:rsidRPr="005E00F0">
        <w:tab/>
        <w:t>Conférence européenne des administrations des postes et des télécommunications</w:t>
      </w:r>
    </w:p>
    <w:p w14:paraId="368E5C81" w14:textId="77777777" w:rsidR="008F042B" w:rsidRPr="005E00F0" w:rsidRDefault="008F042B" w:rsidP="00FD56F2">
      <w:pPr>
        <w:tabs>
          <w:tab w:val="clear" w:pos="794"/>
          <w:tab w:val="clear" w:pos="1191"/>
          <w:tab w:val="clear" w:pos="1588"/>
          <w:tab w:val="clear" w:pos="1985"/>
          <w:tab w:val="left" w:pos="993"/>
        </w:tabs>
        <w:ind w:left="1588" w:hanging="1588"/>
      </w:pPr>
      <w:r w:rsidRPr="005E00F0">
        <w:t>ITS</w:t>
      </w:r>
      <w:r w:rsidRPr="005E00F0">
        <w:tab/>
        <w:t xml:space="preserve">systèmes de transport intelligents </w:t>
      </w:r>
      <w:r w:rsidRPr="008F042B">
        <w:t>(</w:t>
      </w:r>
      <w:r w:rsidRPr="005E00F0">
        <w:rPr>
          <w:i/>
          <w:iCs/>
        </w:rPr>
        <w:t>intelligent transport systems</w:t>
      </w:r>
      <w:r w:rsidRPr="008F042B">
        <w:t>)</w:t>
      </w:r>
    </w:p>
    <w:p w14:paraId="0E7F826E" w14:textId="77777777" w:rsidR="008F042B" w:rsidRPr="005E00F0" w:rsidRDefault="008F042B" w:rsidP="00FD56F2">
      <w:pPr>
        <w:tabs>
          <w:tab w:val="clear" w:pos="794"/>
          <w:tab w:val="clear" w:pos="1191"/>
          <w:tab w:val="clear" w:pos="1588"/>
          <w:tab w:val="clear" w:pos="1985"/>
          <w:tab w:val="left" w:pos="993"/>
        </w:tabs>
      </w:pPr>
      <w:r w:rsidRPr="005E00F0">
        <w:t>SFS</w:t>
      </w:r>
      <w:r w:rsidRPr="005E00F0">
        <w:tab/>
        <w:t>service fixe par satellite</w:t>
      </w:r>
    </w:p>
    <w:p w14:paraId="4CBB66F7" w14:textId="77777777" w:rsidR="008F042B" w:rsidRPr="005E00F0" w:rsidRDefault="008F042B" w:rsidP="00FD56F2">
      <w:pPr>
        <w:pStyle w:val="Headingb"/>
      </w:pPr>
      <w:r w:rsidRPr="005E00F0">
        <w:t>Recommandations et Rapports UIT-R connexes</w:t>
      </w:r>
    </w:p>
    <w:p w14:paraId="4C69E3A0" w14:textId="01ECF71E" w:rsidR="008F042B" w:rsidRPr="008F042B" w:rsidRDefault="008F042B" w:rsidP="008F042B">
      <w:pPr>
        <w:pStyle w:val="Reftext"/>
      </w:pPr>
      <w:r w:rsidRPr="008F042B">
        <w:t xml:space="preserve">Recommandation </w:t>
      </w:r>
      <w:hyperlink r:id="rId15" w:history="1">
        <w:r w:rsidRPr="008F042B">
          <w:rPr>
            <w:rStyle w:val="Hyperlink"/>
            <w:color w:val="auto"/>
            <w:u w:val="none"/>
          </w:rPr>
          <w:t>UIT-R M.1452</w:t>
        </w:r>
      </w:hyperlink>
      <w:r w:rsidRPr="008F042B">
        <w:t xml:space="preserve"> – Radars anticollision pour véhicules et systèmes de radiocommunication en ondes millimétriques pour les applications des systèmes de transport intelligents</w:t>
      </w:r>
    </w:p>
    <w:p w14:paraId="154E5F6C" w14:textId="56DF8325" w:rsidR="008F042B" w:rsidRPr="008F042B" w:rsidRDefault="008F042B" w:rsidP="008F042B">
      <w:pPr>
        <w:pStyle w:val="Reftext"/>
      </w:pPr>
      <w:r w:rsidRPr="008F042B">
        <w:t xml:space="preserve">Recommandation </w:t>
      </w:r>
      <w:hyperlink r:id="rId16" w:history="1">
        <w:r w:rsidRPr="008F042B">
          <w:rPr>
            <w:rStyle w:val="Hyperlink"/>
            <w:color w:val="auto"/>
            <w:u w:val="none"/>
          </w:rPr>
          <w:t>UIT-R M.1453</w:t>
        </w:r>
      </w:hyperlink>
      <w:r w:rsidRPr="008F042B">
        <w:t xml:space="preserve"> – Systèmes de transport intelligents – Communications spécialisées à courte distance à 5,8 GHz</w:t>
      </w:r>
    </w:p>
    <w:p w14:paraId="7AAF7418" w14:textId="4AE36ED7" w:rsidR="008F042B" w:rsidRPr="008F042B" w:rsidRDefault="008F042B" w:rsidP="008F042B">
      <w:pPr>
        <w:pStyle w:val="Reftext"/>
      </w:pPr>
      <w:r w:rsidRPr="008F042B">
        <w:t xml:space="preserve">Recommandation </w:t>
      </w:r>
      <w:hyperlink r:id="rId17" w:history="1">
        <w:r w:rsidRPr="008F042B">
          <w:rPr>
            <w:rStyle w:val="Hyperlink"/>
            <w:color w:val="auto"/>
            <w:u w:val="none"/>
          </w:rPr>
          <w:t>UIT-R M.1797</w:t>
        </w:r>
      </w:hyperlink>
      <w:r w:rsidRPr="008F042B">
        <w:t xml:space="preserve"> – Terminologie du service mobile terrestre</w:t>
      </w:r>
    </w:p>
    <w:p w14:paraId="3805AFF6" w14:textId="5BD8254A" w:rsidR="008F042B" w:rsidRPr="008F042B" w:rsidRDefault="008F042B" w:rsidP="008F042B">
      <w:pPr>
        <w:pStyle w:val="Reftext"/>
      </w:pPr>
      <w:r w:rsidRPr="008F042B">
        <w:t xml:space="preserve">Recommandation </w:t>
      </w:r>
      <w:hyperlink r:id="rId18" w:history="1">
        <w:r w:rsidRPr="008F042B">
          <w:rPr>
            <w:rStyle w:val="Hyperlink"/>
            <w:color w:val="auto"/>
            <w:u w:val="none"/>
          </w:rPr>
          <w:t>UIT-R M.2084</w:t>
        </w:r>
      </w:hyperlink>
      <w:r w:rsidRPr="008F042B">
        <w:t xml:space="preserve"> – Normes relatives aux interfaces radioélectriques pour les communications de véhicule à véhicule et de véhicule à infrastructure pour les applications des systèmes de transport intelligents</w:t>
      </w:r>
    </w:p>
    <w:p w14:paraId="4D3C31EE" w14:textId="11E14FA9" w:rsidR="008F042B" w:rsidRPr="008F042B" w:rsidRDefault="008F042B" w:rsidP="008F042B">
      <w:pPr>
        <w:pStyle w:val="Reftext"/>
      </w:pPr>
      <w:r w:rsidRPr="008F042B">
        <w:t xml:space="preserve">Rapport </w:t>
      </w:r>
      <w:hyperlink r:id="rId19" w:history="1">
        <w:r w:rsidRPr="008F042B">
          <w:rPr>
            <w:rStyle w:val="Hyperlink"/>
            <w:color w:val="auto"/>
            <w:u w:val="none"/>
          </w:rPr>
          <w:t>UIT-R M.2228</w:t>
        </w:r>
      </w:hyperlink>
      <w:r w:rsidRPr="008F042B">
        <w:t xml:space="preserve"> – Radiocommunications pour les systèmes de transport intelligents (ITS) évolués</w:t>
      </w:r>
    </w:p>
    <w:p w14:paraId="19544ED4" w14:textId="77777777" w:rsidR="008F042B" w:rsidRPr="008F042B" w:rsidRDefault="008F042B" w:rsidP="008F042B">
      <w:pPr>
        <w:pStyle w:val="Reftext"/>
      </w:pPr>
      <w:r w:rsidRPr="008F042B">
        <w:t xml:space="preserve">Rapport </w:t>
      </w:r>
      <w:hyperlink r:id="rId20" w:history="1">
        <w:r w:rsidRPr="008F042B">
          <w:rPr>
            <w:rStyle w:val="Hyperlink"/>
            <w:color w:val="auto"/>
            <w:u w:val="none"/>
          </w:rPr>
          <w:t>UIT-R M.2444</w:t>
        </w:r>
      </w:hyperlink>
      <w:r w:rsidRPr="008F042B">
        <w:t xml:space="preserve"> – Exemples de dispositions pour le déploiement des systèmes de transport intelligents dans la cadre du service mobile</w:t>
      </w:r>
    </w:p>
    <w:p w14:paraId="5260ECE9" w14:textId="77777777" w:rsidR="008F042B" w:rsidRPr="008F042B" w:rsidRDefault="008F042B" w:rsidP="008F042B">
      <w:pPr>
        <w:pStyle w:val="Reftext"/>
      </w:pPr>
      <w:r w:rsidRPr="008F042B">
        <w:t xml:space="preserve">Rapport </w:t>
      </w:r>
      <w:hyperlink r:id="rId21" w:history="1">
        <w:r w:rsidRPr="008F042B">
          <w:rPr>
            <w:rStyle w:val="Hyperlink"/>
            <w:color w:val="auto"/>
            <w:u w:val="none"/>
          </w:rPr>
          <w:t>UIT-R M.2445</w:t>
        </w:r>
      </w:hyperlink>
      <w:r w:rsidRPr="008F042B">
        <w:t xml:space="preserve"> – Utilisation des systèmes de transport intelligents (ITS)</w:t>
      </w:r>
    </w:p>
    <w:p w14:paraId="6B6D94F0" w14:textId="77777777" w:rsidR="008F042B" w:rsidRPr="005E00F0" w:rsidRDefault="008F042B" w:rsidP="00FD56F2">
      <w:pPr>
        <w:pStyle w:val="Normalaftertitle"/>
      </w:pPr>
      <w:r w:rsidRPr="005E00F0">
        <w:t>L'Assemblée des radiocommunications de l'UIT,</w:t>
      </w:r>
    </w:p>
    <w:p w14:paraId="65F7A369" w14:textId="77777777" w:rsidR="008F042B" w:rsidRPr="005E00F0" w:rsidRDefault="008F042B" w:rsidP="00FD56F2">
      <w:pPr>
        <w:pStyle w:val="Call"/>
      </w:pPr>
      <w:r w:rsidRPr="005E00F0">
        <w:t>considérant</w:t>
      </w:r>
    </w:p>
    <w:p w14:paraId="6844E675" w14:textId="77777777" w:rsidR="008F042B" w:rsidRPr="005E00F0" w:rsidRDefault="008F042B" w:rsidP="00FD56F2">
      <w:r w:rsidRPr="005E00F0">
        <w:rPr>
          <w:i/>
          <w:iCs/>
        </w:rPr>
        <w:t>a)</w:t>
      </w:r>
      <w:r w:rsidRPr="005E00F0">
        <w:tab/>
        <w:t>que les besoins croissants de radiocommunication pour la gestion routière à l'échelle nationale et internationale peuvent être satisfaits grâce aux systèmes de transport intelligents (ITS) en évolution;</w:t>
      </w:r>
    </w:p>
    <w:p w14:paraId="364A0540" w14:textId="77777777" w:rsidR="008F042B" w:rsidRPr="005E00F0" w:rsidRDefault="008F042B" w:rsidP="00FD56F2">
      <w:r w:rsidRPr="005E00F0">
        <w:rPr>
          <w:i/>
          <w:iCs/>
        </w:rPr>
        <w:t>b)</w:t>
      </w:r>
      <w:r w:rsidRPr="005E00F0">
        <w:tab/>
        <w:t>que la planification nationale des fréquences pour les systèmes ITS nécessite une coopération avec les autres administrations concernées, afin de faciliter une plus grande harmonisation de l'utilisation du spectre;</w:t>
      </w:r>
    </w:p>
    <w:p w14:paraId="50B82D8F" w14:textId="77777777" w:rsidR="008F042B" w:rsidRPr="005E00F0" w:rsidRDefault="008F042B" w:rsidP="00FD56F2">
      <w:r w:rsidRPr="005E00F0">
        <w:rPr>
          <w:i/>
          <w:iCs/>
        </w:rPr>
        <w:lastRenderedPageBreak/>
        <w:t>c)</w:t>
      </w:r>
      <w:r w:rsidRPr="005E00F0">
        <w:tab/>
        <w:t>que l'utilisation des mêmes fréquences dans le cadre du même service permettra aux administrations de tirer parti de l'harmonisation tout en continuant de respecter les exigences en matière de planification nationale;</w:t>
      </w:r>
    </w:p>
    <w:p w14:paraId="44B8A176" w14:textId="77777777" w:rsidR="008F042B" w:rsidRPr="005E00F0" w:rsidRDefault="008F042B" w:rsidP="00FD56F2">
      <w:r w:rsidRPr="005E00F0">
        <w:rPr>
          <w:i/>
          <w:iCs/>
        </w:rPr>
        <w:t>d)</w:t>
      </w:r>
      <w:r w:rsidRPr="005E00F0">
        <w:tab/>
        <w:t>les avantages liés à la coopération entre les pays pour l'efficacité des transports;</w:t>
      </w:r>
    </w:p>
    <w:p w14:paraId="7A1715E3" w14:textId="77777777" w:rsidR="008F042B" w:rsidRPr="005E00F0" w:rsidRDefault="008F042B" w:rsidP="00FD56F2">
      <w:r w:rsidRPr="005E00F0">
        <w:rPr>
          <w:i/>
          <w:iCs/>
        </w:rPr>
        <w:t>e)</w:t>
      </w:r>
      <w:r w:rsidRPr="005E00F0">
        <w:tab/>
        <w:t>que l'utilisation d'applications ITS pourrait améliorer la gestion du trafic, contribuer à la sécurité au volant et appuyer la conduite automatique;</w:t>
      </w:r>
    </w:p>
    <w:p w14:paraId="62AFA67D" w14:textId="77777777" w:rsidR="008F042B" w:rsidRPr="005E00F0" w:rsidRDefault="008F042B" w:rsidP="00FD56F2">
      <w:r w:rsidRPr="005E00F0">
        <w:rPr>
          <w:i/>
          <w:iCs/>
        </w:rPr>
        <w:t>f)</w:t>
      </w:r>
      <w:r w:rsidRPr="005E00F0">
        <w:tab/>
        <w:t>que les avantages d'une harmonisation de l'utilisation du spectre pour les systèmes ITS sont les suivants:</w:t>
      </w:r>
    </w:p>
    <w:p w14:paraId="07930186" w14:textId="77777777" w:rsidR="008F042B" w:rsidRPr="005E00F0" w:rsidRDefault="008F042B" w:rsidP="00FD56F2">
      <w:pPr>
        <w:pStyle w:val="enumlev1"/>
      </w:pPr>
      <w:r w:rsidRPr="005E00F0">
        <w:t>–</w:t>
      </w:r>
      <w:r w:rsidRPr="005E00F0">
        <w:tab/>
      </w:r>
      <w:bookmarkStart w:id="3" w:name="lt_pId096"/>
      <w:r w:rsidRPr="005E00F0">
        <w:t>des possibilités accrues pour les transports, en particulier transfrontières;</w:t>
      </w:r>
      <w:bookmarkEnd w:id="3"/>
    </w:p>
    <w:p w14:paraId="2DAE2BAD" w14:textId="77777777" w:rsidR="008F042B" w:rsidRPr="005E00F0" w:rsidRDefault="008F042B" w:rsidP="00FD56F2">
      <w:pPr>
        <w:pStyle w:val="enumlev1"/>
      </w:pPr>
      <w:r w:rsidRPr="005E00F0">
        <w:t>–</w:t>
      </w:r>
      <w:r w:rsidRPr="005E00F0">
        <w:tab/>
        <w:t>une fabrication à plus grande échelle et une augmentation de la quantité des équipements produits, d'où des économies d'échelle et un élargissement de l'offre;</w:t>
      </w:r>
    </w:p>
    <w:p w14:paraId="0DCE55F5" w14:textId="7EB5564E" w:rsidR="008F042B" w:rsidRPr="005E00F0" w:rsidRDefault="008F042B" w:rsidP="00FD56F2">
      <w:pPr>
        <w:pStyle w:val="enumlev1"/>
      </w:pPr>
      <w:r w:rsidRPr="005E00F0">
        <w:t>–</w:t>
      </w:r>
      <w:r w:rsidRPr="005E00F0">
        <w:tab/>
        <w:t xml:space="preserve">l'amélioration de la gestion du spectre et de la planification des </w:t>
      </w:r>
      <w:proofErr w:type="gramStart"/>
      <w:r w:rsidRPr="005E00F0">
        <w:t>fréquences</w:t>
      </w:r>
      <w:r>
        <w:t>;</w:t>
      </w:r>
      <w:proofErr w:type="gramEnd"/>
    </w:p>
    <w:p w14:paraId="3FC43DC5" w14:textId="77777777" w:rsidR="008F042B" w:rsidRPr="005E00F0" w:rsidRDefault="008F042B" w:rsidP="00FD56F2">
      <w:r w:rsidRPr="005E00F0">
        <w:rPr>
          <w:i/>
          <w:iCs/>
        </w:rPr>
        <w:t>g)</w:t>
      </w:r>
      <w:r w:rsidRPr="005E00F0">
        <w:tab/>
        <w:t>qu'il est nécessaire de définir des bandes de fréquences harmonisées aux fins de la mise en œuvre des systèmes ITS;</w:t>
      </w:r>
    </w:p>
    <w:p w14:paraId="66827705" w14:textId="77777777" w:rsidR="008F042B" w:rsidRPr="005E00F0" w:rsidRDefault="008F042B" w:rsidP="00FD56F2">
      <w:r w:rsidRPr="005E00F0">
        <w:rPr>
          <w:i/>
          <w:iCs/>
        </w:rPr>
        <w:t>h)</w:t>
      </w:r>
      <w:r w:rsidRPr="005E00F0">
        <w:tab/>
        <w:t>que la désignation de ces bandes de fréquences harmonisées, ou de parties de ces bandes, pour les systèmes ITS n'exclut pas l'utilisation de ces bandes/fréquences par toute autre application des services auxquels elles sont attribuées et n'établit pas de priorité dans l'application et l'utilisation du Règlement des radiocommunications;</w:t>
      </w:r>
    </w:p>
    <w:p w14:paraId="361CED75" w14:textId="77777777" w:rsidR="008F042B" w:rsidRPr="005E00F0" w:rsidRDefault="008F042B" w:rsidP="00FD56F2">
      <w:bookmarkStart w:id="4" w:name="lt_pId105"/>
      <w:r w:rsidRPr="005E00F0">
        <w:rPr>
          <w:i/>
          <w:iCs/>
        </w:rPr>
        <w:t>i)</w:t>
      </w:r>
      <w:bookmarkEnd w:id="4"/>
      <w:r w:rsidRPr="005E00F0">
        <w:tab/>
      </w:r>
      <w:bookmarkStart w:id="5" w:name="lt_pId106"/>
      <w:r w:rsidRPr="005E00F0">
        <w:t>que d'autres systèmes mobiles terrestres peuvent compléter efficacement les systèmes ITS;</w:t>
      </w:r>
    </w:p>
    <w:p w14:paraId="0ECE77E6" w14:textId="77777777" w:rsidR="008F042B" w:rsidRPr="005E00F0" w:rsidRDefault="008F042B" w:rsidP="00FD56F2">
      <w:bookmarkStart w:id="6" w:name="lt_pId107"/>
      <w:bookmarkEnd w:id="5"/>
      <w:r w:rsidRPr="005E00F0">
        <w:rPr>
          <w:i/>
          <w:iCs/>
        </w:rPr>
        <w:t>j)</w:t>
      </w:r>
      <w:bookmarkEnd w:id="6"/>
      <w:r w:rsidRPr="005E00F0">
        <w:tab/>
      </w:r>
      <w:bookmarkStart w:id="7" w:name="lt_pId108"/>
      <w:r w:rsidRPr="005E00F0">
        <w:t>que les systèmes ITS ne sont pas destinés à fournir une connectivité large bande aux conducteurs/passagers,</w:t>
      </w:r>
    </w:p>
    <w:bookmarkEnd w:id="7"/>
    <w:p w14:paraId="21DA7697" w14:textId="77777777" w:rsidR="008F042B" w:rsidRPr="005E00F0" w:rsidRDefault="008F042B" w:rsidP="00FD56F2">
      <w:pPr>
        <w:pStyle w:val="Call"/>
      </w:pPr>
      <w:r w:rsidRPr="005E00F0">
        <w:t>reconnaissant</w:t>
      </w:r>
    </w:p>
    <w:p w14:paraId="550455FF" w14:textId="77777777" w:rsidR="008F042B" w:rsidRPr="005E00F0" w:rsidRDefault="008F042B" w:rsidP="00FD56F2">
      <w:pPr>
        <w:rPr>
          <w:iCs/>
        </w:rPr>
      </w:pPr>
      <w:bookmarkStart w:id="8" w:name="lt_pId110"/>
      <w:r w:rsidRPr="005E00F0">
        <w:rPr>
          <w:i/>
        </w:rPr>
        <w:t>a)</w:t>
      </w:r>
      <w:bookmarkEnd w:id="8"/>
      <w:r w:rsidRPr="005E00F0">
        <w:rPr>
          <w:i/>
        </w:rPr>
        <w:tab/>
      </w:r>
      <w:bookmarkStart w:id="9" w:name="lt_pId111"/>
      <w:r w:rsidRPr="005E00F0">
        <w:t xml:space="preserve">que le </w:t>
      </w:r>
      <w:r w:rsidRPr="005E00F0">
        <w:rPr>
          <w:iCs/>
        </w:rPr>
        <w:t>Rapport UIT-R M.2444 donne des exemples de dispositions pour le déploiement des systèmes ITS dans certaines régions et certains pays afin d'améliorer la gestion du trafic et de contribuer à la sécurité au volant;</w:t>
      </w:r>
      <w:bookmarkEnd w:id="9"/>
    </w:p>
    <w:p w14:paraId="2263FAFE" w14:textId="77777777" w:rsidR="008F042B" w:rsidRPr="005E00F0" w:rsidRDefault="008F042B" w:rsidP="00FD56F2">
      <w:r w:rsidRPr="005E00F0">
        <w:rPr>
          <w:i/>
          <w:iCs/>
        </w:rPr>
        <w:t>b)</w:t>
      </w:r>
      <w:r w:rsidRPr="005E00F0">
        <w:tab/>
        <w:t>qu'un pays de la Région 3 exploite un système ITS au voisinage de 5,8 GHz comme décrit dans la Recommandation UIT-R M.1453,</w:t>
      </w:r>
    </w:p>
    <w:p w14:paraId="70A0B691" w14:textId="77777777" w:rsidR="008F042B" w:rsidRPr="005E00F0" w:rsidRDefault="008F042B" w:rsidP="00FD56F2">
      <w:pPr>
        <w:pStyle w:val="Call"/>
        <w:rPr>
          <w:lang w:eastAsia="ja-JP"/>
        </w:rPr>
      </w:pPr>
      <w:r w:rsidRPr="005E00F0">
        <w:rPr>
          <w:lang w:eastAsia="ja-JP"/>
        </w:rPr>
        <w:t>notant</w:t>
      </w:r>
    </w:p>
    <w:p w14:paraId="6088BFC7" w14:textId="03463288" w:rsidR="008F042B" w:rsidRPr="005E00F0" w:rsidRDefault="008F042B" w:rsidP="00FD56F2">
      <w:bookmarkStart w:id="10" w:name="lt_pId115"/>
      <w:r w:rsidRPr="005E00F0">
        <w:rPr>
          <w:i/>
          <w:iCs/>
        </w:rPr>
        <w:t>a)</w:t>
      </w:r>
      <w:bookmarkEnd w:id="10"/>
      <w:r w:rsidRPr="005E00F0">
        <w:tab/>
      </w:r>
      <w:bookmarkStart w:id="11" w:name="lt_pId116"/>
      <w:r w:rsidRPr="005E00F0">
        <w:t xml:space="preserve">que les systèmes ITS sont mis en œuvre dans le cadre des attributions existantes au service </w:t>
      </w:r>
      <w:proofErr w:type="gramStart"/>
      <w:r w:rsidRPr="005E00F0">
        <w:t>mobile;</w:t>
      </w:r>
      <w:bookmarkEnd w:id="11"/>
      <w:proofErr w:type="gramEnd"/>
    </w:p>
    <w:p w14:paraId="79320CBB" w14:textId="77777777" w:rsidR="008F042B" w:rsidRPr="005E00F0" w:rsidRDefault="008F042B" w:rsidP="00FD56F2">
      <w:bookmarkStart w:id="12" w:name="lt_pId117"/>
      <w:r w:rsidRPr="005E00F0">
        <w:rPr>
          <w:i/>
          <w:iCs/>
        </w:rPr>
        <w:t>b)</w:t>
      </w:r>
      <w:bookmarkEnd w:id="12"/>
      <w:r w:rsidRPr="005E00F0">
        <w:tab/>
      </w:r>
      <w:bookmarkStart w:id="13" w:name="lt_pId118"/>
      <w:r w:rsidRPr="005E00F0">
        <w:t>que les bandes de fréquences harmonisées selon la présente Recommandation sont attribuées à divers services conformément aux dispositions pertinentes du Règlement des radiocommunications;</w:t>
      </w:r>
      <w:bookmarkEnd w:id="13"/>
    </w:p>
    <w:p w14:paraId="101F612A" w14:textId="77777777" w:rsidR="008F042B" w:rsidRPr="005E00F0" w:rsidRDefault="008F042B" w:rsidP="00FD56F2">
      <w:pPr>
        <w:rPr>
          <w:i/>
          <w:iCs/>
        </w:rPr>
      </w:pPr>
      <w:bookmarkStart w:id="14" w:name="lt_pId119"/>
      <w:r w:rsidRPr="005E00F0">
        <w:rPr>
          <w:i/>
          <w:iCs/>
        </w:rPr>
        <w:t>c)</w:t>
      </w:r>
      <w:bookmarkEnd w:id="14"/>
      <w:r w:rsidRPr="005E00F0">
        <w:rPr>
          <w:bCs/>
        </w:rPr>
        <w:tab/>
      </w:r>
      <w:bookmarkStart w:id="15" w:name="lt_pId120"/>
      <w:r w:rsidRPr="005E00F0">
        <w:rPr>
          <w:bCs/>
        </w:rPr>
        <w:t xml:space="preserve">que les applications ITS ne sont pas considérées comme une application d'un service de sécurité (numéro </w:t>
      </w:r>
      <w:r w:rsidRPr="005E00F0">
        <w:rPr>
          <w:rStyle w:val="Artref"/>
          <w:b/>
        </w:rPr>
        <w:t>1.59</w:t>
      </w:r>
      <w:r w:rsidRPr="005E00F0">
        <w:rPr>
          <w:rStyle w:val="Artref"/>
          <w:bCs/>
        </w:rPr>
        <w:t xml:space="preserve"> du RR</w:t>
      </w:r>
      <w:r w:rsidRPr="005E00F0">
        <w:t>);</w:t>
      </w:r>
      <w:bookmarkEnd w:id="15"/>
    </w:p>
    <w:p w14:paraId="1EDF4C38" w14:textId="77777777" w:rsidR="008F042B" w:rsidRPr="005E00F0" w:rsidRDefault="008F042B" w:rsidP="00FD56F2">
      <w:pPr>
        <w:rPr>
          <w:lang w:eastAsia="ja-JP"/>
        </w:rPr>
      </w:pPr>
      <w:r w:rsidRPr="005E00F0">
        <w:rPr>
          <w:i/>
          <w:iCs/>
          <w:lang w:eastAsia="ja-JP"/>
        </w:rPr>
        <w:t>d)</w:t>
      </w:r>
      <w:r w:rsidRPr="005E00F0">
        <w:rPr>
          <w:lang w:eastAsia="ja-JP"/>
        </w:rPr>
        <w:tab/>
        <w:t>que la planification des fréquences pour les systèmes ITS s'effectue au niveau national, compte tenu des avantages liés aux bandes de fréquences harmonisées utilisées par les administrations voisines;</w:t>
      </w:r>
    </w:p>
    <w:p w14:paraId="777BD084" w14:textId="77777777" w:rsidR="008F042B" w:rsidRPr="005E00F0" w:rsidRDefault="008F042B" w:rsidP="00FD56F2">
      <w:pPr>
        <w:rPr>
          <w:lang w:eastAsia="ja-JP"/>
        </w:rPr>
      </w:pPr>
      <w:r w:rsidRPr="005E00F0">
        <w:rPr>
          <w:i/>
          <w:iCs/>
          <w:lang w:eastAsia="ja-JP"/>
        </w:rPr>
        <w:t>e)</w:t>
      </w:r>
      <w:r w:rsidRPr="005E00F0">
        <w:rPr>
          <w:lang w:eastAsia="ja-JP"/>
        </w:rPr>
        <w:tab/>
        <w:t>que, lorsqu'elles utilisent des systèmes ITS, les administrations devraient disposer d'une certaine souplesse pour déterminer, au niveau national, la quantité de spectre qui sera mise à disposition afin de répondre à leurs besoins nationaux particuliers, compte tenu des applications existantes et de leur évolution;</w:t>
      </w:r>
    </w:p>
    <w:p w14:paraId="63FB3F6D" w14:textId="77777777" w:rsidR="008F042B" w:rsidRPr="005E00F0" w:rsidRDefault="008F042B" w:rsidP="00FD56F2">
      <w:bookmarkStart w:id="16" w:name="lt_pId125"/>
      <w:r w:rsidRPr="005E00F0">
        <w:rPr>
          <w:i/>
        </w:rPr>
        <w:t>f)</w:t>
      </w:r>
      <w:bookmarkEnd w:id="16"/>
      <w:r w:rsidRPr="005E00F0">
        <w:tab/>
        <w:t>que la protection des services existants doit être assurée;</w:t>
      </w:r>
    </w:p>
    <w:p w14:paraId="38BD32F5" w14:textId="77777777" w:rsidR="008F042B" w:rsidRPr="005E00F0" w:rsidRDefault="008F042B" w:rsidP="00FD56F2">
      <w:bookmarkStart w:id="17" w:name="lt_pId127"/>
      <w:r w:rsidRPr="005E00F0">
        <w:rPr>
          <w:i/>
          <w:iCs/>
        </w:rPr>
        <w:lastRenderedPageBreak/>
        <w:t>g)</w:t>
      </w:r>
      <w:bookmarkEnd w:id="17"/>
      <w:r w:rsidRPr="005E00F0">
        <w:tab/>
      </w:r>
      <w:bookmarkStart w:id="18" w:name="lt_pId128"/>
      <w:r w:rsidRPr="005E00F0">
        <w:t>qu'un pays de la Région 3 exploite un système ITS en évolution dans la bande de fréquences 755,5-764,5 MHz;</w:t>
      </w:r>
      <w:bookmarkEnd w:id="18"/>
    </w:p>
    <w:p w14:paraId="4D58AC3B" w14:textId="77777777" w:rsidR="008F042B" w:rsidRPr="005E00F0" w:rsidRDefault="008F042B" w:rsidP="00FD56F2">
      <w:pPr>
        <w:rPr>
          <w:lang w:eastAsia="ja-JP"/>
        </w:rPr>
      </w:pPr>
      <w:r w:rsidRPr="005E00F0">
        <w:rPr>
          <w:i/>
          <w:iCs/>
          <w:lang w:eastAsia="ja-JP"/>
        </w:rPr>
        <w:t>h)</w:t>
      </w:r>
      <w:r w:rsidRPr="005E00F0">
        <w:rPr>
          <w:lang w:eastAsia="ja-JP"/>
        </w:rPr>
        <w:tab/>
        <w:t>que, dans chacune des trois Régions, certaines administrations ont mis en place des réseaux locaux hertziens dans la bande de fréquences 5 725-5 850 MHz et que certaines administrations ont autorisé les réseaux locaux hertziens dans la bande de fréquences 5 850</w:t>
      </w:r>
      <w:r w:rsidRPr="005E00F0">
        <w:rPr>
          <w:lang w:eastAsia="ja-JP"/>
        </w:rPr>
        <w:noBreakHyphen/>
        <w:t>5 925 MHz (ou dans des parties de cette bande) ou envisagent actuellement de le faire;</w:t>
      </w:r>
    </w:p>
    <w:p w14:paraId="5DD43B5C" w14:textId="77777777" w:rsidR="008F042B" w:rsidRPr="005E00F0" w:rsidRDefault="008F042B" w:rsidP="00FD56F2">
      <w:bookmarkStart w:id="19" w:name="lt_pId131"/>
      <w:r w:rsidRPr="005E00F0">
        <w:rPr>
          <w:i/>
          <w:iCs/>
        </w:rPr>
        <w:t>i)</w:t>
      </w:r>
      <w:bookmarkEnd w:id="19"/>
      <w:r w:rsidRPr="005E00F0">
        <w:tab/>
      </w:r>
      <w:bookmarkStart w:id="20" w:name="lt_pId132"/>
      <w:r w:rsidRPr="005E00F0">
        <w:t>que les liaisons montantes des stations terriennes du SFS peuvent éventuellement causer des brouillages aux dispositifs ITS, en particulier en cas de fonctionnement à proximité immédiate;</w:t>
      </w:r>
      <w:bookmarkEnd w:id="20"/>
    </w:p>
    <w:p w14:paraId="31F60FCA" w14:textId="7B159BAD" w:rsidR="008F042B" w:rsidRPr="005E00F0" w:rsidRDefault="008F042B" w:rsidP="00FD56F2">
      <w:r w:rsidRPr="005E00F0">
        <w:rPr>
          <w:i/>
          <w:iCs/>
        </w:rPr>
        <w:t>j)</w:t>
      </w:r>
      <w:r w:rsidRPr="005E00F0">
        <w:rPr>
          <w:i/>
          <w:iCs/>
        </w:rPr>
        <w:tab/>
      </w:r>
      <w:r w:rsidRPr="005E00F0">
        <w:t>que les administrations de la CEPT ont estimé que les dispositifs ITS ne peuvent pas demander à être protégés vis-à-vis des liaisons montantes des stations terriennes du SFS dans la bande de fréquences 5</w:t>
      </w:r>
      <w:r>
        <w:t> </w:t>
      </w:r>
      <w:r w:rsidRPr="005E00F0">
        <w:t>850</w:t>
      </w:r>
      <w:r>
        <w:noBreakHyphen/>
      </w:r>
      <w:r w:rsidRPr="005E00F0">
        <w:t>5</w:t>
      </w:r>
      <w:r>
        <w:t> </w:t>
      </w:r>
      <w:r w:rsidRPr="005E00F0">
        <w:t>925</w:t>
      </w:r>
      <w:r>
        <w:t> </w:t>
      </w:r>
      <w:r w:rsidRPr="005E00F0">
        <w:t>MHz afin de faciliter la coexistence, les dispositifs ITS déployés dans les pays de la CEPT devant alors faire face aux brouillages causés par les liaisons montantes des stations terriennes du SFS,</w:t>
      </w:r>
    </w:p>
    <w:p w14:paraId="47C88A47" w14:textId="77777777" w:rsidR="008F042B" w:rsidRPr="005E00F0" w:rsidRDefault="008F042B" w:rsidP="00FD56F2">
      <w:pPr>
        <w:pStyle w:val="Call"/>
      </w:pPr>
      <w:bookmarkStart w:id="21" w:name="lt_pId135"/>
      <w:r w:rsidRPr="005E00F0">
        <w:t>recommand</w:t>
      </w:r>
      <w:bookmarkEnd w:id="21"/>
      <w:r w:rsidRPr="005E00F0">
        <w:t>e</w:t>
      </w:r>
    </w:p>
    <w:p w14:paraId="736DB416" w14:textId="7450EAD3" w:rsidR="008F042B" w:rsidRPr="005E00F0" w:rsidRDefault="008F042B" w:rsidP="00FD56F2">
      <w:r w:rsidRPr="005E00F0">
        <w:t>1</w:t>
      </w:r>
      <w:r w:rsidRPr="005E00F0">
        <w:tab/>
      </w:r>
      <w:bookmarkStart w:id="22" w:name="lt_pId137"/>
      <w:r w:rsidRPr="005E00F0">
        <w:t xml:space="preserve">que, compte tenu du point </w:t>
      </w:r>
      <w:r w:rsidRPr="005E00F0">
        <w:rPr>
          <w:i/>
        </w:rPr>
        <w:t xml:space="preserve">h) </w:t>
      </w:r>
      <w:r w:rsidRPr="005E00F0">
        <w:rPr>
          <w:iCs/>
        </w:rPr>
        <w:t>du</w:t>
      </w:r>
      <w:r w:rsidRPr="005E00F0">
        <w:rPr>
          <w:i/>
        </w:rPr>
        <w:t xml:space="preserve"> considérant,</w:t>
      </w:r>
      <w:r w:rsidRPr="005E00F0">
        <w:t xml:space="preserve"> les administrations envisagent d'utiliser la bande de fréquences </w:t>
      </w:r>
      <w:r w:rsidRPr="005E00F0">
        <w:t>5</w:t>
      </w:r>
      <w:r>
        <w:t> </w:t>
      </w:r>
      <w:r w:rsidRPr="005E00F0">
        <w:t>850</w:t>
      </w:r>
      <w:r>
        <w:noBreakHyphen/>
      </w:r>
      <w:r w:rsidRPr="005E00F0">
        <w:t>5</w:t>
      </w:r>
      <w:r>
        <w:t> </w:t>
      </w:r>
      <w:r w:rsidRPr="005E00F0">
        <w:t>925</w:t>
      </w:r>
      <w:r>
        <w:t> </w:t>
      </w:r>
      <w:r w:rsidRPr="005E00F0">
        <w:t>MHz</w:t>
      </w:r>
      <w:r w:rsidRPr="005E00F0">
        <w:t xml:space="preserve">, ou des parties de cette bande, pour les applications ITS actuelles et </w:t>
      </w:r>
      <w:proofErr w:type="gramStart"/>
      <w:r w:rsidRPr="005E00F0">
        <w:t>futures;</w:t>
      </w:r>
      <w:bookmarkEnd w:id="22"/>
      <w:proofErr w:type="gramEnd"/>
    </w:p>
    <w:p w14:paraId="52A29837" w14:textId="77777777" w:rsidR="008F042B" w:rsidRPr="005E00F0" w:rsidRDefault="008F042B" w:rsidP="00FD56F2">
      <w:r w:rsidRPr="005E00F0">
        <w:t>2</w:t>
      </w:r>
      <w:r w:rsidRPr="005E00F0">
        <w:tab/>
      </w:r>
      <w:bookmarkStart w:id="23" w:name="lt_pId139"/>
      <w:r w:rsidRPr="005E00F0">
        <w:t>qu'il soit tenu compte, pour les bandes de fréquences harmonisées à l'échelle régionale pour les systèmes ITS, des exemples de bandes de fréquences actuellement utilisées pour les systèmes ITS qui sont énumérées dans l'Annexe;</w:t>
      </w:r>
    </w:p>
    <w:bookmarkEnd w:id="23"/>
    <w:p w14:paraId="42B6694C" w14:textId="77777777" w:rsidR="008F042B" w:rsidRDefault="008F042B" w:rsidP="00FD56F2">
      <w:r w:rsidRPr="005E00F0">
        <w:t>3</w:t>
      </w:r>
      <w:r w:rsidRPr="005E00F0">
        <w:tab/>
      </w:r>
      <w:bookmarkStart w:id="24" w:name="lt_pId141"/>
      <w:r w:rsidRPr="005E00F0">
        <w:t>que lors de l'utilisation de bandes de fréquences harmonisées pour les systèmes ITS, il soit tenu compte des problèmes potentiels de coexistence entre les stations ITS et d'autres applications du service mobile et/ou d'autres services.</w:t>
      </w:r>
    </w:p>
    <w:p w14:paraId="6E2ACA8A" w14:textId="77777777" w:rsidR="008F042B" w:rsidRDefault="008F042B" w:rsidP="00FD56F2"/>
    <w:p w14:paraId="1220910A" w14:textId="77777777" w:rsidR="008F042B" w:rsidRPr="005E00F0" w:rsidRDefault="008F042B" w:rsidP="00FD56F2"/>
    <w:p w14:paraId="6D19E594" w14:textId="77777777" w:rsidR="008F042B" w:rsidRPr="005E00F0" w:rsidRDefault="008F042B" w:rsidP="00FD56F2">
      <w:pPr>
        <w:pStyle w:val="AnnexNoTitle"/>
        <w:spacing w:after="240"/>
        <w:rPr>
          <w:lang w:eastAsia="zh-CN"/>
        </w:rPr>
      </w:pPr>
      <w:bookmarkStart w:id="25" w:name="lt_pId142"/>
      <w:bookmarkEnd w:id="24"/>
      <w:r w:rsidRPr="005E00F0">
        <w:t>Annex</w:t>
      </w:r>
      <w:bookmarkEnd w:id="25"/>
      <w:r w:rsidRPr="005E00F0">
        <w:t>e</w:t>
      </w:r>
      <w:r w:rsidRPr="005E00F0">
        <w:br/>
      </w:r>
      <w:r w:rsidRPr="005E00F0">
        <w:br/>
      </w:r>
      <w:bookmarkStart w:id="26" w:name="lt_pId143"/>
      <w:r w:rsidRPr="005E00F0">
        <w:t>E</w:t>
      </w:r>
      <w:r w:rsidRPr="005E00F0">
        <w:rPr>
          <w:lang w:eastAsia="zh-CN"/>
        </w:rPr>
        <w:t xml:space="preserve">xemples de fréquences utilisées pour les systèmes ITS </w:t>
      </w:r>
      <w:r w:rsidRPr="005E00F0">
        <w:rPr>
          <w:lang w:eastAsia="zh-CN"/>
        </w:rPr>
        <w:br/>
        <w:t>en évolution dans les Régions</w:t>
      </w:r>
      <w:bookmarkEnd w:id="2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8F042B" w:rsidRPr="005E00F0" w14:paraId="5229E08C" w14:textId="77777777" w:rsidTr="008F042B">
        <w:trPr>
          <w:trHeight w:val="397"/>
          <w:jc w:val="center"/>
        </w:trPr>
        <w:tc>
          <w:tcPr>
            <w:tcW w:w="9609" w:type="dxa"/>
            <w:gridSpan w:val="2"/>
            <w:hideMark/>
          </w:tcPr>
          <w:p w14:paraId="15895FB8" w14:textId="77777777" w:rsidR="008F042B" w:rsidRPr="005E00F0" w:rsidRDefault="008F042B" w:rsidP="00C11112">
            <w:pPr>
              <w:pStyle w:val="Tablehead"/>
              <w:rPr>
                <w:szCs w:val="22"/>
              </w:rPr>
            </w:pPr>
            <w:bookmarkStart w:id="27" w:name="lt_pId144"/>
            <w:r w:rsidRPr="005E00F0">
              <w:rPr>
                <w:szCs w:val="22"/>
              </w:rPr>
              <w:t>Région 1</w:t>
            </w:r>
            <w:bookmarkEnd w:id="27"/>
          </w:p>
        </w:tc>
      </w:tr>
      <w:tr w:rsidR="008F042B" w:rsidRPr="005E00F0" w14:paraId="5B45590F" w14:textId="77777777" w:rsidTr="008F042B">
        <w:trPr>
          <w:jc w:val="center"/>
        </w:trPr>
        <w:tc>
          <w:tcPr>
            <w:tcW w:w="4804" w:type="dxa"/>
            <w:hideMark/>
          </w:tcPr>
          <w:p w14:paraId="2B98385F" w14:textId="77777777" w:rsidR="008F042B" w:rsidRPr="005E00F0" w:rsidRDefault="008F042B" w:rsidP="00C11112">
            <w:pPr>
              <w:pStyle w:val="Tablehead"/>
              <w:rPr>
                <w:szCs w:val="22"/>
                <w:lang w:eastAsia="zh-CN"/>
              </w:rPr>
            </w:pPr>
            <w:r w:rsidRPr="005E00F0">
              <w:rPr>
                <w:szCs w:val="22"/>
                <w:lang w:eastAsia="zh-CN"/>
              </w:rPr>
              <w:t>Pays ou groupe</w:t>
            </w:r>
          </w:p>
        </w:tc>
        <w:tc>
          <w:tcPr>
            <w:tcW w:w="4805" w:type="dxa"/>
            <w:hideMark/>
          </w:tcPr>
          <w:p w14:paraId="09B7625E" w14:textId="77777777" w:rsidR="008F042B" w:rsidRPr="005E00F0" w:rsidRDefault="008F042B" w:rsidP="00C11112">
            <w:pPr>
              <w:pStyle w:val="Tablehead"/>
              <w:rPr>
                <w:szCs w:val="22"/>
                <w:lang w:eastAsia="zh-CN"/>
              </w:rPr>
            </w:pPr>
            <w:r w:rsidRPr="005E00F0">
              <w:rPr>
                <w:szCs w:val="22"/>
                <w:lang w:eastAsia="zh-CN"/>
              </w:rPr>
              <w:t>Bandes de fréquences</w:t>
            </w:r>
          </w:p>
        </w:tc>
      </w:tr>
      <w:tr w:rsidR="008F042B" w:rsidRPr="005E00F0" w14:paraId="20350123" w14:textId="77777777" w:rsidTr="008F042B">
        <w:trPr>
          <w:jc w:val="center"/>
        </w:trPr>
        <w:tc>
          <w:tcPr>
            <w:tcW w:w="4804" w:type="dxa"/>
            <w:hideMark/>
          </w:tcPr>
          <w:p w14:paraId="0E767509" w14:textId="77777777" w:rsidR="008F042B" w:rsidRPr="005E00F0" w:rsidRDefault="008F042B" w:rsidP="00C11112">
            <w:pPr>
              <w:pStyle w:val="Tabletext"/>
              <w:rPr>
                <w:szCs w:val="22"/>
                <w:lang w:eastAsia="zh-CN"/>
              </w:rPr>
            </w:pPr>
            <w:bookmarkStart w:id="28" w:name="lt_pId147"/>
            <w:r w:rsidRPr="005E00F0">
              <w:rPr>
                <w:szCs w:val="22"/>
                <w:lang w:eastAsia="zh-CN"/>
              </w:rPr>
              <w:t>CEPT</w:t>
            </w:r>
            <w:bookmarkEnd w:id="28"/>
          </w:p>
        </w:tc>
        <w:tc>
          <w:tcPr>
            <w:tcW w:w="4805" w:type="dxa"/>
            <w:hideMark/>
          </w:tcPr>
          <w:p w14:paraId="717492EA" w14:textId="77777777" w:rsidR="008F042B" w:rsidRPr="005E00F0" w:rsidRDefault="008F042B" w:rsidP="00C11112">
            <w:pPr>
              <w:pStyle w:val="Tabletext"/>
              <w:jc w:val="center"/>
              <w:rPr>
                <w:szCs w:val="22"/>
                <w:lang w:eastAsia="zh-CN"/>
              </w:rPr>
            </w:pPr>
            <w:bookmarkStart w:id="29" w:name="lt_pId148"/>
            <w:r w:rsidRPr="005E00F0">
              <w:rPr>
                <w:szCs w:val="22"/>
                <w:lang w:eastAsia="zh-CN"/>
              </w:rPr>
              <w:t>5 855-5 925 MHz</w:t>
            </w:r>
            <w:bookmarkEnd w:id="29"/>
          </w:p>
        </w:tc>
      </w:tr>
      <w:tr w:rsidR="008F042B" w:rsidRPr="005E00F0" w14:paraId="5C8456FB" w14:textId="77777777" w:rsidTr="008F042B">
        <w:trPr>
          <w:jc w:val="center"/>
        </w:trPr>
        <w:tc>
          <w:tcPr>
            <w:tcW w:w="4804" w:type="dxa"/>
            <w:hideMark/>
          </w:tcPr>
          <w:p w14:paraId="2C79655F" w14:textId="77777777" w:rsidR="008F042B" w:rsidRPr="005E00F0" w:rsidRDefault="008F042B" w:rsidP="00C11112">
            <w:pPr>
              <w:pStyle w:val="Tabletext"/>
              <w:rPr>
                <w:szCs w:val="22"/>
                <w:lang w:eastAsia="zh-CN"/>
              </w:rPr>
            </w:pPr>
            <w:r w:rsidRPr="005E00F0">
              <w:rPr>
                <w:szCs w:val="22"/>
                <w:lang w:eastAsia="zh-CN"/>
              </w:rPr>
              <w:t>Émirats arabes unis</w:t>
            </w:r>
          </w:p>
        </w:tc>
        <w:tc>
          <w:tcPr>
            <w:tcW w:w="4805" w:type="dxa"/>
            <w:hideMark/>
          </w:tcPr>
          <w:p w14:paraId="4832B631" w14:textId="77777777" w:rsidR="008F042B" w:rsidRPr="005E00F0" w:rsidRDefault="008F042B" w:rsidP="00C11112">
            <w:pPr>
              <w:pStyle w:val="Tabletext"/>
              <w:jc w:val="center"/>
              <w:rPr>
                <w:szCs w:val="22"/>
                <w:lang w:eastAsia="zh-CN"/>
              </w:rPr>
            </w:pPr>
            <w:bookmarkStart w:id="30" w:name="lt_pId150"/>
            <w:r w:rsidRPr="005E00F0">
              <w:rPr>
                <w:szCs w:val="22"/>
                <w:lang w:eastAsia="zh-CN"/>
              </w:rPr>
              <w:t>5 855-5 925 MHz</w:t>
            </w:r>
            <w:bookmarkEnd w:id="30"/>
          </w:p>
        </w:tc>
      </w:tr>
      <w:tr w:rsidR="008F042B" w:rsidRPr="005E00F0" w14:paraId="7ED3B1EC" w14:textId="77777777" w:rsidTr="008F042B">
        <w:trPr>
          <w:trHeight w:val="397"/>
          <w:jc w:val="center"/>
        </w:trPr>
        <w:tc>
          <w:tcPr>
            <w:tcW w:w="9609" w:type="dxa"/>
            <w:gridSpan w:val="2"/>
            <w:hideMark/>
          </w:tcPr>
          <w:p w14:paraId="5C09CB93" w14:textId="77777777" w:rsidR="008F042B" w:rsidRPr="005E00F0" w:rsidRDefault="008F042B" w:rsidP="00C11112">
            <w:pPr>
              <w:pStyle w:val="Tablehead"/>
              <w:rPr>
                <w:szCs w:val="22"/>
                <w:lang w:eastAsia="zh-CN"/>
              </w:rPr>
            </w:pPr>
            <w:bookmarkStart w:id="31" w:name="lt_pId151"/>
            <w:r w:rsidRPr="005E00F0">
              <w:rPr>
                <w:szCs w:val="22"/>
                <w:lang w:eastAsia="zh-CN"/>
              </w:rPr>
              <w:t>Région 2</w:t>
            </w:r>
            <w:bookmarkEnd w:id="31"/>
          </w:p>
        </w:tc>
      </w:tr>
      <w:tr w:rsidR="008F042B" w:rsidRPr="005E00F0" w14:paraId="2AF97C68" w14:textId="77777777" w:rsidTr="008F042B">
        <w:trPr>
          <w:jc w:val="center"/>
        </w:trPr>
        <w:tc>
          <w:tcPr>
            <w:tcW w:w="4804" w:type="dxa"/>
            <w:hideMark/>
          </w:tcPr>
          <w:p w14:paraId="1A5D9DAD" w14:textId="77777777" w:rsidR="008F042B" w:rsidRPr="005E00F0" w:rsidRDefault="008F042B" w:rsidP="00C11112">
            <w:pPr>
              <w:pStyle w:val="Tablehead"/>
              <w:rPr>
                <w:szCs w:val="22"/>
                <w:lang w:eastAsia="zh-CN"/>
              </w:rPr>
            </w:pPr>
            <w:r w:rsidRPr="005E00F0">
              <w:rPr>
                <w:szCs w:val="22"/>
                <w:lang w:eastAsia="zh-CN"/>
              </w:rPr>
              <w:t>Pays ou groupe</w:t>
            </w:r>
          </w:p>
        </w:tc>
        <w:tc>
          <w:tcPr>
            <w:tcW w:w="4805" w:type="dxa"/>
            <w:hideMark/>
          </w:tcPr>
          <w:p w14:paraId="1476C1E7" w14:textId="77777777" w:rsidR="008F042B" w:rsidRPr="005E00F0" w:rsidRDefault="008F042B" w:rsidP="00C11112">
            <w:pPr>
              <w:pStyle w:val="Tablehead"/>
              <w:rPr>
                <w:szCs w:val="22"/>
                <w:lang w:eastAsia="zh-CN"/>
              </w:rPr>
            </w:pPr>
            <w:r w:rsidRPr="005E00F0">
              <w:rPr>
                <w:szCs w:val="22"/>
                <w:lang w:eastAsia="zh-CN"/>
              </w:rPr>
              <w:t>Bandes de fréquences</w:t>
            </w:r>
          </w:p>
        </w:tc>
      </w:tr>
      <w:tr w:rsidR="008F042B" w:rsidRPr="005E00F0" w14:paraId="2D48E17E" w14:textId="77777777" w:rsidTr="008F042B">
        <w:trPr>
          <w:jc w:val="center"/>
        </w:trPr>
        <w:tc>
          <w:tcPr>
            <w:tcW w:w="4804" w:type="dxa"/>
          </w:tcPr>
          <w:p w14:paraId="4026722E" w14:textId="77777777" w:rsidR="008F042B" w:rsidRPr="005E00F0" w:rsidRDefault="008F042B" w:rsidP="00C11112">
            <w:pPr>
              <w:pStyle w:val="Tabletext"/>
              <w:rPr>
                <w:szCs w:val="22"/>
                <w:lang w:eastAsia="zh-CN"/>
              </w:rPr>
            </w:pPr>
            <w:r w:rsidRPr="005E00F0">
              <w:rPr>
                <w:szCs w:val="22"/>
                <w:lang w:eastAsia="zh-CN"/>
              </w:rPr>
              <w:t>Brésil</w:t>
            </w:r>
          </w:p>
        </w:tc>
        <w:tc>
          <w:tcPr>
            <w:tcW w:w="4805" w:type="dxa"/>
          </w:tcPr>
          <w:p w14:paraId="1DF724BB" w14:textId="77777777" w:rsidR="008F042B" w:rsidRPr="005E00F0" w:rsidRDefault="008F042B" w:rsidP="00C11112">
            <w:pPr>
              <w:pStyle w:val="Tabletext"/>
              <w:jc w:val="center"/>
              <w:rPr>
                <w:szCs w:val="22"/>
                <w:lang w:eastAsia="zh-CN"/>
              </w:rPr>
            </w:pPr>
            <w:r w:rsidRPr="005E00F0">
              <w:rPr>
                <w:szCs w:val="22"/>
                <w:lang w:eastAsia="zh-CN"/>
              </w:rPr>
              <w:t>5 855-5 925 MHz</w:t>
            </w:r>
          </w:p>
        </w:tc>
      </w:tr>
      <w:tr w:rsidR="008F042B" w:rsidRPr="005E00F0" w14:paraId="46823CFE" w14:textId="77777777" w:rsidTr="008F042B">
        <w:trPr>
          <w:jc w:val="center"/>
        </w:trPr>
        <w:tc>
          <w:tcPr>
            <w:tcW w:w="4804" w:type="dxa"/>
            <w:hideMark/>
          </w:tcPr>
          <w:p w14:paraId="5FFF6428" w14:textId="77777777" w:rsidR="008F042B" w:rsidRPr="005E00F0" w:rsidRDefault="008F042B" w:rsidP="00C11112">
            <w:pPr>
              <w:pStyle w:val="Tabletext"/>
              <w:rPr>
                <w:szCs w:val="22"/>
                <w:lang w:eastAsia="zh-CN"/>
              </w:rPr>
            </w:pPr>
            <w:bookmarkStart w:id="32" w:name="lt_pId154"/>
            <w:r w:rsidRPr="005E00F0">
              <w:rPr>
                <w:szCs w:val="22"/>
                <w:lang w:eastAsia="zh-CN"/>
              </w:rPr>
              <w:t>Canada</w:t>
            </w:r>
            <w:bookmarkEnd w:id="32"/>
          </w:p>
        </w:tc>
        <w:tc>
          <w:tcPr>
            <w:tcW w:w="4805" w:type="dxa"/>
            <w:hideMark/>
          </w:tcPr>
          <w:p w14:paraId="63B23403" w14:textId="77777777" w:rsidR="008F042B" w:rsidRPr="005E00F0" w:rsidRDefault="008F042B" w:rsidP="00C11112">
            <w:pPr>
              <w:pStyle w:val="Tabletext"/>
              <w:jc w:val="center"/>
              <w:rPr>
                <w:szCs w:val="22"/>
                <w:lang w:eastAsia="zh-CN"/>
              </w:rPr>
            </w:pPr>
            <w:bookmarkStart w:id="33" w:name="lt_pId155"/>
            <w:r w:rsidRPr="005E00F0">
              <w:rPr>
                <w:szCs w:val="22"/>
                <w:lang w:eastAsia="zh-CN"/>
              </w:rPr>
              <w:t>5 895-5 925 MHz</w:t>
            </w:r>
            <w:bookmarkEnd w:id="33"/>
          </w:p>
        </w:tc>
      </w:tr>
      <w:tr w:rsidR="008F042B" w:rsidRPr="005E00F0" w14:paraId="7C1A90E4" w14:textId="77777777" w:rsidTr="008F042B">
        <w:trPr>
          <w:jc w:val="center"/>
        </w:trPr>
        <w:tc>
          <w:tcPr>
            <w:tcW w:w="4804" w:type="dxa"/>
          </w:tcPr>
          <w:p w14:paraId="0D6AB751" w14:textId="77777777" w:rsidR="008F042B" w:rsidRPr="005E00F0" w:rsidRDefault="008F042B" w:rsidP="00C11112">
            <w:pPr>
              <w:pStyle w:val="Tabletext"/>
              <w:rPr>
                <w:szCs w:val="22"/>
                <w:lang w:eastAsia="zh-CN"/>
              </w:rPr>
            </w:pPr>
            <w:r w:rsidRPr="005E00F0">
              <w:rPr>
                <w:szCs w:val="22"/>
                <w:lang w:eastAsia="zh-CN"/>
              </w:rPr>
              <w:t>Etats-Unis</w:t>
            </w:r>
          </w:p>
        </w:tc>
        <w:tc>
          <w:tcPr>
            <w:tcW w:w="4805" w:type="dxa"/>
          </w:tcPr>
          <w:p w14:paraId="52074623" w14:textId="77777777" w:rsidR="008F042B" w:rsidRPr="005E00F0" w:rsidRDefault="008F042B" w:rsidP="00C11112">
            <w:pPr>
              <w:pStyle w:val="Tabletext"/>
              <w:jc w:val="center"/>
              <w:rPr>
                <w:szCs w:val="22"/>
                <w:lang w:eastAsia="zh-CN"/>
              </w:rPr>
            </w:pPr>
            <w:bookmarkStart w:id="34" w:name="lt_pId157"/>
            <w:r w:rsidRPr="005E00F0">
              <w:rPr>
                <w:szCs w:val="22"/>
                <w:lang w:eastAsia="zh-CN"/>
              </w:rPr>
              <w:t>5 895-5 925 MHz</w:t>
            </w:r>
            <w:bookmarkEnd w:id="34"/>
          </w:p>
        </w:tc>
      </w:tr>
      <w:tr w:rsidR="008F042B" w:rsidRPr="005E00F0" w14:paraId="77E61D46" w14:textId="77777777" w:rsidTr="008F042B">
        <w:trPr>
          <w:trHeight w:val="397"/>
          <w:jc w:val="center"/>
        </w:trPr>
        <w:tc>
          <w:tcPr>
            <w:tcW w:w="9609" w:type="dxa"/>
            <w:gridSpan w:val="2"/>
            <w:hideMark/>
          </w:tcPr>
          <w:p w14:paraId="2235756A" w14:textId="77777777" w:rsidR="008F042B" w:rsidRPr="005E00F0" w:rsidRDefault="008F042B" w:rsidP="00C11112">
            <w:pPr>
              <w:pStyle w:val="Tablehead"/>
              <w:rPr>
                <w:szCs w:val="22"/>
                <w:lang w:eastAsia="zh-CN"/>
              </w:rPr>
            </w:pPr>
            <w:bookmarkStart w:id="35" w:name="lt_pId158"/>
            <w:r w:rsidRPr="005E00F0">
              <w:rPr>
                <w:szCs w:val="22"/>
                <w:lang w:eastAsia="zh-CN"/>
              </w:rPr>
              <w:lastRenderedPageBreak/>
              <w:t>Région 3</w:t>
            </w:r>
            <w:bookmarkEnd w:id="35"/>
          </w:p>
        </w:tc>
      </w:tr>
      <w:tr w:rsidR="008F042B" w:rsidRPr="005E00F0" w14:paraId="46649F4C" w14:textId="77777777" w:rsidTr="008F042B">
        <w:trPr>
          <w:jc w:val="center"/>
        </w:trPr>
        <w:tc>
          <w:tcPr>
            <w:tcW w:w="4804" w:type="dxa"/>
            <w:hideMark/>
          </w:tcPr>
          <w:p w14:paraId="51FE085B" w14:textId="77777777" w:rsidR="008F042B" w:rsidRPr="005E00F0" w:rsidRDefault="008F042B" w:rsidP="00C11112">
            <w:pPr>
              <w:pStyle w:val="Tablehead"/>
              <w:rPr>
                <w:szCs w:val="22"/>
                <w:lang w:eastAsia="zh-CN"/>
              </w:rPr>
            </w:pPr>
            <w:r w:rsidRPr="005E00F0">
              <w:rPr>
                <w:szCs w:val="22"/>
                <w:lang w:eastAsia="zh-CN"/>
              </w:rPr>
              <w:t>Pays ou groupe</w:t>
            </w:r>
          </w:p>
        </w:tc>
        <w:tc>
          <w:tcPr>
            <w:tcW w:w="4805" w:type="dxa"/>
            <w:hideMark/>
          </w:tcPr>
          <w:p w14:paraId="199363B4" w14:textId="77777777" w:rsidR="008F042B" w:rsidRPr="005E00F0" w:rsidRDefault="008F042B" w:rsidP="00C11112">
            <w:pPr>
              <w:pStyle w:val="Tablehead"/>
              <w:rPr>
                <w:szCs w:val="22"/>
                <w:lang w:eastAsia="zh-CN"/>
              </w:rPr>
            </w:pPr>
            <w:r w:rsidRPr="005E00F0">
              <w:rPr>
                <w:szCs w:val="22"/>
                <w:lang w:eastAsia="zh-CN"/>
              </w:rPr>
              <w:t>Bandes de fréquences</w:t>
            </w:r>
          </w:p>
        </w:tc>
      </w:tr>
      <w:tr w:rsidR="008F042B" w:rsidRPr="005E00F0" w14:paraId="04F4C292" w14:textId="77777777" w:rsidTr="008F042B">
        <w:trPr>
          <w:jc w:val="center"/>
        </w:trPr>
        <w:tc>
          <w:tcPr>
            <w:tcW w:w="4804" w:type="dxa"/>
          </w:tcPr>
          <w:p w14:paraId="1D3FF536" w14:textId="77777777" w:rsidR="008F042B" w:rsidRPr="005E00F0" w:rsidRDefault="008F042B" w:rsidP="00C11112">
            <w:pPr>
              <w:pStyle w:val="Tabletext"/>
              <w:rPr>
                <w:szCs w:val="22"/>
                <w:lang w:eastAsia="zh-CN"/>
              </w:rPr>
            </w:pPr>
            <w:bookmarkStart w:id="36" w:name="lt_pId161"/>
            <w:r w:rsidRPr="005E00F0">
              <w:rPr>
                <w:szCs w:val="22"/>
                <w:lang w:eastAsia="zh-CN"/>
              </w:rPr>
              <w:t>Australi</w:t>
            </w:r>
            <w:bookmarkEnd w:id="36"/>
            <w:r w:rsidRPr="005E00F0">
              <w:rPr>
                <w:szCs w:val="22"/>
                <w:lang w:eastAsia="zh-CN"/>
              </w:rPr>
              <w:t>e</w:t>
            </w:r>
          </w:p>
        </w:tc>
        <w:tc>
          <w:tcPr>
            <w:tcW w:w="4805" w:type="dxa"/>
          </w:tcPr>
          <w:p w14:paraId="39AEE0D9" w14:textId="77777777" w:rsidR="008F042B" w:rsidRPr="005E00F0" w:rsidRDefault="008F042B" w:rsidP="00C11112">
            <w:pPr>
              <w:pStyle w:val="Tabletext"/>
              <w:jc w:val="center"/>
              <w:rPr>
                <w:szCs w:val="22"/>
                <w:lang w:eastAsia="zh-CN"/>
              </w:rPr>
            </w:pPr>
            <w:bookmarkStart w:id="37" w:name="lt_pId162"/>
            <w:r w:rsidRPr="005E00F0">
              <w:rPr>
                <w:szCs w:val="22"/>
                <w:lang w:eastAsia="zh-CN"/>
              </w:rPr>
              <w:t>5 855-5 925 MHz</w:t>
            </w:r>
            <w:bookmarkEnd w:id="37"/>
          </w:p>
        </w:tc>
      </w:tr>
      <w:tr w:rsidR="008F042B" w:rsidRPr="005E00F0" w14:paraId="072F9F82" w14:textId="77777777" w:rsidTr="008F042B">
        <w:trPr>
          <w:jc w:val="center"/>
        </w:trPr>
        <w:tc>
          <w:tcPr>
            <w:tcW w:w="4804" w:type="dxa"/>
            <w:hideMark/>
          </w:tcPr>
          <w:p w14:paraId="3CD9176F" w14:textId="77777777" w:rsidR="008F042B" w:rsidRPr="005E00F0" w:rsidRDefault="008F042B" w:rsidP="00C11112">
            <w:pPr>
              <w:pStyle w:val="Tabletext"/>
              <w:rPr>
                <w:b/>
                <w:szCs w:val="22"/>
                <w:lang w:eastAsia="zh-CN"/>
              </w:rPr>
            </w:pPr>
            <w:bookmarkStart w:id="38" w:name="lt_pId163"/>
            <w:r w:rsidRPr="005E00F0">
              <w:rPr>
                <w:szCs w:val="22"/>
                <w:lang w:eastAsia="zh-CN"/>
              </w:rPr>
              <w:t>Chin</w:t>
            </w:r>
            <w:bookmarkEnd w:id="38"/>
            <w:r w:rsidRPr="005E00F0">
              <w:rPr>
                <w:szCs w:val="22"/>
                <w:lang w:eastAsia="zh-CN"/>
              </w:rPr>
              <w:t>e</w:t>
            </w:r>
          </w:p>
        </w:tc>
        <w:tc>
          <w:tcPr>
            <w:tcW w:w="4805" w:type="dxa"/>
            <w:hideMark/>
          </w:tcPr>
          <w:p w14:paraId="6F64C03C" w14:textId="77777777" w:rsidR="008F042B" w:rsidRPr="005E00F0" w:rsidRDefault="008F042B" w:rsidP="00C11112">
            <w:pPr>
              <w:pStyle w:val="Tabletext"/>
              <w:jc w:val="center"/>
              <w:rPr>
                <w:b/>
                <w:szCs w:val="22"/>
                <w:lang w:eastAsia="zh-CN"/>
              </w:rPr>
            </w:pPr>
            <w:bookmarkStart w:id="39" w:name="lt_pId164"/>
            <w:r w:rsidRPr="005E00F0">
              <w:rPr>
                <w:szCs w:val="22"/>
                <w:lang w:eastAsia="zh-CN"/>
              </w:rPr>
              <w:t>5 905-5 925 MHz</w:t>
            </w:r>
            <w:bookmarkEnd w:id="39"/>
          </w:p>
        </w:tc>
      </w:tr>
      <w:tr w:rsidR="008F042B" w:rsidRPr="005E00F0" w14:paraId="22386F14" w14:textId="77777777" w:rsidTr="008F042B">
        <w:trPr>
          <w:jc w:val="center"/>
        </w:trPr>
        <w:tc>
          <w:tcPr>
            <w:tcW w:w="4804" w:type="dxa"/>
          </w:tcPr>
          <w:p w14:paraId="4906EC4F" w14:textId="77777777" w:rsidR="008F042B" w:rsidRPr="005E00F0" w:rsidRDefault="008F042B" w:rsidP="00C11112">
            <w:pPr>
              <w:pStyle w:val="Tabletext"/>
              <w:rPr>
                <w:szCs w:val="22"/>
                <w:lang w:eastAsia="zh-CN"/>
              </w:rPr>
            </w:pPr>
            <w:r w:rsidRPr="005E00F0">
              <w:rPr>
                <w:szCs w:val="22"/>
                <w:lang w:eastAsia="zh-CN"/>
              </w:rPr>
              <w:t>Corée</w:t>
            </w:r>
          </w:p>
        </w:tc>
        <w:tc>
          <w:tcPr>
            <w:tcW w:w="4805" w:type="dxa"/>
          </w:tcPr>
          <w:p w14:paraId="29A46160" w14:textId="77777777" w:rsidR="008F042B" w:rsidRPr="005E00F0" w:rsidRDefault="008F042B" w:rsidP="00C11112">
            <w:pPr>
              <w:pStyle w:val="Tabletext"/>
              <w:jc w:val="center"/>
              <w:rPr>
                <w:szCs w:val="22"/>
                <w:lang w:eastAsia="zh-CN"/>
              </w:rPr>
            </w:pPr>
            <w:r w:rsidRPr="005E00F0">
              <w:rPr>
                <w:szCs w:val="22"/>
                <w:lang w:eastAsia="zh-CN"/>
              </w:rPr>
              <w:t>5 855-5 925 MHz</w:t>
            </w:r>
          </w:p>
        </w:tc>
      </w:tr>
      <w:tr w:rsidR="008F042B" w:rsidRPr="005E00F0" w14:paraId="5690D7B4" w14:textId="77777777" w:rsidTr="008F042B">
        <w:trPr>
          <w:jc w:val="center"/>
        </w:trPr>
        <w:tc>
          <w:tcPr>
            <w:tcW w:w="4804" w:type="dxa"/>
            <w:hideMark/>
          </w:tcPr>
          <w:p w14:paraId="6A0A0584" w14:textId="77777777" w:rsidR="008F042B" w:rsidRPr="005E00F0" w:rsidRDefault="008F042B" w:rsidP="00C11112">
            <w:pPr>
              <w:pStyle w:val="Tabletext"/>
              <w:rPr>
                <w:szCs w:val="22"/>
                <w:lang w:eastAsia="zh-CN"/>
              </w:rPr>
            </w:pPr>
            <w:bookmarkStart w:id="40" w:name="lt_pId165"/>
            <w:r w:rsidRPr="005E00F0">
              <w:rPr>
                <w:szCs w:val="22"/>
                <w:lang w:eastAsia="zh-CN"/>
              </w:rPr>
              <w:t>Japon</w:t>
            </w:r>
            <w:bookmarkEnd w:id="40"/>
          </w:p>
        </w:tc>
        <w:tc>
          <w:tcPr>
            <w:tcW w:w="4805" w:type="dxa"/>
            <w:hideMark/>
          </w:tcPr>
          <w:p w14:paraId="1D827C16" w14:textId="77777777" w:rsidR="008F042B" w:rsidRPr="005E00F0" w:rsidRDefault="008F042B" w:rsidP="00C11112">
            <w:pPr>
              <w:pStyle w:val="Tabletext"/>
              <w:jc w:val="center"/>
              <w:rPr>
                <w:szCs w:val="22"/>
                <w:lang w:eastAsia="zh-CN"/>
              </w:rPr>
            </w:pPr>
            <w:bookmarkStart w:id="41" w:name="lt_pId166"/>
            <w:r w:rsidRPr="005E00F0">
              <w:rPr>
                <w:szCs w:val="22"/>
                <w:lang w:eastAsia="zh-CN"/>
              </w:rPr>
              <w:t>755,5-764,5 MHz</w:t>
            </w:r>
            <w:bookmarkEnd w:id="41"/>
          </w:p>
          <w:p w14:paraId="31DF1762" w14:textId="77777777" w:rsidR="008F042B" w:rsidRPr="005E00F0" w:rsidRDefault="008F042B" w:rsidP="00C11112">
            <w:pPr>
              <w:pStyle w:val="Tabletext"/>
              <w:jc w:val="center"/>
              <w:rPr>
                <w:szCs w:val="22"/>
                <w:lang w:eastAsia="zh-CN"/>
              </w:rPr>
            </w:pPr>
            <w:bookmarkStart w:id="42" w:name="lt_pId167"/>
            <w:r w:rsidRPr="005E00F0">
              <w:rPr>
                <w:szCs w:val="22"/>
                <w:lang w:eastAsia="zh-CN"/>
              </w:rPr>
              <w:t>5 770-5 850 MHz</w:t>
            </w:r>
            <w:bookmarkEnd w:id="42"/>
          </w:p>
        </w:tc>
      </w:tr>
      <w:tr w:rsidR="008F042B" w:rsidRPr="005E00F0" w14:paraId="1DEFB757" w14:textId="77777777" w:rsidTr="008F042B">
        <w:trPr>
          <w:jc w:val="center"/>
        </w:trPr>
        <w:tc>
          <w:tcPr>
            <w:tcW w:w="4804" w:type="dxa"/>
            <w:hideMark/>
          </w:tcPr>
          <w:p w14:paraId="0DAFEAB6" w14:textId="77777777" w:rsidR="008F042B" w:rsidRPr="005E00F0" w:rsidRDefault="008F042B" w:rsidP="00C11112">
            <w:pPr>
              <w:pStyle w:val="Tabletext"/>
              <w:rPr>
                <w:szCs w:val="22"/>
                <w:lang w:eastAsia="zh-CN"/>
              </w:rPr>
            </w:pPr>
            <w:bookmarkStart w:id="43" w:name="lt_pId170"/>
            <w:r w:rsidRPr="005E00F0">
              <w:rPr>
                <w:szCs w:val="22"/>
                <w:lang w:eastAsia="zh-CN"/>
              </w:rPr>
              <w:t>Singapo</w:t>
            </w:r>
            <w:bookmarkEnd w:id="43"/>
            <w:r w:rsidRPr="005E00F0">
              <w:rPr>
                <w:szCs w:val="22"/>
                <w:lang w:eastAsia="zh-CN"/>
              </w:rPr>
              <w:t>ur</w:t>
            </w:r>
          </w:p>
        </w:tc>
        <w:tc>
          <w:tcPr>
            <w:tcW w:w="4805" w:type="dxa"/>
            <w:hideMark/>
          </w:tcPr>
          <w:p w14:paraId="30CC052F" w14:textId="77777777" w:rsidR="008F042B" w:rsidRPr="005E00F0" w:rsidRDefault="008F042B" w:rsidP="00C11112">
            <w:pPr>
              <w:pStyle w:val="Tabletext"/>
              <w:jc w:val="center"/>
              <w:rPr>
                <w:szCs w:val="22"/>
                <w:lang w:eastAsia="zh-CN"/>
              </w:rPr>
            </w:pPr>
            <w:bookmarkStart w:id="44" w:name="lt_pId171"/>
            <w:r w:rsidRPr="005E00F0">
              <w:rPr>
                <w:szCs w:val="22"/>
                <w:lang w:eastAsia="zh-CN"/>
              </w:rPr>
              <w:t>5 855-5 925 MHz</w:t>
            </w:r>
            <w:bookmarkEnd w:id="44"/>
          </w:p>
        </w:tc>
      </w:tr>
    </w:tbl>
    <w:p w14:paraId="1059413A" w14:textId="77777777" w:rsidR="008F042B" w:rsidRPr="005E00F0" w:rsidRDefault="008F042B" w:rsidP="00FD56F2">
      <w:pPr>
        <w:pStyle w:val="Tablefin"/>
        <w:rPr>
          <w:lang w:val="fr-FR"/>
        </w:rPr>
      </w:pPr>
    </w:p>
    <w:p w14:paraId="3A7E4F22" w14:textId="77777777" w:rsidR="00B874C6" w:rsidRPr="004F3F6F" w:rsidRDefault="00B874C6" w:rsidP="00B874C6">
      <w:pPr>
        <w:pStyle w:val="Line"/>
        <w:rPr>
          <w:lang w:val="fr-FR"/>
        </w:rPr>
      </w:pPr>
    </w:p>
    <w:sectPr w:rsidR="00B874C6" w:rsidRPr="004F3F6F" w:rsidSect="007565CC">
      <w:footerReference w:type="default" r:id="rId22"/>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741E" w14:textId="77777777" w:rsidR="00C965A3" w:rsidRDefault="00C965A3">
      <w:r>
        <w:separator/>
      </w:r>
    </w:p>
  </w:endnote>
  <w:endnote w:type="continuationSeparator" w:id="0">
    <w:p w14:paraId="46BD8DE1" w14:textId="77777777" w:rsidR="00C965A3" w:rsidRDefault="00C9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9174" w14:textId="77777777" w:rsidR="00301DB3" w:rsidRDefault="00301DB3">
    <w:pPr>
      <w:pStyle w:val="Footer"/>
    </w:pPr>
    <w:r>
      <w:drawing>
        <wp:anchor distT="0" distB="0" distL="0" distR="0" simplePos="0" relativeHeight="251656192" behindDoc="0" locked="0" layoutInCell="1" allowOverlap="1" wp14:anchorId="35B0525E" wp14:editId="4854B365">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1B1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8D7C" w14:textId="77777777" w:rsidR="00C965A3" w:rsidRDefault="00C965A3">
      <w:r>
        <w:separator/>
      </w:r>
    </w:p>
  </w:footnote>
  <w:footnote w:type="continuationSeparator" w:id="0">
    <w:p w14:paraId="5B35AFC0" w14:textId="77777777" w:rsidR="00C965A3" w:rsidRDefault="00C9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7F8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2E566BD3" w14:textId="77777777" w:rsidTr="0019307B">
      <w:tc>
        <w:tcPr>
          <w:tcW w:w="4634" w:type="dxa"/>
          <w:vAlign w:val="center"/>
        </w:tcPr>
        <w:p w14:paraId="02C46368"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2645F4"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Union</w:t>
          </w:r>
          <w:r w:rsidR="00A25EE2">
            <w:rPr>
              <w:rFonts w:asciiTheme="minorBidi" w:hAnsiTheme="minorBidi"/>
              <w:b/>
              <w:spacing w:val="4"/>
              <w:szCs w:val="24"/>
            </w:rPr>
            <w:t xml:space="preserve"> i</w:t>
          </w:r>
          <w:r w:rsidR="00A25EE2" w:rsidRPr="00260B24">
            <w:rPr>
              <w:rFonts w:asciiTheme="minorBidi" w:hAnsiTheme="minorBidi"/>
              <w:b/>
              <w:spacing w:val="4"/>
              <w:szCs w:val="24"/>
            </w:rPr>
            <w:t>nternational</w:t>
          </w:r>
          <w:r w:rsidR="00BF3333">
            <w:rPr>
              <w:rFonts w:asciiTheme="minorBidi" w:hAnsiTheme="minorBidi"/>
              <w:b/>
              <w:spacing w:val="4"/>
              <w:szCs w:val="24"/>
            </w:rPr>
            <w:t>e</w:t>
          </w:r>
          <w:r w:rsidR="00A25EE2" w:rsidRPr="00260B24">
            <w:rPr>
              <w:rFonts w:asciiTheme="minorBidi" w:hAnsiTheme="minorBidi"/>
              <w:b/>
              <w:spacing w:val="4"/>
              <w:szCs w:val="24"/>
            </w:rPr>
            <w:t xml:space="preserve"> </w:t>
          </w:r>
          <w:r w:rsidR="00A25EE2">
            <w:rPr>
              <w:rFonts w:asciiTheme="minorBidi" w:hAnsiTheme="minorBidi"/>
              <w:b/>
              <w:spacing w:val="4"/>
              <w:szCs w:val="24"/>
            </w:rPr>
            <w:t>des té</w:t>
          </w:r>
          <w:r w:rsidR="00A25EE2" w:rsidRPr="00260B24">
            <w:rPr>
              <w:rFonts w:asciiTheme="minorBidi" w:hAnsiTheme="minorBidi"/>
              <w:b/>
              <w:spacing w:val="4"/>
              <w:szCs w:val="24"/>
            </w:rPr>
            <w:t>l</w:t>
          </w:r>
          <w:r w:rsidR="00A25EE2">
            <w:rPr>
              <w:rFonts w:asciiTheme="minorBidi" w:hAnsiTheme="minorBidi"/>
              <w:b/>
              <w:spacing w:val="4"/>
              <w:szCs w:val="24"/>
            </w:rPr>
            <w:t>é</w:t>
          </w:r>
          <w:r w:rsidR="00A25EE2" w:rsidRPr="00260B24">
            <w:rPr>
              <w:rFonts w:asciiTheme="minorBidi" w:hAnsiTheme="minorBidi"/>
              <w:b/>
              <w:spacing w:val="4"/>
              <w:szCs w:val="24"/>
            </w:rPr>
            <w:t>communication</w:t>
          </w:r>
          <w:r w:rsidR="00A25EE2">
            <w:rPr>
              <w:rFonts w:asciiTheme="minorBidi" w:hAnsiTheme="minorBidi"/>
              <w:b/>
              <w:spacing w:val="4"/>
              <w:szCs w:val="24"/>
            </w:rPr>
            <w:t>s</w:t>
          </w:r>
        </w:p>
      </w:tc>
    </w:tr>
    <w:tr w:rsidR="005B0371" w:rsidRPr="00A239D1" w14:paraId="65DA3F0E" w14:textId="77777777" w:rsidTr="0019307B">
      <w:tc>
        <w:tcPr>
          <w:tcW w:w="4634" w:type="dxa"/>
          <w:vAlign w:val="center"/>
        </w:tcPr>
        <w:p w14:paraId="44734163"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sidR="00A25EE2">
            <w:rPr>
              <w:rFonts w:asciiTheme="minorBidi" w:hAnsiTheme="minorBidi"/>
              <w:spacing w:val="4"/>
              <w:szCs w:val="24"/>
            </w:rPr>
            <w:t>a</w:t>
          </w:r>
          <w:r w:rsidRPr="00260B24">
            <w:rPr>
              <w:rFonts w:asciiTheme="minorBidi" w:hAnsiTheme="minorBidi"/>
              <w:spacing w:val="4"/>
              <w:szCs w:val="24"/>
            </w:rPr>
            <w:t>ndation</w:t>
          </w:r>
          <w:r w:rsidR="004A6FEB" w:rsidRPr="00260B24">
            <w:rPr>
              <w:rFonts w:asciiTheme="minorBidi" w:hAnsiTheme="minorBidi"/>
              <w:spacing w:val="4"/>
              <w:szCs w:val="24"/>
            </w:rPr>
            <w:t>s</w:t>
          </w:r>
        </w:p>
      </w:tc>
      <w:tc>
        <w:tcPr>
          <w:tcW w:w="5998" w:type="dxa"/>
          <w:vAlign w:val="center"/>
        </w:tcPr>
        <w:p w14:paraId="14A05499" w14:textId="1AF070EC"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8F042B">
            <w:rPr>
              <w:rFonts w:asciiTheme="minorBidi" w:hAnsiTheme="minorBidi"/>
              <w:spacing w:val="4"/>
              <w:szCs w:val="24"/>
            </w:rPr>
            <w:t>r</w:t>
          </w:r>
          <w:r w:rsidR="00EE47C4" w:rsidRPr="00260B24">
            <w:rPr>
              <w:rFonts w:asciiTheme="minorBidi" w:hAnsiTheme="minorBidi"/>
              <w:spacing w:val="4"/>
              <w:szCs w:val="24"/>
            </w:rPr>
            <w:t>adiocommunication</w:t>
          </w:r>
          <w:r>
            <w:rPr>
              <w:rFonts w:asciiTheme="minorBidi" w:hAnsiTheme="minorBidi"/>
              <w:spacing w:val="4"/>
              <w:szCs w:val="24"/>
            </w:rPr>
            <w:t>s</w:t>
          </w:r>
        </w:p>
      </w:tc>
    </w:tr>
  </w:tbl>
  <w:p w14:paraId="00B1F540"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5D2AFC4F" wp14:editId="551E4CDF">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0677EF9E" wp14:editId="42302364">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CC8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61A40B6"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BCA8680" wp14:editId="3396A7CE">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BC12C"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7573" w14:textId="4C0BFA6A"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C965A3">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A12AEC">
      <w:rPr>
        <w:b/>
        <w:bCs/>
        <w:noProof/>
        <w:lang w:val="en-US"/>
      </w:rPr>
      <w:t>UIT-R  M.2121-1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FE1B" w14:textId="1CCBAA8D"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C965A3">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A12AEC">
      <w:rPr>
        <w:b/>
        <w:bCs/>
        <w:noProof/>
      </w:rPr>
      <w:t>UIT-R  M.2121-1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A3"/>
    <w:rsid w:val="00013002"/>
    <w:rsid w:val="00036EE3"/>
    <w:rsid w:val="00072484"/>
    <w:rsid w:val="00095530"/>
    <w:rsid w:val="00096612"/>
    <w:rsid w:val="000A4A32"/>
    <w:rsid w:val="000B1B2B"/>
    <w:rsid w:val="000B7683"/>
    <w:rsid w:val="000D0677"/>
    <w:rsid w:val="000D4616"/>
    <w:rsid w:val="000E0548"/>
    <w:rsid w:val="000E6A6E"/>
    <w:rsid w:val="000F6D8A"/>
    <w:rsid w:val="00102934"/>
    <w:rsid w:val="00147110"/>
    <w:rsid w:val="001511A6"/>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31BD"/>
    <w:rsid w:val="00346EC2"/>
    <w:rsid w:val="00356B5D"/>
    <w:rsid w:val="00357707"/>
    <w:rsid w:val="0036627C"/>
    <w:rsid w:val="003B409A"/>
    <w:rsid w:val="003E5516"/>
    <w:rsid w:val="003F4B75"/>
    <w:rsid w:val="00401000"/>
    <w:rsid w:val="00420DFD"/>
    <w:rsid w:val="00425BC7"/>
    <w:rsid w:val="00437A76"/>
    <w:rsid w:val="004604B2"/>
    <w:rsid w:val="00470E28"/>
    <w:rsid w:val="0047379B"/>
    <w:rsid w:val="00474170"/>
    <w:rsid w:val="00477729"/>
    <w:rsid w:val="004842E2"/>
    <w:rsid w:val="00486EB3"/>
    <w:rsid w:val="004934C5"/>
    <w:rsid w:val="004A293A"/>
    <w:rsid w:val="004A6FEB"/>
    <w:rsid w:val="004E61FF"/>
    <w:rsid w:val="004F3F6F"/>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4F0"/>
    <w:rsid w:val="006149B1"/>
    <w:rsid w:val="00636507"/>
    <w:rsid w:val="00640332"/>
    <w:rsid w:val="00680D2B"/>
    <w:rsid w:val="00681B32"/>
    <w:rsid w:val="00697887"/>
    <w:rsid w:val="006B1D2B"/>
    <w:rsid w:val="006C37D5"/>
    <w:rsid w:val="006E1131"/>
    <w:rsid w:val="006E2037"/>
    <w:rsid w:val="006E6199"/>
    <w:rsid w:val="006E7E89"/>
    <w:rsid w:val="00710A2A"/>
    <w:rsid w:val="00712870"/>
    <w:rsid w:val="00714AC0"/>
    <w:rsid w:val="0074147D"/>
    <w:rsid w:val="00743D85"/>
    <w:rsid w:val="00744F8B"/>
    <w:rsid w:val="00747D6E"/>
    <w:rsid w:val="00753CF4"/>
    <w:rsid w:val="007565CC"/>
    <w:rsid w:val="007624B1"/>
    <w:rsid w:val="00763B9A"/>
    <w:rsid w:val="007A6AA8"/>
    <w:rsid w:val="007B1357"/>
    <w:rsid w:val="007B3343"/>
    <w:rsid w:val="008203DA"/>
    <w:rsid w:val="008310C9"/>
    <w:rsid w:val="008335F0"/>
    <w:rsid w:val="00834306"/>
    <w:rsid w:val="00853CC5"/>
    <w:rsid w:val="00877E6E"/>
    <w:rsid w:val="008B083A"/>
    <w:rsid w:val="008C5BDE"/>
    <w:rsid w:val="008C7848"/>
    <w:rsid w:val="008E50E5"/>
    <w:rsid w:val="008F042B"/>
    <w:rsid w:val="00906589"/>
    <w:rsid w:val="00906AD6"/>
    <w:rsid w:val="00912BF7"/>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12AEC"/>
    <w:rsid w:val="00A239D1"/>
    <w:rsid w:val="00A25EE2"/>
    <w:rsid w:val="00A31928"/>
    <w:rsid w:val="00A35B27"/>
    <w:rsid w:val="00A507D4"/>
    <w:rsid w:val="00A5147A"/>
    <w:rsid w:val="00A62A14"/>
    <w:rsid w:val="00A6617B"/>
    <w:rsid w:val="00A66700"/>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1EC3"/>
    <w:rsid w:val="00B0286E"/>
    <w:rsid w:val="00B02C89"/>
    <w:rsid w:val="00B033C8"/>
    <w:rsid w:val="00B24667"/>
    <w:rsid w:val="00B33425"/>
    <w:rsid w:val="00B42334"/>
    <w:rsid w:val="00B44E24"/>
    <w:rsid w:val="00B54ECC"/>
    <w:rsid w:val="00B60AC0"/>
    <w:rsid w:val="00B714F3"/>
    <w:rsid w:val="00B75A52"/>
    <w:rsid w:val="00B874C6"/>
    <w:rsid w:val="00B87B6B"/>
    <w:rsid w:val="00B9169E"/>
    <w:rsid w:val="00BB7886"/>
    <w:rsid w:val="00BC3C85"/>
    <w:rsid w:val="00BC5D77"/>
    <w:rsid w:val="00BD4283"/>
    <w:rsid w:val="00BD554D"/>
    <w:rsid w:val="00BF3333"/>
    <w:rsid w:val="00BF487A"/>
    <w:rsid w:val="00BF5544"/>
    <w:rsid w:val="00C15F3E"/>
    <w:rsid w:val="00C46BD9"/>
    <w:rsid w:val="00C55258"/>
    <w:rsid w:val="00C73560"/>
    <w:rsid w:val="00C84DB7"/>
    <w:rsid w:val="00C87A35"/>
    <w:rsid w:val="00C965A3"/>
    <w:rsid w:val="00CB0F14"/>
    <w:rsid w:val="00CD659B"/>
    <w:rsid w:val="00CE0A43"/>
    <w:rsid w:val="00CE7896"/>
    <w:rsid w:val="00D00118"/>
    <w:rsid w:val="00D16749"/>
    <w:rsid w:val="00D5024B"/>
    <w:rsid w:val="00D61962"/>
    <w:rsid w:val="00D72623"/>
    <w:rsid w:val="00D73376"/>
    <w:rsid w:val="00D83556"/>
    <w:rsid w:val="00DE5556"/>
    <w:rsid w:val="00DF4176"/>
    <w:rsid w:val="00E0095C"/>
    <w:rsid w:val="00E17240"/>
    <w:rsid w:val="00E74595"/>
    <w:rsid w:val="00E76200"/>
    <w:rsid w:val="00E77485"/>
    <w:rsid w:val="00EB1CB6"/>
    <w:rsid w:val="00EB5736"/>
    <w:rsid w:val="00EB7C57"/>
    <w:rsid w:val="00ED0C71"/>
    <w:rsid w:val="00ED2695"/>
    <w:rsid w:val="00EE04BA"/>
    <w:rsid w:val="00EE47C4"/>
    <w:rsid w:val="00EF2D52"/>
    <w:rsid w:val="00F30C9B"/>
    <w:rsid w:val="00F354B1"/>
    <w:rsid w:val="00F354D7"/>
    <w:rsid w:val="00F6343F"/>
    <w:rsid w:val="00F72776"/>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38F723"/>
  <w15:docId w15:val="{E6667A30-774B-43A3-A66F-2AD5F1F3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8F042B"/>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8F042B"/>
    <w:pPr>
      <w:spacing w:before="240"/>
    </w:pPr>
    <w:rPr>
      <w:sz w:val="22"/>
      <w:szCs w:val="22"/>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8F042B"/>
    <w:pPr>
      <w:spacing w:after="480"/>
    </w:pPr>
    <w:rPr>
      <w:sz w:val="22"/>
      <w:szCs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NormalaftertitleChar">
    <w:name w:val="Normal_after_title Char"/>
    <w:link w:val="Normalaftertitle"/>
    <w:locked/>
    <w:rsid w:val="008F042B"/>
    <w:rPr>
      <w:sz w:val="24"/>
      <w:lang w:val="fr-FR" w:eastAsia="en-US"/>
    </w:rPr>
  </w:style>
  <w:style w:type="character" w:customStyle="1" w:styleId="CallChar">
    <w:name w:val="Call Char"/>
    <w:link w:val="Call"/>
    <w:qFormat/>
    <w:rsid w:val="008F042B"/>
    <w:rPr>
      <w:i/>
      <w:sz w:val="24"/>
      <w:lang w:val="fr-FR" w:eastAsia="en-US"/>
    </w:rPr>
  </w:style>
  <w:style w:type="character" w:customStyle="1" w:styleId="enumlev1Char">
    <w:name w:val="enumlev1 Char"/>
    <w:link w:val="enumlev1"/>
    <w:rsid w:val="008F042B"/>
    <w:rPr>
      <w:sz w:val="24"/>
      <w:lang w:val="fr-FR" w:eastAsia="en-US"/>
    </w:rPr>
  </w:style>
  <w:style w:type="character" w:customStyle="1" w:styleId="HeadingbChar">
    <w:name w:val="Heading_b Char"/>
    <w:link w:val="Headingb"/>
    <w:locked/>
    <w:rsid w:val="008F042B"/>
    <w:rPr>
      <w:b/>
      <w:sz w:val="24"/>
      <w:lang w:val="fr-FR" w:eastAsia="en-US"/>
    </w:rPr>
  </w:style>
  <w:style w:type="character" w:customStyle="1" w:styleId="TableheadChar">
    <w:name w:val="Table_head Char"/>
    <w:link w:val="Tablehead"/>
    <w:locked/>
    <w:rsid w:val="008F042B"/>
    <w:rPr>
      <w:b/>
      <w:sz w:val="22"/>
      <w:lang w:val="fr-FR" w:eastAsia="en-US"/>
    </w:rPr>
  </w:style>
  <w:style w:type="character" w:customStyle="1" w:styleId="Artref">
    <w:name w:val="Art_ref"/>
    <w:basedOn w:val="DefaultParagraphFont"/>
    <w:rsid w:val="008F042B"/>
  </w:style>
  <w:style w:type="character" w:customStyle="1" w:styleId="TabletextChar">
    <w:name w:val="Table_text Char"/>
    <w:basedOn w:val="DefaultParagraphFont"/>
    <w:link w:val="Tabletext"/>
    <w:locked/>
    <w:rsid w:val="008F042B"/>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M.2084/fr" TargetMode="External"/><Relationship Id="rId3" Type="http://schemas.openxmlformats.org/officeDocument/2006/relationships/styles" Target="styles.xml"/><Relationship Id="rId21" Type="http://schemas.openxmlformats.org/officeDocument/2006/relationships/hyperlink" Target="https://www.itu.int/pub/R-REP-M.2445" TargetMode="External"/><Relationship Id="rId7" Type="http://schemas.openxmlformats.org/officeDocument/2006/relationships/endnotes" Target="endnotes.xml"/><Relationship Id="rId12" Type="http://schemas.openxmlformats.org/officeDocument/2006/relationships/hyperlink" Target="https://www.itu.int/publ/R-REC/fr" TargetMode="External"/><Relationship Id="rId17" Type="http://schemas.openxmlformats.org/officeDocument/2006/relationships/hyperlink" Target="https://www.itu.int/rec/R-REC-M.1797/fr" TargetMode="External"/><Relationship Id="rId2" Type="http://schemas.openxmlformats.org/officeDocument/2006/relationships/numbering" Target="numbering.xml"/><Relationship Id="rId16" Type="http://schemas.openxmlformats.org/officeDocument/2006/relationships/hyperlink" Target="https://www.itu.int/rec/R-REC-M.1453/fr" TargetMode="External"/><Relationship Id="rId20" Type="http://schemas.openxmlformats.org/officeDocument/2006/relationships/hyperlink" Target="https://www.itu.int/pub/R-REP-M.24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ec/R-REC-M.1452/f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pub/R-REP-M.2228/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F\2023-ITU-R-REC%20BR_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9BE4-0D92-46CF-93A2-FB1B531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 BR_M.F.dotx</Template>
  <TotalTime>26</TotalTime>
  <Pages>6</Pages>
  <Words>1596</Words>
  <Characters>9278</Characters>
  <Application>Microsoft Office Word</Application>
  <DocSecurity>0</DocSecurity>
  <Lines>231</Lines>
  <Paragraphs>164</Paragraphs>
  <ScaleCrop>false</ScaleCrop>
  <HeadingPairs>
    <vt:vector size="2" baseType="variant">
      <vt:variant>
        <vt:lpstr>Title</vt:lpstr>
      </vt:variant>
      <vt:variant>
        <vt:i4>1</vt:i4>
      </vt:variant>
    </vt:vector>
  </HeadingPairs>
  <TitlesOfParts>
    <vt:vector size="1" baseType="lpstr">
      <vt:lpstr>RECOMMANDATION  UIT-R  M.2121-1 - Harmonisation des bandes de fréquences pour les systèmes  de transport intelligents dans le service mobile</vt:lpstr>
    </vt:vector>
  </TitlesOfParts>
  <Manager/>
  <Company>ITU</Company>
  <LinksUpToDate>false</LinksUpToDate>
  <CharactersWithSpaces>10710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M.2121-1 (12/2023) - Harmonisation des bandes de fréquences pour les systèmes  de transport intelligents dans le service mobile</dc:title>
  <dc:subject>Série M = Services mobile, de radiorepérage et d'amateur y compris les services par satellite associés</dc:subject>
  <dc:creator>Bureau des radiocommunications de l'UIT (BR)</dc:creator>
  <cp:keywords/>
  <dc:description>Saez, 26.08.2024, ITU51017659</dc:description>
  <cp:lastModifiedBy>Saez Grau, Ricardo</cp:lastModifiedBy>
  <cp:revision>6</cp:revision>
  <cp:lastPrinted>2023-03-20T07:41:00Z</cp:lastPrinted>
  <dcterms:created xsi:type="dcterms:W3CDTF">2024-08-26T14:28:00Z</dcterms:created>
  <dcterms:modified xsi:type="dcterms:W3CDTF">2024-08-26T14:54:00Z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Saez</vt:lpwstr>
  </property>
  <property fmtid="{D5CDD505-2E9C-101B-9397-08002B2CF9AE}" pid="11" name="Date completed">
    <vt:lpwstr>lundi, 26 août 2024</vt:lpwstr>
  </property>
</Properties>
</file>