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12E1" w:rsidRPr="00575CB8" w:rsidRDefault="008712E1" w:rsidP="008712E1">
      <w:pPr>
        <w:rPr>
          <w:lang w:val="en-US"/>
        </w:rPr>
      </w:pPr>
      <w:bookmarkStart w:id="0" w:name="_GoBack"/>
      <w:bookmarkEnd w:id="0"/>
    </w:p>
    <w:p w:rsidR="008712E1" w:rsidRDefault="008712E1" w:rsidP="008712E1"/>
    <w:p w:rsidR="008712E1" w:rsidRDefault="008712E1" w:rsidP="008712E1"/>
    <w:p w:rsidR="008712E1" w:rsidRDefault="008712E1" w:rsidP="008712E1"/>
    <w:p w:rsidR="008712E1" w:rsidRDefault="008712E1" w:rsidP="008712E1"/>
    <w:p w:rsidR="008712E1" w:rsidRDefault="008712E1" w:rsidP="008712E1"/>
    <w:p w:rsidR="008712E1" w:rsidRDefault="008712E1" w:rsidP="008712E1"/>
    <w:p w:rsidR="008712E1" w:rsidRDefault="008712E1" w:rsidP="008712E1"/>
    <w:p w:rsidR="008712E1" w:rsidRDefault="008712E1" w:rsidP="008712E1"/>
    <w:tbl>
      <w:tblPr>
        <w:tblW w:w="10089" w:type="dxa"/>
        <w:tblLook w:val="01E0" w:firstRow="1" w:lastRow="1" w:firstColumn="1" w:lastColumn="1" w:noHBand="0" w:noVBand="0"/>
      </w:tblPr>
      <w:tblGrid>
        <w:gridCol w:w="10089"/>
      </w:tblGrid>
      <w:tr w:rsidR="008712E1" w:rsidRPr="00ED4181" w:rsidTr="00BA5024">
        <w:tc>
          <w:tcPr>
            <w:tcW w:w="10089" w:type="dxa"/>
          </w:tcPr>
          <w:p w:rsidR="008712E1" w:rsidRPr="00A07AEB" w:rsidRDefault="008712E1" w:rsidP="00BA5024">
            <w:pPr>
              <w:spacing w:before="380" w:line="280" w:lineRule="exact"/>
              <w:jc w:val="right"/>
              <w:rPr>
                <w:rFonts w:ascii="Tahoma" w:hAnsi="Tahoma" w:cs="Tahoma"/>
                <w:b/>
                <w:bCs/>
                <w:iCs/>
                <w:color w:val="243285"/>
                <w:sz w:val="32"/>
                <w:szCs w:val="32"/>
                <w:lang w:val="en-US"/>
              </w:rPr>
            </w:pPr>
          </w:p>
          <w:p w:rsidR="008712E1" w:rsidRPr="00A07AEB" w:rsidRDefault="008712E1" w:rsidP="00BA5024">
            <w:pPr>
              <w:spacing w:before="380" w:line="280" w:lineRule="exact"/>
              <w:jc w:val="right"/>
              <w:rPr>
                <w:rFonts w:ascii="Tahoma" w:hAnsi="Tahoma" w:cs="Tahoma"/>
                <w:b/>
                <w:bCs/>
                <w:iCs/>
                <w:color w:val="243285"/>
                <w:sz w:val="36"/>
                <w:szCs w:val="36"/>
                <w:lang w:val="es-ES_tradnl"/>
              </w:rPr>
            </w:pPr>
            <w:proofErr w:type="gramStart"/>
            <w:r w:rsidRPr="00A07AEB">
              <w:rPr>
                <w:rFonts w:ascii="Tahoma" w:hAnsi="Tahoma" w:cs="Tahoma"/>
                <w:b/>
                <w:bCs/>
                <w:iCs/>
                <w:color w:val="243285"/>
                <w:sz w:val="36"/>
                <w:szCs w:val="36"/>
                <w:lang w:val="es-ES_tradnl"/>
              </w:rPr>
              <w:t>Recomendación  UIT</w:t>
            </w:r>
            <w:proofErr w:type="gramEnd"/>
            <w:r w:rsidRPr="00A07AEB">
              <w:rPr>
                <w:rFonts w:ascii="Tahoma" w:hAnsi="Tahoma" w:cs="Tahoma"/>
                <w:b/>
                <w:bCs/>
                <w:iCs/>
                <w:color w:val="243285"/>
                <w:sz w:val="36"/>
                <w:szCs w:val="36"/>
                <w:lang w:val="es-ES_tradnl"/>
              </w:rPr>
              <w:t xml:space="preserve">-R  </w:t>
            </w:r>
            <w:r>
              <w:rPr>
                <w:rFonts w:ascii="Tahoma" w:hAnsi="Tahoma" w:cs="Tahoma"/>
                <w:b/>
                <w:bCs/>
                <w:iCs/>
                <w:color w:val="243285"/>
                <w:sz w:val="36"/>
                <w:szCs w:val="36"/>
                <w:lang w:val="es-ES_tradnl"/>
              </w:rPr>
              <w:t>M.</w:t>
            </w:r>
            <w:r w:rsidRPr="00810BCE">
              <w:rPr>
                <w:rFonts w:ascii="Tahoma" w:hAnsi="Tahoma" w:cs="Tahoma"/>
                <w:b/>
                <w:bCs/>
                <w:iCs/>
                <w:color w:val="243285"/>
                <w:sz w:val="36"/>
                <w:szCs w:val="36"/>
                <w:lang w:val="es-ES_tradnl"/>
              </w:rPr>
              <w:t>2120-0</w:t>
            </w:r>
          </w:p>
          <w:p w:rsidR="008712E1" w:rsidRPr="00A07AEB" w:rsidRDefault="008712E1" w:rsidP="00BA5024">
            <w:pPr>
              <w:spacing w:before="80" w:line="280" w:lineRule="exact"/>
              <w:jc w:val="right"/>
              <w:rPr>
                <w:rFonts w:ascii="Tahoma" w:hAnsi="Tahoma" w:cs="Tahoma"/>
                <w:b/>
                <w:bCs/>
                <w:iCs/>
                <w:color w:val="243285"/>
                <w:szCs w:val="24"/>
                <w:lang w:val="es-ES_tradnl"/>
              </w:rPr>
            </w:pPr>
            <w:r w:rsidRPr="00810BCE">
              <w:rPr>
                <w:rFonts w:ascii="Tahoma" w:hAnsi="Tahoma" w:cs="Tahoma"/>
                <w:b/>
                <w:bCs/>
                <w:iCs/>
                <w:color w:val="243285"/>
                <w:szCs w:val="24"/>
                <w:lang w:val="es-ES_tradnl"/>
              </w:rPr>
              <w:t>(01/2019</w:t>
            </w:r>
            <w:r w:rsidRPr="00A07AEB">
              <w:rPr>
                <w:rFonts w:ascii="Tahoma" w:hAnsi="Tahoma" w:cs="Tahoma"/>
                <w:b/>
                <w:bCs/>
                <w:iCs/>
                <w:color w:val="243285"/>
                <w:szCs w:val="24"/>
                <w:lang w:val="es-ES_tradnl"/>
              </w:rPr>
              <w:t>)</w:t>
            </w:r>
          </w:p>
        </w:tc>
      </w:tr>
      <w:tr w:rsidR="008712E1" w:rsidRPr="0021735B" w:rsidTr="00BA5024">
        <w:tc>
          <w:tcPr>
            <w:tcW w:w="10089" w:type="dxa"/>
          </w:tcPr>
          <w:p w:rsidR="008712E1" w:rsidRPr="0010336F" w:rsidRDefault="008712E1" w:rsidP="00BA5024">
            <w:pPr>
              <w:spacing w:before="80" w:line="500" w:lineRule="exact"/>
              <w:jc w:val="right"/>
              <w:rPr>
                <w:rFonts w:ascii="Tahoma" w:hAnsi="Tahoma" w:cs="Tahoma"/>
                <w:b/>
                <w:bCs/>
                <w:iCs/>
                <w:color w:val="243285"/>
                <w:sz w:val="44"/>
                <w:szCs w:val="44"/>
                <w:lang w:val="es-ES_tradnl"/>
              </w:rPr>
            </w:pPr>
          </w:p>
          <w:p w:rsidR="008712E1" w:rsidRPr="0010336F" w:rsidRDefault="008712E1" w:rsidP="00BA5024">
            <w:pPr>
              <w:spacing w:before="80" w:line="500" w:lineRule="exact"/>
              <w:jc w:val="right"/>
              <w:rPr>
                <w:rFonts w:ascii="Tahoma" w:hAnsi="Tahoma" w:cs="Tahoma"/>
                <w:b/>
                <w:bCs/>
                <w:iCs/>
                <w:color w:val="243285"/>
                <w:sz w:val="44"/>
                <w:szCs w:val="44"/>
                <w:lang w:val="es-ES_tradnl"/>
              </w:rPr>
            </w:pPr>
          </w:p>
          <w:p w:rsidR="008712E1" w:rsidRDefault="008712E1" w:rsidP="00BA5024">
            <w:pPr>
              <w:spacing w:before="80" w:line="500" w:lineRule="exact"/>
              <w:jc w:val="right"/>
              <w:rPr>
                <w:rFonts w:ascii="Tahoma" w:hAnsi="Tahoma" w:cs="Tahoma"/>
                <w:b/>
                <w:bCs/>
                <w:color w:val="243285"/>
                <w:sz w:val="44"/>
                <w:szCs w:val="44"/>
                <w:lang w:val="es-ES_tradnl"/>
              </w:rPr>
            </w:pPr>
            <w:r w:rsidRPr="00810BCE">
              <w:rPr>
                <w:rFonts w:ascii="Tahoma" w:hAnsi="Tahoma" w:cs="Tahoma"/>
                <w:b/>
                <w:bCs/>
                <w:color w:val="243285"/>
                <w:sz w:val="44"/>
                <w:szCs w:val="44"/>
                <w:lang w:val="es-ES_tradnl"/>
              </w:rPr>
              <w:t>Características técnicas y criterios de</w:t>
            </w:r>
            <w:r>
              <w:rPr>
                <w:rFonts w:ascii="Tahoma" w:hAnsi="Tahoma" w:cs="Tahoma"/>
                <w:b/>
                <w:bCs/>
                <w:color w:val="243285"/>
                <w:sz w:val="44"/>
                <w:szCs w:val="44"/>
                <w:lang w:val="es-ES_tradnl"/>
              </w:rPr>
              <w:t xml:space="preserve"> </w:t>
            </w:r>
            <w:r w:rsidRPr="00810BCE">
              <w:rPr>
                <w:rFonts w:ascii="Tahoma" w:hAnsi="Tahoma" w:cs="Tahoma"/>
                <w:b/>
                <w:bCs/>
                <w:color w:val="243285"/>
                <w:sz w:val="44"/>
                <w:szCs w:val="44"/>
                <w:lang w:val="es-ES_tradnl"/>
              </w:rPr>
              <w:t xml:space="preserve">protección de los sistemas del servicio </w:t>
            </w:r>
            <w:r w:rsidRPr="00810BCE">
              <w:rPr>
                <w:rFonts w:ascii="Tahoma" w:hAnsi="Tahoma" w:cs="Tahoma"/>
                <w:b/>
                <w:bCs/>
                <w:color w:val="243285"/>
                <w:sz w:val="44"/>
                <w:szCs w:val="44"/>
                <w:lang w:val="es-ES_tradnl"/>
              </w:rPr>
              <w:br/>
              <w:t>móvil aeronáutico que funcionan</w:t>
            </w:r>
            <w:r>
              <w:rPr>
                <w:rFonts w:ascii="Tahoma" w:hAnsi="Tahoma" w:cs="Tahoma"/>
                <w:b/>
                <w:bCs/>
                <w:color w:val="243285"/>
                <w:sz w:val="44"/>
                <w:szCs w:val="44"/>
                <w:lang w:val="es-ES_tradnl"/>
              </w:rPr>
              <w:br/>
            </w:r>
            <w:r w:rsidRPr="00810BCE">
              <w:rPr>
                <w:rFonts w:ascii="Tahoma" w:hAnsi="Tahoma" w:cs="Tahoma"/>
                <w:b/>
                <w:bCs/>
                <w:color w:val="243285"/>
                <w:sz w:val="44"/>
                <w:szCs w:val="44"/>
                <w:lang w:val="es-ES_tradnl"/>
              </w:rPr>
              <w:t>en el servicio móvil en la banda</w:t>
            </w:r>
            <w:r>
              <w:rPr>
                <w:rFonts w:ascii="Tahoma" w:hAnsi="Tahoma" w:cs="Tahoma"/>
                <w:b/>
                <w:bCs/>
                <w:color w:val="243285"/>
                <w:sz w:val="44"/>
                <w:szCs w:val="44"/>
                <w:lang w:val="es-ES_tradnl"/>
              </w:rPr>
              <w:br/>
            </w:r>
            <w:r w:rsidRPr="00810BCE">
              <w:rPr>
                <w:rFonts w:ascii="Tahoma" w:hAnsi="Tahoma" w:cs="Tahoma"/>
                <w:b/>
                <w:bCs/>
                <w:color w:val="243285"/>
                <w:sz w:val="44"/>
                <w:szCs w:val="44"/>
                <w:lang w:val="es-ES_tradnl"/>
              </w:rPr>
              <w:t>de frecuencias 21,2-22</w:t>
            </w:r>
            <w:r w:rsidR="00D61929">
              <w:rPr>
                <w:rFonts w:ascii="Tahoma" w:hAnsi="Tahoma" w:cs="Tahoma"/>
                <w:b/>
                <w:bCs/>
                <w:color w:val="243285"/>
                <w:sz w:val="44"/>
                <w:szCs w:val="44"/>
                <w:lang w:val="es-ES_tradnl"/>
              </w:rPr>
              <w:t> GHz</w:t>
            </w:r>
          </w:p>
          <w:p w:rsidR="008712E1" w:rsidRPr="00A07AEB" w:rsidRDefault="008712E1" w:rsidP="00BA5024">
            <w:pPr>
              <w:spacing w:before="80" w:line="500" w:lineRule="exact"/>
              <w:jc w:val="right"/>
              <w:rPr>
                <w:rFonts w:ascii="Tahoma" w:hAnsi="Tahoma" w:cs="Tahoma"/>
                <w:b/>
                <w:bCs/>
                <w:iCs/>
                <w:color w:val="243285"/>
                <w:sz w:val="44"/>
                <w:szCs w:val="44"/>
                <w:lang w:val="es-ES_tradnl"/>
              </w:rPr>
            </w:pPr>
          </w:p>
        </w:tc>
      </w:tr>
      <w:tr w:rsidR="008712E1" w:rsidRPr="00ED4181" w:rsidTr="00BA5024">
        <w:tc>
          <w:tcPr>
            <w:tcW w:w="10089" w:type="dxa"/>
          </w:tcPr>
          <w:p w:rsidR="008712E1" w:rsidRPr="00A07AEB" w:rsidRDefault="008712E1" w:rsidP="00BA5024">
            <w:pPr>
              <w:spacing w:before="80" w:line="280" w:lineRule="exact"/>
              <w:ind w:right="640"/>
              <w:rPr>
                <w:rFonts w:ascii="Tahoma" w:hAnsi="Tahoma" w:cs="Tahoma"/>
                <w:b/>
                <w:bCs/>
                <w:iCs/>
                <w:color w:val="243285"/>
                <w:sz w:val="32"/>
                <w:szCs w:val="32"/>
                <w:lang w:val="es-ES_tradnl"/>
              </w:rPr>
            </w:pPr>
          </w:p>
          <w:p w:rsidR="008712E1" w:rsidRPr="00A07AEB" w:rsidRDefault="008712E1" w:rsidP="00BA5024">
            <w:pPr>
              <w:spacing w:before="80" w:line="280" w:lineRule="exact"/>
              <w:ind w:right="640"/>
              <w:rPr>
                <w:rFonts w:ascii="Tahoma" w:hAnsi="Tahoma" w:cs="Tahoma"/>
                <w:b/>
                <w:bCs/>
                <w:iCs/>
                <w:color w:val="243285"/>
                <w:sz w:val="32"/>
                <w:szCs w:val="32"/>
                <w:lang w:val="es-ES_tradnl"/>
              </w:rPr>
            </w:pPr>
          </w:p>
          <w:p w:rsidR="008712E1" w:rsidRPr="00A07AEB" w:rsidRDefault="008712E1" w:rsidP="00BA5024">
            <w:pPr>
              <w:spacing w:before="80" w:after="180" w:line="360" w:lineRule="exact"/>
              <w:ind w:right="720"/>
              <w:rPr>
                <w:rFonts w:ascii="Tahoma" w:hAnsi="Tahoma" w:cs="Tahoma"/>
                <w:b/>
                <w:bCs/>
                <w:iCs/>
                <w:color w:val="243285"/>
                <w:sz w:val="36"/>
                <w:szCs w:val="36"/>
                <w:lang w:val="es-ES_tradnl"/>
              </w:rPr>
            </w:pPr>
          </w:p>
          <w:p w:rsidR="008712E1" w:rsidRPr="00A07AEB" w:rsidRDefault="008712E1" w:rsidP="00BA5024">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8712E1" w:rsidRPr="00A07AEB" w:rsidRDefault="008712E1" w:rsidP="00BA5024">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Servicios móviles, de </w:t>
            </w:r>
            <w:proofErr w:type="spellStart"/>
            <w:r w:rsidRPr="00A07AEB">
              <w:rPr>
                <w:rFonts w:ascii="Tahoma" w:hAnsi="Tahoma" w:cs="Tahoma"/>
                <w:b/>
                <w:bCs/>
                <w:iCs/>
                <w:color w:val="243285"/>
                <w:sz w:val="36"/>
                <w:szCs w:val="36"/>
                <w:lang w:val="es-ES_tradnl"/>
              </w:rPr>
              <w:t>radiodeterminación</w:t>
            </w:r>
            <w:proofErr w:type="spellEnd"/>
            <w:r w:rsidRPr="00A07AEB">
              <w:rPr>
                <w:rFonts w:ascii="Tahoma" w:hAnsi="Tahoma" w:cs="Tahoma"/>
                <w:b/>
                <w:bCs/>
                <w:iCs/>
                <w:color w:val="243285"/>
                <w:sz w:val="36"/>
                <w:szCs w:val="36"/>
                <w:lang w:val="es-ES_tradnl"/>
              </w:rPr>
              <w:t>,</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8712E1" w:rsidRPr="0026666F" w:rsidRDefault="008712E1" w:rsidP="008712E1">
      <w:pPr>
        <w:spacing w:before="80"/>
        <w:rPr>
          <w:i/>
          <w:sz w:val="22"/>
          <w:lang w:val="es-ES_tradnl"/>
        </w:rPr>
      </w:pPr>
    </w:p>
    <w:p w:rsidR="008712E1" w:rsidRPr="0026666F" w:rsidRDefault="008712E1" w:rsidP="008712E1">
      <w:pPr>
        <w:spacing w:before="80"/>
        <w:rPr>
          <w:i/>
          <w:sz w:val="22"/>
          <w:lang w:val="es-ES_tradnl"/>
        </w:rPr>
      </w:pPr>
    </w:p>
    <w:p w:rsidR="008712E1" w:rsidRPr="0026666F" w:rsidRDefault="008712E1" w:rsidP="008712E1">
      <w:pPr>
        <w:spacing w:before="80"/>
        <w:rPr>
          <w:i/>
          <w:sz w:val="22"/>
          <w:lang w:val="es-ES_tradnl"/>
        </w:rPr>
      </w:pPr>
    </w:p>
    <w:p w:rsidR="008712E1" w:rsidRPr="0026666F" w:rsidRDefault="008712E1" w:rsidP="008712E1">
      <w:pPr>
        <w:pStyle w:val="Equation"/>
        <w:tabs>
          <w:tab w:val="clear" w:pos="4820"/>
          <w:tab w:val="clear" w:pos="9639"/>
          <w:tab w:val="left" w:pos="1191"/>
          <w:tab w:val="left" w:pos="1588"/>
          <w:tab w:val="left" w:pos="1985"/>
        </w:tabs>
        <w:rPr>
          <w:rFonts w:ascii="Palatino Linotype" w:hAnsi="Palatino Linotype"/>
          <w:lang w:val="es-ES_tradnl"/>
        </w:rPr>
        <w:sectPr w:rsidR="008712E1" w:rsidRPr="0026666F">
          <w:headerReference w:type="even" r:id="rId7"/>
          <w:headerReference w:type="default" r:id="rId8"/>
          <w:pgSz w:w="11907" w:h="16840" w:code="9"/>
          <w:pgMar w:top="1089" w:right="1089" w:bottom="284" w:left="1089" w:header="567" w:footer="284" w:gutter="0"/>
          <w:pgNumType w:start="1"/>
          <w:cols w:space="720"/>
        </w:sectPr>
      </w:pPr>
    </w:p>
    <w:p w:rsidR="008712E1" w:rsidRPr="006C718C" w:rsidRDefault="008712E1" w:rsidP="008712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8712E1" w:rsidRPr="006C718C" w:rsidRDefault="008712E1" w:rsidP="008712E1">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8712E1" w:rsidRPr="006C718C" w:rsidRDefault="008712E1" w:rsidP="008712E1">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8712E1" w:rsidRPr="00021E8A" w:rsidRDefault="008712E1" w:rsidP="008712E1">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8712E1" w:rsidRPr="00021E8A" w:rsidRDefault="008712E1" w:rsidP="008712E1">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8712E1" w:rsidRPr="007C36CA" w:rsidRDefault="008712E1" w:rsidP="008712E1">
      <w:pPr>
        <w:spacing w:before="0"/>
        <w:jc w:val="center"/>
        <w:rPr>
          <w:sz w:val="22"/>
          <w:lang w:val="es-ES_tradnl"/>
        </w:rPr>
      </w:pPr>
    </w:p>
    <w:p w:rsidR="008712E1" w:rsidRPr="007C36CA" w:rsidRDefault="008712E1" w:rsidP="008712E1">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712E1" w:rsidRPr="00ED4181" w:rsidTr="00BA5024">
        <w:tc>
          <w:tcPr>
            <w:tcW w:w="9360" w:type="dxa"/>
            <w:gridSpan w:val="2"/>
          </w:tcPr>
          <w:p w:rsidR="008712E1" w:rsidRPr="00021E8A" w:rsidRDefault="008712E1" w:rsidP="00BA502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8712E1" w:rsidRPr="00763D08" w:rsidRDefault="008712E1" w:rsidP="00BA50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8712E1" w:rsidRPr="00036EE3" w:rsidTr="00BA5024">
        <w:tc>
          <w:tcPr>
            <w:tcW w:w="1140" w:type="dxa"/>
          </w:tcPr>
          <w:p w:rsidR="008712E1" w:rsidRPr="00036EE3" w:rsidRDefault="008712E1" w:rsidP="00BA5024">
            <w:pPr>
              <w:spacing w:before="180" w:after="100"/>
              <w:ind w:left="57"/>
              <w:rPr>
                <w:b/>
                <w:bCs/>
                <w:sz w:val="20"/>
                <w:lang w:val="en-US"/>
              </w:rPr>
            </w:pPr>
            <w:r w:rsidRPr="00036EE3">
              <w:rPr>
                <w:b/>
                <w:bCs/>
                <w:sz w:val="20"/>
                <w:lang w:val="en-US"/>
              </w:rPr>
              <w:t>Series</w:t>
            </w:r>
          </w:p>
        </w:tc>
        <w:tc>
          <w:tcPr>
            <w:tcW w:w="8220" w:type="dxa"/>
          </w:tcPr>
          <w:p w:rsidR="008712E1" w:rsidRPr="00036EE3" w:rsidRDefault="008712E1" w:rsidP="00BA50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8712E1" w:rsidRPr="00036EE3" w:rsidTr="00BA5024">
        <w:tc>
          <w:tcPr>
            <w:tcW w:w="1140" w:type="dxa"/>
          </w:tcPr>
          <w:p w:rsidR="008712E1" w:rsidRPr="00036EE3" w:rsidRDefault="008712E1" w:rsidP="00BA5024">
            <w:pPr>
              <w:spacing w:before="30" w:after="30"/>
              <w:ind w:left="57"/>
              <w:jc w:val="left"/>
              <w:rPr>
                <w:b/>
                <w:bCs/>
                <w:sz w:val="20"/>
                <w:lang w:val="en-US"/>
              </w:rPr>
            </w:pPr>
            <w:r w:rsidRPr="00036EE3">
              <w:rPr>
                <w:b/>
                <w:bCs/>
                <w:sz w:val="20"/>
                <w:lang w:val="en-US"/>
              </w:rPr>
              <w:t>BO</w:t>
            </w:r>
          </w:p>
        </w:tc>
        <w:tc>
          <w:tcPr>
            <w:tcW w:w="8220" w:type="dxa"/>
          </w:tcPr>
          <w:p w:rsidR="008712E1" w:rsidRPr="00021E8A" w:rsidRDefault="008712E1" w:rsidP="00BA50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Distribución</w:t>
            </w:r>
            <w:proofErr w:type="spellEnd"/>
            <w:r w:rsidRPr="00021E8A">
              <w:rPr>
                <w:b w:val="0"/>
                <w:bCs/>
                <w:sz w:val="20"/>
              </w:rPr>
              <w:t xml:space="preserve"> </w:t>
            </w:r>
            <w:proofErr w:type="spellStart"/>
            <w:r w:rsidRPr="00021E8A">
              <w:rPr>
                <w:b w:val="0"/>
                <w:bCs/>
                <w:sz w:val="20"/>
              </w:rPr>
              <w:t>por</w:t>
            </w:r>
            <w:proofErr w:type="spellEnd"/>
            <w:r w:rsidRPr="00021E8A">
              <w:rPr>
                <w:b w:val="0"/>
                <w:bCs/>
                <w:sz w:val="20"/>
              </w:rPr>
              <w:t xml:space="preserve"> </w:t>
            </w:r>
            <w:proofErr w:type="spellStart"/>
            <w:r w:rsidRPr="00021E8A">
              <w:rPr>
                <w:b w:val="0"/>
                <w:bCs/>
                <w:sz w:val="20"/>
              </w:rPr>
              <w:t>satélite</w:t>
            </w:r>
            <w:proofErr w:type="spellEnd"/>
          </w:p>
        </w:tc>
      </w:tr>
      <w:tr w:rsidR="008712E1" w:rsidRPr="00ED4181" w:rsidTr="00BA5024">
        <w:tc>
          <w:tcPr>
            <w:tcW w:w="1140" w:type="dxa"/>
          </w:tcPr>
          <w:p w:rsidR="008712E1" w:rsidRPr="00036EE3" w:rsidRDefault="008712E1" w:rsidP="00BA5024">
            <w:pPr>
              <w:spacing w:before="30" w:after="30"/>
              <w:ind w:left="57"/>
              <w:jc w:val="left"/>
              <w:rPr>
                <w:b/>
                <w:bCs/>
                <w:sz w:val="20"/>
                <w:lang w:val="en-US"/>
              </w:rPr>
            </w:pPr>
            <w:r w:rsidRPr="00036EE3">
              <w:rPr>
                <w:b/>
                <w:bCs/>
                <w:sz w:val="20"/>
                <w:lang w:val="en-US"/>
              </w:rPr>
              <w:t>BR</w:t>
            </w:r>
          </w:p>
        </w:tc>
        <w:tc>
          <w:tcPr>
            <w:tcW w:w="8220" w:type="dxa"/>
          </w:tcPr>
          <w:p w:rsidR="008712E1" w:rsidRPr="00021E8A" w:rsidRDefault="008712E1" w:rsidP="00BA50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8712E1" w:rsidRPr="00036EE3" w:rsidTr="00BA5024">
        <w:tc>
          <w:tcPr>
            <w:tcW w:w="1140" w:type="dxa"/>
          </w:tcPr>
          <w:p w:rsidR="008712E1" w:rsidRPr="00036EE3" w:rsidRDefault="008712E1" w:rsidP="00BA5024">
            <w:pPr>
              <w:spacing w:before="30" w:after="30"/>
              <w:ind w:left="57"/>
              <w:jc w:val="left"/>
              <w:rPr>
                <w:b/>
                <w:bCs/>
                <w:sz w:val="20"/>
                <w:lang w:val="en-US"/>
              </w:rPr>
            </w:pPr>
            <w:r w:rsidRPr="00036EE3">
              <w:rPr>
                <w:b/>
                <w:bCs/>
                <w:sz w:val="20"/>
                <w:lang w:val="en-US"/>
              </w:rPr>
              <w:t>BS</w:t>
            </w:r>
          </w:p>
        </w:tc>
        <w:tc>
          <w:tcPr>
            <w:tcW w:w="8220" w:type="dxa"/>
          </w:tcPr>
          <w:p w:rsidR="008712E1" w:rsidRPr="00021E8A" w:rsidRDefault="008712E1" w:rsidP="00BA50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8712E1" w:rsidRPr="00ED2695" w:rsidTr="00BA5024">
        <w:tc>
          <w:tcPr>
            <w:tcW w:w="1140" w:type="dxa"/>
            <w:shd w:val="clear" w:color="auto" w:fill="auto"/>
          </w:tcPr>
          <w:p w:rsidR="008712E1" w:rsidRPr="00ED2695" w:rsidRDefault="008712E1" w:rsidP="00BA5024">
            <w:pPr>
              <w:spacing w:before="30" w:after="30"/>
              <w:ind w:left="57"/>
              <w:jc w:val="left"/>
              <w:rPr>
                <w:b/>
                <w:bCs/>
                <w:sz w:val="20"/>
                <w:lang w:val="en-US"/>
              </w:rPr>
            </w:pPr>
            <w:r w:rsidRPr="00ED2695">
              <w:rPr>
                <w:b/>
                <w:bCs/>
                <w:sz w:val="20"/>
                <w:lang w:val="en-US"/>
              </w:rPr>
              <w:t>BT</w:t>
            </w:r>
          </w:p>
        </w:tc>
        <w:tc>
          <w:tcPr>
            <w:tcW w:w="8220" w:type="dxa"/>
            <w:shd w:val="clear" w:color="auto" w:fill="auto"/>
          </w:tcPr>
          <w:p w:rsidR="008712E1" w:rsidRPr="00021E8A" w:rsidRDefault="008712E1" w:rsidP="00BA50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8712E1" w:rsidRPr="00036EE3" w:rsidTr="00BA5024">
        <w:tc>
          <w:tcPr>
            <w:tcW w:w="1140" w:type="dxa"/>
            <w:shd w:val="clear" w:color="auto" w:fill="auto"/>
          </w:tcPr>
          <w:p w:rsidR="008712E1" w:rsidRPr="00036EE3" w:rsidRDefault="008712E1" w:rsidP="00BA5024">
            <w:pPr>
              <w:spacing w:before="30" w:after="30"/>
              <w:ind w:left="57"/>
              <w:jc w:val="left"/>
              <w:rPr>
                <w:b/>
                <w:bCs/>
                <w:sz w:val="20"/>
                <w:lang w:val="fr-CH"/>
              </w:rPr>
            </w:pPr>
            <w:r w:rsidRPr="00036EE3">
              <w:rPr>
                <w:b/>
                <w:bCs/>
                <w:sz w:val="20"/>
                <w:lang w:val="fr-CH"/>
              </w:rPr>
              <w:t>F</w:t>
            </w:r>
          </w:p>
        </w:tc>
        <w:tc>
          <w:tcPr>
            <w:tcW w:w="8220" w:type="dxa"/>
            <w:shd w:val="clear" w:color="auto" w:fill="auto"/>
          </w:tcPr>
          <w:p w:rsidR="008712E1" w:rsidRPr="00021E8A" w:rsidRDefault="008712E1" w:rsidP="00BA502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8712E1" w:rsidRPr="00ED4181" w:rsidTr="00BA5024">
        <w:tc>
          <w:tcPr>
            <w:tcW w:w="1140" w:type="dxa"/>
            <w:shd w:val="clear" w:color="auto" w:fill="F3F3F3"/>
          </w:tcPr>
          <w:p w:rsidR="008712E1" w:rsidRPr="001240BC" w:rsidRDefault="008712E1" w:rsidP="00BA502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8712E1" w:rsidRPr="001240BC" w:rsidRDefault="008712E1" w:rsidP="00BA50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 xml:space="preserve">Servicios móviles, de </w:t>
            </w:r>
            <w:proofErr w:type="spellStart"/>
            <w:r w:rsidRPr="001240BC">
              <w:rPr>
                <w:bCs/>
                <w:color w:val="000080"/>
                <w:sz w:val="20"/>
                <w:lang w:val="es-ES_tradnl"/>
              </w:rPr>
              <w:t>radiodeterminación</w:t>
            </w:r>
            <w:proofErr w:type="spellEnd"/>
            <w:r w:rsidRPr="001240BC">
              <w:rPr>
                <w:bCs/>
                <w:color w:val="000080"/>
                <w:sz w:val="20"/>
                <w:lang w:val="es-ES_tradnl"/>
              </w:rPr>
              <w:t>, de aficionados y otros servicios por satélite conexos</w:t>
            </w:r>
          </w:p>
        </w:tc>
      </w:tr>
      <w:tr w:rsidR="008712E1" w:rsidRPr="00ED4181" w:rsidTr="00BA5024">
        <w:tc>
          <w:tcPr>
            <w:tcW w:w="1140" w:type="dxa"/>
          </w:tcPr>
          <w:p w:rsidR="008712E1" w:rsidRPr="00036EE3" w:rsidRDefault="008712E1" w:rsidP="00BA5024">
            <w:pPr>
              <w:spacing w:before="30" w:after="30"/>
              <w:ind w:left="57"/>
              <w:jc w:val="left"/>
              <w:rPr>
                <w:b/>
                <w:bCs/>
                <w:sz w:val="20"/>
                <w:lang w:val="fr-CH"/>
              </w:rPr>
            </w:pPr>
            <w:r w:rsidRPr="00036EE3">
              <w:rPr>
                <w:b/>
                <w:bCs/>
                <w:sz w:val="20"/>
                <w:lang w:val="fr-CH"/>
              </w:rPr>
              <w:t>P</w:t>
            </w:r>
          </w:p>
        </w:tc>
        <w:tc>
          <w:tcPr>
            <w:tcW w:w="8220" w:type="dxa"/>
          </w:tcPr>
          <w:p w:rsidR="008712E1" w:rsidRPr="00021E8A" w:rsidRDefault="008712E1" w:rsidP="00BA5024">
            <w:pPr>
              <w:spacing w:before="30" w:after="30"/>
              <w:jc w:val="left"/>
              <w:rPr>
                <w:bCs/>
                <w:sz w:val="20"/>
                <w:lang w:val="es-ES_tradnl"/>
              </w:rPr>
            </w:pPr>
            <w:r w:rsidRPr="00021E8A">
              <w:rPr>
                <w:bCs/>
                <w:sz w:val="20"/>
                <w:lang w:val="es-ES_tradnl"/>
              </w:rPr>
              <w:t>Propagación de las ondas radioeléctricas</w:t>
            </w:r>
          </w:p>
        </w:tc>
      </w:tr>
      <w:tr w:rsidR="008712E1" w:rsidRPr="00036EE3" w:rsidTr="00BA5024">
        <w:tc>
          <w:tcPr>
            <w:tcW w:w="1140" w:type="dxa"/>
          </w:tcPr>
          <w:p w:rsidR="008712E1" w:rsidRPr="00036EE3" w:rsidRDefault="008712E1" w:rsidP="00BA5024">
            <w:pPr>
              <w:spacing w:before="30" w:after="30"/>
              <w:ind w:left="57"/>
              <w:jc w:val="left"/>
              <w:rPr>
                <w:b/>
                <w:bCs/>
                <w:sz w:val="20"/>
                <w:lang w:val="en-US"/>
              </w:rPr>
            </w:pPr>
            <w:r w:rsidRPr="00036EE3">
              <w:rPr>
                <w:b/>
                <w:bCs/>
                <w:sz w:val="20"/>
                <w:lang w:val="en-US"/>
              </w:rPr>
              <w:t>RA</w:t>
            </w:r>
          </w:p>
        </w:tc>
        <w:tc>
          <w:tcPr>
            <w:tcW w:w="8220" w:type="dxa"/>
          </w:tcPr>
          <w:p w:rsidR="008712E1" w:rsidRPr="00021E8A" w:rsidRDefault="008712E1" w:rsidP="00BA502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sidRPr="00021E8A">
              <w:rPr>
                <w:bCs/>
                <w:sz w:val="20"/>
              </w:rPr>
              <w:t>Radioastronomía</w:t>
            </w:r>
            <w:proofErr w:type="spellEnd"/>
          </w:p>
        </w:tc>
      </w:tr>
      <w:tr w:rsidR="008712E1" w:rsidRPr="00ED4181" w:rsidTr="00BA5024">
        <w:tc>
          <w:tcPr>
            <w:tcW w:w="1140" w:type="dxa"/>
          </w:tcPr>
          <w:p w:rsidR="008712E1" w:rsidRPr="00036EE3" w:rsidRDefault="008712E1" w:rsidP="00BA5024">
            <w:pPr>
              <w:spacing w:before="30" w:after="30"/>
              <w:ind w:left="57"/>
              <w:jc w:val="left"/>
              <w:rPr>
                <w:b/>
                <w:bCs/>
                <w:sz w:val="20"/>
                <w:lang w:val="en-US"/>
              </w:rPr>
            </w:pPr>
            <w:r w:rsidRPr="00036EE3">
              <w:rPr>
                <w:b/>
                <w:bCs/>
                <w:sz w:val="20"/>
                <w:lang w:val="en-US"/>
              </w:rPr>
              <w:t>RS</w:t>
            </w:r>
          </w:p>
        </w:tc>
        <w:tc>
          <w:tcPr>
            <w:tcW w:w="8220" w:type="dxa"/>
          </w:tcPr>
          <w:p w:rsidR="008712E1" w:rsidRPr="00021E8A" w:rsidRDefault="008712E1" w:rsidP="00BA502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8712E1" w:rsidRPr="00036EE3" w:rsidTr="00BA5024">
        <w:tc>
          <w:tcPr>
            <w:tcW w:w="1140" w:type="dxa"/>
          </w:tcPr>
          <w:p w:rsidR="008712E1" w:rsidRPr="00036EE3" w:rsidRDefault="008712E1" w:rsidP="00BA5024">
            <w:pPr>
              <w:spacing w:before="30" w:after="30"/>
              <w:ind w:left="57"/>
              <w:jc w:val="left"/>
              <w:rPr>
                <w:b/>
                <w:bCs/>
                <w:sz w:val="20"/>
                <w:lang w:val="en-US"/>
              </w:rPr>
            </w:pPr>
            <w:r w:rsidRPr="00036EE3">
              <w:rPr>
                <w:b/>
                <w:bCs/>
                <w:sz w:val="20"/>
                <w:lang w:val="en-US"/>
              </w:rPr>
              <w:t>S</w:t>
            </w:r>
          </w:p>
        </w:tc>
        <w:tc>
          <w:tcPr>
            <w:tcW w:w="8220" w:type="dxa"/>
          </w:tcPr>
          <w:p w:rsidR="008712E1" w:rsidRPr="00021E8A" w:rsidRDefault="008712E1" w:rsidP="00BA5024">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8712E1" w:rsidRPr="00036EE3" w:rsidTr="00BA5024">
        <w:tc>
          <w:tcPr>
            <w:tcW w:w="1140" w:type="dxa"/>
          </w:tcPr>
          <w:p w:rsidR="008712E1" w:rsidRPr="00036EE3" w:rsidRDefault="008712E1" w:rsidP="00BA5024">
            <w:pPr>
              <w:spacing w:before="30" w:after="30"/>
              <w:ind w:left="57"/>
              <w:jc w:val="left"/>
              <w:rPr>
                <w:b/>
                <w:bCs/>
                <w:sz w:val="20"/>
                <w:lang w:val="en-US"/>
              </w:rPr>
            </w:pPr>
            <w:r w:rsidRPr="00036EE3">
              <w:rPr>
                <w:b/>
                <w:bCs/>
                <w:sz w:val="20"/>
                <w:lang w:val="en-US"/>
              </w:rPr>
              <w:t>SA</w:t>
            </w:r>
          </w:p>
        </w:tc>
        <w:tc>
          <w:tcPr>
            <w:tcW w:w="8220" w:type="dxa"/>
          </w:tcPr>
          <w:p w:rsidR="008712E1" w:rsidRPr="00021E8A" w:rsidRDefault="008712E1" w:rsidP="00BA5024">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8712E1" w:rsidRPr="00ED4181" w:rsidTr="00BA5024">
        <w:tc>
          <w:tcPr>
            <w:tcW w:w="1140" w:type="dxa"/>
          </w:tcPr>
          <w:p w:rsidR="008712E1" w:rsidRPr="00036EE3" w:rsidRDefault="008712E1" w:rsidP="00BA5024">
            <w:pPr>
              <w:spacing w:before="30" w:after="30"/>
              <w:ind w:left="57"/>
              <w:jc w:val="left"/>
              <w:rPr>
                <w:b/>
                <w:bCs/>
                <w:sz w:val="20"/>
                <w:lang w:val="en-US"/>
              </w:rPr>
            </w:pPr>
            <w:r w:rsidRPr="00036EE3">
              <w:rPr>
                <w:b/>
                <w:bCs/>
                <w:sz w:val="20"/>
                <w:lang w:val="en-US"/>
              </w:rPr>
              <w:t>SF</w:t>
            </w:r>
          </w:p>
        </w:tc>
        <w:tc>
          <w:tcPr>
            <w:tcW w:w="8220" w:type="dxa"/>
          </w:tcPr>
          <w:p w:rsidR="008712E1" w:rsidRPr="00021E8A" w:rsidRDefault="008712E1" w:rsidP="00BA502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8712E1" w:rsidRPr="00036EE3" w:rsidTr="00BA5024">
        <w:tc>
          <w:tcPr>
            <w:tcW w:w="1140" w:type="dxa"/>
            <w:shd w:val="clear" w:color="auto" w:fill="auto"/>
          </w:tcPr>
          <w:p w:rsidR="008712E1" w:rsidRPr="001240BC" w:rsidRDefault="008712E1" w:rsidP="00BA5024">
            <w:pPr>
              <w:spacing w:before="30" w:after="30"/>
              <w:ind w:left="57"/>
              <w:jc w:val="left"/>
              <w:rPr>
                <w:b/>
                <w:bCs/>
                <w:sz w:val="20"/>
                <w:lang w:val="en-US"/>
              </w:rPr>
            </w:pPr>
            <w:r w:rsidRPr="001240BC">
              <w:rPr>
                <w:b/>
                <w:bCs/>
                <w:sz w:val="20"/>
                <w:lang w:val="en-US"/>
              </w:rPr>
              <w:t>SM</w:t>
            </w:r>
          </w:p>
        </w:tc>
        <w:tc>
          <w:tcPr>
            <w:tcW w:w="8220" w:type="dxa"/>
            <w:shd w:val="clear" w:color="auto" w:fill="auto"/>
          </w:tcPr>
          <w:p w:rsidR="008712E1" w:rsidRPr="001240BC" w:rsidRDefault="008712E1" w:rsidP="00BA5024">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8712E1" w:rsidRPr="00036EE3" w:rsidTr="00BA5024">
        <w:tc>
          <w:tcPr>
            <w:tcW w:w="1140" w:type="dxa"/>
          </w:tcPr>
          <w:p w:rsidR="008712E1" w:rsidRPr="00036EE3" w:rsidRDefault="008712E1" w:rsidP="00BA5024">
            <w:pPr>
              <w:spacing w:before="30" w:after="30"/>
              <w:ind w:left="57"/>
              <w:jc w:val="left"/>
              <w:rPr>
                <w:b/>
                <w:bCs/>
                <w:sz w:val="20"/>
                <w:lang w:val="en-US"/>
              </w:rPr>
            </w:pPr>
            <w:r w:rsidRPr="00036EE3">
              <w:rPr>
                <w:b/>
                <w:bCs/>
                <w:sz w:val="20"/>
                <w:lang w:val="en-US"/>
              </w:rPr>
              <w:t>SNG</w:t>
            </w:r>
          </w:p>
        </w:tc>
        <w:tc>
          <w:tcPr>
            <w:tcW w:w="8220" w:type="dxa"/>
          </w:tcPr>
          <w:p w:rsidR="008712E1" w:rsidRPr="00021E8A" w:rsidRDefault="008712E1" w:rsidP="00BA5024">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8712E1" w:rsidRPr="00ED4181" w:rsidTr="00BA5024">
        <w:tc>
          <w:tcPr>
            <w:tcW w:w="1140" w:type="dxa"/>
          </w:tcPr>
          <w:p w:rsidR="008712E1" w:rsidRPr="00036EE3" w:rsidRDefault="008712E1" w:rsidP="00BA5024">
            <w:pPr>
              <w:spacing w:before="30" w:after="30"/>
              <w:ind w:left="57"/>
              <w:jc w:val="left"/>
              <w:rPr>
                <w:b/>
                <w:bCs/>
                <w:sz w:val="20"/>
                <w:lang w:val="en-US"/>
              </w:rPr>
            </w:pPr>
            <w:r w:rsidRPr="00036EE3">
              <w:rPr>
                <w:b/>
                <w:bCs/>
                <w:sz w:val="20"/>
                <w:lang w:val="en-US"/>
              </w:rPr>
              <w:t>TF</w:t>
            </w:r>
          </w:p>
        </w:tc>
        <w:tc>
          <w:tcPr>
            <w:tcW w:w="8220" w:type="dxa"/>
          </w:tcPr>
          <w:p w:rsidR="008712E1" w:rsidRPr="00021E8A" w:rsidRDefault="008712E1" w:rsidP="00BA5024">
            <w:pPr>
              <w:spacing w:before="30" w:after="30"/>
              <w:jc w:val="left"/>
              <w:rPr>
                <w:bCs/>
                <w:sz w:val="20"/>
                <w:lang w:val="es-ES_tradnl"/>
              </w:rPr>
            </w:pPr>
            <w:r w:rsidRPr="00021E8A">
              <w:rPr>
                <w:bCs/>
                <w:sz w:val="20"/>
                <w:lang w:val="es-ES_tradnl"/>
              </w:rPr>
              <w:t>Emisiones de frecuencias patrón y señales horarias</w:t>
            </w:r>
          </w:p>
        </w:tc>
      </w:tr>
      <w:tr w:rsidR="008712E1" w:rsidRPr="00036EE3" w:rsidTr="00BA5024">
        <w:tc>
          <w:tcPr>
            <w:tcW w:w="1140" w:type="dxa"/>
          </w:tcPr>
          <w:p w:rsidR="008712E1" w:rsidRPr="00036EE3" w:rsidRDefault="008712E1" w:rsidP="00BA5024">
            <w:pPr>
              <w:spacing w:before="30" w:after="30"/>
              <w:ind w:left="57"/>
              <w:jc w:val="left"/>
              <w:rPr>
                <w:b/>
                <w:bCs/>
                <w:sz w:val="20"/>
                <w:lang w:val="en-US"/>
              </w:rPr>
            </w:pPr>
            <w:r w:rsidRPr="00036EE3">
              <w:rPr>
                <w:b/>
                <w:bCs/>
                <w:sz w:val="20"/>
                <w:lang w:val="en-US"/>
              </w:rPr>
              <w:t>V</w:t>
            </w:r>
          </w:p>
        </w:tc>
        <w:tc>
          <w:tcPr>
            <w:tcW w:w="8220" w:type="dxa"/>
          </w:tcPr>
          <w:p w:rsidR="008712E1" w:rsidRPr="00021E8A" w:rsidRDefault="008712E1" w:rsidP="00BA5024">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8712E1" w:rsidRPr="00036EE3" w:rsidRDefault="008712E1" w:rsidP="008712E1">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712E1" w:rsidTr="00BA5024">
        <w:tc>
          <w:tcPr>
            <w:tcW w:w="720" w:type="dxa"/>
          </w:tcPr>
          <w:p w:rsidR="008712E1" w:rsidRDefault="008712E1" w:rsidP="00BA502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712E1" w:rsidRPr="00ED4181" w:rsidTr="00BA5024">
        <w:tc>
          <w:tcPr>
            <w:tcW w:w="9360" w:type="dxa"/>
          </w:tcPr>
          <w:p w:rsidR="008712E1" w:rsidRPr="00A07AEB" w:rsidRDefault="008712E1" w:rsidP="00BA5024">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8712E1" w:rsidRPr="00763D08" w:rsidRDefault="008712E1" w:rsidP="008712E1">
      <w:pPr>
        <w:spacing w:before="0"/>
        <w:jc w:val="center"/>
        <w:rPr>
          <w:sz w:val="22"/>
          <w:lang w:val="es-ES_tradnl"/>
        </w:rPr>
      </w:pPr>
    </w:p>
    <w:p w:rsidR="008712E1" w:rsidRPr="00763D08" w:rsidRDefault="008712E1" w:rsidP="008712E1">
      <w:pPr>
        <w:spacing w:before="60"/>
        <w:jc w:val="right"/>
        <w:rPr>
          <w:i/>
          <w:iCs/>
          <w:sz w:val="20"/>
          <w:lang w:val="es-ES_tradnl"/>
        </w:rPr>
      </w:pPr>
      <w:r w:rsidRPr="00763D08">
        <w:rPr>
          <w:i/>
          <w:iCs/>
          <w:sz w:val="20"/>
          <w:lang w:val="es-ES_tradnl"/>
        </w:rPr>
        <w:t>Publicación electrónica</w:t>
      </w:r>
    </w:p>
    <w:p w:rsidR="008712E1" w:rsidRPr="00763D08" w:rsidRDefault="008712E1" w:rsidP="008712E1">
      <w:pPr>
        <w:spacing w:before="0" w:after="40"/>
        <w:jc w:val="right"/>
        <w:rPr>
          <w:sz w:val="20"/>
          <w:lang w:val="es-ES_tradnl"/>
        </w:rPr>
      </w:pPr>
      <w:r w:rsidRPr="00763D08">
        <w:rPr>
          <w:sz w:val="20"/>
          <w:lang w:val="es-ES_tradnl"/>
        </w:rPr>
        <w:t>Ginebra, 20</w:t>
      </w:r>
      <w:r>
        <w:rPr>
          <w:sz w:val="20"/>
          <w:lang w:val="es-ES_tradnl"/>
        </w:rPr>
        <w:t>19</w:t>
      </w:r>
    </w:p>
    <w:p w:rsidR="008712E1" w:rsidRPr="00763D08" w:rsidRDefault="008712E1" w:rsidP="008712E1">
      <w:pPr>
        <w:spacing w:before="0"/>
        <w:jc w:val="center"/>
        <w:rPr>
          <w:sz w:val="22"/>
          <w:lang w:val="es-ES_tradnl"/>
        </w:rPr>
      </w:pPr>
    </w:p>
    <w:p w:rsidR="008712E1" w:rsidRPr="00763D08" w:rsidRDefault="008712E1" w:rsidP="008712E1">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19</w:t>
      </w:r>
    </w:p>
    <w:p w:rsidR="008712E1" w:rsidRPr="006C718C" w:rsidRDefault="008712E1" w:rsidP="008712E1">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8712E1" w:rsidRPr="006C718C" w:rsidRDefault="008712E1" w:rsidP="008712E1">
      <w:pPr>
        <w:spacing w:before="160"/>
        <w:rPr>
          <w:i/>
          <w:sz w:val="20"/>
          <w:highlight w:val="yellow"/>
          <w:lang w:val="es-ES_tradnl"/>
        </w:rPr>
        <w:sectPr w:rsidR="008712E1" w:rsidRPr="006C718C" w:rsidSect="00CB1354">
          <w:headerReference w:type="even" r:id="rId11"/>
          <w:headerReference w:type="default" r:id="rId12"/>
          <w:pgSz w:w="11907" w:h="16834" w:code="9"/>
          <w:pgMar w:top="1418" w:right="1134" w:bottom="1134" w:left="1134" w:header="720" w:footer="482" w:gutter="0"/>
          <w:pgNumType w:fmt="lowerRoman" w:start="2"/>
          <w:cols w:space="720"/>
        </w:sectPr>
      </w:pPr>
    </w:p>
    <w:p w:rsidR="008712E1" w:rsidRPr="0010336F" w:rsidRDefault="008712E1" w:rsidP="008712E1">
      <w:pPr>
        <w:pStyle w:val="RecNo"/>
        <w:spacing w:before="0"/>
        <w:rPr>
          <w:lang w:val="es-ES_tradnl"/>
        </w:rPr>
      </w:pPr>
      <w:bookmarkStart w:id="3" w:name="irecnoe"/>
      <w:bookmarkEnd w:id="3"/>
      <w:proofErr w:type="gramStart"/>
      <w:r w:rsidRPr="00763D08">
        <w:rPr>
          <w:lang w:val="es-ES_tradnl"/>
        </w:rPr>
        <w:lastRenderedPageBreak/>
        <w:t xml:space="preserve">RECOMENDACIÓN  </w:t>
      </w:r>
      <w:r w:rsidRPr="0010336F">
        <w:rPr>
          <w:rStyle w:val="href"/>
          <w:lang w:val="es-ES_tradnl"/>
        </w:rPr>
        <w:t>UIT</w:t>
      </w:r>
      <w:proofErr w:type="gramEnd"/>
      <w:r w:rsidRPr="0010336F">
        <w:rPr>
          <w:rStyle w:val="href"/>
          <w:lang w:val="es-ES_tradnl"/>
        </w:rPr>
        <w:t xml:space="preserve">-R  </w:t>
      </w:r>
      <w:r>
        <w:rPr>
          <w:rStyle w:val="href"/>
          <w:lang w:val="es-ES_tradnl"/>
        </w:rPr>
        <w:t>M</w:t>
      </w:r>
      <w:r w:rsidRPr="0010336F">
        <w:rPr>
          <w:rStyle w:val="href"/>
          <w:lang w:val="es-ES_tradnl"/>
        </w:rPr>
        <w:t>.</w:t>
      </w:r>
      <w:r w:rsidR="00AE0457">
        <w:rPr>
          <w:rStyle w:val="href"/>
          <w:lang w:val="es-ES_tradnl"/>
        </w:rPr>
        <w:t>2120-0</w:t>
      </w:r>
    </w:p>
    <w:p w:rsidR="00AE0457" w:rsidRDefault="00AE0457" w:rsidP="00AE0457">
      <w:pPr>
        <w:pStyle w:val="Rectitle"/>
        <w:rPr>
          <w:lang w:val="es-ES_tradnl"/>
        </w:rPr>
      </w:pPr>
      <w:r w:rsidRPr="00810BCE">
        <w:rPr>
          <w:lang w:val="es-ES_tradnl"/>
        </w:rPr>
        <w:t>Características técnicas y criterios de protección de los sistemas</w:t>
      </w:r>
      <w:r>
        <w:rPr>
          <w:lang w:val="es-ES_tradnl"/>
        </w:rPr>
        <w:t xml:space="preserve"> </w:t>
      </w:r>
      <w:r w:rsidRPr="00810BCE">
        <w:rPr>
          <w:lang w:val="es-ES_tradnl"/>
        </w:rPr>
        <w:t>del</w:t>
      </w:r>
      <w:r>
        <w:rPr>
          <w:lang w:val="es-ES_tradnl"/>
        </w:rPr>
        <w:br/>
      </w:r>
      <w:r w:rsidR="00BC0F29" w:rsidRPr="00810BCE">
        <w:rPr>
          <w:lang w:val="es-ES_tradnl"/>
        </w:rPr>
        <w:t xml:space="preserve">servicio </w:t>
      </w:r>
      <w:r w:rsidRPr="00810BCE">
        <w:rPr>
          <w:lang w:val="es-ES_tradnl"/>
        </w:rPr>
        <w:t>móvil aeronáutico que funcionan</w:t>
      </w:r>
      <w:r>
        <w:rPr>
          <w:lang w:val="es-ES_tradnl"/>
        </w:rPr>
        <w:t xml:space="preserve"> </w:t>
      </w:r>
      <w:r w:rsidR="007F3EC6">
        <w:rPr>
          <w:lang w:val="es-ES_tradnl"/>
        </w:rPr>
        <w:t>en el servicio móvil</w:t>
      </w:r>
      <w:r>
        <w:rPr>
          <w:lang w:val="es-ES_tradnl"/>
        </w:rPr>
        <w:br/>
      </w:r>
      <w:r w:rsidRPr="00810BCE">
        <w:rPr>
          <w:lang w:val="es-ES_tradnl"/>
        </w:rPr>
        <w:t>en la banda de frecuencias 21,2-22</w:t>
      </w:r>
      <w:r w:rsidR="00D61929">
        <w:rPr>
          <w:lang w:val="es-ES_tradnl"/>
        </w:rPr>
        <w:t> GHz</w:t>
      </w:r>
    </w:p>
    <w:p w:rsidR="00AE0457" w:rsidRPr="00AE0457" w:rsidRDefault="00AE0457" w:rsidP="00AE0457">
      <w:pPr>
        <w:pStyle w:val="Blanc"/>
      </w:pPr>
    </w:p>
    <w:p w:rsidR="00AE0457" w:rsidRPr="00810BCE" w:rsidRDefault="00AE0457" w:rsidP="00AE0457">
      <w:pPr>
        <w:pStyle w:val="Recdate"/>
        <w:rPr>
          <w:lang w:val="es-ES_tradnl"/>
        </w:rPr>
      </w:pPr>
      <w:r w:rsidRPr="00810BCE">
        <w:rPr>
          <w:lang w:val="es-ES_tradnl"/>
        </w:rPr>
        <w:t>(2019)</w:t>
      </w:r>
    </w:p>
    <w:p w:rsidR="00AE0457" w:rsidRPr="00AE0457" w:rsidRDefault="00AE0457" w:rsidP="00AE0457">
      <w:pPr>
        <w:pStyle w:val="Blanc"/>
      </w:pPr>
    </w:p>
    <w:p w:rsidR="00AE0457" w:rsidRPr="00810BCE" w:rsidRDefault="00AE0457" w:rsidP="00AE0457">
      <w:pPr>
        <w:pStyle w:val="HeadingSum"/>
      </w:pPr>
      <w:r w:rsidRPr="00810BCE">
        <w:t>Cometido</w:t>
      </w:r>
    </w:p>
    <w:p w:rsidR="00AE0457" w:rsidRDefault="00AE0457" w:rsidP="00AE0457">
      <w:pPr>
        <w:pStyle w:val="Summary"/>
      </w:pPr>
      <w:r w:rsidRPr="00810BCE">
        <w:t>La presente Recomendación contiene información sobre las características técnicas y los criterios de protección de los sistemas que funcionan en el servicio móvil aeronáutico (AMS), planificados o que funcionan actualmente en la gama de frecuencias 21,2-22</w:t>
      </w:r>
      <w:r w:rsidR="00D61929">
        <w:t> GHz</w:t>
      </w:r>
      <w:r w:rsidRPr="00810BCE">
        <w:t xml:space="preserve"> para uso en estudios de compartición y compatibilidad, según el caso.</w:t>
      </w:r>
    </w:p>
    <w:p w:rsidR="00AE0457" w:rsidRPr="00AE0457" w:rsidRDefault="00AE0457" w:rsidP="00AE0457">
      <w:pPr>
        <w:rPr>
          <w:lang w:val="es-ES_tradnl"/>
        </w:rPr>
      </w:pPr>
    </w:p>
    <w:p w:rsidR="00AE0457" w:rsidRPr="00810BCE" w:rsidRDefault="00AE0457" w:rsidP="00AE0457">
      <w:pPr>
        <w:pStyle w:val="Headingb"/>
        <w:rPr>
          <w:lang w:val="es-ES_tradnl"/>
        </w:rPr>
      </w:pPr>
      <w:r w:rsidRPr="00810BCE">
        <w:rPr>
          <w:lang w:val="es-ES_tradnl"/>
        </w:rPr>
        <w:t>Palabras clave</w:t>
      </w:r>
    </w:p>
    <w:p w:rsidR="00AE0457" w:rsidRPr="00810BCE" w:rsidRDefault="00AE0457" w:rsidP="00AE0457">
      <w:pPr>
        <w:rPr>
          <w:lang w:val="es-ES_tradnl"/>
        </w:rPr>
      </w:pPr>
      <w:r w:rsidRPr="00810BCE">
        <w:rPr>
          <w:lang w:val="es-ES_tradnl"/>
        </w:rPr>
        <w:t>Características técnicas, criterios de protección</w:t>
      </w:r>
      <w:r>
        <w:rPr>
          <w:lang w:val="es-ES_tradnl"/>
        </w:rPr>
        <w:t>, servicio móvil aeronáutico</w:t>
      </w:r>
    </w:p>
    <w:p w:rsidR="00AE0457" w:rsidRPr="00810BCE" w:rsidRDefault="00AE0457" w:rsidP="00AE0457">
      <w:pPr>
        <w:pStyle w:val="Headingb"/>
        <w:spacing w:after="120"/>
        <w:rPr>
          <w:lang w:val="es-ES_tradnl"/>
        </w:rPr>
      </w:pPr>
      <w:r w:rsidRPr="00810BCE">
        <w:rPr>
          <w:lang w:val="es-ES_tradnl"/>
        </w:rPr>
        <w:t>Abreviaturas/glosario</w:t>
      </w:r>
    </w:p>
    <w:p w:rsidR="00AE0457" w:rsidRPr="00810BCE" w:rsidRDefault="00AE0457" w:rsidP="00AE0457">
      <w:pPr>
        <w:tabs>
          <w:tab w:val="clear" w:pos="794"/>
          <w:tab w:val="left" w:pos="851"/>
        </w:tabs>
        <w:rPr>
          <w:lang w:val="es-ES_tradnl"/>
        </w:rPr>
      </w:pPr>
      <w:r w:rsidRPr="00810BCE">
        <w:rPr>
          <w:lang w:val="es-ES_tradnl"/>
        </w:rPr>
        <w:t>FM</w:t>
      </w:r>
      <w:r w:rsidRPr="00810BCE">
        <w:rPr>
          <w:lang w:val="es-ES_tradnl"/>
        </w:rPr>
        <w:tab/>
      </w:r>
      <w:r w:rsidR="00731E09">
        <w:rPr>
          <w:lang w:val="es-ES_tradnl"/>
        </w:rPr>
        <w:tab/>
      </w:r>
      <w:r w:rsidRPr="00810BCE">
        <w:rPr>
          <w:lang w:val="es-ES_tradnl"/>
        </w:rPr>
        <w:t>Modulación de frecuencias</w:t>
      </w:r>
    </w:p>
    <w:p w:rsidR="00AE0457" w:rsidRPr="00810BCE" w:rsidRDefault="00AE0457" w:rsidP="00AE0457">
      <w:pPr>
        <w:tabs>
          <w:tab w:val="clear" w:pos="794"/>
          <w:tab w:val="left" w:pos="851"/>
        </w:tabs>
        <w:rPr>
          <w:lang w:val="es-ES_tradnl"/>
        </w:rPr>
      </w:pPr>
      <w:r w:rsidRPr="00810BCE">
        <w:rPr>
          <w:lang w:val="es-ES_tradnl"/>
        </w:rPr>
        <w:t>GMSK</w:t>
      </w:r>
      <w:r w:rsidR="00731E09">
        <w:rPr>
          <w:lang w:val="es-ES_tradnl"/>
        </w:rPr>
        <w:tab/>
      </w:r>
      <w:r w:rsidRPr="00810BCE">
        <w:rPr>
          <w:lang w:val="es-ES_tradnl"/>
        </w:rPr>
        <w:tab/>
        <w:t>Modulación por desplazamiento mínimo gaussiano</w:t>
      </w:r>
    </w:p>
    <w:p w:rsidR="00AE0457" w:rsidRPr="00810BCE" w:rsidRDefault="00AE0457" w:rsidP="00AE0457">
      <w:pPr>
        <w:tabs>
          <w:tab w:val="clear" w:pos="794"/>
          <w:tab w:val="left" w:pos="851"/>
        </w:tabs>
        <w:rPr>
          <w:lang w:val="es-ES_tradnl"/>
        </w:rPr>
      </w:pPr>
      <w:r w:rsidRPr="00810BCE">
        <w:rPr>
          <w:i/>
          <w:iCs/>
          <w:lang w:val="es-ES_tradnl"/>
        </w:rPr>
        <w:t>I/N</w:t>
      </w:r>
      <w:r w:rsidRPr="00810BCE">
        <w:rPr>
          <w:lang w:val="es-ES_tradnl"/>
        </w:rPr>
        <w:tab/>
      </w:r>
      <w:r w:rsidR="00731E09">
        <w:rPr>
          <w:lang w:val="es-ES_tradnl"/>
        </w:rPr>
        <w:tab/>
      </w:r>
      <w:r w:rsidRPr="00810BCE">
        <w:rPr>
          <w:lang w:val="es-ES_tradnl"/>
        </w:rPr>
        <w:t>Relación interferencia-ruido</w:t>
      </w:r>
    </w:p>
    <w:p w:rsidR="00AE0457" w:rsidRDefault="00AE0457" w:rsidP="00AE0457">
      <w:pPr>
        <w:tabs>
          <w:tab w:val="clear" w:pos="794"/>
          <w:tab w:val="left" w:pos="851"/>
        </w:tabs>
        <w:rPr>
          <w:lang w:val="es-ES_tradnl"/>
        </w:rPr>
      </w:pPr>
      <w:r w:rsidRPr="00810BCE">
        <w:rPr>
          <w:lang w:val="es-ES_tradnl"/>
        </w:rPr>
        <w:t>SMA</w:t>
      </w:r>
      <w:r w:rsidRPr="00810BCE">
        <w:rPr>
          <w:lang w:val="es-ES_tradnl"/>
        </w:rPr>
        <w:tab/>
      </w:r>
      <w:r w:rsidR="00731E09">
        <w:rPr>
          <w:lang w:val="es-ES_tradnl"/>
        </w:rPr>
        <w:tab/>
      </w:r>
      <w:r w:rsidRPr="00810BCE">
        <w:rPr>
          <w:lang w:val="es-ES_tradnl"/>
        </w:rPr>
        <w:t>Servicio móvil aeronáutico</w:t>
      </w:r>
    </w:p>
    <w:p w:rsidR="00AE0457" w:rsidRPr="00810BCE" w:rsidRDefault="00AE0457" w:rsidP="00AE0457">
      <w:pPr>
        <w:tabs>
          <w:tab w:val="clear" w:pos="794"/>
          <w:tab w:val="left" w:pos="851"/>
        </w:tabs>
        <w:spacing w:after="480"/>
        <w:rPr>
          <w:lang w:val="es-ES_tradnl"/>
        </w:rPr>
      </w:pPr>
    </w:p>
    <w:p w:rsidR="00AE0457" w:rsidRPr="00810BCE" w:rsidRDefault="00AE0457" w:rsidP="00AE0457">
      <w:pPr>
        <w:pStyle w:val="Normalaftertitle0"/>
      </w:pPr>
      <w:r w:rsidRPr="00810BCE">
        <w:t>La Asamblea de Radiocomunicaciones de la UIT,</w:t>
      </w:r>
    </w:p>
    <w:p w:rsidR="00AE0457" w:rsidRPr="00810BCE" w:rsidRDefault="00AE0457" w:rsidP="00AE0457">
      <w:pPr>
        <w:pStyle w:val="Call"/>
        <w:rPr>
          <w:lang w:val="es-ES_tradnl"/>
        </w:rPr>
      </w:pPr>
      <w:r w:rsidRPr="00810BCE">
        <w:rPr>
          <w:lang w:val="es-ES_tradnl"/>
        </w:rPr>
        <w:t>considerando</w:t>
      </w:r>
    </w:p>
    <w:p w:rsidR="00AE0457" w:rsidRPr="00810BCE" w:rsidRDefault="00AE0457" w:rsidP="00AE0457">
      <w:pPr>
        <w:rPr>
          <w:lang w:val="es-ES_tradnl"/>
        </w:rPr>
      </w:pPr>
      <w:r w:rsidRPr="00810BCE">
        <w:rPr>
          <w:i/>
          <w:lang w:val="es-ES_tradnl"/>
        </w:rPr>
        <w:t>a)</w:t>
      </w:r>
      <w:r w:rsidRPr="00810BCE">
        <w:rPr>
          <w:lang w:val="es-ES_tradnl"/>
        </w:rPr>
        <w:tab/>
        <w:t>que el servicio móvil es un servicio ampliamente definido y que el servicio móvil aeronáutico (SMA) es un subconjunto del servicio móvil;</w:t>
      </w:r>
    </w:p>
    <w:p w:rsidR="00AE0457" w:rsidRPr="00810BCE" w:rsidRDefault="00AE0457" w:rsidP="00AE0457">
      <w:pPr>
        <w:rPr>
          <w:lang w:val="es-ES_tradnl"/>
        </w:rPr>
      </w:pPr>
      <w:r w:rsidRPr="00810BCE">
        <w:rPr>
          <w:i/>
          <w:lang w:val="es-ES_tradnl"/>
        </w:rPr>
        <w:t>b)</w:t>
      </w:r>
      <w:r w:rsidRPr="00810BCE">
        <w:rPr>
          <w:lang w:val="es-ES_tradnl"/>
        </w:rPr>
        <w:tab/>
        <w:t>que esta utilización de servicios ampliamente definidos concede flexibilidad a las atribuciones de servicios;</w:t>
      </w:r>
    </w:p>
    <w:p w:rsidR="00AE0457" w:rsidRPr="00810BCE" w:rsidRDefault="00AE0457" w:rsidP="00AE0457">
      <w:pPr>
        <w:rPr>
          <w:lang w:val="es-ES_tradnl"/>
        </w:rPr>
      </w:pPr>
      <w:r w:rsidRPr="00810BCE">
        <w:rPr>
          <w:i/>
          <w:lang w:val="es-ES_tradnl"/>
        </w:rPr>
        <w:t>c)</w:t>
      </w:r>
      <w:r w:rsidRPr="00810BCE">
        <w:rPr>
          <w:lang w:val="es-ES_tradnl"/>
        </w:rPr>
        <w:tab/>
        <w:t>que la utilización de servicios ampliamente definidos no impide la utilización de la banda de frecuencias por cualquier aplicación de los servicios a los que está atribuida y no establece prioridad alguna en el Reglamento de Radiocomunicaciones;</w:t>
      </w:r>
    </w:p>
    <w:p w:rsidR="00AE0457" w:rsidRPr="00810BCE" w:rsidRDefault="00AE0457" w:rsidP="00AE0457">
      <w:pPr>
        <w:rPr>
          <w:i/>
          <w:iCs/>
          <w:lang w:val="es-ES_tradnl"/>
        </w:rPr>
      </w:pPr>
      <w:r w:rsidRPr="00810BCE">
        <w:rPr>
          <w:i/>
          <w:iCs/>
          <w:lang w:val="es-ES_tradnl"/>
        </w:rPr>
        <w:t>d)</w:t>
      </w:r>
      <w:r w:rsidRPr="00810BCE">
        <w:rPr>
          <w:lang w:val="es-ES_tradnl"/>
        </w:rPr>
        <w:tab/>
        <w:t>que los sistemas y redes que funcionan en el SMA se utilizan para enlaces de datos aerotransportados de banda ancha y de banda estrecha que dan soporte aplicaciones de teledetección en ámbitos tales como las ciencias de la Tierra, la ordenación territorial y la distribución de energía, y sus aplicaciones sirven, por ejemplo, para medir el espesor y la distribución de la banquisa polar, la aplicación de la legislación local y nacional, la cartografía de incendios forestales, el control de oleoductos, la utilización del suelo agrícola y urbano y el estudio de los recursos naturales;</w:t>
      </w:r>
    </w:p>
    <w:p w:rsidR="00AE0457" w:rsidRPr="00810BCE" w:rsidRDefault="00AE0457" w:rsidP="00AE0457">
      <w:pPr>
        <w:rPr>
          <w:lang w:val="es-ES_tradnl"/>
        </w:rPr>
      </w:pPr>
      <w:r w:rsidRPr="00810BCE">
        <w:rPr>
          <w:i/>
          <w:iCs/>
          <w:lang w:val="es-ES_tradnl"/>
        </w:rPr>
        <w:t>e)</w:t>
      </w:r>
      <w:r w:rsidRPr="00810BCE">
        <w:rPr>
          <w:i/>
          <w:iCs/>
          <w:lang w:val="es-ES_tradnl"/>
        </w:rPr>
        <w:tab/>
      </w:r>
      <w:r w:rsidRPr="00810BCE">
        <w:rPr>
          <w:lang w:val="es-ES_tradnl"/>
        </w:rPr>
        <w:t>que hay un número cada vez mayor de diversos sistemas y redes planificados y operativos en el SMA;</w:t>
      </w:r>
    </w:p>
    <w:p w:rsidR="00AE0457" w:rsidRPr="00810BCE" w:rsidRDefault="00AE0457" w:rsidP="00AE0457">
      <w:pPr>
        <w:rPr>
          <w:lang w:val="es-ES_tradnl"/>
        </w:rPr>
      </w:pPr>
      <w:r w:rsidRPr="00810BCE">
        <w:rPr>
          <w:i/>
          <w:lang w:val="es-ES_tradnl"/>
        </w:rPr>
        <w:lastRenderedPageBreak/>
        <w:t>f)</w:t>
      </w:r>
      <w:r w:rsidRPr="00810BCE">
        <w:rPr>
          <w:lang w:val="es-ES_tradnl"/>
        </w:rPr>
        <w:tab/>
        <w:t>que, si bien la utilización de un servicio de radiocomunicaciones ampliamente definido puede aumentar la flexibilidad del proceso de atribución, también causar que los acuerdos de compartición sean más complejos dentro de una banda de frecuencias;</w:t>
      </w:r>
    </w:p>
    <w:p w:rsidR="00AE0457" w:rsidRPr="00810BCE" w:rsidRDefault="00AE0457" w:rsidP="00AE0457">
      <w:pPr>
        <w:rPr>
          <w:lang w:val="es-ES_tradnl"/>
        </w:rPr>
      </w:pPr>
      <w:r w:rsidRPr="00810BCE">
        <w:rPr>
          <w:i/>
          <w:lang w:val="es-ES_tradnl"/>
        </w:rPr>
        <w:t>g)</w:t>
      </w:r>
      <w:r w:rsidRPr="00810BCE">
        <w:rPr>
          <w:lang w:val="es-ES_tradnl"/>
        </w:rPr>
        <w:tab/>
        <w:t>que, debido a los atributos de una estación que funciona en una plataforma móvil aeronáutica, algunas administraciones pueden haber prohibido que los sistemas aeronáuticos funcionen dentro de las atribuciones móviles;</w:t>
      </w:r>
    </w:p>
    <w:p w:rsidR="00AE0457" w:rsidRPr="00810BCE" w:rsidRDefault="00AE0457" w:rsidP="00AE0457">
      <w:pPr>
        <w:rPr>
          <w:lang w:val="es-ES_tradnl"/>
        </w:rPr>
      </w:pPr>
      <w:r w:rsidRPr="00810BCE">
        <w:rPr>
          <w:i/>
          <w:lang w:val="es-ES_tradnl"/>
        </w:rPr>
        <w:t>h)</w:t>
      </w:r>
      <w:r w:rsidRPr="00810BCE">
        <w:rPr>
          <w:lang w:val="es-ES_tradnl"/>
        </w:rPr>
        <w:tab/>
        <w:t>que, cuando se utilizan servicios ampliamente definidos, pueden ser necesarias definir las condiciones de coexistencia para la utilización regional o mundial de determinadas bandas,</w:t>
      </w:r>
    </w:p>
    <w:p w:rsidR="00AE0457" w:rsidRPr="00810BCE" w:rsidRDefault="00AE0457" w:rsidP="00AE0457">
      <w:pPr>
        <w:pStyle w:val="Call"/>
        <w:rPr>
          <w:lang w:val="es-ES_tradnl"/>
        </w:rPr>
      </w:pPr>
      <w:r w:rsidRPr="00810BCE">
        <w:rPr>
          <w:lang w:val="es-ES_tradnl"/>
        </w:rPr>
        <w:t>reconociendo</w:t>
      </w:r>
    </w:p>
    <w:p w:rsidR="00AE0457" w:rsidRPr="00810BCE" w:rsidRDefault="00AE0457" w:rsidP="00AE0457">
      <w:pPr>
        <w:rPr>
          <w:i/>
          <w:lang w:val="es-ES_tradnl"/>
        </w:rPr>
      </w:pPr>
      <w:r w:rsidRPr="00810BCE">
        <w:rPr>
          <w:i/>
          <w:lang w:val="es-ES_tradnl"/>
        </w:rPr>
        <w:t>a)</w:t>
      </w:r>
      <w:r w:rsidRPr="00810BCE">
        <w:rPr>
          <w:i/>
          <w:lang w:val="es-ES_tradnl"/>
        </w:rPr>
        <w:tab/>
      </w:r>
      <w:r w:rsidRPr="00810BCE">
        <w:rPr>
          <w:lang w:val="es-ES_tradnl"/>
        </w:rPr>
        <w:t>que la banda de frecuencias 21,2-22</w:t>
      </w:r>
      <w:r w:rsidR="00D61929">
        <w:rPr>
          <w:lang w:val="es-ES_tradnl"/>
        </w:rPr>
        <w:t> GHz</w:t>
      </w:r>
      <w:r w:rsidRPr="00810BCE">
        <w:rPr>
          <w:lang w:val="es-ES_tradnl"/>
        </w:rPr>
        <w:t xml:space="preserve"> está atribuida mundialmente a título primario a los servicios fijo y móvil;</w:t>
      </w:r>
    </w:p>
    <w:p w:rsidR="00AE0457" w:rsidRPr="00810BCE" w:rsidRDefault="00AE0457" w:rsidP="00AE0457">
      <w:pPr>
        <w:rPr>
          <w:i/>
          <w:lang w:val="es-ES_tradnl"/>
        </w:rPr>
      </w:pPr>
      <w:r w:rsidRPr="00810BCE">
        <w:rPr>
          <w:i/>
          <w:lang w:val="es-ES_tradnl"/>
        </w:rPr>
        <w:t>b)</w:t>
      </w:r>
      <w:r w:rsidRPr="00810BCE">
        <w:rPr>
          <w:lang w:val="es-ES_tradnl"/>
        </w:rPr>
        <w:tab/>
      </w:r>
      <w:bookmarkStart w:id="4" w:name="lt_pId042"/>
      <w:r w:rsidRPr="00810BCE">
        <w:rPr>
          <w:lang w:val="es-ES_tradnl"/>
        </w:rPr>
        <w:t xml:space="preserve">que </w:t>
      </w:r>
      <w:bookmarkEnd w:id="4"/>
      <w:r w:rsidRPr="00810BCE">
        <w:rPr>
          <w:lang w:val="es-ES_tradnl"/>
        </w:rPr>
        <w:t>la banda de frecuencias 21,2-21,4</w:t>
      </w:r>
      <w:r w:rsidR="00D61929">
        <w:rPr>
          <w:lang w:val="es-ES_tradnl"/>
        </w:rPr>
        <w:t> GHz</w:t>
      </w:r>
      <w:r w:rsidRPr="00810BCE">
        <w:rPr>
          <w:lang w:val="es-ES_tradnl"/>
        </w:rPr>
        <w:t xml:space="preserve"> también está atribuida mundialmente a título primario al servicio de exploración de la Tierra por satélite (pasivo) y al servicio de investigación espacial (pasivo);</w:t>
      </w:r>
    </w:p>
    <w:p w:rsidR="00AE0457" w:rsidRPr="00810BCE" w:rsidRDefault="00AE0457" w:rsidP="00AE0457">
      <w:pPr>
        <w:rPr>
          <w:lang w:val="es-ES_tradnl"/>
        </w:rPr>
      </w:pPr>
      <w:r w:rsidRPr="00810BCE">
        <w:rPr>
          <w:i/>
          <w:iCs/>
          <w:lang w:val="es-ES_tradnl"/>
        </w:rPr>
        <w:t>c)</w:t>
      </w:r>
      <w:r w:rsidRPr="00810BCE">
        <w:rPr>
          <w:i/>
          <w:iCs/>
          <w:lang w:val="es-ES_tradnl"/>
        </w:rPr>
        <w:tab/>
      </w:r>
      <w:r w:rsidRPr="00810BCE">
        <w:rPr>
          <w:iCs/>
          <w:lang w:val="es-ES_tradnl"/>
        </w:rPr>
        <w:t xml:space="preserve">que la banda de frecuencias </w:t>
      </w:r>
      <w:r w:rsidRPr="00810BCE">
        <w:rPr>
          <w:lang w:val="es-ES_tradnl"/>
        </w:rPr>
        <w:t>21,4-22</w:t>
      </w:r>
      <w:r w:rsidR="00D61929">
        <w:rPr>
          <w:lang w:val="es-ES_tradnl"/>
        </w:rPr>
        <w:t> GHz</w:t>
      </w:r>
      <w:r w:rsidRPr="00810BCE">
        <w:rPr>
          <w:lang w:val="es-ES_tradnl"/>
        </w:rPr>
        <w:t xml:space="preserve"> también está atribuida a título primario al servicio de radiodifusión por satélite en las Regiones 1 y 3;</w:t>
      </w:r>
    </w:p>
    <w:p w:rsidR="00AE0457" w:rsidRPr="00810BCE" w:rsidRDefault="00AE0457" w:rsidP="00AE0457">
      <w:pPr>
        <w:rPr>
          <w:lang w:val="es-ES_tradnl"/>
        </w:rPr>
      </w:pPr>
      <w:r w:rsidRPr="00810BCE">
        <w:rPr>
          <w:i/>
          <w:lang w:val="es-ES_tradnl"/>
        </w:rPr>
        <w:t>d)</w:t>
      </w:r>
      <w:r w:rsidRPr="00810BCE">
        <w:rPr>
          <w:lang w:val="es-ES_tradnl"/>
        </w:rPr>
        <w:tab/>
        <w:t>que el servicio móvil aeronáutico incluye la radiocomunicación entre estaciones aeronáuticas y estaciones de aeronaves, y entre estaciones de aeronaves;</w:t>
      </w:r>
    </w:p>
    <w:p w:rsidR="00AE0457" w:rsidRPr="00810BCE" w:rsidRDefault="00AE0457" w:rsidP="00AE0457">
      <w:pPr>
        <w:rPr>
          <w:lang w:val="es-ES_tradnl"/>
        </w:rPr>
      </w:pPr>
      <w:r w:rsidRPr="00810BCE">
        <w:rPr>
          <w:i/>
          <w:lang w:val="es-ES_tradnl"/>
        </w:rPr>
        <w:t>e)</w:t>
      </w:r>
      <w:r w:rsidRPr="00810BCE">
        <w:rPr>
          <w:lang w:val="es-ES_tradnl"/>
        </w:rPr>
        <w:tab/>
        <w:t>que el número</w:t>
      </w:r>
      <w:r>
        <w:rPr>
          <w:lang w:val="es-ES_tradnl"/>
        </w:rPr>
        <w:t> </w:t>
      </w:r>
      <w:r w:rsidRPr="00810BCE">
        <w:rPr>
          <w:b/>
          <w:lang w:val="es-ES_tradnl"/>
        </w:rPr>
        <w:t>5.530A</w:t>
      </w:r>
      <w:r w:rsidRPr="00810BCE">
        <w:rPr>
          <w:lang w:val="es-ES_tradnl"/>
        </w:rPr>
        <w:t xml:space="preserve"> del RR establece en parte que en la banda de frecuencias 21,4</w:t>
      </w:r>
      <w:r>
        <w:rPr>
          <w:lang w:val="es-ES_tradnl"/>
        </w:rPr>
        <w:noBreakHyphen/>
      </w:r>
      <w:r w:rsidRPr="00810BCE">
        <w:rPr>
          <w:lang w:val="es-ES_tradnl"/>
        </w:rPr>
        <w:t>22</w:t>
      </w:r>
      <w:r w:rsidR="00D61929">
        <w:rPr>
          <w:lang w:val="es-ES_tradnl"/>
        </w:rPr>
        <w:t> GHz</w:t>
      </w:r>
      <w:r w:rsidRPr="00810BCE">
        <w:rPr>
          <w:lang w:val="es-ES_tradnl"/>
        </w:rPr>
        <w:t xml:space="preserve">, «A menos que las administraciones interesadas acuerden otra cosa, ninguna estación de los servicios fijo o móvil de una administración deberá producir una densidad de flujo de potencia superior a −120,4 </w:t>
      </w:r>
      <w:proofErr w:type="gramStart"/>
      <w:r w:rsidRPr="00810BCE">
        <w:rPr>
          <w:lang w:val="es-ES_tradnl"/>
        </w:rPr>
        <w:t>dB(</w:t>
      </w:r>
      <w:proofErr w:type="gramEnd"/>
      <w:r w:rsidRPr="00810BCE">
        <w:rPr>
          <w:lang w:val="es-ES_tradnl"/>
        </w:rPr>
        <w:t>W/(m</w:t>
      </w:r>
      <w:r w:rsidRPr="00810BCE">
        <w:rPr>
          <w:vertAlign w:val="superscript"/>
          <w:lang w:val="es-ES_tradnl"/>
        </w:rPr>
        <w:t>2</w:t>
      </w:r>
      <w:r w:rsidRPr="00810BCE">
        <w:rPr>
          <w:lang w:val="es-ES_tradnl"/>
        </w:rPr>
        <w:t> · MHz)) a 3</w:t>
      </w:r>
      <w:r>
        <w:rPr>
          <w:lang w:val="es-ES_tradnl"/>
        </w:rPr>
        <w:t> </w:t>
      </w:r>
      <w:r w:rsidRPr="00810BCE">
        <w:rPr>
          <w:lang w:val="es-ES_tradnl"/>
        </w:rPr>
        <w:t>m por encima del suelo en ningún punto del territorio de ninguna otra administración en las Regiones 1 y 3 durante más del 20% del tiempo»;</w:t>
      </w:r>
    </w:p>
    <w:p w:rsidR="00AE0457" w:rsidRPr="00810BCE" w:rsidRDefault="00AE0457" w:rsidP="00AE0457">
      <w:pPr>
        <w:rPr>
          <w:lang w:val="es-ES_tradnl"/>
        </w:rPr>
      </w:pPr>
      <w:r w:rsidRPr="00810BCE">
        <w:rPr>
          <w:i/>
          <w:lang w:val="es-ES_tradnl"/>
        </w:rPr>
        <w:t>f)</w:t>
      </w:r>
      <w:r w:rsidRPr="00810BCE">
        <w:rPr>
          <w:lang w:val="es-ES_tradnl"/>
        </w:rPr>
        <w:tab/>
        <w:t>que respecto de la banda de frecuencias 21,4-22</w:t>
      </w:r>
      <w:r w:rsidR="00D61929">
        <w:rPr>
          <w:lang w:val="es-ES_tradnl"/>
        </w:rPr>
        <w:t> GHz</w:t>
      </w:r>
      <w:r w:rsidRPr="00810BCE">
        <w:rPr>
          <w:lang w:val="es-ES_tradnl"/>
        </w:rPr>
        <w:t>, en el número</w:t>
      </w:r>
      <w:r>
        <w:rPr>
          <w:lang w:val="es-ES_tradnl"/>
        </w:rPr>
        <w:t> </w:t>
      </w:r>
      <w:r w:rsidRPr="00810BCE">
        <w:rPr>
          <w:b/>
          <w:lang w:val="es-ES_tradnl"/>
        </w:rPr>
        <w:t>5.530B</w:t>
      </w:r>
      <w:r w:rsidRPr="00810BCE">
        <w:rPr>
          <w:lang w:val="es-ES_tradnl"/>
        </w:rPr>
        <w:t xml:space="preserve"> del RR se insta a las administraciones de las Regiones</w:t>
      </w:r>
      <w:r>
        <w:rPr>
          <w:lang w:val="es-ES_tradnl"/>
        </w:rPr>
        <w:t> </w:t>
      </w:r>
      <w:r w:rsidRPr="00810BCE">
        <w:rPr>
          <w:lang w:val="es-ES_tradnl"/>
        </w:rPr>
        <w:t>1 y 3 a que no instalen estaciones del servicio móvil y limiten la instalación de estaciones del servicio fijo a los enlaces punto a punto, con el fin de facilitar el desarrollo del servicio de radiodifusión por satélite,</w:t>
      </w:r>
    </w:p>
    <w:p w:rsidR="00AE0457" w:rsidRPr="00810BCE" w:rsidRDefault="00AE0457" w:rsidP="00AE0457">
      <w:pPr>
        <w:pStyle w:val="Call"/>
        <w:rPr>
          <w:lang w:val="es-ES_tradnl"/>
        </w:rPr>
      </w:pPr>
      <w:r w:rsidRPr="00810BCE">
        <w:rPr>
          <w:lang w:val="es-ES_tradnl"/>
        </w:rPr>
        <w:t>recomienda</w:t>
      </w:r>
    </w:p>
    <w:p w:rsidR="00AE0457" w:rsidRPr="00810BCE" w:rsidRDefault="00AE0457" w:rsidP="00AE0457">
      <w:pPr>
        <w:rPr>
          <w:lang w:val="es-ES_tradnl"/>
        </w:rPr>
      </w:pPr>
      <w:r w:rsidRPr="00810BCE">
        <w:rPr>
          <w:b/>
          <w:bCs/>
          <w:lang w:val="es-ES_tradnl"/>
        </w:rPr>
        <w:t>1</w:t>
      </w:r>
      <w:r w:rsidRPr="00810BCE">
        <w:rPr>
          <w:lang w:val="es-ES_tradnl"/>
        </w:rPr>
        <w:tab/>
        <w:t xml:space="preserve">que las características técnicas y operacionales de los sistemas que funcionan en el SMA descritas en el Anexo se consideren representativas de los que funcionan en la gama de frecuencias </w:t>
      </w:r>
      <w:r w:rsidRPr="00810BCE">
        <w:rPr>
          <w:iCs/>
          <w:lang w:val="es-ES_tradnl"/>
        </w:rPr>
        <w:t>21,2-22</w:t>
      </w:r>
      <w:r w:rsidR="00D61929">
        <w:rPr>
          <w:iCs/>
          <w:lang w:val="es-ES_tradnl"/>
        </w:rPr>
        <w:t> GHz</w:t>
      </w:r>
      <w:r w:rsidRPr="00810BCE">
        <w:rPr>
          <w:lang w:val="es-ES_tradnl"/>
        </w:rPr>
        <w:t>;</w:t>
      </w:r>
    </w:p>
    <w:p w:rsidR="00AE0457" w:rsidRPr="00810BCE" w:rsidRDefault="00AE0457" w:rsidP="00AE0457">
      <w:pPr>
        <w:rPr>
          <w:lang w:val="es-ES_tradnl"/>
        </w:rPr>
      </w:pPr>
      <w:r w:rsidRPr="00810BCE">
        <w:rPr>
          <w:b/>
          <w:bCs/>
          <w:lang w:val="es-ES_tradnl"/>
        </w:rPr>
        <w:t>2</w:t>
      </w:r>
      <w:r w:rsidRPr="00810BCE">
        <w:rPr>
          <w:lang w:val="es-ES_tradnl"/>
        </w:rPr>
        <w:tab/>
      </w:r>
      <w:proofErr w:type="gramStart"/>
      <w:r w:rsidRPr="00810BCE">
        <w:rPr>
          <w:lang w:val="es-ES_tradnl"/>
        </w:rPr>
        <w:t>que</w:t>
      </w:r>
      <w:proofErr w:type="gramEnd"/>
      <w:r w:rsidRPr="00810BCE">
        <w:rPr>
          <w:lang w:val="es-ES_tradnl"/>
        </w:rPr>
        <w:t xml:space="preserve"> para realizar análisis de compartición y compatibilidad, según el caso, se utilicen las características técnicas y los criterios de protección de las estaciones receptoras y transmisoras del SMA indicadas en el Anexo.</w:t>
      </w:r>
    </w:p>
    <w:p w:rsidR="00AE0457" w:rsidRPr="00810BCE" w:rsidRDefault="00AE0457" w:rsidP="00AE0457">
      <w:pPr>
        <w:rPr>
          <w:szCs w:val="24"/>
          <w:lang w:val="es-ES_tradnl"/>
        </w:rPr>
      </w:pPr>
    </w:p>
    <w:p w:rsidR="00AE0457" w:rsidRPr="00810BCE" w:rsidRDefault="00AE0457" w:rsidP="00AE0457">
      <w:pPr>
        <w:rPr>
          <w:szCs w:val="24"/>
          <w:lang w:val="es-ES_tradnl"/>
        </w:rPr>
      </w:pPr>
    </w:p>
    <w:p w:rsidR="00AE0457" w:rsidRPr="00810BCE" w:rsidRDefault="00AE0457" w:rsidP="00AE0457">
      <w:pPr>
        <w:pStyle w:val="AppendixNoTitle"/>
        <w:rPr>
          <w:lang w:val="es-ES_tradnl"/>
        </w:rPr>
      </w:pPr>
      <w:r w:rsidRPr="00810BCE">
        <w:rPr>
          <w:lang w:val="es-ES_tradnl"/>
        </w:rPr>
        <w:lastRenderedPageBreak/>
        <w:t>Anexo</w:t>
      </w:r>
      <w:r w:rsidRPr="00810BCE">
        <w:rPr>
          <w:lang w:val="es-ES_tradnl"/>
        </w:rPr>
        <w:br/>
      </w:r>
      <w:r w:rsidRPr="00810BCE">
        <w:rPr>
          <w:lang w:val="es-ES_tradnl"/>
        </w:rPr>
        <w:br/>
        <w:t>Características técnicas y criterios de protección de los sistemas</w:t>
      </w:r>
      <w:r w:rsidR="007F3EB9">
        <w:rPr>
          <w:lang w:val="es-ES_tradnl"/>
        </w:rPr>
        <w:br/>
      </w:r>
      <w:r w:rsidRPr="00810BCE">
        <w:rPr>
          <w:lang w:val="es-ES_tradnl"/>
        </w:rPr>
        <w:t>del servicio móvil aeronáutico en la banda</w:t>
      </w:r>
      <w:r w:rsidR="007F3EB9">
        <w:rPr>
          <w:lang w:val="es-ES_tradnl"/>
        </w:rPr>
        <w:t xml:space="preserve"> </w:t>
      </w:r>
      <w:r w:rsidRPr="00810BCE">
        <w:rPr>
          <w:lang w:val="es-ES_tradnl"/>
        </w:rPr>
        <w:t>de frecuencias</w:t>
      </w:r>
      <w:r w:rsidR="007F3EB9">
        <w:rPr>
          <w:lang w:val="es-ES_tradnl"/>
        </w:rPr>
        <w:br/>
      </w:r>
      <w:r w:rsidRPr="00810BCE">
        <w:rPr>
          <w:iCs/>
          <w:szCs w:val="24"/>
          <w:lang w:val="es-ES_tradnl"/>
        </w:rPr>
        <w:t>21,2-22</w:t>
      </w:r>
      <w:r w:rsidR="00D61929">
        <w:rPr>
          <w:iCs/>
          <w:szCs w:val="24"/>
          <w:lang w:val="es-ES_tradnl"/>
        </w:rPr>
        <w:t> GHz</w:t>
      </w:r>
    </w:p>
    <w:p w:rsidR="00AE0457" w:rsidRPr="00810BCE" w:rsidRDefault="00AE0457" w:rsidP="00AE0457">
      <w:pPr>
        <w:pStyle w:val="Heading1"/>
        <w:rPr>
          <w:lang w:val="es-ES_tradnl"/>
        </w:rPr>
      </w:pPr>
      <w:r w:rsidRPr="00810BCE">
        <w:rPr>
          <w:lang w:val="es-ES_tradnl"/>
        </w:rPr>
        <w:t>1</w:t>
      </w:r>
      <w:r w:rsidRPr="00810BCE">
        <w:rPr>
          <w:lang w:val="es-ES_tradnl"/>
        </w:rPr>
        <w:tab/>
        <w:t>Introducción</w:t>
      </w:r>
    </w:p>
    <w:p w:rsidR="00AE0457" w:rsidRPr="00810BCE" w:rsidRDefault="00AE0457" w:rsidP="00AE0457">
      <w:pPr>
        <w:rPr>
          <w:lang w:val="es-ES_tradnl"/>
        </w:rPr>
      </w:pPr>
      <w:r w:rsidRPr="00810BCE">
        <w:rPr>
          <w:lang w:val="es-ES_tradnl"/>
        </w:rPr>
        <w:t>Los gobiernos locales y nacionales, así como el sector civil y las entidades docentes, utilizan cada vez más los sistemas y redes que funcionan en el SMA para los enlaces de datos aerotransportados de banda ancha que dan soporte a las aplicaciones de teledetección (por ejemplo, las ciencias de la tierra, la ordenación territorial y la distribución de la energía). Ejemplos de estas aplicaciones son la medición del espesor y la distribución de la banquisa polar, la aplicación de la legislación local y nacional, la cartografía de incendios forestales, el control de oleoductos, la utilización del suelo agrícola y urbano y el estudio de los recursos naturales.</w:t>
      </w:r>
    </w:p>
    <w:p w:rsidR="00AE0457" w:rsidRPr="00810BCE" w:rsidRDefault="00AE0457" w:rsidP="00AE0457">
      <w:pPr>
        <w:pStyle w:val="Heading1"/>
        <w:rPr>
          <w:lang w:val="es-ES_tradnl"/>
        </w:rPr>
      </w:pPr>
      <w:r w:rsidRPr="00810BCE">
        <w:rPr>
          <w:lang w:val="es-ES_tradnl"/>
        </w:rPr>
        <w:t>2</w:t>
      </w:r>
      <w:r w:rsidRPr="00810BCE">
        <w:rPr>
          <w:lang w:val="es-ES_tradnl"/>
        </w:rPr>
        <w:tab/>
        <w:t>Despliegue operativo</w:t>
      </w:r>
    </w:p>
    <w:p w:rsidR="00AE0457" w:rsidRPr="00810BCE" w:rsidRDefault="00AE0457" w:rsidP="00AE0457">
      <w:pPr>
        <w:rPr>
          <w:lang w:val="es-ES_tradnl"/>
        </w:rPr>
      </w:pPr>
      <w:r w:rsidRPr="00810BCE">
        <w:rPr>
          <w:lang w:val="es-ES_tradnl"/>
        </w:rPr>
        <w:t>Las plataformas operan en grupos de cuatro que abarcan 100</w:t>
      </w:r>
      <w:r>
        <w:rPr>
          <w:lang w:val="es-ES_tradnl"/>
        </w:rPr>
        <w:t> </w:t>
      </w:r>
      <w:r w:rsidRPr="00810BCE">
        <w:rPr>
          <w:lang w:val="es-ES_tradnl"/>
        </w:rPr>
        <w:t>millas a través del espacio aéreo, utilizando los sistemas móviles aeronáuticos para comunicarse con otras plataformas y sobrevolar en cualquier lugar a alturas comprendidas entre 152,4 m (500 pies) y 15 240</w:t>
      </w:r>
      <w:r w:rsidR="00FD0584">
        <w:rPr>
          <w:lang w:val="es-ES_tradnl"/>
        </w:rPr>
        <w:t> </w:t>
      </w:r>
      <w:r w:rsidRPr="00810BCE">
        <w:rPr>
          <w:lang w:val="es-ES_tradnl"/>
        </w:rPr>
        <w:t>m (50 000 pies).</w:t>
      </w:r>
    </w:p>
    <w:p w:rsidR="00AE0457" w:rsidRPr="00810BCE" w:rsidRDefault="00AE0457" w:rsidP="00AE0457">
      <w:pPr>
        <w:pStyle w:val="Heading1"/>
        <w:rPr>
          <w:lang w:val="es-ES_tradnl"/>
        </w:rPr>
      </w:pPr>
      <w:r w:rsidRPr="00810BCE">
        <w:rPr>
          <w:lang w:val="es-ES_tradnl"/>
        </w:rPr>
        <w:t>3</w:t>
      </w:r>
      <w:r w:rsidRPr="00810BCE">
        <w:rPr>
          <w:lang w:val="es-ES_tradnl"/>
        </w:rPr>
        <w:tab/>
        <w:t>Características técnicas de los sistemas móviles aeronáuticos</w:t>
      </w:r>
    </w:p>
    <w:p w:rsidR="00AE0457" w:rsidRPr="00810BCE" w:rsidRDefault="00AE0457" w:rsidP="00AE0457">
      <w:pPr>
        <w:rPr>
          <w:lang w:val="es-ES_tradnl"/>
        </w:rPr>
      </w:pPr>
      <w:r w:rsidRPr="00810BCE">
        <w:rPr>
          <w:lang w:val="es-ES_tradnl"/>
        </w:rPr>
        <w:t>En el Cuadro</w:t>
      </w:r>
      <w:r>
        <w:rPr>
          <w:lang w:val="es-ES_tradnl"/>
        </w:rPr>
        <w:t> </w:t>
      </w:r>
      <w:r w:rsidRPr="00810BCE">
        <w:rPr>
          <w:lang w:val="es-ES_tradnl"/>
        </w:rPr>
        <w:t>1 se indican las características técnicas representativas de los enlaces de datos aerotransportados en el AMS para la banda de frecuencias 21,2-22</w:t>
      </w:r>
      <w:r w:rsidR="00D61929">
        <w:rPr>
          <w:lang w:val="es-ES_tradnl"/>
        </w:rPr>
        <w:t> GHz</w:t>
      </w:r>
      <w:r w:rsidRPr="00810BCE">
        <w:rPr>
          <w:lang w:val="es-ES_tradnl"/>
        </w:rPr>
        <w:t>.</w:t>
      </w:r>
    </w:p>
    <w:p w:rsidR="00AE0457" w:rsidRPr="00810BCE" w:rsidRDefault="00AE0457" w:rsidP="00AE0457">
      <w:pPr>
        <w:pStyle w:val="Heading2"/>
        <w:rPr>
          <w:lang w:val="es-ES_tradnl"/>
        </w:rPr>
      </w:pPr>
      <w:r w:rsidRPr="00810BCE">
        <w:rPr>
          <w:lang w:val="es-ES_tradnl"/>
        </w:rPr>
        <w:t>3.1</w:t>
      </w:r>
      <w:r w:rsidRPr="00810BCE">
        <w:rPr>
          <w:lang w:val="es-ES_tradnl"/>
        </w:rPr>
        <w:tab/>
        <w:t>Características de los transmisores</w:t>
      </w:r>
    </w:p>
    <w:p w:rsidR="00AE0457" w:rsidRPr="00810BCE" w:rsidRDefault="00AE0457" w:rsidP="00AE0457">
      <w:pPr>
        <w:rPr>
          <w:lang w:val="es-ES_tradnl"/>
        </w:rPr>
      </w:pPr>
      <w:r w:rsidRPr="00810BCE">
        <w:rPr>
          <w:lang w:val="es-ES_tradnl"/>
        </w:rPr>
        <w:t>Los sistemas móviles aeronáuticos del Sistema 1 que funcionan o tienen previsto funcionar en la banda de frecuencias 21,2-22</w:t>
      </w:r>
      <w:r w:rsidR="00D61929">
        <w:rPr>
          <w:lang w:val="es-ES_tradnl"/>
        </w:rPr>
        <w:t> GHz</w:t>
      </w:r>
      <w:r w:rsidRPr="00810BCE">
        <w:rPr>
          <w:lang w:val="es-ES_tradnl"/>
        </w:rPr>
        <w:t xml:space="preserve"> suelen utilizar modulación por desplazamiento mínimo gaussiano (GMSK) digital con portadora FM. Cada transmisor emplea exclusivamente una forma de onda. Los transmisores utilizan dispositivos de estado sólido en la salida de </w:t>
      </w:r>
      <w:r w:rsidR="00141312">
        <w:rPr>
          <w:lang w:val="es-ES_tradnl"/>
        </w:rPr>
        <w:t>los amplificadores de potencia.</w:t>
      </w:r>
    </w:p>
    <w:p w:rsidR="00AE0457" w:rsidRPr="00810BCE" w:rsidRDefault="00AE0457" w:rsidP="00AE0457">
      <w:pPr>
        <w:rPr>
          <w:lang w:val="es-ES_tradnl"/>
        </w:rPr>
      </w:pPr>
      <w:r w:rsidRPr="00810BCE">
        <w:rPr>
          <w:lang w:val="es-ES_tradnl"/>
        </w:rPr>
        <w:t>El ancho de banda de emisión de RF de los transmisores del Sistema</w:t>
      </w:r>
      <w:r w:rsidR="00FD0584">
        <w:rPr>
          <w:lang w:val="es-ES_tradnl"/>
        </w:rPr>
        <w:t> </w:t>
      </w:r>
      <w:r w:rsidRPr="00810BCE">
        <w:rPr>
          <w:lang w:val="es-ES_tradnl"/>
        </w:rPr>
        <w:t>1 (3</w:t>
      </w:r>
      <w:r w:rsidR="00FD0584">
        <w:rPr>
          <w:lang w:val="es-ES_tradnl"/>
        </w:rPr>
        <w:t> </w:t>
      </w:r>
      <w:r w:rsidRPr="00810BCE">
        <w:rPr>
          <w:lang w:val="es-ES_tradnl"/>
        </w:rPr>
        <w:t>dB) de los sistemas móviles que funcionan o tiene previsto funcionar en la banda de frecuencias de 21,2-22</w:t>
      </w:r>
      <w:r w:rsidR="00D61929">
        <w:rPr>
          <w:lang w:val="es-ES_tradnl"/>
        </w:rPr>
        <w:t> GHz</w:t>
      </w:r>
      <w:r w:rsidRPr="00810BCE">
        <w:rPr>
          <w:lang w:val="es-ES_tradnl"/>
        </w:rPr>
        <w:t>. La potencia máxima de salida de los transmisores es de 50</w:t>
      </w:r>
      <w:r w:rsidR="007F3EB9">
        <w:rPr>
          <w:lang w:val="es-ES_tradnl"/>
        </w:rPr>
        <w:t> </w:t>
      </w:r>
      <w:proofErr w:type="spellStart"/>
      <w:r w:rsidRPr="00810BCE">
        <w:rPr>
          <w:lang w:val="es-ES_tradnl"/>
        </w:rPr>
        <w:t>dBm</w:t>
      </w:r>
      <w:proofErr w:type="spellEnd"/>
      <w:r w:rsidRPr="00810BCE">
        <w:rPr>
          <w:lang w:val="es-ES_tradnl"/>
        </w:rPr>
        <w:t xml:space="preserve"> y es fija. Cada estación del Sistema</w:t>
      </w:r>
      <w:r w:rsidR="007F3EB9">
        <w:rPr>
          <w:lang w:val="es-ES_tradnl"/>
        </w:rPr>
        <w:t> </w:t>
      </w:r>
      <w:r w:rsidRPr="00810BCE">
        <w:rPr>
          <w:lang w:val="es-ES_tradnl"/>
        </w:rPr>
        <w:t>1 transmite con un ciclo de trabajo inferior al 20% del periodo de despliegue operativo.</w:t>
      </w:r>
    </w:p>
    <w:p w:rsidR="00AE0457" w:rsidRPr="00810BCE" w:rsidRDefault="00AE0457" w:rsidP="00AE0457">
      <w:pPr>
        <w:pStyle w:val="Heading2"/>
        <w:rPr>
          <w:lang w:val="es-ES_tradnl"/>
        </w:rPr>
      </w:pPr>
      <w:r w:rsidRPr="00810BCE">
        <w:rPr>
          <w:lang w:val="es-ES_tradnl"/>
        </w:rPr>
        <w:t>3.2</w:t>
      </w:r>
      <w:r w:rsidRPr="00810BCE">
        <w:rPr>
          <w:lang w:val="es-ES_tradnl"/>
        </w:rPr>
        <w:tab/>
        <w:t>Características de los receptores</w:t>
      </w:r>
    </w:p>
    <w:p w:rsidR="00AE0457" w:rsidRPr="00810BCE" w:rsidRDefault="00AE0457" w:rsidP="00AE0457">
      <w:pPr>
        <w:rPr>
          <w:lang w:val="es-ES_tradnl"/>
        </w:rPr>
      </w:pPr>
      <w:r w:rsidRPr="00810BCE">
        <w:rPr>
          <w:lang w:val="es-ES_tradnl"/>
        </w:rPr>
        <w:t>El Sistema</w:t>
      </w:r>
      <w:r w:rsidR="00E04E32">
        <w:rPr>
          <w:lang w:val="es-ES_tradnl"/>
        </w:rPr>
        <w:t> </w:t>
      </w:r>
      <w:r w:rsidRPr="00810BCE">
        <w:rPr>
          <w:lang w:val="es-ES_tradnl"/>
        </w:rPr>
        <w:t>1 utiliza el procesamiento digital de las señales para mejorar la calidad de funcionamiento del sistema. El procesamiento de las señales en el Sistema</w:t>
      </w:r>
      <w:r w:rsidR="00E04E32">
        <w:rPr>
          <w:lang w:val="es-ES_tradnl"/>
        </w:rPr>
        <w:t> </w:t>
      </w:r>
      <w:r w:rsidRPr="00810BCE">
        <w:rPr>
          <w:lang w:val="es-ES_tradnl"/>
        </w:rPr>
        <w:t>1 de nueva generación emplea otras técnicas avanzadas para producir una ganancia de procesamiento para la señal deseada y podría también permitir la supresión de señales indeseadas.</w:t>
      </w:r>
    </w:p>
    <w:p w:rsidR="00AE0457" w:rsidRPr="00810BCE" w:rsidRDefault="00AE0457" w:rsidP="00AE0457">
      <w:pPr>
        <w:pStyle w:val="Heading2"/>
        <w:rPr>
          <w:lang w:val="es-ES_tradnl"/>
        </w:rPr>
      </w:pPr>
      <w:r w:rsidRPr="00810BCE">
        <w:rPr>
          <w:lang w:val="es-ES_tradnl"/>
        </w:rPr>
        <w:t>3.3</w:t>
      </w:r>
      <w:r w:rsidRPr="00810BCE">
        <w:rPr>
          <w:lang w:val="es-ES_tradnl"/>
        </w:rPr>
        <w:tab/>
        <w:t>Características de las antenas</w:t>
      </w:r>
    </w:p>
    <w:p w:rsidR="00AE0457" w:rsidRPr="00810BCE" w:rsidRDefault="00AE0457" w:rsidP="00AE0457">
      <w:pPr>
        <w:rPr>
          <w:lang w:val="es-ES_tradnl"/>
        </w:rPr>
      </w:pPr>
      <w:r w:rsidRPr="00810BCE">
        <w:rPr>
          <w:lang w:val="es-ES_tradnl"/>
        </w:rPr>
        <w:t>La ganancia de la antena a bordo de la aeronave para el Sistema</w:t>
      </w:r>
      <w:r w:rsidR="007F3EB9">
        <w:rPr>
          <w:lang w:val="es-ES_tradnl"/>
        </w:rPr>
        <w:t> </w:t>
      </w:r>
      <w:r w:rsidRPr="00810BCE">
        <w:rPr>
          <w:lang w:val="es-ES_tradnl"/>
        </w:rPr>
        <w:t>1 es 0</w:t>
      </w:r>
      <w:r w:rsidR="007F3EB9">
        <w:rPr>
          <w:lang w:val="es-ES_tradnl"/>
        </w:rPr>
        <w:t> </w:t>
      </w:r>
      <w:proofErr w:type="spellStart"/>
      <w:r w:rsidRPr="00810BCE">
        <w:rPr>
          <w:lang w:val="es-ES_tradnl"/>
        </w:rPr>
        <w:t>dBi</w:t>
      </w:r>
      <w:proofErr w:type="spellEnd"/>
      <w:r w:rsidRPr="00810BCE">
        <w:rPr>
          <w:lang w:val="es-ES_tradnl"/>
        </w:rPr>
        <w:t xml:space="preserve"> y con polarización vertical omnidireccional.</w:t>
      </w:r>
    </w:p>
    <w:p w:rsidR="00AE0457" w:rsidRPr="00810BCE" w:rsidRDefault="00AE0457" w:rsidP="00AE0457">
      <w:pPr>
        <w:pStyle w:val="Heading1"/>
        <w:rPr>
          <w:lang w:val="es-ES_tradnl"/>
        </w:rPr>
      </w:pPr>
      <w:r w:rsidRPr="00810BCE">
        <w:rPr>
          <w:lang w:val="es-ES_tradnl"/>
        </w:rPr>
        <w:lastRenderedPageBreak/>
        <w:t>4</w:t>
      </w:r>
      <w:r w:rsidRPr="00810BCE">
        <w:rPr>
          <w:lang w:val="es-ES_tradnl"/>
        </w:rPr>
        <w:tab/>
        <w:t xml:space="preserve">Criterios de protección del servicio móvil aeronáutico en la banda de frecuencias </w:t>
      </w:r>
      <w:r w:rsidRPr="00810BCE">
        <w:rPr>
          <w:szCs w:val="24"/>
          <w:lang w:val="es-ES_tradnl"/>
        </w:rPr>
        <w:t>21,2</w:t>
      </w:r>
      <w:r w:rsidRPr="00810BCE">
        <w:rPr>
          <w:szCs w:val="24"/>
          <w:lang w:val="es-ES_tradnl"/>
        </w:rPr>
        <w:noBreakHyphen/>
        <w:t>22</w:t>
      </w:r>
      <w:r w:rsidR="00D61929">
        <w:rPr>
          <w:lang w:val="es-ES_tradnl"/>
        </w:rPr>
        <w:t> GHz</w:t>
      </w:r>
    </w:p>
    <w:p w:rsidR="00AE0457" w:rsidRPr="00810BCE" w:rsidRDefault="00AE0457" w:rsidP="00AE0457">
      <w:pPr>
        <w:rPr>
          <w:lang w:val="es-ES_tradnl"/>
        </w:rPr>
      </w:pPr>
      <w:r w:rsidRPr="00810BCE">
        <w:rPr>
          <w:lang w:val="es-ES_tradnl"/>
        </w:rPr>
        <w:t>Cuando funciona cerca de la separación máxima de la distancia de visibilidad directa radioeléctrica entre el transmisor y el receptor, la calidad de funcionamiento del enlace de comunicación está a menudo limitada por el ruido. Un aumento de 1 dB del ruido efectivo del receptor constituiría una degradación significativa de la distancia de comunicación, equivalente a una reducción de aproximadamente 10% en condiciones de propagación en el espacio libre.</w:t>
      </w:r>
    </w:p>
    <w:p w:rsidR="00AE0457" w:rsidRPr="00810BCE" w:rsidRDefault="00AE0457" w:rsidP="00AE0457">
      <w:pPr>
        <w:rPr>
          <w:lang w:val="es-ES_tradnl"/>
        </w:rPr>
      </w:pPr>
      <w:r w:rsidRPr="00810BCE">
        <w:rPr>
          <w:lang w:val="es-ES_tradnl"/>
        </w:rPr>
        <w:t xml:space="preserve">Ese aumento del ruido efectivo del receptor corresponde a una relación </w:t>
      </w:r>
      <w:r w:rsidRPr="00810BCE">
        <w:rPr>
          <w:i/>
          <w:iCs/>
          <w:lang w:val="es-ES_tradnl"/>
        </w:rPr>
        <w:t>(I</w:t>
      </w:r>
      <w:r w:rsidR="00141312">
        <w:rPr>
          <w:i/>
          <w:iCs/>
          <w:lang w:val="es-ES_tradnl"/>
        </w:rPr>
        <w:t> </w:t>
      </w:r>
      <w:r w:rsidRPr="00810BCE">
        <w:rPr>
          <w:i/>
          <w:iCs/>
          <w:lang w:val="es-ES_tradnl"/>
        </w:rPr>
        <w:t>+</w:t>
      </w:r>
      <w:r w:rsidR="00141312">
        <w:rPr>
          <w:i/>
          <w:iCs/>
          <w:lang w:val="es-ES_tradnl"/>
        </w:rPr>
        <w:t> </w:t>
      </w:r>
      <w:proofErr w:type="gramStart"/>
      <w:r w:rsidRPr="00810BCE">
        <w:rPr>
          <w:i/>
          <w:iCs/>
          <w:lang w:val="es-ES_tradnl"/>
        </w:rPr>
        <w:t>N)/</w:t>
      </w:r>
      <w:proofErr w:type="gramEnd"/>
      <w:r w:rsidRPr="00810BCE">
        <w:rPr>
          <w:i/>
          <w:iCs/>
          <w:lang w:val="es-ES_tradnl"/>
        </w:rPr>
        <w:t>N</w:t>
      </w:r>
      <w:r w:rsidRPr="00810BCE">
        <w:rPr>
          <w:lang w:val="es-ES_tradnl"/>
        </w:rPr>
        <w:t xml:space="preserve"> de 1,26, o a una relación </w:t>
      </w:r>
      <w:r w:rsidRPr="00810BCE">
        <w:rPr>
          <w:i/>
          <w:iCs/>
          <w:lang w:val="es-ES_tradnl"/>
        </w:rPr>
        <w:t>I/N</w:t>
      </w:r>
      <w:r w:rsidRPr="00810BCE">
        <w:rPr>
          <w:lang w:val="es-ES_tradnl"/>
        </w:rPr>
        <w:t xml:space="preserve"> de aproximadamente –6 dB. Esto representa el criterio de protección requerido para el</w:t>
      </w:r>
      <w:r w:rsidR="00141312">
        <w:rPr>
          <w:lang w:val="es-ES_tradnl"/>
        </w:rPr>
        <w:t> </w:t>
      </w:r>
      <w:r w:rsidRPr="00810BCE">
        <w:rPr>
          <w:lang w:val="es-ES_tradnl"/>
        </w:rPr>
        <w:t>SMA contra interferencias debidas a otro servicio de radiocomunicaciones. Si están presentes múltiples fuentes de interferencia potencial, la protección del SMA exige que ese criterio no se rebase debido a la interferencia combinada de múltiples fuentes.</w:t>
      </w:r>
    </w:p>
    <w:p w:rsidR="00AE0457" w:rsidRPr="00810BCE" w:rsidRDefault="00AE0457" w:rsidP="00AE0457">
      <w:pPr>
        <w:pStyle w:val="TableNo"/>
        <w:rPr>
          <w:lang w:val="es-ES_tradnl"/>
        </w:rPr>
      </w:pPr>
      <w:r w:rsidRPr="00810BCE">
        <w:rPr>
          <w:lang w:val="es-ES_tradnl"/>
        </w:rPr>
        <w:t>CUADRO 1</w:t>
      </w:r>
    </w:p>
    <w:p w:rsidR="00AE0457" w:rsidRPr="00810BCE" w:rsidRDefault="00AE0457" w:rsidP="00AE0457">
      <w:pPr>
        <w:pStyle w:val="Tabletitle"/>
        <w:rPr>
          <w:lang w:val="es-ES_tradnl"/>
        </w:rPr>
      </w:pPr>
      <w:r w:rsidRPr="00810BCE">
        <w:rPr>
          <w:lang w:val="es-ES_tradnl"/>
        </w:rPr>
        <w:t>Características técnicas representativas de los sistemas del servicio móvil</w:t>
      </w:r>
      <w:r w:rsidRPr="00810BCE">
        <w:rPr>
          <w:lang w:val="es-ES_tradnl"/>
        </w:rPr>
        <w:br/>
        <w:t xml:space="preserve">aeronáutico en la banda de frecuencias </w:t>
      </w:r>
      <w:r w:rsidRPr="00810BCE">
        <w:rPr>
          <w:szCs w:val="24"/>
          <w:lang w:val="es-ES_tradnl"/>
        </w:rPr>
        <w:t>21,2-22</w:t>
      </w:r>
      <w:r w:rsidR="00D61929">
        <w:rPr>
          <w:lang w:val="es-ES_tradnl"/>
        </w:rPr>
        <w:t> GHz</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9"/>
        <w:gridCol w:w="2835"/>
      </w:tblGrid>
      <w:tr w:rsidR="00AE0457" w:rsidRPr="00810BCE" w:rsidTr="00AE0457">
        <w:trPr>
          <w:jc w:val="center"/>
        </w:trPr>
        <w:tc>
          <w:tcPr>
            <w:tcW w:w="5669" w:type="dxa"/>
            <w:tcBorders>
              <w:top w:val="single" w:sz="4" w:space="0" w:color="auto"/>
              <w:left w:val="single" w:sz="4" w:space="0" w:color="auto"/>
              <w:bottom w:val="single" w:sz="4" w:space="0" w:color="auto"/>
              <w:right w:val="single" w:sz="4" w:space="0" w:color="auto"/>
            </w:tcBorders>
            <w:vAlign w:val="center"/>
            <w:hideMark/>
          </w:tcPr>
          <w:p w:rsidR="00AE0457" w:rsidRPr="00810BCE" w:rsidRDefault="00AE0457" w:rsidP="00BA5024">
            <w:pPr>
              <w:pStyle w:val="Tablehead"/>
              <w:rPr>
                <w:lang w:val="es-ES_tradnl"/>
              </w:rPr>
            </w:pPr>
            <w:r w:rsidRPr="00810BCE">
              <w:rPr>
                <w:lang w:val="es-ES_tradnl"/>
              </w:rPr>
              <w:t>Parámetro</w:t>
            </w:r>
          </w:p>
        </w:tc>
        <w:tc>
          <w:tcPr>
            <w:tcW w:w="2835" w:type="dxa"/>
            <w:tcBorders>
              <w:top w:val="single" w:sz="4" w:space="0" w:color="auto"/>
              <w:left w:val="single" w:sz="4" w:space="0" w:color="auto"/>
              <w:bottom w:val="single" w:sz="4" w:space="0" w:color="auto"/>
              <w:right w:val="single" w:sz="4" w:space="0" w:color="auto"/>
            </w:tcBorders>
            <w:hideMark/>
          </w:tcPr>
          <w:p w:rsidR="00AE0457" w:rsidRPr="00810BCE" w:rsidRDefault="00AE0457" w:rsidP="00BA5024">
            <w:pPr>
              <w:pStyle w:val="Tablehead"/>
              <w:rPr>
                <w:lang w:val="es-ES_tradnl"/>
              </w:rPr>
            </w:pPr>
            <w:r w:rsidRPr="00810BCE">
              <w:rPr>
                <w:lang w:val="es-ES_tradnl"/>
              </w:rPr>
              <w:t>Sistema 1</w:t>
            </w:r>
          </w:p>
        </w:tc>
      </w:tr>
      <w:tr w:rsidR="00AE0457" w:rsidRPr="00810BCE" w:rsidTr="00AE0457">
        <w:trPr>
          <w:jc w:val="center"/>
        </w:trPr>
        <w:tc>
          <w:tcPr>
            <w:tcW w:w="5669" w:type="dxa"/>
            <w:tcBorders>
              <w:top w:val="single" w:sz="4" w:space="0" w:color="auto"/>
              <w:left w:val="single" w:sz="4" w:space="0" w:color="auto"/>
              <w:bottom w:val="single" w:sz="4" w:space="0" w:color="auto"/>
              <w:right w:val="single" w:sz="4" w:space="0" w:color="auto"/>
            </w:tcBorders>
            <w:hideMark/>
          </w:tcPr>
          <w:p w:rsidR="00AE0457" w:rsidRPr="00810BCE" w:rsidRDefault="00AE0457" w:rsidP="00BA5024">
            <w:pPr>
              <w:pStyle w:val="Tabletext"/>
              <w:rPr>
                <w:lang w:val="es-ES_tradnl"/>
              </w:rPr>
            </w:pPr>
            <w:r w:rsidRPr="00810BCE">
              <w:rPr>
                <w:lang w:val="es-ES_tradnl"/>
              </w:rPr>
              <w:t>Dirección de la comunicación</w:t>
            </w:r>
          </w:p>
        </w:tc>
        <w:tc>
          <w:tcPr>
            <w:tcW w:w="2835" w:type="dxa"/>
            <w:tcBorders>
              <w:top w:val="single" w:sz="4" w:space="0" w:color="auto"/>
              <w:left w:val="single" w:sz="4" w:space="0" w:color="auto"/>
              <w:bottom w:val="single" w:sz="4" w:space="0" w:color="auto"/>
              <w:right w:val="single" w:sz="4" w:space="0" w:color="auto"/>
            </w:tcBorders>
            <w:vAlign w:val="center"/>
            <w:hideMark/>
          </w:tcPr>
          <w:p w:rsidR="00AE0457" w:rsidRPr="00810BCE" w:rsidRDefault="00AE0457" w:rsidP="00BA5024">
            <w:pPr>
              <w:pStyle w:val="Tabletext"/>
              <w:jc w:val="center"/>
              <w:rPr>
                <w:lang w:val="es-ES_tradnl"/>
              </w:rPr>
            </w:pPr>
            <w:r w:rsidRPr="00810BCE">
              <w:rPr>
                <w:lang w:val="es-ES_tradnl"/>
              </w:rPr>
              <w:t>Aire-aire</w:t>
            </w:r>
          </w:p>
        </w:tc>
      </w:tr>
      <w:tr w:rsidR="00AE0457" w:rsidRPr="00810BCE" w:rsidTr="00AE0457">
        <w:trPr>
          <w:jc w:val="center"/>
        </w:trPr>
        <w:tc>
          <w:tcPr>
            <w:tcW w:w="5669" w:type="dxa"/>
            <w:tcBorders>
              <w:top w:val="single" w:sz="4" w:space="0" w:color="auto"/>
              <w:left w:val="single" w:sz="4" w:space="0" w:color="auto"/>
              <w:bottom w:val="single" w:sz="4" w:space="0" w:color="auto"/>
              <w:right w:val="single" w:sz="4" w:space="0" w:color="auto"/>
            </w:tcBorders>
            <w:hideMark/>
          </w:tcPr>
          <w:p w:rsidR="00AE0457" w:rsidRPr="00810BCE" w:rsidRDefault="00AE0457" w:rsidP="00BA5024">
            <w:pPr>
              <w:pStyle w:val="Tabletext"/>
              <w:rPr>
                <w:lang w:val="es-ES_tradnl"/>
              </w:rPr>
            </w:pPr>
            <w:r w:rsidRPr="00810BCE">
              <w:rPr>
                <w:lang w:val="es-ES_tradnl"/>
              </w:rPr>
              <w:t>Gama de sintonización del transmisor (GHz)</w:t>
            </w:r>
          </w:p>
        </w:tc>
        <w:tc>
          <w:tcPr>
            <w:tcW w:w="2835" w:type="dxa"/>
            <w:tcBorders>
              <w:top w:val="single" w:sz="4" w:space="0" w:color="auto"/>
              <w:left w:val="single" w:sz="4" w:space="0" w:color="auto"/>
              <w:bottom w:val="single" w:sz="4" w:space="0" w:color="auto"/>
              <w:right w:val="single" w:sz="4" w:space="0" w:color="auto"/>
            </w:tcBorders>
            <w:vAlign w:val="center"/>
            <w:hideMark/>
          </w:tcPr>
          <w:p w:rsidR="00AE0457" w:rsidRPr="00810BCE" w:rsidRDefault="00AE0457" w:rsidP="00BA5024">
            <w:pPr>
              <w:pStyle w:val="Tabletext"/>
              <w:jc w:val="center"/>
              <w:rPr>
                <w:lang w:val="es-ES_tradnl"/>
              </w:rPr>
            </w:pPr>
            <w:r w:rsidRPr="00810BCE">
              <w:rPr>
                <w:lang w:val="es-ES_tradnl"/>
              </w:rPr>
              <w:t>21,2</w:t>
            </w:r>
            <w:r w:rsidRPr="00810BCE">
              <w:rPr>
                <w:lang w:val="es-ES_tradnl"/>
              </w:rPr>
              <w:noBreakHyphen/>
              <w:t>21,5</w:t>
            </w:r>
          </w:p>
        </w:tc>
      </w:tr>
      <w:tr w:rsidR="00AE0457" w:rsidRPr="00810BCE" w:rsidTr="00AE0457">
        <w:trPr>
          <w:jc w:val="center"/>
        </w:trPr>
        <w:tc>
          <w:tcPr>
            <w:tcW w:w="5669" w:type="dxa"/>
            <w:tcBorders>
              <w:top w:val="single" w:sz="4" w:space="0" w:color="auto"/>
              <w:left w:val="single" w:sz="4" w:space="0" w:color="auto"/>
              <w:bottom w:val="single" w:sz="4" w:space="0" w:color="auto"/>
              <w:right w:val="single" w:sz="4" w:space="0" w:color="auto"/>
            </w:tcBorders>
            <w:hideMark/>
          </w:tcPr>
          <w:p w:rsidR="00AE0457" w:rsidRPr="00810BCE" w:rsidRDefault="00AE0457" w:rsidP="00BA5024">
            <w:pPr>
              <w:pStyle w:val="Tabletext"/>
              <w:rPr>
                <w:lang w:val="es-ES_tradnl"/>
              </w:rPr>
            </w:pPr>
            <w:r w:rsidRPr="00810BCE">
              <w:rPr>
                <w:lang w:val="es-ES_tradnl"/>
              </w:rPr>
              <w:t>Potencia de salida del transmisor (</w:t>
            </w:r>
            <w:proofErr w:type="spellStart"/>
            <w:r w:rsidRPr="00810BCE">
              <w:rPr>
                <w:lang w:val="es-ES_tradnl"/>
              </w:rPr>
              <w:t>dBm</w:t>
            </w:r>
            <w:proofErr w:type="spellEnd"/>
            <w:r w:rsidRPr="00810BCE">
              <w:rPr>
                <w:lang w:val="es-ES_tradnl"/>
              </w:rPr>
              <w:t>)</w:t>
            </w:r>
          </w:p>
        </w:tc>
        <w:tc>
          <w:tcPr>
            <w:tcW w:w="2835" w:type="dxa"/>
            <w:tcBorders>
              <w:top w:val="single" w:sz="4" w:space="0" w:color="auto"/>
              <w:left w:val="single" w:sz="4" w:space="0" w:color="auto"/>
              <w:bottom w:val="single" w:sz="4" w:space="0" w:color="auto"/>
              <w:right w:val="single" w:sz="4" w:space="0" w:color="auto"/>
            </w:tcBorders>
            <w:vAlign w:val="center"/>
            <w:hideMark/>
          </w:tcPr>
          <w:p w:rsidR="00AE0457" w:rsidRPr="00810BCE" w:rsidRDefault="00AE0457" w:rsidP="00BA5024">
            <w:pPr>
              <w:pStyle w:val="Tabletext"/>
              <w:jc w:val="center"/>
              <w:rPr>
                <w:lang w:val="es-ES_tradnl"/>
              </w:rPr>
            </w:pPr>
            <w:r w:rsidRPr="00810BCE">
              <w:rPr>
                <w:lang w:val="es-ES_tradnl"/>
              </w:rPr>
              <w:t>50</w:t>
            </w:r>
          </w:p>
        </w:tc>
      </w:tr>
      <w:tr w:rsidR="00AE0457" w:rsidRPr="00810BCE" w:rsidTr="00AE0457">
        <w:trPr>
          <w:jc w:val="center"/>
        </w:trPr>
        <w:tc>
          <w:tcPr>
            <w:tcW w:w="5669" w:type="dxa"/>
            <w:tcBorders>
              <w:top w:val="single" w:sz="4" w:space="0" w:color="auto"/>
              <w:left w:val="single" w:sz="4" w:space="0" w:color="auto"/>
              <w:bottom w:val="single" w:sz="4" w:space="0" w:color="auto"/>
              <w:right w:val="single" w:sz="4" w:space="0" w:color="auto"/>
            </w:tcBorders>
            <w:hideMark/>
          </w:tcPr>
          <w:p w:rsidR="00AE0457" w:rsidRPr="00810BCE" w:rsidRDefault="00AE0457" w:rsidP="00BA5024">
            <w:pPr>
              <w:pStyle w:val="Tabletext"/>
              <w:jc w:val="left"/>
              <w:rPr>
                <w:lang w:val="es-ES_tradnl"/>
              </w:rPr>
            </w:pPr>
            <w:r w:rsidRPr="00810BCE">
              <w:rPr>
                <w:lang w:val="es-ES_tradnl"/>
              </w:rPr>
              <w:t>Ancho de banda del transmisor (MHz)</w:t>
            </w:r>
            <w:r w:rsidRPr="00810BCE">
              <w:rPr>
                <w:lang w:val="es-ES_tradnl"/>
              </w:rPr>
              <w:br/>
            </w:r>
            <w:r w:rsidRPr="00810BCE">
              <w:rPr>
                <w:lang w:val="es-ES_tradnl"/>
              </w:rPr>
              <w:tab/>
              <w:t>−3 dB</w:t>
            </w:r>
          </w:p>
          <w:p w:rsidR="00AE0457" w:rsidRPr="00810BCE" w:rsidRDefault="00AE0457" w:rsidP="00BA5024">
            <w:pPr>
              <w:pStyle w:val="Tabletext"/>
              <w:rPr>
                <w:lang w:val="es-ES_tradnl"/>
              </w:rPr>
            </w:pPr>
            <w:r w:rsidRPr="00810BCE">
              <w:rPr>
                <w:lang w:val="es-ES_tradnl"/>
              </w:rPr>
              <w:tab/>
              <w:t>−20 dB</w:t>
            </w:r>
          </w:p>
          <w:p w:rsidR="00AE0457" w:rsidRPr="00810BCE" w:rsidRDefault="00AE0457" w:rsidP="00BA5024">
            <w:pPr>
              <w:pStyle w:val="Tabletext"/>
              <w:rPr>
                <w:lang w:val="es-ES_tradnl"/>
              </w:rPr>
            </w:pPr>
            <w:r w:rsidRPr="00810BCE">
              <w:rPr>
                <w:lang w:val="es-ES_tradnl"/>
              </w:rPr>
              <w:tab/>
              <w:t>−60 dB</w:t>
            </w:r>
          </w:p>
        </w:tc>
        <w:tc>
          <w:tcPr>
            <w:tcW w:w="2835" w:type="dxa"/>
            <w:tcBorders>
              <w:top w:val="single" w:sz="4" w:space="0" w:color="auto"/>
              <w:left w:val="single" w:sz="4" w:space="0" w:color="auto"/>
              <w:bottom w:val="single" w:sz="4" w:space="0" w:color="auto"/>
              <w:right w:val="single" w:sz="4" w:space="0" w:color="auto"/>
            </w:tcBorders>
            <w:hideMark/>
          </w:tcPr>
          <w:p w:rsidR="00AE0457" w:rsidRPr="00810BCE" w:rsidRDefault="00AE0457" w:rsidP="00BA5024">
            <w:pPr>
              <w:pStyle w:val="Tabletext"/>
              <w:jc w:val="center"/>
              <w:rPr>
                <w:lang w:val="es-ES_tradnl"/>
              </w:rPr>
            </w:pPr>
            <w:r w:rsidRPr="00810BCE">
              <w:rPr>
                <w:lang w:val="es-ES_tradnl"/>
              </w:rPr>
              <w:br/>
              <w:t>310</w:t>
            </w:r>
          </w:p>
          <w:p w:rsidR="00AE0457" w:rsidRPr="00810BCE" w:rsidRDefault="00AE0457" w:rsidP="00BA5024">
            <w:pPr>
              <w:pStyle w:val="Tabletext"/>
              <w:jc w:val="center"/>
              <w:rPr>
                <w:lang w:val="es-ES_tradnl"/>
              </w:rPr>
            </w:pPr>
            <w:r w:rsidRPr="00810BCE">
              <w:rPr>
                <w:lang w:val="es-ES_tradnl"/>
              </w:rPr>
              <w:t>315</w:t>
            </w:r>
          </w:p>
          <w:p w:rsidR="00AE0457" w:rsidRPr="00810BCE" w:rsidRDefault="00AE0457" w:rsidP="00BA5024">
            <w:pPr>
              <w:pStyle w:val="Tabletext"/>
              <w:jc w:val="center"/>
              <w:rPr>
                <w:lang w:val="es-ES_tradnl"/>
              </w:rPr>
            </w:pPr>
            <w:r w:rsidRPr="00810BCE">
              <w:rPr>
                <w:lang w:val="es-ES_tradnl"/>
              </w:rPr>
              <w:t>360</w:t>
            </w:r>
          </w:p>
        </w:tc>
      </w:tr>
      <w:tr w:rsidR="00AE0457" w:rsidRPr="00810BCE" w:rsidTr="00AE0457">
        <w:trPr>
          <w:jc w:val="center"/>
        </w:trPr>
        <w:tc>
          <w:tcPr>
            <w:tcW w:w="5669" w:type="dxa"/>
            <w:tcBorders>
              <w:top w:val="single" w:sz="4" w:space="0" w:color="auto"/>
              <w:left w:val="single" w:sz="4" w:space="0" w:color="auto"/>
              <w:bottom w:val="single" w:sz="4" w:space="0" w:color="auto"/>
              <w:right w:val="single" w:sz="4" w:space="0" w:color="auto"/>
            </w:tcBorders>
            <w:hideMark/>
          </w:tcPr>
          <w:p w:rsidR="00AE0457" w:rsidRPr="00810BCE" w:rsidRDefault="00AE0457" w:rsidP="00AE0457">
            <w:pPr>
              <w:pStyle w:val="Tabletext"/>
              <w:jc w:val="left"/>
              <w:rPr>
                <w:lang w:val="es-ES_tradnl"/>
              </w:rPr>
            </w:pPr>
            <w:r w:rsidRPr="00810BCE">
              <w:rPr>
                <w:lang w:val="es-ES_tradnl"/>
              </w:rPr>
              <w:t>Atenuación de emisiones no esencial del transmisor (dB)</w:t>
            </w:r>
          </w:p>
        </w:tc>
        <w:tc>
          <w:tcPr>
            <w:tcW w:w="2835" w:type="dxa"/>
            <w:tcBorders>
              <w:top w:val="single" w:sz="4" w:space="0" w:color="auto"/>
              <w:left w:val="single" w:sz="4" w:space="0" w:color="auto"/>
              <w:bottom w:val="single" w:sz="4" w:space="0" w:color="auto"/>
              <w:right w:val="single" w:sz="4" w:space="0" w:color="auto"/>
            </w:tcBorders>
            <w:vAlign w:val="center"/>
            <w:hideMark/>
          </w:tcPr>
          <w:p w:rsidR="00AE0457" w:rsidRPr="00810BCE" w:rsidRDefault="00AE0457" w:rsidP="00BA5024">
            <w:pPr>
              <w:pStyle w:val="Tabletext"/>
              <w:jc w:val="center"/>
              <w:rPr>
                <w:lang w:val="es-ES_tradnl"/>
              </w:rPr>
            </w:pPr>
            <w:r w:rsidRPr="00810BCE">
              <w:rPr>
                <w:lang w:val="es-ES_tradnl"/>
              </w:rPr>
              <w:t>&gt; −80</w:t>
            </w:r>
          </w:p>
        </w:tc>
      </w:tr>
      <w:tr w:rsidR="00AE0457" w:rsidRPr="00810BCE" w:rsidTr="00AE0457">
        <w:trPr>
          <w:jc w:val="center"/>
        </w:trPr>
        <w:tc>
          <w:tcPr>
            <w:tcW w:w="5669" w:type="dxa"/>
            <w:tcBorders>
              <w:top w:val="single" w:sz="4" w:space="0" w:color="auto"/>
              <w:left w:val="single" w:sz="4" w:space="0" w:color="auto"/>
              <w:bottom w:val="single" w:sz="4" w:space="0" w:color="auto"/>
              <w:right w:val="single" w:sz="4" w:space="0" w:color="auto"/>
            </w:tcBorders>
            <w:vAlign w:val="center"/>
            <w:hideMark/>
          </w:tcPr>
          <w:p w:rsidR="00AE0457" w:rsidRPr="00810BCE" w:rsidRDefault="00AE0457" w:rsidP="00BA5024">
            <w:pPr>
              <w:pStyle w:val="Tabletext"/>
              <w:rPr>
                <w:lang w:val="es-ES_tradnl"/>
              </w:rPr>
            </w:pPr>
            <w:r w:rsidRPr="00810BCE">
              <w:rPr>
                <w:lang w:val="es-ES_tradnl"/>
              </w:rPr>
              <w:t>Modulación del transmisor</w:t>
            </w:r>
          </w:p>
        </w:tc>
        <w:tc>
          <w:tcPr>
            <w:tcW w:w="2835" w:type="dxa"/>
            <w:tcBorders>
              <w:top w:val="single" w:sz="4" w:space="0" w:color="auto"/>
              <w:left w:val="single" w:sz="4" w:space="0" w:color="auto"/>
              <w:bottom w:val="single" w:sz="4" w:space="0" w:color="auto"/>
              <w:right w:val="single" w:sz="4" w:space="0" w:color="auto"/>
            </w:tcBorders>
            <w:vAlign w:val="center"/>
            <w:hideMark/>
          </w:tcPr>
          <w:p w:rsidR="00AE0457" w:rsidRPr="00810BCE" w:rsidRDefault="00AE0457" w:rsidP="00BA5024">
            <w:pPr>
              <w:pStyle w:val="Tabletext"/>
              <w:jc w:val="center"/>
              <w:rPr>
                <w:lang w:val="es-ES_tradnl"/>
              </w:rPr>
            </w:pPr>
            <w:r w:rsidRPr="00810BCE">
              <w:rPr>
                <w:lang w:val="es-ES_tradnl"/>
              </w:rPr>
              <w:t>FM/GMSK</w:t>
            </w:r>
          </w:p>
        </w:tc>
      </w:tr>
      <w:tr w:rsidR="00AE0457" w:rsidRPr="00810BCE" w:rsidTr="00AE0457">
        <w:trPr>
          <w:jc w:val="center"/>
        </w:trPr>
        <w:tc>
          <w:tcPr>
            <w:tcW w:w="5669" w:type="dxa"/>
            <w:tcBorders>
              <w:top w:val="single" w:sz="4" w:space="0" w:color="auto"/>
              <w:left w:val="single" w:sz="4" w:space="0" w:color="auto"/>
              <w:bottom w:val="single" w:sz="4" w:space="0" w:color="auto"/>
              <w:right w:val="single" w:sz="4" w:space="0" w:color="auto"/>
            </w:tcBorders>
            <w:hideMark/>
          </w:tcPr>
          <w:p w:rsidR="00AE0457" w:rsidRPr="00810BCE" w:rsidRDefault="00AE0457" w:rsidP="00BA5024">
            <w:pPr>
              <w:pStyle w:val="Tabletext"/>
              <w:rPr>
                <w:lang w:val="es-ES_tradnl"/>
              </w:rPr>
            </w:pPr>
            <w:r w:rsidRPr="00810BCE">
              <w:rPr>
                <w:lang w:val="es-ES_tradnl"/>
              </w:rPr>
              <w:t>Gama de sintonización del receptor (GHz)</w:t>
            </w:r>
          </w:p>
        </w:tc>
        <w:tc>
          <w:tcPr>
            <w:tcW w:w="2835" w:type="dxa"/>
            <w:tcBorders>
              <w:top w:val="single" w:sz="4" w:space="0" w:color="auto"/>
              <w:left w:val="single" w:sz="4" w:space="0" w:color="auto"/>
              <w:bottom w:val="single" w:sz="4" w:space="0" w:color="auto"/>
              <w:right w:val="single" w:sz="4" w:space="0" w:color="auto"/>
            </w:tcBorders>
            <w:vAlign w:val="center"/>
            <w:hideMark/>
          </w:tcPr>
          <w:p w:rsidR="00AE0457" w:rsidRPr="00810BCE" w:rsidRDefault="00AE0457" w:rsidP="00BA5024">
            <w:pPr>
              <w:pStyle w:val="Tabletext"/>
              <w:jc w:val="center"/>
              <w:rPr>
                <w:lang w:val="es-ES_tradnl"/>
              </w:rPr>
            </w:pPr>
            <w:r w:rsidRPr="00810BCE">
              <w:rPr>
                <w:lang w:val="es-ES_tradnl"/>
              </w:rPr>
              <w:t>21,2</w:t>
            </w:r>
            <w:r w:rsidRPr="00810BCE">
              <w:rPr>
                <w:lang w:val="es-ES_tradnl"/>
              </w:rPr>
              <w:noBreakHyphen/>
              <w:t>21,5</w:t>
            </w:r>
          </w:p>
        </w:tc>
      </w:tr>
      <w:tr w:rsidR="00AE0457" w:rsidRPr="00810BCE" w:rsidTr="00AE0457">
        <w:trPr>
          <w:jc w:val="center"/>
        </w:trPr>
        <w:tc>
          <w:tcPr>
            <w:tcW w:w="5669" w:type="dxa"/>
            <w:tcBorders>
              <w:top w:val="single" w:sz="4" w:space="0" w:color="auto"/>
              <w:left w:val="single" w:sz="4" w:space="0" w:color="auto"/>
              <w:bottom w:val="single" w:sz="4" w:space="0" w:color="auto"/>
              <w:right w:val="single" w:sz="4" w:space="0" w:color="auto"/>
            </w:tcBorders>
            <w:hideMark/>
          </w:tcPr>
          <w:p w:rsidR="00AE0457" w:rsidRPr="00810BCE" w:rsidRDefault="00AE0457" w:rsidP="00BA5024">
            <w:pPr>
              <w:pStyle w:val="Tabletext"/>
              <w:jc w:val="left"/>
              <w:rPr>
                <w:lang w:val="es-ES_tradnl"/>
              </w:rPr>
            </w:pPr>
            <w:r w:rsidRPr="00810BCE">
              <w:rPr>
                <w:lang w:val="es-ES_tradnl"/>
              </w:rPr>
              <w:t>Selectividad FI del receptor (MHz)</w:t>
            </w:r>
            <w:r w:rsidRPr="00810BCE">
              <w:rPr>
                <w:lang w:val="es-ES_tradnl"/>
              </w:rPr>
              <w:br/>
            </w:r>
            <w:r w:rsidRPr="00810BCE">
              <w:rPr>
                <w:lang w:val="es-ES_tradnl"/>
              </w:rPr>
              <w:tab/>
              <w:t>−3 dB</w:t>
            </w:r>
            <w:r w:rsidRPr="00810BCE">
              <w:rPr>
                <w:lang w:val="es-ES_tradnl"/>
              </w:rPr>
              <w:br/>
            </w:r>
            <w:r w:rsidRPr="00810BCE">
              <w:rPr>
                <w:lang w:val="es-ES_tradnl"/>
              </w:rPr>
              <w:tab/>
              <w:t>−20 dB</w:t>
            </w:r>
            <w:r w:rsidRPr="00810BCE">
              <w:rPr>
                <w:lang w:val="es-ES_tradnl"/>
              </w:rPr>
              <w:br/>
            </w:r>
            <w:r w:rsidRPr="00810BCE">
              <w:rPr>
                <w:lang w:val="es-ES_tradnl"/>
              </w:rPr>
              <w:tab/>
              <w:t>−60 dB</w:t>
            </w:r>
          </w:p>
        </w:tc>
        <w:tc>
          <w:tcPr>
            <w:tcW w:w="2835" w:type="dxa"/>
            <w:tcBorders>
              <w:top w:val="single" w:sz="4" w:space="0" w:color="auto"/>
              <w:left w:val="single" w:sz="4" w:space="0" w:color="auto"/>
              <w:bottom w:val="single" w:sz="4" w:space="0" w:color="auto"/>
              <w:right w:val="single" w:sz="4" w:space="0" w:color="auto"/>
            </w:tcBorders>
            <w:hideMark/>
          </w:tcPr>
          <w:p w:rsidR="00AE0457" w:rsidRPr="00810BCE" w:rsidRDefault="00AE0457" w:rsidP="00BA5024">
            <w:pPr>
              <w:pStyle w:val="Tabletext"/>
              <w:jc w:val="center"/>
              <w:rPr>
                <w:lang w:val="es-ES_tradnl"/>
              </w:rPr>
            </w:pPr>
            <w:r w:rsidRPr="00810BCE">
              <w:rPr>
                <w:lang w:val="es-ES_tradnl"/>
              </w:rPr>
              <w:br/>
              <w:t>306</w:t>
            </w:r>
            <w:r w:rsidRPr="00810BCE">
              <w:rPr>
                <w:lang w:val="es-ES_tradnl"/>
              </w:rPr>
              <w:br/>
              <w:t>315</w:t>
            </w:r>
            <w:r w:rsidRPr="00810BCE">
              <w:rPr>
                <w:lang w:val="es-ES_tradnl"/>
              </w:rPr>
              <w:br/>
              <w:t>380</w:t>
            </w:r>
          </w:p>
        </w:tc>
      </w:tr>
      <w:tr w:rsidR="00AE0457" w:rsidRPr="00810BCE" w:rsidTr="00AE0457">
        <w:trPr>
          <w:jc w:val="center"/>
        </w:trPr>
        <w:tc>
          <w:tcPr>
            <w:tcW w:w="5669" w:type="dxa"/>
            <w:tcBorders>
              <w:top w:val="single" w:sz="4" w:space="0" w:color="auto"/>
              <w:left w:val="single" w:sz="4" w:space="0" w:color="auto"/>
              <w:bottom w:val="single" w:sz="4" w:space="0" w:color="auto"/>
              <w:right w:val="single" w:sz="4" w:space="0" w:color="auto"/>
            </w:tcBorders>
            <w:hideMark/>
          </w:tcPr>
          <w:p w:rsidR="00AE0457" w:rsidRPr="00810BCE" w:rsidRDefault="00AE0457" w:rsidP="00BA5024">
            <w:pPr>
              <w:pStyle w:val="Tabletext"/>
              <w:jc w:val="left"/>
              <w:rPr>
                <w:lang w:val="es-ES_tradnl"/>
              </w:rPr>
            </w:pPr>
            <w:r w:rsidRPr="00810BCE">
              <w:rPr>
                <w:lang w:val="es-ES_tradnl"/>
              </w:rPr>
              <w:t>Selectividad RF del receptor (MHz)</w:t>
            </w:r>
            <w:r w:rsidRPr="00810BCE">
              <w:rPr>
                <w:lang w:val="es-ES_tradnl"/>
              </w:rPr>
              <w:br/>
            </w:r>
            <w:r w:rsidRPr="00810BCE">
              <w:rPr>
                <w:lang w:val="es-ES_tradnl"/>
              </w:rPr>
              <w:tab/>
              <w:t>−3 dB</w:t>
            </w:r>
            <w:r w:rsidRPr="00810BCE">
              <w:rPr>
                <w:lang w:val="es-ES_tradnl"/>
              </w:rPr>
              <w:br/>
            </w:r>
            <w:r w:rsidRPr="00810BCE">
              <w:rPr>
                <w:lang w:val="es-ES_tradnl"/>
              </w:rPr>
              <w:tab/>
              <w:t>−20 dB</w:t>
            </w:r>
            <w:r w:rsidRPr="00810BCE">
              <w:rPr>
                <w:lang w:val="es-ES_tradnl"/>
              </w:rPr>
              <w:br/>
            </w:r>
            <w:r w:rsidRPr="00810BCE">
              <w:rPr>
                <w:lang w:val="es-ES_tradnl"/>
              </w:rPr>
              <w:tab/>
              <w:t>−60 dB</w:t>
            </w:r>
          </w:p>
        </w:tc>
        <w:tc>
          <w:tcPr>
            <w:tcW w:w="2835" w:type="dxa"/>
            <w:tcBorders>
              <w:top w:val="single" w:sz="4" w:space="0" w:color="auto"/>
              <w:left w:val="single" w:sz="4" w:space="0" w:color="auto"/>
              <w:bottom w:val="single" w:sz="4" w:space="0" w:color="auto"/>
              <w:right w:val="single" w:sz="4" w:space="0" w:color="auto"/>
            </w:tcBorders>
            <w:hideMark/>
          </w:tcPr>
          <w:p w:rsidR="00AE0457" w:rsidRPr="00810BCE" w:rsidRDefault="00AE0457" w:rsidP="00BA5024">
            <w:pPr>
              <w:pStyle w:val="Tabletext"/>
              <w:jc w:val="center"/>
              <w:rPr>
                <w:lang w:val="es-ES_tradnl"/>
              </w:rPr>
            </w:pPr>
            <w:r w:rsidRPr="00810BCE">
              <w:rPr>
                <w:lang w:val="es-ES_tradnl"/>
              </w:rPr>
              <w:br/>
              <w:t>310</w:t>
            </w:r>
            <w:r w:rsidRPr="00810BCE">
              <w:rPr>
                <w:lang w:val="es-ES_tradnl"/>
              </w:rPr>
              <w:br/>
              <w:t>315</w:t>
            </w:r>
            <w:r w:rsidRPr="00810BCE">
              <w:rPr>
                <w:lang w:val="es-ES_tradnl"/>
              </w:rPr>
              <w:br/>
              <w:t>360</w:t>
            </w:r>
          </w:p>
        </w:tc>
      </w:tr>
      <w:tr w:rsidR="00AE0457" w:rsidRPr="00810BCE" w:rsidTr="00AE0457">
        <w:trPr>
          <w:jc w:val="center"/>
        </w:trPr>
        <w:tc>
          <w:tcPr>
            <w:tcW w:w="5669" w:type="dxa"/>
            <w:tcBorders>
              <w:top w:val="single" w:sz="4" w:space="0" w:color="auto"/>
              <w:left w:val="single" w:sz="4" w:space="0" w:color="auto"/>
              <w:bottom w:val="single" w:sz="4" w:space="0" w:color="auto"/>
              <w:right w:val="single" w:sz="4" w:space="0" w:color="auto"/>
            </w:tcBorders>
            <w:hideMark/>
          </w:tcPr>
          <w:p w:rsidR="00AE0457" w:rsidRPr="00810BCE" w:rsidRDefault="00AE0457" w:rsidP="00BA5024">
            <w:pPr>
              <w:pStyle w:val="Tabletext"/>
              <w:rPr>
                <w:lang w:val="es-ES_tradnl"/>
              </w:rPr>
            </w:pPr>
            <w:r w:rsidRPr="00810BCE">
              <w:rPr>
                <w:lang w:val="es-ES_tradnl"/>
              </w:rPr>
              <w:t>Figura de ruido del receptor (dB)</w:t>
            </w:r>
          </w:p>
        </w:tc>
        <w:tc>
          <w:tcPr>
            <w:tcW w:w="2835" w:type="dxa"/>
            <w:tcBorders>
              <w:top w:val="single" w:sz="4" w:space="0" w:color="auto"/>
              <w:left w:val="single" w:sz="4" w:space="0" w:color="auto"/>
              <w:bottom w:val="single" w:sz="4" w:space="0" w:color="auto"/>
              <w:right w:val="single" w:sz="4" w:space="0" w:color="auto"/>
            </w:tcBorders>
            <w:vAlign w:val="center"/>
            <w:hideMark/>
          </w:tcPr>
          <w:p w:rsidR="00AE0457" w:rsidRPr="00810BCE" w:rsidRDefault="00AE0457" w:rsidP="00BA5024">
            <w:pPr>
              <w:pStyle w:val="Tabletext"/>
              <w:jc w:val="center"/>
              <w:rPr>
                <w:lang w:val="es-ES_tradnl"/>
              </w:rPr>
            </w:pPr>
            <w:r w:rsidRPr="00810BCE">
              <w:rPr>
                <w:lang w:val="es-ES_tradnl"/>
              </w:rPr>
              <w:t>7</w:t>
            </w:r>
          </w:p>
        </w:tc>
      </w:tr>
      <w:tr w:rsidR="00AE0457" w:rsidRPr="00810BCE" w:rsidTr="00AE0457">
        <w:trPr>
          <w:jc w:val="center"/>
        </w:trPr>
        <w:tc>
          <w:tcPr>
            <w:tcW w:w="5669" w:type="dxa"/>
            <w:tcBorders>
              <w:top w:val="single" w:sz="4" w:space="0" w:color="auto"/>
              <w:left w:val="single" w:sz="4" w:space="0" w:color="auto"/>
              <w:bottom w:val="single" w:sz="4" w:space="0" w:color="auto"/>
              <w:right w:val="single" w:sz="4" w:space="0" w:color="auto"/>
            </w:tcBorders>
            <w:hideMark/>
          </w:tcPr>
          <w:p w:rsidR="00AE0457" w:rsidRPr="00810BCE" w:rsidRDefault="00AE0457" w:rsidP="00BA5024">
            <w:pPr>
              <w:pStyle w:val="Tabletext"/>
              <w:rPr>
                <w:lang w:val="es-ES_tradnl"/>
              </w:rPr>
            </w:pPr>
            <w:r w:rsidRPr="00810BCE">
              <w:rPr>
                <w:lang w:val="es-ES_tradnl"/>
              </w:rPr>
              <w:t>Rechazo de frecuencia de imagen en el receptor (dB)</w:t>
            </w:r>
          </w:p>
        </w:tc>
        <w:tc>
          <w:tcPr>
            <w:tcW w:w="2835" w:type="dxa"/>
            <w:tcBorders>
              <w:top w:val="single" w:sz="4" w:space="0" w:color="auto"/>
              <w:left w:val="single" w:sz="4" w:space="0" w:color="auto"/>
              <w:bottom w:val="single" w:sz="4" w:space="0" w:color="auto"/>
              <w:right w:val="single" w:sz="4" w:space="0" w:color="auto"/>
            </w:tcBorders>
            <w:vAlign w:val="center"/>
            <w:hideMark/>
          </w:tcPr>
          <w:p w:rsidR="00AE0457" w:rsidRPr="00810BCE" w:rsidRDefault="00AE0457" w:rsidP="00BA5024">
            <w:pPr>
              <w:pStyle w:val="Tabletext"/>
              <w:jc w:val="center"/>
              <w:rPr>
                <w:lang w:val="es-ES_tradnl"/>
              </w:rPr>
            </w:pPr>
            <w:r w:rsidRPr="00810BCE">
              <w:rPr>
                <w:lang w:val="es-ES_tradnl"/>
              </w:rPr>
              <w:t>30</w:t>
            </w:r>
          </w:p>
        </w:tc>
      </w:tr>
      <w:tr w:rsidR="00AE0457" w:rsidRPr="00810BCE" w:rsidTr="00AE0457">
        <w:trPr>
          <w:jc w:val="center"/>
        </w:trPr>
        <w:tc>
          <w:tcPr>
            <w:tcW w:w="5669" w:type="dxa"/>
            <w:tcBorders>
              <w:top w:val="single" w:sz="4" w:space="0" w:color="auto"/>
              <w:left w:val="single" w:sz="4" w:space="0" w:color="auto"/>
              <w:bottom w:val="single" w:sz="4" w:space="0" w:color="auto"/>
              <w:right w:val="single" w:sz="4" w:space="0" w:color="auto"/>
            </w:tcBorders>
            <w:hideMark/>
          </w:tcPr>
          <w:p w:rsidR="00AE0457" w:rsidRPr="00810BCE" w:rsidRDefault="00AE0457" w:rsidP="00BA5024">
            <w:pPr>
              <w:pStyle w:val="Tabletext"/>
              <w:rPr>
                <w:lang w:val="es-ES_tradnl"/>
              </w:rPr>
            </w:pPr>
            <w:r w:rsidRPr="00810BCE">
              <w:rPr>
                <w:lang w:val="es-ES_tradnl"/>
              </w:rPr>
              <w:t>Rechazo de emisiones no esenciales en el receptor (dB)</w:t>
            </w:r>
          </w:p>
        </w:tc>
        <w:tc>
          <w:tcPr>
            <w:tcW w:w="2835" w:type="dxa"/>
            <w:tcBorders>
              <w:top w:val="single" w:sz="4" w:space="0" w:color="auto"/>
              <w:left w:val="single" w:sz="4" w:space="0" w:color="auto"/>
              <w:bottom w:val="single" w:sz="4" w:space="0" w:color="auto"/>
              <w:right w:val="single" w:sz="4" w:space="0" w:color="auto"/>
            </w:tcBorders>
            <w:vAlign w:val="center"/>
            <w:hideMark/>
          </w:tcPr>
          <w:p w:rsidR="00AE0457" w:rsidRPr="00810BCE" w:rsidRDefault="00AE0457" w:rsidP="00BA5024">
            <w:pPr>
              <w:pStyle w:val="Tabletext"/>
              <w:jc w:val="center"/>
              <w:rPr>
                <w:lang w:val="es-ES_tradnl"/>
              </w:rPr>
            </w:pPr>
            <w:r w:rsidRPr="00810BCE">
              <w:rPr>
                <w:lang w:val="es-ES_tradnl"/>
              </w:rPr>
              <w:t>60</w:t>
            </w:r>
          </w:p>
        </w:tc>
      </w:tr>
      <w:tr w:rsidR="00AE0457" w:rsidRPr="00810BCE" w:rsidTr="00AE0457">
        <w:trPr>
          <w:jc w:val="center"/>
        </w:trPr>
        <w:tc>
          <w:tcPr>
            <w:tcW w:w="5669" w:type="dxa"/>
            <w:tcBorders>
              <w:top w:val="single" w:sz="4" w:space="0" w:color="auto"/>
              <w:left w:val="single" w:sz="4" w:space="0" w:color="auto"/>
              <w:bottom w:val="single" w:sz="4" w:space="0" w:color="auto"/>
              <w:right w:val="single" w:sz="4" w:space="0" w:color="auto"/>
            </w:tcBorders>
            <w:hideMark/>
          </w:tcPr>
          <w:p w:rsidR="00AE0457" w:rsidRPr="00810BCE" w:rsidRDefault="00AE0457" w:rsidP="00BA5024">
            <w:pPr>
              <w:pStyle w:val="Tabletext"/>
              <w:rPr>
                <w:lang w:val="es-ES_tradnl"/>
              </w:rPr>
            </w:pPr>
            <w:r w:rsidRPr="00810BCE">
              <w:rPr>
                <w:lang w:val="es-ES_tradnl"/>
              </w:rPr>
              <w:t>Ganancia de la antena (</w:t>
            </w:r>
            <w:proofErr w:type="spellStart"/>
            <w:r w:rsidRPr="00810BCE">
              <w:rPr>
                <w:lang w:val="es-ES_tradnl"/>
              </w:rPr>
              <w:t>dBi</w:t>
            </w:r>
            <w:proofErr w:type="spellEnd"/>
            <w:r w:rsidRPr="00810BCE">
              <w:rPr>
                <w:lang w:val="es-ES_tradnl"/>
              </w:rPr>
              <w:t>)</w:t>
            </w:r>
          </w:p>
        </w:tc>
        <w:tc>
          <w:tcPr>
            <w:tcW w:w="2835" w:type="dxa"/>
            <w:tcBorders>
              <w:top w:val="single" w:sz="4" w:space="0" w:color="auto"/>
              <w:left w:val="single" w:sz="4" w:space="0" w:color="auto"/>
              <w:bottom w:val="single" w:sz="4" w:space="0" w:color="auto"/>
              <w:right w:val="single" w:sz="4" w:space="0" w:color="auto"/>
            </w:tcBorders>
            <w:vAlign w:val="center"/>
            <w:hideMark/>
          </w:tcPr>
          <w:p w:rsidR="00AE0457" w:rsidRPr="00810BCE" w:rsidRDefault="00AE0457" w:rsidP="00BA5024">
            <w:pPr>
              <w:pStyle w:val="Tabletext"/>
              <w:jc w:val="center"/>
              <w:rPr>
                <w:lang w:val="es-ES_tradnl"/>
              </w:rPr>
            </w:pPr>
            <w:r w:rsidRPr="00810BCE">
              <w:rPr>
                <w:lang w:val="es-ES_tradnl"/>
              </w:rPr>
              <w:t>0</w:t>
            </w:r>
          </w:p>
        </w:tc>
      </w:tr>
      <w:tr w:rsidR="00AE0457" w:rsidRPr="00810BCE" w:rsidTr="00AE0457">
        <w:trPr>
          <w:jc w:val="center"/>
        </w:trPr>
        <w:tc>
          <w:tcPr>
            <w:tcW w:w="5669" w:type="dxa"/>
            <w:tcBorders>
              <w:top w:val="single" w:sz="4" w:space="0" w:color="auto"/>
              <w:left w:val="single" w:sz="4" w:space="0" w:color="auto"/>
              <w:bottom w:val="single" w:sz="4" w:space="0" w:color="auto"/>
              <w:right w:val="single" w:sz="4" w:space="0" w:color="auto"/>
            </w:tcBorders>
            <w:hideMark/>
          </w:tcPr>
          <w:p w:rsidR="00AE0457" w:rsidRPr="00810BCE" w:rsidRDefault="00AE0457" w:rsidP="00AE0457">
            <w:pPr>
              <w:pStyle w:val="Tabletext"/>
              <w:rPr>
                <w:lang w:val="es-ES_tradnl"/>
              </w:rPr>
            </w:pPr>
            <w:r w:rsidRPr="00810BCE">
              <w:rPr>
                <w:lang w:val="es-ES_tradnl"/>
              </w:rPr>
              <w:t>1</w:t>
            </w:r>
            <w:r>
              <w:rPr>
                <w:lang w:val="es-ES_tradnl"/>
              </w:rPr>
              <w:t>°</w:t>
            </w:r>
            <w:r w:rsidRPr="00810BCE">
              <w:rPr>
                <w:lang w:val="es-ES_tradnl"/>
              </w:rPr>
              <w:t xml:space="preserve"> lóbulo lateral de la antena (dB)</w:t>
            </w:r>
          </w:p>
        </w:tc>
        <w:tc>
          <w:tcPr>
            <w:tcW w:w="2835" w:type="dxa"/>
            <w:tcBorders>
              <w:top w:val="single" w:sz="4" w:space="0" w:color="auto"/>
              <w:left w:val="single" w:sz="4" w:space="0" w:color="auto"/>
              <w:bottom w:val="single" w:sz="4" w:space="0" w:color="auto"/>
              <w:right w:val="single" w:sz="4" w:space="0" w:color="auto"/>
            </w:tcBorders>
            <w:vAlign w:val="center"/>
            <w:hideMark/>
          </w:tcPr>
          <w:p w:rsidR="00AE0457" w:rsidRPr="00810BCE" w:rsidRDefault="00AE0457" w:rsidP="00BA5024">
            <w:pPr>
              <w:pStyle w:val="Tabletext"/>
              <w:jc w:val="center"/>
              <w:rPr>
                <w:highlight w:val="yellow"/>
                <w:lang w:val="es-ES_tradnl"/>
              </w:rPr>
            </w:pPr>
            <w:r w:rsidRPr="00810BCE">
              <w:rPr>
                <w:lang w:val="es-ES_tradnl"/>
              </w:rPr>
              <w:t>No aplicable</w:t>
            </w:r>
          </w:p>
        </w:tc>
      </w:tr>
      <w:tr w:rsidR="00AE0457" w:rsidRPr="00810BCE" w:rsidTr="00AE0457">
        <w:trPr>
          <w:jc w:val="center"/>
        </w:trPr>
        <w:tc>
          <w:tcPr>
            <w:tcW w:w="5669" w:type="dxa"/>
            <w:tcBorders>
              <w:top w:val="single" w:sz="4" w:space="0" w:color="auto"/>
              <w:left w:val="single" w:sz="4" w:space="0" w:color="auto"/>
              <w:bottom w:val="single" w:sz="4" w:space="0" w:color="auto"/>
              <w:right w:val="single" w:sz="4" w:space="0" w:color="auto"/>
            </w:tcBorders>
            <w:hideMark/>
          </w:tcPr>
          <w:p w:rsidR="00AE0457" w:rsidRPr="00810BCE" w:rsidRDefault="00AE0457" w:rsidP="00BA5024">
            <w:pPr>
              <w:pStyle w:val="Tabletext"/>
              <w:rPr>
                <w:lang w:val="es-ES_tradnl"/>
              </w:rPr>
            </w:pPr>
            <w:r w:rsidRPr="00810BCE">
              <w:rPr>
                <w:lang w:val="es-ES_tradnl"/>
              </w:rPr>
              <w:t>Polarización de la antena</w:t>
            </w:r>
          </w:p>
        </w:tc>
        <w:tc>
          <w:tcPr>
            <w:tcW w:w="2835" w:type="dxa"/>
            <w:tcBorders>
              <w:top w:val="single" w:sz="4" w:space="0" w:color="auto"/>
              <w:left w:val="single" w:sz="4" w:space="0" w:color="auto"/>
              <w:bottom w:val="single" w:sz="4" w:space="0" w:color="auto"/>
              <w:right w:val="single" w:sz="4" w:space="0" w:color="auto"/>
            </w:tcBorders>
            <w:vAlign w:val="center"/>
            <w:hideMark/>
          </w:tcPr>
          <w:p w:rsidR="00AE0457" w:rsidRPr="00810BCE" w:rsidRDefault="00AE0457" w:rsidP="00BA5024">
            <w:pPr>
              <w:pStyle w:val="Tabletext"/>
              <w:jc w:val="center"/>
              <w:rPr>
                <w:lang w:val="es-ES_tradnl"/>
              </w:rPr>
            </w:pPr>
            <w:r w:rsidRPr="00810BCE">
              <w:rPr>
                <w:lang w:val="es-ES_tradnl"/>
              </w:rPr>
              <w:t>Vertical</w:t>
            </w:r>
          </w:p>
        </w:tc>
      </w:tr>
      <w:tr w:rsidR="00AE0457" w:rsidRPr="00810BCE" w:rsidTr="00AE0457">
        <w:trPr>
          <w:jc w:val="center"/>
        </w:trPr>
        <w:tc>
          <w:tcPr>
            <w:tcW w:w="5669" w:type="dxa"/>
            <w:tcBorders>
              <w:top w:val="single" w:sz="4" w:space="0" w:color="auto"/>
              <w:left w:val="single" w:sz="4" w:space="0" w:color="auto"/>
              <w:bottom w:val="single" w:sz="4" w:space="0" w:color="auto"/>
              <w:right w:val="single" w:sz="4" w:space="0" w:color="auto"/>
            </w:tcBorders>
            <w:hideMark/>
          </w:tcPr>
          <w:p w:rsidR="00AE0457" w:rsidRPr="00810BCE" w:rsidRDefault="00AE0457" w:rsidP="00BA5024">
            <w:pPr>
              <w:pStyle w:val="Tabletext"/>
              <w:rPr>
                <w:lang w:val="es-ES_tradnl"/>
              </w:rPr>
            </w:pPr>
            <w:r w:rsidRPr="00810BCE">
              <w:rPr>
                <w:lang w:val="es-ES_tradnl"/>
              </w:rPr>
              <w:t>Diagrama/tipo de antena</w:t>
            </w:r>
          </w:p>
        </w:tc>
        <w:tc>
          <w:tcPr>
            <w:tcW w:w="2835" w:type="dxa"/>
            <w:tcBorders>
              <w:top w:val="single" w:sz="4" w:space="0" w:color="auto"/>
              <w:left w:val="single" w:sz="4" w:space="0" w:color="auto"/>
              <w:bottom w:val="single" w:sz="4" w:space="0" w:color="auto"/>
              <w:right w:val="single" w:sz="4" w:space="0" w:color="auto"/>
            </w:tcBorders>
            <w:vAlign w:val="center"/>
            <w:hideMark/>
          </w:tcPr>
          <w:p w:rsidR="00AE0457" w:rsidRPr="00810BCE" w:rsidRDefault="00AE0457" w:rsidP="00BA5024">
            <w:pPr>
              <w:pStyle w:val="Tabletext"/>
              <w:jc w:val="center"/>
              <w:rPr>
                <w:lang w:val="es-ES_tradnl"/>
              </w:rPr>
            </w:pPr>
            <w:proofErr w:type="spellStart"/>
            <w:r w:rsidRPr="00810BCE">
              <w:rPr>
                <w:lang w:val="es-ES_tradnl"/>
              </w:rPr>
              <w:t>Omni</w:t>
            </w:r>
            <w:proofErr w:type="spellEnd"/>
          </w:p>
        </w:tc>
      </w:tr>
    </w:tbl>
    <w:p w:rsidR="00AE0457" w:rsidRDefault="00AE0457" w:rsidP="00AE0457">
      <w:pPr>
        <w:pStyle w:val="Tablefin"/>
      </w:pPr>
    </w:p>
    <w:p w:rsidR="00AE0457" w:rsidRPr="00AE0457" w:rsidRDefault="00AE0457" w:rsidP="00AE0457">
      <w:pPr>
        <w:rPr>
          <w:lang w:val="en-GB"/>
        </w:rPr>
      </w:pPr>
    </w:p>
    <w:p w:rsidR="00AE0457" w:rsidRDefault="00AE0457">
      <w:pPr>
        <w:jc w:val="center"/>
      </w:pPr>
      <w:r>
        <w:t>______________</w:t>
      </w:r>
    </w:p>
    <w:sectPr w:rsidR="00AE0457" w:rsidSect="00731E09">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12E1" w:rsidRDefault="008712E1">
      <w:r>
        <w:separator/>
      </w:r>
    </w:p>
  </w:endnote>
  <w:endnote w:type="continuationSeparator" w:id="0">
    <w:p w:rsidR="008712E1" w:rsidRDefault="00871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12E1" w:rsidRDefault="008712E1">
      <w:r>
        <w:separator/>
      </w:r>
    </w:p>
  </w:footnote>
  <w:footnote w:type="continuationSeparator" w:id="0">
    <w:p w:rsidR="008712E1" w:rsidRDefault="008712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2E1" w:rsidRDefault="008712E1">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2E1" w:rsidRDefault="008712E1" w:rsidP="00CB1354">
    <w:pPr>
      <w:ind w:right="360" w:firstLine="360"/>
    </w:pPr>
    <w:r>
      <w:rPr>
        <w:noProof/>
        <w:lang w:val="en-US"/>
      </w:rPr>
      <w:drawing>
        <wp:anchor distT="0" distB="0" distL="114300" distR="114300" simplePos="0" relativeHeight="251658752" behindDoc="1" locked="0" layoutInCell="1" allowOverlap="1" wp14:anchorId="59DDA98C" wp14:editId="27BE50DA">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2E1" w:rsidRDefault="008712E1"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7E55CF">
      <w:rPr>
        <w:rStyle w:val="PageNumber"/>
        <w:b/>
        <w:bCs/>
        <w:noProof/>
      </w:rPr>
      <w:t>ii</w:t>
    </w:r>
    <w:r>
      <w:rPr>
        <w:rStyle w:val="PageNumber"/>
        <w:b/>
        <w:bCs/>
      </w:rPr>
      <w:fldChar w:fldCharType="end"/>
    </w:r>
    <w:r>
      <w:tab/>
    </w:r>
    <w:r w:rsidR="007E55CF">
      <w:fldChar w:fldCharType="begin"/>
    </w:r>
    <w:r w:rsidR="007E55CF">
      <w:instrText xml:space="preserve"> DOCPROPERTY "Header" \* MERGEFORMAT </w:instrText>
    </w:r>
    <w:r w:rsidR="007E55CF">
      <w:fldChar w:fldCharType="separate"/>
    </w:r>
    <w:r w:rsidR="007F3EC6" w:rsidRPr="007F3EC6">
      <w:rPr>
        <w:b/>
        <w:bCs/>
      </w:rPr>
      <w:t xml:space="preserve">Rec. </w:t>
    </w:r>
    <w:r w:rsidR="007E55CF">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7E55CF">
      <w:rPr>
        <w:b/>
        <w:bCs/>
        <w:noProof/>
      </w:rPr>
      <w:t>UIT-R  M.2120-0</w:t>
    </w:r>
    <w:r w:rsidRPr="001B395D">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2E1" w:rsidRDefault="008712E1">
    <w:r>
      <w:tab/>
    </w:r>
    <w:r w:rsidR="007E55CF">
      <w:fldChar w:fldCharType="begin"/>
    </w:r>
    <w:r w:rsidR="007E55CF">
      <w:instrText xml:space="preserve"> DOCPROPERTY "Header" \* MERGEFORMAT </w:instrText>
    </w:r>
    <w:r w:rsidR="007E55CF">
      <w:fldChar w:fldCharType="separate"/>
    </w:r>
    <w:r w:rsidR="007F3EC6" w:rsidRPr="007F3EC6">
      <w:rPr>
        <w:b/>
        <w:bCs/>
      </w:rPr>
      <w:t xml:space="preserve">Rec. </w:t>
    </w:r>
    <w:r w:rsidR="007E55CF">
      <w:rPr>
        <w:b/>
        <w:bCs/>
      </w:rPr>
      <w:fldChar w:fldCharType="end"/>
    </w:r>
    <w:r>
      <w:rPr>
        <w:b/>
        <w:bCs/>
      </w:rPr>
      <w:t xml:space="preserve"> </w:t>
    </w:r>
    <w:r>
      <w:rPr>
        <w:b/>
        <w:bCs/>
      </w:rPr>
      <w:fldChar w:fldCharType="begin"/>
    </w:r>
    <w:r>
      <w:rPr>
        <w:b/>
        <w:bCs/>
      </w:rPr>
      <w:instrText>styleref href</w:instrText>
    </w:r>
    <w:r>
      <w:rPr>
        <w:b/>
        <w:bCs/>
      </w:rPr>
      <w:fldChar w:fldCharType="separate"/>
    </w:r>
    <w:r w:rsidR="007F3EC6">
      <w:rPr>
        <w:b/>
        <w:bCs/>
        <w:noProof/>
      </w:rPr>
      <w:t>UIT-R  M.2120-0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E55CF">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7F3EC6" w:rsidRPr="007F3EC6">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E55CF">
      <w:rPr>
        <w:b/>
        <w:bCs/>
        <w:noProof/>
        <w:lang w:val="en-US"/>
      </w:rPr>
      <w:t>UIT-R  M.2120-0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7E55CF">
      <w:fldChar w:fldCharType="begin"/>
    </w:r>
    <w:r w:rsidR="007E55CF">
      <w:instrText xml:space="preserve"> DOCPROPERTY "Header" \* MERGEFORMAT </w:instrText>
    </w:r>
    <w:r w:rsidR="007E55CF">
      <w:fldChar w:fldCharType="separate"/>
    </w:r>
    <w:r w:rsidR="007F3EC6" w:rsidRPr="007F3EC6">
      <w:rPr>
        <w:b/>
        <w:bCs/>
      </w:rPr>
      <w:t xml:space="preserve">Rec. </w:t>
    </w:r>
    <w:r w:rsidR="007E55CF">
      <w:rPr>
        <w:b/>
        <w:bCs/>
      </w:rPr>
      <w:fldChar w:fldCharType="end"/>
    </w:r>
    <w:r>
      <w:rPr>
        <w:b/>
        <w:bCs/>
      </w:rPr>
      <w:t xml:space="preserve"> </w:t>
    </w:r>
    <w:r>
      <w:rPr>
        <w:b/>
        <w:bCs/>
      </w:rPr>
      <w:fldChar w:fldCharType="begin"/>
    </w:r>
    <w:r>
      <w:rPr>
        <w:b/>
        <w:bCs/>
      </w:rPr>
      <w:instrText>styleref href</w:instrText>
    </w:r>
    <w:r>
      <w:rPr>
        <w:b/>
        <w:bCs/>
      </w:rPr>
      <w:fldChar w:fldCharType="separate"/>
    </w:r>
    <w:r w:rsidR="007E55CF">
      <w:rPr>
        <w:b/>
        <w:bCs/>
        <w:noProof/>
      </w:rPr>
      <w:t>UIT-R  M.2120-0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E55CF">
      <w:rPr>
        <w:rStyle w:val="PageNumber"/>
        <w:b/>
        <w:bCs/>
        <w:noProof/>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94402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AD8E5C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EE43C9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7F0A66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6B46D9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CC4984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472862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790B6E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8F0C8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AFAABC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s-ES_tradnl" w:vendorID="64" w:dllVersion="131078" w:nlCheck="1" w:checkStyle="0"/>
  <w:activeWritingStyle w:appName="MSWord" w:lang="fr-CH"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2E1"/>
    <w:rsid w:val="00141312"/>
    <w:rsid w:val="00217EBF"/>
    <w:rsid w:val="00242AEE"/>
    <w:rsid w:val="002D76C4"/>
    <w:rsid w:val="0052529D"/>
    <w:rsid w:val="00607D68"/>
    <w:rsid w:val="00731E09"/>
    <w:rsid w:val="007468DA"/>
    <w:rsid w:val="007E55CF"/>
    <w:rsid w:val="007F3EB9"/>
    <w:rsid w:val="007F3EC6"/>
    <w:rsid w:val="008712E1"/>
    <w:rsid w:val="00961E0F"/>
    <w:rsid w:val="009E00A8"/>
    <w:rsid w:val="00A6617B"/>
    <w:rsid w:val="00AB0DC8"/>
    <w:rsid w:val="00AE0457"/>
    <w:rsid w:val="00B44E24"/>
    <w:rsid w:val="00B60D9A"/>
    <w:rsid w:val="00BC0F29"/>
    <w:rsid w:val="00D61929"/>
    <w:rsid w:val="00DC49C4"/>
    <w:rsid w:val="00DF4176"/>
    <w:rsid w:val="00E04E32"/>
    <w:rsid w:val="00FD058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771B38"/>
  <w15:docId w15:val="{1ED94B23-11F6-412B-A92D-F50148076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2E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uiPriority w:val="99"/>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8712E1"/>
    <w:rPr>
      <w:color w:val="0000FF"/>
      <w:u w:val="single"/>
    </w:rPr>
  </w:style>
  <w:style w:type="character" w:customStyle="1" w:styleId="TableheadChar">
    <w:name w:val="Table_head Char"/>
    <w:basedOn w:val="DefaultParagraphFont"/>
    <w:link w:val="Tablehead"/>
    <w:locked/>
    <w:rsid w:val="008712E1"/>
    <w:rPr>
      <w:b/>
      <w:sz w:val="22"/>
      <w:lang w:val="fr-FR" w:eastAsia="en-US"/>
    </w:rPr>
  </w:style>
  <w:style w:type="character" w:customStyle="1" w:styleId="TabletextChar">
    <w:name w:val="Table_text Char"/>
    <w:basedOn w:val="DefaultParagraphFont"/>
    <w:link w:val="Tabletext"/>
    <w:locked/>
    <w:rsid w:val="008712E1"/>
    <w:rPr>
      <w:sz w:val="22"/>
      <w:lang w:val="fr-FR" w:eastAsia="en-US"/>
    </w:rPr>
  </w:style>
  <w:style w:type="character" w:customStyle="1" w:styleId="Heading1Char">
    <w:name w:val="Heading 1 Char"/>
    <w:basedOn w:val="DefaultParagraphFont"/>
    <w:link w:val="Heading1"/>
    <w:uiPriority w:val="99"/>
    <w:rsid w:val="008712E1"/>
    <w:rPr>
      <w:b/>
      <w:sz w:val="24"/>
      <w:lang w:val="fr-FR" w:eastAsia="en-US"/>
    </w:rPr>
  </w:style>
  <w:style w:type="character" w:customStyle="1" w:styleId="HeaderChar">
    <w:name w:val="Header Char"/>
    <w:basedOn w:val="DefaultParagraphFont"/>
    <w:link w:val="Header"/>
    <w:rsid w:val="008712E1"/>
    <w:rPr>
      <w:sz w:val="24"/>
      <w:lang w:val="fr-FR" w:eastAsia="en-US"/>
    </w:rPr>
  </w:style>
  <w:style w:type="paragraph" w:customStyle="1" w:styleId="Normalaftertitle0">
    <w:name w:val="Normal after title"/>
    <w:basedOn w:val="Normal"/>
    <w:next w:val="Normal"/>
    <w:link w:val="NormalaftertitleChar"/>
    <w:rsid w:val="00AE0457"/>
    <w:pPr>
      <w:tabs>
        <w:tab w:val="clear" w:pos="794"/>
        <w:tab w:val="clear" w:pos="1191"/>
        <w:tab w:val="clear" w:pos="1588"/>
        <w:tab w:val="clear" w:pos="1985"/>
        <w:tab w:val="left" w:pos="1134"/>
        <w:tab w:val="left" w:pos="1871"/>
        <w:tab w:val="left" w:pos="2268"/>
      </w:tabs>
      <w:spacing w:before="280"/>
      <w:jc w:val="left"/>
    </w:pPr>
    <w:rPr>
      <w:lang w:val="es-ES_tradnl"/>
    </w:rPr>
  </w:style>
  <w:style w:type="character" w:customStyle="1" w:styleId="NormalaftertitleChar">
    <w:name w:val="Normal after title Char"/>
    <w:basedOn w:val="DefaultParagraphFont"/>
    <w:link w:val="Normalaftertitle0"/>
    <w:locked/>
    <w:rsid w:val="00AE0457"/>
    <w:rPr>
      <w:sz w:val="24"/>
      <w:lang w:val="es-ES_tradnl" w:eastAsia="en-US"/>
    </w:rPr>
  </w:style>
  <w:style w:type="character" w:customStyle="1" w:styleId="Heading2Char">
    <w:name w:val="Heading 2 Char"/>
    <w:basedOn w:val="DefaultParagraphFont"/>
    <w:link w:val="Heading2"/>
    <w:rsid w:val="00AE0457"/>
    <w:rPr>
      <w:b/>
      <w:sz w:val="24"/>
      <w:lang w:val="fr-FR" w:eastAsia="en-US"/>
    </w:rPr>
  </w:style>
  <w:style w:type="character" w:customStyle="1" w:styleId="CallChar">
    <w:name w:val="Call Char"/>
    <w:link w:val="Call"/>
    <w:locked/>
    <w:rsid w:val="00AE0457"/>
    <w:rPr>
      <w:i/>
      <w:sz w:val="24"/>
      <w:lang w:val="fr-FR" w:eastAsia="en-US"/>
    </w:rPr>
  </w:style>
  <w:style w:type="character" w:customStyle="1" w:styleId="HeadingbChar">
    <w:name w:val="Heading_b Char"/>
    <w:link w:val="Headingb"/>
    <w:locked/>
    <w:rsid w:val="00AE0457"/>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55</TotalTime>
  <Pages>6</Pages>
  <Words>1670</Words>
  <Characters>10538</Characters>
  <Application>Microsoft Office Word</Application>
  <DocSecurity>0</DocSecurity>
  <Lines>363</Lines>
  <Paragraphs>75</Paragraphs>
  <ScaleCrop>false</ScaleCrop>
  <HeadingPairs>
    <vt:vector size="2" baseType="variant">
      <vt:variant>
        <vt:lpstr>Title</vt:lpstr>
      </vt:variant>
      <vt:variant>
        <vt:i4>1</vt:i4>
      </vt:variant>
    </vt:vector>
  </HeadingPairs>
  <TitlesOfParts>
    <vt:vector size="1" baseType="lpstr">
      <vt:lpstr>RECOMENDACIÓN  UIT-R  M.2120-0 - Características técnicas y criterios de protección de los sistemas del servicio móvil aeronáutico que funcionan en el servicio móvil  en la banda de frecuencias 21,2-22 GHz</vt:lpstr>
    </vt:vector>
  </TitlesOfParts>
  <Manager/>
  <Company>ITU</Company>
  <LinksUpToDate>false</LinksUpToDate>
  <CharactersWithSpaces>12133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M.2120-0 - Características técnicas y criterios de protección de los sistemas del servicio móvil aeronáutico que funcionan en el servicio móvil  en la banda de frecuencias 21,2-22 GHz</dc:title>
  <dc:subject>Serie M = Servicios móviles, de radiodeterminación y de aficionados, incluidos los correspondientes servicios por satélite</dc:subject>
  <dc:creator>Oficina de Radiocomunicaciones del UIT (BR)</dc:creator>
  <cp:keywords>M,2120-0</cp:keywords>
  <dc:description>Martiner, 4/17/2019, ITU51013816</dc:description>
  <cp:lastModifiedBy>Martinez Romera, Angel</cp:lastModifiedBy>
  <cp:revision>11</cp:revision>
  <cp:lastPrinted>2019-04-17T14:10:00Z</cp:lastPrinted>
  <dcterms:created xsi:type="dcterms:W3CDTF">2019-04-17T12:27:00Z</dcterms:created>
  <dcterms:modified xsi:type="dcterms:W3CDTF">2019-04-17T14:14:00Z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Wednesday, April 17, 2019</vt:lpwstr>
  </property>
</Properties>
</file>