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p w:rsidR="007A6723" w:rsidRDefault="007A6723" w:rsidP="007A6723"/>
    <w:tbl>
      <w:tblPr>
        <w:tblW w:w="10089" w:type="dxa"/>
        <w:tblLook w:val="01E0" w:firstRow="1" w:lastRow="1" w:firstColumn="1" w:lastColumn="1" w:noHBand="0" w:noVBand="0"/>
      </w:tblPr>
      <w:tblGrid>
        <w:gridCol w:w="10089"/>
      </w:tblGrid>
      <w:tr w:rsidR="007A6723" w:rsidRPr="004F65E4" w:rsidTr="00AB5B6D">
        <w:tc>
          <w:tcPr>
            <w:tcW w:w="10089" w:type="dxa"/>
          </w:tcPr>
          <w:p w:rsidR="007A6723" w:rsidRPr="001511A6" w:rsidRDefault="007A6723" w:rsidP="00AB5B6D">
            <w:pPr>
              <w:spacing w:before="380" w:line="280" w:lineRule="exact"/>
              <w:jc w:val="right"/>
              <w:rPr>
                <w:rFonts w:ascii="Tahoma" w:hAnsi="Tahoma" w:cs="Tahoma"/>
                <w:b/>
                <w:bCs/>
                <w:iCs/>
                <w:color w:val="243285"/>
                <w:sz w:val="32"/>
                <w:szCs w:val="32"/>
                <w:lang w:val="en-US"/>
              </w:rPr>
            </w:pPr>
          </w:p>
          <w:p w:rsidR="007A6723" w:rsidRPr="004F65E4" w:rsidRDefault="007A6723" w:rsidP="00AB5B6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sidR="003F0D10">
              <w:rPr>
                <w:rFonts w:ascii="Tahoma" w:hAnsi="Tahoma" w:cs="Tahoma"/>
                <w:b/>
                <w:bCs/>
                <w:iCs/>
                <w:color w:val="243285"/>
                <w:sz w:val="36"/>
                <w:szCs w:val="36"/>
              </w:rPr>
              <w:t>2120-0</w:t>
            </w:r>
          </w:p>
          <w:p w:rsidR="007A6723" w:rsidRPr="004F65E4" w:rsidRDefault="007A6723" w:rsidP="003F0D1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3F0D10">
              <w:rPr>
                <w:rFonts w:ascii="Tahoma" w:hAnsi="Tahoma" w:cs="Tahoma"/>
                <w:b/>
                <w:bCs/>
                <w:iCs/>
                <w:color w:val="243285"/>
                <w:szCs w:val="24"/>
              </w:rPr>
              <w:t>1</w:t>
            </w:r>
            <w:r w:rsidRPr="004F65E4">
              <w:rPr>
                <w:rFonts w:ascii="Tahoma" w:hAnsi="Tahoma" w:cs="Tahoma"/>
                <w:b/>
                <w:bCs/>
                <w:iCs/>
                <w:color w:val="243285"/>
                <w:szCs w:val="24"/>
              </w:rPr>
              <w:t>/</w:t>
            </w:r>
            <w:r>
              <w:rPr>
                <w:rFonts w:ascii="Tahoma" w:hAnsi="Tahoma" w:cs="Tahoma"/>
                <w:b/>
                <w:bCs/>
                <w:iCs/>
                <w:color w:val="243285"/>
                <w:szCs w:val="24"/>
              </w:rPr>
              <w:t>201</w:t>
            </w:r>
            <w:r w:rsidR="003F0D10">
              <w:rPr>
                <w:rFonts w:ascii="Tahoma" w:hAnsi="Tahoma" w:cs="Tahoma"/>
                <w:b/>
                <w:bCs/>
                <w:iCs/>
                <w:color w:val="243285"/>
                <w:szCs w:val="24"/>
              </w:rPr>
              <w:t>9</w:t>
            </w:r>
            <w:r w:rsidRPr="004F65E4">
              <w:rPr>
                <w:rFonts w:ascii="Tahoma" w:hAnsi="Tahoma" w:cs="Tahoma"/>
                <w:b/>
                <w:bCs/>
                <w:iCs/>
                <w:color w:val="243285"/>
                <w:szCs w:val="24"/>
              </w:rPr>
              <w:t>)</w:t>
            </w:r>
          </w:p>
        </w:tc>
      </w:tr>
      <w:tr w:rsidR="007A6723" w:rsidRPr="003F0D10" w:rsidTr="00AB5B6D">
        <w:tc>
          <w:tcPr>
            <w:tcW w:w="10089" w:type="dxa"/>
          </w:tcPr>
          <w:p w:rsidR="007A6723" w:rsidRPr="003E1DED" w:rsidRDefault="007A6723" w:rsidP="00AB5B6D">
            <w:pPr>
              <w:spacing w:before="80" w:line="500" w:lineRule="exact"/>
              <w:jc w:val="right"/>
              <w:rPr>
                <w:rFonts w:ascii="Tahoma" w:hAnsi="Tahoma" w:cs="Tahoma"/>
                <w:b/>
                <w:bCs/>
                <w:iCs/>
                <w:color w:val="243285"/>
                <w:sz w:val="44"/>
                <w:szCs w:val="44"/>
                <w:lang w:val="en-US"/>
              </w:rPr>
            </w:pPr>
          </w:p>
          <w:p w:rsidR="007A6723" w:rsidRPr="00052F66" w:rsidRDefault="003F0D10" w:rsidP="003F0D10">
            <w:pPr>
              <w:spacing w:before="80" w:line="500" w:lineRule="exact"/>
              <w:jc w:val="right"/>
              <w:rPr>
                <w:rFonts w:ascii="Tahoma" w:hAnsi="Tahoma" w:cs="Tahoma"/>
                <w:b/>
                <w:bCs/>
                <w:iCs/>
                <w:color w:val="243285"/>
                <w:sz w:val="44"/>
                <w:szCs w:val="44"/>
                <w:lang w:val="en-US"/>
              </w:rPr>
            </w:pPr>
            <w:r w:rsidRPr="003F0D10">
              <w:rPr>
                <w:rFonts w:ascii="Tahoma" w:hAnsi="Tahoma" w:cs="Tahoma"/>
                <w:b/>
                <w:bCs/>
                <w:iCs/>
                <w:color w:val="243285"/>
                <w:sz w:val="44"/>
                <w:szCs w:val="44"/>
                <w:lang w:val="en-US"/>
              </w:rPr>
              <w:t>Technical characteristics and protection criteria for aeronautical mobile systems operating in the mobile service in the frequency range 21.2-22 GHz</w:t>
            </w:r>
          </w:p>
        </w:tc>
      </w:tr>
      <w:tr w:rsidR="007A6723" w:rsidTr="00AB5B6D">
        <w:tc>
          <w:tcPr>
            <w:tcW w:w="10089" w:type="dxa"/>
          </w:tcPr>
          <w:p w:rsidR="007A6723" w:rsidRPr="00052F66" w:rsidRDefault="007A6723" w:rsidP="00AB5B6D">
            <w:pPr>
              <w:spacing w:before="80" w:line="280" w:lineRule="exact"/>
              <w:ind w:right="640"/>
              <w:rPr>
                <w:rFonts w:ascii="Tahoma" w:hAnsi="Tahoma" w:cs="Tahoma"/>
                <w:b/>
                <w:bCs/>
                <w:iCs/>
                <w:color w:val="243285"/>
                <w:sz w:val="32"/>
                <w:szCs w:val="32"/>
                <w:lang w:val="en-US"/>
              </w:rPr>
            </w:pPr>
          </w:p>
          <w:p w:rsidR="007A6723" w:rsidRPr="00052F66" w:rsidRDefault="007A6723" w:rsidP="00AB5B6D">
            <w:pPr>
              <w:spacing w:before="80" w:after="180" w:line="360" w:lineRule="exact"/>
              <w:ind w:right="720"/>
              <w:rPr>
                <w:rFonts w:ascii="Tahoma" w:hAnsi="Tahoma" w:cs="Tahoma"/>
                <w:b/>
                <w:bCs/>
                <w:iCs/>
                <w:color w:val="243285"/>
                <w:sz w:val="36"/>
                <w:szCs w:val="36"/>
                <w:lang w:val="en-US"/>
              </w:rPr>
            </w:pPr>
          </w:p>
          <w:p w:rsidR="007A6723" w:rsidRPr="001511A6" w:rsidRDefault="007A6723" w:rsidP="00AB5B6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7A6723" w:rsidRDefault="007A6723" w:rsidP="00AB5B6D">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7A6723" w:rsidRPr="0041667C" w:rsidRDefault="007A6723" w:rsidP="00AB5B6D">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7A6723" w:rsidRDefault="007A6723" w:rsidP="007A6723">
      <w:pPr>
        <w:spacing w:before="80"/>
        <w:rPr>
          <w:i/>
          <w:sz w:val="22"/>
          <w:lang w:val="en-US"/>
        </w:rPr>
      </w:pPr>
    </w:p>
    <w:p w:rsidR="007A6723" w:rsidRDefault="007A6723" w:rsidP="007A6723">
      <w:pPr>
        <w:spacing w:before="80"/>
        <w:rPr>
          <w:i/>
          <w:sz w:val="22"/>
          <w:lang w:val="en-US"/>
        </w:rPr>
      </w:pPr>
    </w:p>
    <w:p w:rsidR="007A6723" w:rsidRDefault="007A6723" w:rsidP="007A6723">
      <w:pPr>
        <w:spacing w:before="80"/>
        <w:rPr>
          <w:i/>
          <w:sz w:val="22"/>
          <w:lang w:val="en-US"/>
        </w:rPr>
      </w:pPr>
    </w:p>
    <w:p w:rsidR="007A6723" w:rsidRDefault="007A6723" w:rsidP="007A6723">
      <w:pPr>
        <w:spacing w:before="80"/>
        <w:rPr>
          <w:i/>
          <w:sz w:val="22"/>
          <w:lang w:val="en-US"/>
        </w:rPr>
      </w:pPr>
    </w:p>
    <w:p w:rsidR="007A6723" w:rsidRDefault="007A6723" w:rsidP="007A6723">
      <w:pPr>
        <w:spacing w:before="80"/>
        <w:rPr>
          <w:i/>
          <w:sz w:val="22"/>
          <w:lang w:val="en-US"/>
        </w:rPr>
      </w:pPr>
    </w:p>
    <w:p w:rsidR="007A6723" w:rsidRDefault="007A6723" w:rsidP="007A6723">
      <w:pPr>
        <w:spacing w:before="80"/>
        <w:rPr>
          <w:i/>
          <w:sz w:val="22"/>
          <w:lang w:val="en-US"/>
        </w:rPr>
      </w:pPr>
    </w:p>
    <w:p w:rsidR="007A6723" w:rsidRDefault="007A6723" w:rsidP="007A6723">
      <w:pPr>
        <w:pStyle w:val="Equation"/>
        <w:tabs>
          <w:tab w:val="clear" w:pos="4820"/>
          <w:tab w:val="clear" w:pos="9639"/>
          <w:tab w:val="left" w:pos="1191"/>
          <w:tab w:val="left" w:pos="1588"/>
          <w:tab w:val="left" w:pos="1985"/>
        </w:tabs>
        <w:rPr>
          <w:rFonts w:ascii="Palatino Linotype" w:hAnsi="Palatino Linotype"/>
          <w:lang w:val="en-US"/>
        </w:rPr>
        <w:sectPr w:rsidR="007A6723">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7A6723" w:rsidRPr="00586EF8" w:rsidRDefault="007A6723" w:rsidP="007A67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A6723" w:rsidRDefault="007A6723" w:rsidP="007A672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A6723" w:rsidRDefault="007A6723" w:rsidP="007A672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A6723" w:rsidRPr="00B714F3" w:rsidRDefault="007A6723" w:rsidP="007A6723">
      <w:pPr>
        <w:pStyle w:val="Heading1"/>
        <w:spacing w:before="680"/>
        <w:jc w:val="center"/>
        <w:rPr>
          <w:szCs w:val="24"/>
          <w:lang w:val="en-US"/>
        </w:rPr>
      </w:pPr>
      <w:r w:rsidRPr="00B714F3">
        <w:rPr>
          <w:szCs w:val="24"/>
          <w:lang w:val="en-US"/>
        </w:rPr>
        <w:t>Policy on Intellectual Property Right (IPR)</w:t>
      </w:r>
    </w:p>
    <w:p w:rsidR="007A6723" w:rsidRPr="00B714F3" w:rsidRDefault="007A6723" w:rsidP="007A672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A6723" w:rsidRDefault="007A6723" w:rsidP="007A6723">
      <w:pPr>
        <w:jc w:val="center"/>
        <w:rPr>
          <w:sz w:val="22"/>
          <w:lang w:val="en-US"/>
        </w:rPr>
      </w:pPr>
    </w:p>
    <w:p w:rsidR="007A6723" w:rsidRDefault="007A6723" w:rsidP="007A672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A6723" w:rsidRPr="007A6723" w:rsidTr="00AB5B6D">
        <w:tc>
          <w:tcPr>
            <w:tcW w:w="9360" w:type="dxa"/>
            <w:gridSpan w:val="2"/>
          </w:tcPr>
          <w:p w:rsidR="007A6723" w:rsidRPr="00036EE3" w:rsidRDefault="007A6723" w:rsidP="00AB5B6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A6723" w:rsidRPr="00036EE3" w:rsidRDefault="007A6723" w:rsidP="00AB5B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sz w:val="18"/>
                  <w:szCs w:val="18"/>
                  <w:lang w:val="en-US"/>
                </w:rPr>
                <w:t>http://www.itu.int/publ/R-REC/en</w:t>
              </w:r>
            </w:hyperlink>
            <w:r w:rsidRPr="00CE0A43">
              <w:rPr>
                <w:b w:val="0"/>
                <w:sz w:val="18"/>
                <w:szCs w:val="18"/>
                <w:lang w:val="en-US"/>
              </w:rPr>
              <w:t>)</w:t>
            </w:r>
          </w:p>
        </w:tc>
      </w:tr>
      <w:tr w:rsidR="007A6723" w:rsidRPr="00036EE3" w:rsidTr="00AB5B6D">
        <w:tc>
          <w:tcPr>
            <w:tcW w:w="1140" w:type="dxa"/>
          </w:tcPr>
          <w:p w:rsidR="007A6723" w:rsidRPr="00036EE3" w:rsidRDefault="007A6723" w:rsidP="00AB5B6D">
            <w:pPr>
              <w:spacing w:before="200" w:after="100"/>
              <w:ind w:left="57"/>
              <w:rPr>
                <w:b/>
                <w:bCs/>
                <w:sz w:val="20"/>
                <w:lang w:val="en-US"/>
              </w:rPr>
            </w:pPr>
            <w:r w:rsidRPr="00036EE3">
              <w:rPr>
                <w:b/>
                <w:bCs/>
                <w:sz w:val="20"/>
                <w:lang w:val="en-US"/>
              </w:rPr>
              <w:t>Series</w:t>
            </w:r>
          </w:p>
        </w:tc>
        <w:tc>
          <w:tcPr>
            <w:tcW w:w="8220" w:type="dxa"/>
          </w:tcPr>
          <w:p w:rsidR="007A6723" w:rsidRPr="00036EE3" w:rsidRDefault="007A6723" w:rsidP="00AB5B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A6723" w:rsidRPr="00036EE3" w:rsidTr="00AB5B6D">
        <w:tc>
          <w:tcPr>
            <w:tcW w:w="1140" w:type="dxa"/>
          </w:tcPr>
          <w:p w:rsidR="007A6723" w:rsidRPr="00036EE3" w:rsidRDefault="007A6723" w:rsidP="00AB5B6D">
            <w:pPr>
              <w:spacing w:before="30" w:after="30"/>
              <w:ind w:left="57"/>
              <w:jc w:val="left"/>
              <w:rPr>
                <w:b/>
                <w:bCs/>
                <w:sz w:val="20"/>
                <w:lang w:val="en-US"/>
              </w:rPr>
            </w:pPr>
            <w:r w:rsidRPr="00036EE3">
              <w:rPr>
                <w:b/>
                <w:bCs/>
                <w:sz w:val="20"/>
                <w:lang w:val="en-US"/>
              </w:rPr>
              <w:t>BO</w:t>
            </w:r>
          </w:p>
        </w:tc>
        <w:tc>
          <w:tcPr>
            <w:tcW w:w="8220" w:type="dxa"/>
          </w:tcPr>
          <w:p w:rsidR="007A6723" w:rsidRPr="00036EE3" w:rsidRDefault="007A6723" w:rsidP="00AB5B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A6723" w:rsidRPr="007A6723" w:rsidTr="00AB5B6D">
        <w:tc>
          <w:tcPr>
            <w:tcW w:w="1140" w:type="dxa"/>
            <w:tcBorders>
              <w:bottom w:val="nil"/>
            </w:tcBorders>
          </w:tcPr>
          <w:p w:rsidR="007A6723" w:rsidRPr="00036EE3" w:rsidRDefault="007A6723" w:rsidP="00AB5B6D">
            <w:pPr>
              <w:spacing w:before="30" w:after="30"/>
              <w:ind w:left="57"/>
              <w:jc w:val="left"/>
              <w:rPr>
                <w:b/>
                <w:bCs/>
                <w:sz w:val="20"/>
                <w:lang w:val="en-US"/>
              </w:rPr>
            </w:pPr>
            <w:r w:rsidRPr="00036EE3">
              <w:rPr>
                <w:b/>
                <w:bCs/>
                <w:sz w:val="20"/>
                <w:lang w:val="en-US"/>
              </w:rPr>
              <w:t>BR</w:t>
            </w:r>
          </w:p>
        </w:tc>
        <w:tc>
          <w:tcPr>
            <w:tcW w:w="8220" w:type="dxa"/>
            <w:tcBorders>
              <w:bottom w:val="nil"/>
            </w:tcBorders>
          </w:tcPr>
          <w:p w:rsidR="007A6723" w:rsidRPr="00036EE3" w:rsidRDefault="007A6723" w:rsidP="00AB5B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A6723" w:rsidRPr="00036EE3" w:rsidTr="00AB5B6D">
        <w:tc>
          <w:tcPr>
            <w:tcW w:w="1140" w:type="dxa"/>
            <w:tcBorders>
              <w:top w:val="nil"/>
              <w:bottom w:val="nil"/>
            </w:tcBorders>
            <w:shd w:val="clear" w:color="auto" w:fill="auto"/>
          </w:tcPr>
          <w:p w:rsidR="007A6723" w:rsidRPr="007D224F" w:rsidRDefault="007A6723" w:rsidP="00AB5B6D">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7A6723" w:rsidRPr="007D224F" w:rsidRDefault="007A6723" w:rsidP="00AB5B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7A6723" w:rsidRPr="00ED2695" w:rsidTr="00AB5B6D">
        <w:tc>
          <w:tcPr>
            <w:tcW w:w="1140" w:type="dxa"/>
            <w:tcBorders>
              <w:top w:val="nil"/>
              <w:bottom w:val="nil"/>
            </w:tcBorders>
            <w:shd w:val="clear" w:color="auto" w:fill="auto"/>
          </w:tcPr>
          <w:p w:rsidR="007A6723" w:rsidRPr="00ED2695" w:rsidRDefault="007A6723" w:rsidP="00AB5B6D">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7A6723" w:rsidRPr="00ED2695" w:rsidRDefault="007A6723" w:rsidP="00AB5B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A6723" w:rsidRPr="007D224F" w:rsidTr="00AB5B6D">
        <w:tc>
          <w:tcPr>
            <w:tcW w:w="1140" w:type="dxa"/>
            <w:tcBorders>
              <w:top w:val="nil"/>
              <w:bottom w:val="nil"/>
            </w:tcBorders>
            <w:shd w:val="clear" w:color="auto" w:fill="auto"/>
          </w:tcPr>
          <w:p w:rsidR="007A6723" w:rsidRPr="0041667C" w:rsidRDefault="007A6723" w:rsidP="00AB5B6D">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7A6723" w:rsidRPr="0041667C" w:rsidRDefault="007A6723" w:rsidP="00AB5B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7A6723" w:rsidRPr="0041667C" w:rsidTr="00AB5B6D">
        <w:tc>
          <w:tcPr>
            <w:tcW w:w="1140" w:type="dxa"/>
            <w:tcBorders>
              <w:top w:val="nil"/>
              <w:bottom w:val="nil"/>
            </w:tcBorders>
            <w:shd w:val="clear" w:color="auto" w:fill="F3F3F3"/>
          </w:tcPr>
          <w:p w:rsidR="007A6723" w:rsidRPr="0041667C" w:rsidRDefault="007A6723" w:rsidP="00AB5B6D">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7A6723" w:rsidRPr="0041667C" w:rsidRDefault="007A6723" w:rsidP="00AB5B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7A6723" w:rsidRPr="00036EE3" w:rsidTr="00AB5B6D">
        <w:tc>
          <w:tcPr>
            <w:tcW w:w="1140" w:type="dxa"/>
            <w:tcBorders>
              <w:top w:val="nil"/>
            </w:tcBorders>
          </w:tcPr>
          <w:p w:rsidR="007A6723" w:rsidRPr="00036EE3" w:rsidRDefault="007A6723" w:rsidP="00AB5B6D">
            <w:pPr>
              <w:spacing w:before="30" w:after="30"/>
              <w:ind w:left="57"/>
              <w:jc w:val="left"/>
              <w:rPr>
                <w:b/>
                <w:bCs/>
                <w:sz w:val="20"/>
                <w:lang w:val="fr-CH"/>
              </w:rPr>
            </w:pPr>
            <w:r w:rsidRPr="00036EE3">
              <w:rPr>
                <w:b/>
                <w:bCs/>
                <w:sz w:val="20"/>
                <w:lang w:val="fr-CH"/>
              </w:rPr>
              <w:t>P</w:t>
            </w:r>
          </w:p>
        </w:tc>
        <w:tc>
          <w:tcPr>
            <w:tcW w:w="8220" w:type="dxa"/>
            <w:tcBorders>
              <w:top w:val="nil"/>
            </w:tcBorders>
          </w:tcPr>
          <w:p w:rsidR="007A6723" w:rsidRPr="00036EE3" w:rsidRDefault="007A6723" w:rsidP="00AB5B6D">
            <w:pPr>
              <w:spacing w:before="30" w:after="30"/>
              <w:jc w:val="left"/>
              <w:rPr>
                <w:sz w:val="20"/>
                <w:lang w:val="fr-CH"/>
              </w:rPr>
            </w:pPr>
            <w:r w:rsidRPr="00036EE3">
              <w:rPr>
                <w:sz w:val="20"/>
                <w:lang w:val="fr-CH"/>
              </w:rPr>
              <w:t>Radiowave propagation</w:t>
            </w:r>
          </w:p>
        </w:tc>
      </w:tr>
      <w:tr w:rsidR="007A6723" w:rsidRPr="00036EE3" w:rsidTr="00AB5B6D">
        <w:tc>
          <w:tcPr>
            <w:tcW w:w="1140" w:type="dxa"/>
          </w:tcPr>
          <w:p w:rsidR="007A6723" w:rsidRPr="00036EE3" w:rsidRDefault="007A6723" w:rsidP="00AB5B6D">
            <w:pPr>
              <w:spacing w:before="30" w:after="30"/>
              <w:ind w:left="57"/>
              <w:jc w:val="left"/>
              <w:rPr>
                <w:b/>
                <w:bCs/>
                <w:sz w:val="20"/>
                <w:lang w:val="en-US"/>
              </w:rPr>
            </w:pPr>
            <w:r w:rsidRPr="00036EE3">
              <w:rPr>
                <w:b/>
                <w:bCs/>
                <w:sz w:val="20"/>
                <w:lang w:val="en-US"/>
              </w:rPr>
              <w:t>RA</w:t>
            </w:r>
          </w:p>
        </w:tc>
        <w:tc>
          <w:tcPr>
            <w:tcW w:w="8220" w:type="dxa"/>
          </w:tcPr>
          <w:p w:rsidR="007A6723" w:rsidRPr="00036EE3" w:rsidRDefault="007A6723" w:rsidP="00AB5B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A6723" w:rsidRPr="00036EE3" w:rsidTr="00AB5B6D">
        <w:tc>
          <w:tcPr>
            <w:tcW w:w="1140" w:type="dxa"/>
          </w:tcPr>
          <w:p w:rsidR="007A6723" w:rsidRPr="00036EE3" w:rsidRDefault="007A6723" w:rsidP="00AB5B6D">
            <w:pPr>
              <w:spacing w:before="30" w:after="30"/>
              <w:ind w:left="57"/>
              <w:jc w:val="left"/>
              <w:rPr>
                <w:b/>
                <w:bCs/>
                <w:sz w:val="20"/>
                <w:lang w:val="en-US"/>
              </w:rPr>
            </w:pPr>
            <w:r w:rsidRPr="00036EE3">
              <w:rPr>
                <w:b/>
                <w:bCs/>
                <w:sz w:val="20"/>
                <w:lang w:val="en-US"/>
              </w:rPr>
              <w:t>RS</w:t>
            </w:r>
          </w:p>
        </w:tc>
        <w:tc>
          <w:tcPr>
            <w:tcW w:w="8220" w:type="dxa"/>
          </w:tcPr>
          <w:p w:rsidR="007A6723" w:rsidRPr="00036EE3" w:rsidRDefault="007A6723" w:rsidP="00AB5B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A6723" w:rsidRPr="00036EE3" w:rsidTr="00AB5B6D">
        <w:tc>
          <w:tcPr>
            <w:tcW w:w="1140" w:type="dxa"/>
          </w:tcPr>
          <w:p w:rsidR="007A6723" w:rsidRPr="00036EE3" w:rsidRDefault="007A6723" w:rsidP="00AB5B6D">
            <w:pPr>
              <w:spacing w:before="30" w:after="30"/>
              <w:ind w:left="57"/>
              <w:jc w:val="left"/>
              <w:rPr>
                <w:b/>
                <w:bCs/>
                <w:sz w:val="20"/>
                <w:lang w:val="en-US"/>
              </w:rPr>
            </w:pPr>
            <w:r w:rsidRPr="00036EE3">
              <w:rPr>
                <w:b/>
                <w:bCs/>
                <w:sz w:val="20"/>
                <w:lang w:val="en-US"/>
              </w:rPr>
              <w:t>S</w:t>
            </w:r>
          </w:p>
        </w:tc>
        <w:tc>
          <w:tcPr>
            <w:tcW w:w="8220" w:type="dxa"/>
          </w:tcPr>
          <w:p w:rsidR="007A6723" w:rsidRPr="00036EE3" w:rsidRDefault="007A6723" w:rsidP="00AB5B6D">
            <w:pPr>
              <w:spacing w:before="30" w:after="30"/>
              <w:jc w:val="left"/>
              <w:rPr>
                <w:sz w:val="20"/>
                <w:lang w:val="en-US"/>
              </w:rPr>
            </w:pPr>
            <w:r w:rsidRPr="00036EE3">
              <w:rPr>
                <w:sz w:val="20"/>
                <w:lang w:val="en-US"/>
              </w:rPr>
              <w:t>Fixed-satellite service</w:t>
            </w:r>
          </w:p>
        </w:tc>
      </w:tr>
      <w:tr w:rsidR="007A6723" w:rsidRPr="00036EE3" w:rsidTr="00AB5B6D">
        <w:tc>
          <w:tcPr>
            <w:tcW w:w="1140" w:type="dxa"/>
          </w:tcPr>
          <w:p w:rsidR="007A6723" w:rsidRPr="00036EE3" w:rsidRDefault="007A6723" w:rsidP="00AB5B6D">
            <w:pPr>
              <w:spacing w:before="30" w:after="30"/>
              <w:ind w:left="57"/>
              <w:jc w:val="left"/>
              <w:rPr>
                <w:b/>
                <w:bCs/>
                <w:sz w:val="20"/>
                <w:lang w:val="en-US"/>
              </w:rPr>
            </w:pPr>
            <w:r w:rsidRPr="00036EE3">
              <w:rPr>
                <w:b/>
                <w:bCs/>
                <w:sz w:val="20"/>
                <w:lang w:val="en-US"/>
              </w:rPr>
              <w:t>SA</w:t>
            </w:r>
          </w:p>
        </w:tc>
        <w:tc>
          <w:tcPr>
            <w:tcW w:w="8220" w:type="dxa"/>
          </w:tcPr>
          <w:p w:rsidR="007A6723" w:rsidRPr="00036EE3" w:rsidRDefault="007A6723" w:rsidP="00AB5B6D">
            <w:pPr>
              <w:spacing w:before="30" w:after="30"/>
              <w:jc w:val="left"/>
              <w:rPr>
                <w:sz w:val="20"/>
                <w:lang w:val="en-US"/>
              </w:rPr>
            </w:pPr>
            <w:r w:rsidRPr="00036EE3">
              <w:rPr>
                <w:sz w:val="20"/>
                <w:lang w:val="en-US"/>
              </w:rPr>
              <w:t>Space applications and meteorology</w:t>
            </w:r>
          </w:p>
        </w:tc>
      </w:tr>
      <w:tr w:rsidR="007A6723" w:rsidRPr="007A6723" w:rsidTr="00AB5B6D">
        <w:tc>
          <w:tcPr>
            <w:tcW w:w="1140" w:type="dxa"/>
            <w:tcBorders>
              <w:bottom w:val="nil"/>
            </w:tcBorders>
          </w:tcPr>
          <w:p w:rsidR="007A6723" w:rsidRPr="00036EE3" w:rsidRDefault="007A6723" w:rsidP="00AB5B6D">
            <w:pPr>
              <w:spacing w:before="30" w:after="30"/>
              <w:ind w:left="57"/>
              <w:jc w:val="left"/>
              <w:rPr>
                <w:b/>
                <w:bCs/>
                <w:sz w:val="20"/>
                <w:lang w:val="en-US"/>
              </w:rPr>
            </w:pPr>
            <w:r w:rsidRPr="00036EE3">
              <w:rPr>
                <w:b/>
                <w:bCs/>
                <w:sz w:val="20"/>
                <w:lang w:val="en-US"/>
              </w:rPr>
              <w:t>SF</w:t>
            </w:r>
          </w:p>
        </w:tc>
        <w:tc>
          <w:tcPr>
            <w:tcW w:w="8220" w:type="dxa"/>
            <w:tcBorders>
              <w:bottom w:val="nil"/>
            </w:tcBorders>
          </w:tcPr>
          <w:p w:rsidR="007A6723" w:rsidRPr="00036EE3" w:rsidRDefault="007A6723" w:rsidP="00AB5B6D">
            <w:pPr>
              <w:spacing w:before="30" w:after="30"/>
              <w:jc w:val="left"/>
              <w:rPr>
                <w:sz w:val="20"/>
                <w:lang w:val="en-US"/>
              </w:rPr>
            </w:pPr>
            <w:r w:rsidRPr="00036EE3">
              <w:rPr>
                <w:sz w:val="20"/>
                <w:lang w:val="en-US"/>
              </w:rPr>
              <w:t>Frequency sharing and coordination between fixed-satellite and fixed service systems</w:t>
            </w:r>
          </w:p>
        </w:tc>
      </w:tr>
      <w:tr w:rsidR="007A6723" w:rsidRPr="00036EE3" w:rsidTr="00AB5B6D">
        <w:tc>
          <w:tcPr>
            <w:tcW w:w="1140" w:type="dxa"/>
            <w:tcBorders>
              <w:top w:val="nil"/>
              <w:bottom w:val="nil"/>
            </w:tcBorders>
            <w:shd w:val="clear" w:color="auto" w:fill="auto"/>
          </w:tcPr>
          <w:p w:rsidR="007A6723" w:rsidRPr="000A4386" w:rsidRDefault="007A6723" w:rsidP="00AB5B6D">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7A6723" w:rsidRPr="000A4386" w:rsidRDefault="007A6723" w:rsidP="00AB5B6D">
            <w:pPr>
              <w:spacing w:before="30" w:after="30"/>
              <w:jc w:val="left"/>
              <w:rPr>
                <w:sz w:val="20"/>
                <w:lang w:val="en-US"/>
              </w:rPr>
            </w:pPr>
            <w:r w:rsidRPr="000A4386">
              <w:rPr>
                <w:sz w:val="20"/>
                <w:lang w:val="en-US"/>
              </w:rPr>
              <w:t>Spectrum management</w:t>
            </w:r>
          </w:p>
        </w:tc>
      </w:tr>
      <w:tr w:rsidR="007A6723" w:rsidRPr="00036EE3" w:rsidTr="00AB5B6D">
        <w:tc>
          <w:tcPr>
            <w:tcW w:w="1140" w:type="dxa"/>
            <w:tcBorders>
              <w:top w:val="nil"/>
            </w:tcBorders>
          </w:tcPr>
          <w:p w:rsidR="007A6723" w:rsidRPr="00036EE3" w:rsidRDefault="007A6723" w:rsidP="00AB5B6D">
            <w:pPr>
              <w:spacing w:before="30" w:after="30"/>
              <w:ind w:left="57"/>
              <w:jc w:val="left"/>
              <w:rPr>
                <w:b/>
                <w:bCs/>
                <w:sz w:val="20"/>
                <w:lang w:val="en-US"/>
              </w:rPr>
            </w:pPr>
            <w:r w:rsidRPr="00036EE3">
              <w:rPr>
                <w:b/>
                <w:bCs/>
                <w:sz w:val="20"/>
                <w:lang w:val="en-US"/>
              </w:rPr>
              <w:t>SNG</w:t>
            </w:r>
          </w:p>
        </w:tc>
        <w:tc>
          <w:tcPr>
            <w:tcW w:w="8220" w:type="dxa"/>
            <w:tcBorders>
              <w:top w:val="nil"/>
            </w:tcBorders>
          </w:tcPr>
          <w:p w:rsidR="007A6723" w:rsidRPr="00036EE3" w:rsidRDefault="007A6723" w:rsidP="00AB5B6D">
            <w:pPr>
              <w:spacing w:before="30" w:after="30"/>
              <w:jc w:val="left"/>
              <w:rPr>
                <w:sz w:val="20"/>
                <w:lang w:val="en-US"/>
              </w:rPr>
            </w:pPr>
            <w:r w:rsidRPr="00036EE3">
              <w:rPr>
                <w:sz w:val="20"/>
                <w:lang w:val="en-US"/>
              </w:rPr>
              <w:t>Satellite news gathering</w:t>
            </w:r>
          </w:p>
        </w:tc>
      </w:tr>
      <w:tr w:rsidR="007A6723" w:rsidRPr="007A6723" w:rsidTr="00AB5B6D">
        <w:tc>
          <w:tcPr>
            <w:tcW w:w="1140" w:type="dxa"/>
          </w:tcPr>
          <w:p w:rsidR="007A6723" w:rsidRPr="00036EE3" w:rsidRDefault="007A6723" w:rsidP="00AB5B6D">
            <w:pPr>
              <w:spacing w:before="30" w:after="30"/>
              <w:ind w:left="57"/>
              <w:jc w:val="left"/>
              <w:rPr>
                <w:b/>
                <w:bCs/>
                <w:sz w:val="20"/>
                <w:lang w:val="en-US"/>
              </w:rPr>
            </w:pPr>
            <w:r w:rsidRPr="00036EE3">
              <w:rPr>
                <w:b/>
                <w:bCs/>
                <w:sz w:val="20"/>
                <w:lang w:val="en-US"/>
              </w:rPr>
              <w:t>TF</w:t>
            </w:r>
          </w:p>
        </w:tc>
        <w:tc>
          <w:tcPr>
            <w:tcW w:w="8220" w:type="dxa"/>
          </w:tcPr>
          <w:p w:rsidR="007A6723" w:rsidRPr="00036EE3" w:rsidRDefault="007A6723" w:rsidP="00AB5B6D">
            <w:pPr>
              <w:spacing w:before="30" w:after="30"/>
              <w:jc w:val="left"/>
              <w:rPr>
                <w:sz w:val="20"/>
                <w:lang w:val="en-US"/>
              </w:rPr>
            </w:pPr>
            <w:r w:rsidRPr="00036EE3">
              <w:rPr>
                <w:sz w:val="20"/>
                <w:lang w:val="en-US"/>
              </w:rPr>
              <w:t>Time signals and frequency standards emissions</w:t>
            </w:r>
          </w:p>
        </w:tc>
      </w:tr>
      <w:tr w:rsidR="007A6723" w:rsidRPr="00036EE3" w:rsidTr="00AB5B6D">
        <w:tc>
          <w:tcPr>
            <w:tcW w:w="1140" w:type="dxa"/>
          </w:tcPr>
          <w:p w:rsidR="007A6723" w:rsidRPr="00036EE3" w:rsidRDefault="007A6723" w:rsidP="00AB5B6D">
            <w:pPr>
              <w:spacing w:before="30" w:after="30"/>
              <w:ind w:left="57"/>
              <w:jc w:val="left"/>
              <w:rPr>
                <w:b/>
                <w:bCs/>
                <w:sz w:val="20"/>
                <w:lang w:val="en-US"/>
              </w:rPr>
            </w:pPr>
            <w:r w:rsidRPr="00036EE3">
              <w:rPr>
                <w:b/>
                <w:bCs/>
                <w:sz w:val="20"/>
                <w:lang w:val="en-US"/>
              </w:rPr>
              <w:t>V</w:t>
            </w:r>
          </w:p>
        </w:tc>
        <w:tc>
          <w:tcPr>
            <w:tcW w:w="8220" w:type="dxa"/>
          </w:tcPr>
          <w:p w:rsidR="007A6723" w:rsidRPr="00036EE3" w:rsidRDefault="007A6723" w:rsidP="00AB5B6D">
            <w:pPr>
              <w:spacing w:before="30" w:after="180"/>
              <w:jc w:val="left"/>
              <w:rPr>
                <w:sz w:val="20"/>
                <w:lang w:val="en-US"/>
              </w:rPr>
            </w:pPr>
            <w:r w:rsidRPr="00036EE3">
              <w:rPr>
                <w:sz w:val="20"/>
                <w:lang w:val="en-US"/>
              </w:rPr>
              <w:t>Vocabulary and related subjects</w:t>
            </w:r>
          </w:p>
        </w:tc>
      </w:tr>
    </w:tbl>
    <w:p w:rsidR="007A6723" w:rsidRPr="00036EE3" w:rsidRDefault="007A6723" w:rsidP="007A672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A6723" w:rsidTr="00AB5B6D">
        <w:tc>
          <w:tcPr>
            <w:tcW w:w="720" w:type="dxa"/>
          </w:tcPr>
          <w:p w:rsidR="007A6723" w:rsidRDefault="007A6723" w:rsidP="00AB5B6D">
            <w:pPr>
              <w:jc w:val="center"/>
              <w:rPr>
                <w:sz w:val="22"/>
                <w:lang w:val="en-US"/>
              </w:rPr>
            </w:pPr>
          </w:p>
        </w:tc>
      </w:tr>
    </w:tbl>
    <w:p w:rsidR="007A6723" w:rsidRPr="00036EE3" w:rsidRDefault="007A6723" w:rsidP="007A672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A6723" w:rsidRPr="007A6723" w:rsidTr="00AB5B6D">
        <w:tc>
          <w:tcPr>
            <w:tcW w:w="9360" w:type="dxa"/>
          </w:tcPr>
          <w:p w:rsidR="007A6723" w:rsidRPr="002F5199" w:rsidRDefault="007A6723" w:rsidP="00AB5B6D">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7A6723" w:rsidRDefault="007A6723" w:rsidP="007A6723">
      <w:pPr>
        <w:spacing w:before="0"/>
        <w:jc w:val="center"/>
        <w:rPr>
          <w:sz w:val="22"/>
          <w:lang w:val="en-US"/>
        </w:rPr>
      </w:pPr>
    </w:p>
    <w:p w:rsidR="007A6723" w:rsidRDefault="007A6723" w:rsidP="007A6723">
      <w:pPr>
        <w:spacing w:before="0"/>
        <w:jc w:val="center"/>
        <w:rPr>
          <w:sz w:val="22"/>
          <w:lang w:val="en-US"/>
        </w:rPr>
      </w:pPr>
    </w:p>
    <w:p w:rsidR="007A6723" w:rsidRPr="002F5199" w:rsidRDefault="007A6723" w:rsidP="007A6723">
      <w:pPr>
        <w:spacing w:before="0"/>
        <w:jc w:val="right"/>
        <w:rPr>
          <w:i/>
          <w:iCs/>
          <w:sz w:val="20"/>
          <w:lang w:val="en-US"/>
        </w:rPr>
      </w:pPr>
      <w:r w:rsidRPr="002F5199">
        <w:rPr>
          <w:i/>
          <w:iCs/>
          <w:sz w:val="20"/>
          <w:lang w:val="en-US"/>
        </w:rPr>
        <w:t>Electronic Publication</w:t>
      </w:r>
    </w:p>
    <w:p w:rsidR="007A6723" w:rsidRPr="002F5199" w:rsidRDefault="007A6723" w:rsidP="003F0D1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3F0D10">
        <w:rPr>
          <w:sz w:val="20"/>
          <w:lang w:val="en-US"/>
        </w:rPr>
        <w:t>9</w:t>
      </w:r>
    </w:p>
    <w:p w:rsidR="007A6723" w:rsidRDefault="007A6723" w:rsidP="007A6723">
      <w:pPr>
        <w:jc w:val="center"/>
        <w:rPr>
          <w:sz w:val="22"/>
          <w:lang w:val="en-US"/>
        </w:rPr>
      </w:pPr>
    </w:p>
    <w:p w:rsidR="007A6723" w:rsidRPr="00470E28" w:rsidRDefault="007A6723" w:rsidP="003F0D1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3F0D10">
        <w:rPr>
          <w:sz w:val="20"/>
          <w:lang w:val="en-US"/>
        </w:rPr>
        <w:t>9</w:t>
      </w:r>
    </w:p>
    <w:p w:rsidR="007A6723" w:rsidRPr="00470E28" w:rsidRDefault="007A6723" w:rsidP="007A672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A6723" w:rsidRDefault="007A6723" w:rsidP="007A6723">
      <w:pPr>
        <w:spacing w:before="160"/>
        <w:rPr>
          <w:i/>
          <w:sz w:val="20"/>
          <w:lang w:val="en-US"/>
        </w:rPr>
        <w:sectPr w:rsidR="007A6723"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7A6723" w:rsidRPr="00052F66" w:rsidRDefault="007A6723" w:rsidP="007A6723">
      <w:pPr>
        <w:pStyle w:val="RecNo"/>
        <w:spacing w:before="0"/>
        <w:rPr>
          <w:lang w:val="en-US"/>
        </w:rPr>
      </w:pPr>
      <w:bookmarkStart w:id="2" w:name="irecnoe"/>
      <w:bookmarkEnd w:id="2"/>
      <w:r w:rsidRPr="00BF487A">
        <w:rPr>
          <w:lang w:val="en-US"/>
        </w:rPr>
        <w:t xml:space="preserve">RECOMMENDATION  </w:t>
      </w:r>
      <w:r w:rsidRPr="00BF487A">
        <w:rPr>
          <w:rStyle w:val="href"/>
          <w:lang w:val="en-US"/>
        </w:rPr>
        <w:t xml:space="preserve">ITU-R  </w:t>
      </w:r>
      <w:r>
        <w:rPr>
          <w:rStyle w:val="href"/>
          <w:lang w:val="en-US"/>
        </w:rPr>
        <w:t>M</w:t>
      </w:r>
      <w:r w:rsidRPr="00BF487A">
        <w:rPr>
          <w:rStyle w:val="href"/>
          <w:lang w:val="en-US"/>
        </w:rPr>
        <w:t>.</w:t>
      </w:r>
      <w:r w:rsidR="003F0D10">
        <w:rPr>
          <w:rStyle w:val="href"/>
          <w:lang w:val="en-US"/>
        </w:rPr>
        <w:t>2120-0</w:t>
      </w:r>
    </w:p>
    <w:p w:rsidR="007A6723" w:rsidRPr="00563597" w:rsidRDefault="003F0D10" w:rsidP="003F0D10">
      <w:pPr>
        <w:pStyle w:val="Rectitle"/>
        <w:rPr>
          <w:lang w:val="en-US"/>
        </w:rPr>
      </w:pPr>
      <w:r w:rsidRPr="003F0D10">
        <w:rPr>
          <w:lang w:val="en-US"/>
        </w:rPr>
        <w:t>Technical characteristics and protection criteria for aeronautical mobile systems operating in the mobile service in the frequency range 21.2-22 GHz</w:t>
      </w:r>
    </w:p>
    <w:p w:rsidR="003F0D10" w:rsidRDefault="003F0D10" w:rsidP="003F0D10">
      <w:pPr>
        <w:pStyle w:val="Recdate"/>
        <w:rPr>
          <w:sz w:val="22"/>
          <w:lang w:val="en-US"/>
        </w:rPr>
      </w:pPr>
      <w:r>
        <w:rPr>
          <w:lang w:val="en-US"/>
        </w:rPr>
        <w:t>(2019)</w:t>
      </w:r>
    </w:p>
    <w:p w:rsidR="003F0D10" w:rsidRDefault="003F0D10" w:rsidP="002434DD">
      <w:pPr>
        <w:pStyle w:val="HeadingSum"/>
      </w:pPr>
      <w:r>
        <w:t>Scope</w:t>
      </w:r>
    </w:p>
    <w:p w:rsidR="003F0D10" w:rsidRDefault="003F0D10" w:rsidP="002434DD">
      <w:pPr>
        <w:pStyle w:val="Summary"/>
      </w:pPr>
      <w:r>
        <w:t>This Recommendation provides information on the technical characteristics and protection criteria for systems operating in the aeronautical mobile service (AMS), planned to or currently operating in the frequency range 21.2</w:t>
      </w:r>
      <w:r>
        <w:noBreakHyphen/>
        <w:t>22 GHz for use in sharing and compatibility studies as needed.</w:t>
      </w:r>
    </w:p>
    <w:p w:rsidR="003F0D10" w:rsidRDefault="003F0D10" w:rsidP="003F0D10">
      <w:pPr>
        <w:pStyle w:val="Headingb"/>
        <w:rPr>
          <w:rFonts w:ascii="Times New Roman Bold" w:hAnsi="Times New Roman Bold" w:cs="Times New Roman Bold"/>
          <w:lang w:val="en-US"/>
        </w:rPr>
      </w:pPr>
      <w:r>
        <w:rPr>
          <w:lang w:val="en-US"/>
        </w:rPr>
        <w:t>Keywords</w:t>
      </w:r>
    </w:p>
    <w:p w:rsidR="003F0D10" w:rsidRDefault="003F0D10" w:rsidP="003F0D10">
      <w:pPr>
        <w:rPr>
          <w:lang w:val="en-US"/>
        </w:rPr>
      </w:pPr>
      <w:r>
        <w:rPr>
          <w:lang w:val="en-US"/>
        </w:rPr>
        <w:t xml:space="preserve">Aeronautical Mobile Service, Technical Characteristics, Protection Criteria </w:t>
      </w:r>
    </w:p>
    <w:p w:rsidR="003F0D10" w:rsidRDefault="003F0D10" w:rsidP="003F0D10">
      <w:pPr>
        <w:pStyle w:val="Headingb"/>
        <w:rPr>
          <w:lang w:val="en-US"/>
        </w:rPr>
      </w:pPr>
      <w:r>
        <w:rPr>
          <w:lang w:val="en-US"/>
        </w:rPr>
        <w:t>Abbreviations/Glossary</w:t>
      </w:r>
    </w:p>
    <w:p w:rsidR="003F0D10" w:rsidRDefault="003F0D10" w:rsidP="002434DD">
      <w:pPr>
        <w:pStyle w:val="enumlev1"/>
        <w:tabs>
          <w:tab w:val="clear" w:pos="794"/>
          <w:tab w:val="clear" w:pos="1191"/>
          <w:tab w:val="left" w:pos="993"/>
        </w:tabs>
        <w:ind w:left="1588" w:hanging="1588"/>
        <w:rPr>
          <w:lang w:val="en-US"/>
        </w:rPr>
      </w:pPr>
      <w:r>
        <w:rPr>
          <w:lang w:val="en-US"/>
        </w:rPr>
        <w:t>AMS</w:t>
      </w:r>
      <w:r>
        <w:rPr>
          <w:lang w:val="en-US"/>
        </w:rPr>
        <w:tab/>
        <w:t>Aeronautical mobile service</w:t>
      </w:r>
    </w:p>
    <w:p w:rsidR="003F0D10" w:rsidRDefault="003F0D10" w:rsidP="002434DD">
      <w:pPr>
        <w:pStyle w:val="enumlev1"/>
        <w:tabs>
          <w:tab w:val="clear" w:pos="794"/>
          <w:tab w:val="clear" w:pos="1191"/>
          <w:tab w:val="left" w:pos="993"/>
        </w:tabs>
        <w:ind w:left="1588" w:hanging="1588"/>
        <w:rPr>
          <w:lang w:val="en-US"/>
        </w:rPr>
      </w:pPr>
      <w:r>
        <w:rPr>
          <w:lang w:val="en-US"/>
        </w:rPr>
        <w:t>FM</w:t>
      </w:r>
      <w:r>
        <w:rPr>
          <w:lang w:val="en-US"/>
        </w:rPr>
        <w:tab/>
        <w:t>Frequency modulation</w:t>
      </w:r>
    </w:p>
    <w:p w:rsidR="003F0D10" w:rsidRDefault="003F0D10" w:rsidP="002434DD">
      <w:pPr>
        <w:pStyle w:val="enumlev1"/>
        <w:tabs>
          <w:tab w:val="clear" w:pos="794"/>
          <w:tab w:val="clear" w:pos="1191"/>
          <w:tab w:val="left" w:pos="993"/>
        </w:tabs>
        <w:ind w:left="1588" w:hanging="1588"/>
        <w:rPr>
          <w:lang w:val="en-US"/>
        </w:rPr>
      </w:pPr>
      <w:r>
        <w:rPr>
          <w:lang w:val="en-US"/>
        </w:rPr>
        <w:t>GMSK</w:t>
      </w:r>
      <w:r>
        <w:rPr>
          <w:lang w:val="en-US"/>
        </w:rPr>
        <w:tab/>
        <w:t>Gaussian minimum shift keying</w:t>
      </w:r>
    </w:p>
    <w:p w:rsidR="003F0D10" w:rsidRDefault="003F0D10" w:rsidP="002434DD">
      <w:pPr>
        <w:pStyle w:val="enumlev1"/>
        <w:tabs>
          <w:tab w:val="clear" w:pos="794"/>
          <w:tab w:val="clear" w:pos="1191"/>
          <w:tab w:val="left" w:pos="993"/>
        </w:tabs>
        <w:ind w:left="1588" w:hanging="1588"/>
        <w:rPr>
          <w:lang w:val="en-US"/>
        </w:rPr>
      </w:pPr>
      <w:r>
        <w:rPr>
          <w:i/>
          <w:iCs/>
          <w:lang w:val="en-US"/>
        </w:rPr>
        <w:t>I</w:t>
      </w:r>
      <w:r>
        <w:rPr>
          <w:lang w:val="en-US"/>
        </w:rPr>
        <w:t>/</w:t>
      </w:r>
      <w:r>
        <w:rPr>
          <w:i/>
          <w:iCs/>
          <w:lang w:val="en-US"/>
        </w:rPr>
        <w:t>N</w:t>
      </w:r>
      <w:r>
        <w:rPr>
          <w:lang w:val="en-US"/>
        </w:rPr>
        <w:tab/>
        <w:t>Interference to noise ratio</w:t>
      </w:r>
    </w:p>
    <w:p w:rsidR="003F0D10" w:rsidRDefault="003F0D10" w:rsidP="003F0D10">
      <w:pPr>
        <w:pStyle w:val="Normalaftertitle"/>
        <w:rPr>
          <w:lang w:val="en-US"/>
        </w:rPr>
      </w:pPr>
      <w:r>
        <w:rPr>
          <w:lang w:val="en-US"/>
        </w:rPr>
        <w:t>The ITU Radiocommunication Assembly,</w:t>
      </w:r>
    </w:p>
    <w:p w:rsidR="003F0D10" w:rsidRDefault="003F0D10" w:rsidP="003F0D10">
      <w:pPr>
        <w:pStyle w:val="Call"/>
        <w:rPr>
          <w:lang w:val="en-US"/>
        </w:rPr>
      </w:pPr>
      <w:r>
        <w:rPr>
          <w:lang w:val="en-US"/>
        </w:rPr>
        <w:t>considering</w:t>
      </w:r>
    </w:p>
    <w:p w:rsidR="003F0D10" w:rsidRDefault="003F0D10" w:rsidP="003F0D10">
      <w:pPr>
        <w:rPr>
          <w:i/>
          <w:lang w:val="en-US"/>
        </w:rPr>
      </w:pPr>
      <w:r>
        <w:rPr>
          <w:i/>
          <w:lang w:val="en-US"/>
        </w:rPr>
        <w:t>a)</w:t>
      </w:r>
      <w:r>
        <w:rPr>
          <w:i/>
          <w:lang w:val="en-US"/>
        </w:rPr>
        <w:tab/>
      </w:r>
      <w:r>
        <w:rPr>
          <w:lang w:val="en-US"/>
        </w:rPr>
        <w:t>that the mobile service is a broadly defined service, of which the aeronautical mobile service (AMS) is a subset of mobile service;</w:t>
      </w:r>
    </w:p>
    <w:p w:rsidR="003F0D10" w:rsidRDefault="003F0D10" w:rsidP="003F0D10">
      <w:pPr>
        <w:rPr>
          <w:i/>
          <w:lang w:val="en-US"/>
        </w:rPr>
      </w:pPr>
      <w:r>
        <w:rPr>
          <w:i/>
          <w:lang w:val="en-US"/>
        </w:rPr>
        <w:t>b)</w:t>
      </w:r>
      <w:r>
        <w:rPr>
          <w:i/>
          <w:lang w:val="en-US"/>
        </w:rPr>
        <w:tab/>
      </w:r>
      <w:r>
        <w:rPr>
          <w:lang w:val="en-US"/>
        </w:rPr>
        <w:t>that such use of broadly defined services allows flexibility of service allocations;</w:t>
      </w:r>
    </w:p>
    <w:p w:rsidR="003F0D10" w:rsidRDefault="003F0D10" w:rsidP="003F0D10">
      <w:pPr>
        <w:rPr>
          <w:i/>
          <w:lang w:val="en-US"/>
        </w:rPr>
      </w:pPr>
      <w:r>
        <w:rPr>
          <w:i/>
          <w:lang w:val="en-US"/>
        </w:rPr>
        <w:t>c)</w:t>
      </w:r>
      <w:r>
        <w:rPr>
          <w:i/>
          <w:lang w:val="en-US"/>
        </w:rPr>
        <w:tab/>
      </w:r>
      <w:r>
        <w:rPr>
          <w:lang w:val="en-US"/>
        </w:rPr>
        <w:t>that the use of broadly defined services does not preclude the use of the frequency band by any application of the services to which it is allocated and does not establish priority in the Radio Regulations;</w:t>
      </w:r>
    </w:p>
    <w:p w:rsidR="003F0D10" w:rsidRDefault="003F0D10" w:rsidP="003F0D10">
      <w:pPr>
        <w:keepLines/>
        <w:rPr>
          <w:lang w:val="en-US"/>
        </w:rPr>
      </w:pPr>
      <w:r>
        <w:rPr>
          <w:i/>
          <w:lang w:val="en-US"/>
        </w:rPr>
        <w:t>d)</w:t>
      </w:r>
      <w:r>
        <w:rPr>
          <w:lang w:val="en-US"/>
        </w:rPr>
        <w:tab/>
        <w:t xml:space="preserve">that systems and networks operating in the AMS are used for broadband, </w:t>
      </w:r>
      <w:r>
        <w:rPr>
          <w:szCs w:val="24"/>
          <w:lang w:val="en-US"/>
        </w:rPr>
        <w:t>narrow</w:t>
      </w:r>
      <w:r>
        <w:rPr>
          <w:szCs w:val="24"/>
          <w:lang w:val="en-US"/>
        </w:rPr>
        <w:noBreakHyphen/>
        <w:t>band</w:t>
      </w:r>
      <w:r>
        <w:rPr>
          <w:lang w:val="en-US"/>
        </w:rPr>
        <w:t>, airborne data links to support remote sensing applications in the areas of, e.g. earth sciences, land management, and energy distribution. Examples of these applications include e.g. monitoring sea ice thickness and distribution, local and national law enforcement, forest fire mapping, petroleum pipeline monitoring, agricultural and urban land use and natural resource surveys;</w:t>
      </w:r>
    </w:p>
    <w:p w:rsidR="003F0D10" w:rsidRDefault="003F0D10" w:rsidP="003F0D10">
      <w:pPr>
        <w:rPr>
          <w:szCs w:val="24"/>
          <w:lang w:val="en-US"/>
        </w:rPr>
      </w:pPr>
      <w:r>
        <w:rPr>
          <w:i/>
          <w:iCs/>
          <w:szCs w:val="24"/>
          <w:lang w:val="en-US"/>
        </w:rPr>
        <w:t>e)</w:t>
      </w:r>
      <w:r>
        <w:rPr>
          <w:szCs w:val="24"/>
          <w:lang w:val="en-US"/>
        </w:rPr>
        <w:tab/>
        <w:t>that there are increasing numbers of various planned and operating systems and networks in the AMS,</w:t>
      </w:r>
    </w:p>
    <w:p w:rsidR="003F0D10" w:rsidRDefault="003F0D10" w:rsidP="003F0D10">
      <w:pPr>
        <w:rPr>
          <w:lang w:val="en-US"/>
        </w:rPr>
      </w:pPr>
      <w:r>
        <w:rPr>
          <w:i/>
          <w:iCs/>
          <w:lang w:val="en-US"/>
        </w:rPr>
        <w:t>f)</w:t>
      </w:r>
      <w:r>
        <w:rPr>
          <w:i/>
          <w:iCs/>
          <w:lang w:val="en-US"/>
        </w:rPr>
        <w:tab/>
      </w:r>
      <w:r>
        <w:rPr>
          <w:iCs/>
          <w:lang w:val="en-US"/>
        </w:rPr>
        <w:t xml:space="preserve">that </w:t>
      </w:r>
      <w:r>
        <w:rPr>
          <w:lang w:val="en-US"/>
        </w:rPr>
        <w:t>while use of broadly defined radio service may increase the flexibility of the allocation process, it may introduce more complex sharing arrangements within a frequency band;</w:t>
      </w:r>
    </w:p>
    <w:p w:rsidR="003F0D10" w:rsidRDefault="003F0D10" w:rsidP="003F0D10">
      <w:pPr>
        <w:rPr>
          <w:iCs/>
          <w:szCs w:val="24"/>
          <w:lang w:val="en-US"/>
        </w:rPr>
      </w:pPr>
      <w:r>
        <w:rPr>
          <w:i/>
          <w:szCs w:val="24"/>
          <w:lang w:val="en-US"/>
        </w:rPr>
        <w:t>g)</w:t>
      </w:r>
      <w:r>
        <w:rPr>
          <w:i/>
          <w:szCs w:val="24"/>
          <w:lang w:val="en-US"/>
        </w:rPr>
        <w:tab/>
      </w:r>
      <w:r>
        <w:rPr>
          <w:iCs/>
          <w:szCs w:val="24"/>
          <w:lang w:val="en-US"/>
        </w:rPr>
        <w:t xml:space="preserve">that because of the attributes of a station operating on an aeronautical mobile platform, some administrations may have </w:t>
      </w:r>
      <w:r>
        <w:rPr>
          <w:lang w:val="en-US"/>
        </w:rPr>
        <w:t>excepted</w:t>
      </w:r>
      <w:r>
        <w:rPr>
          <w:iCs/>
          <w:szCs w:val="24"/>
          <w:lang w:val="en-US"/>
        </w:rPr>
        <w:t xml:space="preserve"> aeronautical systems from operating within mobile allocations;</w:t>
      </w:r>
    </w:p>
    <w:p w:rsidR="003F0D10" w:rsidRDefault="003F0D10" w:rsidP="003F0D10">
      <w:pPr>
        <w:rPr>
          <w:szCs w:val="24"/>
          <w:lang w:val="en-US"/>
        </w:rPr>
      </w:pPr>
      <w:r>
        <w:rPr>
          <w:i/>
          <w:iCs/>
          <w:szCs w:val="24"/>
          <w:lang w:val="en-US"/>
        </w:rPr>
        <w:t>h)</w:t>
      </w:r>
      <w:r>
        <w:rPr>
          <w:i/>
          <w:iCs/>
          <w:szCs w:val="24"/>
          <w:lang w:val="en-US"/>
        </w:rPr>
        <w:tab/>
      </w:r>
      <w:r>
        <w:rPr>
          <w:iCs/>
          <w:szCs w:val="24"/>
          <w:lang w:val="en-US"/>
        </w:rPr>
        <w:t xml:space="preserve">that </w:t>
      </w:r>
      <w:r>
        <w:rPr>
          <w:szCs w:val="24"/>
          <w:lang w:val="en-US"/>
        </w:rPr>
        <w:t xml:space="preserve">where broadly defined </w:t>
      </w:r>
      <w:r>
        <w:rPr>
          <w:lang w:val="en-US"/>
        </w:rPr>
        <w:t>services</w:t>
      </w:r>
      <w:r>
        <w:rPr>
          <w:szCs w:val="24"/>
          <w:lang w:val="en-US"/>
        </w:rPr>
        <w:t xml:space="preserve"> are used, coexistence conditions to address the regional or worldwide use of certain bands may be necessary,</w:t>
      </w:r>
    </w:p>
    <w:p w:rsidR="003F0D10" w:rsidRDefault="003F0D10" w:rsidP="003F0D10">
      <w:pPr>
        <w:pStyle w:val="Call"/>
        <w:rPr>
          <w:lang w:val="en-US"/>
        </w:rPr>
      </w:pPr>
      <w:r>
        <w:rPr>
          <w:lang w:val="en-US"/>
        </w:rPr>
        <w:t>recognizing</w:t>
      </w:r>
    </w:p>
    <w:p w:rsidR="003F0D10" w:rsidRDefault="003F0D10" w:rsidP="003F0D10">
      <w:pPr>
        <w:rPr>
          <w:lang w:val="en-US"/>
        </w:rPr>
      </w:pPr>
      <w:r>
        <w:rPr>
          <w:i/>
          <w:iCs/>
          <w:lang w:val="en-US"/>
        </w:rPr>
        <w:t>a)</w:t>
      </w:r>
      <w:r>
        <w:rPr>
          <w:i/>
          <w:iCs/>
          <w:lang w:val="en-US"/>
        </w:rPr>
        <w:tab/>
      </w:r>
      <w:r>
        <w:rPr>
          <w:lang w:val="en-US"/>
        </w:rPr>
        <w:t xml:space="preserve">that the frequency band 21.2-22 GHz is globally allocated on a primary basis to the fixed and mobile services; </w:t>
      </w:r>
    </w:p>
    <w:p w:rsidR="003F0D10" w:rsidRDefault="003F0D10" w:rsidP="003F0D10">
      <w:pPr>
        <w:rPr>
          <w:lang w:val="en-US"/>
        </w:rPr>
      </w:pPr>
      <w:r>
        <w:rPr>
          <w:i/>
          <w:lang w:val="en-US"/>
        </w:rPr>
        <w:t>b)</w:t>
      </w:r>
      <w:r>
        <w:rPr>
          <w:i/>
          <w:lang w:val="en-US"/>
        </w:rPr>
        <w:tab/>
      </w:r>
      <w:r>
        <w:rPr>
          <w:lang w:val="en-US"/>
        </w:rPr>
        <w:t>that the frequency band 21.2-21.4 GHz is also globally allocated on a primary basis to the earth exploration satellite (passive) and space research (passive) services;</w:t>
      </w:r>
    </w:p>
    <w:p w:rsidR="003F0D10" w:rsidRDefault="003F0D10" w:rsidP="003F0D10">
      <w:pPr>
        <w:rPr>
          <w:lang w:val="en-US"/>
        </w:rPr>
      </w:pPr>
      <w:r>
        <w:rPr>
          <w:i/>
          <w:iCs/>
          <w:lang w:val="en-US"/>
        </w:rPr>
        <w:t>c)</w:t>
      </w:r>
      <w:r>
        <w:rPr>
          <w:lang w:val="en-US"/>
        </w:rPr>
        <w:tab/>
        <w:t>that the frequency band 21.4-22 GHz is also allocated on a primary basis to the broadcasting-satellite service in Regions 1 and 3;</w:t>
      </w:r>
    </w:p>
    <w:p w:rsidR="003F0D10" w:rsidRDefault="003F0D10" w:rsidP="003F0D10">
      <w:pPr>
        <w:rPr>
          <w:lang w:val="en-US"/>
        </w:rPr>
      </w:pPr>
      <w:r>
        <w:rPr>
          <w:i/>
          <w:iCs/>
          <w:lang w:val="en-US"/>
        </w:rPr>
        <w:t>d)</w:t>
      </w:r>
      <w:r>
        <w:rPr>
          <w:lang w:val="en-US"/>
        </w:rPr>
        <w:tab/>
        <w:t>that the aeronautical mobile servi</w:t>
      </w:r>
      <w:r w:rsidR="009F57F0">
        <w:rPr>
          <w:lang w:val="en-US"/>
        </w:rPr>
        <w:t xml:space="preserve">ce </w:t>
      </w:r>
      <w:r>
        <w:rPr>
          <w:lang w:val="en-US"/>
        </w:rPr>
        <w:t>includes radiocommunication between aeronautical stations and aircraft stations, or between aircraft stations;</w:t>
      </w:r>
    </w:p>
    <w:p w:rsidR="003F0D10" w:rsidRDefault="003F0D10" w:rsidP="003F0D10">
      <w:pPr>
        <w:rPr>
          <w:lang w:val="en-US"/>
        </w:rPr>
      </w:pPr>
      <w:r>
        <w:rPr>
          <w:i/>
          <w:iCs/>
          <w:lang w:val="en-US"/>
        </w:rPr>
        <w:t>e)</w:t>
      </w:r>
      <w:r>
        <w:rPr>
          <w:lang w:val="en-US"/>
        </w:rPr>
        <w:tab/>
        <w:t xml:space="preserve">that in the frequency band 21.4-22 GHz RR No. </w:t>
      </w:r>
      <w:r>
        <w:rPr>
          <w:rStyle w:val="Artdef"/>
          <w:lang w:val="en-US"/>
        </w:rPr>
        <w:t>5.530A</w:t>
      </w:r>
      <w:r w:rsidR="009F57F0">
        <w:rPr>
          <w:lang w:val="en-US"/>
        </w:rPr>
        <w:t xml:space="preserve"> states in part, “</w:t>
      </w:r>
      <w:r>
        <w:rPr>
          <w:lang w:val="en-US"/>
        </w:rPr>
        <w:t>Unless otherwise agreed between the administrations concerned, any station in the fixed or mobile services of an administration shall not produce a power flux-density in excess of −120.4 dB(W/(m</w:t>
      </w:r>
      <w:r>
        <w:rPr>
          <w:vertAlign w:val="superscript"/>
          <w:lang w:val="en-US"/>
        </w:rPr>
        <w:t>2</w:t>
      </w:r>
      <w:r>
        <w:rPr>
          <w:lang w:val="en-US"/>
        </w:rPr>
        <w:t> · MHz)) at 3 m above the ground of any point of the territory of any other administration in Regions 1 and 3 for more than 20% o</w:t>
      </w:r>
      <w:r w:rsidR="009F57F0">
        <w:rPr>
          <w:lang w:val="en-US"/>
        </w:rPr>
        <w:t>f the time”</w:t>
      </w:r>
      <w:r>
        <w:rPr>
          <w:lang w:val="en-US"/>
        </w:rPr>
        <w:t>;</w:t>
      </w:r>
    </w:p>
    <w:p w:rsidR="003F0D10" w:rsidRDefault="003F0D10" w:rsidP="003F0D10">
      <w:pPr>
        <w:rPr>
          <w:lang w:val="en-US"/>
        </w:rPr>
      </w:pPr>
      <w:r>
        <w:rPr>
          <w:i/>
          <w:lang w:val="en-US"/>
        </w:rPr>
        <w:t>f)</w:t>
      </w:r>
      <w:r>
        <w:rPr>
          <w:i/>
          <w:lang w:val="en-US"/>
        </w:rPr>
        <w:tab/>
      </w:r>
      <w:r>
        <w:rPr>
          <w:lang w:val="en-US"/>
        </w:rPr>
        <w:t xml:space="preserve">that in the frequency band 21.4-22 GHz, RR No. </w:t>
      </w:r>
      <w:r>
        <w:rPr>
          <w:b/>
          <w:lang w:val="en-US"/>
        </w:rPr>
        <w:t>5.530B</w:t>
      </w:r>
      <w:r>
        <w:rPr>
          <w:lang w:val="en-US"/>
        </w:rPr>
        <w:t xml:space="preserve"> encourages administration</w:t>
      </w:r>
      <w:r w:rsidR="009F57F0">
        <w:rPr>
          <w:lang w:val="en-US"/>
        </w:rPr>
        <w:t>s</w:t>
      </w:r>
      <w:r>
        <w:rPr>
          <w:lang w:val="en-US"/>
        </w:rPr>
        <w:t xml:space="preserve"> in Regions 1 and 3 not to deploy stations in the mobile service and are encouraged to limit the deployment of stations in the fixed service to point-to-point links in order to facilitate the development of the broadcasting-satellite service, </w:t>
      </w:r>
    </w:p>
    <w:p w:rsidR="003F0D10" w:rsidRDefault="003F0D10" w:rsidP="003F0D10">
      <w:pPr>
        <w:pStyle w:val="Call"/>
        <w:rPr>
          <w:lang w:val="en-US"/>
        </w:rPr>
      </w:pPr>
      <w:r>
        <w:rPr>
          <w:lang w:val="en-US"/>
        </w:rPr>
        <w:t>recommends</w:t>
      </w:r>
    </w:p>
    <w:p w:rsidR="003F0D10" w:rsidRDefault="003F0D10" w:rsidP="003F0D10">
      <w:pPr>
        <w:rPr>
          <w:lang w:val="en-US"/>
        </w:rPr>
      </w:pPr>
      <w:r>
        <w:rPr>
          <w:b/>
          <w:lang w:val="en-US"/>
        </w:rPr>
        <w:t>1</w:t>
      </w:r>
      <w:r>
        <w:rPr>
          <w:lang w:val="en-US"/>
        </w:rPr>
        <w:tab/>
        <w:t xml:space="preserve">that the technical and operational characteristics of the systems operating in the AMS described in the Annex should be considered representative of those operating in the frequency range 21.2-22 GHz; </w:t>
      </w:r>
    </w:p>
    <w:p w:rsidR="003F0D10" w:rsidRDefault="003F0D10" w:rsidP="003F0D10">
      <w:pPr>
        <w:rPr>
          <w:lang w:val="en-US"/>
        </w:rPr>
      </w:pPr>
      <w:r>
        <w:rPr>
          <w:b/>
          <w:lang w:val="en-US"/>
        </w:rPr>
        <w:t>2</w:t>
      </w:r>
      <w:r>
        <w:rPr>
          <w:lang w:val="en-US"/>
        </w:rPr>
        <w:tab/>
        <w:t>that the technical characteristics and protection criteria for AMS receiving and transmitting stations given in the Annex should be used in performing sharing and compatibility analyses as needed.</w:t>
      </w:r>
    </w:p>
    <w:p w:rsidR="003F0D10" w:rsidRDefault="003F0D10" w:rsidP="009F57F0">
      <w:pPr>
        <w:rPr>
          <w:lang w:val="en-US"/>
        </w:rPr>
      </w:pPr>
    </w:p>
    <w:p w:rsidR="009F57F0" w:rsidRDefault="009F57F0" w:rsidP="009F57F0">
      <w:pPr>
        <w:rPr>
          <w:lang w:val="en-US"/>
        </w:rPr>
      </w:pPr>
    </w:p>
    <w:p w:rsidR="003F0D10" w:rsidRDefault="003F0D10" w:rsidP="009F57F0">
      <w:pPr>
        <w:pStyle w:val="AnnexNoTitle"/>
        <w:rPr>
          <w:lang w:val="en-US"/>
        </w:rPr>
      </w:pPr>
      <w:r>
        <w:rPr>
          <w:lang w:val="en-US"/>
        </w:rPr>
        <w:t>Annex</w:t>
      </w:r>
      <w:r w:rsidR="009F57F0">
        <w:rPr>
          <w:lang w:val="en-US"/>
        </w:rPr>
        <w:br/>
      </w:r>
      <w:r w:rsidR="009F57F0">
        <w:rPr>
          <w:lang w:val="en-US"/>
        </w:rPr>
        <w:br/>
      </w:r>
      <w:r>
        <w:rPr>
          <w:lang w:val="en-US"/>
        </w:rPr>
        <w:t>Technical characteristics and protection criteria for aeronautical mobile</w:t>
      </w:r>
      <w:r>
        <w:rPr>
          <w:lang w:val="en-US"/>
        </w:rPr>
        <w:br/>
        <w:t>service systems in the frequency range 21.2</w:t>
      </w:r>
      <w:r>
        <w:rPr>
          <w:lang w:val="en-US"/>
        </w:rPr>
        <w:noBreakHyphen/>
        <w:t>22 GHz</w:t>
      </w:r>
    </w:p>
    <w:p w:rsidR="003F0D10" w:rsidRDefault="003F0D10" w:rsidP="003F0D10">
      <w:pPr>
        <w:pStyle w:val="Heading1"/>
        <w:rPr>
          <w:lang w:val="en-US"/>
        </w:rPr>
      </w:pPr>
      <w:r>
        <w:rPr>
          <w:lang w:val="en-US"/>
        </w:rPr>
        <w:t>1</w:t>
      </w:r>
      <w:r>
        <w:rPr>
          <w:lang w:val="en-US"/>
        </w:rPr>
        <w:tab/>
        <w:t>Introduction</w:t>
      </w:r>
    </w:p>
    <w:p w:rsidR="003F0D10" w:rsidRDefault="003F0D10" w:rsidP="003F0D10">
      <w:pPr>
        <w:rPr>
          <w:lang w:val="en-US"/>
        </w:rPr>
      </w:pPr>
      <w:r>
        <w:rPr>
          <w:lang w:val="en-US"/>
        </w:rPr>
        <w:t xml:space="preserve">Systems and networks operating in the AMS are increasingly used by local and national governments, as well as civil sector and educational entities, for broadband, airborne data links to support remote sensing applications (e.g. earth sciences, land management, and energy distribution). Examples of these applications include monitoring Arctic sea ice thickness and distribution, local and national law enforcement, forest fire mapping, pipeline monitoring, agricultural and urban land use, and natural resource surveys. </w:t>
      </w:r>
    </w:p>
    <w:p w:rsidR="003F0D10" w:rsidRDefault="003F0D10" w:rsidP="003F0D10">
      <w:pPr>
        <w:pStyle w:val="Heading1"/>
        <w:rPr>
          <w:lang w:val="en-US"/>
        </w:rPr>
      </w:pPr>
      <w:r>
        <w:rPr>
          <w:lang w:val="en-US"/>
        </w:rPr>
        <w:t>2</w:t>
      </w:r>
      <w:r>
        <w:rPr>
          <w:lang w:val="en-US"/>
        </w:rPr>
        <w:tab/>
        <w:t>Operational deployment</w:t>
      </w:r>
    </w:p>
    <w:p w:rsidR="003F0D10" w:rsidRDefault="003F0D10" w:rsidP="003F0D10">
      <w:pPr>
        <w:rPr>
          <w:lang w:val="en-US"/>
        </w:rPr>
      </w:pPr>
      <w:r>
        <w:rPr>
          <w:lang w:val="en-US"/>
        </w:rPr>
        <w:t>The platforms operate in groups of four spanning 100 miles across airspace using the aeronautical mobile systems to communicate with other platforms and fly anywhere between 500 ft (152.4 m) and 50 000 ft (15 240 m).</w:t>
      </w:r>
    </w:p>
    <w:p w:rsidR="003F0D10" w:rsidRDefault="003F0D10" w:rsidP="003F0D10">
      <w:pPr>
        <w:pStyle w:val="Heading1"/>
        <w:rPr>
          <w:lang w:val="en-US"/>
        </w:rPr>
      </w:pPr>
      <w:r>
        <w:rPr>
          <w:lang w:val="en-US"/>
        </w:rPr>
        <w:t>3</w:t>
      </w:r>
      <w:r>
        <w:rPr>
          <w:lang w:val="en-US"/>
        </w:rPr>
        <w:tab/>
        <w:t>Technical characteristics of aeronautical mobile systems</w:t>
      </w:r>
    </w:p>
    <w:p w:rsidR="003F0D10" w:rsidRDefault="003F0D10" w:rsidP="003F0D10">
      <w:pPr>
        <w:rPr>
          <w:szCs w:val="24"/>
          <w:lang w:val="en-US"/>
        </w:rPr>
      </w:pPr>
      <w:r>
        <w:rPr>
          <w:szCs w:val="24"/>
          <w:lang w:val="en-US"/>
        </w:rPr>
        <w:t>Representative technical characteristics for airborne data links in the AMS for the frequency band 21.2-22 GHz are provided in Table 1.</w:t>
      </w:r>
    </w:p>
    <w:p w:rsidR="003F0D10" w:rsidRDefault="003F0D10" w:rsidP="003F0D10">
      <w:pPr>
        <w:pStyle w:val="Heading2"/>
        <w:rPr>
          <w:lang w:val="en-US"/>
        </w:rPr>
      </w:pPr>
      <w:r>
        <w:rPr>
          <w:lang w:val="en-US"/>
        </w:rPr>
        <w:t>3.1</w:t>
      </w:r>
      <w:r>
        <w:rPr>
          <w:lang w:val="en-US"/>
        </w:rPr>
        <w:tab/>
        <w:t>Transmitter characteristics</w:t>
      </w:r>
    </w:p>
    <w:p w:rsidR="003F0D10" w:rsidRDefault="003F0D10" w:rsidP="003F0D10">
      <w:pPr>
        <w:rPr>
          <w:lang w:val="en-US"/>
        </w:rPr>
      </w:pPr>
      <w:r>
        <w:rPr>
          <w:lang w:val="en-US"/>
        </w:rPr>
        <w:t xml:space="preserve">The system 1 aeronautical mobile systems operating or planned to operate in the frequency band 21.2-22 GHz typically uses digital gaussian minimum shift keying (GMSK) modulations on a FM carrier. The given transmitter only operates on one waveform. A solid states power amplifier output devices are used in the transmitters. </w:t>
      </w:r>
    </w:p>
    <w:p w:rsidR="003F0D10" w:rsidRDefault="003F0D10" w:rsidP="003F0D10">
      <w:pPr>
        <w:rPr>
          <w:lang w:val="en-US"/>
        </w:rPr>
      </w:pPr>
      <w:r>
        <w:rPr>
          <w:lang w:val="en-US"/>
        </w:rPr>
        <w:t>System 1 transmitter RF emission (3 dB) bandwidths of mobile systems operating or planned to operate in the frequency band 21.2-22 GHz. Transmitter peak output powers is 50 dBm and is fixed output. Each System 1 station transmits at a duty cycle below 20% of the operational deployment period.</w:t>
      </w:r>
    </w:p>
    <w:p w:rsidR="003F0D10" w:rsidRDefault="003F0D10" w:rsidP="003F0D10">
      <w:pPr>
        <w:pStyle w:val="Heading2"/>
        <w:rPr>
          <w:lang w:val="en-US"/>
        </w:rPr>
      </w:pPr>
      <w:r>
        <w:rPr>
          <w:lang w:val="en-US"/>
        </w:rPr>
        <w:t>3.2</w:t>
      </w:r>
      <w:r>
        <w:rPr>
          <w:lang w:val="en-US"/>
        </w:rPr>
        <w:tab/>
        <w:t>Receiver characteristics</w:t>
      </w:r>
    </w:p>
    <w:p w:rsidR="003F0D10" w:rsidRDefault="003F0D10" w:rsidP="003F0D10">
      <w:pPr>
        <w:rPr>
          <w:lang w:val="en-US"/>
        </w:rPr>
      </w:pPr>
      <w:r>
        <w:rPr>
          <w:lang w:val="en-US"/>
        </w:rPr>
        <w:t xml:space="preserve">System 1 uses digital signal processing to enhance system performance. The signal processing in the newer generation of System 1 uses other advanced techniques to produce a processing gain for the desired signal and may also provide suppression of undesired signals. </w:t>
      </w:r>
    </w:p>
    <w:p w:rsidR="003F0D10" w:rsidRDefault="003F0D10" w:rsidP="003F0D10">
      <w:pPr>
        <w:pStyle w:val="Heading2"/>
        <w:rPr>
          <w:lang w:val="en-US"/>
        </w:rPr>
      </w:pPr>
      <w:r>
        <w:rPr>
          <w:lang w:val="en-US"/>
        </w:rPr>
        <w:t>3.3</w:t>
      </w:r>
      <w:r>
        <w:rPr>
          <w:lang w:val="en-US"/>
        </w:rPr>
        <w:tab/>
        <w:t>Antenna characteristics</w:t>
      </w:r>
    </w:p>
    <w:p w:rsidR="003F0D10" w:rsidRDefault="003F0D10" w:rsidP="003F0D10">
      <w:pPr>
        <w:rPr>
          <w:lang w:val="en-US"/>
        </w:rPr>
      </w:pPr>
      <w:r>
        <w:rPr>
          <w:lang w:val="en-US"/>
        </w:rPr>
        <w:t xml:space="preserve">The airborne antenna gain for System 1 is 0 dBi and omnidirectional vertical polarization. </w:t>
      </w:r>
    </w:p>
    <w:p w:rsidR="003F0D10" w:rsidRDefault="003F0D10" w:rsidP="003F0D10">
      <w:pPr>
        <w:pStyle w:val="Heading1"/>
        <w:rPr>
          <w:lang w:val="en-US"/>
        </w:rPr>
      </w:pPr>
      <w:r>
        <w:rPr>
          <w:lang w:val="en-US"/>
        </w:rPr>
        <w:t>4</w:t>
      </w:r>
      <w:r>
        <w:rPr>
          <w:lang w:val="en-US"/>
        </w:rPr>
        <w:tab/>
        <w:t>Protection criteria for the aeronautical mobile service in the frequency band 21.2</w:t>
      </w:r>
      <w:r>
        <w:rPr>
          <w:lang w:val="en-US"/>
        </w:rPr>
        <w:noBreakHyphen/>
        <w:t>22 GHz</w:t>
      </w:r>
    </w:p>
    <w:p w:rsidR="003F0D10" w:rsidRDefault="003F0D10" w:rsidP="003F0D10">
      <w:pPr>
        <w:keepNext/>
        <w:keepLines/>
        <w:rPr>
          <w:lang w:val="en-US"/>
        </w:rPr>
      </w:pPr>
      <w:r>
        <w:rPr>
          <w:lang w:val="en-US"/>
        </w:rPr>
        <w:t>When operating near the maximum radio line-of-sight distance separation between the transmitter and receiver, the performance of the communication link is often noise limited. An increase in receiver effective noise of 1 dB would constitute significant degradation communication range, equivalent to a reduction in communication range of approximately 10% in a free</w:t>
      </w:r>
      <w:r>
        <w:rPr>
          <w:lang w:val="en-US"/>
        </w:rPr>
        <w:noBreakHyphen/>
        <w:t>space propagation environment.</w:t>
      </w:r>
    </w:p>
    <w:p w:rsidR="003F0D10" w:rsidRDefault="003F0D10" w:rsidP="003F0D10">
      <w:pPr>
        <w:rPr>
          <w:lang w:val="en-US"/>
        </w:rPr>
      </w:pPr>
      <w:r>
        <w:rPr>
          <w:lang w:val="en-US"/>
        </w:rPr>
        <w:t>Such an increase effective receiver noise corresponds to an (</w:t>
      </w:r>
      <w:r>
        <w:rPr>
          <w:i/>
          <w:iCs/>
          <w:lang w:val="en-US"/>
        </w:rPr>
        <w:t>I</w:t>
      </w:r>
      <w:r>
        <w:rPr>
          <w:lang w:val="en-US"/>
        </w:rPr>
        <w:t> + </w:t>
      </w:r>
      <w:r>
        <w:rPr>
          <w:i/>
          <w:iCs/>
          <w:lang w:val="en-US"/>
        </w:rPr>
        <w:t>N</w:t>
      </w:r>
      <w:r>
        <w:rPr>
          <w:lang w:val="en-US"/>
        </w:rPr>
        <w:t>)/</w:t>
      </w:r>
      <w:r>
        <w:rPr>
          <w:i/>
          <w:iCs/>
          <w:lang w:val="en-US"/>
        </w:rPr>
        <w:t>N</w:t>
      </w:r>
      <w:r>
        <w:rPr>
          <w:lang w:val="en-US"/>
        </w:rPr>
        <w:t xml:space="preserve"> ratio of 1.26, or an </w:t>
      </w:r>
      <w:r>
        <w:rPr>
          <w:i/>
          <w:iCs/>
          <w:lang w:val="en-US"/>
        </w:rPr>
        <w:t>I</w:t>
      </w:r>
      <w:r>
        <w:rPr>
          <w:lang w:val="en-US"/>
        </w:rPr>
        <w:t>/</w:t>
      </w:r>
      <w:r>
        <w:rPr>
          <w:i/>
          <w:iCs/>
          <w:lang w:val="en-US"/>
        </w:rPr>
        <w:t>N</w:t>
      </w:r>
      <w:r>
        <w:rPr>
          <w:lang w:val="en-US"/>
        </w:rPr>
        <w:t xml:space="preserve"> of about −6 dB. This represents the required protection criterion for the AMS from interference due to another radiocommunication service. If multiple potential interference sources are present, protection of the AMS requires that this criterion is not exceeded due to the aggregate interference from the multiple sources.</w:t>
      </w:r>
    </w:p>
    <w:p w:rsidR="003F0D10" w:rsidRDefault="003F0D10" w:rsidP="003F0D10">
      <w:pPr>
        <w:pStyle w:val="TableNo"/>
        <w:rPr>
          <w:lang w:val="en-US"/>
        </w:rPr>
      </w:pPr>
      <w:r>
        <w:rPr>
          <w:lang w:val="en-US"/>
        </w:rPr>
        <w:t>TABLE 1</w:t>
      </w:r>
    </w:p>
    <w:p w:rsidR="003F0D10" w:rsidRDefault="003F0D10" w:rsidP="003F0D10">
      <w:pPr>
        <w:pStyle w:val="Tabletitle"/>
        <w:rPr>
          <w:lang w:val="en-US"/>
        </w:rPr>
      </w:pPr>
      <w:r>
        <w:rPr>
          <w:lang w:val="en-US"/>
        </w:rPr>
        <w:t>Representativ</w:t>
      </w:r>
      <w:bookmarkStart w:id="3" w:name="_GoBack"/>
      <w:bookmarkEnd w:id="3"/>
      <w:r>
        <w:rPr>
          <w:lang w:val="en-US"/>
        </w:rPr>
        <w:t xml:space="preserve">e technical characteristics of the aeronautical mobile service systems </w:t>
      </w:r>
      <w:r>
        <w:rPr>
          <w:lang w:val="en-US"/>
        </w:rPr>
        <w:br/>
        <w:t>in the frequency band 21.2</w:t>
      </w:r>
      <w:r>
        <w:rPr>
          <w:lang w:val="en-US"/>
        </w:rPr>
        <w:noBreakHyphen/>
        <w:t>22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8"/>
        <w:gridCol w:w="4471"/>
      </w:tblGrid>
      <w:tr w:rsidR="003F0D10" w:rsidTr="00D554B6">
        <w:trPr>
          <w:jc w:val="center"/>
        </w:trPr>
        <w:tc>
          <w:tcPr>
            <w:tcW w:w="3949" w:type="dxa"/>
            <w:tcBorders>
              <w:top w:val="single" w:sz="4" w:space="0" w:color="auto"/>
              <w:left w:val="single" w:sz="4" w:space="0" w:color="auto"/>
              <w:bottom w:val="single" w:sz="4" w:space="0" w:color="auto"/>
              <w:right w:val="single" w:sz="4" w:space="0" w:color="auto"/>
            </w:tcBorders>
            <w:vAlign w:val="center"/>
            <w:hideMark/>
          </w:tcPr>
          <w:p w:rsidR="003F0D10" w:rsidRDefault="003F0D10">
            <w:pPr>
              <w:pStyle w:val="Tablehead"/>
              <w:jc w:val="left"/>
              <w:rPr>
                <w:lang w:val="en-US"/>
              </w:rPr>
            </w:pPr>
            <w:r>
              <w:rPr>
                <w:lang w:val="en-US"/>
              </w:rPr>
              <w:t>Parameter</w:t>
            </w:r>
          </w:p>
        </w:tc>
        <w:tc>
          <w:tcPr>
            <w:tcW w:w="3417" w:type="dxa"/>
            <w:tcBorders>
              <w:top w:val="single" w:sz="4" w:space="0" w:color="auto"/>
              <w:left w:val="single" w:sz="4" w:space="0" w:color="auto"/>
              <w:bottom w:val="single" w:sz="4" w:space="0" w:color="auto"/>
              <w:right w:val="single" w:sz="4" w:space="0" w:color="auto"/>
            </w:tcBorders>
            <w:hideMark/>
          </w:tcPr>
          <w:p w:rsidR="003F0D10" w:rsidRDefault="003F0D10">
            <w:pPr>
              <w:pStyle w:val="Tablehead"/>
              <w:rPr>
                <w:lang w:val="en-US"/>
              </w:rPr>
            </w:pPr>
            <w:r>
              <w:rPr>
                <w:lang w:val="en-US"/>
              </w:rPr>
              <w:t>System 1</w:t>
            </w:r>
          </w:p>
        </w:tc>
      </w:tr>
      <w:tr w:rsidR="003F0D10" w:rsidTr="00D554B6">
        <w:trPr>
          <w:jc w:val="center"/>
        </w:trPr>
        <w:tc>
          <w:tcPr>
            <w:tcW w:w="3949" w:type="dxa"/>
            <w:tcBorders>
              <w:top w:val="single" w:sz="4" w:space="0" w:color="auto"/>
              <w:left w:val="single" w:sz="4" w:space="0" w:color="auto"/>
              <w:bottom w:val="single" w:sz="4" w:space="0" w:color="auto"/>
              <w:right w:val="single" w:sz="4" w:space="0" w:color="auto"/>
            </w:tcBorders>
            <w:hideMark/>
          </w:tcPr>
          <w:p w:rsidR="003F0D10" w:rsidRDefault="003F0D10">
            <w:pPr>
              <w:pStyle w:val="Tabletext"/>
              <w:rPr>
                <w:lang w:val="en-US"/>
              </w:rPr>
            </w:pPr>
            <w:r>
              <w:rPr>
                <w:lang w:val="en-US"/>
              </w:rPr>
              <w:t>Communication direction</w:t>
            </w:r>
          </w:p>
        </w:tc>
        <w:tc>
          <w:tcPr>
            <w:tcW w:w="3417" w:type="dxa"/>
            <w:tcBorders>
              <w:top w:val="single" w:sz="4" w:space="0" w:color="auto"/>
              <w:left w:val="single" w:sz="4" w:space="0" w:color="auto"/>
              <w:bottom w:val="single" w:sz="4" w:space="0" w:color="auto"/>
              <w:right w:val="single" w:sz="4" w:space="0" w:color="auto"/>
            </w:tcBorders>
            <w:vAlign w:val="center"/>
            <w:hideMark/>
          </w:tcPr>
          <w:p w:rsidR="003F0D10" w:rsidRDefault="003F0D10">
            <w:pPr>
              <w:pStyle w:val="Tabletext"/>
              <w:jc w:val="center"/>
              <w:rPr>
                <w:lang w:val="en-US"/>
              </w:rPr>
            </w:pPr>
            <w:r>
              <w:rPr>
                <w:lang w:val="en-US"/>
              </w:rPr>
              <w:t>Air-to-air</w:t>
            </w:r>
          </w:p>
        </w:tc>
      </w:tr>
      <w:tr w:rsidR="003F0D10" w:rsidTr="00D554B6">
        <w:trPr>
          <w:jc w:val="center"/>
        </w:trPr>
        <w:tc>
          <w:tcPr>
            <w:tcW w:w="3949" w:type="dxa"/>
            <w:tcBorders>
              <w:top w:val="single" w:sz="4" w:space="0" w:color="auto"/>
              <w:left w:val="single" w:sz="4" w:space="0" w:color="auto"/>
              <w:bottom w:val="single" w:sz="4" w:space="0" w:color="auto"/>
              <w:right w:val="single" w:sz="4" w:space="0" w:color="auto"/>
            </w:tcBorders>
            <w:hideMark/>
          </w:tcPr>
          <w:p w:rsidR="003F0D10" w:rsidRDefault="003F0D10">
            <w:pPr>
              <w:pStyle w:val="Tabletext"/>
              <w:rPr>
                <w:lang w:val="en-US"/>
              </w:rPr>
            </w:pPr>
            <w:r>
              <w:rPr>
                <w:lang w:val="en-US"/>
              </w:rPr>
              <w:t>Transmitter tuning range (GHz)</w:t>
            </w:r>
          </w:p>
        </w:tc>
        <w:tc>
          <w:tcPr>
            <w:tcW w:w="3417" w:type="dxa"/>
            <w:tcBorders>
              <w:top w:val="single" w:sz="4" w:space="0" w:color="auto"/>
              <w:left w:val="single" w:sz="4" w:space="0" w:color="auto"/>
              <w:bottom w:val="single" w:sz="4" w:space="0" w:color="auto"/>
              <w:right w:val="single" w:sz="4" w:space="0" w:color="auto"/>
            </w:tcBorders>
            <w:vAlign w:val="center"/>
            <w:hideMark/>
          </w:tcPr>
          <w:p w:rsidR="003F0D10" w:rsidRDefault="003F0D10">
            <w:pPr>
              <w:pStyle w:val="Tabletext"/>
              <w:jc w:val="center"/>
              <w:rPr>
                <w:lang w:val="en-US"/>
              </w:rPr>
            </w:pPr>
            <w:r>
              <w:rPr>
                <w:lang w:val="en-US"/>
              </w:rPr>
              <w:t>21.2</w:t>
            </w:r>
            <w:r>
              <w:rPr>
                <w:lang w:val="en-US"/>
              </w:rPr>
              <w:noBreakHyphen/>
              <w:t>21.5</w:t>
            </w:r>
          </w:p>
        </w:tc>
      </w:tr>
      <w:tr w:rsidR="003F0D10" w:rsidTr="00D554B6">
        <w:trPr>
          <w:jc w:val="center"/>
        </w:trPr>
        <w:tc>
          <w:tcPr>
            <w:tcW w:w="3949" w:type="dxa"/>
            <w:tcBorders>
              <w:top w:val="single" w:sz="4" w:space="0" w:color="auto"/>
              <w:left w:val="single" w:sz="4" w:space="0" w:color="auto"/>
              <w:bottom w:val="single" w:sz="4" w:space="0" w:color="auto"/>
              <w:right w:val="single" w:sz="4" w:space="0" w:color="auto"/>
            </w:tcBorders>
            <w:hideMark/>
          </w:tcPr>
          <w:p w:rsidR="003F0D10" w:rsidRDefault="003F0D10">
            <w:pPr>
              <w:pStyle w:val="Tabletext"/>
              <w:rPr>
                <w:lang w:val="en-US"/>
              </w:rPr>
            </w:pPr>
            <w:r>
              <w:rPr>
                <w:lang w:val="en-US"/>
              </w:rPr>
              <w:t>Transmitter power output (dBm)</w:t>
            </w:r>
          </w:p>
        </w:tc>
        <w:tc>
          <w:tcPr>
            <w:tcW w:w="3417" w:type="dxa"/>
            <w:tcBorders>
              <w:top w:val="single" w:sz="4" w:space="0" w:color="auto"/>
              <w:left w:val="single" w:sz="4" w:space="0" w:color="auto"/>
              <w:bottom w:val="single" w:sz="4" w:space="0" w:color="auto"/>
              <w:right w:val="single" w:sz="4" w:space="0" w:color="auto"/>
            </w:tcBorders>
            <w:vAlign w:val="center"/>
            <w:hideMark/>
          </w:tcPr>
          <w:p w:rsidR="003F0D10" w:rsidRDefault="003F0D10">
            <w:pPr>
              <w:pStyle w:val="Tabletext"/>
              <w:jc w:val="center"/>
              <w:rPr>
                <w:lang w:val="en-US"/>
              </w:rPr>
            </w:pPr>
            <w:r>
              <w:rPr>
                <w:lang w:val="en-US"/>
              </w:rPr>
              <w:t>50</w:t>
            </w:r>
          </w:p>
        </w:tc>
      </w:tr>
      <w:tr w:rsidR="003F0D10" w:rsidTr="00D554B6">
        <w:trPr>
          <w:jc w:val="center"/>
        </w:trPr>
        <w:tc>
          <w:tcPr>
            <w:tcW w:w="3949" w:type="dxa"/>
            <w:tcBorders>
              <w:top w:val="single" w:sz="4" w:space="0" w:color="auto"/>
              <w:left w:val="single" w:sz="4" w:space="0" w:color="auto"/>
              <w:bottom w:val="single" w:sz="4" w:space="0" w:color="auto"/>
              <w:right w:val="single" w:sz="4" w:space="0" w:color="auto"/>
            </w:tcBorders>
            <w:hideMark/>
          </w:tcPr>
          <w:p w:rsidR="003F0D10" w:rsidRPr="003F0D10" w:rsidRDefault="003F0D10" w:rsidP="00D554B6">
            <w:pPr>
              <w:pStyle w:val="Tabletext"/>
              <w:rPr>
                <w:lang w:val="de-CH"/>
              </w:rPr>
            </w:pPr>
            <w:r w:rsidRPr="003F0D10">
              <w:rPr>
                <w:lang w:val="de-CH"/>
              </w:rPr>
              <w:t>Transmitter bandwidth (MHz)</w:t>
            </w:r>
            <w:r w:rsidRPr="003F0D10">
              <w:rPr>
                <w:lang w:val="de-CH"/>
              </w:rPr>
              <w:br/>
            </w:r>
            <w:r w:rsidRPr="003F0D10">
              <w:rPr>
                <w:lang w:val="de-CH"/>
              </w:rPr>
              <w:tab/>
            </w:r>
            <w:r w:rsidR="00D554B6">
              <w:rPr>
                <w:lang w:val="de-CH"/>
              </w:rPr>
              <w:t>−</w:t>
            </w:r>
            <w:r w:rsidRPr="003F0D10">
              <w:rPr>
                <w:lang w:val="de-CH"/>
              </w:rPr>
              <w:t>3 dB</w:t>
            </w:r>
          </w:p>
          <w:p w:rsidR="003F0D10" w:rsidRPr="003F0D10" w:rsidRDefault="003F0D10">
            <w:pPr>
              <w:pStyle w:val="Tabletext"/>
              <w:rPr>
                <w:lang w:val="de-CH"/>
              </w:rPr>
            </w:pPr>
            <w:r w:rsidRPr="003F0D10">
              <w:rPr>
                <w:lang w:val="de-CH"/>
              </w:rPr>
              <w:tab/>
            </w:r>
            <w:r w:rsidR="00D554B6">
              <w:rPr>
                <w:lang w:val="de-CH"/>
              </w:rPr>
              <w:t>−</w:t>
            </w:r>
            <w:r w:rsidRPr="003F0D10">
              <w:rPr>
                <w:lang w:val="de-CH"/>
              </w:rPr>
              <w:t>20 dB</w:t>
            </w:r>
          </w:p>
          <w:p w:rsidR="003F0D10" w:rsidRPr="003F0D10" w:rsidRDefault="003F0D10">
            <w:pPr>
              <w:pStyle w:val="Tabletext"/>
              <w:rPr>
                <w:lang w:val="de-CH"/>
              </w:rPr>
            </w:pPr>
            <w:r w:rsidRPr="003F0D10">
              <w:rPr>
                <w:lang w:val="de-CH"/>
              </w:rPr>
              <w:tab/>
            </w:r>
            <w:r w:rsidR="00D554B6">
              <w:rPr>
                <w:lang w:val="de-CH"/>
              </w:rPr>
              <w:t>−</w:t>
            </w:r>
            <w:r w:rsidRPr="003F0D10">
              <w:rPr>
                <w:lang w:val="de-CH"/>
              </w:rPr>
              <w:t>60 dB</w:t>
            </w:r>
          </w:p>
        </w:tc>
        <w:tc>
          <w:tcPr>
            <w:tcW w:w="3417" w:type="dxa"/>
            <w:tcBorders>
              <w:top w:val="single" w:sz="4" w:space="0" w:color="auto"/>
              <w:left w:val="single" w:sz="4" w:space="0" w:color="auto"/>
              <w:bottom w:val="single" w:sz="4" w:space="0" w:color="auto"/>
              <w:right w:val="single" w:sz="4" w:space="0" w:color="auto"/>
            </w:tcBorders>
            <w:hideMark/>
          </w:tcPr>
          <w:p w:rsidR="003F0D10" w:rsidRDefault="003F0D10">
            <w:pPr>
              <w:pStyle w:val="Tabletext"/>
              <w:jc w:val="center"/>
              <w:rPr>
                <w:lang w:val="en-US"/>
              </w:rPr>
            </w:pPr>
            <w:r w:rsidRPr="003F0D10">
              <w:rPr>
                <w:lang w:val="de-CH"/>
              </w:rPr>
              <w:br/>
            </w:r>
            <w:r>
              <w:rPr>
                <w:lang w:val="en-US"/>
              </w:rPr>
              <w:t>310</w:t>
            </w:r>
          </w:p>
          <w:p w:rsidR="003F0D10" w:rsidRDefault="003F0D10">
            <w:pPr>
              <w:pStyle w:val="Tabletext"/>
              <w:jc w:val="center"/>
              <w:rPr>
                <w:lang w:val="en-US"/>
              </w:rPr>
            </w:pPr>
            <w:r>
              <w:rPr>
                <w:lang w:val="en-US"/>
              </w:rPr>
              <w:t>315</w:t>
            </w:r>
          </w:p>
          <w:p w:rsidR="003F0D10" w:rsidRDefault="003F0D10">
            <w:pPr>
              <w:pStyle w:val="Tabletext"/>
              <w:jc w:val="center"/>
              <w:rPr>
                <w:lang w:val="en-US"/>
              </w:rPr>
            </w:pPr>
            <w:r>
              <w:rPr>
                <w:lang w:val="en-US"/>
              </w:rPr>
              <w:t>360</w:t>
            </w:r>
          </w:p>
        </w:tc>
      </w:tr>
      <w:tr w:rsidR="003F0D10" w:rsidTr="00D554B6">
        <w:trPr>
          <w:jc w:val="center"/>
        </w:trPr>
        <w:tc>
          <w:tcPr>
            <w:tcW w:w="3949" w:type="dxa"/>
            <w:tcBorders>
              <w:top w:val="single" w:sz="4" w:space="0" w:color="auto"/>
              <w:left w:val="single" w:sz="4" w:space="0" w:color="auto"/>
              <w:bottom w:val="single" w:sz="4" w:space="0" w:color="auto"/>
              <w:right w:val="single" w:sz="4" w:space="0" w:color="auto"/>
            </w:tcBorders>
            <w:hideMark/>
          </w:tcPr>
          <w:p w:rsidR="003F0D10" w:rsidRDefault="003F0D10">
            <w:pPr>
              <w:pStyle w:val="Tabletext"/>
              <w:rPr>
                <w:lang w:val="en-US"/>
              </w:rPr>
            </w:pPr>
            <w:r>
              <w:rPr>
                <w:lang w:val="en-US"/>
              </w:rPr>
              <w:t>Transmitter spurious attenuation (dB)</w:t>
            </w:r>
          </w:p>
        </w:tc>
        <w:tc>
          <w:tcPr>
            <w:tcW w:w="3417" w:type="dxa"/>
            <w:tcBorders>
              <w:top w:val="single" w:sz="4" w:space="0" w:color="auto"/>
              <w:left w:val="single" w:sz="4" w:space="0" w:color="auto"/>
              <w:bottom w:val="single" w:sz="4" w:space="0" w:color="auto"/>
              <w:right w:val="single" w:sz="4" w:space="0" w:color="auto"/>
            </w:tcBorders>
            <w:vAlign w:val="center"/>
            <w:hideMark/>
          </w:tcPr>
          <w:p w:rsidR="003F0D10" w:rsidRDefault="003F0D10">
            <w:pPr>
              <w:pStyle w:val="Tabletext"/>
              <w:jc w:val="center"/>
              <w:rPr>
                <w:lang w:val="en-US"/>
              </w:rPr>
            </w:pPr>
            <w:r>
              <w:rPr>
                <w:lang w:val="en-US"/>
              </w:rPr>
              <w:t xml:space="preserve">&gt; </w:t>
            </w:r>
            <w:r w:rsidR="00D554B6">
              <w:rPr>
                <w:lang w:val="de-CH"/>
              </w:rPr>
              <w:t>−</w:t>
            </w:r>
            <w:r>
              <w:rPr>
                <w:lang w:val="en-US"/>
              </w:rPr>
              <w:t>80</w:t>
            </w:r>
          </w:p>
        </w:tc>
      </w:tr>
      <w:tr w:rsidR="003F0D10" w:rsidTr="00D554B6">
        <w:trPr>
          <w:jc w:val="center"/>
        </w:trPr>
        <w:tc>
          <w:tcPr>
            <w:tcW w:w="3949" w:type="dxa"/>
            <w:tcBorders>
              <w:top w:val="single" w:sz="4" w:space="0" w:color="auto"/>
              <w:left w:val="single" w:sz="4" w:space="0" w:color="auto"/>
              <w:bottom w:val="single" w:sz="4" w:space="0" w:color="auto"/>
              <w:right w:val="single" w:sz="4" w:space="0" w:color="auto"/>
            </w:tcBorders>
            <w:vAlign w:val="center"/>
            <w:hideMark/>
          </w:tcPr>
          <w:p w:rsidR="003F0D10" w:rsidRDefault="003F0D10">
            <w:pPr>
              <w:pStyle w:val="Tabletext"/>
              <w:rPr>
                <w:lang w:val="en-US"/>
              </w:rPr>
            </w:pPr>
            <w:r>
              <w:rPr>
                <w:lang w:val="en-US"/>
              </w:rPr>
              <w:t>Transmitter modulation</w:t>
            </w:r>
          </w:p>
        </w:tc>
        <w:tc>
          <w:tcPr>
            <w:tcW w:w="3417" w:type="dxa"/>
            <w:tcBorders>
              <w:top w:val="single" w:sz="4" w:space="0" w:color="auto"/>
              <w:left w:val="single" w:sz="4" w:space="0" w:color="auto"/>
              <w:bottom w:val="single" w:sz="4" w:space="0" w:color="auto"/>
              <w:right w:val="single" w:sz="4" w:space="0" w:color="auto"/>
            </w:tcBorders>
            <w:vAlign w:val="center"/>
            <w:hideMark/>
          </w:tcPr>
          <w:p w:rsidR="003F0D10" w:rsidRDefault="003F0D10">
            <w:pPr>
              <w:pStyle w:val="Tabletext"/>
              <w:jc w:val="center"/>
              <w:rPr>
                <w:lang w:val="en-US"/>
              </w:rPr>
            </w:pPr>
            <w:r>
              <w:rPr>
                <w:lang w:val="en-US"/>
              </w:rPr>
              <w:t>FM/GMSK</w:t>
            </w:r>
          </w:p>
        </w:tc>
      </w:tr>
      <w:tr w:rsidR="003F0D10" w:rsidTr="00D554B6">
        <w:trPr>
          <w:jc w:val="center"/>
        </w:trPr>
        <w:tc>
          <w:tcPr>
            <w:tcW w:w="3949" w:type="dxa"/>
            <w:tcBorders>
              <w:top w:val="single" w:sz="4" w:space="0" w:color="auto"/>
              <w:left w:val="single" w:sz="4" w:space="0" w:color="auto"/>
              <w:bottom w:val="single" w:sz="4" w:space="0" w:color="auto"/>
              <w:right w:val="single" w:sz="4" w:space="0" w:color="auto"/>
            </w:tcBorders>
            <w:hideMark/>
          </w:tcPr>
          <w:p w:rsidR="003F0D10" w:rsidRDefault="003F0D10">
            <w:pPr>
              <w:pStyle w:val="Tabletext"/>
              <w:rPr>
                <w:lang w:val="en-US"/>
              </w:rPr>
            </w:pPr>
            <w:r>
              <w:rPr>
                <w:lang w:val="en-US"/>
              </w:rPr>
              <w:t>Receiver tuning range (GHz)</w:t>
            </w:r>
          </w:p>
        </w:tc>
        <w:tc>
          <w:tcPr>
            <w:tcW w:w="3417" w:type="dxa"/>
            <w:tcBorders>
              <w:top w:val="single" w:sz="4" w:space="0" w:color="auto"/>
              <w:left w:val="single" w:sz="4" w:space="0" w:color="auto"/>
              <w:bottom w:val="single" w:sz="4" w:space="0" w:color="auto"/>
              <w:right w:val="single" w:sz="4" w:space="0" w:color="auto"/>
            </w:tcBorders>
            <w:vAlign w:val="center"/>
            <w:hideMark/>
          </w:tcPr>
          <w:p w:rsidR="003F0D10" w:rsidRDefault="003F0D10">
            <w:pPr>
              <w:pStyle w:val="Tabletext"/>
              <w:jc w:val="center"/>
              <w:rPr>
                <w:lang w:val="en-US"/>
              </w:rPr>
            </w:pPr>
            <w:r>
              <w:rPr>
                <w:lang w:val="en-US"/>
              </w:rPr>
              <w:t>21.2</w:t>
            </w:r>
            <w:r>
              <w:rPr>
                <w:lang w:val="en-US"/>
              </w:rPr>
              <w:noBreakHyphen/>
              <w:t>21.5</w:t>
            </w:r>
          </w:p>
        </w:tc>
      </w:tr>
      <w:tr w:rsidR="003F0D10" w:rsidTr="00D554B6">
        <w:trPr>
          <w:jc w:val="center"/>
        </w:trPr>
        <w:tc>
          <w:tcPr>
            <w:tcW w:w="3949" w:type="dxa"/>
            <w:tcBorders>
              <w:top w:val="single" w:sz="4" w:space="0" w:color="auto"/>
              <w:left w:val="single" w:sz="4" w:space="0" w:color="auto"/>
              <w:bottom w:val="single" w:sz="4" w:space="0" w:color="auto"/>
              <w:right w:val="single" w:sz="4" w:space="0" w:color="auto"/>
            </w:tcBorders>
            <w:hideMark/>
          </w:tcPr>
          <w:p w:rsidR="003F0D10" w:rsidRDefault="003F0D10">
            <w:pPr>
              <w:pStyle w:val="Tabletext"/>
              <w:rPr>
                <w:lang w:val="en-US"/>
              </w:rPr>
            </w:pPr>
            <w:r>
              <w:rPr>
                <w:lang w:val="en-US"/>
              </w:rPr>
              <w:t>Receiver IF selectivity (MHz)</w:t>
            </w:r>
            <w:r>
              <w:rPr>
                <w:lang w:val="en-US"/>
              </w:rPr>
              <w:br/>
            </w:r>
            <w:r>
              <w:rPr>
                <w:lang w:val="en-US"/>
              </w:rPr>
              <w:tab/>
            </w:r>
            <w:r w:rsidR="00D554B6" w:rsidRPr="00D554B6">
              <w:rPr>
                <w:lang w:val="en-GB"/>
              </w:rPr>
              <w:t>−</w:t>
            </w:r>
            <w:r>
              <w:rPr>
                <w:lang w:val="en-US"/>
              </w:rPr>
              <w:t>3 dB</w:t>
            </w:r>
            <w:r>
              <w:rPr>
                <w:lang w:val="en-US"/>
              </w:rPr>
              <w:br/>
            </w:r>
            <w:r>
              <w:rPr>
                <w:lang w:val="en-US"/>
              </w:rPr>
              <w:tab/>
            </w:r>
            <w:r w:rsidR="00D554B6" w:rsidRPr="00D554B6">
              <w:rPr>
                <w:lang w:val="en-GB"/>
              </w:rPr>
              <w:t>−</w:t>
            </w:r>
            <w:r>
              <w:rPr>
                <w:lang w:val="en-US"/>
              </w:rPr>
              <w:t>20 dB</w:t>
            </w:r>
            <w:r>
              <w:rPr>
                <w:lang w:val="en-US"/>
              </w:rPr>
              <w:br/>
            </w:r>
            <w:r>
              <w:rPr>
                <w:lang w:val="en-US"/>
              </w:rPr>
              <w:tab/>
            </w:r>
            <w:r w:rsidR="00D554B6" w:rsidRPr="00D554B6">
              <w:rPr>
                <w:lang w:val="en-GB"/>
              </w:rPr>
              <w:t>−</w:t>
            </w:r>
            <w:r>
              <w:rPr>
                <w:lang w:val="en-US"/>
              </w:rPr>
              <w:t>60 dB</w:t>
            </w:r>
          </w:p>
        </w:tc>
        <w:tc>
          <w:tcPr>
            <w:tcW w:w="3417" w:type="dxa"/>
            <w:tcBorders>
              <w:top w:val="single" w:sz="4" w:space="0" w:color="auto"/>
              <w:left w:val="single" w:sz="4" w:space="0" w:color="auto"/>
              <w:bottom w:val="single" w:sz="4" w:space="0" w:color="auto"/>
              <w:right w:val="single" w:sz="4" w:space="0" w:color="auto"/>
            </w:tcBorders>
            <w:hideMark/>
          </w:tcPr>
          <w:p w:rsidR="003F0D10" w:rsidRDefault="003F0D10">
            <w:pPr>
              <w:pStyle w:val="Tabletext"/>
              <w:jc w:val="center"/>
              <w:rPr>
                <w:lang w:val="en-US"/>
              </w:rPr>
            </w:pPr>
            <w:r>
              <w:rPr>
                <w:lang w:val="en-US"/>
              </w:rPr>
              <w:br/>
              <w:t>306</w:t>
            </w:r>
            <w:r>
              <w:rPr>
                <w:lang w:val="en-US"/>
              </w:rPr>
              <w:br/>
              <w:t>315</w:t>
            </w:r>
            <w:r>
              <w:rPr>
                <w:lang w:val="en-US"/>
              </w:rPr>
              <w:br/>
              <w:t>380</w:t>
            </w:r>
          </w:p>
        </w:tc>
      </w:tr>
      <w:tr w:rsidR="003F0D10" w:rsidTr="00D554B6">
        <w:trPr>
          <w:jc w:val="center"/>
        </w:trPr>
        <w:tc>
          <w:tcPr>
            <w:tcW w:w="3949" w:type="dxa"/>
            <w:tcBorders>
              <w:top w:val="single" w:sz="4" w:space="0" w:color="auto"/>
              <w:left w:val="single" w:sz="4" w:space="0" w:color="auto"/>
              <w:bottom w:val="single" w:sz="4" w:space="0" w:color="auto"/>
              <w:right w:val="single" w:sz="4" w:space="0" w:color="auto"/>
            </w:tcBorders>
            <w:hideMark/>
          </w:tcPr>
          <w:p w:rsidR="003F0D10" w:rsidRDefault="003F0D10">
            <w:pPr>
              <w:pStyle w:val="Tabletext"/>
              <w:rPr>
                <w:lang w:val="en-US"/>
              </w:rPr>
            </w:pPr>
            <w:r>
              <w:rPr>
                <w:lang w:val="en-US"/>
              </w:rPr>
              <w:t>Receiver RF selectivity (MHz)</w:t>
            </w:r>
            <w:r>
              <w:rPr>
                <w:lang w:val="en-US"/>
              </w:rPr>
              <w:br/>
            </w:r>
            <w:r>
              <w:rPr>
                <w:lang w:val="en-US"/>
              </w:rPr>
              <w:tab/>
            </w:r>
            <w:r w:rsidR="00D554B6" w:rsidRPr="00D554B6">
              <w:rPr>
                <w:lang w:val="en-GB"/>
              </w:rPr>
              <w:t>−</w:t>
            </w:r>
            <w:r>
              <w:rPr>
                <w:lang w:val="en-US"/>
              </w:rPr>
              <w:t>3 dB</w:t>
            </w:r>
            <w:r>
              <w:rPr>
                <w:lang w:val="en-US"/>
              </w:rPr>
              <w:br/>
            </w:r>
            <w:r>
              <w:rPr>
                <w:lang w:val="en-US"/>
              </w:rPr>
              <w:tab/>
            </w:r>
            <w:r w:rsidR="00D554B6" w:rsidRPr="00D554B6">
              <w:rPr>
                <w:lang w:val="en-GB"/>
              </w:rPr>
              <w:t>−</w:t>
            </w:r>
            <w:r>
              <w:rPr>
                <w:lang w:val="en-US"/>
              </w:rPr>
              <w:t>20 dB</w:t>
            </w:r>
            <w:r>
              <w:rPr>
                <w:lang w:val="en-US"/>
              </w:rPr>
              <w:br/>
            </w:r>
            <w:r>
              <w:rPr>
                <w:lang w:val="en-US"/>
              </w:rPr>
              <w:tab/>
            </w:r>
            <w:r w:rsidR="00D554B6" w:rsidRPr="00D554B6">
              <w:rPr>
                <w:lang w:val="en-GB"/>
              </w:rPr>
              <w:t>−</w:t>
            </w:r>
            <w:r>
              <w:rPr>
                <w:lang w:val="en-US"/>
              </w:rPr>
              <w:t>60 dB</w:t>
            </w:r>
          </w:p>
        </w:tc>
        <w:tc>
          <w:tcPr>
            <w:tcW w:w="3417" w:type="dxa"/>
            <w:tcBorders>
              <w:top w:val="single" w:sz="4" w:space="0" w:color="auto"/>
              <w:left w:val="single" w:sz="4" w:space="0" w:color="auto"/>
              <w:bottom w:val="single" w:sz="4" w:space="0" w:color="auto"/>
              <w:right w:val="single" w:sz="4" w:space="0" w:color="auto"/>
            </w:tcBorders>
            <w:hideMark/>
          </w:tcPr>
          <w:p w:rsidR="003F0D10" w:rsidRDefault="003F0D10">
            <w:pPr>
              <w:pStyle w:val="Tabletext"/>
              <w:jc w:val="center"/>
              <w:rPr>
                <w:lang w:val="en-US"/>
              </w:rPr>
            </w:pPr>
            <w:r>
              <w:rPr>
                <w:lang w:val="en-US"/>
              </w:rPr>
              <w:br/>
              <w:t>310</w:t>
            </w:r>
            <w:r>
              <w:rPr>
                <w:lang w:val="en-US"/>
              </w:rPr>
              <w:br/>
              <w:t>315</w:t>
            </w:r>
            <w:r>
              <w:rPr>
                <w:lang w:val="en-US"/>
              </w:rPr>
              <w:br/>
              <w:t>360</w:t>
            </w:r>
          </w:p>
        </w:tc>
      </w:tr>
      <w:tr w:rsidR="003F0D10" w:rsidTr="00D554B6">
        <w:trPr>
          <w:jc w:val="center"/>
        </w:trPr>
        <w:tc>
          <w:tcPr>
            <w:tcW w:w="3949" w:type="dxa"/>
            <w:tcBorders>
              <w:top w:val="single" w:sz="4" w:space="0" w:color="auto"/>
              <w:left w:val="single" w:sz="4" w:space="0" w:color="auto"/>
              <w:bottom w:val="single" w:sz="4" w:space="0" w:color="auto"/>
              <w:right w:val="single" w:sz="4" w:space="0" w:color="auto"/>
            </w:tcBorders>
            <w:hideMark/>
          </w:tcPr>
          <w:p w:rsidR="003F0D10" w:rsidRDefault="003F0D10">
            <w:pPr>
              <w:pStyle w:val="Tabletext"/>
              <w:rPr>
                <w:lang w:val="en-US"/>
              </w:rPr>
            </w:pPr>
            <w:r>
              <w:rPr>
                <w:lang w:val="en-US"/>
              </w:rPr>
              <w:t>Receiver noise figure (dB)</w:t>
            </w:r>
          </w:p>
        </w:tc>
        <w:tc>
          <w:tcPr>
            <w:tcW w:w="3417" w:type="dxa"/>
            <w:tcBorders>
              <w:top w:val="single" w:sz="4" w:space="0" w:color="auto"/>
              <w:left w:val="single" w:sz="4" w:space="0" w:color="auto"/>
              <w:bottom w:val="single" w:sz="4" w:space="0" w:color="auto"/>
              <w:right w:val="single" w:sz="4" w:space="0" w:color="auto"/>
            </w:tcBorders>
            <w:vAlign w:val="center"/>
            <w:hideMark/>
          </w:tcPr>
          <w:p w:rsidR="003F0D10" w:rsidRDefault="003F0D10">
            <w:pPr>
              <w:pStyle w:val="Tabletext"/>
              <w:jc w:val="center"/>
              <w:rPr>
                <w:lang w:val="en-US"/>
              </w:rPr>
            </w:pPr>
            <w:r>
              <w:rPr>
                <w:lang w:val="en-US"/>
              </w:rPr>
              <w:t>7</w:t>
            </w:r>
          </w:p>
        </w:tc>
      </w:tr>
      <w:tr w:rsidR="003F0D10" w:rsidTr="00D554B6">
        <w:trPr>
          <w:jc w:val="center"/>
        </w:trPr>
        <w:tc>
          <w:tcPr>
            <w:tcW w:w="3949" w:type="dxa"/>
            <w:tcBorders>
              <w:top w:val="single" w:sz="4" w:space="0" w:color="auto"/>
              <w:left w:val="single" w:sz="4" w:space="0" w:color="auto"/>
              <w:bottom w:val="single" w:sz="4" w:space="0" w:color="auto"/>
              <w:right w:val="single" w:sz="4" w:space="0" w:color="auto"/>
            </w:tcBorders>
            <w:hideMark/>
          </w:tcPr>
          <w:p w:rsidR="003F0D10" w:rsidRDefault="003F0D10">
            <w:pPr>
              <w:pStyle w:val="Tabletext"/>
              <w:rPr>
                <w:lang w:val="en-US"/>
              </w:rPr>
            </w:pPr>
            <w:r>
              <w:rPr>
                <w:lang w:val="en-US"/>
              </w:rPr>
              <w:t>Receiver image rejection (dB)</w:t>
            </w:r>
          </w:p>
        </w:tc>
        <w:tc>
          <w:tcPr>
            <w:tcW w:w="3417" w:type="dxa"/>
            <w:tcBorders>
              <w:top w:val="single" w:sz="4" w:space="0" w:color="auto"/>
              <w:left w:val="single" w:sz="4" w:space="0" w:color="auto"/>
              <w:bottom w:val="single" w:sz="4" w:space="0" w:color="auto"/>
              <w:right w:val="single" w:sz="4" w:space="0" w:color="auto"/>
            </w:tcBorders>
            <w:vAlign w:val="center"/>
            <w:hideMark/>
          </w:tcPr>
          <w:p w:rsidR="003F0D10" w:rsidRDefault="003F0D10">
            <w:pPr>
              <w:pStyle w:val="Tabletext"/>
              <w:jc w:val="center"/>
              <w:rPr>
                <w:lang w:val="en-US"/>
              </w:rPr>
            </w:pPr>
            <w:r>
              <w:rPr>
                <w:lang w:val="en-US"/>
              </w:rPr>
              <w:t>30</w:t>
            </w:r>
          </w:p>
        </w:tc>
      </w:tr>
      <w:tr w:rsidR="003F0D10" w:rsidTr="00D554B6">
        <w:trPr>
          <w:jc w:val="center"/>
        </w:trPr>
        <w:tc>
          <w:tcPr>
            <w:tcW w:w="3949" w:type="dxa"/>
            <w:tcBorders>
              <w:top w:val="single" w:sz="4" w:space="0" w:color="auto"/>
              <w:left w:val="single" w:sz="4" w:space="0" w:color="auto"/>
              <w:bottom w:val="single" w:sz="4" w:space="0" w:color="auto"/>
              <w:right w:val="single" w:sz="4" w:space="0" w:color="auto"/>
            </w:tcBorders>
            <w:hideMark/>
          </w:tcPr>
          <w:p w:rsidR="003F0D10" w:rsidRDefault="003F0D10">
            <w:pPr>
              <w:pStyle w:val="Tabletext"/>
              <w:rPr>
                <w:lang w:val="en-US"/>
              </w:rPr>
            </w:pPr>
            <w:r>
              <w:rPr>
                <w:lang w:val="en-US"/>
              </w:rPr>
              <w:t>Receiver spurious rejection (dB)</w:t>
            </w:r>
          </w:p>
        </w:tc>
        <w:tc>
          <w:tcPr>
            <w:tcW w:w="3417" w:type="dxa"/>
            <w:tcBorders>
              <w:top w:val="single" w:sz="4" w:space="0" w:color="auto"/>
              <w:left w:val="single" w:sz="4" w:space="0" w:color="auto"/>
              <w:bottom w:val="single" w:sz="4" w:space="0" w:color="auto"/>
              <w:right w:val="single" w:sz="4" w:space="0" w:color="auto"/>
            </w:tcBorders>
            <w:vAlign w:val="center"/>
            <w:hideMark/>
          </w:tcPr>
          <w:p w:rsidR="003F0D10" w:rsidRDefault="003F0D10">
            <w:pPr>
              <w:pStyle w:val="Tabletext"/>
              <w:jc w:val="center"/>
              <w:rPr>
                <w:lang w:val="en-US"/>
              </w:rPr>
            </w:pPr>
            <w:r>
              <w:rPr>
                <w:lang w:val="en-US"/>
              </w:rPr>
              <w:t>60</w:t>
            </w:r>
          </w:p>
        </w:tc>
      </w:tr>
      <w:tr w:rsidR="003F0D10" w:rsidTr="00D554B6">
        <w:trPr>
          <w:jc w:val="center"/>
        </w:trPr>
        <w:tc>
          <w:tcPr>
            <w:tcW w:w="3949" w:type="dxa"/>
            <w:tcBorders>
              <w:top w:val="single" w:sz="4" w:space="0" w:color="auto"/>
              <w:left w:val="single" w:sz="4" w:space="0" w:color="auto"/>
              <w:bottom w:val="single" w:sz="4" w:space="0" w:color="auto"/>
              <w:right w:val="single" w:sz="4" w:space="0" w:color="auto"/>
            </w:tcBorders>
            <w:hideMark/>
          </w:tcPr>
          <w:p w:rsidR="003F0D10" w:rsidRDefault="003F0D10">
            <w:pPr>
              <w:pStyle w:val="Tabletext"/>
              <w:rPr>
                <w:lang w:val="en-US"/>
              </w:rPr>
            </w:pPr>
            <w:r>
              <w:rPr>
                <w:lang w:val="en-US"/>
              </w:rPr>
              <w:t>Antenna gain (dBi)</w:t>
            </w:r>
          </w:p>
        </w:tc>
        <w:tc>
          <w:tcPr>
            <w:tcW w:w="3417" w:type="dxa"/>
            <w:tcBorders>
              <w:top w:val="single" w:sz="4" w:space="0" w:color="auto"/>
              <w:left w:val="single" w:sz="4" w:space="0" w:color="auto"/>
              <w:bottom w:val="single" w:sz="4" w:space="0" w:color="auto"/>
              <w:right w:val="single" w:sz="4" w:space="0" w:color="auto"/>
            </w:tcBorders>
            <w:vAlign w:val="center"/>
            <w:hideMark/>
          </w:tcPr>
          <w:p w:rsidR="003F0D10" w:rsidRDefault="003F0D10">
            <w:pPr>
              <w:pStyle w:val="Tabletext"/>
              <w:jc w:val="center"/>
              <w:rPr>
                <w:lang w:val="en-US"/>
              </w:rPr>
            </w:pPr>
            <w:r>
              <w:rPr>
                <w:lang w:val="en-US"/>
              </w:rPr>
              <w:t>0</w:t>
            </w:r>
          </w:p>
        </w:tc>
      </w:tr>
      <w:tr w:rsidR="003F0D10" w:rsidTr="00D554B6">
        <w:trPr>
          <w:jc w:val="center"/>
        </w:trPr>
        <w:tc>
          <w:tcPr>
            <w:tcW w:w="3949" w:type="dxa"/>
            <w:tcBorders>
              <w:top w:val="single" w:sz="4" w:space="0" w:color="auto"/>
              <w:left w:val="single" w:sz="4" w:space="0" w:color="auto"/>
              <w:bottom w:val="single" w:sz="4" w:space="0" w:color="auto"/>
              <w:right w:val="single" w:sz="4" w:space="0" w:color="auto"/>
            </w:tcBorders>
            <w:hideMark/>
          </w:tcPr>
          <w:p w:rsidR="003F0D10" w:rsidRDefault="003F0D10">
            <w:pPr>
              <w:pStyle w:val="Tabletext"/>
              <w:rPr>
                <w:lang w:val="en-US"/>
              </w:rPr>
            </w:pPr>
            <w:r>
              <w:rPr>
                <w:lang w:val="en-US"/>
              </w:rPr>
              <w:t>Antenna 1</w:t>
            </w:r>
            <w:r>
              <w:rPr>
                <w:vertAlign w:val="superscript"/>
                <w:lang w:val="en-US"/>
              </w:rPr>
              <w:t xml:space="preserve">st </w:t>
            </w:r>
            <w:r>
              <w:rPr>
                <w:lang w:val="en-US"/>
              </w:rPr>
              <w:t>sidelobe (dB)</w:t>
            </w:r>
          </w:p>
        </w:tc>
        <w:tc>
          <w:tcPr>
            <w:tcW w:w="3417" w:type="dxa"/>
            <w:tcBorders>
              <w:top w:val="single" w:sz="4" w:space="0" w:color="auto"/>
              <w:left w:val="single" w:sz="4" w:space="0" w:color="auto"/>
              <w:bottom w:val="single" w:sz="4" w:space="0" w:color="auto"/>
              <w:right w:val="single" w:sz="4" w:space="0" w:color="auto"/>
            </w:tcBorders>
            <w:vAlign w:val="center"/>
            <w:hideMark/>
          </w:tcPr>
          <w:p w:rsidR="003F0D10" w:rsidRDefault="003F0D10">
            <w:pPr>
              <w:pStyle w:val="Tabletext"/>
              <w:jc w:val="center"/>
              <w:rPr>
                <w:lang w:val="en-US"/>
              </w:rPr>
            </w:pPr>
            <w:r>
              <w:rPr>
                <w:lang w:val="en-US"/>
              </w:rPr>
              <w:t>Not applicable</w:t>
            </w:r>
          </w:p>
        </w:tc>
      </w:tr>
      <w:tr w:rsidR="003F0D10" w:rsidTr="00D554B6">
        <w:trPr>
          <w:jc w:val="center"/>
        </w:trPr>
        <w:tc>
          <w:tcPr>
            <w:tcW w:w="3949" w:type="dxa"/>
            <w:tcBorders>
              <w:top w:val="single" w:sz="4" w:space="0" w:color="auto"/>
              <w:left w:val="single" w:sz="4" w:space="0" w:color="auto"/>
              <w:bottom w:val="single" w:sz="4" w:space="0" w:color="auto"/>
              <w:right w:val="single" w:sz="4" w:space="0" w:color="auto"/>
            </w:tcBorders>
            <w:hideMark/>
          </w:tcPr>
          <w:p w:rsidR="003F0D10" w:rsidRDefault="003F0D10">
            <w:pPr>
              <w:pStyle w:val="Tabletext"/>
              <w:rPr>
                <w:lang w:val="en-US"/>
              </w:rPr>
            </w:pPr>
            <w:r>
              <w:rPr>
                <w:lang w:val="en-US"/>
              </w:rPr>
              <w:t>Antenna polarization</w:t>
            </w:r>
          </w:p>
        </w:tc>
        <w:tc>
          <w:tcPr>
            <w:tcW w:w="3417" w:type="dxa"/>
            <w:tcBorders>
              <w:top w:val="single" w:sz="4" w:space="0" w:color="auto"/>
              <w:left w:val="single" w:sz="4" w:space="0" w:color="auto"/>
              <w:bottom w:val="single" w:sz="4" w:space="0" w:color="auto"/>
              <w:right w:val="single" w:sz="4" w:space="0" w:color="auto"/>
            </w:tcBorders>
            <w:vAlign w:val="center"/>
            <w:hideMark/>
          </w:tcPr>
          <w:p w:rsidR="003F0D10" w:rsidRDefault="003F0D10">
            <w:pPr>
              <w:pStyle w:val="Tabletext"/>
              <w:jc w:val="center"/>
              <w:rPr>
                <w:lang w:val="en-US"/>
              </w:rPr>
            </w:pPr>
            <w:r>
              <w:rPr>
                <w:lang w:val="en-US"/>
              </w:rPr>
              <w:t>Vertical</w:t>
            </w:r>
          </w:p>
        </w:tc>
      </w:tr>
      <w:tr w:rsidR="003F0D10" w:rsidTr="00D554B6">
        <w:trPr>
          <w:jc w:val="center"/>
        </w:trPr>
        <w:tc>
          <w:tcPr>
            <w:tcW w:w="3949" w:type="dxa"/>
            <w:tcBorders>
              <w:top w:val="single" w:sz="4" w:space="0" w:color="auto"/>
              <w:left w:val="single" w:sz="4" w:space="0" w:color="auto"/>
              <w:bottom w:val="single" w:sz="4" w:space="0" w:color="auto"/>
              <w:right w:val="single" w:sz="4" w:space="0" w:color="auto"/>
            </w:tcBorders>
            <w:hideMark/>
          </w:tcPr>
          <w:p w:rsidR="003F0D10" w:rsidRDefault="003F0D10">
            <w:pPr>
              <w:pStyle w:val="Tabletext"/>
              <w:rPr>
                <w:lang w:val="en-US"/>
              </w:rPr>
            </w:pPr>
            <w:r>
              <w:rPr>
                <w:lang w:val="en-US"/>
              </w:rPr>
              <w:t>Antenna pattern/type</w:t>
            </w:r>
          </w:p>
        </w:tc>
        <w:tc>
          <w:tcPr>
            <w:tcW w:w="3417" w:type="dxa"/>
            <w:tcBorders>
              <w:top w:val="single" w:sz="4" w:space="0" w:color="auto"/>
              <w:left w:val="single" w:sz="4" w:space="0" w:color="auto"/>
              <w:bottom w:val="single" w:sz="4" w:space="0" w:color="auto"/>
              <w:right w:val="single" w:sz="4" w:space="0" w:color="auto"/>
            </w:tcBorders>
            <w:vAlign w:val="center"/>
            <w:hideMark/>
          </w:tcPr>
          <w:p w:rsidR="003F0D10" w:rsidRDefault="003F0D10">
            <w:pPr>
              <w:pStyle w:val="Tabletext"/>
              <w:jc w:val="center"/>
              <w:rPr>
                <w:lang w:val="en-US"/>
              </w:rPr>
            </w:pPr>
            <w:r>
              <w:rPr>
                <w:lang w:val="en-US"/>
              </w:rPr>
              <w:t>Omni</w:t>
            </w:r>
          </w:p>
        </w:tc>
      </w:tr>
    </w:tbl>
    <w:p w:rsidR="003F0D10" w:rsidRDefault="003F0D10" w:rsidP="003F0D10">
      <w:pPr>
        <w:pStyle w:val="Tablefin"/>
      </w:pPr>
    </w:p>
    <w:p w:rsidR="00A6617B" w:rsidRPr="003F0D10" w:rsidRDefault="00A6617B" w:rsidP="002434DD">
      <w:pPr>
        <w:pStyle w:val="Line"/>
      </w:pPr>
    </w:p>
    <w:sectPr w:rsidR="00A6617B" w:rsidRPr="003F0D10" w:rsidSect="002434DD">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723" w:rsidRDefault="007A6723">
      <w:r>
        <w:separator/>
      </w:r>
    </w:p>
  </w:endnote>
  <w:endnote w:type="continuationSeparator" w:id="0">
    <w:p w:rsidR="007A6723" w:rsidRDefault="007A6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723" w:rsidRDefault="007A6723">
      <w:r>
        <w:separator/>
      </w:r>
    </w:p>
  </w:footnote>
  <w:footnote w:type="continuationSeparator" w:id="0">
    <w:p w:rsidR="007A6723" w:rsidRDefault="007A6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723" w:rsidRDefault="007A6723">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723" w:rsidRDefault="007A6723" w:rsidP="00B033C8">
    <w:pPr>
      <w:ind w:right="360" w:firstLine="360"/>
    </w:pPr>
    <w:r>
      <w:rPr>
        <w:noProof/>
        <w:lang w:val="en-GB" w:eastAsia="en-GB"/>
      </w:rPr>
      <w:drawing>
        <wp:anchor distT="0" distB="0" distL="114300" distR="114300" simplePos="0" relativeHeight="251659264" behindDoc="1" locked="0" layoutInCell="1" allowOverlap="1" wp14:anchorId="01E96F63" wp14:editId="7362EB9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723" w:rsidRPr="00FC42AF" w:rsidRDefault="007A6723" w:rsidP="007913D0">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FC0287">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C0287">
      <w:rPr>
        <w:b/>
        <w:bCs/>
        <w:noProof/>
      </w:rPr>
      <w:t>ITU-R  M.2120-0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723" w:rsidRPr="00FC42AF" w:rsidRDefault="007A6723"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C0287">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FC0287">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C0287">
      <w:rPr>
        <w:b/>
        <w:bCs/>
        <w:noProof/>
      </w:rPr>
      <w:t>ITU-R  M.2120-0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723" w:rsidRDefault="007A6723">
    <w:r>
      <w:tab/>
    </w:r>
    <w:r>
      <w:rPr>
        <w:b/>
        <w:bCs/>
      </w:rPr>
      <w:fldChar w:fldCharType="begin"/>
    </w:r>
    <w:r>
      <w:rPr>
        <w:b/>
        <w:bCs/>
      </w:rPr>
      <w:instrText xml:space="preserve"> DOCPROPERTY "Header" \* MERGEFORMAT </w:instrText>
    </w:r>
    <w:r>
      <w:rPr>
        <w:b/>
        <w:bCs/>
      </w:rPr>
      <w:fldChar w:fldCharType="separate"/>
    </w:r>
    <w:r w:rsidR="00FC028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C0287">
      <w:rPr>
        <w:b/>
        <w:bCs/>
        <w:noProof/>
      </w:rPr>
      <w:t>ITU-R  M.2120-0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C0287">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C0287" w:rsidRPr="00FC028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C0287">
      <w:rPr>
        <w:b/>
        <w:bCs/>
        <w:noProof/>
      </w:rPr>
      <w:t>ITU-R  M.2120-0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FC0287">
      <w:rPr>
        <w:b/>
        <w:bCs/>
      </w:rPr>
      <w:fldChar w:fldCharType="begin"/>
    </w:r>
    <w:r w:rsidR="00FC0287">
      <w:rPr>
        <w:b/>
        <w:bCs/>
      </w:rPr>
      <w:instrText xml:space="preserve"> DOCPROPERTY "Header" \* MERGEFORMAT </w:instrText>
    </w:r>
    <w:r w:rsidR="00FC0287">
      <w:rPr>
        <w:b/>
        <w:bCs/>
      </w:rPr>
      <w:fldChar w:fldCharType="separate"/>
    </w:r>
    <w:r w:rsidR="00FC0287">
      <w:rPr>
        <w:b/>
        <w:bCs/>
      </w:rPr>
      <w:t xml:space="preserve">Rec. </w:t>
    </w:r>
    <w:r w:rsidR="00FC0287">
      <w:rPr>
        <w:b/>
        <w:bCs/>
      </w:rPr>
      <w:fldChar w:fldCharType="end"/>
    </w:r>
    <w:r>
      <w:rPr>
        <w:b/>
        <w:bCs/>
      </w:rPr>
      <w:t xml:space="preserve"> </w:t>
    </w:r>
    <w:r>
      <w:rPr>
        <w:b/>
        <w:bCs/>
      </w:rPr>
      <w:fldChar w:fldCharType="begin"/>
    </w:r>
    <w:r>
      <w:rPr>
        <w:b/>
        <w:bCs/>
      </w:rPr>
      <w:instrText>styleref href</w:instrText>
    </w:r>
    <w:r>
      <w:rPr>
        <w:b/>
        <w:bCs/>
      </w:rPr>
      <w:fldChar w:fldCharType="separate"/>
    </w:r>
    <w:r w:rsidR="00FC0287">
      <w:rPr>
        <w:b/>
        <w:bCs/>
        <w:noProof/>
      </w:rPr>
      <w:t>ITU-R  M.2120-0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C0287">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723"/>
    <w:rsid w:val="00217EBF"/>
    <w:rsid w:val="00242AEE"/>
    <w:rsid w:val="002434DD"/>
    <w:rsid w:val="002D76C4"/>
    <w:rsid w:val="003F0D10"/>
    <w:rsid w:val="0052529D"/>
    <w:rsid w:val="00607D68"/>
    <w:rsid w:val="007468DA"/>
    <w:rsid w:val="007A6723"/>
    <w:rsid w:val="009E00A8"/>
    <w:rsid w:val="009F57F0"/>
    <w:rsid w:val="00A6617B"/>
    <w:rsid w:val="00AB0DC8"/>
    <w:rsid w:val="00B44E24"/>
    <w:rsid w:val="00C20AFB"/>
    <w:rsid w:val="00D554B6"/>
    <w:rsid w:val="00DF4176"/>
    <w:rsid w:val="00FC02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4FD12B70"/>
  <w15:docId w15:val="{177650AD-D963-4210-8BBD-0E8588BFF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4B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9F57F0"/>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D554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7A6723"/>
    <w:rPr>
      <w:b/>
      <w:sz w:val="22"/>
      <w:lang w:val="fr-FR" w:eastAsia="en-US"/>
    </w:rPr>
  </w:style>
  <w:style w:type="character" w:customStyle="1" w:styleId="TabletextChar">
    <w:name w:val="Table_text Char"/>
    <w:basedOn w:val="DefaultParagraphFont"/>
    <w:link w:val="Tabletext"/>
    <w:locked/>
    <w:rsid w:val="00D554B6"/>
    <w:rPr>
      <w:sz w:val="22"/>
      <w:lang w:val="fr-FR" w:eastAsia="en-US"/>
    </w:rPr>
  </w:style>
  <w:style w:type="character" w:styleId="Hyperlink">
    <w:name w:val="Hyperlink"/>
    <w:basedOn w:val="DefaultParagraphFont"/>
    <w:rsid w:val="007A6723"/>
    <w:rPr>
      <w:color w:val="0000FF"/>
      <w:u w:val="single"/>
    </w:rPr>
  </w:style>
  <w:style w:type="character" w:customStyle="1" w:styleId="CallChar">
    <w:name w:val="Call Char"/>
    <w:link w:val="Call"/>
    <w:locked/>
    <w:rsid w:val="003F0D10"/>
    <w:rPr>
      <w:i/>
      <w:sz w:val="24"/>
      <w:lang w:val="fr-FR" w:eastAsia="en-US"/>
    </w:rPr>
  </w:style>
  <w:style w:type="character" w:customStyle="1" w:styleId="enumlev1Char">
    <w:name w:val="enumlev1 Char"/>
    <w:link w:val="enumlev1"/>
    <w:locked/>
    <w:rsid w:val="003F0D10"/>
    <w:rPr>
      <w:sz w:val="24"/>
      <w:lang w:val="fr-FR" w:eastAsia="en-US"/>
    </w:rPr>
  </w:style>
  <w:style w:type="character" w:customStyle="1" w:styleId="TableNoChar">
    <w:name w:val="Table_No Char"/>
    <w:basedOn w:val="DefaultParagraphFont"/>
    <w:link w:val="TableNo"/>
    <w:locked/>
    <w:rsid w:val="003F0D10"/>
    <w:rPr>
      <w:sz w:val="24"/>
      <w:lang w:val="fr-FR" w:eastAsia="en-US"/>
    </w:rPr>
  </w:style>
  <w:style w:type="character" w:customStyle="1" w:styleId="HeadingbChar">
    <w:name w:val="Heading_b Char"/>
    <w:link w:val="Headingb"/>
    <w:locked/>
    <w:rsid w:val="003F0D10"/>
    <w:rPr>
      <w:b/>
      <w:sz w:val="24"/>
      <w:lang w:val="fr-FR" w:eastAsia="en-US"/>
    </w:rPr>
  </w:style>
  <w:style w:type="paragraph" w:customStyle="1" w:styleId="AnnexNo">
    <w:name w:val="Annex_No"/>
    <w:basedOn w:val="Normal"/>
    <w:next w:val="Normal"/>
    <w:rsid w:val="003F0D10"/>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rsid w:val="003F0D10"/>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character" w:customStyle="1" w:styleId="Artdef">
    <w:name w:val="Art_def"/>
    <w:basedOn w:val="DefaultParagraphFont"/>
    <w:rsid w:val="003F0D10"/>
    <w:rPr>
      <w:rFonts w:ascii="Times New Roman" w:hAnsi="Times New Roman" w:cs="Times New Roman" w:hint="default"/>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12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TotalTime>
  <Pages>6</Pages>
  <Words>1408</Words>
  <Characters>8918</Characters>
  <Application>Microsoft Office Word</Application>
  <DocSecurity>0</DocSecurity>
  <Lines>297</Lines>
  <Paragraphs>10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Policy on Intellectual Property Right (IPR)</vt:lpstr>
    </vt:vector>
  </TitlesOfParts>
  <Manager/>
  <Company>ITU</Company>
  <LinksUpToDate>false</LinksUpToDate>
  <CharactersWithSpaces>10316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7</cp:revision>
  <cp:lastPrinted>2019-01-29T12:41:00Z</cp:lastPrinted>
  <dcterms:created xsi:type="dcterms:W3CDTF">2019-01-29T12:33:00Z</dcterms:created>
  <dcterms:modified xsi:type="dcterms:W3CDTF">2019-01-29T12:44:00Z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