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A37AE4"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72589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725893">
              <w:rPr>
                <w:rFonts w:ascii="Tahoma" w:hAnsi="Tahoma" w:cs="Tahoma"/>
                <w:b/>
                <w:bCs/>
                <w:iCs/>
                <w:color w:val="243285"/>
                <w:sz w:val="36"/>
                <w:szCs w:val="36"/>
                <w:lang w:val="es-ES_tradnl"/>
              </w:rPr>
              <w:t>2116-0</w:t>
            </w:r>
          </w:p>
          <w:p w:rsidR="00042292" w:rsidRPr="00A07AEB" w:rsidRDefault="00042292" w:rsidP="0072589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725893">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725893">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725893"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725893" w:rsidP="00725893">
            <w:pPr>
              <w:spacing w:before="80" w:line="500" w:lineRule="exact"/>
              <w:jc w:val="right"/>
              <w:rPr>
                <w:rFonts w:ascii="Tahoma" w:hAnsi="Tahoma" w:cs="Tahoma"/>
                <w:b/>
                <w:bCs/>
                <w:color w:val="243285"/>
                <w:sz w:val="44"/>
                <w:szCs w:val="44"/>
                <w:lang w:val="es-ES_tradnl"/>
              </w:rPr>
            </w:pPr>
            <w:r w:rsidRPr="00725893">
              <w:rPr>
                <w:rFonts w:ascii="Tahoma" w:hAnsi="Tahoma" w:cs="Tahoma"/>
                <w:b/>
                <w:bCs/>
                <w:color w:val="243285"/>
                <w:sz w:val="44"/>
                <w:szCs w:val="44"/>
                <w:lang w:val="es-ES_tradnl"/>
              </w:rPr>
              <w:t xml:space="preserve">Características técnicas y criterios de protección para los sistemas móviles aeronáuticos que funcionan en la banda </w:t>
            </w:r>
            <w:r>
              <w:rPr>
                <w:rFonts w:ascii="Tahoma" w:hAnsi="Tahoma" w:cs="Tahoma"/>
                <w:b/>
                <w:bCs/>
                <w:color w:val="243285"/>
                <w:sz w:val="44"/>
                <w:szCs w:val="44"/>
                <w:lang w:val="es-ES_tradnl"/>
              </w:rPr>
              <w:br/>
            </w:r>
            <w:r w:rsidRPr="00725893">
              <w:rPr>
                <w:rFonts w:ascii="Tahoma" w:hAnsi="Tahoma" w:cs="Tahoma"/>
                <w:b/>
                <w:bCs/>
                <w:color w:val="243285"/>
                <w:sz w:val="44"/>
                <w:szCs w:val="44"/>
                <w:lang w:val="es-ES_tradnl"/>
              </w:rPr>
              <w:t>de frecuencias 4 400-4 990 MHz</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A37AE4"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A37AE4"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A37A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A37AE4"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A37AE4"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A37A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A37A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A37AE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A37AE4"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D425D8">
      <w:pPr>
        <w:spacing w:before="0" w:after="40"/>
        <w:jc w:val="right"/>
        <w:rPr>
          <w:sz w:val="20"/>
          <w:lang w:val="es-ES_tradnl"/>
        </w:rPr>
      </w:pPr>
      <w:r w:rsidRPr="00763D08">
        <w:rPr>
          <w:sz w:val="20"/>
          <w:lang w:val="es-ES_tradnl"/>
        </w:rPr>
        <w:t>Ginebra, 20</w:t>
      </w:r>
      <w:r w:rsidR="001B26B3">
        <w:rPr>
          <w:sz w:val="20"/>
          <w:lang w:val="es-ES_tradnl"/>
        </w:rPr>
        <w:t>1</w:t>
      </w:r>
      <w:r w:rsidR="00D425D8">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D425D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D425D8">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D425D8">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D425D8">
        <w:rPr>
          <w:rStyle w:val="href"/>
          <w:lang w:val="es-ES_tradnl"/>
        </w:rPr>
        <w:t>2116-0</w:t>
      </w:r>
    </w:p>
    <w:p w:rsidR="00725893" w:rsidRPr="00567C40" w:rsidRDefault="00725893" w:rsidP="00725893">
      <w:pPr>
        <w:pStyle w:val="Rectitle"/>
        <w:rPr>
          <w:lang w:val="es-ES_tradnl"/>
        </w:rPr>
      </w:pPr>
      <w:r w:rsidRPr="00567C40">
        <w:rPr>
          <w:lang w:val="es-ES_tradnl"/>
        </w:rPr>
        <w:t>Características técnicas y criterios de protección para los sistemas móviles aeronáuticos que funcionan en la banda de frecuencias 4 400-4 990 MHz</w:t>
      </w:r>
    </w:p>
    <w:p w:rsidR="00725893" w:rsidRPr="00567C40" w:rsidRDefault="00725893" w:rsidP="00725893">
      <w:pPr>
        <w:pStyle w:val="Recdate"/>
        <w:rPr>
          <w:lang w:val="es-ES_tradnl"/>
        </w:rPr>
      </w:pPr>
      <w:r w:rsidRPr="00567C40">
        <w:rPr>
          <w:lang w:val="es-ES_tradnl"/>
        </w:rPr>
        <w:t>(2018)</w:t>
      </w:r>
    </w:p>
    <w:p w:rsidR="00725893" w:rsidRPr="00567C40" w:rsidRDefault="005203DF" w:rsidP="00725893">
      <w:pPr>
        <w:pStyle w:val="HeadingSum"/>
      </w:pPr>
      <w:r>
        <w:t>Cometido</w:t>
      </w:r>
    </w:p>
    <w:p w:rsidR="00725893" w:rsidRPr="00567C40" w:rsidRDefault="00725893" w:rsidP="00725893">
      <w:pPr>
        <w:pStyle w:val="Summary"/>
      </w:pPr>
      <w:r w:rsidRPr="00567C40">
        <w:t>La presente Recomendación contiene información sobre las características técnicas y los criterios de protección de los sistemas que funcionan en el servicio móvil aeronáutico (SMA), planificados o que funcionan actualmente en la gama de frecuencias 4 400-4 990</w:t>
      </w:r>
      <w:bookmarkStart w:id="3" w:name="_GoBack"/>
      <w:bookmarkEnd w:id="3"/>
      <w:r w:rsidRPr="00567C40">
        <w:t xml:space="preserve"> MHz, para su utilización en estudios de compartición y compatibilidad, según el caso, y no contempla ningún sistema de telemedida móvil aeronáutica.</w:t>
      </w:r>
    </w:p>
    <w:p w:rsidR="00725893" w:rsidRPr="00567C40" w:rsidRDefault="00725893" w:rsidP="00725893">
      <w:pPr>
        <w:pStyle w:val="Headingb"/>
        <w:rPr>
          <w:lang w:val="es-ES_tradnl"/>
        </w:rPr>
      </w:pPr>
      <w:r w:rsidRPr="00567C40">
        <w:rPr>
          <w:lang w:val="es-ES_tradnl"/>
        </w:rPr>
        <w:t>Palabras clave</w:t>
      </w:r>
    </w:p>
    <w:p w:rsidR="00725893" w:rsidRPr="00567C40" w:rsidRDefault="0016698A" w:rsidP="0016698A">
      <w:pPr>
        <w:rPr>
          <w:lang w:val="es-ES_tradnl"/>
        </w:rPr>
      </w:pPr>
      <w:r>
        <w:rPr>
          <w:lang w:val="es-ES_tradnl"/>
        </w:rPr>
        <w:t>C</w:t>
      </w:r>
      <w:r w:rsidR="00725893" w:rsidRPr="00567C40">
        <w:rPr>
          <w:lang w:val="es-ES_tradnl"/>
        </w:rPr>
        <w:t>aracterísticas técnicas, criterios de protección</w:t>
      </w:r>
      <w:r>
        <w:rPr>
          <w:lang w:val="es-ES_tradnl"/>
        </w:rPr>
        <w:t>,</w:t>
      </w:r>
      <w:r w:rsidRPr="0016698A">
        <w:rPr>
          <w:lang w:val="es-ES_tradnl"/>
        </w:rPr>
        <w:t xml:space="preserve"> </w:t>
      </w:r>
      <w:r>
        <w:rPr>
          <w:lang w:val="es-ES_tradnl"/>
        </w:rPr>
        <w:t>s</w:t>
      </w:r>
      <w:r w:rsidRPr="00567C40">
        <w:rPr>
          <w:lang w:val="es-ES_tradnl"/>
        </w:rPr>
        <w:t>ervicio móvil aeronáutico</w:t>
      </w:r>
    </w:p>
    <w:p w:rsidR="00725893" w:rsidRPr="00567C40" w:rsidRDefault="00725893" w:rsidP="00725893">
      <w:pPr>
        <w:pStyle w:val="Headingb"/>
        <w:spacing w:after="120"/>
        <w:rPr>
          <w:lang w:val="es-ES_tradnl"/>
        </w:rPr>
      </w:pPr>
      <w:r w:rsidRPr="00567C40">
        <w:rPr>
          <w:lang w:val="es-ES_tradnl"/>
        </w:rPr>
        <w:t>Abreviaturas/glosario</w:t>
      </w:r>
    </w:p>
    <w:p w:rsidR="00725893" w:rsidRPr="00567C40" w:rsidRDefault="00725893" w:rsidP="00725893">
      <w:pPr>
        <w:tabs>
          <w:tab w:val="clear" w:pos="794"/>
          <w:tab w:val="left" w:pos="993"/>
        </w:tabs>
        <w:rPr>
          <w:lang w:val="es-ES_tradnl"/>
        </w:rPr>
      </w:pPr>
      <w:r w:rsidRPr="00567C40">
        <w:rPr>
          <w:lang w:val="es-ES_tradnl"/>
        </w:rPr>
        <w:t>ADL</w:t>
      </w:r>
      <w:r w:rsidRPr="00567C40">
        <w:rPr>
          <w:lang w:val="es-ES_tradnl"/>
        </w:rPr>
        <w:tab/>
        <w:t>Enlace de datos del servicio móvil aeronáutico (</w:t>
      </w:r>
      <w:r w:rsidR="0016698A">
        <w:rPr>
          <w:i/>
          <w:iCs/>
          <w:lang w:val="es-ES_tradnl"/>
        </w:rPr>
        <w:t>A</w:t>
      </w:r>
      <w:r w:rsidRPr="00567C40">
        <w:rPr>
          <w:i/>
          <w:iCs/>
          <w:lang w:val="es-ES_tradnl"/>
        </w:rPr>
        <w:t>eronautical mobile service data link</w:t>
      </w:r>
      <w:r w:rsidRPr="00567C40">
        <w:rPr>
          <w:lang w:val="es-ES_tradnl"/>
        </w:rPr>
        <w:t>)</w:t>
      </w:r>
    </w:p>
    <w:p w:rsidR="00725893" w:rsidRPr="0016698A" w:rsidRDefault="00725893" w:rsidP="00725893">
      <w:pPr>
        <w:tabs>
          <w:tab w:val="clear" w:pos="794"/>
          <w:tab w:val="left" w:pos="993"/>
        </w:tabs>
        <w:rPr>
          <w:lang w:val="es-ES_tradnl"/>
        </w:rPr>
      </w:pPr>
      <w:r w:rsidRPr="00567C40">
        <w:rPr>
          <w:lang w:val="es-ES_tradnl"/>
        </w:rPr>
        <w:t>SMA</w:t>
      </w:r>
      <w:r w:rsidRPr="00567C40">
        <w:rPr>
          <w:lang w:val="es-ES_tradnl"/>
        </w:rPr>
        <w:tab/>
        <w:t>Servicio móvil aeronáutico</w:t>
      </w:r>
      <w:r w:rsidR="0016698A">
        <w:rPr>
          <w:lang w:val="es-ES_tradnl"/>
        </w:rPr>
        <w:t xml:space="preserve"> (</w:t>
      </w:r>
      <w:r w:rsidR="0016698A">
        <w:rPr>
          <w:i/>
          <w:iCs/>
          <w:lang w:val="es-ES_tradnl"/>
        </w:rPr>
        <w:t>A</w:t>
      </w:r>
      <w:r w:rsidR="0016698A" w:rsidRPr="0016698A">
        <w:rPr>
          <w:i/>
          <w:iCs/>
          <w:lang w:val="es-ES_tradnl"/>
        </w:rPr>
        <w:t>eronautical mobile service</w:t>
      </w:r>
      <w:r w:rsidR="0016698A">
        <w:rPr>
          <w:lang w:val="es-ES_tradnl"/>
        </w:rPr>
        <w:t>)</w:t>
      </w:r>
    </w:p>
    <w:p w:rsidR="00725893" w:rsidRPr="00725893" w:rsidRDefault="00725893" w:rsidP="0016698A">
      <w:pPr>
        <w:pStyle w:val="Normalaftertitle"/>
        <w:rPr>
          <w:lang w:val="es-ES_tradnl"/>
        </w:rPr>
      </w:pPr>
      <w:r w:rsidRPr="00725893">
        <w:rPr>
          <w:lang w:val="es-ES_tradnl"/>
        </w:rPr>
        <w:t>La Asamblea de Radiocomunicaciones de la UIT,</w:t>
      </w:r>
    </w:p>
    <w:p w:rsidR="00725893" w:rsidRPr="00567C40" w:rsidRDefault="00725893" w:rsidP="00725893">
      <w:pPr>
        <w:pStyle w:val="Call"/>
        <w:rPr>
          <w:lang w:val="es-ES_tradnl"/>
        </w:rPr>
      </w:pPr>
      <w:proofErr w:type="gramStart"/>
      <w:r w:rsidRPr="00567C40">
        <w:rPr>
          <w:lang w:val="es-ES_tradnl"/>
        </w:rPr>
        <w:t>considerando</w:t>
      </w:r>
      <w:proofErr w:type="gramEnd"/>
    </w:p>
    <w:p w:rsidR="00725893" w:rsidRPr="00567C40" w:rsidRDefault="00725893" w:rsidP="0016698A">
      <w:pPr>
        <w:rPr>
          <w:lang w:val="es-ES_tradnl"/>
        </w:rPr>
      </w:pPr>
      <w:r w:rsidRPr="00567C40">
        <w:rPr>
          <w:i/>
          <w:iCs/>
          <w:lang w:val="es-ES_tradnl"/>
        </w:rPr>
        <w:t>a)</w:t>
      </w:r>
      <w:r w:rsidRPr="00567C40">
        <w:rPr>
          <w:lang w:val="es-ES_tradnl"/>
        </w:rPr>
        <w:tab/>
        <w:t>que los sistemas y redes del servicio móvil aeronáutico (SMA) se utilizan para enlaces de datos aerotransportados de banda ancha para la teledetección en, por ejemplo, aplicaciones de ciencias de la Tierra, gestión del territorio, distribución de energía, etc.;</w:t>
      </w:r>
    </w:p>
    <w:p w:rsidR="00725893" w:rsidRPr="00567C40" w:rsidRDefault="00725893" w:rsidP="0016698A">
      <w:pPr>
        <w:rPr>
          <w:lang w:val="es-ES_tradnl"/>
        </w:rPr>
      </w:pPr>
      <w:r w:rsidRPr="00567C40">
        <w:rPr>
          <w:i/>
          <w:iCs/>
          <w:lang w:val="es-ES_tradnl"/>
        </w:rPr>
        <w:t>b)</w:t>
      </w:r>
      <w:r w:rsidRPr="00567C40">
        <w:rPr>
          <w:lang w:val="es-ES_tradnl"/>
        </w:rPr>
        <w:tab/>
        <w:t>que los sistemas y redes del SMA también se utilizan para enlaces de datos aerotransportados de banda estrecha;</w:t>
      </w:r>
    </w:p>
    <w:p w:rsidR="00725893" w:rsidRPr="00567C40" w:rsidRDefault="00725893" w:rsidP="00725893">
      <w:pPr>
        <w:rPr>
          <w:lang w:val="es-ES_tradnl"/>
        </w:rPr>
      </w:pPr>
      <w:r w:rsidRPr="00567C40">
        <w:rPr>
          <w:i/>
          <w:lang w:val="es-ES_tradnl"/>
        </w:rPr>
        <w:t>c)</w:t>
      </w:r>
      <w:r w:rsidRPr="00567C40">
        <w:rPr>
          <w:lang w:val="es-ES_tradnl"/>
        </w:rPr>
        <w:tab/>
        <w:t>que las características físicas de la propagación de la radiación electromagnética y la disponibilidad de componentes de hardware, entre otras cosas, en la gama de frecuencias 4 400</w:t>
      </w:r>
      <w:r w:rsidRPr="00567C40">
        <w:rPr>
          <w:lang w:val="es-ES_tradnl"/>
        </w:rPr>
        <w:noBreakHyphen/>
        <w:t xml:space="preserve">4 990 MHz facilitan la utilización de sistemas y redes </w:t>
      </w:r>
      <w:proofErr w:type="gramStart"/>
      <w:r w:rsidRPr="00567C40">
        <w:rPr>
          <w:lang w:val="es-ES_tradnl"/>
        </w:rPr>
        <w:t>planificados o ya operativos</w:t>
      </w:r>
      <w:proofErr w:type="gramEnd"/>
      <w:r w:rsidRPr="00567C40">
        <w:rPr>
          <w:lang w:val="es-ES_tradnl"/>
        </w:rPr>
        <w:t xml:space="preserve"> para tales aplicaciones,</w:t>
      </w:r>
    </w:p>
    <w:p w:rsidR="00725893" w:rsidRPr="00567C40" w:rsidRDefault="00725893" w:rsidP="00725893">
      <w:pPr>
        <w:pStyle w:val="Call"/>
        <w:rPr>
          <w:lang w:val="es-ES_tradnl"/>
        </w:rPr>
      </w:pPr>
      <w:proofErr w:type="gramStart"/>
      <w:r w:rsidRPr="00567C40">
        <w:rPr>
          <w:lang w:val="es-ES_tradnl"/>
        </w:rPr>
        <w:t>reconociendo</w:t>
      </w:r>
      <w:proofErr w:type="gramEnd"/>
    </w:p>
    <w:p w:rsidR="00725893" w:rsidRPr="00567C40" w:rsidRDefault="00725893" w:rsidP="00725893">
      <w:pPr>
        <w:rPr>
          <w:lang w:val="es-ES_tradnl"/>
        </w:rPr>
      </w:pPr>
      <w:r w:rsidRPr="00567C40">
        <w:rPr>
          <w:i/>
          <w:iCs/>
          <w:lang w:val="es-ES_tradnl"/>
        </w:rPr>
        <w:t>a)</w:t>
      </w:r>
      <w:r w:rsidRPr="00567C40">
        <w:rPr>
          <w:lang w:val="es-ES_tradnl"/>
        </w:rPr>
        <w:tab/>
        <w:t>que la gama de frecuencias 4 400-4 990 MHz está atribuida al servicio móvil a título primario en las tres regiones de la UIT;</w:t>
      </w:r>
    </w:p>
    <w:p w:rsidR="00725893" w:rsidRPr="00567C40" w:rsidRDefault="00725893" w:rsidP="00725893">
      <w:pPr>
        <w:rPr>
          <w:lang w:val="es-ES_tradnl"/>
        </w:rPr>
      </w:pPr>
      <w:r w:rsidRPr="00567C40">
        <w:rPr>
          <w:i/>
          <w:iCs/>
          <w:lang w:val="es-ES_tradnl"/>
        </w:rPr>
        <w:t>b)</w:t>
      </w:r>
      <w:r w:rsidRPr="00567C40">
        <w:rPr>
          <w:lang w:val="es-ES_tradnl"/>
        </w:rPr>
        <w:tab/>
        <w:t>que en las tres regiones de la UIT la gama de frecuencias 4 400-4 900 MHz está total o parcialmente atribuida a otros servicios de radiocomunicaciones a título primario o secundario;</w:t>
      </w:r>
    </w:p>
    <w:p w:rsidR="00725893" w:rsidRPr="00567C40" w:rsidRDefault="00725893" w:rsidP="00725893">
      <w:pPr>
        <w:rPr>
          <w:lang w:val="es-ES_tradnl"/>
        </w:rPr>
      </w:pPr>
      <w:r w:rsidRPr="00567C40">
        <w:rPr>
          <w:i/>
          <w:iCs/>
          <w:lang w:val="es-ES_tradnl"/>
        </w:rPr>
        <w:t>c)</w:t>
      </w:r>
      <w:r w:rsidRPr="00567C40">
        <w:rPr>
          <w:lang w:val="es-ES_tradnl"/>
        </w:rPr>
        <w:tab/>
        <w:t xml:space="preserve">que en el número </w:t>
      </w:r>
      <w:r w:rsidRPr="00567C40">
        <w:rPr>
          <w:b/>
          <w:bCs/>
          <w:lang w:val="es-ES_tradnl"/>
        </w:rPr>
        <w:t>5.442</w:t>
      </w:r>
      <w:r w:rsidRPr="00567C40">
        <w:rPr>
          <w:lang w:val="es-ES_tradnl"/>
        </w:rPr>
        <w:t xml:space="preserve"> del RR se ponen límites a la utilización del SMA en partes de la banda de frecuencias;</w:t>
      </w:r>
    </w:p>
    <w:p w:rsidR="00725893" w:rsidRPr="00567C40" w:rsidRDefault="00725893" w:rsidP="00725893">
      <w:pPr>
        <w:rPr>
          <w:lang w:val="es-ES_tradnl"/>
        </w:rPr>
      </w:pPr>
      <w:r w:rsidRPr="00567C40">
        <w:rPr>
          <w:i/>
          <w:lang w:val="es-ES_tradnl"/>
        </w:rPr>
        <w:t>d)</w:t>
      </w:r>
      <w:r w:rsidRPr="00567C40">
        <w:rPr>
          <w:i/>
          <w:lang w:val="es-ES_tradnl"/>
        </w:rPr>
        <w:tab/>
      </w:r>
      <w:r w:rsidRPr="00567C40">
        <w:rPr>
          <w:iCs/>
          <w:lang w:val="es-ES_tradnl"/>
        </w:rPr>
        <w:t>que esta Recomendación no contiene las características técnicas ni los criterios de protección de los sistemas de telemedida móvil aeronáutica</w:t>
      </w:r>
      <w:r w:rsidRPr="00567C40">
        <w:rPr>
          <w:lang w:val="es-ES_tradnl"/>
        </w:rPr>
        <w:t>,</w:t>
      </w:r>
    </w:p>
    <w:p w:rsidR="00725893" w:rsidRPr="00567C40" w:rsidRDefault="00725893" w:rsidP="00725893">
      <w:pPr>
        <w:pStyle w:val="Call"/>
        <w:rPr>
          <w:lang w:val="es-ES_tradnl"/>
        </w:rPr>
      </w:pPr>
      <w:proofErr w:type="gramStart"/>
      <w:r w:rsidRPr="00567C40">
        <w:rPr>
          <w:lang w:val="es-ES_tradnl"/>
        </w:rPr>
        <w:t>recomienda</w:t>
      </w:r>
      <w:proofErr w:type="gramEnd"/>
    </w:p>
    <w:p w:rsidR="00725893" w:rsidRPr="00567C40" w:rsidRDefault="00725893" w:rsidP="00725893">
      <w:pPr>
        <w:rPr>
          <w:lang w:val="es-ES_tradnl"/>
        </w:rPr>
      </w:pPr>
      <w:r w:rsidRPr="00567C40">
        <w:rPr>
          <w:b/>
          <w:bCs/>
          <w:lang w:val="es-ES_tradnl"/>
        </w:rPr>
        <w:t>1</w:t>
      </w:r>
      <w:r w:rsidRPr="00567C40">
        <w:rPr>
          <w:lang w:val="es-ES_tradnl"/>
        </w:rPr>
        <w:tab/>
        <w:t>que se utilicen las características técnicas y los criterios de protección de los sistemas del SMA que figuran en el Anexo 1 a la hora de realizar análisis de compartición y compatibilidad;</w:t>
      </w:r>
    </w:p>
    <w:p w:rsidR="00725893" w:rsidRPr="00567C40" w:rsidRDefault="00725893" w:rsidP="00687993">
      <w:pPr>
        <w:keepNext/>
        <w:rPr>
          <w:lang w:val="es-ES_tradnl"/>
        </w:rPr>
      </w:pPr>
      <w:r w:rsidRPr="00567C40">
        <w:rPr>
          <w:b/>
          <w:bCs/>
          <w:lang w:val="es-ES_tradnl"/>
        </w:rPr>
        <w:lastRenderedPageBreak/>
        <w:t>2</w:t>
      </w:r>
      <w:r w:rsidRPr="00567C40">
        <w:rPr>
          <w:lang w:val="es-ES_tradnl"/>
        </w:rPr>
        <w:tab/>
        <w:t>que la siguiente nota se considere parte de esta Recomendación.</w:t>
      </w:r>
    </w:p>
    <w:p w:rsidR="00725893" w:rsidRPr="006C0815" w:rsidRDefault="00725893" w:rsidP="006C0815">
      <w:pPr>
        <w:pStyle w:val="Note"/>
        <w:rPr>
          <w:sz w:val="24"/>
          <w:szCs w:val="24"/>
          <w:lang w:val="es-ES_tradnl"/>
        </w:rPr>
      </w:pPr>
      <w:r w:rsidRPr="006C0815">
        <w:rPr>
          <w:sz w:val="24"/>
          <w:szCs w:val="24"/>
          <w:lang w:val="es-ES_tradnl"/>
        </w:rPr>
        <w:t>NOTA – Las características y los criterios de protección de deben ir en detrimento del Apéndice </w:t>
      </w:r>
      <w:r w:rsidRPr="006C0815">
        <w:rPr>
          <w:b/>
          <w:bCs/>
          <w:sz w:val="24"/>
          <w:szCs w:val="24"/>
          <w:lang w:val="es-ES_tradnl"/>
        </w:rPr>
        <w:t>30B</w:t>
      </w:r>
      <w:r w:rsidRPr="006C0815">
        <w:rPr>
          <w:sz w:val="24"/>
          <w:szCs w:val="24"/>
          <w:lang w:val="es-ES_tradnl"/>
        </w:rPr>
        <w:t xml:space="preserve"> del Reglamento </w:t>
      </w:r>
      <w:r w:rsidRPr="006C0815">
        <w:rPr>
          <w:sz w:val="24"/>
          <w:szCs w:val="24"/>
        </w:rPr>
        <w:t>de</w:t>
      </w:r>
      <w:r w:rsidRPr="006C0815">
        <w:rPr>
          <w:sz w:val="24"/>
          <w:szCs w:val="24"/>
          <w:lang w:val="es-ES_tradnl"/>
        </w:rPr>
        <w:t xml:space="preserve"> Radiocomunicaciones.</w:t>
      </w:r>
    </w:p>
    <w:p w:rsidR="00725893" w:rsidRPr="00567C40" w:rsidRDefault="00725893" w:rsidP="00725893">
      <w:pPr>
        <w:rPr>
          <w:lang w:val="es-ES_tradnl"/>
        </w:rPr>
      </w:pPr>
    </w:p>
    <w:p w:rsidR="00725893" w:rsidRPr="00567C40" w:rsidRDefault="00725893" w:rsidP="00725893">
      <w:pPr>
        <w:rPr>
          <w:szCs w:val="24"/>
          <w:lang w:val="es-ES_tradnl"/>
        </w:rPr>
      </w:pPr>
    </w:p>
    <w:p w:rsidR="00725893" w:rsidRPr="00567C40" w:rsidRDefault="00725893" w:rsidP="00725893">
      <w:pPr>
        <w:pStyle w:val="AnnexNoTitle"/>
        <w:rPr>
          <w:lang w:val="es-ES_tradnl"/>
        </w:rPr>
      </w:pPr>
      <w:r w:rsidRPr="00567C40">
        <w:rPr>
          <w:lang w:val="es-ES_tradnl"/>
        </w:rPr>
        <w:t>Anexo 1</w:t>
      </w:r>
      <w:r w:rsidRPr="00567C40">
        <w:rPr>
          <w:lang w:val="es-ES_tradnl"/>
        </w:rPr>
        <w:br/>
      </w:r>
      <w:r w:rsidRPr="00567C40">
        <w:rPr>
          <w:lang w:val="es-ES_tradnl"/>
        </w:rPr>
        <w:br/>
        <w:t>Características técnicas y criterios de protección</w:t>
      </w:r>
    </w:p>
    <w:p w:rsidR="00725893" w:rsidRPr="00567C40" w:rsidRDefault="00725893" w:rsidP="00725893">
      <w:pPr>
        <w:pStyle w:val="Heading1"/>
        <w:rPr>
          <w:lang w:val="es-ES_tradnl"/>
        </w:rPr>
      </w:pPr>
      <w:r w:rsidRPr="00567C40">
        <w:rPr>
          <w:lang w:val="es-ES_tradnl"/>
        </w:rPr>
        <w:t>1</w:t>
      </w:r>
      <w:r w:rsidRPr="00567C40">
        <w:rPr>
          <w:lang w:val="es-ES_tradnl"/>
        </w:rPr>
        <w:tab/>
        <w:t>Introducción</w:t>
      </w:r>
    </w:p>
    <w:p w:rsidR="00725893" w:rsidRPr="00567C40" w:rsidRDefault="00725893" w:rsidP="00725893">
      <w:pPr>
        <w:rPr>
          <w:lang w:val="es-ES_tradnl"/>
        </w:rPr>
      </w:pPr>
      <w:r w:rsidRPr="00567C40">
        <w:rPr>
          <w:lang w:val="es-ES_tradnl"/>
        </w:rPr>
        <w:t>Los sistemas y redes del SMA se utilizan para enlaces de datos aerotransportados de banda ancha para aplicaciones de teledetección, etc.</w:t>
      </w:r>
    </w:p>
    <w:p w:rsidR="00725893" w:rsidRPr="00567C40" w:rsidRDefault="00725893" w:rsidP="00725893">
      <w:pPr>
        <w:pStyle w:val="Heading1"/>
        <w:rPr>
          <w:lang w:val="es-ES_tradnl"/>
        </w:rPr>
      </w:pPr>
      <w:r w:rsidRPr="00567C40">
        <w:rPr>
          <w:lang w:val="es-ES_tradnl"/>
        </w:rPr>
        <w:t>2</w:t>
      </w:r>
      <w:r w:rsidRPr="00567C40">
        <w:rPr>
          <w:lang w:val="es-ES_tradnl"/>
        </w:rPr>
        <w:tab/>
        <w:t>Despliegue operativo</w:t>
      </w:r>
    </w:p>
    <w:p w:rsidR="00725893" w:rsidRPr="00567C40" w:rsidRDefault="00725893" w:rsidP="006C0815">
      <w:pPr>
        <w:rPr>
          <w:lang w:val="es-ES_tradnl"/>
        </w:rPr>
      </w:pPr>
      <w:r w:rsidRPr="00567C40">
        <w:rPr>
          <w:lang w:val="es-ES_tradnl" w:eastAsia="ja-JP"/>
        </w:rPr>
        <w:t>Es posible establecer enlaces de datos móviles aeronáuticos entre estaciones aeronáuticas y estaciones a bordo de aeronaves, o entre estaciones aerotransportadas equipadas con enlaces de datos SMA</w:t>
      </w:r>
      <w:r w:rsidRPr="00567C40">
        <w:rPr>
          <w:lang w:val="es-ES_tradnl"/>
        </w:rPr>
        <w:t xml:space="preserve"> (ADL), y se pueden desplegar en cualquier lugar de un país cuya administración haya autorizado su utilización de conformidad con la reglamentación.</w:t>
      </w:r>
    </w:p>
    <w:p w:rsidR="00725893" w:rsidRPr="00567C40" w:rsidRDefault="00725893" w:rsidP="00725893">
      <w:pPr>
        <w:rPr>
          <w:lang w:val="es-ES_tradnl"/>
        </w:rPr>
      </w:pPr>
      <w:r w:rsidRPr="00567C40">
        <w:rPr>
          <w:lang w:val="es-ES_tradnl"/>
        </w:rPr>
        <w:t xml:space="preserve">Un ADL comprende la transmisión desde y hacia estaciones aerotransportadas o terminales en tierra considerados estaciones aeronáuticas. Estas transmisiones pueden emplear enlaces aire-tierra </w:t>
      </w:r>
      <w:proofErr w:type="gramStart"/>
      <w:r w:rsidRPr="00567C40">
        <w:rPr>
          <w:lang w:val="es-ES_tradnl"/>
        </w:rPr>
        <w:t>bidireccionales</w:t>
      </w:r>
      <w:proofErr w:type="gramEnd"/>
      <w:r w:rsidRPr="00567C40">
        <w:rPr>
          <w:lang w:val="es-ES_tradnl"/>
        </w:rPr>
        <w:t xml:space="preserve"> o retransmitirse mediante otra plataforma aerotransportada con un enlace de datos aire-aire. Los enlaces pueden ser símplex o dúplex y su longitud puede variar notablemente de una aplicación a otra. Aunque algunos enlaces pueden ser relativamente cortos, muchos de ellos suelen alcanzar el horizonte de visibilidad directa. La altitud operativa de las plataformas aerontransportadas equipadas con estos ADL puede alcanzar los 20 000 m.</w:t>
      </w:r>
    </w:p>
    <w:p w:rsidR="00725893" w:rsidRPr="00567C40" w:rsidRDefault="00725893" w:rsidP="00725893">
      <w:pPr>
        <w:rPr>
          <w:lang w:val="es-ES_tradnl"/>
        </w:rPr>
      </w:pPr>
      <w:r w:rsidRPr="00567C40">
        <w:rPr>
          <w:lang w:val="es-ES_tradnl"/>
        </w:rPr>
        <w:t>Los terminales en tierra pueden ser fijos o transportables. Los terminales en tierra transportables pueden trasladarse para satisfacer necesidades operativas y el tiempo que permanece en uso en cada ubicación dependerá de las necesidades operativas.</w:t>
      </w:r>
    </w:p>
    <w:p w:rsidR="00725893" w:rsidRPr="00567C40" w:rsidRDefault="00725893" w:rsidP="00725893">
      <w:pPr>
        <w:rPr>
          <w:lang w:val="es-ES_tradnl"/>
        </w:rPr>
      </w:pPr>
      <w:r w:rsidRPr="00567C40">
        <w:rPr>
          <w:lang w:val="es-ES_tradnl"/>
        </w:rPr>
        <w:t>Un único terminal en tierra puede comunicarse simultáneamente con varias estaciones de aeronave a través de distintos enlaces.</w:t>
      </w:r>
    </w:p>
    <w:p w:rsidR="00725893" w:rsidRPr="00567C40" w:rsidRDefault="00725893" w:rsidP="00725893">
      <w:pPr>
        <w:pStyle w:val="Heading1"/>
        <w:rPr>
          <w:lang w:val="es-ES_tradnl"/>
        </w:rPr>
      </w:pPr>
      <w:r w:rsidRPr="00567C40">
        <w:rPr>
          <w:lang w:val="es-ES_tradnl"/>
        </w:rPr>
        <w:t>3</w:t>
      </w:r>
      <w:r w:rsidRPr="00567C40">
        <w:rPr>
          <w:lang w:val="es-ES_tradnl"/>
        </w:rPr>
        <w:tab/>
        <w:t>Características técnicas de los sistemas móviles aeronáuticos</w:t>
      </w:r>
    </w:p>
    <w:p w:rsidR="00725893" w:rsidRPr="00567C40" w:rsidRDefault="00725893" w:rsidP="00725893">
      <w:pPr>
        <w:rPr>
          <w:lang w:val="es-ES_tradnl"/>
        </w:rPr>
      </w:pPr>
      <w:r w:rsidRPr="00567C40">
        <w:rPr>
          <w:lang w:val="es-ES_tradnl"/>
        </w:rPr>
        <w:t xml:space="preserve">En el Cuadro 1 se muestran las características técnicas típicas de los enlaces de datos aerotransportados en la gama de frecuencias </w:t>
      </w:r>
      <w:r w:rsidRPr="00567C40">
        <w:rPr>
          <w:lang w:val="es-ES_tradnl" w:eastAsia="ja-JP"/>
        </w:rPr>
        <w:t>4 400-4 990 MHz</w:t>
      </w:r>
      <w:r w:rsidRPr="00567C40">
        <w:rPr>
          <w:lang w:val="es-ES_tradnl"/>
        </w:rPr>
        <w:t>.</w:t>
      </w:r>
    </w:p>
    <w:p w:rsidR="00725893" w:rsidRPr="00567C40" w:rsidRDefault="00725893" w:rsidP="00725893">
      <w:pPr>
        <w:pStyle w:val="Heading2"/>
        <w:rPr>
          <w:lang w:val="es-ES_tradnl"/>
        </w:rPr>
      </w:pPr>
      <w:r w:rsidRPr="00567C40">
        <w:rPr>
          <w:lang w:val="es-ES_tradnl"/>
        </w:rPr>
        <w:t>3.1</w:t>
      </w:r>
      <w:r w:rsidRPr="00567C40">
        <w:rPr>
          <w:lang w:val="es-ES_tradnl"/>
        </w:rPr>
        <w:tab/>
        <w:t>Características del transmisor y del receptor</w:t>
      </w:r>
    </w:p>
    <w:p w:rsidR="00725893" w:rsidRPr="00567C40" w:rsidRDefault="00725893" w:rsidP="00725893">
      <w:pPr>
        <w:rPr>
          <w:lang w:val="es-ES_tradnl"/>
        </w:rPr>
      </w:pPr>
      <w:r w:rsidRPr="00567C40">
        <w:rPr>
          <w:lang w:val="es-ES_tradnl"/>
        </w:rPr>
        <w:t xml:space="preserve">Los sistemas móviles aeronáuticos operativos o planificados para funcionar en la gama de frecuencias </w:t>
      </w:r>
      <w:r w:rsidRPr="00567C40">
        <w:rPr>
          <w:lang w:val="es-ES_tradnl" w:eastAsia="ja-JP"/>
        </w:rPr>
        <w:t>4 400</w:t>
      </w:r>
      <w:r w:rsidRPr="00567C40">
        <w:rPr>
          <w:lang w:val="es-ES_tradnl" w:eastAsia="ja-JP"/>
        </w:rPr>
        <w:noBreakHyphen/>
        <w:t>4 990 MHz</w:t>
      </w:r>
      <w:r w:rsidRPr="00567C40">
        <w:rPr>
          <w:lang w:val="es-ES_tradnl"/>
        </w:rPr>
        <w:t xml:space="preserve"> suele utilizar la modulación digital. Un transmisor determinado puede ser capaz de radiar más de una forma de onda.</w:t>
      </w:r>
    </w:p>
    <w:p w:rsidR="00725893" w:rsidRPr="00567C40" w:rsidRDefault="00725893" w:rsidP="00725893">
      <w:pPr>
        <w:pStyle w:val="Heading2"/>
        <w:rPr>
          <w:lang w:val="es-ES_tradnl"/>
        </w:rPr>
      </w:pPr>
      <w:r w:rsidRPr="00567C40">
        <w:rPr>
          <w:lang w:val="es-ES_tradnl"/>
        </w:rPr>
        <w:lastRenderedPageBreak/>
        <w:t>3.2</w:t>
      </w:r>
      <w:r w:rsidRPr="00567C40">
        <w:rPr>
          <w:lang w:val="es-ES_tradnl"/>
        </w:rPr>
        <w:tab/>
        <w:t>Características de la antena</w:t>
      </w:r>
    </w:p>
    <w:p w:rsidR="00725893" w:rsidRPr="00567C40" w:rsidRDefault="00725893" w:rsidP="00725893">
      <w:pPr>
        <w:rPr>
          <w:lang w:val="es-ES_tradnl"/>
        </w:rPr>
      </w:pPr>
      <w:r w:rsidRPr="00567C40">
        <w:rPr>
          <w:lang w:val="es-ES_tradnl"/>
        </w:rPr>
        <w:t xml:space="preserve">Los sistemas que operan en la gama de frecuencias </w:t>
      </w:r>
      <w:r w:rsidRPr="00567C40">
        <w:rPr>
          <w:lang w:val="es-ES_tradnl" w:eastAsia="ja-JP"/>
        </w:rPr>
        <w:t>4 400</w:t>
      </w:r>
      <w:r w:rsidRPr="00567C40">
        <w:rPr>
          <w:lang w:val="es-ES_tradnl" w:eastAsia="ja-JP"/>
        </w:rPr>
        <w:noBreakHyphen/>
        <w:t>4 990 MHz utilizan distintos tipos de antenas. En esta gama, las antenas suelen ser de diversos tamaños y varían entre la componente aerotransportada del enlace y la componente en tierra del enlace. La ganancia de las antenas aerotransportadas suele oscilar entre</w:t>
      </w:r>
      <w:r w:rsidRPr="00567C40">
        <w:rPr>
          <w:lang w:val="es-ES_tradnl"/>
        </w:rPr>
        <w:t xml:space="preserve"> +3 dBi y 19 dBi. La ganancia de las antenas en tierra suele oscilar entre 3 dBi y 31 dBi. La polarización puede ser horizontal o vertical.</w:t>
      </w:r>
    </w:p>
    <w:p w:rsidR="00725893" w:rsidRPr="00567C40" w:rsidRDefault="00725893" w:rsidP="00725893">
      <w:pPr>
        <w:rPr>
          <w:szCs w:val="24"/>
          <w:lang w:val="es-ES_tradnl"/>
        </w:rPr>
      </w:pPr>
      <w:r w:rsidRPr="00567C40">
        <w:rPr>
          <w:lang w:val="es-ES_tradnl"/>
        </w:rPr>
        <w:t>A menos que se cuente con datos medidos, para los estudios se utilizarán las características de antena indicadas en el Cuadro 1.</w:t>
      </w:r>
    </w:p>
    <w:p w:rsidR="00725893" w:rsidRPr="00567C40" w:rsidRDefault="00725893" w:rsidP="00725893">
      <w:pPr>
        <w:pStyle w:val="Heading1"/>
        <w:rPr>
          <w:lang w:val="es-ES_tradnl"/>
        </w:rPr>
      </w:pPr>
      <w:r w:rsidRPr="00567C40">
        <w:rPr>
          <w:lang w:val="es-ES_tradnl"/>
        </w:rPr>
        <w:t>4</w:t>
      </w:r>
      <w:r w:rsidRPr="00567C40">
        <w:rPr>
          <w:lang w:val="es-ES_tradnl"/>
        </w:rPr>
        <w:tab/>
        <w:t xml:space="preserve">Criterios de protección </w:t>
      </w:r>
    </w:p>
    <w:p w:rsidR="00725893" w:rsidRPr="00567C40" w:rsidRDefault="00725893" w:rsidP="00725893">
      <w:pPr>
        <w:rPr>
          <w:lang w:val="es-ES_tradnl"/>
        </w:rPr>
      </w:pPr>
      <w:r w:rsidRPr="00567C40">
        <w:rPr>
          <w:lang w:val="es-ES_tradnl"/>
        </w:rPr>
        <w:t>Un aumento de 1 dB del ruido efectivo del receptor causaría una importante degradación de la distancia de comunicación.</w:t>
      </w:r>
    </w:p>
    <w:p w:rsidR="00725893" w:rsidRPr="00567C40" w:rsidRDefault="00725893" w:rsidP="00725893">
      <w:pPr>
        <w:rPr>
          <w:lang w:val="es-ES_tradnl"/>
        </w:rPr>
      </w:pPr>
      <w:r w:rsidRPr="00567C40">
        <w:rPr>
          <w:lang w:val="es-ES_tradnl"/>
        </w:rPr>
        <w:t>Ese aumento del ruido efectivo del receptor corresponde a una relación (</w:t>
      </w:r>
      <w:r w:rsidRPr="00567C40">
        <w:rPr>
          <w:i/>
          <w:iCs/>
          <w:lang w:val="es-ES_tradnl"/>
        </w:rPr>
        <w:t>I</w:t>
      </w:r>
      <w:r w:rsidRPr="00567C40">
        <w:rPr>
          <w:lang w:val="es-ES_tradnl"/>
        </w:rPr>
        <w:t> + </w:t>
      </w:r>
      <w:r w:rsidRPr="00567C40">
        <w:rPr>
          <w:i/>
          <w:iCs/>
          <w:lang w:val="es-ES_tradnl"/>
        </w:rPr>
        <w:t>N</w:t>
      </w:r>
      <w:r w:rsidRPr="00567C40">
        <w:rPr>
          <w:lang w:val="es-ES_tradnl"/>
        </w:rPr>
        <w:t>)/</w:t>
      </w:r>
      <w:r w:rsidRPr="00567C40">
        <w:rPr>
          <w:i/>
          <w:iCs/>
          <w:lang w:val="es-ES_tradnl"/>
        </w:rPr>
        <w:t>N</w:t>
      </w:r>
      <w:r w:rsidRPr="00567C40">
        <w:rPr>
          <w:lang w:val="es-ES_tradnl"/>
        </w:rPr>
        <w:t xml:space="preserve"> de 1,26 o a una relación </w:t>
      </w:r>
      <w:r w:rsidRPr="00567C40">
        <w:rPr>
          <w:i/>
          <w:iCs/>
          <w:lang w:val="es-ES_tradnl"/>
        </w:rPr>
        <w:t>I/N</w:t>
      </w:r>
      <w:r w:rsidRPr="00567C40">
        <w:rPr>
          <w:lang w:val="es-ES_tradnl"/>
        </w:rPr>
        <w:t xml:space="preserve"> de unos −6 dB. Esto representa el criterio de protección requerido para los sistemas del SMA aquí contemplados contra otros servicios de radiocomunicaciones. De haber múltiples posibles fuentes de interferencia, la protección de los sistemas del SMA exigirá que la interferencia combinada de dichas múltiples fuentes no rebase el criterio indicado.</w:t>
      </w:r>
    </w:p>
    <w:p w:rsidR="00725893" w:rsidRPr="00567C40" w:rsidRDefault="00725893" w:rsidP="00725893">
      <w:pPr>
        <w:rPr>
          <w:lang w:val="es-ES_tradnl"/>
        </w:rPr>
      </w:pPr>
    </w:p>
    <w:p w:rsidR="00725893" w:rsidRPr="00567C40" w:rsidRDefault="00725893" w:rsidP="00725893">
      <w:pPr>
        <w:spacing w:after="120"/>
        <w:ind w:left="90"/>
        <w:rPr>
          <w:szCs w:val="24"/>
          <w:lang w:val="es-ES_tradnl"/>
        </w:rPr>
        <w:sectPr w:rsidR="00725893" w:rsidRPr="00567C40" w:rsidSect="007210F3">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7" w:other="7"/>
          <w:pgNumType w:start="1"/>
          <w:cols w:space="720"/>
          <w:titlePg/>
          <w:docGrid w:linePitch="326"/>
        </w:sectPr>
      </w:pPr>
    </w:p>
    <w:p w:rsidR="00725893" w:rsidRPr="00567C40" w:rsidRDefault="00725893" w:rsidP="00725893">
      <w:pPr>
        <w:pStyle w:val="TableNo"/>
        <w:rPr>
          <w:lang w:val="es-ES_tradnl"/>
        </w:rPr>
      </w:pPr>
      <w:r w:rsidRPr="00567C40">
        <w:rPr>
          <w:lang w:val="es-ES_tradnl"/>
        </w:rPr>
        <w:lastRenderedPageBreak/>
        <w:t>CUADRO  1</w:t>
      </w:r>
    </w:p>
    <w:p w:rsidR="00725893" w:rsidRPr="00567C40" w:rsidRDefault="00725893" w:rsidP="00725893">
      <w:pPr>
        <w:pStyle w:val="Tabletitle"/>
        <w:rPr>
          <w:lang w:val="es-ES_tradnl" w:eastAsia="ja-JP"/>
        </w:rPr>
      </w:pPr>
      <w:r w:rsidRPr="00567C40">
        <w:rPr>
          <w:lang w:val="es-ES_tradnl"/>
        </w:rPr>
        <w:t xml:space="preserve">Características técnicas típicas de los sistemas del servicio móvil aeronáutico que funcionan en la gama de frecuencias </w:t>
      </w:r>
      <w:r w:rsidRPr="00567C40">
        <w:rPr>
          <w:lang w:val="es-ES_tradnl" w:eastAsia="ja-JP"/>
        </w:rPr>
        <w:t>4 400-4 990 MHz</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1195"/>
        <w:gridCol w:w="2397"/>
        <w:gridCol w:w="1701"/>
        <w:gridCol w:w="757"/>
        <w:gridCol w:w="660"/>
        <w:gridCol w:w="2127"/>
        <w:gridCol w:w="1846"/>
        <w:gridCol w:w="710"/>
        <w:gridCol w:w="710"/>
      </w:tblGrid>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5893" w:rsidRPr="00567C40" w:rsidRDefault="00725893" w:rsidP="00A71195">
            <w:pPr>
              <w:pStyle w:val="Tablehead"/>
              <w:rPr>
                <w:lang w:val="es-ES_tradnl" w:eastAsia="ja-JP"/>
              </w:rPr>
            </w:pPr>
            <w:r w:rsidRPr="00567C40">
              <w:rPr>
                <w:lang w:val="es-ES_tradnl" w:eastAsia="ja-JP"/>
              </w:rPr>
              <w:t>Parámetro</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5893" w:rsidRPr="00567C40" w:rsidRDefault="00725893" w:rsidP="00A71195">
            <w:pPr>
              <w:pStyle w:val="Tablehead"/>
              <w:rPr>
                <w:lang w:val="es-ES_tradnl" w:eastAsia="ja-JP"/>
              </w:rPr>
            </w:pPr>
            <w:r w:rsidRPr="00567C40">
              <w:rPr>
                <w:lang w:val="es-ES_tradnl" w:eastAsia="ja-JP"/>
              </w:rPr>
              <w:t>Unidad</w:t>
            </w:r>
          </w:p>
        </w:tc>
        <w:tc>
          <w:tcPr>
            <w:tcW w:w="2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1</w:t>
            </w:r>
          </w:p>
          <w:p w:rsidR="00725893" w:rsidRPr="00567C40" w:rsidRDefault="00725893" w:rsidP="00A71195">
            <w:pPr>
              <w:pStyle w:val="Tablehead"/>
              <w:rPr>
                <w:lang w:val="es-ES_tradnl" w:eastAsia="ja-JP"/>
              </w:rPr>
            </w:pPr>
            <w:r w:rsidRPr="00567C40">
              <w:rPr>
                <w:lang w:val="es-ES_tradnl" w:eastAsia="ja-JP"/>
              </w:rPr>
              <w:t>Aerotransportado</w:t>
            </w:r>
          </w:p>
        </w:tc>
        <w:tc>
          <w:tcPr>
            <w:tcW w:w="31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1</w:t>
            </w:r>
          </w:p>
          <w:p w:rsidR="00725893" w:rsidRPr="00567C40" w:rsidRDefault="00725893" w:rsidP="00A71195">
            <w:pPr>
              <w:pStyle w:val="Tablehead"/>
              <w:rPr>
                <w:lang w:val="es-ES_tradnl" w:eastAsia="ja-JP"/>
              </w:rPr>
            </w:pPr>
            <w:r w:rsidRPr="00567C40">
              <w:rPr>
                <w:lang w:val="es-ES_tradnl" w:eastAsia="ja-JP"/>
              </w:rPr>
              <w:t>Tierra</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2</w:t>
            </w:r>
          </w:p>
          <w:p w:rsidR="00725893" w:rsidRPr="00567C40" w:rsidRDefault="00725893" w:rsidP="00A71195">
            <w:pPr>
              <w:pStyle w:val="Tablehead"/>
              <w:rPr>
                <w:lang w:val="es-ES_tradnl" w:eastAsia="ja-JP"/>
              </w:rPr>
            </w:pPr>
            <w:r w:rsidRPr="00567C40">
              <w:rPr>
                <w:lang w:val="es-ES_tradnl" w:eastAsia="ja-JP"/>
              </w:rPr>
              <w:t>Aerotransportado</w:t>
            </w:r>
          </w:p>
        </w:tc>
        <w:tc>
          <w:tcPr>
            <w:tcW w:w="32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2</w:t>
            </w:r>
          </w:p>
          <w:p w:rsidR="00725893" w:rsidRPr="00567C40" w:rsidRDefault="00725893" w:rsidP="00A71195">
            <w:pPr>
              <w:pStyle w:val="Tablehead"/>
              <w:rPr>
                <w:lang w:val="es-ES_tradnl" w:eastAsia="ja-JP"/>
              </w:rPr>
            </w:pPr>
            <w:r w:rsidRPr="00567C40">
              <w:rPr>
                <w:lang w:val="es-ES_tradnl" w:eastAsia="ja-JP"/>
              </w:rPr>
              <w:t>Tierra</w:t>
            </w:r>
          </w:p>
        </w:tc>
      </w:tr>
      <w:tr w:rsidR="00725893" w:rsidRPr="00567C40" w:rsidTr="00A71195">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rPr>
                <w:lang w:val="es-ES_tradnl" w:eastAsia="ja-JP"/>
              </w:rPr>
            </w:pPr>
            <w:r w:rsidRPr="00567C40">
              <w:rPr>
                <w:lang w:val="es-ES_tradnl" w:eastAsia="ja-JP"/>
              </w:rPr>
              <w:t>Transmisor</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Gama de sintonización</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Potencia de salida</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dBm</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45</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35-39</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30-39</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Ancho de banda (3 dB)</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6 / 10 / 20</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6 / 10 / 20</w:t>
            </w:r>
          </w:p>
        </w:tc>
      </w:tr>
      <w:tr w:rsidR="00725893" w:rsidRPr="00567C40" w:rsidTr="00A71195">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jc w:val="center"/>
              <w:rPr>
                <w:lang w:val="es-ES_tradnl" w:eastAsia="ja-JP"/>
              </w:rPr>
            </w:pPr>
            <w:r w:rsidRPr="00567C40">
              <w:rPr>
                <w:lang w:val="es-ES_tradnl" w:eastAsia="ja-JP"/>
              </w:rPr>
              <w:t>Receptor</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Gama de sintonización</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Selectividad (3 dB)</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6 / 10 / 20</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6 / 10 / 20</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Factor de ruido</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3,5</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3,5</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Nivel de ruido térmico</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dBm</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−110,5</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−102,5 a −97,5</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−103 a −98</w:t>
            </w:r>
          </w:p>
        </w:tc>
      </w:tr>
      <w:tr w:rsidR="00725893" w:rsidRPr="00567C40" w:rsidTr="00A71195">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jc w:val="center"/>
              <w:rPr>
                <w:lang w:val="es-ES_tradnl" w:eastAsia="ja-JP"/>
              </w:rPr>
            </w:pPr>
            <w:r w:rsidRPr="00567C40">
              <w:rPr>
                <w:lang w:val="es-ES_tradnl" w:eastAsia="ja-JP"/>
              </w:rPr>
              <w:t>Antena</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Tipo de antena</w:t>
            </w:r>
          </w:p>
        </w:tc>
        <w:tc>
          <w:tcPr>
            <w:tcW w:w="1195"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p>
        </w:tc>
        <w:tc>
          <w:tcPr>
            <w:tcW w:w="239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701"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c>
          <w:tcPr>
            <w:tcW w:w="212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84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Ganancia de antena</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dBi</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c>
          <w:tcPr>
            <w:tcW w:w="75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19</w:t>
            </w:r>
          </w:p>
        </w:tc>
        <w:tc>
          <w:tcPr>
            <w:tcW w:w="66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c>
          <w:tcPr>
            <w:tcW w:w="1846"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6</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19</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31</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1er lóbulo lateral</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dBi</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75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6</w:t>
            </w:r>
          </w:p>
        </w:tc>
        <w:tc>
          <w:tcPr>
            <w:tcW w:w="66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846"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6</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11</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Polarización</w:t>
            </w:r>
          </w:p>
        </w:tc>
        <w:tc>
          <w:tcPr>
            <w:tcW w:w="1195"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Vertical</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Vertical</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Vertical</w:t>
            </w:r>
          </w:p>
        </w:tc>
        <w:tc>
          <w:tcPr>
            <w:tcW w:w="1846"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Vertical</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Diagrama de antena</w:t>
            </w:r>
          </w:p>
        </w:tc>
        <w:tc>
          <w:tcPr>
            <w:tcW w:w="1195"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p>
        </w:tc>
        <w:tc>
          <w:tcPr>
            <w:tcW w:w="239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701"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vertAlign w:val="superscript"/>
                <w:lang w:val="es-ES_tradnl" w:eastAsia="ja-JP"/>
              </w:rPr>
            </w:pPr>
            <w:r w:rsidRPr="00567C40">
              <w:rPr>
                <w:lang w:val="es-ES_tradnl" w:eastAsia="ja-JP"/>
              </w:rPr>
              <w:t>Distribución uniforme</w:t>
            </w:r>
            <w:r w:rsidRPr="00567C40">
              <w:rPr>
                <w:vertAlign w:val="superscript"/>
                <w:lang w:val="es-ES_tradnl" w:eastAsia="ja-JP"/>
              </w:rPr>
              <w:t xml:space="preserve"> (3)</w:t>
            </w:r>
          </w:p>
        </w:tc>
        <w:tc>
          <w:tcPr>
            <w:tcW w:w="212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84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BC7A26">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left"/>
              <w:rPr>
                <w:lang w:val="es-ES_tradnl" w:eastAsia="ja-JP"/>
              </w:rPr>
            </w:pPr>
            <w:r w:rsidRPr="00567C40">
              <w:rPr>
                <w:lang w:val="es-ES_tradnl" w:eastAsia="ja-JP"/>
              </w:rPr>
              <w:t>Ancho del haz horizontal</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Grados</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360</w:t>
            </w:r>
          </w:p>
        </w:tc>
        <w:tc>
          <w:tcPr>
            <w:tcW w:w="75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66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360</w:t>
            </w:r>
          </w:p>
        </w:tc>
        <w:tc>
          <w:tcPr>
            <w:tcW w:w="1846"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360</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r>
      <w:tr w:rsidR="00725893" w:rsidRPr="00567C40" w:rsidTr="00A7119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Ancho del haz vertical</w:t>
            </w:r>
          </w:p>
        </w:tc>
        <w:tc>
          <w:tcPr>
            <w:tcW w:w="119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Grados</w:t>
            </w:r>
          </w:p>
        </w:tc>
        <w:tc>
          <w:tcPr>
            <w:tcW w:w="239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90</w:t>
            </w:r>
          </w:p>
        </w:tc>
        <w:tc>
          <w:tcPr>
            <w:tcW w:w="757"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66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90</w:t>
            </w:r>
          </w:p>
        </w:tc>
        <w:tc>
          <w:tcPr>
            <w:tcW w:w="1846"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90</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71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r>
    </w:tbl>
    <w:p w:rsidR="00725893" w:rsidRPr="00567C40" w:rsidRDefault="00725893" w:rsidP="009C2A22">
      <w:pPr>
        <w:rPr>
          <w:lang w:val="es-ES_tradnl" w:eastAsia="ja-JP"/>
        </w:rPr>
      </w:pPr>
    </w:p>
    <w:p w:rsidR="00725893" w:rsidRPr="00567C40" w:rsidRDefault="00725893" w:rsidP="00725893">
      <w:pPr>
        <w:tabs>
          <w:tab w:val="clear" w:pos="794"/>
          <w:tab w:val="clear" w:pos="1191"/>
          <w:tab w:val="clear" w:pos="1588"/>
          <w:tab w:val="clear" w:pos="1985"/>
        </w:tabs>
        <w:overflowPunct/>
        <w:autoSpaceDE/>
        <w:autoSpaceDN/>
        <w:adjustRightInd/>
        <w:spacing w:before="0"/>
        <w:jc w:val="left"/>
        <w:textAlignment w:val="auto"/>
        <w:rPr>
          <w:sz w:val="20"/>
          <w:lang w:val="es-ES_tradnl" w:eastAsia="ja-JP"/>
        </w:rPr>
      </w:pPr>
      <w:r w:rsidRPr="00567C40">
        <w:rPr>
          <w:lang w:val="es-ES_tradnl" w:eastAsia="ja-JP"/>
        </w:rPr>
        <w:br w:type="page"/>
      </w:r>
    </w:p>
    <w:p w:rsidR="00725893" w:rsidRPr="00567C40" w:rsidRDefault="00725893" w:rsidP="00725893">
      <w:pPr>
        <w:pStyle w:val="TableNo"/>
        <w:rPr>
          <w:lang w:val="es-ES_tradnl"/>
        </w:rPr>
      </w:pPr>
      <w:r w:rsidRPr="00567C40">
        <w:rPr>
          <w:lang w:val="es-ES_tradnl"/>
        </w:rPr>
        <w:lastRenderedPageBreak/>
        <w:t>CUADRO  1 (</w:t>
      </w:r>
      <w:r w:rsidRPr="00567C40">
        <w:rPr>
          <w:i/>
          <w:iCs/>
          <w:lang w:val="es-ES_tradnl"/>
        </w:rPr>
        <w:t>continuación</w:t>
      </w:r>
      <w:r w:rsidRPr="00567C40">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183"/>
        <w:gridCol w:w="1406"/>
        <w:gridCol w:w="1453"/>
        <w:gridCol w:w="1286"/>
        <w:gridCol w:w="1333"/>
        <w:gridCol w:w="1398"/>
        <w:gridCol w:w="1398"/>
        <w:gridCol w:w="1335"/>
        <w:gridCol w:w="1335"/>
      </w:tblGrid>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5893" w:rsidRPr="00567C40" w:rsidRDefault="00725893" w:rsidP="00A71195">
            <w:pPr>
              <w:pStyle w:val="Tablehead"/>
              <w:rPr>
                <w:lang w:val="es-ES_tradnl" w:eastAsia="ja-JP"/>
              </w:rPr>
            </w:pPr>
            <w:r w:rsidRPr="00567C40">
              <w:rPr>
                <w:lang w:val="es-ES_tradnl" w:eastAsia="ja-JP"/>
              </w:rPr>
              <w:t>Parámetro</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5893" w:rsidRPr="00567C40" w:rsidRDefault="00725893" w:rsidP="00A71195">
            <w:pPr>
              <w:pStyle w:val="Tablehead"/>
              <w:rPr>
                <w:lang w:val="es-ES_tradnl" w:eastAsia="ja-JP"/>
              </w:rPr>
            </w:pPr>
            <w:r w:rsidRPr="00567C40">
              <w:rPr>
                <w:lang w:val="es-ES_tradnl" w:eastAsia="ja-JP"/>
              </w:rPr>
              <w:t>Unidad</w:t>
            </w:r>
          </w:p>
        </w:tc>
        <w:tc>
          <w:tcPr>
            <w:tcW w:w="28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3</w:t>
            </w:r>
          </w:p>
          <w:p w:rsidR="00725893" w:rsidRPr="00567C40" w:rsidRDefault="00725893" w:rsidP="00A71195">
            <w:pPr>
              <w:pStyle w:val="Tablehead"/>
              <w:rPr>
                <w:lang w:val="es-ES_tradnl" w:eastAsia="ja-JP"/>
              </w:rPr>
            </w:pPr>
            <w:r w:rsidRPr="00567C40">
              <w:rPr>
                <w:lang w:val="es-ES_tradnl" w:eastAsia="ja-JP"/>
              </w:rPr>
              <w:t>Aerotransportado</w:t>
            </w:r>
          </w:p>
        </w:tc>
        <w:tc>
          <w:tcPr>
            <w:tcW w:w="26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3</w:t>
            </w:r>
          </w:p>
          <w:p w:rsidR="00725893" w:rsidRPr="00567C40" w:rsidRDefault="00725893" w:rsidP="00A71195">
            <w:pPr>
              <w:pStyle w:val="Tablehead"/>
              <w:rPr>
                <w:lang w:val="es-ES_tradnl" w:eastAsia="ja-JP"/>
              </w:rPr>
            </w:pPr>
            <w:r w:rsidRPr="00567C40">
              <w:rPr>
                <w:lang w:val="es-ES_tradnl" w:eastAsia="ja-JP"/>
              </w:rPr>
              <w:t>Tierra</w:t>
            </w:r>
          </w:p>
        </w:tc>
        <w:tc>
          <w:tcPr>
            <w:tcW w:w="27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4</w:t>
            </w:r>
          </w:p>
          <w:p w:rsidR="00725893" w:rsidRPr="00567C40" w:rsidRDefault="00725893" w:rsidP="00A71195">
            <w:pPr>
              <w:pStyle w:val="Tablehead"/>
              <w:rPr>
                <w:lang w:val="es-ES_tradnl" w:eastAsia="ja-JP"/>
              </w:rPr>
            </w:pPr>
            <w:r w:rsidRPr="00567C40">
              <w:rPr>
                <w:lang w:val="es-ES_tradnl" w:eastAsia="ja-JP"/>
              </w:rPr>
              <w:t xml:space="preserve">Aerotransportado </w:t>
            </w:r>
          </w:p>
        </w:tc>
        <w:tc>
          <w:tcPr>
            <w:tcW w:w="2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4</w:t>
            </w:r>
          </w:p>
          <w:p w:rsidR="00725893" w:rsidRPr="00567C40" w:rsidRDefault="00725893" w:rsidP="00A71195">
            <w:pPr>
              <w:pStyle w:val="Tablehead"/>
              <w:rPr>
                <w:lang w:val="es-ES_tradnl" w:eastAsia="ja-JP"/>
              </w:rPr>
            </w:pPr>
            <w:r w:rsidRPr="00567C40">
              <w:rPr>
                <w:lang w:val="es-ES_tradnl" w:eastAsia="ja-JP"/>
              </w:rPr>
              <w:t>Tierra</w:t>
            </w:r>
          </w:p>
        </w:tc>
      </w:tr>
      <w:tr w:rsidR="00725893" w:rsidRPr="00567C40" w:rsidTr="00A71195">
        <w:trPr>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rPr>
                <w:lang w:val="es-ES_tradnl" w:eastAsia="ja-JP"/>
              </w:rPr>
            </w:pPr>
            <w:r w:rsidRPr="00567C40">
              <w:rPr>
                <w:lang w:val="es-ES_tradnl" w:eastAsia="ja-JP"/>
              </w:rPr>
              <w:t>Transmisor</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Gama de sintonización</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85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c>
          <w:tcPr>
            <w:tcW w:w="261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c>
          <w:tcPr>
            <w:tcW w:w="2796"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c>
          <w:tcPr>
            <w:tcW w:w="2670"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r>
      <w:tr w:rsidR="00725893" w:rsidRPr="00567C40" w:rsidTr="00A71195">
        <w:trPr>
          <w:trHeight w:val="431"/>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Potencia de salida</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dBm</w:t>
            </w:r>
          </w:p>
        </w:tc>
        <w:tc>
          <w:tcPr>
            <w:tcW w:w="285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42-50</w:t>
            </w:r>
          </w:p>
        </w:tc>
        <w:tc>
          <w:tcPr>
            <w:tcW w:w="261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42</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43</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37</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Ancho de banda (3 dB)</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85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0,158 / 0,97 / 1,23 / 4,0</w:t>
            </w:r>
          </w:p>
        </w:tc>
        <w:tc>
          <w:tcPr>
            <w:tcW w:w="261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0,158 / 0,97 / 1,23 / 4,0</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0,158 / 2,4 / 4,8 / 9,6</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0,158 / 2,4 / 4,8 / 9,6</w:t>
            </w:r>
          </w:p>
        </w:tc>
      </w:tr>
      <w:tr w:rsidR="00725893" w:rsidRPr="00567C40" w:rsidTr="00A71195">
        <w:trPr>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jc w:val="center"/>
              <w:rPr>
                <w:lang w:val="es-ES_tradnl" w:eastAsia="ja-JP"/>
              </w:rPr>
            </w:pPr>
            <w:r w:rsidRPr="00567C40">
              <w:rPr>
                <w:lang w:val="es-ES_tradnl" w:eastAsia="ja-JP"/>
              </w:rPr>
              <w:t>Receptor</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Gama de sintonización</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285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c>
          <w:tcPr>
            <w:tcW w:w="261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c>
          <w:tcPr>
            <w:tcW w:w="2796"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c>
          <w:tcPr>
            <w:tcW w:w="2670"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4 400-4 940</w:t>
            </w:r>
            <w:r w:rsidRPr="00567C40">
              <w:rPr>
                <w:vertAlign w:val="superscript"/>
                <w:lang w:val="es-ES_tradnl" w:eastAsia="ja-JP"/>
              </w:rPr>
              <w:t>(1)</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rPr>
                <w:lang w:val="es-ES_tradnl" w:eastAsia="ja-JP"/>
              </w:rPr>
            </w:pPr>
            <w:r w:rsidRPr="00567C40">
              <w:rPr>
                <w:lang w:val="es-ES_tradnl" w:eastAsia="ja-JP"/>
              </w:rPr>
              <w:t>Selectividad (3 dB)</w:t>
            </w:r>
          </w:p>
        </w:tc>
        <w:tc>
          <w:tcPr>
            <w:tcW w:w="1183"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r w:rsidRPr="00567C40">
              <w:rPr>
                <w:lang w:val="es-ES_tradnl" w:eastAsia="ja-JP"/>
              </w:rPr>
              <w:t>MHz</w:t>
            </w:r>
          </w:p>
        </w:tc>
        <w:tc>
          <w:tcPr>
            <w:tcW w:w="285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0,2 / 1 / 1,5 / 4,5</w:t>
            </w:r>
          </w:p>
        </w:tc>
        <w:tc>
          <w:tcPr>
            <w:tcW w:w="261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0,2 / 1 / 1,5 / 4,5</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0,2 / 2,6 / 5,0 / 10</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0,2 / 2,6 / 5,0 / 10</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Factor de ruido</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w:t>
            </w:r>
          </w:p>
        </w:tc>
        <w:tc>
          <w:tcPr>
            <w:tcW w:w="285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2,5</w:t>
            </w:r>
          </w:p>
        </w:tc>
        <w:tc>
          <w:tcPr>
            <w:tcW w:w="261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2,5</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2,5</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Nivel de ruido térmico</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dBm</w:t>
            </w:r>
          </w:p>
        </w:tc>
        <w:tc>
          <w:tcPr>
            <w:tcW w:w="285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sym w:font="Symbol" w:char="F02D"/>
            </w:r>
            <w:r w:rsidRPr="00567C40">
              <w:rPr>
                <w:lang w:val="es-ES_tradnl" w:eastAsia="ja-JP"/>
              </w:rPr>
              <w:t xml:space="preserve">118,5 a </w:t>
            </w:r>
            <w:r w:rsidRPr="00567C40">
              <w:rPr>
                <w:lang w:val="es-ES_tradnl" w:eastAsia="ja-JP"/>
              </w:rPr>
              <w:sym w:font="Symbol" w:char="F02D"/>
            </w:r>
            <w:r w:rsidRPr="00567C40">
              <w:rPr>
                <w:lang w:val="es-ES_tradnl" w:eastAsia="ja-JP"/>
              </w:rPr>
              <w:t>105,0</w:t>
            </w:r>
          </w:p>
        </w:tc>
        <w:tc>
          <w:tcPr>
            <w:tcW w:w="261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sym w:font="Symbol" w:char="F02D"/>
            </w:r>
            <w:r w:rsidRPr="00567C40">
              <w:rPr>
                <w:lang w:val="es-ES_tradnl" w:eastAsia="ja-JP"/>
              </w:rPr>
              <w:t xml:space="preserve">118,5 a </w:t>
            </w:r>
            <w:r w:rsidRPr="00567C40">
              <w:rPr>
                <w:lang w:val="es-ES_tradnl" w:eastAsia="ja-JP"/>
              </w:rPr>
              <w:sym w:font="Symbol" w:char="F02D"/>
            </w:r>
            <w:r w:rsidRPr="00567C40">
              <w:rPr>
                <w:lang w:val="es-ES_tradnl" w:eastAsia="ja-JP"/>
              </w:rPr>
              <w:t>105,0</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sym w:font="Symbol" w:char="F02D"/>
            </w:r>
            <w:r w:rsidRPr="00567C40">
              <w:rPr>
                <w:lang w:val="es-ES_tradnl" w:eastAsia="ja-JP"/>
              </w:rPr>
              <w:t xml:space="preserve">118,5 a </w:t>
            </w:r>
            <w:r w:rsidRPr="00567C40">
              <w:rPr>
                <w:lang w:val="es-ES_tradnl" w:eastAsia="ja-JP"/>
              </w:rPr>
              <w:sym w:font="Symbol" w:char="F02D"/>
            </w:r>
            <w:r w:rsidRPr="00567C40">
              <w:rPr>
                <w:lang w:val="es-ES_tradnl" w:eastAsia="ja-JP"/>
              </w:rPr>
              <w:t>101,5</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sym w:font="Symbol" w:char="F02D"/>
            </w:r>
            <w:r w:rsidRPr="00567C40">
              <w:rPr>
                <w:lang w:val="es-ES_tradnl" w:eastAsia="ja-JP"/>
              </w:rPr>
              <w:t xml:space="preserve">118 a </w:t>
            </w:r>
            <w:r w:rsidRPr="00567C40">
              <w:rPr>
                <w:lang w:val="es-ES_tradnl" w:eastAsia="ja-JP"/>
              </w:rPr>
              <w:sym w:font="Symbol" w:char="F02D"/>
            </w:r>
            <w:r w:rsidRPr="00567C40">
              <w:rPr>
                <w:lang w:val="es-ES_tradnl" w:eastAsia="ja-JP"/>
              </w:rPr>
              <w:t>101</w:t>
            </w:r>
          </w:p>
        </w:tc>
      </w:tr>
      <w:tr w:rsidR="00725893" w:rsidRPr="00567C40" w:rsidTr="00A71195">
        <w:trPr>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jc w:val="center"/>
              <w:rPr>
                <w:lang w:val="es-ES_tradnl" w:eastAsia="ja-JP"/>
              </w:rPr>
            </w:pPr>
            <w:r w:rsidRPr="00567C40">
              <w:rPr>
                <w:lang w:val="es-ES_tradnl" w:eastAsia="ja-JP"/>
              </w:rPr>
              <w:t>Antena</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Tipo de antena</w:t>
            </w:r>
          </w:p>
        </w:tc>
        <w:tc>
          <w:tcPr>
            <w:tcW w:w="118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Ganancia de antena</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dBi</w:t>
            </w: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3,5</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30</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4,5</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30</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1er lóbulo lateral</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dBi</w:t>
            </w: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9</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17</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9</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17</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Polarización</w:t>
            </w:r>
          </w:p>
        </w:tc>
        <w:tc>
          <w:tcPr>
            <w:tcW w:w="1183"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Diagrama de antena</w:t>
            </w:r>
          </w:p>
        </w:tc>
        <w:tc>
          <w:tcPr>
            <w:tcW w:w="1183"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342DD9">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342DD9">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342DD9">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342DD9">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left"/>
              <w:rPr>
                <w:lang w:val="es-ES_tradnl" w:eastAsia="ja-JP"/>
              </w:rPr>
            </w:pPr>
            <w:r w:rsidRPr="00567C40">
              <w:rPr>
                <w:lang w:val="es-ES_tradnl" w:eastAsia="ja-JP"/>
              </w:rPr>
              <w:t>Ancho del haz horizontal</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Grados</w:t>
            </w: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4,4</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4,4</w:t>
            </w:r>
          </w:p>
        </w:tc>
      </w:tr>
      <w:tr w:rsidR="00725893" w:rsidRPr="00567C40" w:rsidTr="00A71195">
        <w:trPr>
          <w:jc w:val="center"/>
        </w:trPr>
        <w:tc>
          <w:tcPr>
            <w:tcW w:w="2332"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Ancho del haz vertical</w:t>
            </w:r>
          </w:p>
        </w:tc>
        <w:tc>
          <w:tcPr>
            <w:tcW w:w="1183"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Grados</w:t>
            </w:r>
          </w:p>
        </w:tc>
        <w:tc>
          <w:tcPr>
            <w:tcW w:w="140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35</w:t>
            </w:r>
          </w:p>
        </w:tc>
        <w:tc>
          <w:tcPr>
            <w:tcW w:w="145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c>
          <w:tcPr>
            <w:tcW w:w="1286"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40</w:t>
            </w:r>
          </w:p>
        </w:tc>
        <w:tc>
          <w:tcPr>
            <w:tcW w:w="133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4,4</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35</w:t>
            </w:r>
          </w:p>
        </w:tc>
        <w:tc>
          <w:tcPr>
            <w:tcW w:w="1398"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60</w:t>
            </w:r>
          </w:p>
        </w:tc>
        <w:tc>
          <w:tcPr>
            <w:tcW w:w="133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4,4</w:t>
            </w:r>
          </w:p>
        </w:tc>
      </w:tr>
    </w:tbl>
    <w:p w:rsidR="00725893" w:rsidRPr="00567C40" w:rsidRDefault="00725893" w:rsidP="009C2A22">
      <w:pPr>
        <w:rPr>
          <w:lang w:val="es-ES_tradnl" w:eastAsia="ja-JP"/>
        </w:rPr>
      </w:pPr>
    </w:p>
    <w:p w:rsidR="00725893" w:rsidRPr="00567C40" w:rsidRDefault="00725893" w:rsidP="00725893">
      <w:pPr>
        <w:keepNext/>
        <w:tabs>
          <w:tab w:val="clear" w:pos="794"/>
          <w:tab w:val="clear" w:pos="1191"/>
          <w:tab w:val="clear" w:pos="1588"/>
          <w:tab w:val="clear" w:pos="1985"/>
          <w:tab w:val="left" w:pos="1134"/>
          <w:tab w:val="left" w:pos="1871"/>
          <w:tab w:val="left" w:pos="2268"/>
        </w:tabs>
        <w:spacing w:before="560" w:after="120"/>
        <w:jc w:val="center"/>
        <w:rPr>
          <w:lang w:val="es-ES_tradnl"/>
        </w:rPr>
      </w:pPr>
      <w:r w:rsidRPr="00567C40">
        <w:rPr>
          <w:lang w:val="es-ES_tradnl"/>
        </w:rPr>
        <w:br w:type="page"/>
      </w:r>
    </w:p>
    <w:p w:rsidR="00835499" w:rsidRPr="00835499" w:rsidRDefault="00835499" w:rsidP="00725893">
      <w:pPr>
        <w:pStyle w:val="TableNo"/>
        <w:rPr>
          <w:sz w:val="6"/>
          <w:szCs w:val="6"/>
          <w:lang w:val="es-ES_tradnl"/>
        </w:rPr>
      </w:pPr>
    </w:p>
    <w:p w:rsidR="00725893" w:rsidRPr="00567C40" w:rsidRDefault="00725893" w:rsidP="00835499">
      <w:pPr>
        <w:pStyle w:val="TableNo"/>
        <w:spacing w:before="120"/>
        <w:rPr>
          <w:lang w:val="es-ES_tradnl"/>
        </w:rPr>
      </w:pPr>
      <w:r w:rsidRPr="00567C40">
        <w:rPr>
          <w:lang w:val="es-ES_tradnl"/>
        </w:rPr>
        <w:t>CUADRO  1 (</w:t>
      </w:r>
      <w:r w:rsidRPr="00567C40">
        <w:rPr>
          <w:i/>
          <w:iCs/>
          <w:lang w:val="es-ES_tradnl"/>
        </w:rPr>
        <w:t>fin)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1875"/>
        <w:gridCol w:w="2219"/>
        <w:gridCol w:w="2220"/>
        <w:gridCol w:w="2225"/>
        <w:gridCol w:w="1113"/>
        <w:gridCol w:w="1113"/>
      </w:tblGrid>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5893" w:rsidRPr="00567C40" w:rsidRDefault="00725893" w:rsidP="00A71195">
            <w:pPr>
              <w:pStyle w:val="Tablehead"/>
              <w:rPr>
                <w:lang w:val="es-ES_tradnl" w:eastAsia="ja-JP"/>
              </w:rPr>
            </w:pPr>
            <w:r w:rsidRPr="00567C40">
              <w:rPr>
                <w:lang w:val="es-ES_tradnl" w:eastAsia="ja-JP"/>
              </w:rPr>
              <w:t>Parámetro</w:t>
            </w:r>
          </w:p>
        </w:tc>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5893" w:rsidRPr="00567C40" w:rsidRDefault="00725893" w:rsidP="00A71195">
            <w:pPr>
              <w:pStyle w:val="Tablehead"/>
              <w:rPr>
                <w:lang w:val="es-ES_tradnl" w:eastAsia="ja-JP"/>
              </w:rPr>
            </w:pPr>
            <w:r w:rsidRPr="00567C40">
              <w:rPr>
                <w:lang w:val="es-ES_tradnl" w:eastAsia="ja-JP"/>
              </w:rPr>
              <w:t>Unidad</w:t>
            </w:r>
          </w:p>
        </w:tc>
        <w:tc>
          <w:tcPr>
            <w:tcW w:w="44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5</w:t>
            </w:r>
          </w:p>
          <w:p w:rsidR="00725893" w:rsidRPr="00567C40" w:rsidRDefault="00725893" w:rsidP="00A71195">
            <w:pPr>
              <w:pStyle w:val="Tablehead"/>
              <w:rPr>
                <w:lang w:val="es-ES_tradnl" w:eastAsia="ja-JP"/>
              </w:rPr>
            </w:pPr>
            <w:r w:rsidRPr="00567C40">
              <w:rPr>
                <w:lang w:val="es-ES_tradnl" w:eastAsia="ja-JP"/>
              </w:rPr>
              <w:t>Aerotransportado</w:t>
            </w:r>
          </w:p>
        </w:tc>
        <w:tc>
          <w:tcPr>
            <w:tcW w:w="44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head"/>
              <w:rPr>
                <w:lang w:val="es-ES_tradnl" w:eastAsia="ja-JP"/>
              </w:rPr>
            </w:pPr>
            <w:r w:rsidRPr="00567C40">
              <w:rPr>
                <w:lang w:val="es-ES_tradnl" w:eastAsia="ja-JP"/>
              </w:rPr>
              <w:t>Sistema 5</w:t>
            </w:r>
            <w:r w:rsidRPr="00567C40">
              <w:rPr>
                <w:lang w:val="es-ES_tradnl" w:eastAsia="ja-JP"/>
              </w:rPr>
              <w:br/>
              <w:t>Tierra</w:t>
            </w:r>
          </w:p>
        </w:tc>
      </w:tr>
      <w:tr w:rsidR="00725893" w:rsidRPr="00567C40" w:rsidTr="00A71195">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rPr>
                <w:lang w:val="es-ES_tradnl" w:eastAsia="ja-JP"/>
              </w:rPr>
            </w:pPr>
            <w:r w:rsidRPr="00567C40">
              <w:rPr>
                <w:lang w:val="es-ES_tradnl" w:eastAsia="ja-JP"/>
              </w:rPr>
              <w:t>Transmisor</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Gama de sintonización</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Potencia de salida</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dBm</w:t>
            </w:r>
          </w:p>
        </w:tc>
        <w:tc>
          <w:tcPr>
            <w:tcW w:w="443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45</w:t>
            </w:r>
          </w:p>
        </w:tc>
        <w:tc>
          <w:tcPr>
            <w:tcW w:w="4451" w:type="dxa"/>
            <w:gridSpan w:val="3"/>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45</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Ancho de banda (3 dB)</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4439"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0,4 / 3 / 8,5</w:t>
            </w:r>
          </w:p>
        </w:tc>
        <w:tc>
          <w:tcPr>
            <w:tcW w:w="4451" w:type="dxa"/>
            <w:gridSpan w:val="3"/>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0,4 / 3 / 8,5</w:t>
            </w:r>
          </w:p>
        </w:tc>
      </w:tr>
      <w:tr w:rsidR="00725893" w:rsidRPr="00567C40" w:rsidTr="00A71195">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jc w:val="center"/>
              <w:rPr>
                <w:lang w:val="es-ES_tradnl" w:eastAsia="ja-JP"/>
              </w:rPr>
            </w:pPr>
            <w:r w:rsidRPr="00567C40">
              <w:rPr>
                <w:lang w:val="es-ES_tradnl" w:eastAsia="ja-JP"/>
              </w:rPr>
              <w:t>Receptor</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Gama de sintonización</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4 400-4 990</w:t>
            </w:r>
            <w:r w:rsidRPr="00567C40">
              <w:rPr>
                <w:vertAlign w:val="superscript"/>
                <w:lang w:val="es-ES_tradnl" w:eastAsia="ja-JP"/>
              </w:rPr>
              <w:t>(1)</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Selectividad (3 dB)</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MHz</w:t>
            </w:r>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0,4 / 3 / 17</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0,4 / 3 / 17</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Factor de ruido</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w:t>
            </w:r>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3,5</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3,5</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Nivel de ruido térmico</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dBm</w:t>
            </w:r>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−114,5 a −98</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−114,5 a −98</w:t>
            </w:r>
          </w:p>
        </w:tc>
      </w:tr>
      <w:tr w:rsidR="00725893" w:rsidRPr="00567C40" w:rsidTr="00A71195">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5893" w:rsidRPr="00567C40" w:rsidRDefault="00725893" w:rsidP="00A71195">
            <w:pPr>
              <w:pStyle w:val="Tabletext"/>
              <w:jc w:val="center"/>
              <w:rPr>
                <w:lang w:val="es-ES_tradnl" w:eastAsia="ja-JP"/>
              </w:rPr>
            </w:pPr>
            <w:r w:rsidRPr="00567C40">
              <w:rPr>
                <w:lang w:val="es-ES_tradnl" w:eastAsia="ja-JP"/>
              </w:rPr>
              <w:t>Antena</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rPr>
                <w:lang w:val="es-ES_tradnl" w:eastAsia="ja-JP"/>
              </w:rPr>
            </w:pPr>
            <w:r w:rsidRPr="00567C40">
              <w:rPr>
                <w:lang w:val="es-ES_tradnl" w:eastAsia="ja-JP"/>
              </w:rPr>
              <w:t>Tipo de antena</w:t>
            </w:r>
          </w:p>
        </w:tc>
        <w:tc>
          <w:tcPr>
            <w:tcW w:w="187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p>
        </w:tc>
        <w:tc>
          <w:tcPr>
            <w:tcW w:w="2219"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c>
          <w:tcPr>
            <w:tcW w:w="222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Omnidireccional</w:t>
            </w:r>
          </w:p>
        </w:tc>
        <w:tc>
          <w:tcPr>
            <w:tcW w:w="222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Direccional</w:t>
            </w:r>
          </w:p>
        </w:tc>
      </w:tr>
      <w:tr w:rsidR="00725893" w:rsidRPr="00567C40" w:rsidTr="00A71195">
        <w:trPr>
          <w:trHeight w:val="197"/>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Ganancia de antena</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dBi</w:t>
            </w:r>
          </w:p>
        </w:tc>
        <w:tc>
          <w:tcPr>
            <w:tcW w:w="2219"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19</w:t>
            </w:r>
          </w:p>
        </w:tc>
        <w:tc>
          <w:tcPr>
            <w:tcW w:w="2225"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3</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19</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31</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1er lóbulo lateral</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dBi</w:t>
            </w:r>
          </w:p>
        </w:tc>
        <w:tc>
          <w:tcPr>
            <w:tcW w:w="2219"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6</w:t>
            </w:r>
          </w:p>
        </w:tc>
        <w:tc>
          <w:tcPr>
            <w:tcW w:w="2225"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6</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11</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Polarización</w:t>
            </w:r>
          </w:p>
        </w:tc>
        <w:tc>
          <w:tcPr>
            <w:tcW w:w="1875" w:type="dxa"/>
            <w:tcBorders>
              <w:top w:val="single" w:sz="4" w:space="0" w:color="auto"/>
              <w:left w:val="single" w:sz="4" w:space="0" w:color="auto"/>
              <w:bottom w:val="single" w:sz="4" w:space="0" w:color="auto"/>
              <w:right w:val="single" w:sz="4" w:space="0" w:color="auto"/>
            </w:tcBorders>
          </w:tcPr>
          <w:p w:rsidR="00725893" w:rsidRPr="00567C40" w:rsidRDefault="00725893" w:rsidP="00A71195">
            <w:pPr>
              <w:pStyle w:val="Tabletext"/>
              <w:jc w:val="center"/>
              <w:rPr>
                <w:lang w:val="es-ES_tradnl" w:eastAsia="ja-JP"/>
              </w:rPr>
            </w:pPr>
          </w:p>
        </w:tc>
        <w:tc>
          <w:tcPr>
            <w:tcW w:w="2219"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Vertical</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c>
          <w:tcPr>
            <w:tcW w:w="2225" w:type="dxa"/>
            <w:tcBorders>
              <w:top w:val="single" w:sz="4" w:space="0" w:color="auto"/>
              <w:left w:val="single" w:sz="4" w:space="0" w:color="auto"/>
              <w:bottom w:val="single" w:sz="4" w:space="0" w:color="auto"/>
              <w:right w:val="single" w:sz="4" w:space="0" w:color="auto"/>
            </w:tcBorders>
            <w:vAlign w:val="center"/>
            <w:hideMark/>
          </w:tcPr>
          <w:p w:rsidR="00725893" w:rsidRPr="00567C40" w:rsidRDefault="00725893" w:rsidP="00A71195">
            <w:pPr>
              <w:pStyle w:val="Tabletext"/>
              <w:jc w:val="center"/>
              <w:rPr>
                <w:lang w:val="es-ES_tradnl" w:eastAsia="ja-JP"/>
              </w:rPr>
            </w:pPr>
            <w:r w:rsidRPr="00567C40">
              <w:rPr>
                <w:lang w:val="es-ES_tradnl" w:eastAsia="ja-JP"/>
              </w:rPr>
              <w:t>Vertical</w:t>
            </w:r>
          </w:p>
        </w:tc>
        <w:tc>
          <w:tcPr>
            <w:tcW w:w="222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Vertical</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Diagrama de antena</w:t>
            </w:r>
          </w:p>
        </w:tc>
        <w:tc>
          <w:tcPr>
            <w:tcW w:w="187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p>
        </w:tc>
        <w:tc>
          <w:tcPr>
            <w:tcW w:w="2219"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8A60F7">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c>
          <w:tcPr>
            <w:tcW w:w="222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N/A</w:t>
            </w:r>
            <w:r w:rsidRPr="00567C40">
              <w:rPr>
                <w:vertAlign w:val="superscript"/>
                <w:lang w:val="es-ES_tradnl" w:eastAsia="ja-JP"/>
              </w:rPr>
              <w:t>(2)</w:t>
            </w:r>
          </w:p>
        </w:tc>
        <w:tc>
          <w:tcPr>
            <w:tcW w:w="2226" w:type="dxa"/>
            <w:gridSpan w:val="2"/>
            <w:tcBorders>
              <w:top w:val="single" w:sz="4" w:space="0" w:color="auto"/>
              <w:left w:val="single" w:sz="4" w:space="0" w:color="auto"/>
              <w:bottom w:val="single" w:sz="4" w:space="0" w:color="auto"/>
              <w:right w:val="single" w:sz="4" w:space="0" w:color="auto"/>
            </w:tcBorders>
            <w:vAlign w:val="center"/>
          </w:tcPr>
          <w:p w:rsidR="00725893" w:rsidRPr="00567C40" w:rsidRDefault="00725893" w:rsidP="008A60F7">
            <w:pPr>
              <w:pStyle w:val="Tabletext"/>
              <w:jc w:val="center"/>
              <w:rPr>
                <w:lang w:val="es-ES_tradnl" w:eastAsia="ja-JP"/>
              </w:rPr>
            </w:pPr>
            <w:r w:rsidRPr="00567C40">
              <w:rPr>
                <w:lang w:val="es-ES_tradnl" w:eastAsia="ja-JP"/>
              </w:rPr>
              <w:t>Distribución uniforme</w:t>
            </w:r>
            <w:r w:rsidRPr="00567C40">
              <w:rPr>
                <w:vertAlign w:val="superscript"/>
                <w:lang w:val="es-ES_tradnl" w:eastAsia="ja-JP"/>
              </w:rPr>
              <w:t>(3)</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Ancho del haz horizontal</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Grados</w:t>
            </w:r>
          </w:p>
        </w:tc>
        <w:tc>
          <w:tcPr>
            <w:tcW w:w="2219"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222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r>
      <w:tr w:rsidR="00725893" w:rsidRPr="00567C40" w:rsidTr="00A71195">
        <w:trPr>
          <w:jc w:val="center"/>
        </w:trPr>
        <w:tc>
          <w:tcPr>
            <w:tcW w:w="3694"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rPr>
                <w:lang w:val="es-ES_tradnl" w:eastAsia="ja-JP"/>
              </w:rPr>
            </w:pPr>
            <w:r w:rsidRPr="00567C40">
              <w:rPr>
                <w:lang w:val="es-ES_tradnl" w:eastAsia="ja-JP"/>
              </w:rPr>
              <w:t>Ancho del haz vertical</w:t>
            </w:r>
          </w:p>
        </w:tc>
        <w:tc>
          <w:tcPr>
            <w:tcW w:w="1875" w:type="dxa"/>
            <w:tcBorders>
              <w:top w:val="single" w:sz="4" w:space="0" w:color="auto"/>
              <w:left w:val="single" w:sz="4" w:space="0" w:color="auto"/>
              <w:bottom w:val="single" w:sz="4" w:space="0" w:color="auto"/>
              <w:right w:val="single" w:sz="4" w:space="0" w:color="auto"/>
            </w:tcBorders>
            <w:hideMark/>
          </w:tcPr>
          <w:p w:rsidR="00725893" w:rsidRPr="00567C40" w:rsidRDefault="00725893" w:rsidP="00A71195">
            <w:pPr>
              <w:pStyle w:val="Tabletext"/>
              <w:jc w:val="center"/>
              <w:rPr>
                <w:lang w:val="es-ES_tradnl" w:eastAsia="ja-JP"/>
              </w:rPr>
            </w:pPr>
            <w:r w:rsidRPr="00567C40">
              <w:rPr>
                <w:lang w:val="es-ES_tradnl" w:eastAsia="ja-JP"/>
              </w:rPr>
              <w:t>Grados</w:t>
            </w:r>
          </w:p>
        </w:tc>
        <w:tc>
          <w:tcPr>
            <w:tcW w:w="2219"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90</w:t>
            </w:r>
          </w:p>
        </w:tc>
        <w:tc>
          <w:tcPr>
            <w:tcW w:w="2220"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2225"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360</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16</w:t>
            </w:r>
          </w:p>
        </w:tc>
        <w:tc>
          <w:tcPr>
            <w:tcW w:w="1113" w:type="dxa"/>
            <w:tcBorders>
              <w:top w:val="single" w:sz="4" w:space="0" w:color="auto"/>
              <w:left w:val="single" w:sz="4" w:space="0" w:color="auto"/>
              <w:bottom w:val="single" w:sz="4" w:space="0" w:color="auto"/>
              <w:right w:val="single" w:sz="4" w:space="0" w:color="auto"/>
            </w:tcBorders>
            <w:vAlign w:val="center"/>
          </w:tcPr>
          <w:p w:rsidR="00725893" w:rsidRPr="00567C40" w:rsidRDefault="00725893" w:rsidP="00A71195">
            <w:pPr>
              <w:pStyle w:val="Tabletext"/>
              <w:jc w:val="center"/>
              <w:rPr>
                <w:lang w:val="es-ES_tradnl" w:eastAsia="ja-JP"/>
              </w:rPr>
            </w:pPr>
            <w:r w:rsidRPr="00567C40">
              <w:rPr>
                <w:lang w:val="es-ES_tradnl" w:eastAsia="ja-JP"/>
              </w:rPr>
              <w:t>3,3</w:t>
            </w:r>
          </w:p>
        </w:tc>
      </w:tr>
      <w:tr w:rsidR="00725893" w:rsidRPr="005D60C6" w:rsidTr="00A71195">
        <w:trPr>
          <w:jc w:val="center"/>
        </w:trPr>
        <w:tc>
          <w:tcPr>
            <w:tcW w:w="14459" w:type="dxa"/>
            <w:gridSpan w:val="7"/>
            <w:tcBorders>
              <w:top w:val="single" w:sz="4" w:space="0" w:color="auto"/>
              <w:left w:val="nil"/>
              <w:bottom w:val="nil"/>
              <w:right w:val="nil"/>
            </w:tcBorders>
          </w:tcPr>
          <w:p w:rsidR="00725893" w:rsidRPr="009C2A22" w:rsidRDefault="00725893" w:rsidP="00A71195">
            <w:pPr>
              <w:pStyle w:val="Tablelegend"/>
              <w:rPr>
                <w:sz w:val="18"/>
                <w:szCs w:val="18"/>
                <w:lang w:val="es-ES_tradnl" w:eastAsia="ja-JP"/>
              </w:rPr>
            </w:pPr>
            <w:r w:rsidRPr="009C2A22">
              <w:rPr>
                <w:sz w:val="18"/>
                <w:szCs w:val="18"/>
                <w:lang w:val="es-ES_tradnl" w:eastAsia="ja-JP"/>
              </w:rPr>
              <w:t>Notas:</w:t>
            </w:r>
          </w:p>
          <w:p w:rsidR="00725893" w:rsidRPr="009C2A22" w:rsidRDefault="00725893" w:rsidP="00A71195">
            <w:pPr>
              <w:pStyle w:val="TableLegendNote"/>
              <w:rPr>
                <w:sz w:val="18"/>
                <w:szCs w:val="18"/>
                <w:lang w:val="es-ES_tradnl"/>
              </w:rPr>
            </w:pPr>
            <w:r w:rsidRPr="009C2A22">
              <w:rPr>
                <w:sz w:val="18"/>
                <w:szCs w:val="18"/>
                <w:vertAlign w:val="superscript"/>
                <w:lang w:val="es-ES_tradnl"/>
              </w:rPr>
              <w:t>(1)</w:t>
            </w:r>
            <w:r w:rsidRPr="009C2A22">
              <w:rPr>
                <w:sz w:val="18"/>
                <w:szCs w:val="18"/>
                <w:lang w:val="es-ES_tradnl"/>
              </w:rPr>
              <w:tab/>
              <w:t xml:space="preserve">Se aplica el número </w:t>
            </w:r>
            <w:r w:rsidRPr="009C2A22">
              <w:rPr>
                <w:b/>
                <w:bCs/>
                <w:sz w:val="18"/>
                <w:szCs w:val="18"/>
                <w:lang w:val="es-ES_tradnl"/>
              </w:rPr>
              <w:t>5.442</w:t>
            </w:r>
            <w:r w:rsidRPr="009C2A22">
              <w:rPr>
                <w:sz w:val="18"/>
                <w:szCs w:val="18"/>
                <w:lang w:val="es-ES_tradnl"/>
              </w:rPr>
              <w:t xml:space="preserve"> del RR.</w:t>
            </w:r>
          </w:p>
          <w:p w:rsidR="00725893" w:rsidRPr="009C2A22" w:rsidRDefault="00725893" w:rsidP="00A71195">
            <w:pPr>
              <w:pStyle w:val="TableLegendNote"/>
              <w:rPr>
                <w:sz w:val="18"/>
                <w:szCs w:val="18"/>
                <w:lang w:val="es-ES_tradnl"/>
              </w:rPr>
            </w:pPr>
            <w:r w:rsidRPr="009C2A22">
              <w:rPr>
                <w:sz w:val="18"/>
                <w:szCs w:val="18"/>
                <w:vertAlign w:val="superscript"/>
                <w:lang w:val="es-ES_tradnl" w:eastAsia="ja-JP"/>
              </w:rPr>
              <w:t>(2)</w:t>
            </w:r>
            <w:r w:rsidRPr="009C2A22">
              <w:rPr>
                <w:sz w:val="18"/>
                <w:szCs w:val="18"/>
                <w:lang w:val="es-ES_tradnl" w:eastAsia="ja-JP"/>
              </w:rPr>
              <w:tab/>
            </w:r>
            <w:r w:rsidRPr="009C2A22">
              <w:rPr>
                <w:sz w:val="18"/>
                <w:szCs w:val="18"/>
                <w:lang w:val="es-ES_tradnl"/>
              </w:rPr>
              <w:t>N/A – No aplicable.</w:t>
            </w:r>
          </w:p>
          <w:p w:rsidR="00725893" w:rsidRPr="009C2A22" w:rsidRDefault="00725893" w:rsidP="00A71195">
            <w:pPr>
              <w:pStyle w:val="TableLegendNote"/>
              <w:rPr>
                <w:sz w:val="18"/>
                <w:szCs w:val="18"/>
                <w:lang w:val="es-ES_tradnl"/>
              </w:rPr>
            </w:pPr>
            <w:r w:rsidRPr="009C2A22">
              <w:rPr>
                <w:sz w:val="18"/>
                <w:szCs w:val="18"/>
                <w:vertAlign w:val="superscript"/>
                <w:lang w:val="es-ES_tradnl"/>
              </w:rPr>
              <w:t>(3)</w:t>
            </w:r>
            <w:r w:rsidRPr="009C2A22">
              <w:rPr>
                <w:sz w:val="18"/>
                <w:szCs w:val="18"/>
                <w:lang w:val="es-ES_tradnl"/>
              </w:rPr>
              <w:tab/>
              <w:t>Véase la Recomendación UIT-R M.1851.</w:t>
            </w:r>
          </w:p>
          <w:p w:rsidR="00725893" w:rsidRPr="00567C40" w:rsidRDefault="00725893" w:rsidP="00A71195">
            <w:pPr>
              <w:pStyle w:val="Tablelegend"/>
              <w:rPr>
                <w:lang w:val="es-ES_tradnl" w:eastAsia="ja-JP"/>
              </w:rPr>
            </w:pPr>
            <w:r w:rsidRPr="009C2A22">
              <w:rPr>
                <w:sz w:val="18"/>
                <w:szCs w:val="18"/>
                <w:lang w:val="es-ES_tradnl" w:eastAsia="ja-JP"/>
              </w:rPr>
              <w:t>En el Cuadro, «-» implica una gama de valores y «/» valores discretos.</w:t>
            </w:r>
          </w:p>
        </w:tc>
      </w:tr>
    </w:tbl>
    <w:p w:rsidR="00725893" w:rsidRPr="009C2A22" w:rsidRDefault="00725893" w:rsidP="00725893">
      <w:pPr>
        <w:pStyle w:val="Tablefin"/>
        <w:rPr>
          <w:sz w:val="8"/>
          <w:szCs w:val="8"/>
          <w:lang w:val="es-ES_tradnl"/>
        </w:rPr>
      </w:pPr>
    </w:p>
    <w:p w:rsidR="00574749" w:rsidRDefault="00725893" w:rsidP="00835499">
      <w:pPr>
        <w:jc w:val="center"/>
        <w:rPr>
          <w:lang w:val="es-ES_tradnl"/>
        </w:rPr>
      </w:pPr>
      <w:r w:rsidRPr="00567C40">
        <w:rPr>
          <w:lang w:val="es-ES_tradnl"/>
        </w:rPr>
        <w:t>______________</w:t>
      </w:r>
    </w:p>
    <w:sectPr w:rsidR="00574749" w:rsidSect="006C0815">
      <w:headerReference w:type="even" r:id="rId19"/>
      <w:headerReference w:type="default" r:id="rId20"/>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893" w:rsidRDefault="007258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893" w:rsidRPr="003423BC" w:rsidRDefault="00725893" w:rsidP="003423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893" w:rsidRPr="003423BC" w:rsidRDefault="00725893" w:rsidP="00342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CD24D9">
      <w:rPr>
        <w:rStyle w:val="PageNumber"/>
        <w:b/>
        <w:bCs/>
        <w:noProof/>
      </w:rPr>
      <w:t>ii</w:t>
    </w:r>
    <w:r>
      <w:rPr>
        <w:rStyle w:val="PageNumber"/>
        <w:b/>
        <w:bCs/>
      </w:rPr>
      <w:fldChar w:fldCharType="end"/>
    </w:r>
    <w:r w:rsidR="00042292">
      <w:tab/>
    </w:r>
    <w:fldSimple w:instr=" DOCPROPERTY &quot;Header&quot; \* MERGEFORMAT ">
      <w:r w:rsidR="00CD24D9" w:rsidRPr="00CD24D9">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CD24D9">
      <w:rPr>
        <w:b/>
        <w:bCs/>
        <w:noProof/>
      </w:rPr>
      <w:t>UIT-R  M.2116-0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fldSimple w:instr=" DOCPROPERTY &quot;Header&quot; \* MERGEFORMAT ">
      <w:r w:rsidR="00CD24D9" w:rsidRPr="00CD24D9">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CD24D9">
      <w:rPr>
        <w:b/>
        <w:bCs/>
        <w:noProof/>
      </w:rPr>
      <w:t>UIT-R  M.2116-0</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893" w:rsidRDefault="00725893" w:rsidP="00526F63">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D24D9">
      <w:rPr>
        <w:rStyle w:val="PageNumber"/>
        <w:b/>
        <w:bCs/>
        <w:noProof/>
      </w:rPr>
      <w:t>2</w:t>
    </w:r>
    <w:r>
      <w:rPr>
        <w:rStyle w:val="PageNumber"/>
        <w:b/>
        <w:bCs/>
      </w:rPr>
      <w:fldChar w:fldCharType="end"/>
    </w:r>
    <w:r w:rsidRPr="00FC42AF">
      <w:tab/>
    </w:r>
    <w:r>
      <w:fldChar w:fldCharType="begin"/>
    </w:r>
    <w:r>
      <w:instrText xml:space="preserve"> DOCPROPERTY "Header" \* MERGEFORMAT </w:instrText>
    </w:r>
    <w:r>
      <w:fldChar w:fldCharType="separate"/>
    </w:r>
    <w:r w:rsidR="00CD24D9" w:rsidRPr="00CD24D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D24D9">
      <w:rPr>
        <w:b/>
        <w:bCs/>
        <w:noProof/>
      </w:rPr>
      <w:t>UIT-R  M.2116-0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893" w:rsidRDefault="00725893" w:rsidP="003423BC">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CD24D9" w:rsidRPr="00CD24D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D24D9">
      <w:rPr>
        <w:b/>
        <w:bCs/>
        <w:noProof/>
      </w:rPr>
      <w:t>UIT-R  M.2116-0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D24D9">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893" w:rsidRDefault="00725893" w:rsidP="00526F63">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CD24D9" w:rsidRPr="00CD24D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D24D9">
      <w:rPr>
        <w:b/>
        <w:bCs/>
        <w:noProof/>
      </w:rPr>
      <w:t>UIT-R  M.2116-0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D24D9">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7210F3" w:rsidRDefault="006870AA" w:rsidP="007210F3">
    <w:pPr>
      <w:tabs>
        <w:tab w:val="clear" w:pos="794"/>
        <w:tab w:val="clear" w:pos="1191"/>
        <w:tab w:val="clear" w:pos="1588"/>
        <w:tab w:val="clear" w:pos="1985"/>
        <w:tab w:val="center" w:pos="723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CD24D9">
      <w:rPr>
        <w:rStyle w:val="PageNumber"/>
        <w:b/>
        <w:bCs/>
        <w:noProof/>
        <w:lang w:val="en-US"/>
      </w:rPr>
      <w:t>6</w:t>
    </w:r>
    <w:r>
      <w:rPr>
        <w:rStyle w:val="PageNumber"/>
        <w:b/>
        <w:bCs/>
      </w:rPr>
      <w:fldChar w:fldCharType="end"/>
    </w:r>
    <w:r w:rsidR="00607D68">
      <w:rPr>
        <w:lang w:val="en-US"/>
      </w:rPr>
      <w:tab/>
    </w:r>
    <w:r w:rsidR="0072064A">
      <w:fldChar w:fldCharType="begin"/>
    </w:r>
    <w:r w:rsidR="0072064A">
      <w:instrText xml:space="preserve"> DOCPROPERTY "Header" \* MERGEFORMAT </w:instrText>
    </w:r>
    <w:r w:rsidR="0072064A">
      <w:fldChar w:fldCharType="separate"/>
    </w:r>
    <w:r w:rsidR="00CD24D9" w:rsidRPr="00CD24D9">
      <w:rPr>
        <w:b/>
        <w:bCs/>
        <w:lang w:val="en-US"/>
      </w:rPr>
      <w:t xml:space="preserve">Rec. </w:t>
    </w:r>
    <w:r w:rsidR="0072064A">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CD24D9">
      <w:rPr>
        <w:b/>
        <w:bCs/>
        <w:noProof/>
      </w:rPr>
      <w:t>UIT-R  M.2116-0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6C0815" w:rsidRDefault="00F32218" w:rsidP="009C2A22">
    <w:pPr>
      <w:pStyle w:val="Header"/>
      <w:tabs>
        <w:tab w:val="clear" w:pos="4848"/>
        <w:tab w:val="clear" w:pos="9696"/>
        <w:tab w:val="center" w:pos="7230"/>
        <w:tab w:val="right" w:pos="14282"/>
      </w:tabs>
      <w:jc w:val="left"/>
      <w:rPr>
        <w:b/>
        <w:bCs/>
      </w:rPr>
    </w:pPr>
    <w:r>
      <w:tab/>
    </w:r>
    <w:r w:rsidR="0072064A">
      <w:fldChar w:fldCharType="begin"/>
    </w:r>
    <w:r w:rsidR="0072064A">
      <w:instrText xml:space="preserve"> DOCPROPERTY "Header" \* MERGEFORMAT </w:instrText>
    </w:r>
    <w:r w:rsidR="0072064A">
      <w:fldChar w:fldCharType="separate"/>
    </w:r>
    <w:r w:rsidR="00CD24D9" w:rsidRPr="00CD24D9">
      <w:rPr>
        <w:b/>
        <w:bCs/>
      </w:rPr>
      <w:t xml:space="preserve">Rec. </w:t>
    </w:r>
    <w:r w:rsidR="0072064A">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CD24D9">
      <w:rPr>
        <w:b/>
        <w:bCs/>
        <w:noProof/>
      </w:rPr>
      <w:t>UIT-R  M.2116-0</w:t>
    </w:r>
    <w:r w:rsidR="006870AA" w:rsidRPr="001B395D">
      <w:rPr>
        <w:b/>
        <w:bCs/>
      </w:rPr>
      <w:fldChar w:fldCharType="end"/>
    </w:r>
    <w:r w:rsidR="009C2A22">
      <w:rPr>
        <w:b/>
        <w:bCs/>
      </w:rPr>
      <w:tab/>
    </w:r>
    <w:r w:rsidR="009C2A22">
      <w:rPr>
        <w:rStyle w:val="PageNumber"/>
        <w:b/>
        <w:bCs/>
      </w:rPr>
      <w:fldChar w:fldCharType="begin"/>
    </w:r>
    <w:r w:rsidR="009C2A22" w:rsidRPr="00FC42AF">
      <w:rPr>
        <w:rStyle w:val="PageNumber"/>
        <w:b/>
        <w:bCs/>
      </w:rPr>
      <w:instrText xml:space="preserve"> PAGE </w:instrText>
    </w:r>
    <w:r w:rsidR="009C2A22">
      <w:rPr>
        <w:rStyle w:val="PageNumber"/>
        <w:b/>
        <w:bCs/>
      </w:rPr>
      <w:fldChar w:fldCharType="separate"/>
    </w:r>
    <w:r w:rsidR="00CD24D9">
      <w:rPr>
        <w:rStyle w:val="PageNumber"/>
        <w:b/>
        <w:bCs/>
        <w:noProof/>
      </w:rPr>
      <w:t>5</w:t>
    </w:r>
    <w:r w:rsidR="009C2A2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16698A"/>
    <w:rsid w:val="001B26B3"/>
    <w:rsid w:val="001B2F46"/>
    <w:rsid w:val="001B395D"/>
    <w:rsid w:val="0021735B"/>
    <w:rsid w:val="002B1A99"/>
    <w:rsid w:val="002D76C4"/>
    <w:rsid w:val="002E32B1"/>
    <w:rsid w:val="00342DD9"/>
    <w:rsid w:val="00383195"/>
    <w:rsid w:val="00410F5B"/>
    <w:rsid w:val="00427ED9"/>
    <w:rsid w:val="004E4FBE"/>
    <w:rsid w:val="005203DF"/>
    <w:rsid w:val="00556D15"/>
    <w:rsid w:val="00567624"/>
    <w:rsid w:val="00574749"/>
    <w:rsid w:val="005F7213"/>
    <w:rsid w:val="00607D68"/>
    <w:rsid w:val="00616F70"/>
    <w:rsid w:val="006870AA"/>
    <w:rsid w:val="00687993"/>
    <w:rsid w:val="006A6F37"/>
    <w:rsid w:val="006C0815"/>
    <w:rsid w:val="006F3D6E"/>
    <w:rsid w:val="007172BA"/>
    <w:rsid w:val="0072064A"/>
    <w:rsid w:val="007210F3"/>
    <w:rsid w:val="00725893"/>
    <w:rsid w:val="0076082A"/>
    <w:rsid w:val="00791752"/>
    <w:rsid w:val="00835499"/>
    <w:rsid w:val="008A60F7"/>
    <w:rsid w:val="008C67E6"/>
    <w:rsid w:val="008E3DFD"/>
    <w:rsid w:val="00906075"/>
    <w:rsid w:val="00982F3A"/>
    <w:rsid w:val="009C2A22"/>
    <w:rsid w:val="00A07AEB"/>
    <w:rsid w:val="00A37AE4"/>
    <w:rsid w:val="00A6617B"/>
    <w:rsid w:val="00A80825"/>
    <w:rsid w:val="00AB0DC8"/>
    <w:rsid w:val="00B42F17"/>
    <w:rsid w:val="00B44E24"/>
    <w:rsid w:val="00BC7A26"/>
    <w:rsid w:val="00C36A75"/>
    <w:rsid w:val="00C411AF"/>
    <w:rsid w:val="00CB1354"/>
    <w:rsid w:val="00CD24D9"/>
    <w:rsid w:val="00CF7F63"/>
    <w:rsid w:val="00D131B8"/>
    <w:rsid w:val="00D33FA3"/>
    <w:rsid w:val="00D425D8"/>
    <w:rsid w:val="00D4362D"/>
    <w:rsid w:val="00DF4176"/>
    <w:rsid w:val="00DF4734"/>
    <w:rsid w:val="00E704B6"/>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8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5893"/>
    <w:pPr>
      <w:keepNext/>
      <w:keepLines/>
      <w:spacing w:before="480"/>
      <w:ind w:left="794" w:hanging="794"/>
      <w:outlineLvl w:val="0"/>
    </w:pPr>
    <w:rPr>
      <w:b/>
    </w:rPr>
  </w:style>
  <w:style w:type="paragraph" w:styleId="Heading2">
    <w:name w:val="heading 2"/>
    <w:basedOn w:val="Heading1"/>
    <w:next w:val="Normal"/>
    <w:link w:val="Heading2Char"/>
    <w:qFormat/>
    <w:rsid w:val="00725893"/>
    <w:pPr>
      <w:spacing w:before="320"/>
      <w:outlineLvl w:val="1"/>
    </w:pPr>
  </w:style>
  <w:style w:type="paragraph" w:styleId="Heading3">
    <w:name w:val="heading 3"/>
    <w:basedOn w:val="Heading1"/>
    <w:next w:val="Normal"/>
    <w:qFormat/>
    <w:rsid w:val="00725893"/>
    <w:pPr>
      <w:spacing w:before="200"/>
      <w:outlineLvl w:val="2"/>
    </w:pPr>
  </w:style>
  <w:style w:type="paragraph" w:styleId="Heading4">
    <w:name w:val="heading 4"/>
    <w:basedOn w:val="Heading3"/>
    <w:next w:val="Normal"/>
    <w:qFormat/>
    <w:rsid w:val="00725893"/>
    <w:pPr>
      <w:tabs>
        <w:tab w:val="clear" w:pos="794"/>
        <w:tab w:val="left" w:pos="992"/>
      </w:tabs>
      <w:ind w:left="992" w:hanging="992"/>
      <w:outlineLvl w:val="3"/>
    </w:pPr>
  </w:style>
  <w:style w:type="paragraph" w:styleId="Heading5">
    <w:name w:val="heading 5"/>
    <w:basedOn w:val="Heading4"/>
    <w:next w:val="Normal"/>
    <w:qFormat/>
    <w:rsid w:val="00725893"/>
    <w:pPr>
      <w:outlineLvl w:val="4"/>
    </w:pPr>
  </w:style>
  <w:style w:type="paragraph" w:styleId="Heading6">
    <w:name w:val="heading 6"/>
    <w:basedOn w:val="Heading4"/>
    <w:next w:val="Normal"/>
    <w:qFormat/>
    <w:rsid w:val="00725893"/>
    <w:pPr>
      <w:tabs>
        <w:tab w:val="clear" w:pos="992"/>
        <w:tab w:val="clear" w:pos="1191"/>
      </w:tabs>
      <w:ind w:left="1588" w:hanging="1588"/>
      <w:outlineLvl w:val="5"/>
    </w:pPr>
  </w:style>
  <w:style w:type="paragraph" w:styleId="Heading7">
    <w:name w:val="heading 7"/>
    <w:basedOn w:val="Heading6"/>
    <w:next w:val="Normal"/>
    <w:qFormat/>
    <w:rsid w:val="00725893"/>
    <w:pPr>
      <w:outlineLvl w:val="6"/>
    </w:pPr>
  </w:style>
  <w:style w:type="paragraph" w:styleId="Heading8">
    <w:name w:val="heading 8"/>
    <w:basedOn w:val="Heading6"/>
    <w:next w:val="Normal"/>
    <w:qFormat/>
    <w:rsid w:val="00725893"/>
    <w:pPr>
      <w:outlineLvl w:val="7"/>
    </w:pPr>
  </w:style>
  <w:style w:type="paragraph" w:styleId="Heading9">
    <w:name w:val="heading 9"/>
    <w:basedOn w:val="Heading6"/>
    <w:next w:val="Normal"/>
    <w:qFormat/>
    <w:rsid w:val="00725893"/>
    <w:pPr>
      <w:jc w:val="left"/>
      <w:outlineLvl w:val="8"/>
    </w:pPr>
  </w:style>
  <w:style w:type="character" w:default="1" w:styleId="DefaultParagraphFont">
    <w:name w:val="Default Paragraph Font"/>
    <w:uiPriority w:val="1"/>
    <w:semiHidden/>
    <w:unhideWhenUsed/>
    <w:rsid w:val="0072589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25893"/>
  </w:style>
  <w:style w:type="paragraph" w:styleId="Header">
    <w:name w:val="header"/>
    <w:basedOn w:val="Normal"/>
    <w:link w:val="HeaderChar"/>
    <w:rsid w:val="007258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258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25893"/>
  </w:style>
  <w:style w:type="paragraph" w:customStyle="1" w:styleId="Headingb">
    <w:name w:val="Heading_b"/>
    <w:basedOn w:val="Heading3"/>
    <w:next w:val="Normal"/>
    <w:link w:val="HeadingbChar"/>
    <w:rsid w:val="00725893"/>
    <w:pPr>
      <w:spacing w:before="160"/>
      <w:ind w:left="0" w:firstLine="0"/>
      <w:outlineLvl w:val="9"/>
    </w:pPr>
  </w:style>
  <w:style w:type="paragraph" w:customStyle="1" w:styleId="Headingi">
    <w:name w:val="Heading_i"/>
    <w:basedOn w:val="Heading3"/>
    <w:next w:val="Normal"/>
    <w:rsid w:val="00725893"/>
    <w:pPr>
      <w:spacing w:before="160"/>
      <w:ind w:left="0" w:firstLine="0"/>
    </w:pPr>
    <w:rPr>
      <w:b w:val="0"/>
      <w:i/>
    </w:rPr>
  </w:style>
  <w:style w:type="character" w:customStyle="1" w:styleId="href">
    <w:name w:val="href"/>
    <w:basedOn w:val="DefaultParagraphFont"/>
    <w:rsid w:val="00725893"/>
  </w:style>
  <w:style w:type="paragraph" w:customStyle="1" w:styleId="enumlev1">
    <w:name w:val="enumlev1"/>
    <w:basedOn w:val="Normal"/>
    <w:rsid w:val="00725893"/>
    <w:pPr>
      <w:spacing w:before="80"/>
      <w:ind w:left="794" w:hanging="794"/>
    </w:pPr>
  </w:style>
  <w:style w:type="paragraph" w:customStyle="1" w:styleId="enumlev2">
    <w:name w:val="enumlev2"/>
    <w:basedOn w:val="enumlev1"/>
    <w:rsid w:val="00725893"/>
    <w:pPr>
      <w:ind w:left="1191" w:hanging="397"/>
    </w:pPr>
  </w:style>
  <w:style w:type="paragraph" w:customStyle="1" w:styleId="enumlev3">
    <w:name w:val="enumlev3"/>
    <w:basedOn w:val="enumlev2"/>
    <w:rsid w:val="00725893"/>
    <w:pPr>
      <w:ind w:left="1588"/>
    </w:pPr>
  </w:style>
  <w:style w:type="paragraph" w:customStyle="1" w:styleId="Normalaftertitle">
    <w:name w:val="Normal_after_title"/>
    <w:basedOn w:val="Normal"/>
    <w:next w:val="Normal"/>
    <w:rsid w:val="00725893"/>
    <w:pPr>
      <w:spacing w:before="320"/>
    </w:pPr>
  </w:style>
  <w:style w:type="paragraph" w:customStyle="1" w:styleId="Note">
    <w:name w:val="Note"/>
    <w:basedOn w:val="Normal"/>
    <w:rsid w:val="007258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2589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25893"/>
    <w:pPr>
      <w:spacing w:before="240"/>
    </w:pPr>
    <w:rPr>
      <w:sz w:val="22"/>
      <w:lang w:val="es-ES_tradnl"/>
    </w:rPr>
  </w:style>
  <w:style w:type="paragraph" w:customStyle="1" w:styleId="Recref">
    <w:name w:val="Rec_ref"/>
    <w:basedOn w:val="Normal"/>
    <w:next w:val="Recdate"/>
    <w:rsid w:val="00725893"/>
    <w:pPr>
      <w:jc w:val="center"/>
    </w:pPr>
  </w:style>
  <w:style w:type="paragraph" w:customStyle="1" w:styleId="Recdate">
    <w:name w:val="Rec_date"/>
    <w:basedOn w:val="Recref"/>
    <w:next w:val="Normalaftertitle"/>
    <w:rsid w:val="00725893"/>
    <w:pPr>
      <w:jc w:val="right"/>
    </w:pPr>
  </w:style>
  <w:style w:type="paragraph" w:customStyle="1" w:styleId="AnnexNoTitle">
    <w:name w:val="Annex_NoTitle"/>
    <w:basedOn w:val="Normal"/>
    <w:next w:val="Normalaftertitle"/>
    <w:rsid w:val="00725893"/>
    <w:pPr>
      <w:keepNext/>
      <w:keepLines/>
      <w:spacing w:before="480" w:after="80"/>
      <w:jc w:val="center"/>
    </w:pPr>
    <w:rPr>
      <w:b/>
      <w:sz w:val="28"/>
    </w:rPr>
  </w:style>
  <w:style w:type="paragraph" w:customStyle="1" w:styleId="AppendixNoTitle">
    <w:name w:val="Appendix_NoTitle"/>
    <w:basedOn w:val="AnnexNoTitle"/>
    <w:next w:val="Normal"/>
    <w:rsid w:val="00725893"/>
  </w:style>
  <w:style w:type="paragraph" w:customStyle="1" w:styleId="Tablefin">
    <w:name w:val="Table_fin"/>
    <w:basedOn w:val="Normal"/>
    <w:next w:val="Normal"/>
    <w:rsid w:val="00725893"/>
    <w:pPr>
      <w:spacing w:before="0"/>
    </w:pPr>
    <w:rPr>
      <w:sz w:val="20"/>
      <w:lang w:val="en-GB"/>
    </w:rPr>
  </w:style>
  <w:style w:type="paragraph" w:customStyle="1" w:styleId="Tablehead">
    <w:name w:val="Table_head"/>
    <w:basedOn w:val="Normal"/>
    <w:next w:val="Normal"/>
    <w:link w:val="TableheadChar"/>
    <w:rsid w:val="0072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58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25893"/>
    <w:pPr>
      <w:keepNext/>
      <w:spacing w:before="360" w:after="120"/>
      <w:jc w:val="center"/>
    </w:pPr>
  </w:style>
  <w:style w:type="paragraph" w:customStyle="1" w:styleId="Tabletext">
    <w:name w:val="Table_text"/>
    <w:basedOn w:val="Normal"/>
    <w:link w:val="TabletextChar"/>
    <w:rsid w:val="007258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25893"/>
    <w:pPr>
      <w:tabs>
        <w:tab w:val="clear" w:pos="1191"/>
        <w:tab w:val="clear" w:pos="1588"/>
        <w:tab w:val="clear" w:pos="1985"/>
        <w:tab w:val="center" w:pos="4820"/>
        <w:tab w:val="right" w:pos="9639"/>
      </w:tabs>
    </w:pPr>
  </w:style>
  <w:style w:type="paragraph" w:customStyle="1" w:styleId="Equationlegend">
    <w:name w:val="Equation_legend"/>
    <w:basedOn w:val="NormalIndent"/>
    <w:rsid w:val="007258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5893"/>
    <w:pPr>
      <w:ind w:left="794"/>
    </w:pPr>
  </w:style>
  <w:style w:type="paragraph" w:customStyle="1" w:styleId="Figurelegend">
    <w:name w:val="Figure_legend"/>
    <w:basedOn w:val="Normal"/>
    <w:rsid w:val="007258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25893"/>
    <w:pPr>
      <w:keepNext/>
      <w:keepLines/>
      <w:spacing w:before="480" w:after="80"/>
      <w:jc w:val="center"/>
    </w:pPr>
    <w:rPr>
      <w:caps/>
      <w:sz w:val="18"/>
    </w:rPr>
  </w:style>
  <w:style w:type="paragraph" w:customStyle="1" w:styleId="tocpart">
    <w:name w:val="tocpart"/>
    <w:basedOn w:val="Normal"/>
    <w:rsid w:val="007258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5893"/>
    <w:pPr>
      <w:keepNext/>
      <w:keepLines/>
      <w:spacing w:before="480"/>
      <w:jc w:val="center"/>
    </w:pPr>
    <w:rPr>
      <w:sz w:val="28"/>
    </w:rPr>
  </w:style>
  <w:style w:type="paragraph" w:customStyle="1" w:styleId="Arttitle">
    <w:name w:val="Art_title"/>
    <w:basedOn w:val="Normal"/>
    <w:next w:val="Normalaftertitle"/>
    <w:rsid w:val="00725893"/>
    <w:pPr>
      <w:keepNext/>
      <w:keepLines/>
      <w:spacing w:before="240"/>
      <w:jc w:val="center"/>
    </w:pPr>
    <w:rPr>
      <w:b/>
      <w:sz w:val="28"/>
    </w:rPr>
  </w:style>
  <w:style w:type="paragraph" w:customStyle="1" w:styleId="Blanc">
    <w:name w:val="Blanc"/>
    <w:basedOn w:val="Normal"/>
    <w:next w:val="Tabletext"/>
    <w:rsid w:val="007258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58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25893"/>
    <w:pPr>
      <w:keepNext/>
      <w:keepLines/>
      <w:spacing w:before="160"/>
      <w:ind w:left="794"/>
    </w:pPr>
    <w:rPr>
      <w:i/>
    </w:rPr>
  </w:style>
  <w:style w:type="paragraph" w:customStyle="1" w:styleId="ChapNo">
    <w:name w:val="Chap_No"/>
    <w:basedOn w:val="ArtNo"/>
    <w:next w:val="Chaptitle"/>
    <w:rsid w:val="00725893"/>
    <w:rPr>
      <w:b/>
    </w:rPr>
  </w:style>
  <w:style w:type="paragraph" w:customStyle="1" w:styleId="Chaptitle">
    <w:name w:val="Chap_title"/>
    <w:basedOn w:val="Arttitle"/>
    <w:next w:val="Normalaftertitle"/>
    <w:rsid w:val="00725893"/>
  </w:style>
  <w:style w:type="character" w:styleId="FootnoteReference">
    <w:name w:val="footnote reference"/>
    <w:basedOn w:val="DefaultParagraphFont"/>
    <w:semiHidden/>
    <w:rsid w:val="00725893"/>
    <w:rPr>
      <w:position w:val="6"/>
      <w:sz w:val="18"/>
    </w:rPr>
  </w:style>
  <w:style w:type="paragraph" w:styleId="FootnoteText">
    <w:name w:val="footnote text"/>
    <w:basedOn w:val="Normal"/>
    <w:semiHidden/>
    <w:rsid w:val="00725893"/>
    <w:pPr>
      <w:keepLines/>
      <w:tabs>
        <w:tab w:val="left" w:pos="255"/>
      </w:tabs>
      <w:ind w:left="255" w:hanging="255"/>
    </w:pPr>
    <w:rPr>
      <w:sz w:val="22"/>
    </w:rPr>
  </w:style>
  <w:style w:type="paragraph" w:styleId="Index1">
    <w:name w:val="index 1"/>
    <w:basedOn w:val="Normal"/>
    <w:next w:val="Normal"/>
    <w:semiHidden/>
    <w:rsid w:val="00725893"/>
  </w:style>
  <w:style w:type="paragraph" w:styleId="Index2">
    <w:name w:val="index 2"/>
    <w:basedOn w:val="Normal"/>
    <w:next w:val="Normal"/>
    <w:semiHidden/>
    <w:rsid w:val="00725893"/>
    <w:pPr>
      <w:ind w:left="283"/>
    </w:pPr>
  </w:style>
  <w:style w:type="paragraph" w:styleId="Index3">
    <w:name w:val="index 3"/>
    <w:basedOn w:val="Normal"/>
    <w:next w:val="Normal"/>
    <w:semiHidden/>
    <w:rsid w:val="00725893"/>
    <w:pPr>
      <w:ind w:left="566"/>
    </w:pPr>
  </w:style>
  <w:style w:type="paragraph" w:styleId="IndexHeading">
    <w:name w:val="index heading"/>
    <w:basedOn w:val="Normal"/>
    <w:next w:val="Index1"/>
    <w:semiHidden/>
    <w:rsid w:val="00725893"/>
  </w:style>
  <w:style w:type="paragraph" w:customStyle="1" w:styleId="Line">
    <w:name w:val="Line"/>
    <w:basedOn w:val="Normal"/>
    <w:next w:val="Normal"/>
    <w:rsid w:val="007258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58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5893"/>
  </w:style>
  <w:style w:type="paragraph" w:customStyle="1" w:styleId="Partref">
    <w:name w:val="Part_ref"/>
    <w:basedOn w:val="Normal"/>
    <w:next w:val="Normal"/>
    <w:rsid w:val="00725893"/>
    <w:pPr>
      <w:keepNext/>
      <w:keepLines/>
      <w:spacing w:after="280"/>
      <w:jc w:val="center"/>
    </w:pPr>
  </w:style>
  <w:style w:type="paragraph" w:customStyle="1" w:styleId="Parttitle">
    <w:name w:val="Part_title"/>
    <w:basedOn w:val="Normal"/>
    <w:next w:val="Normalaftertitle"/>
    <w:rsid w:val="007258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5893"/>
  </w:style>
  <w:style w:type="paragraph" w:customStyle="1" w:styleId="QuestionNo">
    <w:name w:val="Question_No"/>
    <w:basedOn w:val="RecNo"/>
    <w:next w:val="Normal"/>
    <w:rsid w:val="00725893"/>
  </w:style>
  <w:style w:type="paragraph" w:customStyle="1" w:styleId="Questionref">
    <w:name w:val="Question_ref"/>
    <w:basedOn w:val="Recref"/>
    <w:next w:val="Questiondate"/>
    <w:rsid w:val="00725893"/>
  </w:style>
  <w:style w:type="paragraph" w:customStyle="1" w:styleId="Questiontitle">
    <w:name w:val="Question_title"/>
    <w:basedOn w:val="Normal"/>
    <w:next w:val="Questionref"/>
    <w:rsid w:val="00725893"/>
  </w:style>
  <w:style w:type="paragraph" w:customStyle="1" w:styleId="Reftext">
    <w:name w:val="Ref_text"/>
    <w:basedOn w:val="Normal"/>
    <w:rsid w:val="00725893"/>
    <w:pPr>
      <w:ind w:left="794" w:hanging="794"/>
    </w:pPr>
    <w:rPr>
      <w:sz w:val="22"/>
    </w:rPr>
  </w:style>
  <w:style w:type="paragraph" w:customStyle="1" w:styleId="Reftitle">
    <w:name w:val="Ref_title"/>
    <w:basedOn w:val="Normal"/>
    <w:next w:val="Reftext"/>
    <w:rsid w:val="007258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5893"/>
  </w:style>
  <w:style w:type="paragraph" w:customStyle="1" w:styleId="RepNo">
    <w:name w:val="Rep_No"/>
    <w:basedOn w:val="RecNo"/>
    <w:next w:val="Reptitle"/>
    <w:rsid w:val="00725893"/>
  </w:style>
  <w:style w:type="paragraph" w:customStyle="1" w:styleId="Repref">
    <w:name w:val="Rep_ref"/>
    <w:basedOn w:val="Recref"/>
    <w:next w:val="Repdate"/>
    <w:rsid w:val="00725893"/>
  </w:style>
  <w:style w:type="paragraph" w:customStyle="1" w:styleId="Reptitle">
    <w:name w:val="Rep_title"/>
    <w:basedOn w:val="Rectitle"/>
    <w:next w:val="Repref"/>
    <w:rsid w:val="00725893"/>
  </w:style>
  <w:style w:type="paragraph" w:customStyle="1" w:styleId="Resdate">
    <w:name w:val="Res_date"/>
    <w:basedOn w:val="Recdate"/>
    <w:next w:val="Normalaftertitle"/>
    <w:rsid w:val="00725893"/>
  </w:style>
  <w:style w:type="paragraph" w:customStyle="1" w:styleId="ResNo">
    <w:name w:val="Res_No"/>
    <w:basedOn w:val="RecNo"/>
    <w:next w:val="Restitle"/>
    <w:rsid w:val="00725893"/>
  </w:style>
  <w:style w:type="paragraph" w:customStyle="1" w:styleId="Resref">
    <w:name w:val="Res_ref"/>
    <w:basedOn w:val="Recref"/>
    <w:next w:val="Resdate"/>
    <w:rsid w:val="00725893"/>
  </w:style>
  <w:style w:type="paragraph" w:customStyle="1" w:styleId="Restitle">
    <w:name w:val="Res_title"/>
    <w:basedOn w:val="Normal"/>
    <w:next w:val="Resref"/>
    <w:rsid w:val="00725893"/>
    <w:pPr>
      <w:spacing w:before="240"/>
      <w:jc w:val="center"/>
    </w:pPr>
    <w:rPr>
      <w:b/>
      <w:sz w:val="28"/>
    </w:rPr>
  </w:style>
  <w:style w:type="paragraph" w:customStyle="1" w:styleId="SectionNo">
    <w:name w:val="Section_No"/>
    <w:basedOn w:val="Normal"/>
    <w:next w:val="Normal"/>
    <w:rsid w:val="00725893"/>
  </w:style>
  <w:style w:type="paragraph" w:customStyle="1" w:styleId="Sectiontitle">
    <w:name w:val="Section_title"/>
    <w:basedOn w:val="Normal"/>
    <w:next w:val="Normalaftertitle"/>
    <w:rsid w:val="007258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5893"/>
    <w:pPr>
      <w:tabs>
        <w:tab w:val="clear" w:pos="794"/>
        <w:tab w:val="clear" w:pos="1191"/>
        <w:tab w:val="clear" w:pos="1588"/>
        <w:tab w:val="clear" w:pos="1985"/>
        <w:tab w:val="right" w:pos="9611"/>
      </w:tabs>
    </w:pPr>
    <w:rPr>
      <w:i/>
    </w:rPr>
  </w:style>
  <w:style w:type="paragraph" w:styleId="TOC1">
    <w:name w:val="toc 1"/>
    <w:basedOn w:val="Normal"/>
    <w:rsid w:val="007258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25893"/>
    <w:pPr>
      <w:tabs>
        <w:tab w:val="clear" w:pos="567"/>
        <w:tab w:val="left" w:pos="1276"/>
      </w:tabs>
      <w:spacing w:before="160"/>
      <w:ind w:left="1276" w:hanging="709"/>
    </w:pPr>
  </w:style>
  <w:style w:type="paragraph" w:styleId="TOC3">
    <w:name w:val="toc 3"/>
    <w:basedOn w:val="TOC2"/>
    <w:semiHidden/>
    <w:rsid w:val="00725893"/>
    <w:pPr>
      <w:tabs>
        <w:tab w:val="clear" w:pos="1276"/>
        <w:tab w:val="left" w:pos="2155"/>
      </w:tabs>
      <w:ind w:left="2155" w:hanging="879"/>
    </w:pPr>
  </w:style>
  <w:style w:type="paragraph" w:styleId="TOC4">
    <w:name w:val="toc 4"/>
    <w:basedOn w:val="TOC3"/>
    <w:semiHidden/>
    <w:rsid w:val="00725893"/>
    <w:pPr>
      <w:tabs>
        <w:tab w:val="left" w:pos="3261"/>
      </w:tabs>
      <w:spacing w:before="80"/>
      <w:ind w:left="3261" w:hanging="993"/>
    </w:pPr>
  </w:style>
  <w:style w:type="paragraph" w:styleId="TOC5">
    <w:name w:val="toc 5"/>
    <w:basedOn w:val="TOC4"/>
    <w:semiHidden/>
    <w:rsid w:val="00725893"/>
  </w:style>
  <w:style w:type="paragraph" w:styleId="TOC6">
    <w:name w:val="toc 6"/>
    <w:basedOn w:val="TOC4"/>
    <w:semiHidden/>
    <w:rsid w:val="00725893"/>
  </w:style>
  <w:style w:type="paragraph" w:styleId="TOC7">
    <w:name w:val="toc 7"/>
    <w:basedOn w:val="TOC4"/>
    <w:semiHidden/>
    <w:rsid w:val="00725893"/>
  </w:style>
  <w:style w:type="paragraph" w:styleId="TOC8">
    <w:name w:val="toc 8"/>
    <w:basedOn w:val="TOC4"/>
    <w:semiHidden/>
    <w:rsid w:val="00725893"/>
  </w:style>
  <w:style w:type="paragraph" w:customStyle="1" w:styleId="Rectitle">
    <w:name w:val="Rec_title"/>
    <w:basedOn w:val="Normal"/>
    <w:next w:val="Recref"/>
    <w:rsid w:val="00725893"/>
    <w:pPr>
      <w:keepNext/>
      <w:keepLines/>
      <w:spacing w:before="240"/>
      <w:jc w:val="center"/>
    </w:pPr>
    <w:rPr>
      <w:b/>
      <w:sz w:val="28"/>
    </w:rPr>
  </w:style>
  <w:style w:type="paragraph" w:customStyle="1" w:styleId="Annexref">
    <w:name w:val="Annex_ref"/>
    <w:basedOn w:val="Normal"/>
    <w:next w:val="Normalaftertitle"/>
    <w:rsid w:val="00725893"/>
    <w:pPr>
      <w:keepNext/>
      <w:keepLines/>
      <w:spacing w:after="280"/>
      <w:jc w:val="center"/>
    </w:pPr>
  </w:style>
  <w:style w:type="paragraph" w:customStyle="1" w:styleId="Appendixref">
    <w:name w:val="Appendix_ref"/>
    <w:basedOn w:val="Annexref"/>
    <w:next w:val="Normalaftertitle"/>
    <w:rsid w:val="00725893"/>
  </w:style>
  <w:style w:type="paragraph" w:customStyle="1" w:styleId="Figuretitle">
    <w:name w:val="Figure_title"/>
    <w:basedOn w:val="Normal"/>
    <w:next w:val="Figure"/>
    <w:rsid w:val="0072589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725893"/>
    <w:pPr>
      <w:keepNext/>
      <w:spacing w:before="0" w:after="120"/>
      <w:jc w:val="center"/>
    </w:pPr>
    <w:rPr>
      <w:b/>
    </w:rPr>
  </w:style>
  <w:style w:type="paragraph" w:customStyle="1" w:styleId="Summary">
    <w:name w:val="Summary"/>
    <w:basedOn w:val="Normal"/>
    <w:next w:val="Normalaftertitle"/>
    <w:autoRedefine/>
    <w:rsid w:val="00725893"/>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725893"/>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25893"/>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link w:val="NormalaftertitleChar"/>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NormalaftertitleChar">
    <w:name w:val="Normal after title Char"/>
    <w:basedOn w:val="DefaultParagraphFont"/>
    <w:link w:val="Normalaftertitle0"/>
    <w:locked/>
    <w:rsid w:val="00725893"/>
    <w:rPr>
      <w:lang w:val="en-GB"/>
    </w:rPr>
  </w:style>
  <w:style w:type="character" w:customStyle="1" w:styleId="CallChar">
    <w:name w:val="Call Char"/>
    <w:link w:val="Call"/>
    <w:locked/>
    <w:rsid w:val="00725893"/>
    <w:rPr>
      <w:i/>
      <w:sz w:val="24"/>
      <w:lang w:val="fr-FR" w:eastAsia="en-US"/>
    </w:rPr>
  </w:style>
  <w:style w:type="character" w:customStyle="1" w:styleId="HeadingbChar">
    <w:name w:val="Heading_b Char"/>
    <w:link w:val="Headingb"/>
    <w:locked/>
    <w:rsid w:val="00725893"/>
    <w:rPr>
      <w:b/>
      <w:sz w:val="24"/>
      <w:lang w:val="fr-FR" w:eastAsia="en-US"/>
    </w:rPr>
  </w:style>
  <w:style w:type="character" w:customStyle="1" w:styleId="TableNo0">
    <w:name w:val="Table_No Знак"/>
    <w:link w:val="TableNo"/>
    <w:locked/>
    <w:rsid w:val="00725893"/>
    <w:rPr>
      <w:sz w:val="24"/>
      <w:lang w:val="fr-FR" w:eastAsia="en-US"/>
    </w:rPr>
  </w:style>
  <w:style w:type="character" w:customStyle="1" w:styleId="Tabletitle0">
    <w:name w:val="Table_title Знак"/>
    <w:link w:val="Tabletitle"/>
    <w:locked/>
    <w:rsid w:val="0072589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publ/R-REC/es"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8</Pages>
  <Words>1908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12363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24</cp:revision>
  <cp:lastPrinted>2018-03-13T10:10:00Z</cp:lastPrinted>
  <dcterms:created xsi:type="dcterms:W3CDTF">2018-03-13T09:29:00Z</dcterms:created>
  <dcterms:modified xsi:type="dcterms:W3CDTF">2018-03-13T10:14:00Z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