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0C6" w:rsidRDefault="00FA50C6" w:rsidP="00FA50C6">
      <w:bookmarkStart w:id="0" w:name="_GoBack"/>
      <w:bookmarkEnd w:id="0"/>
    </w:p>
    <w:p w:rsidR="00FA50C6" w:rsidRDefault="00FA50C6" w:rsidP="00FA50C6"/>
    <w:p w:rsidR="00FA50C6" w:rsidRDefault="00FA50C6" w:rsidP="00FA50C6"/>
    <w:p w:rsidR="00FA50C6" w:rsidRDefault="00FA50C6" w:rsidP="00FA50C6"/>
    <w:p w:rsidR="00FA50C6" w:rsidRDefault="00FA50C6" w:rsidP="00FA50C6"/>
    <w:p w:rsidR="00FA50C6" w:rsidRDefault="00FA50C6" w:rsidP="00FA50C6"/>
    <w:p w:rsidR="00FA50C6" w:rsidRDefault="00FA50C6" w:rsidP="00FA50C6"/>
    <w:p w:rsidR="00FA50C6" w:rsidRDefault="00FA50C6" w:rsidP="00FA50C6"/>
    <w:p w:rsidR="00FA50C6" w:rsidRDefault="00FA50C6" w:rsidP="00FA50C6"/>
    <w:p w:rsidR="00FA50C6" w:rsidRDefault="00FA50C6" w:rsidP="00FA50C6"/>
    <w:p w:rsidR="00FA50C6" w:rsidRDefault="00FA50C6" w:rsidP="00FA50C6"/>
    <w:p w:rsidR="00FA50C6" w:rsidRDefault="00FA50C6" w:rsidP="00FA50C6"/>
    <w:tbl>
      <w:tblPr>
        <w:tblW w:w="10089" w:type="dxa"/>
        <w:tblLook w:val="01E0" w:firstRow="1" w:lastRow="1" w:firstColumn="1" w:lastColumn="1" w:noHBand="0" w:noVBand="0"/>
      </w:tblPr>
      <w:tblGrid>
        <w:gridCol w:w="10089"/>
      </w:tblGrid>
      <w:tr w:rsidR="00FA50C6" w:rsidRPr="004F65E4" w:rsidTr="00E301B3">
        <w:tc>
          <w:tcPr>
            <w:tcW w:w="10089" w:type="dxa"/>
          </w:tcPr>
          <w:p w:rsidR="00FA50C6" w:rsidRPr="001511A6" w:rsidRDefault="00FA50C6" w:rsidP="00E301B3">
            <w:pPr>
              <w:spacing w:before="380" w:line="280" w:lineRule="exact"/>
              <w:jc w:val="right"/>
              <w:rPr>
                <w:rFonts w:ascii="Tahoma" w:hAnsi="Tahoma" w:cs="Tahoma"/>
                <w:b/>
                <w:bCs/>
                <w:iCs/>
                <w:color w:val="243285"/>
                <w:sz w:val="32"/>
                <w:szCs w:val="32"/>
                <w:lang w:val="en-US"/>
              </w:rPr>
            </w:pPr>
          </w:p>
          <w:p w:rsidR="00FA50C6" w:rsidRPr="004F65E4" w:rsidRDefault="00FA50C6" w:rsidP="00E301B3">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2115-0</w:t>
            </w:r>
          </w:p>
          <w:p w:rsidR="00FA50C6" w:rsidRPr="004F65E4" w:rsidRDefault="00FA50C6" w:rsidP="00FA50C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2018</w:t>
            </w:r>
            <w:r w:rsidRPr="004F65E4">
              <w:rPr>
                <w:rFonts w:ascii="Tahoma" w:hAnsi="Tahoma" w:cs="Tahoma"/>
                <w:b/>
                <w:bCs/>
                <w:iCs/>
                <w:color w:val="243285"/>
                <w:szCs w:val="24"/>
              </w:rPr>
              <w:t>)</w:t>
            </w:r>
          </w:p>
        </w:tc>
      </w:tr>
      <w:tr w:rsidR="00FA50C6" w:rsidRPr="009D09BF" w:rsidTr="00E301B3">
        <w:tc>
          <w:tcPr>
            <w:tcW w:w="10089" w:type="dxa"/>
          </w:tcPr>
          <w:p w:rsidR="00FA50C6" w:rsidRPr="003E1DED" w:rsidRDefault="00FA50C6" w:rsidP="00E301B3">
            <w:pPr>
              <w:spacing w:before="80" w:line="500" w:lineRule="exact"/>
              <w:jc w:val="right"/>
              <w:rPr>
                <w:rFonts w:ascii="Tahoma" w:hAnsi="Tahoma" w:cs="Tahoma"/>
                <w:b/>
                <w:bCs/>
                <w:iCs/>
                <w:color w:val="243285"/>
                <w:sz w:val="44"/>
                <w:szCs w:val="44"/>
                <w:lang w:val="en-US"/>
              </w:rPr>
            </w:pPr>
          </w:p>
          <w:p w:rsidR="00FA50C6" w:rsidRPr="00052F66" w:rsidRDefault="00FA50C6" w:rsidP="00E07AD7">
            <w:pPr>
              <w:spacing w:before="80" w:line="500" w:lineRule="exact"/>
              <w:jc w:val="right"/>
              <w:rPr>
                <w:rFonts w:ascii="Tahoma" w:hAnsi="Tahoma" w:cs="Tahoma"/>
                <w:b/>
                <w:bCs/>
                <w:iCs/>
                <w:color w:val="243285"/>
                <w:sz w:val="44"/>
                <w:szCs w:val="44"/>
                <w:lang w:val="en-US"/>
              </w:rPr>
            </w:pPr>
            <w:r w:rsidRPr="00FA50C6">
              <w:rPr>
                <w:rFonts w:ascii="Tahoma" w:hAnsi="Tahoma" w:cs="Tahoma"/>
                <w:b/>
                <w:bCs/>
                <w:iCs/>
                <w:color w:val="243285"/>
                <w:sz w:val="44"/>
                <w:szCs w:val="44"/>
                <w:lang w:val="en-GB"/>
              </w:rPr>
              <w:t>Technical and operational characteristics of and protection criteria for aeronautical mobile systems operating in the 45.5</w:t>
            </w:r>
            <w:r w:rsidR="00E07AD7">
              <w:rPr>
                <w:rFonts w:ascii="Tahoma" w:hAnsi="Tahoma" w:cs="Tahoma"/>
                <w:b/>
                <w:bCs/>
                <w:iCs/>
                <w:color w:val="243285"/>
                <w:sz w:val="44"/>
                <w:szCs w:val="44"/>
                <w:lang w:val="en-GB"/>
              </w:rPr>
              <w:noBreakHyphen/>
            </w:r>
            <w:r w:rsidRPr="00FA50C6">
              <w:rPr>
                <w:rFonts w:ascii="Tahoma" w:hAnsi="Tahoma" w:cs="Tahoma"/>
                <w:b/>
                <w:bCs/>
                <w:iCs/>
                <w:color w:val="243285"/>
                <w:sz w:val="44"/>
                <w:szCs w:val="44"/>
                <w:lang w:val="en-GB"/>
              </w:rPr>
              <w:t>47</w:t>
            </w:r>
            <w:r>
              <w:rPr>
                <w:rFonts w:ascii="Tahoma" w:hAnsi="Tahoma" w:cs="Tahoma"/>
                <w:b/>
                <w:bCs/>
                <w:iCs/>
                <w:color w:val="243285"/>
                <w:sz w:val="44"/>
                <w:szCs w:val="44"/>
                <w:lang w:val="en-GB"/>
              </w:rPr>
              <w:t> </w:t>
            </w:r>
            <w:r w:rsidRPr="00FA50C6">
              <w:rPr>
                <w:rFonts w:ascii="Tahoma" w:hAnsi="Tahoma" w:cs="Tahoma"/>
                <w:b/>
                <w:bCs/>
                <w:iCs/>
                <w:color w:val="243285"/>
                <w:sz w:val="44"/>
                <w:szCs w:val="44"/>
                <w:lang w:val="en-GB"/>
              </w:rPr>
              <w:t>GHz frequency range</w:t>
            </w:r>
            <w:r w:rsidRPr="00FA50C6">
              <w:rPr>
                <w:rFonts w:ascii="Tahoma" w:hAnsi="Tahoma" w:cs="Tahoma"/>
                <w:b/>
                <w:bCs/>
                <w:iCs/>
                <w:color w:val="243285"/>
                <w:sz w:val="44"/>
                <w:szCs w:val="44"/>
                <w:lang w:val="en-US"/>
              </w:rPr>
              <w:t xml:space="preserve"> </w:t>
            </w:r>
          </w:p>
        </w:tc>
      </w:tr>
      <w:tr w:rsidR="00FA50C6" w:rsidTr="00E301B3">
        <w:tc>
          <w:tcPr>
            <w:tcW w:w="10089" w:type="dxa"/>
          </w:tcPr>
          <w:p w:rsidR="00FA50C6" w:rsidRPr="00052F66" w:rsidRDefault="00FA50C6" w:rsidP="00E301B3">
            <w:pPr>
              <w:spacing w:before="80" w:line="280" w:lineRule="exact"/>
              <w:ind w:right="640"/>
              <w:rPr>
                <w:rFonts w:ascii="Tahoma" w:hAnsi="Tahoma" w:cs="Tahoma"/>
                <w:b/>
                <w:bCs/>
                <w:iCs/>
                <w:color w:val="243285"/>
                <w:sz w:val="32"/>
                <w:szCs w:val="32"/>
                <w:lang w:val="en-US"/>
              </w:rPr>
            </w:pPr>
          </w:p>
          <w:p w:rsidR="00FA50C6" w:rsidRPr="00052F66" w:rsidRDefault="00FA50C6" w:rsidP="00E301B3">
            <w:pPr>
              <w:spacing w:before="80" w:after="180" w:line="360" w:lineRule="exact"/>
              <w:ind w:right="720"/>
              <w:rPr>
                <w:rFonts w:ascii="Tahoma" w:hAnsi="Tahoma" w:cs="Tahoma"/>
                <w:b/>
                <w:bCs/>
                <w:iCs/>
                <w:color w:val="243285"/>
                <w:sz w:val="36"/>
                <w:szCs w:val="36"/>
                <w:lang w:val="en-US"/>
              </w:rPr>
            </w:pPr>
          </w:p>
          <w:p w:rsidR="00FA50C6" w:rsidRPr="001511A6" w:rsidRDefault="00FA50C6" w:rsidP="00E301B3">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FA50C6" w:rsidRDefault="00FA50C6" w:rsidP="00E301B3">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A50C6" w:rsidRPr="0041667C" w:rsidRDefault="00FA50C6" w:rsidP="00E301B3">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FA50C6" w:rsidRDefault="00FA50C6" w:rsidP="00FA50C6">
      <w:pPr>
        <w:spacing w:before="80"/>
        <w:rPr>
          <w:i/>
          <w:sz w:val="22"/>
          <w:lang w:val="en-US"/>
        </w:rPr>
      </w:pPr>
    </w:p>
    <w:p w:rsidR="00FA50C6" w:rsidRDefault="00FA50C6" w:rsidP="00FA50C6">
      <w:pPr>
        <w:spacing w:before="80"/>
        <w:rPr>
          <w:i/>
          <w:sz w:val="22"/>
          <w:lang w:val="en-US"/>
        </w:rPr>
      </w:pPr>
    </w:p>
    <w:p w:rsidR="00FA50C6" w:rsidRDefault="00FA50C6" w:rsidP="00FA50C6">
      <w:pPr>
        <w:spacing w:before="80"/>
        <w:rPr>
          <w:i/>
          <w:sz w:val="22"/>
          <w:lang w:val="en-US"/>
        </w:rPr>
      </w:pPr>
    </w:p>
    <w:p w:rsidR="00FA50C6" w:rsidRDefault="00FA50C6" w:rsidP="00FA50C6">
      <w:pPr>
        <w:spacing w:before="80"/>
        <w:rPr>
          <w:i/>
          <w:sz w:val="22"/>
          <w:lang w:val="en-US"/>
        </w:rPr>
      </w:pPr>
    </w:p>
    <w:p w:rsidR="00FA50C6" w:rsidRDefault="00FA50C6" w:rsidP="00FA50C6">
      <w:pPr>
        <w:spacing w:before="80"/>
        <w:rPr>
          <w:i/>
          <w:sz w:val="22"/>
          <w:lang w:val="en-US"/>
        </w:rPr>
      </w:pPr>
    </w:p>
    <w:p w:rsidR="00FA50C6" w:rsidRDefault="00FA50C6" w:rsidP="00FA50C6">
      <w:pPr>
        <w:spacing w:before="80"/>
        <w:rPr>
          <w:i/>
          <w:sz w:val="22"/>
          <w:lang w:val="en-US"/>
        </w:rPr>
      </w:pPr>
    </w:p>
    <w:p w:rsidR="00FA50C6" w:rsidRDefault="00FA50C6" w:rsidP="00FA50C6">
      <w:pPr>
        <w:pStyle w:val="Equation"/>
        <w:tabs>
          <w:tab w:val="clear" w:pos="4820"/>
          <w:tab w:val="clear" w:pos="9639"/>
          <w:tab w:val="left" w:pos="1191"/>
          <w:tab w:val="left" w:pos="1588"/>
          <w:tab w:val="left" w:pos="1985"/>
        </w:tabs>
        <w:rPr>
          <w:rFonts w:ascii="Palatino Linotype" w:hAnsi="Palatino Linotype"/>
          <w:lang w:val="en-US"/>
        </w:rPr>
        <w:sectPr w:rsidR="00FA50C6">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FA50C6" w:rsidRPr="00586EF8" w:rsidRDefault="00FA50C6" w:rsidP="00FA50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FA50C6" w:rsidRDefault="00FA50C6" w:rsidP="00FA50C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A50C6" w:rsidRDefault="00FA50C6" w:rsidP="00FA50C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A50C6" w:rsidRPr="00B714F3" w:rsidRDefault="00FA50C6" w:rsidP="00FA50C6">
      <w:pPr>
        <w:pStyle w:val="Heading1"/>
        <w:spacing w:before="680"/>
        <w:jc w:val="center"/>
        <w:rPr>
          <w:szCs w:val="24"/>
          <w:lang w:val="en-US"/>
        </w:rPr>
      </w:pPr>
      <w:r w:rsidRPr="00B714F3">
        <w:rPr>
          <w:szCs w:val="24"/>
          <w:lang w:val="en-US"/>
        </w:rPr>
        <w:t>Policy on Intellectual Property Right (IPR)</w:t>
      </w:r>
    </w:p>
    <w:p w:rsidR="00FA50C6" w:rsidRPr="00B714F3" w:rsidRDefault="00FA50C6" w:rsidP="00FA50C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A50C6" w:rsidRDefault="00FA50C6" w:rsidP="00FA50C6">
      <w:pPr>
        <w:jc w:val="center"/>
        <w:rPr>
          <w:sz w:val="22"/>
          <w:lang w:val="en-US"/>
        </w:rPr>
      </w:pPr>
    </w:p>
    <w:p w:rsidR="00FA50C6" w:rsidRDefault="00FA50C6" w:rsidP="00FA50C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A50C6" w:rsidRPr="009D09BF" w:rsidTr="00E301B3">
        <w:tc>
          <w:tcPr>
            <w:tcW w:w="9360" w:type="dxa"/>
            <w:gridSpan w:val="2"/>
          </w:tcPr>
          <w:p w:rsidR="00FA50C6" w:rsidRPr="00036EE3" w:rsidRDefault="00FA50C6" w:rsidP="00E301B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A50C6" w:rsidRPr="00036EE3" w:rsidRDefault="00FA50C6" w:rsidP="00E301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FA50C6" w:rsidRPr="00036EE3" w:rsidTr="00E301B3">
        <w:tc>
          <w:tcPr>
            <w:tcW w:w="1140" w:type="dxa"/>
          </w:tcPr>
          <w:p w:rsidR="00FA50C6" w:rsidRPr="00036EE3" w:rsidRDefault="00FA50C6" w:rsidP="00E301B3">
            <w:pPr>
              <w:spacing w:before="200" w:after="100"/>
              <w:ind w:left="57"/>
              <w:rPr>
                <w:b/>
                <w:bCs/>
                <w:sz w:val="20"/>
                <w:lang w:val="en-US"/>
              </w:rPr>
            </w:pPr>
            <w:r w:rsidRPr="00036EE3">
              <w:rPr>
                <w:b/>
                <w:bCs/>
                <w:sz w:val="20"/>
                <w:lang w:val="en-US"/>
              </w:rPr>
              <w:t>Series</w:t>
            </w:r>
          </w:p>
        </w:tc>
        <w:tc>
          <w:tcPr>
            <w:tcW w:w="8220" w:type="dxa"/>
          </w:tcPr>
          <w:p w:rsidR="00FA50C6" w:rsidRPr="00036EE3" w:rsidRDefault="00FA50C6" w:rsidP="00E301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A50C6" w:rsidRPr="00036EE3" w:rsidTr="00E301B3">
        <w:tc>
          <w:tcPr>
            <w:tcW w:w="1140" w:type="dxa"/>
          </w:tcPr>
          <w:p w:rsidR="00FA50C6" w:rsidRPr="00036EE3" w:rsidRDefault="00FA50C6" w:rsidP="00E301B3">
            <w:pPr>
              <w:spacing w:before="30" w:after="30"/>
              <w:ind w:left="57"/>
              <w:jc w:val="left"/>
              <w:rPr>
                <w:b/>
                <w:bCs/>
                <w:sz w:val="20"/>
                <w:lang w:val="en-US"/>
              </w:rPr>
            </w:pPr>
            <w:r w:rsidRPr="00036EE3">
              <w:rPr>
                <w:b/>
                <w:bCs/>
                <w:sz w:val="20"/>
                <w:lang w:val="en-US"/>
              </w:rPr>
              <w:t>BO</w:t>
            </w:r>
          </w:p>
        </w:tc>
        <w:tc>
          <w:tcPr>
            <w:tcW w:w="8220" w:type="dxa"/>
          </w:tcPr>
          <w:p w:rsidR="00FA50C6" w:rsidRPr="00036EE3" w:rsidRDefault="00FA50C6" w:rsidP="00E301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A50C6" w:rsidRPr="009D09BF" w:rsidTr="00E301B3">
        <w:tc>
          <w:tcPr>
            <w:tcW w:w="1140" w:type="dxa"/>
            <w:tcBorders>
              <w:bottom w:val="nil"/>
            </w:tcBorders>
          </w:tcPr>
          <w:p w:rsidR="00FA50C6" w:rsidRPr="00036EE3" w:rsidRDefault="00FA50C6" w:rsidP="00E301B3">
            <w:pPr>
              <w:spacing w:before="30" w:after="30"/>
              <w:ind w:left="57"/>
              <w:jc w:val="left"/>
              <w:rPr>
                <w:b/>
                <w:bCs/>
                <w:sz w:val="20"/>
                <w:lang w:val="en-US"/>
              </w:rPr>
            </w:pPr>
            <w:r w:rsidRPr="00036EE3">
              <w:rPr>
                <w:b/>
                <w:bCs/>
                <w:sz w:val="20"/>
                <w:lang w:val="en-US"/>
              </w:rPr>
              <w:t>BR</w:t>
            </w:r>
          </w:p>
        </w:tc>
        <w:tc>
          <w:tcPr>
            <w:tcW w:w="8220" w:type="dxa"/>
            <w:tcBorders>
              <w:bottom w:val="nil"/>
            </w:tcBorders>
          </w:tcPr>
          <w:p w:rsidR="00FA50C6" w:rsidRPr="00036EE3" w:rsidRDefault="00FA50C6" w:rsidP="00E301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A50C6" w:rsidRPr="00036EE3" w:rsidTr="00E301B3">
        <w:tc>
          <w:tcPr>
            <w:tcW w:w="1140" w:type="dxa"/>
            <w:tcBorders>
              <w:top w:val="nil"/>
              <w:bottom w:val="nil"/>
            </w:tcBorders>
            <w:shd w:val="clear" w:color="auto" w:fill="auto"/>
          </w:tcPr>
          <w:p w:rsidR="00FA50C6" w:rsidRPr="007D224F" w:rsidRDefault="00FA50C6" w:rsidP="00E301B3">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FA50C6" w:rsidRPr="007D224F" w:rsidRDefault="00FA50C6" w:rsidP="00E301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FA50C6" w:rsidRPr="00ED2695" w:rsidTr="00E301B3">
        <w:tc>
          <w:tcPr>
            <w:tcW w:w="1140" w:type="dxa"/>
            <w:tcBorders>
              <w:top w:val="nil"/>
              <w:bottom w:val="nil"/>
            </w:tcBorders>
            <w:shd w:val="clear" w:color="auto" w:fill="auto"/>
          </w:tcPr>
          <w:p w:rsidR="00FA50C6" w:rsidRPr="00ED2695" w:rsidRDefault="00FA50C6" w:rsidP="00E301B3">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A50C6" w:rsidRPr="00ED2695" w:rsidRDefault="00FA50C6" w:rsidP="00E301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A50C6" w:rsidRPr="007D224F" w:rsidTr="00E301B3">
        <w:tc>
          <w:tcPr>
            <w:tcW w:w="1140" w:type="dxa"/>
            <w:tcBorders>
              <w:top w:val="nil"/>
              <w:bottom w:val="nil"/>
            </w:tcBorders>
            <w:shd w:val="clear" w:color="auto" w:fill="auto"/>
          </w:tcPr>
          <w:p w:rsidR="00FA50C6" w:rsidRPr="0041667C" w:rsidRDefault="00FA50C6" w:rsidP="00E301B3">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FA50C6" w:rsidRPr="0041667C" w:rsidRDefault="00FA50C6" w:rsidP="00E301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FA50C6" w:rsidRPr="0041667C" w:rsidTr="00E301B3">
        <w:tc>
          <w:tcPr>
            <w:tcW w:w="1140" w:type="dxa"/>
            <w:tcBorders>
              <w:top w:val="nil"/>
              <w:bottom w:val="nil"/>
            </w:tcBorders>
            <w:shd w:val="clear" w:color="auto" w:fill="F3F3F3"/>
          </w:tcPr>
          <w:p w:rsidR="00FA50C6" w:rsidRPr="0041667C" w:rsidRDefault="00FA50C6" w:rsidP="00E301B3">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FA50C6" w:rsidRPr="0041667C" w:rsidRDefault="00FA50C6" w:rsidP="00E301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FA50C6" w:rsidRPr="00036EE3" w:rsidTr="00E301B3">
        <w:tc>
          <w:tcPr>
            <w:tcW w:w="1140" w:type="dxa"/>
            <w:tcBorders>
              <w:top w:val="nil"/>
            </w:tcBorders>
          </w:tcPr>
          <w:p w:rsidR="00FA50C6" w:rsidRPr="00036EE3" w:rsidRDefault="00FA50C6" w:rsidP="00E301B3">
            <w:pPr>
              <w:spacing w:before="30" w:after="30"/>
              <w:ind w:left="57"/>
              <w:jc w:val="left"/>
              <w:rPr>
                <w:b/>
                <w:bCs/>
                <w:sz w:val="20"/>
                <w:lang w:val="fr-CH"/>
              </w:rPr>
            </w:pPr>
            <w:r w:rsidRPr="00036EE3">
              <w:rPr>
                <w:b/>
                <w:bCs/>
                <w:sz w:val="20"/>
                <w:lang w:val="fr-CH"/>
              </w:rPr>
              <w:t>P</w:t>
            </w:r>
          </w:p>
        </w:tc>
        <w:tc>
          <w:tcPr>
            <w:tcW w:w="8220" w:type="dxa"/>
            <w:tcBorders>
              <w:top w:val="nil"/>
            </w:tcBorders>
          </w:tcPr>
          <w:p w:rsidR="00FA50C6" w:rsidRPr="00036EE3" w:rsidRDefault="00FA50C6" w:rsidP="00E301B3">
            <w:pPr>
              <w:spacing w:before="30" w:after="30"/>
              <w:jc w:val="left"/>
              <w:rPr>
                <w:sz w:val="20"/>
                <w:lang w:val="fr-CH"/>
              </w:rPr>
            </w:pPr>
            <w:r w:rsidRPr="00036EE3">
              <w:rPr>
                <w:sz w:val="20"/>
                <w:lang w:val="fr-CH"/>
              </w:rPr>
              <w:t>Radiowave propagation</w:t>
            </w:r>
          </w:p>
        </w:tc>
      </w:tr>
      <w:tr w:rsidR="00FA50C6" w:rsidRPr="00036EE3" w:rsidTr="00E301B3">
        <w:tc>
          <w:tcPr>
            <w:tcW w:w="1140" w:type="dxa"/>
          </w:tcPr>
          <w:p w:rsidR="00FA50C6" w:rsidRPr="00036EE3" w:rsidRDefault="00FA50C6" w:rsidP="00E301B3">
            <w:pPr>
              <w:spacing w:before="30" w:after="30"/>
              <w:ind w:left="57"/>
              <w:jc w:val="left"/>
              <w:rPr>
                <w:b/>
                <w:bCs/>
                <w:sz w:val="20"/>
                <w:lang w:val="en-US"/>
              </w:rPr>
            </w:pPr>
            <w:r w:rsidRPr="00036EE3">
              <w:rPr>
                <w:b/>
                <w:bCs/>
                <w:sz w:val="20"/>
                <w:lang w:val="en-US"/>
              </w:rPr>
              <w:t>RA</w:t>
            </w:r>
          </w:p>
        </w:tc>
        <w:tc>
          <w:tcPr>
            <w:tcW w:w="8220" w:type="dxa"/>
          </w:tcPr>
          <w:p w:rsidR="00FA50C6" w:rsidRPr="00036EE3" w:rsidRDefault="00FA50C6" w:rsidP="00E301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A50C6" w:rsidRPr="00036EE3" w:rsidTr="00E301B3">
        <w:tc>
          <w:tcPr>
            <w:tcW w:w="1140" w:type="dxa"/>
          </w:tcPr>
          <w:p w:rsidR="00FA50C6" w:rsidRPr="00036EE3" w:rsidRDefault="00FA50C6" w:rsidP="00E301B3">
            <w:pPr>
              <w:spacing w:before="30" w:after="30"/>
              <w:ind w:left="57"/>
              <w:jc w:val="left"/>
              <w:rPr>
                <w:b/>
                <w:bCs/>
                <w:sz w:val="20"/>
                <w:lang w:val="en-US"/>
              </w:rPr>
            </w:pPr>
            <w:r w:rsidRPr="00036EE3">
              <w:rPr>
                <w:b/>
                <w:bCs/>
                <w:sz w:val="20"/>
                <w:lang w:val="en-US"/>
              </w:rPr>
              <w:t>RS</w:t>
            </w:r>
          </w:p>
        </w:tc>
        <w:tc>
          <w:tcPr>
            <w:tcW w:w="8220" w:type="dxa"/>
          </w:tcPr>
          <w:p w:rsidR="00FA50C6" w:rsidRPr="00036EE3" w:rsidRDefault="00FA50C6" w:rsidP="00E301B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A50C6" w:rsidRPr="00036EE3" w:rsidTr="00E301B3">
        <w:tc>
          <w:tcPr>
            <w:tcW w:w="1140" w:type="dxa"/>
          </w:tcPr>
          <w:p w:rsidR="00FA50C6" w:rsidRPr="00036EE3" w:rsidRDefault="00FA50C6" w:rsidP="00E301B3">
            <w:pPr>
              <w:spacing w:before="30" w:after="30"/>
              <w:ind w:left="57"/>
              <w:jc w:val="left"/>
              <w:rPr>
                <w:b/>
                <w:bCs/>
                <w:sz w:val="20"/>
                <w:lang w:val="en-US"/>
              </w:rPr>
            </w:pPr>
            <w:r w:rsidRPr="00036EE3">
              <w:rPr>
                <w:b/>
                <w:bCs/>
                <w:sz w:val="20"/>
                <w:lang w:val="en-US"/>
              </w:rPr>
              <w:t>S</w:t>
            </w:r>
          </w:p>
        </w:tc>
        <w:tc>
          <w:tcPr>
            <w:tcW w:w="8220" w:type="dxa"/>
          </w:tcPr>
          <w:p w:rsidR="00FA50C6" w:rsidRPr="00036EE3" w:rsidRDefault="00FA50C6" w:rsidP="00E301B3">
            <w:pPr>
              <w:spacing w:before="30" w:after="30"/>
              <w:jc w:val="left"/>
              <w:rPr>
                <w:sz w:val="20"/>
                <w:lang w:val="en-US"/>
              </w:rPr>
            </w:pPr>
            <w:r w:rsidRPr="00036EE3">
              <w:rPr>
                <w:sz w:val="20"/>
                <w:lang w:val="en-US"/>
              </w:rPr>
              <w:t>Fixed-satellite service</w:t>
            </w:r>
          </w:p>
        </w:tc>
      </w:tr>
      <w:tr w:rsidR="00FA50C6" w:rsidRPr="00036EE3" w:rsidTr="00E301B3">
        <w:tc>
          <w:tcPr>
            <w:tcW w:w="1140" w:type="dxa"/>
          </w:tcPr>
          <w:p w:rsidR="00FA50C6" w:rsidRPr="00036EE3" w:rsidRDefault="00FA50C6" w:rsidP="00E301B3">
            <w:pPr>
              <w:spacing w:before="30" w:after="30"/>
              <w:ind w:left="57"/>
              <w:jc w:val="left"/>
              <w:rPr>
                <w:b/>
                <w:bCs/>
                <w:sz w:val="20"/>
                <w:lang w:val="en-US"/>
              </w:rPr>
            </w:pPr>
            <w:r w:rsidRPr="00036EE3">
              <w:rPr>
                <w:b/>
                <w:bCs/>
                <w:sz w:val="20"/>
                <w:lang w:val="en-US"/>
              </w:rPr>
              <w:t>SA</w:t>
            </w:r>
          </w:p>
        </w:tc>
        <w:tc>
          <w:tcPr>
            <w:tcW w:w="8220" w:type="dxa"/>
          </w:tcPr>
          <w:p w:rsidR="00FA50C6" w:rsidRPr="00036EE3" w:rsidRDefault="00FA50C6" w:rsidP="00E301B3">
            <w:pPr>
              <w:spacing w:before="30" w:after="30"/>
              <w:jc w:val="left"/>
              <w:rPr>
                <w:sz w:val="20"/>
                <w:lang w:val="en-US"/>
              </w:rPr>
            </w:pPr>
            <w:r w:rsidRPr="00036EE3">
              <w:rPr>
                <w:sz w:val="20"/>
                <w:lang w:val="en-US"/>
              </w:rPr>
              <w:t>Space applications and meteorology</w:t>
            </w:r>
          </w:p>
        </w:tc>
      </w:tr>
      <w:tr w:rsidR="00FA50C6" w:rsidRPr="009D09BF" w:rsidTr="00E301B3">
        <w:tc>
          <w:tcPr>
            <w:tcW w:w="1140" w:type="dxa"/>
            <w:tcBorders>
              <w:bottom w:val="nil"/>
            </w:tcBorders>
          </w:tcPr>
          <w:p w:rsidR="00FA50C6" w:rsidRPr="00036EE3" w:rsidRDefault="00FA50C6" w:rsidP="00E301B3">
            <w:pPr>
              <w:spacing w:before="30" w:after="30"/>
              <w:ind w:left="57"/>
              <w:jc w:val="left"/>
              <w:rPr>
                <w:b/>
                <w:bCs/>
                <w:sz w:val="20"/>
                <w:lang w:val="en-US"/>
              </w:rPr>
            </w:pPr>
            <w:r w:rsidRPr="00036EE3">
              <w:rPr>
                <w:b/>
                <w:bCs/>
                <w:sz w:val="20"/>
                <w:lang w:val="en-US"/>
              </w:rPr>
              <w:t>SF</w:t>
            </w:r>
          </w:p>
        </w:tc>
        <w:tc>
          <w:tcPr>
            <w:tcW w:w="8220" w:type="dxa"/>
            <w:tcBorders>
              <w:bottom w:val="nil"/>
            </w:tcBorders>
          </w:tcPr>
          <w:p w:rsidR="00FA50C6" w:rsidRPr="00036EE3" w:rsidRDefault="00FA50C6" w:rsidP="00E301B3">
            <w:pPr>
              <w:spacing w:before="30" w:after="30"/>
              <w:jc w:val="left"/>
              <w:rPr>
                <w:sz w:val="20"/>
                <w:lang w:val="en-US"/>
              </w:rPr>
            </w:pPr>
            <w:r w:rsidRPr="00036EE3">
              <w:rPr>
                <w:sz w:val="20"/>
                <w:lang w:val="en-US"/>
              </w:rPr>
              <w:t>Frequency sharing and coordination between fixed-satellite and fixed service systems</w:t>
            </w:r>
          </w:p>
        </w:tc>
      </w:tr>
      <w:tr w:rsidR="00FA50C6" w:rsidRPr="00036EE3" w:rsidTr="00E301B3">
        <w:tc>
          <w:tcPr>
            <w:tcW w:w="1140" w:type="dxa"/>
            <w:tcBorders>
              <w:top w:val="nil"/>
              <w:bottom w:val="nil"/>
            </w:tcBorders>
            <w:shd w:val="clear" w:color="auto" w:fill="auto"/>
          </w:tcPr>
          <w:p w:rsidR="00FA50C6" w:rsidRPr="000A4386" w:rsidRDefault="00FA50C6" w:rsidP="00E301B3">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FA50C6" w:rsidRPr="000A4386" w:rsidRDefault="00FA50C6" w:rsidP="00E301B3">
            <w:pPr>
              <w:spacing w:before="30" w:after="30"/>
              <w:jc w:val="left"/>
              <w:rPr>
                <w:sz w:val="20"/>
                <w:lang w:val="en-US"/>
              </w:rPr>
            </w:pPr>
            <w:r w:rsidRPr="000A4386">
              <w:rPr>
                <w:sz w:val="20"/>
                <w:lang w:val="en-US"/>
              </w:rPr>
              <w:t>Spectrum management</w:t>
            </w:r>
          </w:p>
        </w:tc>
      </w:tr>
      <w:tr w:rsidR="00FA50C6" w:rsidRPr="00036EE3" w:rsidTr="00E301B3">
        <w:tc>
          <w:tcPr>
            <w:tcW w:w="1140" w:type="dxa"/>
            <w:tcBorders>
              <w:top w:val="nil"/>
            </w:tcBorders>
          </w:tcPr>
          <w:p w:rsidR="00FA50C6" w:rsidRPr="00036EE3" w:rsidRDefault="00FA50C6" w:rsidP="00E301B3">
            <w:pPr>
              <w:spacing w:before="30" w:after="30"/>
              <w:ind w:left="57"/>
              <w:jc w:val="left"/>
              <w:rPr>
                <w:b/>
                <w:bCs/>
                <w:sz w:val="20"/>
                <w:lang w:val="en-US"/>
              </w:rPr>
            </w:pPr>
            <w:r w:rsidRPr="00036EE3">
              <w:rPr>
                <w:b/>
                <w:bCs/>
                <w:sz w:val="20"/>
                <w:lang w:val="en-US"/>
              </w:rPr>
              <w:t>SNG</w:t>
            </w:r>
          </w:p>
        </w:tc>
        <w:tc>
          <w:tcPr>
            <w:tcW w:w="8220" w:type="dxa"/>
            <w:tcBorders>
              <w:top w:val="nil"/>
            </w:tcBorders>
          </w:tcPr>
          <w:p w:rsidR="00FA50C6" w:rsidRPr="00036EE3" w:rsidRDefault="00FA50C6" w:rsidP="00E301B3">
            <w:pPr>
              <w:spacing w:before="30" w:after="30"/>
              <w:jc w:val="left"/>
              <w:rPr>
                <w:sz w:val="20"/>
                <w:lang w:val="en-US"/>
              </w:rPr>
            </w:pPr>
            <w:r w:rsidRPr="00036EE3">
              <w:rPr>
                <w:sz w:val="20"/>
                <w:lang w:val="en-US"/>
              </w:rPr>
              <w:t>Satellite news gathering</w:t>
            </w:r>
          </w:p>
        </w:tc>
      </w:tr>
      <w:tr w:rsidR="00FA50C6" w:rsidRPr="009D09BF" w:rsidTr="00E301B3">
        <w:tc>
          <w:tcPr>
            <w:tcW w:w="1140" w:type="dxa"/>
          </w:tcPr>
          <w:p w:rsidR="00FA50C6" w:rsidRPr="00036EE3" w:rsidRDefault="00FA50C6" w:rsidP="00E301B3">
            <w:pPr>
              <w:spacing w:before="30" w:after="30"/>
              <w:ind w:left="57"/>
              <w:jc w:val="left"/>
              <w:rPr>
                <w:b/>
                <w:bCs/>
                <w:sz w:val="20"/>
                <w:lang w:val="en-US"/>
              </w:rPr>
            </w:pPr>
            <w:r w:rsidRPr="00036EE3">
              <w:rPr>
                <w:b/>
                <w:bCs/>
                <w:sz w:val="20"/>
                <w:lang w:val="en-US"/>
              </w:rPr>
              <w:t>TF</w:t>
            </w:r>
          </w:p>
        </w:tc>
        <w:tc>
          <w:tcPr>
            <w:tcW w:w="8220" w:type="dxa"/>
          </w:tcPr>
          <w:p w:rsidR="00FA50C6" w:rsidRPr="00036EE3" w:rsidRDefault="00FA50C6" w:rsidP="00E301B3">
            <w:pPr>
              <w:spacing w:before="30" w:after="30"/>
              <w:jc w:val="left"/>
              <w:rPr>
                <w:sz w:val="20"/>
                <w:lang w:val="en-US"/>
              </w:rPr>
            </w:pPr>
            <w:r w:rsidRPr="00036EE3">
              <w:rPr>
                <w:sz w:val="20"/>
                <w:lang w:val="en-US"/>
              </w:rPr>
              <w:t>Time signals and frequency standards emissions</w:t>
            </w:r>
          </w:p>
        </w:tc>
      </w:tr>
      <w:tr w:rsidR="00FA50C6" w:rsidRPr="00036EE3" w:rsidTr="00E301B3">
        <w:tc>
          <w:tcPr>
            <w:tcW w:w="1140" w:type="dxa"/>
          </w:tcPr>
          <w:p w:rsidR="00FA50C6" w:rsidRPr="00036EE3" w:rsidRDefault="00FA50C6" w:rsidP="00E301B3">
            <w:pPr>
              <w:spacing w:before="30" w:after="30"/>
              <w:ind w:left="57"/>
              <w:jc w:val="left"/>
              <w:rPr>
                <w:b/>
                <w:bCs/>
                <w:sz w:val="20"/>
                <w:lang w:val="en-US"/>
              </w:rPr>
            </w:pPr>
            <w:r w:rsidRPr="00036EE3">
              <w:rPr>
                <w:b/>
                <w:bCs/>
                <w:sz w:val="20"/>
                <w:lang w:val="en-US"/>
              </w:rPr>
              <w:t>V</w:t>
            </w:r>
          </w:p>
        </w:tc>
        <w:tc>
          <w:tcPr>
            <w:tcW w:w="8220" w:type="dxa"/>
          </w:tcPr>
          <w:p w:rsidR="00FA50C6" w:rsidRPr="00036EE3" w:rsidRDefault="00FA50C6" w:rsidP="00E301B3">
            <w:pPr>
              <w:spacing w:before="30" w:after="180"/>
              <w:jc w:val="left"/>
              <w:rPr>
                <w:sz w:val="20"/>
                <w:lang w:val="en-US"/>
              </w:rPr>
            </w:pPr>
            <w:r w:rsidRPr="00036EE3">
              <w:rPr>
                <w:sz w:val="20"/>
                <w:lang w:val="en-US"/>
              </w:rPr>
              <w:t>Vocabulary and related subjects</w:t>
            </w:r>
          </w:p>
        </w:tc>
      </w:tr>
    </w:tbl>
    <w:p w:rsidR="00FA50C6" w:rsidRPr="00036EE3" w:rsidRDefault="00FA50C6" w:rsidP="00FA50C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A50C6" w:rsidTr="00E301B3">
        <w:tc>
          <w:tcPr>
            <w:tcW w:w="720" w:type="dxa"/>
          </w:tcPr>
          <w:p w:rsidR="00FA50C6" w:rsidRDefault="00FA50C6" w:rsidP="00E301B3">
            <w:pPr>
              <w:jc w:val="center"/>
              <w:rPr>
                <w:sz w:val="22"/>
                <w:lang w:val="en-US"/>
              </w:rPr>
            </w:pPr>
          </w:p>
        </w:tc>
      </w:tr>
    </w:tbl>
    <w:p w:rsidR="00FA50C6" w:rsidRPr="00036EE3" w:rsidRDefault="00FA50C6" w:rsidP="00FA50C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A50C6" w:rsidRPr="009D09BF" w:rsidTr="00E301B3">
        <w:tc>
          <w:tcPr>
            <w:tcW w:w="9360" w:type="dxa"/>
          </w:tcPr>
          <w:p w:rsidR="00FA50C6" w:rsidRPr="00FA50C6" w:rsidRDefault="00FA50C6" w:rsidP="00E301B3">
            <w:pPr>
              <w:spacing w:after="120"/>
              <w:jc w:val="center"/>
              <w:rPr>
                <w:spacing w:val="-2"/>
                <w:sz w:val="20"/>
                <w:lang w:val="en-US"/>
              </w:rPr>
            </w:pPr>
            <w:r w:rsidRPr="00FA50C6">
              <w:rPr>
                <w:b/>
                <w:bCs/>
                <w:i/>
                <w:iCs/>
                <w:spacing w:val="-2"/>
                <w:sz w:val="20"/>
                <w:lang w:val="en-US"/>
              </w:rPr>
              <w:t>Note</w:t>
            </w:r>
            <w:r w:rsidRPr="00FA50C6">
              <w:rPr>
                <w:spacing w:val="-2"/>
                <w:sz w:val="20"/>
                <w:lang w:val="en-US"/>
              </w:rPr>
              <w:t xml:space="preserve">: </w:t>
            </w:r>
            <w:r w:rsidRPr="00FA50C6">
              <w:rPr>
                <w:i/>
                <w:iCs/>
                <w:spacing w:val="-2"/>
                <w:sz w:val="20"/>
                <w:lang w:val="en-US"/>
              </w:rPr>
              <w:t>This ITU-R Recommendation was approved in English under the procedure detailed in Resolution ITU-R 1.</w:t>
            </w:r>
          </w:p>
        </w:tc>
      </w:tr>
    </w:tbl>
    <w:p w:rsidR="00FA50C6" w:rsidRDefault="00FA50C6" w:rsidP="00FA50C6">
      <w:pPr>
        <w:spacing w:before="0"/>
        <w:jc w:val="center"/>
        <w:rPr>
          <w:sz w:val="22"/>
          <w:lang w:val="en-US"/>
        </w:rPr>
      </w:pPr>
    </w:p>
    <w:p w:rsidR="00FA50C6" w:rsidRDefault="00FA50C6" w:rsidP="00FA50C6">
      <w:pPr>
        <w:spacing w:before="0"/>
        <w:jc w:val="center"/>
        <w:rPr>
          <w:sz w:val="22"/>
          <w:lang w:val="en-US"/>
        </w:rPr>
      </w:pPr>
    </w:p>
    <w:p w:rsidR="00FA50C6" w:rsidRPr="002F5199" w:rsidRDefault="00FA50C6" w:rsidP="00FA50C6">
      <w:pPr>
        <w:spacing w:before="0"/>
        <w:jc w:val="right"/>
        <w:rPr>
          <w:i/>
          <w:iCs/>
          <w:sz w:val="20"/>
          <w:lang w:val="en-US"/>
        </w:rPr>
      </w:pPr>
      <w:r w:rsidRPr="002F5199">
        <w:rPr>
          <w:i/>
          <w:iCs/>
          <w:sz w:val="20"/>
          <w:lang w:val="en-US"/>
        </w:rPr>
        <w:t>Electronic Publication</w:t>
      </w:r>
    </w:p>
    <w:p w:rsidR="00FA50C6" w:rsidRPr="002F5199" w:rsidRDefault="00FA50C6" w:rsidP="00FA50C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18</w:t>
      </w:r>
    </w:p>
    <w:p w:rsidR="00FA50C6" w:rsidRPr="00470E28" w:rsidRDefault="00FA50C6" w:rsidP="00FA50C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18</w:t>
      </w:r>
    </w:p>
    <w:p w:rsidR="00FA50C6" w:rsidRPr="00470E28" w:rsidRDefault="00FA50C6" w:rsidP="00FA50C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A50C6" w:rsidRDefault="00FA50C6" w:rsidP="00FA50C6">
      <w:pPr>
        <w:spacing w:before="160"/>
        <w:rPr>
          <w:i/>
          <w:sz w:val="20"/>
          <w:lang w:val="en-US"/>
        </w:rPr>
        <w:sectPr w:rsidR="00FA50C6"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FA50C6" w:rsidRPr="00052F66" w:rsidRDefault="00FA50C6" w:rsidP="00FA50C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2115-0</w:t>
      </w:r>
    </w:p>
    <w:p w:rsidR="00FA50C6" w:rsidRDefault="00FA50C6" w:rsidP="00FA50C6">
      <w:pPr>
        <w:pStyle w:val="Rectitle"/>
        <w:rPr>
          <w:bCs/>
          <w:szCs w:val="24"/>
          <w:lang w:val="en-US"/>
        </w:rPr>
      </w:pPr>
      <w:r w:rsidRPr="00FA50C6">
        <w:rPr>
          <w:lang w:val="en-US" w:eastAsia="zh-CN"/>
        </w:rPr>
        <w:t>Technical and operational characteristics of and protection criteria for aeronautical mobile systems operating in the 45.5</w:t>
      </w:r>
      <w:r>
        <w:rPr>
          <w:lang w:val="en-US" w:eastAsia="zh-CN"/>
        </w:rPr>
        <w:t>-</w:t>
      </w:r>
      <w:r w:rsidRPr="00FA50C6">
        <w:rPr>
          <w:lang w:val="en-US" w:eastAsia="zh-CN"/>
        </w:rPr>
        <w:t xml:space="preserve">47 GHz </w:t>
      </w:r>
      <w:r w:rsidRPr="00FA50C6">
        <w:rPr>
          <w:bCs/>
          <w:szCs w:val="24"/>
          <w:lang w:val="en-US"/>
        </w:rPr>
        <w:t>frequency range</w:t>
      </w:r>
    </w:p>
    <w:p w:rsidR="00AC6AF9" w:rsidRDefault="00AC6AF9" w:rsidP="00AC6AF9">
      <w:pPr>
        <w:pStyle w:val="Recdate"/>
        <w:rPr>
          <w:sz w:val="22"/>
          <w:lang w:val="en-US"/>
        </w:rPr>
      </w:pPr>
      <w:r>
        <w:rPr>
          <w:lang w:val="en-US"/>
        </w:rPr>
        <w:t>(2018)</w:t>
      </w:r>
    </w:p>
    <w:p w:rsidR="00FA50C6" w:rsidRPr="00AC6AF9" w:rsidRDefault="00FA50C6" w:rsidP="00FA50C6">
      <w:pPr>
        <w:pStyle w:val="HeadingSum"/>
        <w:rPr>
          <w:lang w:val="en-US"/>
        </w:rPr>
      </w:pPr>
      <w:r w:rsidRPr="00AC6AF9">
        <w:rPr>
          <w:lang w:val="en-US"/>
        </w:rPr>
        <w:t>Scope</w:t>
      </w:r>
    </w:p>
    <w:p w:rsidR="00FA50C6" w:rsidRPr="00AC6AF9" w:rsidRDefault="00FA50C6" w:rsidP="00AC6AF9">
      <w:pPr>
        <w:pStyle w:val="Summary"/>
      </w:pPr>
      <w:r w:rsidRPr="00AC6AF9">
        <w:t>This Recommendation provides information on the technical characteristics and protection criteria for aeronautical mobile service (AMS) systems operating in the mobile service within the 45.5</w:t>
      </w:r>
      <w:r w:rsidR="00AC6AF9" w:rsidRPr="00AC6AF9">
        <w:t>-</w:t>
      </w:r>
      <w:r w:rsidRPr="00AC6AF9">
        <w:t xml:space="preserve">47 GHz frequency range. </w:t>
      </w:r>
    </w:p>
    <w:p w:rsidR="00FA50C6" w:rsidRDefault="00FA50C6" w:rsidP="00FA50C6">
      <w:pPr>
        <w:pStyle w:val="Headingb"/>
        <w:rPr>
          <w:lang w:val="en-US"/>
        </w:rPr>
      </w:pPr>
      <w:r w:rsidRPr="009B0AF8">
        <w:rPr>
          <w:lang w:val="en-US"/>
        </w:rPr>
        <w:t>Related ITU Recommendations</w:t>
      </w:r>
      <w:r>
        <w:rPr>
          <w:lang w:val="en-US"/>
        </w:rPr>
        <w:t xml:space="preserve"> and</w:t>
      </w:r>
      <w:r w:rsidRPr="009B0AF8">
        <w:rPr>
          <w:lang w:val="en-US"/>
        </w:rPr>
        <w:t xml:space="preserve"> Reports</w:t>
      </w:r>
    </w:p>
    <w:p w:rsidR="00FA50C6" w:rsidRPr="009D09BF" w:rsidRDefault="00FA50C6" w:rsidP="00FA50C6">
      <w:pPr>
        <w:rPr>
          <w:lang w:val="en-GB"/>
        </w:rPr>
      </w:pPr>
      <w:r w:rsidRPr="009D09BF">
        <w:rPr>
          <w:lang w:val="en-GB"/>
        </w:rPr>
        <w:t>Recommendations IT</w:t>
      </w:r>
      <w:r w:rsidR="00E07AD7" w:rsidRPr="009D09BF">
        <w:rPr>
          <w:lang w:val="en-GB"/>
        </w:rPr>
        <w:t>U-R M.1851, ITU-R P.</w:t>
      </w:r>
      <w:r w:rsidRPr="009D09BF">
        <w:rPr>
          <w:lang w:val="en-GB"/>
        </w:rPr>
        <w:t>2108, ITU-R P.676</w:t>
      </w:r>
    </w:p>
    <w:p w:rsidR="00FA50C6" w:rsidRPr="00770FAE" w:rsidRDefault="00FA50C6" w:rsidP="00FA50C6">
      <w:pPr>
        <w:pStyle w:val="Headingb"/>
        <w:rPr>
          <w:lang w:val="en-US"/>
        </w:rPr>
      </w:pPr>
      <w:r w:rsidRPr="00770FAE">
        <w:rPr>
          <w:lang w:val="en-US"/>
        </w:rPr>
        <w:t>Keywords</w:t>
      </w:r>
    </w:p>
    <w:p w:rsidR="00FA50C6" w:rsidRPr="00FA50C6" w:rsidRDefault="00FA50C6" w:rsidP="00FA50C6">
      <w:pPr>
        <w:rPr>
          <w:lang w:val="en-US"/>
        </w:rPr>
      </w:pPr>
      <w:r w:rsidRPr="00FA50C6">
        <w:rPr>
          <w:szCs w:val="24"/>
          <w:lang w:val="en-US"/>
        </w:rPr>
        <w:t>Aeronautical mobile service systems, AMS, technical characteristics, protection criteria</w:t>
      </w:r>
      <w:r w:rsidRPr="00FA50C6" w:rsidDel="00052A43">
        <w:rPr>
          <w:lang w:val="en-US"/>
        </w:rPr>
        <w:t xml:space="preserve"> </w:t>
      </w:r>
    </w:p>
    <w:p w:rsidR="00FA50C6" w:rsidRPr="00770FAE" w:rsidRDefault="00FA50C6" w:rsidP="00FA50C6">
      <w:pPr>
        <w:pStyle w:val="Headingb"/>
        <w:rPr>
          <w:lang w:val="en-US"/>
        </w:rPr>
      </w:pPr>
      <w:r w:rsidRPr="00770FAE">
        <w:rPr>
          <w:lang w:val="en-US"/>
        </w:rPr>
        <w:t>Abbreviations/Glossary</w:t>
      </w:r>
    </w:p>
    <w:p w:rsidR="00FA50C6" w:rsidRPr="00FA50C6" w:rsidRDefault="00FA50C6" w:rsidP="00AC6AF9">
      <w:pPr>
        <w:tabs>
          <w:tab w:val="clear" w:pos="794"/>
        </w:tabs>
        <w:rPr>
          <w:lang w:val="en-US"/>
        </w:rPr>
      </w:pPr>
      <w:r w:rsidRPr="00FA50C6">
        <w:rPr>
          <w:lang w:val="en-US"/>
        </w:rPr>
        <w:t>ADL</w:t>
      </w:r>
      <w:r w:rsidRPr="00FA50C6">
        <w:rPr>
          <w:lang w:val="en-US"/>
        </w:rPr>
        <w:tab/>
        <w:t>AMS data link</w:t>
      </w:r>
    </w:p>
    <w:p w:rsidR="00FA50C6" w:rsidRPr="00FA50C6" w:rsidRDefault="00FA50C6" w:rsidP="00AC6AF9">
      <w:pPr>
        <w:tabs>
          <w:tab w:val="clear" w:pos="794"/>
        </w:tabs>
        <w:rPr>
          <w:lang w:val="en-US"/>
        </w:rPr>
      </w:pPr>
      <w:r w:rsidRPr="00FA50C6">
        <w:rPr>
          <w:lang w:val="en-US"/>
        </w:rPr>
        <w:t>ADT</w:t>
      </w:r>
      <w:r w:rsidRPr="00FA50C6">
        <w:rPr>
          <w:lang w:val="en-US"/>
        </w:rPr>
        <w:tab/>
        <w:t>Airborne data terminal</w:t>
      </w:r>
    </w:p>
    <w:p w:rsidR="00FA50C6" w:rsidRPr="00FA50C6" w:rsidRDefault="00FA50C6" w:rsidP="00AC6AF9">
      <w:pPr>
        <w:tabs>
          <w:tab w:val="clear" w:pos="794"/>
        </w:tabs>
        <w:rPr>
          <w:lang w:val="en-US"/>
        </w:rPr>
      </w:pPr>
      <w:r w:rsidRPr="00FA50C6">
        <w:rPr>
          <w:lang w:val="en-US"/>
        </w:rPr>
        <w:t>AMS</w:t>
      </w:r>
      <w:r w:rsidRPr="00FA50C6">
        <w:rPr>
          <w:lang w:val="en-US"/>
        </w:rPr>
        <w:tab/>
        <w:t>Aeronautical mobile service</w:t>
      </w:r>
    </w:p>
    <w:p w:rsidR="00FA50C6" w:rsidRPr="00FA50C6" w:rsidRDefault="00FA50C6" w:rsidP="00AC6AF9">
      <w:pPr>
        <w:tabs>
          <w:tab w:val="clear" w:pos="794"/>
        </w:tabs>
        <w:rPr>
          <w:lang w:val="en-US"/>
        </w:rPr>
      </w:pPr>
      <w:r w:rsidRPr="00FA50C6">
        <w:rPr>
          <w:lang w:val="en-US"/>
        </w:rPr>
        <w:t>GDT</w:t>
      </w:r>
      <w:r w:rsidRPr="00FA50C6">
        <w:rPr>
          <w:lang w:val="en-US"/>
        </w:rPr>
        <w:tab/>
        <w:t>Ground data terminal</w:t>
      </w:r>
    </w:p>
    <w:p w:rsidR="00FA50C6" w:rsidRPr="00FA50C6" w:rsidRDefault="00FA50C6" w:rsidP="00AC6AF9">
      <w:pPr>
        <w:tabs>
          <w:tab w:val="clear" w:pos="794"/>
        </w:tabs>
        <w:rPr>
          <w:lang w:val="en-US"/>
        </w:rPr>
      </w:pPr>
      <w:r w:rsidRPr="00FA50C6">
        <w:rPr>
          <w:lang w:val="en-US"/>
        </w:rPr>
        <w:t>I/N</w:t>
      </w:r>
      <w:r w:rsidRPr="00FA50C6">
        <w:rPr>
          <w:lang w:val="en-US"/>
        </w:rPr>
        <w:tab/>
        <w:t>Interference-to-Noise ratio</w:t>
      </w:r>
    </w:p>
    <w:p w:rsidR="00FA50C6" w:rsidRPr="00FA50C6" w:rsidRDefault="00FA50C6" w:rsidP="00AC6AF9">
      <w:pPr>
        <w:tabs>
          <w:tab w:val="clear" w:pos="794"/>
        </w:tabs>
        <w:rPr>
          <w:lang w:val="en-US"/>
        </w:rPr>
      </w:pPr>
      <w:r w:rsidRPr="00FA50C6">
        <w:rPr>
          <w:lang w:val="en-US"/>
        </w:rPr>
        <w:t>RHCP</w:t>
      </w:r>
      <w:r w:rsidRPr="00FA50C6">
        <w:rPr>
          <w:lang w:val="en-US"/>
        </w:rPr>
        <w:tab/>
        <w:t>Right hand circularly polarized</w:t>
      </w:r>
    </w:p>
    <w:p w:rsidR="00FA50C6" w:rsidRPr="00FA50C6" w:rsidRDefault="00FA50C6" w:rsidP="00AC6AF9">
      <w:pPr>
        <w:tabs>
          <w:tab w:val="clear" w:pos="794"/>
        </w:tabs>
        <w:rPr>
          <w:lang w:val="en-US"/>
        </w:rPr>
      </w:pPr>
      <w:r w:rsidRPr="00FA50C6">
        <w:rPr>
          <w:lang w:val="en-US"/>
        </w:rPr>
        <w:t>RLOS</w:t>
      </w:r>
      <w:r w:rsidRPr="00FA50C6">
        <w:rPr>
          <w:lang w:val="en-US"/>
        </w:rPr>
        <w:tab/>
        <w:t>Radio-line-of-sight</w:t>
      </w:r>
    </w:p>
    <w:p w:rsidR="00FA50C6" w:rsidRPr="009D09BF" w:rsidRDefault="00FA50C6" w:rsidP="00E07AD7">
      <w:pPr>
        <w:pStyle w:val="Normalaftertitle"/>
        <w:rPr>
          <w:lang w:val="en-GB"/>
        </w:rPr>
      </w:pPr>
      <w:r w:rsidRPr="009D09BF">
        <w:rPr>
          <w:lang w:val="en-GB"/>
        </w:rPr>
        <w:t>The ITU Radiocommunication Assembly,</w:t>
      </w:r>
    </w:p>
    <w:p w:rsidR="00FA50C6" w:rsidRPr="00FA50C6" w:rsidRDefault="00FA50C6" w:rsidP="00FA50C6">
      <w:pPr>
        <w:pStyle w:val="Call"/>
        <w:rPr>
          <w:lang w:val="en-US"/>
        </w:rPr>
      </w:pPr>
      <w:r w:rsidRPr="00FA50C6">
        <w:rPr>
          <w:lang w:val="en-US"/>
        </w:rPr>
        <w:t>considering</w:t>
      </w:r>
    </w:p>
    <w:p w:rsidR="00FA50C6" w:rsidRPr="00FA50C6" w:rsidRDefault="00FA50C6" w:rsidP="00FA50C6">
      <w:pPr>
        <w:rPr>
          <w:lang w:val="en-US"/>
        </w:rPr>
      </w:pPr>
      <w:r w:rsidRPr="00FA50C6">
        <w:rPr>
          <w:lang w:val="en-US"/>
        </w:rPr>
        <w:t>that systems and networks operating in the aeronautical mobile service (AMS) are used to provide broadband and narrow-band airborne data links to support disaster relief, scientific research, remote sensing, wildfire firefighting, land and crop surveying, pipeline monitoring, and other emergency management applications,</w:t>
      </w:r>
    </w:p>
    <w:p w:rsidR="00FA50C6" w:rsidRPr="00FA50C6" w:rsidRDefault="00FA50C6" w:rsidP="00FA50C6">
      <w:pPr>
        <w:pStyle w:val="Call"/>
        <w:rPr>
          <w:lang w:val="en-US"/>
        </w:rPr>
      </w:pPr>
      <w:r w:rsidRPr="00FA50C6">
        <w:rPr>
          <w:lang w:val="en-US"/>
        </w:rPr>
        <w:t>recognizing</w:t>
      </w:r>
    </w:p>
    <w:p w:rsidR="00FA50C6" w:rsidRPr="00FA50C6" w:rsidRDefault="00FA50C6" w:rsidP="00FA50C6">
      <w:pPr>
        <w:rPr>
          <w:lang w:val="en-US"/>
        </w:rPr>
      </w:pPr>
      <w:r w:rsidRPr="00FA50C6">
        <w:rPr>
          <w:i/>
          <w:iCs/>
          <w:lang w:val="en-US"/>
        </w:rPr>
        <w:t>a)</w:t>
      </w:r>
      <w:r w:rsidRPr="00FA50C6">
        <w:rPr>
          <w:i/>
          <w:iCs/>
          <w:lang w:val="en-US"/>
        </w:rPr>
        <w:tab/>
      </w:r>
      <w:r>
        <w:rPr>
          <w:lang w:val="en-US"/>
        </w:rPr>
        <w:t>that frequency band 45.5-</w:t>
      </w:r>
      <w:r w:rsidRPr="00FA50C6">
        <w:rPr>
          <w:lang w:val="en-US"/>
        </w:rPr>
        <w:t>47 GHz is globally allocated on a primary basis to the mobile service;</w:t>
      </w:r>
    </w:p>
    <w:p w:rsidR="00FA50C6" w:rsidRPr="00FA50C6" w:rsidRDefault="00FA50C6" w:rsidP="00FA50C6">
      <w:pPr>
        <w:rPr>
          <w:szCs w:val="24"/>
          <w:lang w:val="en-US"/>
        </w:rPr>
      </w:pPr>
      <w:r w:rsidRPr="00FA50C6">
        <w:rPr>
          <w:i/>
          <w:szCs w:val="24"/>
          <w:lang w:val="en-US"/>
        </w:rPr>
        <w:t>b)</w:t>
      </w:r>
      <w:r w:rsidRPr="00FA50C6">
        <w:rPr>
          <w:szCs w:val="24"/>
          <w:lang w:val="en-US"/>
        </w:rPr>
        <w:tab/>
      </w:r>
      <w:r w:rsidRPr="00FA50C6">
        <w:rPr>
          <w:lang w:val="en-US"/>
        </w:rPr>
        <w:t>that aeronautical mobile service (AMS) is a subset of the mobile service;</w:t>
      </w:r>
    </w:p>
    <w:p w:rsidR="00FA50C6" w:rsidRPr="00FA50C6" w:rsidRDefault="00FA50C6" w:rsidP="00FA50C6">
      <w:pPr>
        <w:rPr>
          <w:lang w:val="en-US"/>
        </w:rPr>
      </w:pPr>
      <w:r w:rsidRPr="00FA50C6">
        <w:rPr>
          <w:i/>
          <w:iCs/>
          <w:lang w:val="en-US"/>
        </w:rPr>
        <w:t>c)</w:t>
      </w:r>
      <w:r w:rsidRPr="00FA50C6">
        <w:rPr>
          <w:lang w:val="en-US"/>
        </w:rPr>
        <w:tab/>
        <w:t>that the aeronautical mobile service is a mobile service between aeronautical stations and aircraft stations, or between aircraft stations;</w:t>
      </w:r>
    </w:p>
    <w:p w:rsidR="00FA50C6" w:rsidRPr="00FA50C6" w:rsidRDefault="00FA50C6" w:rsidP="00FA50C6">
      <w:pPr>
        <w:rPr>
          <w:lang w:val="en-US"/>
        </w:rPr>
      </w:pPr>
      <w:r w:rsidRPr="00FA50C6">
        <w:rPr>
          <w:i/>
          <w:szCs w:val="24"/>
          <w:lang w:val="en-US"/>
        </w:rPr>
        <w:t>d</w:t>
      </w:r>
      <w:r w:rsidRPr="00FA50C6">
        <w:rPr>
          <w:i/>
          <w:iCs/>
          <w:lang w:val="en-US"/>
        </w:rPr>
        <w:t>)</w:t>
      </w:r>
      <w:r w:rsidRPr="00FA50C6">
        <w:rPr>
          <w:lang w:val="en-US"/>
        </w:rPr>
        <w:tab/>
        <w:t>that the use of systems operated under aeronautical mobile service does not preclude the use of the frequency band by any current and planned systems in the mobile service and does not establish any priority in the Radio Regulations;</w:t>
      </w:r>
    </w:p>
    <w:p w:rsidR="00FA50C6" w:rsidRPr="00FA50C6" w:rsidRDefault="00FA50C6" w:rsidP="00FA50C6">
      <w:pPr>
        <w:rPr>
          <w:lang w:val="en-US"/>
        </w:rPr>
      </w:pPr>
      <w:r w:rsidRPr="00FA50C6">
        <w:rPr>
          <w:i/>
          <w:lang w:val="en-US"/>
        </w:rPr>
        <w:t>e)</w:t>
      </w:r>
      <w:r w:rsidRPr="00FA50C6">
        <w:rPr>
          <w:lang w:val="en-US"/>
        </w:rPr>
        <w:tab/>
        <w:t>that the frequency band 45.5</w:t>
      </w:r>
      <w:r>
        <w:rPr>
          <w:lang w:val="en-US"/>
        </w:rPr>
        <w:t>-</w:t>
      </w:r>
      <w:r w:rsidRPr="00FA50C6">
        <w:rPr>
          <w:lang w:val="en-US"/>
        </w:rPr>
        <w:t>47 GHz is also allocated on a primary basis to mobile-satellite, radionavigation and radionavigation-satellite services in some or all parts of the frequency bands;</w:t>
      </w:r>
    </w:p>
    <w:p w:rsidR="00FA50C6" w:rsidRPr="00FA50C6" w:rsidRDefault="00FA50C6" w:rsidP="00FA50C6">
      <w:pPr>
        <w:rPr>
          <w:szCs w:val="24"/>
          <w:lang w:val="en-US"/>
        </w:rPr>
      </w:pPr>
      <w:r w:rsidRPr="00FA50C6">
        <w:rPr>
          <w:i/>
          <w:szCs w:val="24"/>
          <w:lang w:val="en-US"/>
        </w:rPr>
        <w:lastRenderedPageBreak/>
        <w:t>f)</w:t>
      </w:r>
      <w:r w:rsidRPr="00FA50C6">
        <w:rPr>
          <w:i/>
          <w:szCs w:val="24"/>
          <w:lang w:val="en-US"/>
        </w:rPr>
        <w:tab/>
      </w:r>
      <w:r w:rsidRPr="00FA50C6">
        <w:rPr>
          <w:szCs w:val="24"/>
          <w:lang w:val="en-US"/>
        </w:rPr>
        <w:t>that in these bands new systems under the mobile service are currently envisaged and studied by ITU;</w:t>
      </w:r>
    </w:p>
    <w:p w:rsidR="00FA50C6" w:rsidRPr="00FA50C6" w:rsidDel="001D491F" w:rsidRDefault="00FA50C6" w:rsidP="00FA50C6">
      <w:pPr>
        <w:rPr>
          <w:szCs w:val="24"/>
          <w:lang w:val="en-US"/>
        </w:rPr>
      </w:pPr>
      <w:r w:rsidRPr="00FA50C6" w:rsidDel="001D491F">
        <w:rPr>
          <w:i/>
          <w:szCs w:val="24"/>
          <w:lang w:val="en-US"/>
        </w:rPr>
        <w:t>g)</w:t>
      </w:r>
      <w:r w:rsidRPr="00FA50C6" w:rsidDel="001D491F">
        <w:rPr>
          <w:i/>
          <w:szCs w:val="24"/>
          <w:lang w:val="en-US"/>
        </w:rPr>
        <w:tab/>
      </w:r>
      <w:r w:rsidRPr="00FA50C6" w:rsidDel="001D491F">
        <w:rPr>
          <w:szCs w:val="24"/>
          <w:lang w:val="en-US"/>
        </w:rPr>
        <w:t xml:space="preserve">that operations of aeronautical mobile systems </w:t>
      </w:r>
      <w:r w:rsidRPr="00FA50C6" w:rsidDel="001D491F">
        <w:rPr>
          <w:iCs/>
          <w:szCs w:val="24"/>
          <w:lang w:val="en-US"/>
        </w:rPr>
        <w:t>introduce more complex sharing</w:t>
      </w:r>
      <w:r w:rsidRPr="00FA50C6" w:rsidDel="001D491F">
        <w:rPr>
          <w:szCs w:val="24"/>
          <w:lang w:val="en-US"/>
        </w:rPr>
        <w:t xml:space="preserve"> over large areas and may require bilateral agreement between the administration operating AMS and affected administrations;</w:t>
      </w:r>
    </w:p>
    <w:p w:rsidR="00FA50C6" w:rsidRPr="00FA50C6" w:rsidRDefault="00FA50C6" w:rsidP="00FA50C6">
      <w:pPr>
        <w:rPr>
          <w:lang w:val="en-US"/>
        </w:rPr>
      </w:pPr>
      <w:r w:rsidRPr="00FA50C6">
        <w:rPr>
          <w:i/>
          <w:iCs/>
          <w:lang w:val="en-US"/>
        </w:rPr>
        <w:t>h)</w:t>
      </w:r>
      <w:r w:rsidRPr="00FA50C6">
        <w:rPr>
          <w:lang w:val="en-US"/>
        </w:rPr>
        <w:tab/>
        <w:t xml:space="preserve">that RR No. </w:t>
      </w:r>
      <w:r w:rsidRPr="00FA50C6">
        <w:rPr>
          <w:b/>
          <w:lang w:val="en-US"/>
        </w:rPr>
        <w:t xml:space="preserve">21 </w:t>
      </w:r>
      <w:r w:rsidRPr="00FA50C6">
        <w:rPr>
          <w:lang w:val="en-US"/>
        </w:rPr>
        <w:t>contains power limits and other requirements for terrestrial and space services sharing frequency bands above 1 GHz,</w:t>
      </w:r>
    </w:p>
    <w:p w:rsidR="00FA50C6" w:rsidRPr="00FA50C6" w:rsidRDefault="00FA50C6" w:rsidP="00FA50C6">
      <w:pPr>
        <w:pStyle w:val="Call"/>
        <w:rPr>
          <w:lang w:val="en-US"/>
        </w:rPr>
      </w:pPr>
      <w:r w:rsidRPr="00FA50C6">
        <w:rPr>
          <w:lang w:val="en-US"/>
        </w:rPr>
        <w:t>recommends</w:t>
      </w:r>
    </w:p>
    <w:p w:rsidR="00FA50C6" w:rsidRPr="00FA50C6" w:rsidRDefault="00FA50C6" w:rsidP="00FA50C6">
      <w:pPr>
        <w:rPr>
          <w:szCs w:val="24"/>
          <w:lang w:val="en-US"/>
        </w:rPr>
      </w:pPr>
      <w:r w:rsidRPr="00FA50C6">
        <w:rPr>
          <w:b/>
          <w:bCs/>
          <w:lang w:val="en-US"/>
        </w:rPr>
        <w:t>1</w:t>
      </w:r>
      <w:r w:rsidRPr="00FA50C6">
        <w:rPr>
          <w:lang w:val="en-US"/>
        </w:rPr>
        <w:tab/>
      </w:r>
      <w:r w:rsidRPr="00FA50C6">
        <w:rPr>
          <w:szCs w:val="24"/>
          <w:lang w:val="en-US"/>
        </w:rPr>
        <w:t>that the technical and operational characteristics of the systems operating in the AMS described in the Annex should be considered representative of those operating in the frequency band 45.5-47 GHz;</w:t>
      </w:r>
    </w:p>
    <w:p w:rsidR="00FA50C6" w:rsidRPr="00FA50C6" w:rsidRDefault="00FA50C6" w:rsidP="00FA50C6">
      <w:pPr>
        <w:rPr>
          <w:szCs w:val="24"/>
          <w:lang w:val="en-US"/>
        </w:rPr>
      </w:pPr>
      <w:r w:rsidRPr="00FA50C6">
        <w:rPr>
          <w:b/>
          <w:bCs/>
          <w:szCs w:val="24"/>
          <w:lang w:val="en-US"/>
        </w:rPr>
        <w:t>2</w:t>
      </w:r>
      <w:r w:rsidRPr="00FA50C6">
        <w:rPr>
          <w:szCs w:val="24"/>
          <w:lang w:val="en-US"/>
        </w:rPr>
        <w:tab/>
        <w:t xml:space="preserve">that the criterion of interfering signal power to receiver noise power level, </w:t>
      </w:r>
      <w:r w:rsidRPr="00FA50C6">
        <w:rPr>
          <w:i/>
          <w:iCs/>
          <w:szCs w:val="24"/>
          <w:lang w:val="en-US"/>
        </w:rPr>
        <w:t>I</w:t>
      </w:r>
      <w:r w:rsidRPr="009D09BF">
        <w:rPr>
          <w:szCs w:val="24"/>
          <w:lang w:val="en-US"/>
        </w:rPr>
        <w:t>/</w:t>
      </w:r>
      <w:r w:rsidRPr="00FA50C6">
        <w:rPr>
          <w:i/>
          <w:iCs/>
          <w:szCs w:val="24"/>
          <w:lang w:val="en-US"/>
        </w:rPr>
        <w:t>N</w:t>
      </w:r>
      <w:r w:rsidRPr="00FA50C6">
        <w:rPr>
          <w:szCs w:val="24"/>
          <w:lang w:val="en-US"/>
        </w:rPr>
        <w:t xml:space="preserve">, of </w:t>
      </w:r>
      <w:r>
        <w:rPr>
          <w:szCs w:val="24"/>
          <w:lang w:val="en-US"/>
        </w:rPr>
        <w:t>−</w:t>
      </w:r>
      <w:r w:rsidRPr="00FA50C6">
        <w:rPr>
          <w:szCs w:val="24"/>
          <w:lang w:val="en-US"/>
        </w:rPr>
        <w:t>6 dB should be used as the required protection level for AMS receivers. If multiple potential interference sources are present, protection of the AMS requires that this criterion is not exceeded due to the aggregate interference from the multiple sources.</w:t>
      </w:r>
    </w:p>
    <w:p w:rsidR="00FA50C6" w:rsidRDefault="00FA50C6" w:rsidP="00FA50C6">
      <w:pPr>
        <w:rPr>
          <w:lang w:val="en-US"/>
        </w:rPr>
      </w:pPr>
    </w:p>
    <w:p w:rsidR="00FA50C6" w:rsidRPr="00FA50C6" w:rsidRDefault="00FA50C6" w:rsidP="00FA50C6">
      <w:pPr>
        <w:rPr>
          <w:lang w:val="en-US"/>
        </w:rPr>
      </w:pPr>
    </w:p>
    <w:p w:rsidR="00FA50C6" w:rsidRPr="00FA50C6" w:rsidRDefault="00FA50C6" w:rsidP="00FA50C6">
      <w:pPr>
        <w:pStyle w:val="AnnexNoTitle"/>
        <w:rPr>
          <w:lang w:val="en-US"/>
        </w:rPr>
      </w:pPr>
      <w:r w:rsidRPr="00FA50C6">
        <w:rPr>
          <w:lang w:val="en-US"/>
        </w:rPr>
        <w:t>Annex</w:t>
      </w:r>
      <w:r w:rsidRPr="00FA50C6">
        <w:rPr>
          <w:lang w:val="en-US"/>
        </w:rPr>
        <w:br/>
      </w:r>
      <w:r w:rsidRPr="00FA50C6">
        <w:rPr>
          <w:lang w:val="en-US"/>
        </w:rPr>
        <w:br/>
        <w:t xml:space="preserve">Technical and operational characteristics of and protection criteria for aeronautical mobile </w:t>
      </w:r>
      <w:r w:rsidR="00387CB0">
        <w:rPr>
          <w:lang w:val="en-US"/>
        </w:rPr>
        <w:t>service systems in the 45.5-</w:t>
      </w:r>
      <w:r w:rsidRPr="00FA50C6">
        <w:rPr>
          <w:lang w:val="en-US"/>
        </w:rPr>
        <w:t>47 GHz frequency range</w:t>
      </w:r>
    </w:p>
    <w:p w:rsidR="00FA50C6" w:rsidRPr="00E07AD7" w:rsidRDefault="00FA50C6" w:rsidP="00387CB0">
      <w:pPr>
        <w:pStyle w:val="Heading1"/>
        <w:rPr>
          <w:lang w:val="en-GB"/>
        </w:rPr>
      </w:pPr>
      <w:r w:rsidRPr="00E07AD7">
        <w:rPr>
          <w:lang w:val="en-GB"/>
        </w:rPr>
        <w:t>1</w:t>
      </w:r>
      <w:r w:rsidRPr="00E07AD7">
        <w:rPr>
          <w:lang w:val="en-GB"/>
        </w:rPr>
        <w:tab/>
        <w:t>Introduction</w:t>
      </w:r>
    </w:p>
    <w:p w:rsidR="00FA50C6" w:rsidRPr="00FA50C6" w:rsidRDefault="00FA50C6" w:rsidP="00FA50C6">
      <w:pPr>
        <w:rPr>
          <w:lang w:val="en-US"/>
        </w:rPr>
      </w:pPr>
      <w:r w:rsidRPr="00FA50C6">
        <w:rPr>
          <w:lang w:val="en-US"/>
        </w:rPr>
        <w:t>Systems and networks operating in the AMS are increasingly used by local and national governments, as well as civil sector and educational and research entities, to provide broadband and narrow-band airborne data links that support scientific research, remote sensing, agriculture and urban land use survey, local and national law enforcement, forest fire mapping and pipeline monitoring applications.</w:t>
      </w:r>
    </w:p>
    <w:p w:rsidR="00FA50C6" w:rsidRPr="00FA50C6" w:rsidRDefault="00FA50C6" w:rsidP="00FA50C6">
      <w:pPr>
        <w:rPr>
          <w:lang w:val="en-US"/>
        </w:rPr>
      </w:pPr>
      <w:r w:rsidRPr="00FA50C6">
        <w:rPr>
          <w:lang w:val="en-US"/>
        </w:rPr>
        <w:t>The broadband data links are used to transmit data collected from one or multiple research/remote sensing equipment on the aircraft, and the narrow-band data links are used to control this remote sensing equipment on-board the aircraft.</w:t>
      </w:r>
    </w:p>
    <w:p w:rsidR="00FA50C6" w:rsidRPr="00E07AD7" w:rsidRDefault="00FA50C6" w:rsidP="00387CB0">
      <w:pPr>
        <w:pStyle w:val="Heading1"/>
        <w:rPr>
          <w:lang w:val="en-GB"/>
        </w:rPr>
      </w:pPr>
      <w:r w:rsidRPr="00E07AD7">
        <w:rPr>
          <w:lang w:val="en-GB"/>
        </w:rPr>
        <w:t>2</w:t>
      </w:r>
      <w:r w:rsidRPr="00E07AD7">
        <w:rPr>
          <w:lang w:val="en-GB"/>
        </w:rPr>
        <w:tab/>
        <w:t xml:space="preserve">Technical characteristics of aeronautical mobile service system </w:t>
      </w:r>
    </w:p>
    <w:p w:rsidR="00FA50C6" w:rsidRPr="00FA50C6" w:rsidRDefault="00FA50C6" w:rsidP="00FA50C6">
      <w:pPr>
        <w:rPr>
          <w:lang w:val="en-US"/>
        </w:rPr>
      </w:pPr>
      <w:r w:rsidRPr="00FA50C6">
        <w:rPr>
          <w:lang w:val="en-US"/>
        </w:rPr>
        <w:t>Representative technical characteristics for A</w:t>
      </w:r>
      <w:r>
        <w:rPr>
          <w:lang w:val="en-US"/>
        </w:rPr>
        <w:t>MS system operating in the 45.5-</w:t>
      </w:r>
      <w:r w:rsidRPr="00FA50C6">
        <w:rPr>
          <w:lang w:val="en-US"/>
        </w:rPr>
        <w:t>47 GHz frequency band are provided in Table 1.</w:t>
      </w:r>
    </w:p>
    <w:p w:rsidR="00FA50C6" w:rsidRPr="00FA50C6" w:rsidRDefault="00FA50C6" w:rsidP="00FA50C6">
      <w:pPr>
        <w:pStyle w:val="TableNo"/>
        <w:rPr>
          <w:lang w:val="en-US"/>
        </w:rPr>
      </w:pPr>
      <w:r w:rsidRPr="00FA50C6">
        <w:rPr>
          <w:lang w:val="en-US"/>
        </w:rPr>
        <w:lastRenderedPageBreak/>
        <w:t>TABLE 1</w:t>
      </w:r>
    </w:p>
    <w:p w:rsidR="00FA50C6" w:rsidRPr="00FA50C6" w:rsidRDefault="00FA50C6" w:rsidP="00922F90">
      <w:pPr>
        <w:pStyle w:val="Tabletitle"/>
        <w:rPr>
          <w:lang w:val="en-US"/>
        </w:rPr>
      </w:pPr>
      <w:r w:rsidRPr="00FA50C6">
        <w:rPr>
          <w:lang w:val="en-US"/>
        </w:rPr>
        <w:t>Representative technical characteristics of aeronautical mobile service system</w:t>
      </w:r>
      <w:r w:rsidR="00922F90">
        <w:rPr>
          <w:lang w:val="en-US"/>
        </w:rPr>
        <w:br/>
      </w:r>
      <w:r w:rsidRPr="00FA50C6">
        <w:rPr>
          <w:lang w:val="en-US"/>
        </w:rPr>
        <w:t xml:space="preserve"> in</w:t>
      </w:r>
      <w:r w:rsidR="00922F90">
        <w:rPr>
          <w:lang w:val="en-US"/>
        </w:rPr>
        <w:t> </w:t>
      </w:r>
      <w:r w:rsidRPr="00FA50C6">
        <w:rPr>
          <w:lang w:val="en-US"/>
        </w:rPr>
        <w:t>the 45.5</w:t>
      </w:r>
      <w:r>
        <w:rPr>
          <w:lang w:val="en-US"/>
        </w:rPr>
        <w:t>-</w:t>
      </w:r>
      <w:r w:rsidRPr="00FA50C6">
        <w:rPr>
          <w:lang w:val="en-US"/>
        </w:rPr>
        <w:t>47 GHz frequency range</w:t>
      </w:r>
    </w:p>
    <w:tbl>
      <w:tblPr>
        <w:tblStyle w:val="TableGrid"/>
        <w:tblW w:w="9639" w:type="dxa"/>
        <w:tblLook w:val="04A0" w:firstRow="1" w:lastRow="0" w:firstColumn="1" w:lastColumn="0" w:noHBand="0" w:noVBand="1"/>
      </w:tblPr>
      <w:tblGrid>
        <w:gridCol w:w="1549"/>
        <w:gridCol w:w="953"/>
        <w:gridCol w:w="1270"/>
        <w:gridCol w:w="1004"/>
        <w:gridCol w:w="1004"/>
        <w:gridCol w:w="1006"/>
        <w:gridCol w:w="2853"/>
      </w:tblGrid>
      <w:tr w:rsidR="00FA50C6" w:rsidRPr="00FA50C6" w:rsidTr="00FA50C6">
        <w:trPr>
          <w:tblHeader/>
        </w:trPr>
        <w:tc>
          <w:tcPr>
            <w:tcW w:w="12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50C6" w:rsidRPr="00FA50C6" w:rsidRDefault="00FA50C6" w:rsidP="00FA50C6">
            <w:pPr>
              <w:pStyle w:val="Tablehead"/>
              <w:rPr>
                <w:rFonts w:asciiTheme="majorBidi" w:hAnsiTheme="majorBidi" w:cstheme="majorBidi"/>
              </w:rPr>
            </w:pPr>
            <w:r w:rsidRPr="00FA50C6">
              <w:rPr>
                <w:rFonts w:asciiTheme="majorBidi" w:hAnsiTheme="majorBidi" w:cstheme="majorBidi"/>
              </w:rPr>
              <w:t>Parameter</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50C6" w:rsidRPr="00FA50C6" w:rsidRDefault="00FA50C6" w:rsidP="00FA50C6">
            <w:pPr>
              <w:pStyle w:val="Tablehead"/>
              <w:rPr>
                <w:rFonts w:asciiTheme="majorBidi" w:hAnsiTheme="majorBidi" w:cstheme="majorBidi"/>
              </w:rPr>
            </w:pPr>
            <w:r w:rsidRPr="00FA50C6">
              <w:rPr>
                <w:rFonts w:asciiTheme="majorBidi" w:hAnsiTheme="majorBidi" w:cstheme="majorBidi"/>
              </w:rPr>
              <w:t>Units</w:t>
            </w:r>
          </w:p>
        </w:tc>
        <w:tc>
          <w:tcPr>
            <w:tcW w:w="1563" w:type="pct"/>
            <w:gridSpan w:val="3"/>
            <w:tcBorders>
              <w:top w:val="single" w:sz="4" w:space="0" w:color="auto"/>
              <w:left w:val="single" w:sz="4" w:space="0" w:color="auto"/>
              <w:bottom w:val="single" w:sz="4" w:space="0" w:color="auto"/>
              <w:right w:val="single" w:sz="4" w:space="0" w:color="auto"/>
            </w:tcBorders>
            <w:shd w:val="clear" w:color="auto" w:fill="auto"/>
            <w:hideMark/>
          </w:tcPr>
          <w:p w:rsidR="00FA50C6" w:rsidRPr="00FA50C6" w:rsidRDefault="00FA50C6" w:rsidP="00FA50C6">
            <w:pPr>
              <w:pStyle w:val="Tablehead"/>
              <w:rPr>
                <w:rFonts w:asciiTheme="majorBidi" w:hAnsiTheme="majorBidi" w:cstheme="majorBidi"/>
              </w:rPr>
            </w:pPr>
            <w:r w:rsidRPr="00FA50C6">
              <w:rPr>
                <w:rFonts w:asciiTheme="majorBidi" w:hAnsiTheme="majorBidi" w:cstheme="majorBidi"/>
              </w:rPr>
              <w:t xml:space="preserve">System 1 </w:t>
            </w:r>
            <w:r w:rsidRPr="00FA50C6">
              <w:rPr>
                <w:rFonts w:asciiTheme="majorBidi" w:hAnsiTheme="majorBidi" w:cstheme="majorBidi"/>
              </w:rPr>
              <w:br/>
              <w:t>Airborne</w:t>
            </w:r>
          </w:p>
        </w:tc>
        <w:tc>
          <w:tcPr>
            <w:tcW w:w="1481" w:type="pct"/>
            <w:tcBorders>
              <w:top w:val="single" w:sz="4" w:space="0" w:color="auto"/>
              <w:left w:val="single" w:sz="4" w:space="0" w:color="auto"/>
              <w:bottom w:val="single" w:sz="4" w:space="0" w:color="auto"/>
              <w:right w:val="single" w:sz="4" w:space="0" w:color="auto"/>
            </w:tcBorders>
            <w:shd w:val="clear" w:color="auto" w:fill="auto"/>
            <w:hideMark/>
          </w:tcPr>
          <w:p w:rsidR="00FA50C6" w:rsidRPr="00FA50C6" w:rsidRDefault="00FA50C6" w:rsidP="00FA50C6">
            <w:pPr>
              <w:pStyle w:val="Tablehead"/>
              <w:rPr>
                <w:rFonts w:asciiTheme="majorBidi" w:hAnsiTheme="majorBidi" w:cstheme="majorBidi"/>
              </w:rPr>
            </w:pPr>
            <w:r w:rsidRPr="00FA50C6">
              <w:rPr>
                <w:rFonts w:asciiTheme="majorBidi" w:hAnsiTheme="majorBidi" w:cstheme="majorBidi"/>
              </w:rPr>
              <w:t>System 1</w:t>
            </w:r>
            <w:r w:rsidRPr="00FA50C6">
              <w:rPr>
                <w:rFonts w:asciiTheme="majorBidi" w:hAnsiTheme="majorBidi" w:cstheme="majorBidi"/>
              </w:rPr>
              <w:br/>
              <w:t>Ground</w:t>
            </w:r>
          </w:p>
        </w:tc>
      </w:tr>
      <w:tr w:rsidR="00FA50C6" w:rsidRPr="00FA50C6" w:rsidTr="00FA50C6">
        <w:trPr>
          <w:tblHeader/>
        </w:trPr>
        <w:tc>
          <w:tcPr>
            <w:tcW w:w="12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 xml:space="preserve">Frequency </w:t>
            </w:r>
            <w:r w:rsidR="00387CB0" w:rsidRPr="00FA50C6">
              <w:rPr>
                <w:rFonts w:asciiTheme="majorBidi" w:hAnsiTheme="majorBidi" w:cstheme="majorBidi"/>
              </w:rPr>
              <w:t>range</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GHz</w:t>
            </w:r>
          </w:p>
        </w:tc>
        <w:tc>
          <w:tcPr>
            <w:tcW w:w="3044" w:type="pct"/>
            <w:gridSpan w:val="4"/>
            <w:tcBorders>
              <w:top w:val="single" w:sz="4" w:space="0" w:color="auto"/>
              <w:left w:val="single" w:sz="4" w:space="0" w:color="auto"/>
              <w:bottom w:val="single" w:sz="4" w:space="0" w:color="auto"/>
              <w:right w:val="single" w:sz="4" w:space="0" w:color="auto"/>
            </w:tcBorders>
            <w:shd w:val="clear" w:color="auto" w:fill="auto"/>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45.5</w:t>
            </w:r>
            <w:r>
              <w:rPr>
                <w:rFonts w:asciiTheme="majorBidi" w:hAnsiTheme="majorBidi" w:cstheme="majorBidi"/>
              </w:rPr>
              <w:t>-</w:t>
            </w:r>
            <w:r w:rsidRPr="00FA50C6">
              <w:rPr>
                <w:rFonts w:asciiTheme="majorBidi" w:hAnsiTheme="majorBidi" w:cstheme="majorBidi"/>
              </w:rPr>
              <w:t>47.0 GHz</w:t>
            </w:r>
          </w:p>
        </w:tc>
      </w:tr>
      <w:tr w:rsidR="00FA50C6" w:rsidRPr="00FA50C6" w:rsidTr="00FA50C6">
        <w:trPr>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50C6" w:rsidRPr="00FA50C6" w:rsidRDefault="00FA50C6" w:rsidP="00FA50C6">
            <w:pPr>
              <w:pStyle w:val="Tabletext"/>
              <w:jc w:val="left"/>
              <w:rPr>
                <w:rFonts w:asciiTheme="majorBidi" w:hAnsiTheme="majorBidi" w:cstheme="majorBidi"/>
                <w:b/>
                <w:bCs/>
              </w:rPr>
            </w:pPr>
            <w:r w:rsidRPr="00FA50C6">
              <w:rPr>
                <w:rFonts w:asciiTheme="majorBidi" w:hAnsiTheme="majorBidi" w:cstheme="majorBidi"/>
                <w:b/>
                <w:bCs/>
              </w:rPr>
              <w:t>Transmitter</w:t>
            </w:r>
          </w:p>
        </w:tc>
      </w:tr>
      <w:tr w:rsidR="00FA50C6" w:rsidRPr="00FA50C6" w:rsidTr="00FA50C6">
        <w:tc>
          <w:tcPr>
            <w:tcW w:w="1297" w:type="pct"/>
            <w:gridSpan w:val="2"/>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Power output</w:t>
            </w:r>
          </w:p>
        </w:tc>
        <w:tc>
          <w:tcPr>
            <w:tcW w:w="659"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dBm</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0 to 37</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0 to 45</w:t>
            </w:r>
          </w:p>
        </w:tc>
      </w:tr>
      <w:tr w:rsidR="00FA50C6" w:rsidRPr="00FA50C6" w:rsidTr="00FA50C6">
        <w:tc>
          <w:tcPr>
            <w:tcW w:w="803" w:type="pct"/>
            <w:vMerge w:val="restar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 xml:space="preserve">Bandwidth </w:t>
            </w:r>
          </w:p>
        </w:tc>
        <w:tc>
          <w:tcPr>
            <w:tcW w:w="494"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3 dB</w:t>
            </w:r>
          </w:p>
        </w:tc>
        <w:tc>
          <w:tcPr>
            <w:tcW w:w="659" w:type="pct"/>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MHz</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0.8</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0.8</w:t>
            </w:r>
          </w:p>
        </w:tc>
      </w:tr>
      <w:tr w:rsidR="00FA50C6" w:rsidRPr="00FA50C6" w:rsidTr="00FA50C6">
        <w:tc>
          <w:tcPr>
            <w:tcW w:w="803" w:type="pct"/>
            <w:vMerge/>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rPr>
                <w:rFonts w:asciiTheme="majorBidi" w:hAnsiTheme="majorBidi" w:cstheme="majorBidi"/>
              </w:rPr>
            </w:pPr>
          </w:p>
        </w:tc>
        <w:tc>
          <w:tcPr>
            <w:tcW w:w="494"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20 dB</w:t>
            </w:r>
          </w:p>
        </w:tc>
        <w:tc>
          <w:tcPr>
            <w:tcW w:w="659" w:type="pct"/>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MHz</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3</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3</w:t>
            </w:r>
          </w:p>
        </w:tc>
      </w:tr>
      <w:tr w:rsidR="00FA50C6" w:rsidRPr="00FA50C6" w:rsidTr="00FA50C6">
        <w:tc>
          <w:tcPr>
            <w:tcW w:w="803" w:type="pct"/>
            <w:vMerge/>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rPr>
                <w:rFonts w:asciiTheme="majorBidi" w:hAnsiTheme="majorBidi" w:cstheme="majorBidi"/>
              </w:rPr>
            </w:pPr>
          </w:p>
        </w:tc>
        <w:tc>
          <w:tcPr>
            <w:tcW w:w="494"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60 dB</w:t>
            </w:r>
          </w:p>
        </w:tc>
        <w:tc>
          <w:tcPr>
            <w:tcW w:w="659" w:type="pct"/>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MHz</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12</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12</w:t>
            </w:r>
          </w:p>
        </w:tc>
      </w:tr>
      <w:tr w:rsidR="00FA50C6" w:rsidRPr="00FA50C6" w:rsidTr="00FA50C6">
        <w:trPr>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50C6" w:rsidRPr="00FA50C6" w:rsidRDefault="00FA50C6" w:rsidP="00FA50C6">
            <w:pPr>
              <w:pStyle w:val="Tabletext"/>
              <w:jc w:val="left"/>
              <w:rPr>
                <w:rFonts w:asciiTheme="majorBidi" w:hAnsiTheme="majorBidi" w:cstheme="majorBidi"/>
                <w:b/>
                <w:bCs/>
              </w:rPr>
            </w:pPr>
            <w:r w:rsidRPr="00FA50C6">
              <w:rPr>
                <w:rFonts w:asciiTheme="majorBidi" w:hAnsiTheme="majorBidi" w:cstheme="majorBidi"/>
                <w:b/>
                <w:bCs/>
              </w:rPr>
              <w:t>Receiver</w:t>
            </w:r>
          </w:p>
        </w:tc>
      </w:tr>
      <w:tr w:rsidR="00FA50C6" w:rsidRPr="00FA50C6" w:rsidTr="00FA50C6">
        <w:tc>
          <w:tcPr>
            <w:tcW w:w="803" w:type="pct"/>
            <w:vMerge w:val="restar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 xml:space="preserve">RF Selectivity </w:t>
            </w:r>
          </w:p>
        </w:tc>
        <w:tc>
          <w:tcPr>
            <w:tcW w:w="494"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3 dB</w:t>
            </w:r>
          </w:p>
        </w:tc>
        <w:tc>
          <w:tcPr>
            <w:tcW w:w="659" w:type="pct"/>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MHz</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590</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520</w:t>
            </w:r>
          </w:p>
        </w:tc>
      </w:tr>
      <w:tr w:rsidR="00FA50C6" w:rsidRPr="00FA50C6" w:rsidTr="00FA50C6">
        <w:tc>
          <w:tcPr>
            <w:tcW w:w="803" w:type="pct"/>
            <w:vMerge/>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rPr>
                <w:rFonts w:asciiTheme="majorBidi" w:hAnsiTheme="majorBidi" w:cstheme="majorBidi"/>
              </w:rPr>
            </w:pPr>
          </w:p>
        </w:tc>
        <w:tc>
          <w:tcPr>
            <w:tcW w:w="494"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20 dB</w:t>
            </w:r>
          </w:p>
        </w:tc>
        <w:tc>
          <w:tcPr>
            <w:tcW w:w="659" w:type="pct"/>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MHz</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1000</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580</w:t>
            </w:r>
          </w:p>
        </w:tc>
      </w:tr>
      <w:tr w:rsidR="00FA50C6" w:rsidRPr="00FA50C6" w:rsidTr="00FA50C6">
        <w:tc>
          <w:tcPr>
            <w:tcW w:w="803" w:type="pct"/>
            <w:vMerge/>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rPr>
                <w:rFonts w:asciiTheme="majorBidi" w:hAnsiTheme="majorBidi" w:cstheme="majorBidi"/>
              </w:rPr>
            </w:pPr>
          </w:p>
        </w:tc>
        <w:tc>
          <w:tcPr>
            <w:tcW w:w="494"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60 dB</w:t>
            </w:r>
          </w:p>
        </w:tc>
        <w:tc>
          <w:tcPr>
            <w:tcW w:w="659" w:type="pct"/>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MHz</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2600</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720</w:t>
            </w:r>
          </w:p>
        </w:tc>
      </w:tr>
      <w:tr w:rsidR="00FA50C6" w:rsidRPr="00FA50C6" w:rsidTr="00FA50C6">
        <w:tc>
          <w:tcPr>
            <w:tcW w:w="803" w:type="pct"/>
            <w:vMerge w:val="restar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 xml:space="preserve">IF Selectivity </w:t>
            </w:r>
          </w:p>
        </w:tc>
        <w:tc>
          <w:tcPr>
            <w:tcW w:w="494"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3 dB</w:t>
            </w:r>
          </w:p>
        </w:tc>
        <w:tc>
          <w:tcPr>
            <w:tcW w:w="659" w:type="pct"/>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MHz</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400 / 4</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140 / 2</w:t>
            </w:r>
          </w:p>
        </w:tc>
      </w:tr>
      <w:tr w:rsidR="00FA50C6" w:rsidRPr="00FA50C6" w:rsidTr="00FA50C6">
        <w:tc>
          <w:tcPr>
            <w:tcW w:w="803" w:type="pct"/>
            <w:vMerge/>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rPr>
                <w:rFonts w:asciiTheme="majorBidi" w:hAnsiTheme="majorBidi" w:cstheme="majorBidi"/>
              </w:rPr>
            </w:pPr>
          </w:p>
        </w:tc>
        <w:tc>
          <w:tcPr>
            <w:tcW w:w="494"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20 dB</w:t>
            </w:r>
          </w:p>
        </w:tc>
        <w:tc>
          <w:tcPr>
            <w:tcW w:w="659" w:type="pct"/>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MHz</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800 / 15</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400 / 12</w:t>
            </w:r>
          </w:p>
        </w:tc>
      </w:tr>
      <w:tr w:rsidR="00FA50C6" w:rsidRPr="00FA50C6" w:rsidTr="00FA50C6">
        <w:tc>
          <w:tcPr>
            <w:tcW w:w="803" w:type="pct"/>
            <w:vMerge/>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rPr>
                <w:rFonts w:asciiTheme="majorBidi" w:hAnsiTheme="majorBidi" w:cstheme="majorBidi"/>
              </w:rPr>
            </w:pPr>
          </w:p>
        </w:tc>
        <w:tc>
          <w:tcPr>
            <w:tcW w:w="494"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60 dB</w:t>
            </w:r>
          </w:p>
        </w:tc>
        <w:tc>
          <w:tcPr>
            <w:tcW w:w="659" w:type="pct"/>
            <w:tcBorders>
              <w:top w:val="single" w:sz="4" w:space="0" w:color="auto"/>
              <w:left w:val="single" w:sz="4" w:space="0" w:color="auto"/>
              <w:bottom w:val="single" w:sz="4" w:space="0" w:color="auto"/>
              <w:right w:val="single" w:sz="4" w:space="0" w:color="auto"/>
            </w:tcBorders>
            <w:vAlign w:val="center"/>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MHz</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2 200 / 45</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850 / 30</w:t>
            </w:r>
          </w:p>
        </w:tc>
      </w:tr>
      <w:tr w:rsidR="00FA50C6" w:rsidRPr="00FA50C6" w:rsidTr="00FA50C6">
        <w:tc>
          <w:tcPr>
            <w:tcW w:w="1297" w:type="pct"/>
            <w:gridSpan w:val="2"/>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Noise Figure</w:t>
            </w:r>
          </w:p>
        </w:tc>
        <w:tc>
          <w:tcPr>
            <w:tcW w:w="659"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dB</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4</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4</w:t>
            </w:r>
          </w:p>
        </w:tc>
      </w:tr>
      <w:tr w:rsidR="00FA50C6" w:rsidRPr="00FA50C6" w:rsidTr="00FA50C6">
        <w:tc>
          <w:tcPr>
            <w:tcW w:w="1297" w:type="pct"/>
            <w:gridSpan w:val="2"/>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 xml:space="preserve">Sensitivity </w:t>
            </w:r>
          </w:p>
        </w:tc>
        <w:tc>
          <w:tcPr>
            <w:tcW w:w="659" w:type="pct"/>
            <w:tcBorders>
              <w:top w:val="single" w:sz="4" w:space="0" w:color="auto"/>
              <w:left w:val="single" w:sz="4" w:space="0" w:color="auto"/>
              <w:bottom w:val="single" w:sz="4" w:space="0" w:color="auto"/>
              <w:right w:val="single" w:sz="4" w:space="0" w:color="auto"/>
            </w:tcBorders>
            <w:hideMark/>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dBm</w:t>
            </w: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922F90" w:rsidP="00922F90">
            <w:pPr>
              <w:pStyle w:val="Tabletext"/>
              <w:jc w:val="center"/>
              <w:rPr>
                <w:rFonts w:asciiTheme="majorBidi" w:hAnsiTheme="majorBidi" w:cstheme="majorBidi"/>
              </w:rPr>
            </w:pPr>
            <w:r>
              <w:rPr>
                <w:rFonts w:asciiTheme="majorBidi" w:hAnsiTheme="majorBidi" w:cstheme="majorBidi"/>
              </w:rPr>
              <w:t>−</w:t>
            </w:r>
            <w:r w:rsidR="00FA50C6" w:rsidRPr="00FA50C6">
              <w:rPr>
                <w:rFonts w:asciiTheme="majorBidi" w:hAnsiTheme="majorBidi" w:cstheme="majorBidi"/>
              </w:rPr>
              <w:t xml:space="preserve">105 to </w:t>
            </w:r>
            <w:r>
              <w:rPr>
                <w:rFonts w:asciiTheme="majorBidi" w:hAnsiTheme="majorBidi" w:cstheme="majorBidi"/>
              </w:rPr>
              <w:t>−</w:t>
            </w:r>
            <w:r w:rsidR="00FA50C6" w:rsidRPr="00FA50C6">
              <w:rPr>
                <w:rFonts w:asciiTheme="majorBidi" w:hAnsiTheme="majorBidi" w:cstheme="majorBidi"/>
              </w:rPr>
              <w:t>112</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922F90" w:rsidP="00922F90">
            <w:pPr>
              <w:pStyle w:val="Tabletext"/>
              <w:jc w:val="center"/>
              <w:rPr>
                <w:rFonts w:asciiTheme="majorBidi" w:hAnsiTheme="majorBidi" w:cstheme="majorBidi"/>
              </w:rPr>
            </w:pPr>
            <w:r>
              <w:rPr>
                <w:rFonts w:asciiTheme="majorBidi" w:hAnsiTheme="majorBidi" w:cstheme="majorBidi"/>
              </w:rPr>
              <w:t>−</w:t>
            </w:r>
            <w:r w:rsidR="00FA50C6" w:rsidRPr="00FA50C6">
              <w:rPr>
                <w:rFonts w:asciiTheme="majorBidi" w:hAnsiTheme="majorBidi" w:cstheme="majorBidi"/>
              </w:rPr>
              <w:t xml:space="preserve">105 to </w:t>
            </w:r>
            <w:r>
              <w:rPr>
                <w:rFonts w:asciiTheme="majorBidi" w:hAnsiTheme="majorBidi" w:cstheme="majorBidi"/>
              </w:rPr>
              <w:t>−</w:t>
            </w:r>
            <w:r w:rsidR="00FA50C6" w:rsidRPr="00FA50C6">
              <w:rPr>
                <w:rFonts w:asciiTheme="majorBidi" w:hAnsiTheme="majorBidi" w:cstheme="majorBidi"/>
              </w:rPr>
              <w:t>110</w:t>
            </w:r>
          </w:p>
        </w:tc>
      </w:tr>
      <w:tr w:rsidR="00FA50C6" w:rsidRPr="00FA50C6" w:rsidTr="00FA50C6">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50C6" w:rsidRPr="00FA50C6" w:rsidRDefault="00FA50C6" w:rsidP="00FA50C6">
            <w:pPr>
              <w:pStyle w:val="Tabletext"/>
              <w:jc w:val="left"/>
              <w:rPr>
                <w:rFonts w:asciiTheme="majorBidi" w:hAnsiTheme="majorBidi" w:cstheme="majorBidi"/>
                <w:b/>
                <w:bCs/>
              </w:rPr>
            </w:pPr>
            <w:r w:rsidRPr="00FA50C6">
              <w:rPr>
                <w:rFonts w:asciiTheme="majorBidi" w:hAnsiTheme="majorBidi" w:cstheme="majorBidi"/>
                <w:b/>
                <w:bCs/>
              </w:rPr>
              <w:t>Antenna</w:t>
            </w:r>
          </w:p>
        </w:tc>
      </w:tr>
      <w:tr w:rsidR="00FA50C6" w:rsidRPr="00FA50C6" w:rsidTr="00FA50C6">
        <w:tc>
          <w:tcPr>
            <w:tcW w:w="1297" w:type="pct"/>
            <w:gridSpan w:val="2"/>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 xml:space="preserve">Antenna gain </w:t>
            </w:r>
          </w:p>
        </w:tc>
        <w:tc>
          <w:tcPr>
            <w:tcW w:w="659" w:type="pct"/>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dBi</w:t>
            </w:r>
          </w:p>
        </w:tc>
        <w:tc>
          <w:tcPr>
            <w:tcW w:w="52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27</w:t>
            </w:r>
          </w:p>
        </w:tc>
        <w:tc>
          <w:tcPr>
            <w:tcW w:w="52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17</w:t>
            </w:r>
          </w:p>
        </w:tc>
        <w:tc>
          <w:tcPr>
            <w:tcW w:w="522"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13</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40</w:t>
            </w:r>
          </w:p>
        </w:tc>
      </w:tr>
      <w:tr w:rsidR="00FA50C6" w:rsidRPr="00FA50C6" w:rsidTr="00FA50C6">
        <w:tc>
          <w:tcPr>
            <w:tcW w:w="1297" w:type="pct"/>
            <w:gridSpan w:val="2"/>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Polarization</w:t>
            </w:r>
          </w:p>
        </w:tc>
        <w:tc>
          <w:tcPr>
            <w:tcW w:w="659" w:type="pct"/>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jc w:val="center"/>
              <w:rPr>
                <w:rFonts w:asciiTheme="majorBidi" w:hAnsiTheme="majorBidi" w:cstheme="majorBidi"/>
              </w:rPr>
            </w:pP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RHCP</w:t>
            </w:r>
            <w:r w:rsidRPr="00922F90">
              <w:rPr>
                <w:rFonts w:asciiTheme="majorBidi" w:hAnsiTheme="majorBidi" w:cstheme="majorBidi"/>
                <w:vertAlign w:val="superscript"/>
              </w:rPr>
              <w:t>(1)</w:t>
            </w:r>
            <w:r w:rsidRPr="00FA50C6">
              <w:rPr>
                <w:rFonts w:asciiTheme="majorBidi" w:hAnsiTheme="majorBidi" w:cstheme="majorBidi"/>
              </w:rPr>
              <w:t xml:space="preserve"> and </w:t>
            </w:r>
            <w:r w:rsidR="00922F90" w:rsidRPr="00FA50C6">
              <w:rPr>
                <w:rFonts w:asciiTheme="majorBidi" w:hAnsiTheme="majorBidi" w:cstheme="majorBidi"/>
              </w:rPr>
              <w:t>linear</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RHCP</w:t>
            </w:r>
            <w:r w:rsidRPr="00922F90">
              <w:rPr>
                <w:rFonts w:asciiTheme="majorBidi" w:hAnsiTheme="majorBidi" w:cstheme="majorBidi"/>
                <w:vertAlign w:val="superscript"/>
              </w:rPr>
              <w:t>(1)</w:t>
            </w:r>
            <w:r w:rsidRPr="00FA50C6">
              <w:rPr>
                <w:rFonts w:asciiTheme="majorBidi" w:hAnsiTheme="majorBidi" w:cstheme="majorBidi"/>
              </w:rPr>
              <w:t xml:space="preserve"> and </w:t>
            </w:r>
            <w:r w:rsidR="00922F90" w:rsidRPr="00FA50C6">
              <w:rPr>
                <w:rFonts w:asciiTheme="majorBidi" w:hAnsiTheme="majorBidi" w:cstheme="majorBidi"/>
              </w:rPr>
              <w:t>linear</w:t>
            </w:r>
          </w:p>
        </w:tc>
      </w:tr>
      <w:tr w:rsidR="00FA50C6" w:rsidRPr="00FA50C6" w:rsidTr="00FA50C6">
        <w:tc>
          <w:tcPr>
            <w:tcW w:w="1297" w:type="pct"/>
            <w:gridSpan w:val="2"/>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 xml:space="preserve">Antenna </w:t>
            </w:r>
            <w:r w:rsidR="00922F90" w:rsidRPr="00FA50C6">
              <w:rPr>
                <w:rFonts w:asciiTheme="majorBidi" w:hAnsiTheme="majorBidi" w:cstheme="majorBidi"/>
              </w:rPr>
              <w:t>type</w:t>
            </w:r>
          </w:p>
        </w:tc>
        <w:tc>
          <w:tcPr>
            <w:tcW w:w="659" w:type="pct"/>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jc w:val="center"/>
              <w:rPr>
                <w:rFonts w:asciiTheme="majorBidi" w:hAnsiTheme="majorBidi" w:cstheme="majorBidi"/>
              </w:rPr>
            </w:pP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 xml:space="preserve">Slot </w:t>
            </w:r>
            <w:r w:rsidR="00922F90" w:rsidRPr="00FA50C6">
              <w:rPr>
                <w:rFonts w:asciiTheme="majorBidi" w:hAnsiTheme="majorBidi" w:cstheme="majorBidi"/>
              </w:rPr>
              <w:t>array</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 xml:space="preserve">Parabolic </w:t>
            </w:r>
            <w:r w:rsidR="00922F90" w:rsidRPr="00FA50C6">
              <w:rPr>
                <w:rFonts w:asciiTheme="majorBidi" w:hAnsiTheme="majorBidi" w:cstheme="majorBidi"/>
              </w:rPr>
              <w:t>reflector</w:t>
            </w:r>
          </w:p>
        </w:tc>
      </w:tr>
      <w:tr w:rsidR="00FA50C6" w:rsidRPr="00FA50C6" w:rsidTr="00FA50C6">
        <w:tc>
          <w:tcPr>
            <w:tcW w:w="1297" w:type="pct"/>
            <w:gridSpan w:val="2"/>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 xml:space="preserve">Horizontal BW </w:t>
            </w:r>
          </w:p>
        </w:tc>
        <w:tc>
          <w:tcPr>
            <w:tcW w:w="659" w:type="pct"/>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degrees</w:t>
            </w:r>
          </w:p>
        </w:tc>
        <w:tc>
          <w:tcPr>
            <w:tcW w:w="52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10/</w:t>
            </w:r>
          </w:p>
        </w:tc>
        <w:tc>
          <w:tcPr>
            <w:tcW w:w="52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15</w:t>
            </w:r>
          </w:p>
        </w:tc>
        <w:tc>
          <w:tcPr>
            <w:tcW w:w="522"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29</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3</w:t>
            </w:r>
          </w:p>
        </w:tc>
      </w:tr>
      <w:tr w:rsidR="00FA50C6" w:rsidRPr="00FA50C6" w:rsidTr="00FA50C6">
        <w:tc>
          <w:tcPr>
            <w:tcW w:w="1297" w:type="pct"/>
            <w:gridSpan w:val="2"/>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 xml:space="preserve">Vertical BW </w:t>
            </w:r>
          </w:p>
        </w:tc>
        <w:tc>
          <w:tcPr>
            <w:tcW w:w="659" w:type="pct"/>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degrees</w:t>
            </w:r>
          </w:p>
        </w:tc>
        <w:tc>
          <w:tcPr>
            <w:tcW w:w="52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15</w:t>
            </w:r>
          </w:p>
        </w:tc>
        <w:tc>
          <w:tcPr>
            <w:tcW w:w="52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20</w:t>
            </w:r>
          </w:p>
        </w:tc>
        <w:tc>
          <w:tcPr>
            <w:tcW w:w="522"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12</w:t>
            </w:r>
          </w:p>
        </w:tc>
        <w:tc>
          <w:tcPr>
            <w:tcW w:w="1481" w:type="pct"/>
            <w:tcBorders>
              <w:top w:val="single" w:sz="4" w:space="0" w:color="auto"/>
              <w:left w:val="single" w:sz="4" w:space="0" w:color="auto"/>
              <w:bottom w:val="single" w:sz="4" w:space="0" w:color="auto"/>
              <w:right w:val="single" w:sz="4" w:space="0" w:color="auto"/>
            </w:tcBorders>
            <w:vAlign w:val="center"/>
          </w:tcPr>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3</w:t>
            </w:r>
          </w:p>
        </w:tc>
      </w:tr>
      <w:tr w:rsidR="00FA50C6" w:rsidRPr="00FA50C6" w:rsidTr="00FA50C6">
        <w:tc>
          <w:tcPr>
            <w:tcW w:w="1297" w:type="pct"/>
            <w:gridSpan w:val="2"/>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rPr>
                <w:rFonts w:asciiTheme="majorBidi" w:hAnsiTheme="majorBidi" w:cstheme="majorBidi"/>
              </w:rPr>
            </w:pPr>
            <w:r w:rsidRPr="00FA50C6">
              <w:rPr>
                <w:rFonts w:asciiTheme="majorBidi" w:hAnsiTheme="majorBidi" w:cstheme="majorBidi"/>
              </w:rPr>
              <w:t xml:space="preserve">Antenna </w:t>
            </w:r>
            <w:r w:rsidR="00922F90" w:rsidRPr="00FA50C6">
              <w:rPr>
                <w:rFonts w:asciiTheme="majorBidi" w:hAnsiTheme="majorBidi" w:cstheme="majorBidi"/>
              </w:rPr>
              <w:t>pattern model</w:t>
            </w:r>
          </w:p>
        </w:tc>
        <w:tc>
          <w:tcPr>
            <w:tcW w:w="659" w:type="pct"/>
            <w:tcBorders>
              <w:top w:val="single" w:sz="4" w:space="0" w:color="auto"/>
              <w:left w:val="single" w:sz="4" w:space="0" w:color="auto"/>
              <w:bottom w:val="single" w:sz="4" w:space="0" w:color="auto"/>
              <w:right w:val="single" w:sz="4" w:space="0" w:color="auto"/>
            </w:tcBorders>
          </w:tcPr>
          <w:p w:rsidR="00FA50C6" w:rsidRPr="00FA50C6" w:rsidRDefault="00FA50C6" w:rsidP="00FA50C6">
            <w:pPr>
              <w:pStyle w:val="Tabletext"/>
              <w:jc w:val="center"/>
              <w:rPr>
                <w:rFonts w:asciiTheme="majorBidi" w:hAnsiTheme="majorBidi" w:cstheme="majorBidi"/>
              </w:rPr>
            </w:pPr>
          </w:p>
        </w:tc>
        <w:tc>
          <w:tcPr>
            <w:tcW w:w="1563" w:type="pct"/>
            <w:gridSpan w:val="3"/>
            <w:tcBorders>
              <w:top w:val="single" w:sz="4" w:space="0" w:color="auto"/>
              <w:left w:val="single" w:sz="4" w:space="0" w:color="auto"/>
              <w:bottom w:val="single" w:sz="4" w:space="0" w:color="auto"/>
              <w:right w:val="single" w:sz="4" w:space="0" w:color="auto"/>
            </w:tcBorders>
            <w:vAlign w:val="center"/>
          </w:tcPr>
          <w:p w:rsidR="00FA50C6" w:rsidRPr="00FA50C6" w:rsidRDefault="00922F90" w:rsidP="00FA50C6">
            <w:pPr>
              <w:pStyle w:val="Tabletext"/>
              <w:jc w:val="center"/>
              <w:rPr>
                <w:rFonts w:asciiTheme="majorBidi" w:hAnsiTheme="majorBidi" w:cstheme="majorBidi"/>
              </w:rPr>
            </w:pPr>
            <w:r>
              <w:rPr>
                <w:rFonts w:asciiTheme="majorBidi" w:hAnsiTheme="majorBidi" w:cstheme="majorBidi"/>
              </w:rPr>
              <w:t>Recommendation ITU</w:t>
            </w:r>
            <w:r>
              <w:rPr>
                <w:rFonts w:asciiTheme="majorBidi" w:hAnsiTheme="majorBidi" w:cstheme="majorBidi"/>
              </w:rPr>
              <w:noBreakHyphen/>
              <w:t>R </w:t>
            </w:r>
            <w:r w:rsidR="00FA50C6" w:rsidRPr="00FA50C6">
              <w:rPr>
                <w:rFonts w:asciiTheme="majorBidi" w:hAnsiTheme="majorBidi" w:cstheme="majorBidi"/>
              </w:rPr>
              <w:t>M.1851</w:t>
            </w:r>
          </w:p>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w:t>
            </w:r>
            <w:r w:rsidR="00922F90" w:rsidRPr="00FA50C6">
              <w:rPr>
                <w:rFonts w:asciiTheme="majorBidi" w:hAnsiTheme="majorBidi" w:cstheme="majorBidi"/>
              </w:rPr>
              <w:t xml:space="preserve">uniform </w:t>
            </w:r>
            <w:r w:rsidRPr="00FA50C6">
              <w:rPr>
                <w:rFonts w:asciiTheme="majorBidi" w:hAnsiTheme="majorBidi" w:cstheme="majorBidi"/>
              </w:rPr>
              <w:t>distribution)</w:t>
            </w:r>
          </w:p>
        </w:tc>
        <w:tc>
          <w:tcPr>
            <w:tcW w:w="1481" w:type="pct"/>
            <w:tcBorders>
              <w:top w:val="single" w:sz="4" w:space="0" w:color="auto"/>
              <w:left w:val="single" w:sz="4" w:space="0" w:color="auto"/>
              <w:bottom w:val="single" w:sz="4" w:space="0" w:color="auto"/>
              <w:right w:val="single" w:sz="4" w:space="0" w:color="auto"/>
            </w:tcBorders>
          </w:tcPr>
          <w:p w:rsidR="00FA50C6" w:rsidRPr="00FA50C6" w:rsidRDefault="00FA50C6" w:rsidP="00922F90">
            <w:pPr>
              <w:pStyle w:val="Tabletext"/>
              <w:jc w:val="center"/>
              <w:rPr>
                <w:rFonts w:asciiTheme="majorBidi" w:hAnsiTheme="majorBidi" w:cstheme="majorBidi"/>
              </w:rPr>
            </w:pPr>
            <w:r w:rsidRPr="00FA50C6">
              <w:rPr>
                <w:rFonts w:asciiTheme="majorBidi" w:hAnsiTheme="majorBidi" w:cstheme="majorBidi"/>
              </w:rPr>
              <w:t>Recommendation ITU</w:t>
            </w:r>
            <w:r w:rsidR="00922F90">
              <w:rPr>
                <w:rFonts w:asciiTheme="majorBidi" w:hAnsiTheme="majorBidi" w:cstheme="majorBidi"/>
              </w:rPr>
              <w:noBreakHyphen/>
            </w:r>
            <w:r w:rsidRPr="00FA50C6">
              <w:rPr>
                <w:rFonts w:asciiTheme="majorBidi" w:hAnsiTheme="majorBidi" w:cstheme="majorBidi"/>
              </w:rPr>
              <w:t>R</w:t>
            </w:r>
            <w:r w:rsidR="00922F90">
              <w:rPr>
                <w:rFonts w:asciiTheme="majorBidi" w:hAnsiTheme="majorBidi" w:cstheme="majorBidi"/>
              </w:rPr>
              <w:t> </w:t>
            </w:r>
            <w:r w:rsidRPr="00FA50C6">
              <w:rPr>
                <w:rFonts w:asciiTheme="majorBidi" w:hAnsiTheme="majorBidi" w:cstheme="majorBidi"/>
              </w:rPr>
              <w:t>M.1851</w:t>
            </w:r>
          </w:p>
          <w:p w:rsidR="00FA50C6" w:rsidRPr="00FA50C6" w:rsidRDefault="00FA50C6" w:rsidP="00FA50C6">
            <w:pPr>
              <w:pStyle w:val="Tabletext"/>
              <w:jc w:val="center"/>
              <w:rPr>
                <w:rFonts w:asciiTheme="majorBidi" w:hAnsiTheme="majorBidi" w:cstheme="majorBidi"/>
              </w:rPr>
            </w:pPr>
            <w:r w:rsidRPr="00FA50C6">
              <w:rPr>
                <w:rFonts w:asciiTheme="majorBidi" w:hAnsiTheme="majorBidi" w:cstheme="majorBidi"/>
              </w:rPr>
              <w:t>(</w:t>
            </w:r>
            <w:r w:rsidR="00922F90" w:rsidRPr="00FA50C6">
              <w:rPr>
                <w:rFonts w:asciiTheme="majorBidi" w:hAnsiTheme="majorBidi" w:cstheme="majorBidi"/>
              </w:rPr>
              <w:t xml:space="preserve">cosine </w:t>
            </w:r>
            <w:r w:rsidRPr="00FA50C6">
              <w:rPr>
                <w:rFonts w:asciiTheme="majorBidi" w:hAnsiTheme="majorBidi" w:cstheme="majorBidi"/>
              </w:rPr>
              <w:t>distribution)</w:t>
            </w:r>
          </w:p>
        </w:tc>
      </w:tr>
      <w:tr w:rsidR="00FA50C6" w:rsidRPr="009D09BF" w:rsidTr="00FA50C6">
        <w:tc>
          <w:tcPr>
            <w:tcW w:w="5000" w:type="pct"/>
            <w:gridSpan w:val="7"/>
            <w:tcBorders>
              <w:top w:val="single" w:sz="4" w:space="0" w:color="auto"/>
              <w:left w:val="nil"/>
              <w:bottom w:val="nil"/>
              <w:right w:val="nil"/>
            </w:tcBorders>
          </w:tcPr>
          <w:p w:rsidR="00FA50C6" w:rsidRPr="00922F90" w:rsidRDefault="00FA50C6" w:rsidP="00FA50C6">
            <w:pPr>
              <w:pStyle w:val="Tabletext"/>
              <w:rPr>
                <w:rFonts w:asciiTheme="majorBidi" w:hAnsiTheme="majorBidi" w:cstheme="majorBidi"/>
                <w:lang w:val="en-US"/>
              </w:rPr>
            </w:pPr>
            <w:bookmarkStart w:id="4" w:name="_Hlk483929207"/>
            <w:r w:rsidRPr="00922F90">
              <w:rPr>
                <w:rFonts w:asciiTheme="majorBidi" w:hAnsiTheme="majorBidi" w:cstheme="majorBidi"/>
                <w:vertAlign w:val="superscript"/>
                <w:lang w:val="en-US"/>
              </w:rPr>
              <w:t>(1)</w:t>
            </w:r>
            <w:r w:rsidR="003D26F9">
              <w:rPr>
                <w:rFonts w:asciiTheme="majorBidi" w:hAnsiTheme="majorBidi" w:cstheme="majorBidi"/>
                <w:lang w:val="en-US"/>
              </w:rPr>
              <w:tab/>
            </w:r>
            <w:r w:rsidRPr="00922F90">
              <w:rPr>
                <w:rFonts w:asciiTheme="majorBidi" w:hAnsiTheme="majorBidi" w:cstheme="majorBidi"/>
                <w:lang w:val="en-US"/>
              </w:rPr>
              <w:t xml:space="preserve">RHCP – Right </w:t>
            </w:r>
            <w:r w:rsidR="00922F90" w:rsidRPr="00922F90">
              <w:rPr>
                <w:rFonts w:asciiTheme="majorBidi" w:hAnsiTheme="majorBidi" w:cstheme="majorBidi"/>
                <w:lang w:val="en-US"/>
              </w:rPr>
              <w:t>Hand Circularly Polarized</w:t>
            </w:r>
            <w:r w:rsidRPr="00922F90">
              <w:rPr>
                <w:rFonts w:asciiTheme="majorBidi" w:hAnsiTheme="majorBidi" w:cstheme="majorBidi"/>
                <w:lang w:val="en-US"/>
              </w:rPr>
              <w:t>.</w:t>
            </w:r>
            <w:bookmarkEnd w:id="4"/>
          </w:p>
        </w:tc>
      </w:tr>
    </w:tbl>
    <w:p w:rsidR="00FA50C6" w:rsidRPr="00E07AD7" w:rsidRDefault="00FA50C6" w:rsidP="000E36C8">
      <w:pPr>
        <w:pStyle w:val="Heading1"/>
        <w:rPr>
          <w:lang w:val="en-GB"/>
        </w:rPr>
      </w:pPr>
      <w:r w:rsidRPr="00E07AD7">
        <w:rPr>
          <w:lang w:val="en-GB"/>
        </w:rPr>
        <w:t>3</w:t>
      </w:r>
      <w:r w:rsidRPr="00E07AD7">
        <w:rPr>
          <w:lang w:val="en-GB"/>
        </w:rPr>
        <w:tab/>
        <w:t>Operational characteristics</w:t>
      </w:r>
    </w:p>
    <w:p w:rsidR="00FA50C6" w:rsidRPr="00FA50C6" w:rsidRDefault="00FA50C6" w:rsidP="00FA50C6">
      <w:pPr>
        <w:rPr>
          <w:lang w:val="en-US"/>
        </w:rPr>
      </w:pPr>
      <w:r w:rsidRPr="00FA50C6">
        <w:rPr>
          <w:lang w:val="en-US"/>
        </w:rPr>
        <w:t xml:space="preserve">The AMS is a mobile service between aeronautical stations and aircraft stations, or between two aircraft stations. Manned and unmanned platforms equipped with AMS data links (ADL) can operate worldwide and anywhere within a country whose administration has authorized such use. </w:t>
      </w:r>
    </w:p>
    <w:p w:rsidR="00FA50C6" w:rsidRPr="00FA50C6" w:rsidRDefault="00FA50C6" w:rsidP="00FA50C6">
      <w:pPr>
        <w:rPr>
          <w:lang w:val="en-US"/>
        </w:rPr>
      </w:pPr>
      <w:r w:rsidRPr="00FA50C6">
        <w:rPr>
          <w:lang w:val="en-US"/>
        </w:rPr>
        <w:t xml:space="preserve">An ADL may exist between an airborne data terminal (ADT), which is an aircraft station, and a ground data terminal (GDT), which is an aeronautical station, or between two ADTs. ADLs are </w:t>
      </w:r>
      <w:r>
        <w:rPr>
          <w:lang w:val="en-US"/>
        </w:rPr>
        <w:t>bi</w:t>
      </w:r>
      <w:r>
        <w:rPr>
          <w:lang w:val="en-US"/>
        </w:rPr>
        <w:noBreakHyphen/>
      </w:r>
      <w:r w:rsidRPr="00FA50C6">
        <w:rPr>
          <w:lang w:val="en-US"/>
        </w:rPr>
        <w:t>directional by design and may operate in either a narrow-band or wide-band mode in one or both directions. A network consisting of multiple ADLs between ADTs and/or GDTs is possible. A GDT may be at a fixed location or transportable.</w:t>
      </w:r>
    </w:p>
    <w:p w:rsidR="00FA50C6" w:rsidRPr="00FA50C6" w:rsidRDefault="00FA50C6" w:rsidP="00922F90">
      <w:pPr>
        <w:keepNext/>
        <w:keepLines/>
        <w:rPr>
          <w:lang w:val="en-US"/>
        </w:rPr>
      </w:pPr>
      <w:r w:rsidRPr="00FA50C6">
        <w:rPr>
          <w:lang w:val="en-US"/>
        </w:rPr>
        <w:lastRenderedPageBreak/>
        <w:t>The link distance for the ADL is generally limited by the radio line of sight (RLOS) horizon, which is a function of the terrain within the vicinity of the GDT and the altitude of the ADT. The altitude of airborne platforms equipped with these ADLs can be up to 20 km. The link distance can vary from a few kilometres to approaching RLOS horizon distance. For an air-to-ground or ground-to-air link, the link distance may be approximately 450 km.</w:t>
      </w:r>
    </w:p>
    <w:p w:rsidR="00FA50C6" w:rsidRPr="00FA50C6" w:rsidRDefault="00FA50C6" w:rsidP="00FA50C6">
      <w:pPr>
        <w:rPr>
          <w:lang w:val="en-US"/>
        </w:rPr>
      </w:pPr>
      <w:r w:rsidRPr="00FA50C6">
        <w:rPr>
          <w:lang w:val="en-US"/>
        </w:rPr>
        <w:t>The link between two ADTs operates in similar manner as the link between a GDT and an ADT with the exception that the link distance is a function of the altitude of the two ADTs. In the case of a direct air-to-air link, this link distance may be up to 900 km. Other factors to consider, such as atmospheric losses (rain attenuation, gases, etc.) and clutter losses, as described in the relevant ITU-R P-Series Recommendations, could reduce the maximum distance of the link between two ADTs, or negatively impact the performance of the ADL at the maximum distance. Depending on the environmental conditions and locations of the aircraft, the crosslink distance might be shorter than 900 km.</w:t>
      </w:r>
    </w:p>
    <w:p w:rsidR="00FA50C6" w:rsidRPr="00FA50C6" w:rsidRDefault="00FA50C6" w:rsidP="00FA50C6">
      <w:pPr>
        <w:rPr>
          <w:lang w:val="en-US"/>
        </w:rPr>
      </w:pPr>
      <w:r w:rsidRPr="00FA50C6">
        <w:rPr>
          <w:lang w:val="en-US"/>
        </w:rPr>
        <w:t>The temporal duration of the link can span the entire flight duration. The duration during which an ADL is active is only limited by the flight time of the ADT.</w:t>
      </w:r>
    </w:p>
    <w:p w:rsidR="00FA50C6" w:rsidRPr="00E07AD7" w:rsidRDefault="00FA50C6" w:rsidP="000E36C8">
      <w:pPr>
        <w:pStyle w:val="Heading1"/>
        <w:rPr>
          <w:lang w:val="en-GB"/>
        </w:rPr>
      </w:pPr>
      <w:r w:rsidRPr="00E07AD7">
        <w:rPr>
          <w:lang w:val="en-GB"/>
        </w:rPr>
        <w:t>4</w:t>
      </w:r>
      <w:r w:rsidRPr="00E07AD7">
        <w:rPr>
          <w:lang w:val="en-GB"/>
        </w:rPr>
        <w:tab/>
        <w:t>Protection criteria</w:t>
      </w:r>
    </w:p>
    <w:p w:rsidR="00FA50C6" w:rsidRPr="00FA50C6" w:rsidRDefault="00FA50C6" w:rsidP="00FA50C6">
      <w:pPr>
        <w:rPr>
          <w:lang w:val="en-US"/>
        </w:rPr>
      </w:pPr>
      <w:r w:rsidRPr="00FA50C6">
        <w:rPr>
          <w:lang w:val="en-US"/>
        </w:rPr>
        <w:t>The performance of the communication link is very often noise limited. An increase in receiver effective noise of 1 dB could be manifested in several ways, e.g. a decrease in the available fade margin, a loss in the effective link distance to maintain an acceptable bit error rate, or receiver desensitization. Under free-space propagation, an increase of 1 dB in noise level translates into an approximately 10% degradation of communication range. The degradation could be higher in more noisy environments.</w:t>
      </w:r>
    </w:p>
    <w:p w:rsidR="00FA50C6" w:rsidRDefault="000E36C8" w:rsidP="00922F90">
      <w:pPr>
        <w:rPr>
          <w:lang w:val="en-US"/>
        </w:rPr>
      </w:pPr>
      <w:r>
        <w:rPr>
          <w:lang w:val="en-US"/>
        </w:rPr>
        <w:t>A 1 </w:t>
      </w:r>
      <w:r w:rsidR="00FA50C6" w:rsidRPr="00FA50C6">
        <w:rPr>
          <w:lang w:val="en-US"/>
        </w:rPr>
        <w:t>dB increase in receiver effective noise corresponds to Interference+Noise to Noise ratio,</w:t>
      </w:r>
      <w:r w:rsidR="00FA50C6" w:rsidRPr="00FA50C6">
        <w:rPr>
          <w:lang w:val="en-US"/>
        </w:rPr>
        <w:br/>
        <w:t>(</w:t>
      </w:r>
      <w:r w:rsidR="00FA50C6" w:rsidRPr="00FA50C6">
        <w:rPr>
          <w:i/>
          <w:iCs/>
          <w:lang w:val="en-US"/>
        </w:rPr>
        <w:t>I</w:t>
      </w:r>
      <w:r w:rsidR="00FA50C6" w:rsidRPr="00FA50C6">
        <w:rPr>
          <w:lang w:val="en-US"/>
        </w:rPr>
        <w:t xml:space="preserve"> + </w:t>
      </w:r>
      <w:r w:rsidR="00FA50C6" w:rsidRPr="00FA50C6">
        <w:rPr>
          <w:i/>
          <w:iCs/>
          <w:lang w:val="en-US"/>
        </w:rPr>
        <w:t>N</w:t>
      </w:r>
      <w:r w:rsidR="00FA50C6" w:rsidRPr="00FA50C6">
        <w:rPr>
          <w:lang w:val="en-US"/>
        </w:rPr>
        <w:t>)/</w:t>
      </w:r>
      <w:r w:rsidR="00FA50C6" w:rsidRPr="00FA50C6">
        <w:rPr>
          <w:i/>
          <w:iCs/>
          <w:lang w:val="en-US"/>
        </w:rPr>
        <w:t>N</w:t>
      </w:r>
      <w:r w:rsidR="00FA50C6" w:rsidRPr="00FA50C6">
        <w:rPr>
          <w:lang w:val="en-US"/>
        </w:rPr>
        <w:t xml:space="preserve">, of 1.26, or Interference-to-Noise ratio, </w:t>
      </w:r>
      <w:r w:rsidR="00FA50C6" w:rsidRPr="00FA50C6">
        <w:rPr>
          <w:i/>
          <w:iCs/>
          <w:lang w:val="en-US"/>
        </w:rPr>
        <w:t>I</w:t>
      </w:r>
      <w:r w:rsidR="00FA50C6" w:rsidRPr="00FA50C6">
        <w:rPr>
          <w:lang w:val="en-US"/>
        </w:rPr>
        <w:t>/</w:t>
      </w:r>
      <w:r w:rsidR="00FA50C6" w:rsidRPr="00FA50C6">
        <w:rPr>
          <w:i/>
          <w:iCs/>
          <w:lang w:val="en-US"/>
        </w:rPr>
        <w:t>N</w:t>
      </w:r>
      <w:r w:rsidR="00FA50C6" w:rsidRPr="00FA50C6">
        <w:rPr>
          <w:lang w:val="en-US"/>
        </w:rPr>
        <w:t xml:space="preserve">, of about </w:t>
      </w:r>
      <w:r w:rsidR="00922F90">
        <w:rPr>
          <w:lang w:val="en-US"/>
        </w:rPr>
        <w:t>−</w:t>
      </w:r>
      <w:r w:rsidR="00FA50C6" w:rsidRPr="00FA50C6">
        <w:rPr>
          <w:lang w:val="en-US"/>
        </w:rPr>
        <w:t>6 dB. This represents the required protection criterion for the AMS systems from interference due to another radiocommunication service. If multiple potential interference sources are present, protection of the AMS systems requires that this criterion is not exceeded due to the aggregate interference from the multiple sources.</w:t>
      </w:r>
    </w:p>
    <w:p w:rsidR="00922F90" w:rsidRPr="00FA50C6" w:rsidRDefault="00922F90" w:rsidP="00922F90">
      <w:pPr>
        <w:rPr>
          <w:lang w:val="en-US"/>
        </w:rPr>
      </w:pPr>
    </w:p>
    <w:p w:rsidR="00FA50C6" w:rsidRDefault="00FA50C6" w:rsidP="00FA50C6">
      <w:pPr>
        <w:overflowPunct/>
        <w:autoSpaceDE/>
        <w:autoSpaceDN/>
        <w:adjustRightInd/>
        <w:spacing w:before="0"/>
        <w:textAlignment w:val="auto"/>
        <w:rPr>
          <w:lang w:val="en-US" w:eastAsia="zh-CN"/>
        </w:rPr>
      </w:pPr>
    </w:p>
    <w:p w:rsidR="00A714EF" w:rsidRPr="00FA0F74" w:rsidRDefault="00A714EF" w:rsidP="00A714EF">
      <w:pPr>
        <w:pStyle w:val="Line"/>
        <w:rPr>
          <w:lang w:eastAsia="zh-CN"/>
        </w:rPr>
      </w:pPr>
    </w:p>
    <w:sectPr w:rsidR="00A714EF" w:rsidRPr="00FA0F74" w:rsidSect="00FA50C6">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F0D" w:rsidRDefault="005C4F0D">
      <w:r>
        <w:separator/>
      </w:r>
    </w:p>
  </w:endnote>
  <w:endnote w:type="continuationSeparator" w:id="0">
    <w:p w:rsidR="005C4F0D" w:rsidRDefault="005C4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F0D" w:rsidRDefault="005C4F0D">
      <w:r>
        <w:separator/>
      </w:r>
    </w:p>
  </w:footnote>
  <w:footnote w:type="continuationSeparator" w:id="0">
    <w:p w:rsidR="005C4F0D" w:rsidRDefault="005C4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C6" w:rsidRDefault="00FA50C6">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C6" w:rsidRDefault="00FA50C6" w:rsidP="00B033C8">
    <w:pPr>
      <w:ind w:right="360" w:firstLine="360"/>
    </w:pPr>
    <w:r>
      <w:rPr>
        <w:noProof/>
        <w:lang w:val="en-GB" w:eastAsia="en-GB"/>
      </w:rPr>
      <w:drawing>
        <wp:anchor distT="0" distB="0" distL="114300" distR="114300" simplePos="0" relativeHeight="251659264" behindDoc="1" locked="0" layoutInCell="1" allowOverlap="1" wp14:anchorId="206586AC" wp14:editId="71EC444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C6" w:rsidRPr="00FC42AF" w:rsidRDefault="00FA50C6"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4F71B5" w:rsidRPr="004F71B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F71B5">
      <w:rPr>
        <w:b/>
        <w:bCs/>
        <w:noProof/>
      </w:rPr>
      <w:t>ITU-R  M.2115-0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C6" w:rsidRPr="00FC42AF" w:rsidRDefault="00FA50C6"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F71B5">
      <w:rPr>
        <w:rStyle w:val="PageNumber"/>
        <w:b/>
        <w:bCs/>
        <w:noProof/>
      </w:rPr>
      <w:t>ii</w:t>
    </w:r>
    <w:r>
      <w:rPr>
        <w:rStyle w:val="PageNumber"/>
        <w:b/>
        <w:bCs/>
      </w:rPr>
      <w:fldChar w:fldCharType="end"/>
    </w:r>
    <w:r w:rsidRPr="00FC42AF">
      <w:tab/>
    </w:r>
    <w:fldSimple w:instr=" DOCPROPERTY &quot;Header&quot; \* MERGEFORMAT ">
      <w:r w:rsidR="004F71B5" w:rsidRPr="004F71B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F71B5">
      <w:rPr>
        <w:b/>
        <w:bCs/>
        <w:noProof/>
      </w:rPr>
      <w:t>ITU-R  M.2115-0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0C6" w:rsidRDefault="00FA50C6">
    <w:r>
      <w:tab/>
    </w:r>
    <w:fldSimple w:instr=" DOCPROPERTY &quot;Header&quot; \* MERGEFORMAT ">
      <w:r w:rsidR="004F71B5" w:rsidRPr="004F71B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F71B5">
      <w:rPr>
        <w:b/>
        <w:bCs/>
        <w:noProof/>
      </w:rPr>
      <w:t>ITU-R  M.2115-0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F71B5">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F71B5" w:rsidRPr="004F71B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F71B5">
      <w:rPr>
        <w:b/>
        <w:bCs/>
        <w:noProof/>
      </w:rPr>
      <w:t>ITU-R  M.2115-0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4F71B5" w:rsidRPr="004F71B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F71B5">
      <w:rPr>
        <w:b/>
        <w:bCs/>
        <w:noProof/>
      </w:rPr>
      <w:t>ITU-R  M.2115-0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F71B5">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F0D"/>
    <w:rsid w:val="000E36C8"/>
    <w:rsid w:val="001F7B6C"/>
    <w:rsid w:val="00217EBF"/>
    <w:rsid w:val="00242AEE"/>
    <w:rsid w:val="002D76C4"/>
    <w:rsid w:val="00387CB0"/>
    <w:rsid w:val="003D26F9"/>
    <w:rsid w:val="004F71B5"/>
    <w:rsid w:val="0052529D"/>
    <w:rsid w:val="005331E8"/>
    <w:rsid w:val="005C4F0D"/>
    <w:rsid w:val="00607D68"/>
    <w:rsid w:val="007468DA"/>
    <w:rsid w:val="008F7740"/>
    <w:rsid w:val="00922F90"/>
    <w:rsid w:val="009D09BF"/>
    <w:rsid w:val="009E00A8"/>
    <w:rsid w:val="00A6617B"/>
    <w:rsid w:val="00A714EF"/>
    <w:rsid w:val="00A74797"/>
    <w:rsid w:val="00AB0DC8"/>
    <w:rsid w:val="00AC6AF9"/>
    <w:rsid w:val="00B44E24"/>
    <w:rsid w:val="00DF4176"/>
    <w:rsid w:val="00E07AD7"/>
    <w:rsid w:val="00FA50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1A7339EF-66D2-449B-ADFC-307A4E641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79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74797"/>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AC6AF9"/>
    <w:pPr>
      <w:spacing w:after="480"/>
    </w:pPr>
    <w:rPr>
      <w:spacing w:val="-4"/>
      <w:sz w:val="22"/>
      <w:lang w:val="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A50C6"/>
    <w:rPr>
      <w:b/>
      <w:sz w:val="24"/>
      <w:lang w:val="fr-FR" w:eastAsia="en-US"/>
    </w:rPr>
  </w:style>
  <w:style w:type="character" w:customStyle="1" w:styleId="TableheadChar">
    <w:name w:val="Table_head Char"/>
    <w:basedOn w:val="DefaultParagraphFont"/>
    <w:link w:val="Tablehead"/>
    <w:locked/>
    <w:rsid w:val="00FA50C6"/>
    <w:rPr>
      <w:b/>
      <w:sz w:val="22"/>
      <w:lang w:val="fr-FR" w:eastAsia="en-US"/>
    </w:rPr>
  </w:style>
  <w:style w:type="character" w:customStyle="1" w:styleId="TabletextChar">
    <w:name w:val="Table_text Char"/>
    <w:basedOn w:val="DefaultParagraphFont"/>
    <w:link w:val="Tabletext"/>
    <w:locked/>
    <w:rsid w:val="00FA50C6"/>
    <w:rPr>
      <w:sz w:val="22"/>
      <w:lang w:val="fr-FR" w:eastAsia="en-US"/>
    </w:rPr>
  </w:style>
  <w:style w:type="character" w:styleId="Hyperlink">
    <w:name w:val="Hyperlink"/>
    <w:basedOn w:val="DefaultParagraphFont"/>
    <w:rsid w:val="00FA50C6"/>
    <w:rPr>
      <w:color w:val="0000FF"/>
      <w:u w:val="single"/>
    </w:rPr>
  </w:style>
  <w:style w:type="paragraph" w:customStyle="1" w:styleId="AnnexNo">
    <w:name w:val="Annex_No"/>
    <w:basedOn w:val="Normal"/>
    <w:next w:val="Normal"/>
    <w:link w:val="AnnexNoChar"/>
    <w:rsid w:val="00FA50C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A50C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
    <w:rsid w:val="00FA50C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FA50C6"/>
    <w:pPr>
      <w:tabs>
        <w:tab w:val="clear" w:pos="794"/>
        <w:tab w:val="clear" w:pos="1191"/>
        <w:tab w:val="left" w:pos="1134"/>
      </w:tabs>
      <w:jc w:val="left"/>
    </w:pPr>
    <w:rPr>
      <w:lang w:val="en-GB"/>
    </w:rPr>
  </w:style>
  <w:style w:type="character" w:customStyle="1" w:styleId="CallChar">
    <w:name w:val="Call Char"/>
    <w:link w:val="Call"/>
    <w:locked/>
    <w:rsid w:val="00FA50C6"/>
    <w:rPr>
      <w:i/>
      <w:sz w:val="24"/>
      <w:lang w:val="fr-FR" w:eastAsia="en-US"/>
    </w:rPr>
  </w:style>
  <w:style w:type="character" w:customStyle="1" w:styleId="AnnexNoChar">
    <w:name w:val="Annex_No Char"/>
    <w:link w:val="AnnexNo"/>
    <w:locked/>
    <w:rsid w:val="00FA50C6"/>
    <w:rPr>
      <w:caps/>
      <w:sz w:val="28"/>
      <w:lang w:val="en-GB" w:eastAsia="en-US"/>
    </w:rPr>
  </w:style>
  <w:style w:type="table" w:styleId="TableGrid">
    <w:name w:val="Table Grid"/>
    <w:basedOn w:val="TableNormal"/>
    <w:uiPriority w:val="59"/>
    <w:rsid w:val="00FA50C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link w:val="Tabletitle"/>
    <w:locked/>
    <w:rsid w:val="00FA50C6"/>
    <w:rPr>
      <w:b/>
      <w:sz w:val="24"/>
      <w:lang w:val="fr-FR" w:eastAsia="en-US"/>
    </w:rPr>
  </w:style>
  <w:style w:type="character" w:customStyle="1" w:styleId="TableNoChar">
    <w:name w:val="Table_No Char"/>
    <w:link w:val="TableNo"/>
    <w:locked/>
    <w:rsid w:val="00FA50C6"/>
    <w:rPr>
      <w:sz w:val="24"/>
      <w:lang w:val="fr-FR"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FA50C6"/>
    <w:rPr>
      <w:b/>
      <w:sz w:val="24"/>
      <w:lang w:val="en-GB" w:eastAsia="en-US"/>
    </w:rPr>
  </w:style>
  <w:style w:type="character" w:customStyle="1" w:styleId="NormalaftertitleChar">
    <w:name w:val="Normal after title Char"/>
    <w:link w:val="Normalaftertitle0"/>
    <w:locked/>
    <w:rsid w:val="00FA50C6"/>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74</TotalTime>
  <Pages>1</Pages>
  <Words>1534</Words>
  <Characters>8856</Characters>
  <Application>Microsoft Office Word</Application>
  <DocSecurity>0</DocSecurity>
  <Lines>340</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14</cp:revision>
  <cp:lastPrinted>2018-02-07T06:02:00Z</cp:lastPrinted>
  <dcterms:created xsi:type="dcterms:W3CDTF">2018-01-30T14:18:00Z</dcterms:created>
  <dcterms:modified xsi:type="dcterms:W3CDTF">2018-02-07T06:02:00Z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