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4E478F"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246E41">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246E41">
              <w:rPr>
                <w:rFonts w:ascii="Tahoma" w:hAnsi="Tahoma" w:cs="Tahoma"/>
                <w:b/>
                <w:bCs/>
                <w:iCs/>
                <w:color w:val="243285"/>
                <w:sz w:val="36"/>
                <w:szCs w:val="36"/>
                <w:lang w:val="es-ES_tradnl"/>
              </w:rPr>
              <w:t>2114-0</w:t>
            </w:r>
          </w:p>
          <w:p w:rsidR="00042292" w:rsidRPr="00A07AEB" w:rsidRDefault="00042292" w:rsidP="00246E41">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246E41">
              <w:rPr>
                <w:rFonts w:ascii="Tahoma" w:hAnsi="Tahoma" w:cs="Tahoma"/>
                <w:b/>
                <w:bCs/>
                <w:iCs/>
                <w:color w:val="243285"/>
                <w:szCs w:val="24"/>
                <w:lang w:val="es-ES_tradnl"/>
              </w:rPr>
              <w:t>1</w:t>
            </w:r>
            <w:r w:rsidRPr="00A07AEB">
              <w:rPr>
                <w:rFonts w:ascii="Tahoma" w:hAnsi="Tahoma" w:cs="Tahoma"/>
                <w:b/>
                <w:bCs/>
                <w:iCs/>
                <w:color w:val="243285"/>
                <w:szCs w:val="24"/>
                <w:lang w:val="es-ES_tradnl"/>
              </w:rPr>
              <w:t>/</w:t>
            </w:r>
            <w:r w:rsidR="00246E41">
              <w:rPr>
                <w:rFonts w:ascii="Tahoma" w:hAnsi="Tahoma" w:cs="Tahoma"/>
                <w:b/>
                <w:bCs/>
                <w:iCs/>
                <w:color w:val="243285"/>
                <w:szCs w:val="24"/>
                <w:lang w:val="es-ES_tradnl"/>
              </w:rPr>
              <w:t>2018</w:t>
            </w:r>
            <w:r w:rsidRPr="00A07AEB">
              <w:rPr>
                <w:rFonts w:ascii="Tahoma" w:hAnsi="Tahoma" w:cs="Tahoma"/>
                <w:b/>
                <w:bCs/>
                <w:iCs/>
                <w:color w:val="243285"/>
                <w:szCs w:val="24"/>
                <w:lang w:val="es-ES_tradnl"/>
              </w:rPr>
              <w:t>)</w:t>
            </w:r>
          </w:p>
        </w:tc>
      </w:tr>
      <w:tr w:rsidR="00042292" w:rsidRPr="00246E41"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246E41" w:rsidP="00246E41">
            <w:pPr>
              <w:spacing w:before="80" w:line="500" w:lineRule="exact"/>
              <w:jc w:val="right"/>
              <w:rPr>
                <w:rFonts w:ascii="Tahoma" w:hAnsi="Tahoma" w:cs="Tahoma"/>
                <w:b/>
                <w:bCs/>
                <w:color w:val="243285"/>
                <w:sz w:val="44"/>
                <w:szCs w:val="44"/>
                <w:lang w:val="es-ES_tradnl"/>
              </w:rPr>
            </w:pPr>
            <w:r w:rsidRPr="00246E41">
              <w:rPr>
                <w:rFonts w:ascii="Tahoma" w:hAnsi="Tahoma" w:cs="Tahoma"/>
                <w:b/>
                <w:bCs/>
                <w:color w:val="243285"/>
                <w:sz w:val="44"/>
                <w:szCs w:val="44"/>
                <w:lang w:val="es-ES_tradnl"/>
              </w:rPr>
              <w:t>Características técnicas y operacionales y criterios de protección de los sistemas del servicio móvil aeronáutico en las bandas de frecuencias</w:t>
            </w:r>
            <w:r>
              <w:rPr>
                <w:rFonts w:ascii="Tahoma" w:hAnsi="Tahoma" w:cs="Tahoma"/>
                <w:b/>
                <w:bCs/>
                <w:color w:val="243285"/>
                <w:sz w:val="44"/>
                <w:szCs w:val="44"/>
                <w:lang w:val="es-ES_tradnl"/>
              </w:rPr>
              <w:t xml:space="preserve"> </w:t>
            </w:r>
            <w:r w:rsidRPr="00246E41">
              <w:rPr>
                <w:rFonts w:ascii="Tahoma" w:hAnsi="Tahoma" w:cs="Tahoma"/>
                <w:b/>
                <w:bCs/>
                <w:color w:val="243285"/>
                <w:sz w:val="44"/>
                <w:szCs w:val="44"/>
                <w:lang w:val="es-ES_tradnl"/>
              </w:rPr>
              <w:t>22,5-23,6 GHz y 25,25-27,5 GHz</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4E478F"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4E478F"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4E478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4E478F"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4E478F"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4E478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4E478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4E478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4E478F"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8B5064">
        <w:rPr>
          <w:sz w:val="20"/>
          <w:lang w:val="es-ES_tradnl"/>
        </w:rPr>
        <w:t>8</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8B5064">
        <w:rPr>
          <w:sz w:val="20"/>
          <w:lang w:val="es-ES_tradnl"/>
        </w:rPr>
        <w:t>8</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DE120B">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DE120B">
        <w:rPr>
          <w:rStyle w:val="href"/>
          <w:lang w:val="es-ES_tradnl"/>
        </w:rPr>
        <w:t>2114-0</w:t>
      </w:r>
    </w:p>
    <w:p w:rsidR="00CA41E8" w:rsidRPr="00F44EAF" w:rsidRDefault="00CA41E8" w:rsidP="00DE120B">
      <w:pPr>
        <w:pStyle w:val="Rectitle"/>
        <w:rPr>
          <w:lang w:val="es-ES_tradnl"/>
        </w:rPr>
      </w:pPr>
      <w:r w:rsidRPr="00F44EAF">
        <w:rPr>
          <w:lang w:val="es-ES_tradnl"/>
        </w:rPr>
        <w:t xml:space="preserve">Características técnicas y operacionales y criterios de protección </w:t>
      </w:r>
      <w:r w:rsidR="00DE120B">
        <w:rPr>
          <w:lang w:val="es-ES_tradnl"/>
        </w:rPr>
        <w:br/>
      </w:r>
      <w:r w:rsidRPr="00F44EAF">
        <w:rPr>
          <w:lang w:val="es-ES_tradnl"/>
        </w:rPr>
        <w:t xml:space="preserve">de los sistemas del servicio móvil aeronáutico en las bandas </w:t>
      </w:r>
      <w:r w:rsidR="00DE120B">
        <w:rPr>
          <w:lang w:val="es-ES_tradnl"/>
        </w:rPr>
        <w:br/>
      </w:r>
      <w:r w:rsidRPr="00F44EAF">
        <w:rPr>
          <w:lang w:val="es-ES_tradnl"/>
        </w:rPr>
        <w:t>de frecuencias 22,5-23,6 GHz y 25,25-27,5 GHz</w:t>
      </w:r>
    </w:p>
    <w:p w:rsidR="00CA41E8" w:rsidRPr="00F44EAF" w:rsidRDefault="00CA41E8" w:rsidP="00CA41E8">
      <w:pPr>
        <w:pStyle w:val="Recdate"/>
        <w:rPr>
          <w:lang w:val="es-ES_tradnl"/>
        </w:rPr>
      </w:pPr>
      <w:r w:rsidRPr="00F44EAF">
        <w:rPr>
          <w:lang w:val="es-ES_tradnl"/>
        </w:rPr>
        <w:t>(2018)</w:t>
      </w:r>
    </w:p>
    <w:p w:rsidR="00CA41E8" w:rsidRPr="00F44EAF" w:rsidRDefault="00CA41E8" w:rsidP="00CA41E8">
      <w:pPr>
        <w:pStyle w:val="HeadingSum"/>
      </w:pPr>
      <w:r w:rsidRPr="00F44EAF">
        <w:t>Cometido</w:t>
      </w:r>
    </w:p>
    <w:p w:rsidR="00CA41E8" w:rsidRPr="00F44EAF" w:rsidRDefault="00CA41E8" w:rsidP="00CA41E8">
      <w:pPr>
        <w:pStyle w:val="Summary"/>
      </w:pPr>
      <w:r w:rsidRPr="00F44EAF">
        <w:t>La presente Recomendación contiene información sobre las características técnicas y los criterios de protección de los sistemas que funcionan en el servicio móvil aeronáutico (AMS) en las bandas de frecuencias 22,5</w:t>
      </w:r>
      <w:r w:rsidRPr="00F44EAF">
        <w:noBreakHyphen/>
        <w:t>23,6 GHz y 25,25-27,5 GHz.</w:t>
      </w:r>
    </w:p>
    <w:p w:rsidR="00CA41E8" w:rsidRPr="00F44EAF" w:rsidRDefault="00CA41E8" w:rsidP="00CA41E8">
      <w:pPr>
        <w:pStyle w:val="Headingb"/>
        <w:rPr>
          <w:lang w:val="es-ES_tradnl"/>
        </w:rPr>
      </w:pPr>
      <w:r w:rsidRPr="00F44EAF">
        <w:rPr>
          <w:lang w:val="es-ES_tradnl"/>
        </w:rPr>
        <w:t>Recomendaciones e Informes del UIT-R relacionados</w:t>
      </w:r>
    </w:p>
    <w:p w:rsidR="00CA41E8" w:rsidRPr="00502EA3" w:rsidRDefault="00CA41E8" w:rsidP="00CA41E8">
      <w:pPr>
        <w:rPr>
          <w:b/>
          <w:bCs/>
          <w:lang w:val="es-ES_tradnl"/>
        </w:rPr>
      </w:pPr>
      <w:bookmarkStart w:id="3" w:name="lt_pId063"/>
      <w:r w:rsidRPr="00F44EAF">
        <w:rPr>
          <w:lang w:val="es-ES_tradnl"/>
        </w:rPr>
        <w:t>Recomendaciones UIT-R M.1851</w:t>
      </w:r>
      <w:r w:rsidRPr="00502EA3">
        <w:rPr>
          <w:rStyle w:val="Hyperlink"/>
          <w:color w:val="000000" w:themeColor="text1"/>
          <w:szCs w:val="24"/>
          <w:u w:val="none"/>
          <w:lang w:val="es-ES_tradnl"/>
        </w:rPr>
        <w:t>, UIT-R P.2108, UIT-R P.676.</w:t>
      </w:r>
      <w:bookmarkEnd w:id="3"/>
    </w:p>
    <w:p w:rsidR="00CA41E8" w:rsidRPr="00F44EAF" w:rsidRDefault="00CA41E8" w:rsidP="00CA41E8">
      <w:pPr>
        <w:pStyle w:val="Headingb"/>
        <w:rPr>
          <w:lang w:val="es-ES_tradnl"/>
        </w:rPr>
      </w:pPr>
      <w:r w:rsidRPr="00F44EAF">
        <w:rPr>
          <w:lang w:val="es-ES_tradnl"/>
        </w:rPr>
        <w:t>Palabras clave</w:t>
      </w:r>
    </w:p>
    <w:p w:rsidR="00CA41E8" w:rsidRPr="00F44EAF" w:rsidRDefault="00CA41E8" w:rsidP="00CA41E8">
      <w:pPr>
        <w:rPr>
          <w:lang w:val="es-ES_tradnl"/>
        </w:rPr>
      </w:pPr>
      <w:r w:rsidRPr="00F44EAF">
        <w:rPr>
          <w:lang w:val="es-ES_tradnl"/>
        </w:rPr>
        <w:t>Sistemas del servicio móvil aeronáutico, AMS, características técnicas, criterios de protección</w:t>
      </w:r>
    </w:p>
    <w:p w:rsidR="00CA41E8" w:rsidRPr="00F44EAF" w:rsidRDefault="00CA41E8" w:rsidP="00CA41E8">
      <w:pPr>
        <w:pStyle w:val="Headingb"/>
        <w:rPr>
          <w:lang w:val="es-ES_tradnl"/>
        </w:rPr>
      </w:pPr>
      <w:r w:rsidRPr="00F44EAF">
        <w:rPr>
          <w:lang w:val="es-ES_tradnl"/>
        </w:rPr>
        <w:t>Abreviaturas/glosario</w:t>
      </w:r>
    </w:p>
    <w:p w:rsidR="00CA41E8" w:rsidRPr="00F44EAF" w:rsidRDefault="00CA41E8" w:rsidP="000D2AB6">
      <w:pPr>
        <w:tabs>
          <w:tab w:val="clear" w:pos="794"/>
        </w:tabs>
        <w:rPr>
          <w:lang w:val="es-ES_tradnl"/>
        </w:rPr>
      </w:pPr>
      <w:r w:rsidRPr="00F44EAF">
        <w:rPr>
          <w:lang w:val="es-ES_tradnl"/>
        </w:rPr>
        <w:t>ADL</w:t>
      </w:r>
      <w:r w:rsidRPr="00F44EAF">
        <w:rPr>
          <w:lang w:val="es-ES_tradnl"/>
        </w:rPr>
        <w:tab/>
        <w:t>Enlace de datos del AMS</w:t>
      </w:r>
    </w:p>
    <w:p w:rsidR="00CA41E8" w:rsidRPr="00F44EAF" w:rsidRDefault="00CA41E8" w:rsidP="000D2AB6">
      <w:pPr>
        <w:tabs>
          <w:tab w:val="clear" w:pos="794"/>
        </w:tabs>
        <w:rPr>
          <w:lang w:val="es-ES_tradnl"/>
        </w:rPr>
      </w:pPr>
      <w:r w:rsidRPr="00F44EAF">
        <w:rPr>
          <w:lang w:val="es-ES_tradnl"/>
        </w:rPr>
        <w:t>ADT</w:t>
      </w:r>
      <w:r w:rsidRPr="00F44EAF">
        <w:rPr>
          <w:lang w:val="es-ES_tradnl"/>
        </w:rPr>
        <w:tab/>
        <w:t>Terminal de datos aerotransportado</w:t>
      </w:r>
    </w:p>
    <w:p w:rsidR="00CA41E8" w:rsidRPr="00F44EAF" w:rsidRDefault="00CA41E8" w:rsidP="000D2AB6">
      <w:pPr>
        <w:tabs>
          <w:tab w:val="clear" w:pos="794"/>
        </w:tabs>
        <w:rPr>
          <w:lang w:val="es-ES_tradnl"/>
        </w:rPr>
      </w:pPr>
      <w:r w:rsidRPr="00F44EAF">
        <w:rPr>
          <w:lang w:val="es-ES_tradnl"/>
        </w:rPr>
        <w:t>AMS</w:t>
      </w:r>
      <w:r w:rsidRPr="00F44EAF">
        <w:rPr>
          <w:lang w:val="es-ES_tradnl"/>
        </w:rPr>
        <w:tab/>
        <w:t>Servicio móvil aeronáutico</w:t>
      </w:r>
    </w:p>
    <w:p w:rsidR="00CA41E8" w:rsidRPr="00F44EAF" w:rsidRDefault="00CA41E8" w:rsidP="000D2AB6">
      <w:pPr>
        <w:tabs>
          <w:tab w:val="clear" w:pos="794"/>
        </w:tabs>
        <w:rPr>
          <w:lang w:val="es-ES_tradnl"/>
        </w:rPr>
      </w:pPr>
      <w:r w:rsidRPr="00F44EAF">
        <w:rPr>
          <w:lang w:val="es-ES_tradnl"/>
        </w:rPr>
        <w:t>GDT</w:t>
      </w:r>
      <w:r w:rsidRPr="00F44EAF">
        <w:rPr>
          <w:lang w:val="es-ES_tradnl"/>
        </w:rPr>
        <w:tab/>
        <w:t>Terminal de datos en tierra</w:t>
      </w:r>
    </w:p>
    <w:p w:rsidR="00CA41E8" w:rsidRPr="00F44EAF" w:rsidRDefault="00CA41E8" w:rsidP="000D2AB6">
      <w:pPr>
        <w:tabs>
          <w:tab w:val="clear" w:pos="794"/>
        </w:tabs>
        <w:rPr>
          <w:lang w:val="es-ES_tradnl"/>
        </w:rPr>
      </w:pPr>
      <w:r w:rsidRPr="00F44EAF">
        <w:rPr>
          <w:lang w:val="es-ES_tradnl"/>
        </w:rPr>
        <w:t>RHCP</w:t>
      </w:r>
      <w:r w:rsidRPr="00F44EAF">
        <w:rPr>
          <w:lang w:val="es-ES_tradnl"/>
        </w:rPr>
        <w:tab/>
        <w:t>Polarización circular dextrógira</w:t>
      </w:r>
    </w:p>
    <w:p w:rsidR="00CA41E8" w:rsidRPr="00F44EAF" w:rsidRDefault="00CA41E8" w:rsidP="000D2AB6">
      <w:pPr>
        <w:tabs>
          <w:tab w:val="clear" w:pos="794"/>
        </w:tabs>
        <w:rPr>
          <w:lang w:val="es-ES_tradnl"/>
        </w:rPr>
      </w:pPr>
      <w:r w:rsidRPr="00F44EAF">
        <w:rPr>
          <w:lang w:val="es-ES_tradnl"/>
        </w:rPr>
        <w:t>RLOS</w:t>
      </w:r>
      <w:r w:rsidRPr="00F44EAF">
        <w:rPr>
          <w:lang w:val="es-ES_tradnl"/>
        </w:rPr>
        <w:tab/>
      </w:r>
      <w:r w:rsidRPr="00F44EAF">
        <w:rPr>
          <w:color w:val="000000"/>
          <w:lang w:val="es-ES_tradnl"/>
        </w:rPr>
        <w:t>Visibilidad directa radioeléctrica</w:t>
      </w:r>
    </w:p>
    <w:p w:rsidR="00CA41E8" w:rsidRPr="00CA41E8" w:rsidRDefault="00CA41E8" w:rsidP="000D2AB6">
      <w:pPr>
        <w:pStyle w:val="Normalaftertitle"/>
        <w:rPr>
          <w:lang w:val="es-ES_tradnl"/>
        </w:rPr>
      </w:pPr>
      <w:r w:rsidRPr="00CA41E8">
        <w:rPr>
          <w:lang w:val="es-ES_tradnl"/>
        </w:rPr>
        <w:t>La Asamblea de Radiocomunicaciones de la UIT,</w:t>
      </w:r>
    </w:p>
    <w:p w:rsidR="00CA41E8" w:rsidRPr="00F44EAF" w:rsidRDefault="00CA41E8" w:rsidP="00CA41E8">
      <w:pPr>
        <w:pStyle w:val="Call"/>
        <w:rPr>
          <w:lang w:val="es-ES_tradnl"/>
        </w:rPr>
      </w:pPr>
      <w:proofErr w:type="gramStart"/>
      <w:r w:rsidRPr="00F44EAF">
        <w:rPr>
          <w:lang w:val="es-ES_tradnl"/>
        </w:rPr>
        <w:t>considerando</w:t>
      </w:r>
      <w:proofErr w:type="gramEnd"/>
    </w:p>
    <w:p w:rsidR="00CA41E8" w:rsidRPr="00F44EAF" w:rsidRDefault="00CA41E8" w:rsidP="00CA41E8">
      <w:pPr>
        <w:rPr>
          <w:i/>
          <w:iCs/>
          <w:lang w:val="es-ES_tradnl"/>
        </w:rPr>
      </w:pPr>
      <w:r w:rsidRPr="00F44EAF">
        <w:rPr>
          <w:iCs/>
          <w:lang w:val="es-ES_tradnl"/>
        </w:rPr>
        <w:t xml:space="preserve">que </w:t>
      </w:r>
      <w:r w:rsidRPr="00F44EAF">
        <w:rPr>
          <w:lang w:val="es-ES_tradnl"/>
        </w:rPr>
        <w:t>los sistemas y redes que funcionan en el servicio móvil aeronáutico (AMS) se utilizan para enlaces de datos de banda ancha y de banda estrecha aerotransportados para soportar aplicaciones de investigación científica, teledetección, lucha contra los incendios, tasación de tierras y cultivos, supervisión de oleoductos y de gestión de emergencias,</w:t>
      </w:r>
    </w:p>
    <w:p w:rsidR="00CA41E8" w:rsidRPr="00F44EAF" w:rsidRDefault="00CA41E8" w:rsidP="00CA41E8">
      <w:pPr>
        <w:pStyle w:val="Call"/>
        <w:rPr>
          <w:lang w:val="es-ES_tradnl"/>
        </w:rPr>
      </w:pPr>
      <w:proofErr w:type="gramStart"/>
      <w:r w:rsidRPr="00F44EAF">
        <w:rPr>
          <w:lang w:val="es-ES_tradnl"/>
        </w:rPr>
        <w:t>reconociendo</w:t>
      </w:r>
      <w:proofErr w:type="gramEnd"/>
    </w:p>
    <w:p w:rsidR="00CA41E8" w:rsidRPr="00F44EAF" w:rsidRDefault="00CA41E8" w:rsidP="00CA41E8">
      <w:pPr>
        <w:rPr>
          <w:lang w:val="es-ES_tradnl"/>
        </w:rPr>
      </w:pPr>
      <w:r w:rsidRPr="00F44EAF">
        <w:rPr>
          <w:i/>
          <w:lang w:val="es-ES_tradnl"/>
        </w:rPr>
        <w:t>a)</w:t>
      </w:r>
      <w:r w:rsidRPr="00F44EAF">
        <w:rPr>
          <w:i/>
          <w:lang w:val="es-ES_tradnl"/>
        </w:rPr>
        <w:tab/>
      </w:r>
      <w:r w:rsidRPr="00F44EAF">
        <w:rPr>
          <w:lang w:val="es-ES_tradnl"/>
        </w:rPr>
        <w:t>que las bandas de frecuencias 22,5-23,6 GHz y 25,25-27,5 GHz están atribuidas mundialmente a título primario al servicio móvil;</w:t>
      </w:r>
    </w:p>
    <w:p w:rsidR="00CA41E8" w:rsidRPr="00F44EAF" w:rsidRDefault="00CA41E8" w:rsidP="00CA41E8">
      <w:pPr>
        <w:rPr>
          <w:i/>
          <w:lang w:val="es-ES_tradnl"/>
        </w:rPr>
      </w:pPr>
      <w:r w:rsidRPr="00F44EAF">
        <w:rPr>
          <w:i/>
          <w:iCs/>
          <w:lang w:val="es-ES_tradnl"/>
        </w:rPr>
        <w:t>b)</w:t>
      </w:r>
      <w:r w:rsidRPr="00F44EAF">
        <w:rPr>
          <w:lang w:val="es-ES_tradnl"/>
        </w:rPr>
        <w:tab/>
        <w:t>que el servicio móvil aeronáutico (AMS) es un subconjunto del servicio móvil;</w:t>
      </w:r>
    </w:p>
    <w:p w:rsidR="00CA41E8" w:rsidRPr="00F44EAF" w:rsidRDefault="00CA41E8" w:rsidP="00CA41E8">
      <w:pPr>
        <w:rPr>
          <w:lang w:val="es-ES_tradnl"/>
        </w:rPr>
      </w:pPr>
      <w:r w:rsidRPr="00F44EAF">
        <w:rPr>
          <w:i/>
          <w:iCs/>
          <w:lang w:val="es-ES_tradnl"/>
        </w:rPr>
        <w:t>c)</w:t>
      </w:r>
      <w:r w:rsidRPr="00F44EAF">
        <w:rPr>
          <w:lang w:val="es-ES_tradnl"/>
        </w:rPr>
        <w:tab/>
      </w:r>
      <w:bookmarkStart w:id="4" w:name="lt_pId042"/>
      <w:r w:rsidRPr="00F44EAF">
        <w:rPr>
          <w:lang w:val="es-ES_tradnl"/>
        </w:rPr>
        <w:t>que el servicio móvil aeronáutico es un servicio móvil entre estaciones aeronáuticas y estaciones de aeronave, o entre estaciones de aeronave;</w:t>
      </w:r>
      <w:bookmarkEnd w:id="4"/>
    </w:p>
    <w:p w:rsidR="00CA41E8" w:rsidRPr="00F44EAF" w:rsidRDefault="00CA41E8" w:rsidP="00CA41E8">
      <w:pPr>
        <w:rPr>
          <w:lang w:val="es-ES_tradnl"/>
        </w:rPr>
      </w:pPr>
      <w:r w:rsidRPr="00F44EAF">
        <w:rPr>
          <w:i/>
          <w:iCs/>
          <w:lang w:val="es-ES_tradnl"/>
        </w:rPr>
        <w:t>d)</w:t>
      </w:r>
      <w:r w:rsidRPr="00F44EAF">
        <w:rPr>
          <w:iCs/>
          <w:lang w:val="es-ES_tradnl"/>
        </w:rPr>
        <w:tab/>
      </w:r>
      <w:r w:rsidRPr="00F44EAF">
        <w:rPr>
          <w:lang w:val="es-ES_tradnl"/>
        </w:rPr>
        <w:t>que la utilización de sistemas que funcionan en el servicio móvil aeronáutico no impide la utilización de estas bandas de frecuencias por cualquier otra aplicación actual o planificada de los servicios para los cuales están atribuidas y no establece ninguna prioridad en el Reglamento de Radiocomunicaciones;</w:t>
      </w:r>
    </w:p>
    <w:p w:rsidR="00CA41E8" w:rsidRPr="00F44EAF" w:rsidRDefault="00CA41E8" w:rsidP="00CA41E8">
      <w:pPr>
        <w:rPr>
          <w:lang w:val="es-ES_tradnl"/>
        </w:rPr>
      </w:pPr>
      <w:r w:rsidRPr="00F44EAF">
        <w:rPr>
          <w:i/>
          <w:iCs/>
          <w:lang w:val="es-ES_tradnl"/>
        </w:rPr>
        <w:lastRenderedPageBreak/>
        <w:t>e)</w:t>
      </w:r>
      <w:r w:rsidRPr="00F44EAF">
        <w:rPr>
          <w:lang w:val="es-ES_tradnl"/>
        </w:rPr>
        <w:tab/>
        <w:t>que la banda de frecuencias 22,5-23,6 GHz también está atribuida a título primario a los servicios fijo, entre satélites y de investigación espacial en partes de la banda de frecuencias, o en su totalidad;</w:t>
      </w:r>
    </w:p>
    <w:p w:rsidR="00CA41E8" w:rsidRPr="00F44EAF" w:rsidRDefault="00CA41E8" w:rsidP="00CA41E8">
      <w:pPr>
        <w:rPr>
          <w:lang w:val="es-ES_tradnl"/>
        </w:rPr>
      </w:pPr>
      <w:bookmarkStart w:id="5" w:name="lt_pId093"/>
      <w:r w:rsidRPr="00F44EAF">
        <w:rPr>
          <w:i/>
          <w:iCs/>
          <w:lang w:val="es-ES_tradnl"/>
        </w:rPr>
        <w:t>f)</w:t>
      </w:r>
      <w:bookmarkEnd w:id="5"/>
      <w:r w:rsidRPr="00F44EAF">
        <w:rPr>
          <w:lang w:val="es-ES_tradnl"/>
        </w:rPr>
        <w:tab/>
      </w:r>
      <w:bookmarkStart w:id="6" w:name="lt_pId094"/>
      <w:r w:rsidRPr="00F44EAF">
        <w:rPr>
          <w:lang w:val="es-ES_tradnl"/>
        </w:rPr>
        <w:t>que la banda de frecuencias 25,25-27,5 GHz también está atribuida a título primario a los servicios de exploración de la Tierra por satélite, fijo, fijo por satélite, entre satélites y de investigación espacial en partes de la banda de frecuencias, o en su totalidad;</w:t>
      </w:r>
    </w:p>
    <w:p w:rsidR="00CA41E8" w:rsidRPr="00F44EAF" w:rsidRDefault="00CA41E8" w:rsidP="00CA41E8">
      <w:pPr>
        <w:rPr>
          <w:lang w:val="es-ES_tradnl"/>
        </w:rPr>
      </w:pPr>
      <w:bookmarkStart w:id="7" w:name="lt_pId095"/>
      <w:bookmarkEnd w:id="6"/>
      <w:r w:rsidRPr="00F44EAF">
        <w:rPr>
          <w:i/>
          <w:iCs/>
          <w:lang w:val="es-ES_tradnl"/>
        </w:rPr>
        <w:t>g)</w:t>
      </w:r>
      <w:bookmarkEnd w:id="7"/>
      <w:r w:rsidRPr="00F44EAF">
        <w:rPr>
          <w:lang w:val="es-ES_tradnl"/>
        </w:rPr>
        <w:tab/>
      </w:r>
      <w:bookmarkStart w:id="8" w:name="lt_pId096"/>
      <w:r w:rsidRPr="00F44EAF">
        <w:rPr>
          <w:lang w:val="es-ES_tradnl"/>
        </w:rPr>
        <w:t>que en estas bandas la UIT prevé y está estudiando actualmente nuevos sistemas del servicio móvil y del servicio fijo;</w:t>
      </w:r>
    </w:p>
    <w:p w:rsidR="00CA41E8" w:rsidRPr="00F44EAF" w:rsidRDefault="00CA41E8" w:rsidP="00CA41E8">
      <w:pPr>
        <w:rPr>
          <w:lang w:val="es-ES_tradnl"/>
        </w:rPr>
      </w:pPr>
      <w:bookmarkStart w:id="9" w:name="lt_pId097"/>
      <w:bookmarkEnd w:id="8"/>
      <w:r w:rsidRPr="00F44EAF">
        <w:rPr>
          <w:i/>
          <w:iCs/>
          <w:lang w:val="es-ES_tradnl"/>
        </w:rPr>
        <w:t>h)</w:t>
      </w:r>
      <w:bookmarkEnd w:id="9"/>
      <w:r w:rsidRPr="00F44EAF">
        <w:rPr>
          <w:lang w:val="es-ES_tradnl"/>
        </w:rPr>
        <w:tab/>
      </w:r>
      <w:bookmarkStart w:id="10" w:name="lt_pId098"/>
      <w:r w:rsidRPr="00F44EAF">
        <w:rPr>
          <w:lang w:val="es-ES_tradnl"/>
        </w:rPr>
        <w:t>que el funcionamiento de los sistemas móviles aeronáuticos supone una compartición más compleja sobre zonas amplias y puede hacer necesarios unos acuerdos bilaterales entre la administración que opera el AMS y las administraciones afectadas,</w:t>
      </w:r>
    </w:p>
    <w:bookmarkEnd w:id="10"/>
    <w:p w:rsidR="00CA41E8" w:rsidRPr="00F44EAF" w:rsidRDefault="00CA41E8" w:rsidP="00CA41E8">
      <w:pPr>
        <w:pStyle w:val="Call"/>
        <w:rPr>
          <w:lang w:val="es-ES_tradnl"/>
        </w:rPr>
      </w:pPr>
      <w:proofErr w:type="gramStart"/>
      <w:r w:rsidRPr="00F44EAF">
        <w:rPr>
          <w:lang w:val="es-ES_tradnl"/>
        </w:rPr>
        <w:t>recomienda</w:t>
      </w:r>
      <w:proofErr w:type="gramEnd"/>
    </w:p>
    <w:p w:rsidR="00CA41E8" w:rsidRPr="00F44EAF" w:rsidRDefault="00CA41E8" w:rsidP="00CA41E8">
      <w:pPr>
        <w:rPr>
          <w:lang w:val="es-ES_tradnl"/>
        </w:rPr>
      </w:pPr>
      <w:r w:rsidRPr="00F44EAF">
        <w:rPr>
          <w:b/>
          <w:bCs/>
          <w:lang w:val="es-ES_tradnl"/>
        </w:rPr>
        <w:t>1</w:t>
      </w:r>
      <w:r w:rsidRPr="00F44EAF">
        <w:rPr>
          <w:lang w:val="es-ES_tradnl"/>
        </w:rPr>
        <w:tab/>
        <w:t>que se consideren las características técnicas y operacionales de los sistemas que funcionan en el AMS descritas en el Anexo como representativas de los que funcionan en las bandas de frecuencias 22,5-23,6 GHz y 25,25-27,5 GHz;</w:t>
      </w:r>
    </w:p>
    <w:p w:rsidR="00CA41E8" w:rsidRPr="00F44EAF" w:rsidRDefault="00CA41E8" w:rsidP="00CA41E8">
      <w:pPr>
        <w:rPr>
          <w:lang w:val="es-ES_tradnl"/>
        </w:rPr>
      </w:pPr>
      <w:r w:rsidRPr="00F44EAF">
        <w:rPr>
          <w:b/>
          <w:bCs/>
          <w:lang w:val="es-ES_tradnl"/>
        </w:rPr>
        <w:t>2</w:t>
      </w:r>
      <w:r w:rsidRPr="00F44EAF">
        <w:rPr>
          <w:lang w:val="es-ES_tradnl"/>
        </w:rPr>
        <w:tab/>
        <w:t xml:space="preserve">que se utilicen los criterios de relación entre la potencia de la señal interferente y el nivel de potencia de ruido en el receptor </w:t>
      </w:r>
      <w:r w:rsidRPr="00F44EAF">
        <w:rPr>
          <w:i/>
          <w:iCs/>
          <w:lang w:val="es-ES_tradnl"/>
        </w:rPr>
        <w:t>(I/N</w:t>
      </w:r>
      <w:r w:rsidRPr="00F44EAF">
        <w:rPr>
          <w:lang w:val="es-ES_tradnl"/>
        </w:rPr>
        <w:t>) de –6 dB como el nivel de protección requerido para los receptores del AMS. Si están presentes múltiples posibles fuentes de interferencia, la protección del AMS exige que ese criterio no se rebase debido a la interferencia combinada de múltiples fuentes.</w:t>
      </w:r>
    </w:p>
    <w:p w:rsidR="00CA41E8" w:rsidRPr="00F44EAF" w:rsidRDefault="00CA41E8" w:rsidP="00CA41E8">
      <w:pPr>
        <w:rPr>
          <w:lang w:val="es-ES_tradnl"/>
        </w:rPr>
      </w:pPr>
    </w:p>
    <w:p w:rsidR="00CA41E8" w:rsidRPr="00F44EAF" w:rsidRDefault="00CA41E8" w:rsidP="00CA41E8">
      <w:pPr>
        <w:rPr>
          <w:szCs w:val="24"/>
          <w:lang w:val="es-ES_tradnl"/>
        </w:rPr>
      </w:pPr>
    </w:p>
    <w:p w:rsidR="00CA41E8" w:rsidRPr="00F44EAF" w:rsidRDefault="00CA41E8" w:rsidP="00CA41E8">
      <w:pPr>
        <w:pStyle w:val="AnnexNoTitle"/>
        <w:outlineLvl w:val="0"/>
        <w:rPr>
          <w:lang w:val="es-ES_tradnl"/>
        </w:rPr>
      </w:pPr>
      <w:r w:rsidRPr="00F44EAF">
        <w:rPr>
          <w:lang w:val="es-ES_tradnl"/>
        </w:rPr>
        <w:t>Anexo</w:t>
      </w:r>
      <w:r w:rsidRPr="00F44EAF">
        <w:rPr>
          <w:lang w:val="es-ES_tradnl"/>
        </w:rPr>
        <w:br/>
      </w:r>
      <w:r w:rsidRPr="00F44EAF">
        <w:rPr>
          <w:lang w:val="es-ES_tradnl"/>
        </w:rPr>
        <w:br/>
        <w:t xml:space="preserve">Características técnicas y operacionales y criterios de protección de los sistemas del servicio móvil aeronáutico en las bandas de frecuencias </w:t>
      </w:r>
      <w:r w:rsidRPr="00F44EAF">
        <w:rPr>
          <w:lang w:val="es-ES_tradnl"/>
        </w:rPr>
        <w:br/>
        <w:t>22,5-23,6 GHz y 25,25-27,5 GHz</w:t>
      </w:r>
    </w:p>
    <w:p w:rsidR="00CA41E8" w:rsidRPr="00F44EAF" w:rsidRDefault="00CA41E8" w:rsidP="00CA41E8">
      <w:pPr>
        <w:pStyle w:val="Heading1"/>
        <w:rPr>
          <w:lang w:val="es-ES_tradnl"/>
        </w:rPr>
      </w:pPr>
      <w:r w:rsidRPr="00F44EAF">
        <w:rPr>
          <w:lang w:val="es-ES_tradnl"/>
        </w:rPr>
        <w:t>1</w:t>
      </w:r>
      <w:r w:rsidRPr="00F44EAF">
        <w:rPr>
          <w:lang w:val="es-ES_tradnl"/>
        </w:rPr>
        <w:tab/>
        <w:t>Introducción</w:t>
      </w:r>
    </w:p>
    <w:p w:rsidR="00CA41E8" w:rsidRPr="00F44EAF" w:rsidRDefault="00CA41E8" w:rsidP="00CA41E8">
      <w:pPr>
        <w:rPr>
          <w:lang w:val="es-ES_tradnl"/>
        </w:rPr>
      </w:pPr>
      <w:r w:rsidRPr="00F44EAF">
        <w:rPr>
          <w:lang w:val="es-ES_tradnl"/>
        </w:rPr>
        <w:t xml:space="preserve">Los sistemas y redes que funcionan en el servicio móvil aeronáutico (AMS) se utilizan para enlaces de datos de banda ancha y de </w:t>
      </w:r>
      <w:bookmarkStart w:id="11" w:name="_GoBack"/>
      <w:bookmarkEnd w:id="11"/>
      <w:r w:rsidRPr="00F44EAF">
        <w:rPr>
          <w:lang w:val="es-ES_tradnl"/>
        </w:rPr>
        <w:t>banda estrecha aerotransportados para soportar aplicaciones de investigación científica, teledetección, lucha contra los incendios, tasación las tierras y cultivos, supervisión de los oleoductos y aplicaciones de gestión de emergencias.</w:t>
      </w:r>
    </w:p>
    <w:p w:rsidR="00CA41E8" w:rsidRPr="00F44EAF" w:rsidRDefault="00CA41E8" w:rsidP="00CA41E8">
      <w:pPr>
        <w:rPr>
          <w:lang w:val="es-ES_tradnl"/>
        </w:rPr>
      </w:pPr>
      <w:r w:rsidRPr="00F44EAF">
        <w:rPr>
          <w:lang w:val="es-ES_tradnl"/>
        </w:rPr>
        <w:t>Los enlaces de datos de banda ancha se utilizan para transmitir los datos recolectados de uno o de varios equipos de teledetección/investigación a bordo de aeronaves y los enlaces de datos de banda estrecha se utilizan para controlar el equipo de teledetección a bordo de las aeronaves.</w:t>
      </w:r>
    </w:p>
    <w:p w:rsidR="00CA41E8" w:rsidRPr="00F44EAF" w:rsidRDefault="00CA41E8" w:rsidP="00CA41E8">
      <w:pPr>
        <w:pStyle w:val="Heading1"/>
        <w:rPr>
          <w:lang w:val="es-ES_tradnl"/>
        </w:rPr>
      </w:pPr>
      <w:r w:rsidRPr="00F44EAF">
        <w:rPr>
          <w:lang w:val="es-ES_tradnl"/>
        </w:rPr>
        <w:t>2</w:t>
      </w:r>
      <w:r w:rsidRPr="00F44EAF">
        <w:rPr>
          <w:lang w:val="es-ES_tradnl"/>
        </w:rPr>
        <w:tab/>
        <w:t>Despliegue operacional</w:t>
      </w:r>
    </w:p>
    <w:p w:rsidR="00CA41E8" w:rsidRPr="00F44EAF" w:rsidRDefault="00CA41E8" w:rsidP="00CA41E8">
      <w:pPr>
        <w:rPr>
          <w:lang w:val="es-ES_tradnl"/>
        </w:rPr>
      </w:pPr>
      <w:r w:rsidRPr="00F44EAF">
        <w:rPr>
          <w:lang w:val="es-ES_tradnl"/>
        </w:rPr>
        <w:t>En las bandas de frecuencias 22,5-23,6 GHz y 25,25-27,5 GHz, el servicio móvil está atribuido a título primario en las tres Regiones del UIT-R. El AMS es un servicio móvil entre estaciones aeronáuticas y estaciones de aeronave, o entre estaciones de aeronave. Plataformas equipadas con enlaces de datos AMS (</w:t>
      </w:r>
      <w:r w:rsidRPr="00F44EAF">
        <w:rPr>
          <w:i/>
          <w:iCs/>
          <w:lang w:val="es-ES_tradnl"/>
        </w:rPr>
        <w:t>AMS data links</w:t>
      </w:r>
      <w:r w:rsidRPr="00F44EAF">
        <w:rPr>
          <w:lang w:val="es-ES_tradnl"/>
        </w:rPr>
        <w:t>, ADL) pueden desplegarse en cualquier lugar de un país cuya administración haya autorizado su utilización de conformidad con la autorización.</w:t>
      </w:r>
    </w:p>
    <w:p w:rsidR="00CA41E8" w:rsidRPr="00F44EAF" w:rsidRDefault="00CA41E8" w:rsidP="00CA41E8">
      <w:pPr>
        <w:rPr>
          <w:lang w:val="es-ES_tradnl"/>
        </w:rPr>
      </w:pPr>
      <w:r w:rsidRPr="00F44EAF">
        <w:rPr>
          <w:lang w:val="es-ES_tradnl"/>
        </w:rPr>
        <w:lastRenderedPageBreak/>
        <w:t>Un ADL puede existir entre un terminal de datos aerotransportado (</w:t>
      </w:r>
      <w:r w:rsidRPr="00F44EAF">
        <w:rPr>
          <w:i/>
          <w:iCs/>
          <w:lang w:val="es-ES_tradnl"/>
        </w:rPr>
        <w:t>airborne data terminal</w:t>
      </w:r>
      <w:r w:rsidRPr="00F44EAF">
        <w:rPr>
          <w:lang w:val="es-ES_tradnl"/>
        </w:rPr>
        <w:t>, ADT), que es una estación de aeronave, y un terminal de datos en tierra (</w:t>
      </w:r>
      <w:r w:rsidRPr="00F44EAF">
        <w:rPr>
          <w:i/>
          <w:iCs/>
          <w:lang w:val="es-ES_tradnl"/>
        </w:rPr>
        <w:t>ground data terminal</w:t>
      </w:r>
      <w:r w:rsidRPr="00F44EAF">
        <w:rPr>
          <w:lang w:val="es-ES_tradnl"/>
        </w:rPr>
        <w:t>, GDT), que es una estación aeronáutica, o entre dos ADT.</w:t>
      </w:r>
    </w:p>
    <w:p w:rsidR="00CA41E8" w:rsidRPr="00F44EAF" w:rsidRDefault="00CA41E8" w:rsidP="00CA41E8">
      <w:pPr>
        <w:rPr>
          <w:lang w:val="es-ES_tradnl"/>
        </w:rPr>
      </w:pPr>
      <w:r w:rsidRPr="00F44EAF">
        <w:rPr>
          <w:lang w:val="es-ES_tradnl"/>
        </w:rPr>
        <w:t>Los GDT pueden estar en una sola ubicación permanente o ser transportables. Los GDT transportables pueden desplazarse para atender a necesidades operacionales. El tiempo que permanece un GDT transportable en una ubicación determinada depende de las necesidades operacionales.</w:t>
      </w:r>
    </w:p>
    <w:p w:rsidR="00CA41E8" w:rsidRPr="00F44EAF" w:rsidRDefault="00CA41E8" w:rsidP="00CA41E8">
      <w:pPr>
        <w:rPr>
          <w:lang w:val="es-ES_tradnl"/>
        </w:rPr>
      </w:pPr>
      <w:r w:rsidRPr="00F44EAF">
        <w:rPr>
          <w:lang w:val="es-ES_tradnl"/>
        </w:rPr>
        <w:t>La longitud del enlace para el ADL suele estar limitada por el horizonte de visibilidad directa radioeléctrica (</w:t>
      </w:r>
      <w:r w:rsidRPr="00F44EAF">
        <w:rPr>
          <w:i/>
          <w:lang w:val="es-ES_tradnl"/>
        </w:rPr>
        <w:t>radio-line-of-sight</w:t>
      </w:r>
      <w:r w:rsidRPr="00F44EAF">
        <w:rPr>
          <w:lang w:val="es-ES_tradnl"/>
        </w:rPr>
        <w:t>, RLOS), que depende de la configuración del terreno a proximidad del GDT y de la altitud del ADT. La altitud operacional de las plataformas aerotransportadas equipadas con esos ADL depende de requisitos operacionales específicos y puede ser de hasta aproximadamente 20 km. Si bien algunos enlaces pueden ser relativamente cortos, muchos se aproximan a la distancia del horizonte RLOS. En un enlace aire-tierra, la longitud del enlace puede ser de aproximadamente 450 km.</w:t>
      </w:r>
    </w:p>
    <w:p w:rsidR="00CA41E8" w:rsidRPr="00F44EAF" w:rsidRDefault="00CA41E8" w:rsidP="00CA41E8">
      <w:pPr>
        <w:rPr>
          <w:lang w:val="es-ES_tradnl"/>
        </w:rPr>
      </w:pPr>
      <w:r w:rsidRPr="00F44EAF">
        <w:rPr>
          <w:lang w:val="es-ES_tradnl"/>
        </w:rPr>
        <w:t>El funcionamiento de un enlace entre dos ADT es similar al del enlace entre un GDT y un ADT, con la salvedad de que la longitud del enlace depende de la altitud operacional de los dos ADT. En un enlace directo aire-aire, esta longitud puede ser de hasta 900 km.</w:t>
      </w:r>
    </w:p>
    <w:p w:rsidR="00CA41E8" w:rsidRPr="00F44EAF" w:rsidRDefault="00CA41E8" w:rsidP="00CA41E8">
      <w:pPr>
        <w:rPr>
          <w:lang w:val="es-ES_tradnl"/>
        </w:rPr>
      </w:pPr>
      <w:r w:rsidRPr="00F44EAF">
        <w:rPr>
          <w:lang w:val="es-ES_tradnl"/>
        </w:rPr>
        <w:t>Otros factores que deben tenerse en cuenta, como las pérdidas atmosféricas (atenuación debida a la lluvia, gases, etc.) y pérdidas debidas a ecos parásitos, como las descritas en las Recomendaciones UIT-R de la serie P pertinentes, pueden reducir la distancia máxima del enlace entre dos aeronaves. Dependiendo de las condiciones ambientales y de la ubicación de la aeronave, la distancia del enlace puede ser inferior a 900 km.</w:t>
      </w:r>
    </w:p>
    <w:p w:rsidR="00CA41E8" w:rsidRPr="00F44EAF" w:rsidRDefault="00CA41E8" w:rsidP="00CA41E8">
      <w:pPr>
        <w:rPr>
          <w:lang w:val="es-ES_tradnl"/>
        </w:rPr>
      </w:pPr>
      <w:r w:rsidRPr="00F44EAF">
        <w:rPr>
          <w:lang w:val="es-ES_tradnl"/>
        </w:rPr>
        <w:t>Un solo GDT puede soportar varios ADT a través de diferentes enlaces. Si los ADL funcionan en modo de banda estrecha, múltiples enlaces de datos pueden ser soportados mediante separación de frecuencias. Si los enlaces de datos funcionan en modo de banda amplia, múltiples enlaces de datos pueden ser soportados mediante separación geográfica utilizando múltiples antenas de alta ganancia y haz estrecho.</w:t>
      </w:r>
    </w:p>
    <w:p w:rsidR="00CA41E8" w:rsidRPr="00F44EAF" w:rsidRDefault="00CA41E8" w:rsidP="00CA41E8">
      <w:pPr>
        <w:rPr>
          <w:lang w:val="es-ES_tradnl"/>
        </w:rPr>
      </w:pPr>
      <w:r w:rsidRPr="00F44EAF">
        <w:rPr>
          <w:lang w:val="es-ES_tradnl"/>
        </w:rPr>
        <w:t>Un ADT puede servir como nodo en una red más amplia o como repetidor para extender el rango entre el ADT de recolección de datos y el GDT de recepción de datos. En este caso, el ADT puede tener uno o más ADL, entre dos ADT o entre un ADT y un GDT.</w:t>
      </w:r>
    </w:p>
    <w:p w:rsidR="00CA41E8" w:rsidRPr="00F44EAF" w:rsidRDefault="00CA41E8" w:rsidP="00CA41E8">
      <w:pPr>
        <w:rPr>
          <w:lang w:val="es-ES_tradnl"/>
        </w:rPr>
      </w:pPr>
      <w:r w:rsidRPr="00F44EAF">
        <w:rPr>
          <w:lang w:val="es-ES_tradnl"/>
        </w:rPr>
        <w:t>La duración temporal del enlace puede abarcar toda la duración del vuelo, es decir, despegue/aterrizaje, tránsito hacia/desde la zona operacional, y el tiempo utilizado para la compilación de datos en la zona operacional. Por consiguiente, un ADL puede estar activo durante muchas horas.</w:t>
      </w:r>
    </w:p>
    <w:p w:rsidR="00CA41E8" w:rsidRPr="00F44EAF" w:rsidRDefault="00CA41E8" w:rsidP="00CA41E8">
      <w:pPr>
        <w:pStyle w:val="Heading1"/>
        <w:rPr>
          <w:lang w:val="es-ES_tradnl"/>
        </w:rPr>
      </w:pPr>
      <w:r w:rsidRPr="00F44EAF">
        <w:rPr>
          <w:lang w:val="es-ES_tradnl"/>
        </w:rPr>
        <w:t>3</w:t>
      </w:r>
      <w:r w:rsidRPr="00F44EAF">
        <w:rPr>
          <w:lang w:val="es-ES_tradnl"/>
        </w:rPr>
        <w:tab/>
        <w:t>Características técnicas de los sistemas móviles aeronáuticos</w:t>
      </w:r>
    </w:p>
    <w:p w:rsidR="00CA41E8" w:rsidRPr="00F44EAF" w:rsidRDefault="00CA41E8" w:rsidP="00CA41E8">
      <w:pPr>
        <w:rPr>
          <w:lang w:val="es-ES_tradnl"/>
        </w:rPr>
      </w:pPr>
      <w:r w:rsidRPr="00F44EAF">
        <w:rPr>
          <w:lang w:val="es-ES_tradnl"/>
        </w:rPr>
        <w:t>En el Cuadro 1 se indican las características técnicas representativas de los enlaces de datos aerotransportados en el AMS para las bandas de frecuencias 22,5-23,6 GHz y 25,25</w:t>
      </w:r>
      <w:r w:rsidRPr="00F44EAF">
        <w:rPr>
          <w:lang w:val="es-ES_tradnl"/>
        </w:rPr>
        <w:noBreakHyphen/>
        <w:t>27,5 GHz.</w:t>
      </w:r>
    </w:p>
    <w:p w:rsidR="00CA41E8" w:rsidRPr="00F44EAF" w:rsidRDefault="00CA41E8" w:rsidP="00CA41E8">
      <w:pPr>
        <w:pStyle w:val="Heading2"/>
        <w:rPr>
          <w:lang w:val="es-ES_tradnl"/>
        </w:rPr>
      </w:pPr>
      <w:r w:rsidRPr="00F44EAF">
        <w:rPr>
          <w:lang w:val="es-ES_tradnl"/>
        </w:rPr>
        <w:t>3.1</w:t>
      </w:r>
      <w:r w:rsidRPr="00F44EAF">
        <w:rPr>
          <w:lang w:val="es-ES_tradnl"/>
        </w:rPr>
        <w:tab/>
        <w:t>Características de los transmisores</w:t>
      </w:r>
    </w:p>
    <w:p w:rsidR="00CA41E8" w:rsidRPr="00F44EAF" w:rsidRDefault="00CA41E8" w:rsidP="00CA41E8">
      <w:pPr>
        <w:rPr>
          <w:lang w:val="es-ES_tradnl"/>
        </w:rPr>
      </w:pPr>
      <w:r w:rsidRPr="00F44EAF">
        <w:rPr>
          <w:lang w:val="es-ES_tradnl"/>
        </w:rPr>
        <w:t xml:space="preserve">Los sistemas móviles aeronáuticos que operan o que están planificados para operar en las bandas de frecuencias 22,5-23,6 GHz y 25,25-27,5 GHz suelen utilizar modulaciones digitales. Un transmisor determinado puede ser capaz de radiar más de una forma de onda. En los transmisores suelen utilizarse dispositivos de salida de amplificador de potencia de estado sólido. La tendencia a utilizar transmisores de estado sólido en nuevos sistemas móviles se mantendrá en un futuro previsible debido </w:t>
      </w:r>
      <w:r w:rsidRPr="00F44EAF">
        <w:rPr>
          <w:lang w:val="es-ES_tradnl"/>
        </w:rPr>
        <w:lastRenderedPageBreak/>
        <w:t>a la gran anchura de banda, el bajo nivel de emisiones no deseadas generadas, el bajo consumo de potencia y la fiabilidad de esos dispositivos.</w:t>
      </w:r>
    </w:p>
    <w:p w:rsidR="00CA41E8" w:rsidRPr="00F44EAF" w:rsidRDefault="00CA41E8" w:rsidP="00CA41E8">
      <w:pPr>
        <w:rPr>
          <w:lang w:val="es-ES_tradnl"/>
        </w:rPr>
      </w:pPr>
      <w:r w:rsidRPr="00F44EAF">
        <w:rPr>
          <w:lang w:val="es-ES_tradnl"/>
        </w:rPr>
        <w:t>Las anchuras de banda típicas de la emisión de radiofrecuencia (3 dB) de los transmisores de los sistemas móviles que operan o están planificados para operar en las bandas de frecuencias 22,5</w:t>
      </w:r>
      <w:r w:rsidRPr="00F44EAF">
        <w:rPr>
          <w:lang w:val="es-ES_tradnl"/>
        </w:rPr>
        <w:noBreakHyphen/>
        <w:t>23,6 GHz y 25,25-27,5 GHz van de aproximadamente 143 a 865 MHz. Las potencias de cresta de salida de los transmisores van de 0,1 W (20 dBm) a 60 W (48 dBm). No obstante, el nivel de potencia máximo en la entrada de la antena está limitado a 10 vatios en la gama de frecuencias 25,25</w:t>
      </w:r>
      <w:r w:rsidRPr="00F44EAF">
        <w:rPr>
          <w:lang w:val="es-ES_tradnl"/>
        </w:rPr>
        <w:noBreakHyphen/>
        <w:t xml:space="preserve">27,5 GHz conforme al número </w:t>
      </w:r>
      <w:r w:rsidRPr="00F44EAF">
        <w:rPr>
          <w:b/>
          <w:bCs/>
          <w:lang w:val="es-ES_tradnl"/>
        </w:rPr>
        <w:t>21.5</w:t>
      </w:r>
      <w:r w:rsidRPr="00F44EAF">
        <w:rPr>
          <w:lang w:val="es-ES_tradnl"/>
        </w:rPr>
        <w:t xml:space="preserve"> del RR y la potencia radiada isótropa equivalente está limitada a 24 dBW (en cualquier banda de 1 MHz) en la gama de frecuencias 25,25-27,5 GHz cuando la dirección de radiación máxima de la antena se encuentre a menos de 1,5 grados de la órbita de los satélites geoestacionarios, conforme al número </w:t>
      </w:r>
      <w:r w:rsidRPr="00F44EAF">
        <w:rPr>
          <w:b/>
          <w:bCs/>
          <w:lang w:val="es-ES_tradnl"/>
        </w:rPr>
        <w:t>21.2</w:t>
      </w:r>
      <w:r w:rsidRPr="00F44EAF">
        <w:rPr>
          <w:lang w:val="es-ES_tradnl"/>
        </w:rPr>
        <w:t xml:space="preserve"> del RR.</w:t>
      </w:r>
    </w:p>
    <w:p w:rsidR="00CA41E8" w:rsidRPr="00F44EAF" w:rsidRDefault="00CA41E8" w:rsidP="00CA41E8">
      <w:pPr>
        <w:pStyle w:val="Heading2"/>
        <w:rPr>
          <w:lang w:val="es-ES_tradnl"/>
        </w:rPr>
      </w:pPr>
      <w:r w:rsidRPr="00F44EAF">
        <w:rPr>
          <w:lang w:val="es-ES_tradnl"/>
        </w:rPr>
        <w:t>3.2</w:t>
      </w:r>
      <w:r w:rsidRPr="00F44EAF">
        <w:rPr>
          <w:lang w:val="es-ES_tradnl"/>
        </w:rPr>
        <w:tab/>
        <w:t>Características de los receptores</w:t>
      </w:r>
    </w:p>
    <w:p w:rsidR="00CA41E8" w:rsidRPr="00F44EAF" w:rsidRDefault="00CA41E8" w:rsidP="00CA41E8">
      <w:pPr>
        <w:rPr>
          <w:lang w:val="es-ES_tradnl"/>
        </w:rPr>
      </w:pPr>
      <w:r w:rsidRPr="00F44EAF">
        <w:rPr>
          <w:lang w:val="es-ES_tradnl"/>
        </w:rPr>
        <w:t>Los sistemas móviles aeronáuticos en las bandas de frecuencias 22,5-23,6 GHz y 25,25-27,5 GHz utiliza el procesamiento digital de las señales para mejorar la calidad de funcionamiento del sistema.</w:t>
      </w:r>
    </w:p>
    <w:p w:rsidR="00CA41E8" w:rsidRPr="00F44EAF" w:rsidRDefault="00CA41E8" w:rsidP="00CA41E8">
      <w:pPr>
        <w:rPr>
          <w:lang w:val="es-ES_tradnl"/>
        </w:rPr>
      </w:pPr>
      <w:r w:rsidRPr="00F44EAF">
        <w:rPr>
          <w:lang w:val="es-ES_tradnl"/>
        </w:rPr>
        <w:t>El procesamiento de las señales en la nueva generación de sistemas móviles aeronáuticos puede utilizar</w:t>
      </w:r>
      <w:r w:rsidRPr="00F44EAF">
        <w:rPr>
          <w:color w:val="000000"/>
          <w:lang w:val="es-ES_tradnl"/>
        </w:rPr>
        <w:t xml:space="preserve"> </w:t>
      </w:r>
      <w:r w:rsidRPr="00F44EAF">
        <w:rPr>
          <w:lang w:val="es-ES_tradnl"/>
        </w:rPr>
        <w:t>ensanchamiento de espectro en secuencia directa u otras técnicas avanzadas para producir una ganancia de procesamiento para la señal deseada y podría también permitir la supresión de señales indeseadas.</w:t>
      </w:r>
    </w:p>
    <w:p w:rsidR="00CA41E8" w:rsidRPr="00F44EAF" w:rsidRDefault="00CA41E8" w:rsidP="00CA41E8">
      <w:pPr>
        <w:pStyle w:val="Heading2"/>
        <w:rPr>
          <w:lang w:val="es-ES_tradnl"/>
        </w:rPr>
      </w:pPr>
      <w:r w:rsidRPr="00F44EAF">
        <w:rPr>
          <w:lang w:val="es-ES_tradnl"/>
        </w:rPr>
        <w:t>3.3</w:t>
      </w:r>
      <w:r w:rsidRPr="00F44EAF">
        <w:rPr>
          <w:lang w:val="es-ES_tradnl"/>
        </w:rPr>
        <w:tab/>
        <w:t>Características de las antenas</w:t>
      </w:r>
    </w:p>
    <w:p w:rsidR="00CA41E8" w:rsidRPr="00F44EAF" w:rsidRDefault="00CA41E8" w:rsidP="00CA41E8">
      <w:pPr>
        <w:rPr>
          <w:lang w:val="es-ES_tradnl"/>
        </w:rPr>
      </w:pPr>
      <w:r w:rsidRPr="00F44EAF">
        <w:rPr>
          <w:lang w:val="es-ES_tradnl"/>
        </w:rPr>
        <w:t>Los sistemas de las bandas de frecuencias 22,5-23,6 GHz y 25,25-27,5 GHz pueden utilizar diversos tipos de antenas. La ganancia de las antenas suele ir de 33 a 46 dBi. Se utilizan polarizaciones horizontal, vertical y circular.</w:t>
      </w:r>
    </w:p>
    <w:p w:rsidR="00CA41E8" w:rsidRPr="00F44EAF" w:rsidRDefault="00CA41E8" w:rsidP="00CA41E8">
      <w:pPr>
        <w:rPr>
          <w:lang w:val="es-ES_tradnl"/>
        </w:rPr>
      </w:pPr>
      <w:r w:rsidRPr="00F44EAF">
        <w:rPr>
          <w:lang w:val="es-ES_tradnl"/>
        </w:rPr>
        <w:t>Si las características de antena indicadas en el Cuadro 1 son suficientes, esas características deberían utilizarse en análisis de compartición. Si se necesitan características adicionales, la primera fuente de los datos deberían ser características medidas de las antenas. En caso contrario, deberían utilizarse los datos de antena del Cuadro 1 junto con la Recomendación UIT-R M.1851.</w:t>
      </w:r>
    </w:p>
    <w:p w:rsidR="00CA41E8" w:rsidRPr="00F44EAF" w:rsidRDefault="00CA41E8" w:rsidP="00CA41E8">
      <w:pPr>
        <w:pStyle w:val="Heading1"/>
        <w:rPr>
          <w:lang w:val="es-ES_tradnl"/>
        </w:rPr>
      </w:pPr>
      <w:r w:rsidRPr="00F44EAF">
        <w:rPr>
          <w:lang w:val="es-ES_tradnl"/>
        </w:rPr>
        <w:t>4</w:t>
      </w:r>
      <w:r w:rsidRPr="00F44EAF">
        <w:rPr>
          <w:lang w:val="es-ES_tradnl"/>
        </w:rPr>
        <w:tab/>
        <w:t>Criterios de protección del servicio móvil aeronáutico en las bandas de frecuencias 22,5</w:t>
      </w:r>
      <w:r w:rsidRPr="00F44EAF">
        <w:rPr>
          <w:lang w:val="es-ES_tradnl"/>
        </w:rPr>
        <w:noBreakHyphen/>
        <w:t>23,6 GHz y 25,25-27,5 GHz</w:t>
      </w:r>
    </w:p>
    <w:p w:rsidR="00CA41E8" w:rsidRPr="00F44EAF" w:rsidRDefault="00CA41E8" w:rsidP="00CA41E8">
      <w:pPr>
        <w:rPr>
          <w:lang w:val="es-ES_tradnl"/>
        </w:rPr>
      </w:pPr>
      <w:r w:rsidRPr="00F44EAF">
        <w:rPr>
          <w:lang w:val="es-ES_tradnl"/>
        </w:rPr>
        <w:t>La calidad de funcionamiento del enlace de comunicación está a menudo limitada por el ruido. Un incrementar de 1 dB del ruido efectivo del receptor provoca una degradación significativa en el alcance de la comunicación, equivalente a una reducción del alcance de aproximadamente 10% en condiciones de propagación en el espacio libre.</w:t>
      </w:r>
    </w:p>
    <w:p w:rsidR="00CA41E8" w:rsidRPr="00F44EAF" w:rsidRDefault="00CA41E8" w:rsidP="00CA41E8">
      <w:pPr>
        <w:rPr>
          <w:lang w:val="es-ES_tradnl"/>
        </w:rPr>
      </w:pPr>
      <w:r w:rsidRPr="00F44EAF">
        <w:rPr>
          <w:lang w:val="es-ES_tradnl"/>
        </w:rPr>
        <w:t xml:space="preserve">Un incremento del ruido efectivo del receptor de 1 dB corresponde a una relación </w:t>
      </w:r>
      <w:r w:rsidRPr="00F44EAF">
        <w:rPr>
          <w:i/>
          <w:iCs/>
          <w:lang w:val="es-ES_tradnl"/>
        </w:rPr>
        <w:t xml:space="preserve">(I + N)/N </w:t>
      </w:r>
      <w:r w:rsidRPr="00F44EAF">
        <w:rPr>
          <w:lang w:val="es-ES_tradnl"/>
        </w:rPr>
        <w:t xml:space="preserve">de 1,26, y a una relación </w:t>
      </w:r>
      <w:r w:rsidRPr="00F44EAF">
        <w:rPr>
          <w:i/>
          <w:iCs/>
          <w:lang w:val="es-ES_tradnl"/>
        </w:rPr>
        <w:t>I/N</w:t>
      </w:r>
      <w:r w:rsidRPr="00F44EAF">
        <w:rPr>
          <w:lang w:val="es-ES_tradnl"/>
        </w:rPr>
        <w:t xml:space="preserve"> de aproximadamente –6 dB. Debido a la reducción del alcance del AMS y el aumento de la probabilidad de degradación de la tasa de error de bit debido al incremento del nivel de ruido efectivo del receptor de 1 dB, la relación </w:t>
      </w:r>
      <w:r w:rsidRPr="00F44EAF">
        <w:rPr>
          <w:i/>
          <w:iCs/>
          <w:lang w:val="es-ES_tradnl"/>
        </w:rPr>
        <w:t>I/N</w:t>
      </w:r>
      <w:r w:rsidRPr="00F44EAF">
        <w:rPr>
          <w:lang w:val="es-ES_tradnl"/>
        </w:rPr>
        <w:t xml:space="preserve"> de –6 dB representa el criterio de protección requerido para el AMS frente a la interferencia provocada por otro servicio de radiocomunicaciones. Si están presentes múltiples fuentes de interferencia potencial, la protección del AMS exige que ese criterio no se rebase debido a la interferencia combinada de múltiples fuentes.</w:t>
      </w:r>
    </w:p>
    <w:p w:rsidR="00CA41E8" w:rsidRPr="00F44EAF" w:rsidRDefault="00CA41E8" w:rsidP="00CA41E8">
      <w:pPr>
        <w:rPr>
          <w:lang w:val="es-ES_tradnl"/>
        </w:rPr>
      </w:pPr>
    </w:p>
    <w:p w:rsidR="00CA41E8" w:rsidRPr="00F44EAF" w:rsidRDefault="00CA41E8" w:rsidP="00CA41E8">
      <w:pPr>
        <w:spacing w:after="120"/>
        <w:ind w:left="90"/>
        <w:rPr>
          <w:szCs w:val="24"/>
          <w:lang w:val="es-ES_tradnl"/>
        </w:rPr>
        <w:sectPr w:rsidR="00CA41E8" w:rsidRPr="00F44EAF" w:rsidSect="00502EA3">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482" w:gutter="0"/>
          <w:paperSrc w:first="7" w:other="7"/>
          <w:pgNumType w:start="1"/>
          <w:cols w:space="720"/>
          <w:titlePg/>
          <w:docGrid w:linePitch="326"/>
        </w:sectPr>
      </w:pPr>
    </w:p>
    <w:p w:rsidR="00CA41E8" w:rsidRPr="00F44EAF" w:rsidRDefault="00CA41E8" w:rsidP="000D2AB6">
      <w:pPr>
        <w:pStyle w:val="TableNo"/>
        <w:spacing w:before="240"/>
        <w:rPr>
          <w:lang w:val="es-ES_tradnl"/>
        </w:rPr>
      </w:pPr>
      <w:bookmarkStart w:id="12" w:name="lt_pId133"/>
      <w:r w:rsidRPr="00F44EAF">
        <w:rPr>
          <w:lang w:val="es-ES_tradnl"/>
        </w:rPr>
        <w:lastRenderedPageBreak/>
        <w:t>CUADRO 1</w:t>
      </w:r>
      <w:bookmarkEnd w:id="12"/>
    </w:p>
    <w:p w:rsidR="00CA41E8" w:rsidRPr="00F44EAF" w:rsidRDefault="00CA41E8" w:rsidP="00CA41E8">
      <w:pPr>
        <w:pStyle w:val="Tabletitle"/>
        <w:rPr>
          <w:lang w:val="es-ES_tradnl"/>
        </w:rPr>
      </w:pPr>
      <w:bookmarkStart w:id="13" w:name="lt_pId134"/>
      <w:r w:rsidRPr="00F44EAF">
        <w:rPr>
          <w:lang w:val="es-ES_tradnl"/>
        </w:rPr>
        <w:t xml:space="preserve">Características técnicas representativas de los sistemas del servicio móvil aeronáutico en las </w:t>
      </w:r>
      <w:r w:rsidRPr="00F44EAF">
        <w:rPr>
          <w:lang w:val="es-ES_tradnl"/>
        </w:rPr>
        <w:br/>
        <w:t>bandas de frecuencias 22,5-23,6 GHz y 25,25-27,5 GHz</w:t>
      </w:r>
      <w:bookmarkEnd w:id="13"/>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371"/>
        <w:gridCol w:w="1134"/>
        <w:gridCol w:w="2623"/>
        <w:gridCol w:w="2624"/>
        <w:gridCol w:w="2624"/>
        <w:gridCol w:w="2624"/>
      </w:tblGrid>
      <w:tr w:rsidR="00CA41E8" w:rsidRPr="00F44EAF" w:rsidTr="00715EF4">
        <w:trPr>
          <w:jc w:val="center"/>
        </w:trPr>
        <w:tc>
          <w:tcPr>
            <w:tcW w:w="2830" w:type="dxa"/>
            <w:gridSpan w:val="2"/>
            <w:shd w:val="clear" w:color="auto" w:fill="D9D9D9" w:themeFill="background1" w:themeFillShade="D9"/>
            <w:vAlign w:val="center"/>
          </w:tcPr>
          <w:p w:rsidR="00CA41E8" w:rsidRPr="00F44EAF" w:rsidRDefault="00CA41E8" w:rsidP="00715EF4">
            <w:pPr>
              <w:pStyle w:val="Tablehead"/>
              <w:rPr>
                <w:lang w:val="es-ES_tradnl"/>
              </w:rPr>
            </w:pPr>
            <w:r w:rsidRPr="00F44EAF">
              <w:rPr>
                <w:lang w:val="es-ES_tradnl"/>
              </w:rPr>
              <w:t>Parámetro</w:t>
            </w:r>
          </w:p>
        </w:tc>
        <w:tc>
          <w:tcPr>
            <w:tcW w:w="1134" w:type="dxa"/>
            <w:shd w:val="clear" w:color="auto" w:fill="D9D9D9" w:themeFill="background1" w:themeFillShade="D9"/>
            <w:vAlign w:val="center"/>
          </w:tcPr>
          <w:p w:rsidR="00CA41E8" w:rsidRPr="00F44EAF" w:rsidRDefault="00CA41E8" w:rsidP="00715EF4">
            <w:pPr>
              <w:pStyle w:val="Tablehead"/>
              <w:rPr>
                <w:lang w:val="es-ES_tradnl"/>
              </w:rPr>
            </w:pPr>
            <w:r w:rsidRPr="00F44EAF">
              <w:rPr>
                <w:lang w:val="es-ES_tradnl"/>
              </w:rPr>
              <w:t>Unidades</w:t>
            </w:r>
          </w:p>
        </w:tc>
        <w:tc>
          <w:tcPr>
            <w:tcW w:w="2623" w:type="dxa"/>
            <w:shd w:val="clear" w:color="auto" w:fill="D9D9D9" w:themeFill="background1" w:themeFillShade="D9"/>
          </w:tcPr>
          <w:p w:rsidR="00CA41E8" w:rsidRPr="00F44EAF" w:rsidRDefault="00CA41E8" w:rsidP="00715EF4">
            <w:pPr>
              <w:pStyle w:val="Tablehead"/>
              <w:rPr>
                <w:lang w:val="es-ES_tradnl"/>
              </w:rPr>
            </w:pPr>
            <w:bookmarkStart w:id="14" w:name="lt_pId137"/>
            <w:r w:rsidRPr="00F44EAF">
              <w:rPr>
                <w:lang w:val="es-ES_tradnl"/>
              </w:rPr>
              <w:t>Sistema 1</w:t>
            </w:r>
            <w:bookmarkEnd w:id="14"/>
            <w:r w:rsidRPr="00F44EAF">
              <w:rPr>
                <w:lang w:val="es-ES_tradnl"/>
              </w:rPr>
              <w:t xml:space="preserve"> </w:t>
            </w:r>
            <w:r w:rsidRPr="00F44EAF">
              <w:rPr>
                <w:lang w:val="es-ES_tradnl"/>
              </w:rPr>
              <w:br/>
              <w:t>Aerotransportado</w:t>
            </w:r>
          </w:p>
        </w:tc>
        <w:tc>
          <w:tcPr>
            <w:tcW w:w="2624" w:type="dxa"/>
            <w:shd w:val="clear" w:color="auto" w:fill="D9D9D9" w:themeFill="background1" w:themeFillShade="D9"/>
          </w:tcPr>
          <w:p w:rsidR="00CA41E8" w:rsidRPr="00F44EAF" w:rsidRDefault="00CA41E8" w:rsidP="00715EF4">
            <w:pPr>
              <w:pStyle w:val="Tablehead"/>
              <w:rPr>
                <w:lang w:val="es-ES_tradnl"/>
              </w:rPr>
            </w:pPr>
            <w:bookmarkStart w:id="15" w:name="lt_pId139"/>
            <w:r w:rsidRPr="00F44EAF">
              <w:rPr>
                <w:lang w:val="es-ES_tradnl"/>
              </w:rPr>
              <w:t>Sistema 1</w:t>
            </w:r>
            <w:bookmarkEnd w:id="15"/>
            <w:r w:rsidRPr="00F44EAF">
              <w:rPr>
                <w:lang w:val="es-ES_tradnl"/>
              </w:rPr>
              <w:br/>
              <w:t>En tierra</w:t>
            </w:r>
          </w:p>
        </w:tc>
        <w:tc>
          <w:tcPr>
            <w:tcW w:w="2624" w:type="dxa"/>
            <w:shd w:val="clear" w:color="auto" w:fill="D9D9D9" w:themeFill="background1" w:themeFillShade="D9"/>
          </w:tcPr>
          <w:p w:rsidR="00CA41E8" w:rsidRPr="00F44EAF" w:rsidRDefault="00CA41E8" w:rsidP="00715EF4">
            <w:pPr>
              <w:pStyle w:val="Tablehead"/>
              <w:rPr>
                <w:lang w:val="es-ES_tradnl"/>
              </w:rPr>
            </w:pPr>
            <w:bookmarkStart w:id="16" w:name="lt_pId141"/>
            <w:r w:rsidRPr="00F44EAF">
              <w:rPr>
                <w:lang w:val="es-ES_tradnl"/>
              </w:rPr>
              <w:t>Sistema 2</w:t>
            </w:r>
            <w:bookmarkEnd w:id="16"/>
            <w:r w:rsidRPr="00F44EAF">
              <w:rPr>
                <w:lang w:val="es-ES_tradnl"/>
              </w:rPr>
              <w:t xml:space="preserve"> </w:t>
            </w:r>
            <w:r w:rsidRPr="00F44EAF">
              <w:rPr>
                <w:lang w:val="es-ES_tradnl"/>
              </w:rPr>
              <w:br/>
              <w:t>Aerotransportado</w:t>
            </w:r>
          </w:p>
        </w:tc>
        <w:tc>
          <w:tcPr>
            <w:tcW w:w="2624" w:type="dxa"/>
            <w:shd w:val="clear" w:color="auto" w:fill="D9D9D9" w:themeFill="background1" w:themeFillShade="D9"/>
          </w:tcPr>
          <w:p w:rsidR="00CA41E8" w:rsidRPr="00F44EAF" w:rsidRDefault="00CA41E8" w:rsidP="00715EF4">
            <w:pPr>
              <w:pStyle w:val="Tablehead"/>
              <w:rPr>
                <w:lang w:val="es-ES_tradnl"/>
              </w:rPr>
            </w:pPr>
            <w:bookmarkStart w:id="17" w:name="lt_pId143"/>
            <w:r w:rsidRPr="00F44EAF">
              <w:rPr>
                <w:lang w:val="es-ES_tradnl"/>
              </w:rPr>
              <w:t>Sistema 2</w:t>
            </w:r>
            <w:bookmarkEnd w:id="17"/>
            <w:r w:rsidRPr="00F44EAF">
              <w:rPr>
                <w:lang w:val="es-ES_tradnl"/>
              </w:rPr>
              <w:t xml:space="preserve"> </w:t>
            </w:r>
            <w:r w:rsidRPr="00F44EAF">
              <w:rPr>
                <w:lang w:val="es-ES_tradnl"/>
              </w:rPr>
              <w:br/>
              <w:t>En tierra</w:t>
            </w:r>
          </w:p>
        </w:tc>
      </w:tr>
      <w:tr w:rsidR="00CA41E8" w:rsidRPr="00F44EAF" w:rsidTr="00715EF4">
        <w:trPr>
          <w:trHeight w:val="272"/>
          <w:jc w:val="center"/>
        </w:trPr>
        <w:tc>
          <w:tcPr>
            <w:tcW w:w="14459" w:type="dxa"/>
            <w:gridSpan w:val="7"/>
            <w:shd w:val="clear" w:color="auto" w:fill="D9D9D9" w:themeFill="background1" w:themeFillShade="D9"/>
          </w:tcPr>
          <w:p w:rsidR="00CA41E8" w:rsidRPr="00F44EAF" w:rsidRDefault="00CA41E8" w:rsidP="00715EF4">
            <w:pPr>
              <w:pStyle w:val="Tabletext"/>
              <w:jc w:val="center"/>
              <w:rPr>
                <w:rFonts w:asciiTheme="majorBidi" w:eastAsia="Calibri" w:hAnsiTheme="majorBidi" w:cstheme="majorBidi"/>
                <w:b/>
                <w:bCs/>
                <w:caps/>
                <w:szCs w:val="22"/>
                <w:lang w:val="es-ES_tradnl"/>
              </w:rPr>
            </w:pPr>
            <w:r w:rsidRPr="00F44EAF">
              <w:rPr>
                <w:rFonts w:asciiTheme="majorBidi" w:eastAsia="Calibri" w:hAnsiTheme="majorBidi" w:cstheme="majorBidi"/>
                <w:b/>
                <w:bCs/>
                <w:szCs w:val="22"/>
                <w:lang w:val="es-ES_tradnl"/>
              </w:rPr>
              <w:t>Transmisor</w:t>
            </w:r>
          </w:p>
        </w:tc>
      </w:tr>
      <w:tr w:rsidR="00CA41E8" w:rsidRPr="00F44EAF" w:rsidTr="00715EF4">
        <w:trPr>
          <w:jc w:val="center"/>
        </w:trPr>
        <w:tc>
          <w:tcPr>
            <w:tcW w:w="2830" w:type="dxa"/>
            <w:gridSpan w:val="2"/>
          </w:tcPr>
          <w:p w:rsidR="00CA41E8" w:rsidRPr="00F44EAF" w:rsidRDefault="00CA41E8" w:rsidP="00715EF4">
            <w:pPr>
              <w:pStyle w:val="Tabletext"/>
              <w:rPr>
                <w:lang w:val="es-ES_tradnl"/>
              </w:rPr>
            </w:pPr>
            <w:r w:rsidRPr="00F44EAF">
              <w:rPr>
                <w:lang w:val="es-ES_tradnl"/>
              </w:rPr>
              <w:t>Gama de sintonización</w:t>
            </w:r>
          </w:p>
        </w:tc>
        <w:tc>
          <w:tcPr>
            <w:tcW w:w="1134" w:type="dxa"/>
          </w:tcPr>
          <w:p w:rsidR="00CA41E8" w:rsidRPr="00F44EAF" w:rsidRDefault="00CA41E8" w:rsidP="00715EF4">
            <w:pPr>
              <w:pStyle w:val="Tabletext"/>
              <w:jc w:val="center"/>
              <w:rPr>
                <w:lang w:val="es-ES_tradnl"/>
              </w:rPr>
            </w:pPr>
            <w:bookmarkStart w:id="18" w:name="lt_pId147"/>
            <w:r w:rsidRPr="00F44EAF">
              <w:rPr>
                <w:lang w:val="es-ES_tradnl"/>
              </w:rPr>
              <w:t>GHz</w:t>
            </w:r>
            <w:bookmarkEnd w:id="18"/>
          </w:p>
        </w:tc>
        <w:tc>
          <w:tcPr>
            <w:tcW w:w="2623" w:type="dxa"/>
            <w:vAlign w:val="center"/>
          </w:tcPr>
          <w:p w:rsidR="00CA41E8" w:rsidRPr="00F44EAF" w:rsidRDefault="00CA41E8" w:rsidP="00715EF4">
            <w:pPr>
              <w:pStyle w:val="Tabletext"/>
              <w:jc w:val="center"/>
              <w:rPr>
                <w:lang w:val="es-ES_tradnl"/>
              </w:rPr>
            </w:pPr>
            <w:r w:rsidRPr="00F44EAF">
              <w:rPr>
                <w:lang w:val="es-ES_tradnl"/>
              </w:rPr>
              <w:t>25,75-27,15</w:t>
            </w:r>
          </w:p>
        </w:tc>
        <w:tc>
          <w:tcPr>
            <w:tcW w:w="2624" w:type="dxa"/>
            <w:vAlign w:val="center"/>
          </w:tcPr>
          <w:p w:rsidR="00CA41E8" w:rsidRPr="00F44EAF" w:rsidRDefault="00CA41E8" w:rsidP="00715EF4">
            <w:pPr>
              <w:pStyle w:val="Tabletext"/>
              <w:jc w:val="center"/>
              <w:rPr>
                <w:lang w:val="es-ES_tradnl"/>
              </w:rPr>
            </w:pPr>
            <w:r w:rsidRPr="00F44EAF">
              <w:rPr>
                <w:lang w:val="es-ES_tradnl"/>
              </w:rPr>
              <w:t>22,9-23,3</w:t>
            </w:r>
          </w:p>
        </w:tc>
        <w:tc>
          <w:tcPr>
            <w:tcW w:w="2624" w:type="dxa"/>
            <w:vAlign w:val="center"/>
          </w:tcPr>
          <w:p w:rsidR="00CA41E8" w:rsidRPr="00F44EAF" w:rsidRDefault="00CA41E8" w:rsidP="00715EF4">
            <w:pPr>
              <w:pStyle w:val="Tabletext"/>
              <w:jc w:val="center"/>
              <w:rPr>
                <w:lang w:val="es-ES_tradnl"/>
              </w:rPr>
            </w:pPr>
            <w:r w:rsidRPr="00F44EAF">
              <w:rPr>
                <w:lang w:val="es-ES_tradnl"/>
              </w:rPr>
              <w:t>25,25-27,5</w:t>
            </w:r>
          </w:p>
        </w:tc>
        <w:tc>
          <w:tcPr>
            <w:tcW w:w="2624" w:type="dxa"/>
            <w:vAlign w:val="center"/>
          </w:tcPr>
          <w:p w:rsidR="00CA41E8" w:rsidRPr="00F44EAF" w:rsidRDefault="00CA41E8" w:rsidP="00715EF4">
            <w:pPr>
              <w:pStyle w:val="Tabletext"/>
              <w:jc w:val="center"/>
              <w:rPr>
                <w:lang w:val="es-ES_tradnl"/>
              </w:rPr>
            </w:pPr>
            <w:r w:rsidRPr="00F44EAF">
              <w:rPr>
                <w:lang w:val="es-ES_tradnl"/>
              </w:rPr>
              <w:t>22,55-23,5</w:t>
            </w:r>
          </w:p>
        </w:tc>
      </w:tr>
      <w:tr w:rsidR="00CA41E8" w:rsidRPr="00F44EAF" w:rsidTr="00715EF4">
        <w:trPr>
          <w:jc w:val="center"/>
        </w:trPr>
        <w:tc>
          <w:tcPr>
            <w:tcW w:w="2830" w:type="dxa"/>
            <w:gridSpan w:val="2"/>
          </w:tcPr>
          <w:p w:rsidR="00CA41E8" w:rsidRPr="00F44EAF" w:rsidRDefault="00CA41E8" w:rsidP="00715EF4">
            <w:pPr>
              <w:pStyle w:val="Tabletext"/>
              <w:rPr>
                <w:lang w:val="es-ES_tradnl"/>
              </w:rPr>
            </w:pPr>
            <w:bookmarkStart w:id="19" w:name="lt_pId152"/>
            <w:r w:rsidRPr="00F44EAF">
              <w:rPr>
                <w:lang w:val="es-ES_tradnl"/>
              </w:rPr>
              <w:t>Potencia de salida</w:t>
            </w:r>
            <w:r w:rsidRPr="00F44EAF">
              <w:rPr>
                <w:vertAlign w:val="superscript"/>
                <w:lang w:val="es-ES_tradnl"/>
              </w:rPr>
              <w:t>(1</w:t>
            </w:r>
            <w:bookmarkEnd w:id="19"/>
            <w:r w:rsidRPr="00F44EAF">
              <w:rPr>
                <w:vertAlign w:val="superscript"/>
                <w:lang w:val="es-ES_tradnl"/>
              </w:rPr>
              <w:t>)</w:t>
            </w:r>
          </w:p>
        </w:tc>
        <w:tc>
          <w:tcPr>
            <w:tcW w:w="1134" w:type="dxa"/>
          </w:tcPr>
          <w:p w:rsidR="00CA41E8" w:rsidRPr="00F44EAF" w:rsidRDefault="00CA41E8" w:rsidP="00715EF4">
            <w:pPr>
              <w:pStyle w:val="Tabletext"/>
              <w:jc w:val="center"/>
              <w:rPr>
                <w:lang w:val="es-ES_tradnl"/>
              </w:rPr>
            </w:pPr>
            <w:bookmarkStart w:id="20" w:name="lt_pId153"/>
            <w:r w:rsidRPr="00F44EAF">
              <w:rPr>
                <w:lang w:val="es-ES_tradnl"/>
              </w:rPr>
              <w:t>dBm</w:t>
            </w:r>
            <w:bookmarkEnd w:id="20"/>
          </w:p>
        </w:tc>
        <w:tc>
          <w:tcPr>
            <w:tcW w:w="2623" w:type="dxa"/>
            <w:vAlign w:val="center"/>
          </w:tcPr>
          <w:p w:rsidR="00CA41E8" w:rsidRPr="00F44EAF" w:rsidRDefault="00CA41E8" w:rsidP="00715EF4">
            <w:pPr>
              <w:pStyle w:val="Tabletext"/>
              <w:jc w:val="center"/>
              <w:rPr>
                <w:lang w:val="es-ES_tradnl"/>
              </w:rPr>
            </w:pPr>
            <w:r w:rsidRPr="00F44EAF">
              <w:rPr>
                <w:lang w:val="es-ES_tradnl"/>
              </w:rPr>
              <w:t>27 a 48</w:t>
            </w:r>
          </w:p>
        </w:tc>
        <w:tc>
          <w:tcPr>
            <w:tcW w:w="2624" w:type="dxa"/>
            <w:vAlign w:val="center"/>
          </w:tcPr>
          <w:p w:rsidR="00CA41E8" w:rsidRPr="00F44EAF" w:rsidRDefault="00CA41E8" w:rsidP="00715EF4">
            <w:pPr>
              <w:pStyle w:val="Tabletext"/>
              <w:jc w:val="center"/>
              <w:rPr>
                <w:lang w:val="es-ES_tradnl"/>
              </w:rPr>
            </w:pPr>
            <w:r w:rsidRPr="00F44EAF">
              <w:rPr>
                <w:lang w:val="es-ES_tradnl"/>
              </w:rPr>
              <w:t>30 a 48</w:t>
            </w:r>
          </w:p>
        </w:tc>
        <w:tc>
          <w:tcPr>
            <w:tcW w:w="2624" w:type="dxa"/>
            <w:vAlign w:val="center"/>
          </w:tcPr>
          <w:p w:rsidR="00CA41E8" w:rsidRPr="00F44EAF" w:rsidRDefault="00CA41E8" w:rsidP="00715EF4">
            <w:pPr>
              <w:pStyle w:val="Tabletext"/>
              <w:jc w:val="center"/>
              <w:rPr>
                <w:lang w:val="es-ES_tradnl"/>
              </w:rPr>
            </w:pPr>
            <w:r w:rsidRPr="00F44EAF">
              <w:rPr>
                <w:lang w:val="es-ES_tradnl"/>
              </w:rPr>
              <w:t>20 a 47</w:t>
            </w:r>
          </w:p>
        </w:tc>
        <w:tc>
          <w:tcPr>
            <w:tcW w:w="2624" w:type="dxa"/>
            <w:vAlign w:val="center"/>
          </w:tcPr>
          <w:p w:rsidR="00CA41E8" w:rsidRPr="00F44EAF" w:rsidRDefault="00CA41E8" w:rsidP="00715EF4">
            <w:pPr>
              <w:pStyle w:val="Tabletext"/>
              <w:jc w:val="center"/>
              <w:rPr>
                <w:lang w:val="es-ES_tradnl"/>
              </w:rPr>
            </w:pPr>
            <w:r w:rsidRPr="00F44EAF">
              <w:rPr>
                <w:lang w:val="es-ES_tradnl"/>
              </w:rPr>
              <w:t>20 a 47</w:t>
            </w:r>
          </w:p>
        </w:tc>
      </w:tr>
      <w:tr w:rsidR="00CA41E8" w:rsidRPr="00F44EAF" w:rsidTr="00715EF4">
        <w:trPr>
          <w:jc w:val="center"/>
        </w:trPr>
        <w:tc>
          <w:tcPr>
            <w:tcW w:w="1459" w:type="dxa"/>
            <w:vMerge w:val="restart"/>
          </w:tcPr>
          <w:p w:rsidR="00CA41E8" w:rsidRPr="00F44EAF" w:rsidRDefault="00CA41E8" w:rsidP="00715EF4">
            <w:pPr>
              <w:pStyle w:val="Tabletext"/>
              <w:jc w:val="left"/>
              <w:rPr>
                <w:lang w:val="es-ES_tradnl"/>
              </w:rPr>
            </w:pPr>
            <w:r w:rsidRPr="00F44EAF">
              <w:rPr>
                <w:lang w:val="es-ES_tradnl"/>
              </w:rPr>
              <w:t>Anchura de banda</w:t>
            </w:r>
          </w:p>
        </w:tc>
        <w:tc>
          <w:tcPr>
            <w:tcW w:w="1371" w:type="dxa"/>
          </w:tcPr>
          <w:p w:rsidR="00CA41E8" w:rsidRPr="00F44EAF" w:rsidRDefault="00CA41E8" w:rsidP="00715EF4">
            <w:pPr>
              <w:pStyle w:val="Tabletext"/>
              <w:rPr>
                <w:lang w:val="es-ES_tradnl"/>
              </w:rPr>
            </w:pPr>
            <w:bookmarkStart w:id="21" w:name="lt_pId159"/>
            <w:r w:rsidRPr="00F44EAF">
              <w:rPr>
                <w:lang w:val="es-ES_tradnl"/>
              </w:rPr>
              <w:t>3 dB</w:t>
            </w:r>
            <w:bookmarkEnd w:id="21"/>
          </w:p>
        </w:tc>
        <w:tc>
          <w:tcPr>
            <w:tcW w:w="1134" w:type="dxa"/>
          </w:tcPr>
          <w:p w:rsidR="00CA41E8" w:rsidRPr="00F44EAF" w:rsidRDefault="00CA41E8" w:rsidP="00715EF4">
            <w:pPr>
              <w:pStyle w:val="Tabletext"/>
              <w:jc w:val="center"/>
              <w:rPr>
                <w:lang w:val="es-ES_tradnl"/>
              </w:rPr>
            </w:pPr>
            <w:bookmarkStart w:id="22" w:name="lt_pId160"/>
            <w:r w:rsidRPr="00F44EAF">
              <w:rPr>
                <w:lang w:val="es-ES_tradnl"/>
              </w:rPr>
              <w:t>MHz</w:t>
            </w:r>
            <w:bookmarkEnd w:id="22"/>
          </w:p>
        </w:tc>
        <w:tc>
          <w:tcPr>
            <w:tcW w:w="2623" w:type="dxa"/>
            <w:vAlign w:val="center"/>
          </w:tcPr>
          <w:p w:rsidR="00CA41E8" w:rsidRPr="00F44EAF" w:rsidRDefault="00CA41E8" w:rsidP="00715EF4">
            <w:pPr>
              <w:pStyle w:val="Tabletext"/>
              <w:jc w:val="center"/>
              <w:rPr>
                <w:lang w:val="es-ES_tradnl"/>
              </w:rPr>
            </w:pPr>
            <w:r w:rsidRPr="00F44EAF">
              <w:rPr>
                <w:lang w:val="es-ES_tradnl"/>
              </w:rPr>
              <w:t>865</w:t>
            </w:r>
          </w:p>
        </w:tc>
        <w:tc>
          <w:tcPr>
            <w:tcW w:w="2624" w:type="dxa"/>
            <w:vAlign w:val="center"/>
          </w:tcPr>
          <w:p w:rsidR="00CA41E8" w:rsidRPr="00F44EAF" w:rsidRDefault="00CA41E8" w:rsidP="00715EF4">
            <w:pPr>
              <w:pStyle w:val="Tabletext"/>
              <w:jc w:val="center"/>
              <w:rPr>
                <w:lang w:val="es-ES_tradnl"/>
              </w:rPr>
            </w:pPr>
            <w:r w:rsidRPr="00F44EAF">
              <w:rPr>
                <w:lang w:val="es-ES_tradnl"/>
              </w:rPr>
              <w:t>580</w:t>
            </w:r>
          </w:p>
        </w:tc>
        <w:tc>
          <w:tcPr>
            <w:tcW w:w="2624" w:type="dxa"/>
            <w:vAlign w:val="center"/>
          </w:tcPr>
          <w:p w:rsidR="00CA41E8" w:rsidRPr="00F44EAF" w:rsidRDefault="00CA41E8" w:rsidP="00715EF4">
            <w:pPr>
              <w:pStyle w:val="Tabletext"/>
              <w:jc w:val="center"/>
              <w:rPr>
                <w:lang w:val="es-ES_tradnl"/>
              </w:rPr>
            </w:pPr>
            <w:r w:rsidRPr="00F44EAF">
              <w:rPr>
                <w:lang w:val="es-ES_tradnl"/>
              </w:rPr>
              <w:t>746</w:t>
            </w:r>
          </w:p>
        </w:tc>
        <w:tc>
          <w:tcPr>
            <w:tcW w:w="2624" w:type="dxa"/>
            <w:vAlign w:val="center"/>
          </w:tcPr>
          <w:p w:rsidR="00CA41E8" w:rsidRPr="00F44EAF" w:rsidRDefault="00CA41E8" w:rsidP="00715EF4">
            <w:pPr>
              <w:pStyle w:val="Tabletext"/>
              <w:jc w:val="center"/>
              <w:rPr>
                <w:lang w:val="es-ES_tradnl"/>
              </w:rPr>
            </w:pPr>
            <w:r w:rsidRPr="00F44EAF">
              <w:rPr>
                <w:lang w:val="es-ES_tradnl"/>
              </w:rPr>
              <w:t>143</w:t>
            </w:r>
          </w:p>
        </w:tc>
      </w:tr>
      <w:tr w:rsidR="00CA41E8" w:rsidRPr="00F44EAF" w:rsidTr="00715EF4">
        <w:trPr>
          <w:jc w:val="center"/>
        </w:trPr>
        <w:tc>
          <w:tcPr>
            <w:tcW w:w="1459" w:type="dxa"/>
            <w:vMerge/>
          </w:tcPr>
          <w:p w:rsidR="00CA41E8" w:rsidRPr="00F44EAF" w:rsidRDefault="00CA41E8" w:rsidP="00715EF4">
            <w:pPr>
              <w:pStyle w:val="Tabletext"/>
              <w:rPr>
                <w:lang w:val="es-ES_tradnl"/>
              </w:rPr>
            </w:pPr>
          </w:p>
        </w:tc>
        <w:tc>
          <w:tcPr>
            <w:tcW w:w="1371" w:type="dxa"/>
          </w:tcPr>
          <w:p w:rsidR="00CA41E8" w:rsidRPr="00F44EAF" w:rsidRDefault="00CA41E8" w:rsidP="00715EF4">
            <w:pPr>
              <w:pStyle w:val="Tabletext"/>
              <w:rPr>
                <w:lang w:val="es-ES_tradnl"/>
              </w:rPr>
            </w:pPr>
            <w:bookmarkStart w:id="23" w:name="lt_pId165"/>
            <w:r w:rsidRPr="00F44EAF">
              <w:rPr>
                <w:lang w:val="es-ES_tradnl"/>
              </w:rPr>
              <w:t>20 dB</w:t>
            </w:r>
            <w:bookmarkEnd w:id="23"/>
          </w:p>
        </w:tc>
        <w:tc>
          <w:tcPr>
            <w:tcW w:w="1134" w:type="dxa"/>
          </w:tcPr>
          <w:p w:rsidR="00CA41E8" w:rsidRPr="00F44EAF" w:rsidRDefault="00CA41E8" w:rsidP="00715EF4">
            <w:pPr>
              <w:pStyle w:val="Tabletext"/>
              <w:jc w:val="center"/>
              <w:rPr>
                <w:lang w:val="es-ES_tradnl"/>
              </w:rPr>
            </w:pPr>
            <w:bookmarkStart w:id="24" w:name="lt_pId166"/>
            <w:r w:rsidRPr="00F44EAF">
              <w:rPr>
                <w:lang w:val="es-ES_tradnl"/>
              </w:rPr>
              <w:t>MHz</w:t>
            </w:r>
            <w:bookmarkEnd w:id="24"/>
          </w:p>
        </w:tc>
        <w:tc>
          <w:tcPr>
            <w:tcW w:w="2623" w:type="dxa"/>
            <w:vAlign w:val="center"/>
          </w:tcPr>
          <w:p w:rsidR="00CA41E8" w:rsidRPr="00F44EAF" w:rsidRDefault="00CA41E8" w:rsidP="00715EF4">
            <w:pPr>
              <w:pStyle w:val="Tabletext"/>
              <w:jc w:val="center"/>
              <w:rPr>
                <w:lang w:val="es-ES_tradnl"/>
              </w:rPr>
            </w:pPr>
            <w:r w:rsidRPr="00F44EAF">
              <w:rPr>
                <w:lang w:val="es-ES_tradnl"/>
              </w:rPr>
              <w:t>930</w:t>
            </w:r>
          </w:p>
        </w:tc>
        <w:tc>
          <w:tcPr>
            <w:tcW w:w="2624" w:type="dxa"/>
            <w:vAlign w:val="center"/>
          </w:tcPr>
          <w:p w:rsidR="00CA41E8" w:rsidRPr="00F44EAF" w:rsidRDefault="00CA41E8" w:rsidP="00715EF4">
            <w:pPr>
              <w:pStyle w:val="Tabletext"/>
              <w:jc w:val="center"/>
              <w:rPr>
                <w:lang w:val="es-ES_tradnl"/>
              </w:rPr>
            </w:pPr>
            <w:r w:rsidRPr="00F44EAF">
              <w:rPr>
                <w:lang w:val="es-ES_tradnl"/>
              </w:rPr>
              <w:t>850</w:t>
            </w:r>
          </w:p>
        </w:tc>
        <w:tc>
          <w:tcPr>
            <w:tcW w:w="2624" w:type="dxa"/>
            <w:vAlign w:val="center"/>
          </w:tcPr>
          <w:p w:rsidR="00CA41E8" w:rsidRPr="00F44EAF" w:rsidRDefault="00CA41E8" w:rsidP="00715EF4">
            <w:pPr>
              <w:pStyle w:val="Tabletext"/>
              <w:jc w:val="center"/>
              <w:rPr>
                <w:lang w:val="es-ES_tradnl"/>
              </w:rPr>
            </w:pPr>
            <w:r w:rsidRPr="00F44EAF">
              <w:rPr>
                <w:lang w:val="es-ES_tradnl"/>
              </w:rPr>
              <w:t>1 009</w:t>
            </w:r>
          </w:p>
        </w:tc>
        <w:tc>
          <w:tcPr>
            <w:tcW w:w="2624" w:type="dxa"/>
            <w:vAlign w:val="center"/>
          </w:tcPr>
          <w:p w:rsidR="00CA41E8" w:rsidRPr="00F44EAF" w:rsidRDefault="00CA41E8" w:rsidP="00715EF4">
            <w:pPr>
              <w:pStyle w:val="Tabletext"/>
              <w:jc w:val="center"/>
              <w:rPr>
                <w:lang w:val="es-ES_tradnl"/>
              </w:rPr>
            </w:pPr>
            <w:r w:rsidRPr="00F44EAF">
              <w:rPr>
                <w:lang w:val="es-ES_tradnl"/>
              </w:rPr>
              <w:t>196</w:t>
            </w:r>
          </w:p>
        </w:tc>
      </w:tr>
      <w:tr w:rsidR="00CA41E8" w:rsidRPr="00F44EAF" w:rsidTr="00715EF4">
        <w:trPr>
          <w:jc w:val="center"/>
        </w:trPr>
        <w:tc>
          <w:tcPr>
            <w:tcW w:w="1459" w:type="dxa"/>
            <w:vMerge/>
          </w:tcPr>
          <w:p w:rsidR="00CA41E8" w:rsidRPr="00F44EAF" w:rsidRDefault="00CA41E8" w:rsidP="00715EF4">
            <w:pPr>
              <w:pStyle w:val="Tabletext"/>
              <w:rPr>
                <w:lang w:val="es-ES_tradnl"/>
              </w:rPr>
            </w:pPr>
          </w:p>
        </w:tc>
        <w:tc>
          <w:tcPr>
            <w:tcW w:w="1371" w:type="dxa"/>
          </w:tcPr>
          <w:p w:rsidR="00CA41E8" w:rsidRPr="00F44EAF" w:rsidRDefault="00CA41E8" w:rsidP="00715EF4">
            <w:pPr>
              <w:pStyle w:val="Tabletext"/>
              <w:rPr>
                <w:lang w:val="es-ES_tradnl"/>
              </w:rPr>
            </w:pPr>
            <w:bookmarkStart w:id="25" w:name="lt_pId171"/>
            <w:r w:rsidRPr="00F44EAF">
              <w:rPr>
                <w:lang w:val="es-ES_tradnl"/>
              </w:rPr>
              <w:t>60 dB</w:t>
            </w:r>
            <w:bookmarkEnd w:id="25"/>
          </w:p>
        </w:tc>
        <w:tc>
          <w:tcPr>
            <w:tcW w:w="1134" w:type="dxa"/>
          </w:tcPr>
          <w:p w:rsidR="00CA41E8" w:rsidRPr="00F44EAF" w:rsidRDefault="00CA41E8" w:rsidP="00715EF4">
            <w:pPr>
              <w:pStyle w:val="Tabletext"/>
              <w:jc w:val="center"/>
              <w:rPr>
                <w:lang w:val="es-ES_tradnl"/>
              </w:rPr>
            </w:pPr>
            <w:bookmarkStart w:id="26" w:name="lt_pId172"/>
            <w:r w:rsidRPr="00F44EAF">
              <w:rPr>
                <w:lang w:val="es-ES_tradnl"/>
              </w:rPr>
              <w:t>MHz</w:t>
            </w:r>
            <w:bookmarkEnd w:id="26"/>
          </w:p>
        </w:tc>
        <w:tc>
          <w:tcPr>
            <w:tcW w:w="2623" w:type="dxa"/>
            <w:vAlign w:val="center"/>
          </w:tcPr>
          <w:p w:rsidR="00CA41E8" w:rsidRPr="00F44EAF" w:rsidRDefault="00CA41E8" w:rsidP="00715EF4">
            <w:pPr>
              <w:pStyle w:val="Tabletext"/>
              <w:jc w:val="center"/>
              <w:rPr>
                <w:lang w:val="es-ES_tradnl"/>
              </w:rPr>
            </w:pPr>
            <w:r w:rsidRPr="00F44EAF">
              <w:rPr>
                <w:lang w:val="es-ES_tradnl"/>
              </w:rPr>
              <w:t>3 100</w:t>
            </w:r>
          </w:p>
        </w:tc>
        <w:tc>
          <w:tcPr>
            <w:tcW w:w="2624" w:type="dxa"/>
            <w:vAlign w:val="center"/>
          </w:tcPr>
          <w:p w:rsidR="00CA41E8" w:rsidRPr="00F44EAF" w:rsidRDefault="00CA41E8" w:rsidP="00715EF4">
            <w:pPr>
              <w:pStyle w:val="Tabletext"/>
              <w:jc w:val="center"/>
              <w:rPr>
                <w:lang w:val="es-ES_tradnl"/>
              </w:rPr>
            </w:pPr>
            <w:r w:rsidRPr="00F44EAF">
              <w:rPr>
                <w:lang w:val="es-ES_tradnl"/>
              </w:rPr>
              <w:t>3 250</w:t>
            </w:r>
          </w:p>
        </w:tc>
        <w:tc>
          <w:tcPr>
            <w:tcW w:w="2624" w:type="dxa"/>
            <w:vAlign w:val="center"/>
          </w:tcPr>
          <w:p w:rsidR="00CA41E8" w:rsidRPr="00F44EAF" w:rsidRDefault="00CA41E8" w:rsidP="00715EF4">
            <w:pPr>
              <w:pStyle w:val="Tabletext"/>
              <w:jc w:val="center"/>
              <w:rPr>
                <w:lang w:val="es-ES_tradnl"/>
              </w:rPr>
            </w:pPr>
            <w:r w:rsidRPr="00F44EAF">
              <w:rPr>
                <w:lang w:val="es-ES_tradnl"/>
              </w:rPr>
              <w:t>4 270</w:t>
            </w:r>
          </w:p>
        </w:tc>
        <w:tc>
          <w:tcPr>
            <w:tcW w:w="2624" w:type="dxa"/>
            <w:vAlign w:val="center"/>
          </w:tcPr>
          <w:p w:rsidR="00CA41E8" w:rsidRPr="00F44EAF" w:rsidRDefault="00CA41E8" w:rsidP="00715EF4">
            <w:pPr>
              <w:pStyle w:val="Tabletext"/>
              <w:jc w:val="center"/>
              <w:rPr>
                <w:lang w:val="es-ES_tradnl"/>
              </w:rPr>
            </w:pPr>
            <w:r w:rsidRPr="00F44EAF">
              <w:rPr>
                <w:lang w:val="es-ES_tradnl"/>
              </w:rPr>
              <w:t>1 010</w:t>
            </w:r>
          </w:p>
        </w:tc>
      </w:tr>
      <w:tr w:rsidR="00CA41E8" w:rsidRPr="00F44EAF" w:rsidTr="00715EF4">
        <w:trPr>
          <w:jc w:val="center"/>
        </w:trPr>
        <w:tc>
          <w:tcPr>
            <w:tcW w:w="2830" w:type="dxa"/>
            <w:gridSpan w:val="2"/>
          </w:tcPr>
          <w:p w:rsidR="00CA41E8" w:rsidRPr="00F44EAF" w:rsidRDefault="00CA41E8" w:rsidP="00715EF4">
            <w:pPr>
              <w:pStyle w:val="Tabletext"/>
              <w:rPr>
                <w:lang w:val="es-ES_tradnl"/>
              </w:rPr>
            </w:pPr>
            <w:r w:rsidRPr="00F44EAF">
              <w:rPr>
                <w:lang w:val="es-ES_tradnl"/>
              </w:rPr>
              <w:t>Atenuación armónica</w:t>
            </w:r>
          </w:p>
        </w:tc>
        <w:tc>
          <w:tcPr>
            <w:tcW w:w="1134" w:type="dxa"/>
          </w:tcPr>
          <w:p w:rsidR="00CA41E8" w:rsidRPr="00F44EAF" w:rsidRDefault="00CA41E8" w:rsidP="00715EF4">
            <w:pPr>
              <w:pStyle w:val="Tabletext"/>
              <w:jc w:val="center"/>
              <w:rPr>
                <w:lang w:val="es-ES_tradnl"/>
              </w:rPr>
            </w:pPr>
            <w:bookmarkStart w:id="27" w:name="lt_pId178"/>
            <w:r w:rsidRPr="00F44EAF">
              <w:rPr>
                <w:lang w:val="es-ES_tradnl"/>
              </w:rPr>
              <w:t>dB</w:t>
            </w:r>
            <w:bookmarkEnd w:id="27"/>
          </w:p>
        </w:tc>
        <w:tc>
          <w:tcPr>
            <w:tcW w:w="2623" w:type="dxa"/>
            <w:vAlign w:val="center"/>
          </w:tcPr>
          <w:p w:rsidR="00CA41E8" w:rsidRPr="00F44EAF" w:rsidRDefault="00CA41E8" w:rsidP="00715EF4">
            <w:pPr>
              <w:pStyle w:val="Tabletext"/>
              <w:jc w:val="center"/>
              <w:rPr>
                <w:lang w:val="es-ES_tradnl"/>
              </w:rPr>
            </w:pPr>
            <w:r w:rsidRPr="00F44EAF">
              <w:rPr>
                <w:lang w:val="es-ES_tradnl"/>
              </w:rPr>
              <w:t>65</w:t>
            </w:r>
          </w:p>
        </w:tc>
        <w:tc>
          <w:tcPr>
            <w:tcW w:w="2624" w:type="dxa"/>
            <w:vAlign w:val="center"/>
          </w:tcPr>
          <w:p w:rsidR="00CA41E8" w:rsidRPr="00F44EAF" w:rsidRDefault="00CA41E8" w:rsidP="00715EF4">
            <w:pPr>
              <w:pStyle w:val="Tabletext"/>
              <w:jc w:val="center"/>
              <w:rPr>
                <w:lang w:val="es-ES_tradnl"/>
              </w:rPr>
            </w:pPr>
            <w:r w:rsidRPr="00F44EAF">
              <w:rPr>
                <w:lang w:val="es-ES_tradnl"/>
              </w:rPr>
              <w:t>65</w:t>
            </w:r>
          </w:p>
        </w:tc>
        <w:tc>
          <w:tcPr>
            <w:tcW w:w="2624" w:type="dxa"/>
            <w:vAlign w:val="center"/>
          </w:tcPr>
          <w:p w:rsidR="00CA41E8" w:rsidRPr="00F44EAF" w:rsidRDefault="00CA41E8" w:rsidP="00715EF4">
            <w:pPr>
              <w:pStyle w:val="Tabletext"/>
              <w:jc w:val="center"/>
              <w:rPr>
                <w:lang w:val="es-ES_tradnl"/>
              </w:rPr>
            </w:pPr>
            <w:r w:rsidRPr="00F44EAF">
              <w:rPr>
                <w:lang w:val="es-ES_tradnl"/>
              </w:rPr>
              <w:t>62</w:t>
            </w:r>
          </w:p>
        </w:tc>
        <w:tc>
          <w:tcPr>
            <w:tcW w:w="2624" w:type="dxa"/>
            <w:vAlign w:val="center"/>
          </w:tcPr>
          <w:p w:rsidR="00CA41E8" w:rsidRPr="00F44EAF" w:rsidRDefault="00CA41E8" w:rsidP="00715EF4">
            <w:pPr>
              <w:pStyle w:val="Tabletext"/>
              <w:jc w:val="center"/>
              <w:rPr>
                <w:lang w:val="es-ES_tradnl"/>
              </w:rPr>
            </w:pPr>
            <w:r w:rsidRPr="00F44EAF">
              <w:rPr>
                <w:lang w:val="es-ES_tradnl"/>
              </w:rPr>
              <w:t>62</w:t>
            </w:r>
          </w:p>
        </w:tc>
      </w:tr>
      <w:tr w:rsidR="00CA41E8" w:rsidRPr="00F44EAF" w:rsidTr="00715EF4">
        <w:trPr>
          <w:jc w:val="center"/>
        </w:trPr>
        <w:tc>
          <w:tcPr>
            <w:tcW w:w="2830" w:type="dxa"/>
            <w:gridSpan w:val="2"/>
          </w:tcPr>
          <w:p w:rsidR="00CA41E8" w:rsidRPr="00F44EAF" w:rsidRDefault="00CA41E8" w:rsidP="00715EF4">
            <w:pPr>
              <w:pStyle w:val="Tabletext"/>
              <w:jc w:val="left"/>
              <w:rPr>
                <w:lang w:val="es-ES_tradnl"/>
              </w:rPr>
            </w:pPr>
            <w:r w:rsidRPr="00F44EAF">
              <w:rPr>
                <w:lang w:val="es-ES_tradnl"/>
              </w:rPr>
              <w:t>Atenuación de no esenciales</w:t>
            </w:r>
          </w:p>
        </w:tc>
        <w:tc>
          <w:tcPr>
            <w:tcW w:w="1134" w:type="dxa"/>
          </w:tcPr>
          <w:p w:rsidR="00CA41E8" w:rsidRPr="00F44EAF" w:rsidRDefault="00CA41E8" w:rsidP="00715EF4">
            <w:pPr>
              <w:pStyle w:val="Tabletext"/>
              <w:jc w:val="center"/>
              <w:rPr>
                <w:lang w:val="es-ES_tradnl"/>
              </w:rPr>
            </w:pPr>
            <w:bookmarkStart w:id="28" w:name="lt_pId184"/>
            <w:r w:rsidRPr="00F44EAF">
              <w:rPr>
                <w:lang w:val="es-ES_tradnl"/>
              </w:rPr>
              <w:t>dB</w:t>
            </w:r>
            <w:bookmarkEnd w:id="28"/>
          </w:p>
        </w:tc>
        <w:tc>
          <w:tcPr>
            <w:tcW w:w="2623" w:type="dxa"/>
            <w:vAlign w:val="center"/>
          </w:tcPr>
          <w:p w:rsidR="00CA41E8" w:rsidRPr="00F44EAF" w:rsidRDefault="00CA41E8" w:rsidP="00715EF4">
            <w:pPr>
              <w:pStyle w:val="Tabletext"/>
              <w:jc w:val="center"/>
              <w:rPr>
                <w:lang w:val="es-ES_tradnl"/>
              </w:rPr>
            </w:pPr>
            <w:r w:rsidRPr="00F44EAF">
              <w:rPr>
                <w:lang w:val="es-ES_tradnl"/>
              </w:rPr>
              <w:t>60</w:t>
            </w:r>
          </w:p>
        </w:tc>
        <w:tc>
          <w:tcPr>
            <w:tcW w:w="2624" w:type="dxa"/>
            <w:vAlign w:val="center"/>
          </w:tcPr>
          <w:p w:rsidR="00CA41E8" w:rsidRPr="00F44EAF" w:rsidRDefault="00CA41E8" w:rsidP="00715EF4">
            <w:pPr>
              <w:pStyle w:val="Tabletext"/>
              <w:jc w:val="center"/>
              <w:rPr>
                <w:lang w:val="es-ES_tradnl"/>
              </w:rPr>
            </w:pPr>
            <w:r w:rsidRPr="00F44EAF">
              <w:rPr>
                <w:lang w:val="es-ES_tradnl"/>
              </w:rPr>
              <w:t>60</w:t>
            </w:r>
          </w:p>
        </w:tc>
        <w:tc>
          <w:tcPr>
            <w:tcW w:w="2624" w:type="dxa"/>
            <w:vAlign w:val="center"/>
          </w:tcPr>
          <w:p w:rsidR="00CA41E8" w:rsidRPr="00F44EAF" w:rsidRDefault="00CA41E8" w:rsidP="00715EF4">
            <w:pPr>
              <w:pStyle w:val="Tabletext"/>
              <w:jc w:val="center"/>
              <w:rPr>
                <w:lang w:val="es-ES_tradnl"/>
              </w:rPr>
            </w:pPr>
            <w:r w:rsidRPr="00F44EAF">
              <w:rPr>
                <w:lang w:val="es-ES_tradnl"/>
              </w:rPr>
              <w:t>60</w:t>
            </w:r>
          </w:p>
        </w:tc>
        <w:tc>
          <w:tcPr>
            <w:tcW w:w="2624" w:type="dxa"/>
            <w:vAlign w:val="center"/>
          </w:tcPr>
          <w:p w:rsidR="00CA41E8" w:rsidRPr="00F44EAF" w:rsidRDefault="00CA41E8" w:rsidP="00715EF4">
            <w:pPr>
              <w:pStyle w:val="Tabletext"/>
              <w:jc w:val="center"/>
              <w:rPr>
                <w:lang w:val="es-ES_tradnl"/>
              </w:rPr>
            </w:pPr>
            <w:r w:rsidRPr="00F44EAF">
              <w:rPr>
                <w:lang w:val="es-ES_tradnl"/>
              </w:rPr>
              <w:t>60</w:t>
            </w:r>
          </w:p>
        </w:tc>
      </w:tr>
      <w:tr w:rsidR="00CA41E8" w:rsidRPr="00F44EAF" w:rsidTr="00715EF4">
        <w:trPr>
          <w:jc w:val="center"/>
        </w:trPr>
        <w:tc>
          <w:tcPr>
            <w:tcW w:w="2830" w:type="dxa"/>
            <w:gridSpan w:val="2"/>
          </w:tcPr>
          <w:p w:rsidR="00CA41E8" w:rsidRPr="00F44EAF" w:rsidRDefault="00CA41E8" w:rsidP="00715EF4">
            <w:pPr>
              <w:pStyle w:val="Tabletext"/>
              <w:rPr>
                <w:lang w:val="es-ES_tradnl"/>
              </w:rPr>
            </w:pPr>
            <w:r w:rsidRPr="00F44EAF">
              <w:rPr>
                <w:lang w:val="es-ES_tradnl"/>
              </w:rPr>
              <w:t>Modulación</w:t>
            </w:r>
          </w:p>
        </w:tc>
        <w:tc>
          <w:tcPr>
            <w:tcW w:w="1134" w:type="dxa"/>
          </w:tcPr>
          <w:p w:rsidR="00CA41E8" w:rsidRPr="00F44EAF" w:rsidRDefault="00CA41E8" w:rsidP="00715EF4">
            <w:pPr>
              <w:pStyle w:val="Tabletext"/>
              <w:rPr>
                <w:lang w:val="es-ES_tradnl"/>
              </w:rPr>
            </w:pPr>
          </w:p>
        </w:tc>
        <w:tc>
          <w:tcPr>
            <w:tcW w:w="2623" w:type="dxa"/>
            <w:vAlign w:val="center"/>
          </w:tcPr>
          <w:p w:rsidR="00CA41E8" w:rsidRPr="00F44EAF" w:rsidRDefault="00CA41E8" w:rsidP="00715EF4">
            <w:pPr>
              <w:pStyle w:val="Tabletext"/>
              <w:jc w:val="center"/>
              <w:rPr>
                <w:lang w:val="es-ES_tradnl"/>
              </w:rPr>
            </w:pPr>
            <w:r w:rsidRPr="00F44EAF">
              <w:rPr>
                <w:lang w:val="es-ES_tradnl"/>
              </w:rPr>
              <w:t>Digital</w:t>
            </w:r>
          </w:p>
        </w:tc>
        <w:tc>
          <w:tcPr>
            <w:tcW w:w="2624" w:type="dxa"/>
            <w:vAlign w:val="center"/>
          </w:tcPr>
          <w:p w:rsidR="00CA41E8" w:rsidRPr="00F44EAF" w:rsidRDefault="00CA41E8" w:rsidP="00715EF4">
            <w:pPr>
              <w:pStyle w:val="Tabletext"/>
              <w:jc w:val="center"/>
              <w:rPr>
                <w:lang w:val="es-ES_tradnl"/>
              </w:rPr>
            </w:pPr>
            <w:r w:rsidRPr="00F44EAF">
              <w:rPr>
                <w:lang w:val="es-ES_tradnl"/>
              </w:rPr>
              <w:t>Digital</w:t>
            </w:r>
          </w:p>
        </w:tc>
        <w:tc>
          <w:tcPr>
            <w:tcW w:w="2624" w:type="dxa"/>
            <w:vAlign w:val="center"/>
          </w:tcPr>
          <w:p w:rsidR="00CA41E8" w:rsidRPr="00F44EAF" w:rsidRDefault="00CA41E8" w:rsidP="00715EF4">
            <w:pPr>
              <w:pStyle w:val="Tabletext"/>
              <w:jc w:val="center"/>
              <w:rPr>
                <w:lang w:val="es-ES_tradnl"/>
              </w:rPr>
            </w:pPr>
            <w:r w:rsidRPr="00F44EAF">
              <w:rPr>
                <w:lang w:val="es-ES_tradnl"/>
              </w:rPr>
              <w:t>Digital</w:t>
            </w:r>
          </w:p>
        </w:tc>
        <w:tc>
          <w:tcPr>
            <w:tcW w:w="2624" w:type="dxa"/>
            <w:vAlign w:val="center"/>
          </w:tcPr>
          <w:p w:rsidR="00CA41E8" w:rsidRPr="00F44EAF" w:rsidRDefault="00CA41E8" w:rsidP="00715EF4">
            <w:pPr>
              <w:pStyle w:val="Tabletext"/>
              <w:jc w:val="center"/>
              <w:rPr>
                <w:lang w:val="es-ES_tradnl"/>
              </w:rPr>
            </w:pPr>
            <w:r w:rsidRPr="00F44EAF">
              <w:rPr>
                <w:lang w:val="es-ES_tradnl"/>
              </w:rPr>
              <w:t>Digital</w:t>
            </w:r>
          </w:p>
        </w:tc>
      </w:tr>
      <w:tr w:rsidR="00CA41E8" w:rsidRPr="00F44EAF" w:rsidTr="00715EF4">
        <w:trPr>
          <w:jc w:val="center"/>
        </w:trPr>
        <w:tc>
          <w:tcPr>
            <w:tcW w:w="14459" w:type="dxa"/>
            <w:gridSpan w:val="7"/>
            <w:shd w:val="clear" w:color="auto" w:fill="D9D9D9" w:themeFill="background1" w:themeFillShade="D9"/>
          </w:tcPr>
          <w:p w:rsidR="00CA41E8" w:rsidRPr="00F44EAF" w:rsidRDefault="00CA41E8" w:rsidP="00715EF4">
            <w:pPr>
              <w:pStyle w:val="Tabletext"/>
              <w:jc w:val="center"/>
              <w:rPr>
                <w:rFonts w:asciiTheme="majorBidi" w:eastAsia="Calibri" w:hAnsiTheme="majorBidi" w:cstheme="majorBidi"/>
                <w:b/>
                <w:bCs/>
                <w:szCs w:val="22"/>
                <w:lang w:val="es-ES_tradnl"/>
              </w:rPr>
            </w:pPr>
            <w:r w:rsidRPr="00F44EAF">
              <w:rPr>
                <w:rFonts w:asciiTheme="majorBidi" w:eastAsia="Calibri" w:hAnsiTheme="majorBidi" w:cstheme="majorBidi"/>
                <w:b/>
                <w:bCs/>
                <w:szCs w:val="22"/>
                <w:lang w:val="es-ES_tradnl"/>
              </w:rPr>
              <w:t>Receptor</w:t>
            </w:r>
          </w:p>
        </w:tc>
      </w:tr>
      <w:tr w:rsidR="00CA41E8" w:rsidRPr="00F44EAF" w:rsidTr="00715EF4">
        <w:trPr>
          <w:jc w:val="center"/>
        </w:trPr>
        <w:tc>
          <w:tcPr>
            <w:tcW w:w="2830" w:type="dxa"/>
            <w:gridSpan w:val="2"/>
          </w:tcPr>
          <w:p w:rsidR="00CA41E8" w:rsidRPr="00F44EAF" w:rsidRDefault="00CA41E8" w:rsidP="00715EF4">
            <w:pPr>
              <w:pStyle w:val="Tabletext"/>
              <w:rPr>
                <w:lang w:val="es-ES_tradnl"/>
              </w:rPr>
            </w:pPr>
            <w:r w:rsidRPr="00F44EAF">
              <w:rPr>
                <w:lang w:val="es-ES_tradnl"/>
              </w:rPr>
              <w:t>Gama de sintonización</w:t>
            </w:r>
          </w:p>
        </w:tc>
        <w:tc>
          <w:tcPr>
            <w:tcW w:w="1134" w:type="dxa"/>
          </w:tcPr>
          <w:p w:rsidR="00CA41E8" w:rsidRPr="00F44EAF" w:rsidRDefault="00CA41E8" w:rsidP="00715EF4">
            <w:pPr>
              <w:pStyle w:val="Tabletext"/>
              <w:jc w:val="center"/>
              <w:rPr>
                <w:lang w:val="es-ES_tradnl"/>
              </w:rPr>
            </w:pPr>
            <w:bookmarkStart w:id="29" w:name="lt_pId196"/>
            <w:r w:rsidRPr="00F44EAF">
              <w:rPr>
                <w:lang w:val="es-ES_tradnl"/>
              </w:rPr>
              <w:t>GHz</w:t>
            </w:r>
            <w:bookmarkEnd w:id="29"/>
          </w:p>
        </w:tc>
        <w:tc>
          <w:tcPr>
            <w:tcW w:w="2623" w:type="dxa"/>
            <w:vAlign w:val="center"/>
          </w:tcPr>
          <w:p w:rsidR="00CA41E8" w:rsidRPr="00F44EAF" w:rsidRDefault="00CA41E8" w:rsidP="00715EF4">
            <w:pPr>
              <w:pStyle w:val="Tabletext"/>
              <w:jc w:val="center"/>
              <w:rPr>
                <w:lang w:val="es-ES_tradnl"/>
              </w:rPr>
            </w:pPr>
            <w:r w:rsidRPr="00F44EAF">
              <w:rPr>
                <w:lang w:val="es-ES_tradnl"/>
              </w:rPr>
              <w:t>22,9-23,3</w:t>
            </w:r>
          </w:p>
        </w:tc>
        <w:tc>
          <w:tcPr>
            <w:tcW w:w="2624" w:type="dxa"/>
            <w:vAlign w:val="center"/>
          </w:tcPr>
          <w:p w:rsidR="00CA41E8" w:rsidRPr="00F44EAF" w:rsidRDefault="00CA41E8" w:rsidP="00715EF4">
            <w:pPr>
              <w:pStyle w:val="Tabletext"/>
              <w:jc w:val="center"/>
              <w:rPr>
                <w:lang w:val="es-ES_tradnl"/>
              </w:rPr>
            </w:pPr>
            <w:r w:rsidRPr="00F44EAF">
              <w:rPr>
                <w:lang w:val="es-ES_tradnl"/>
              </w:rPr>
              <w:t>25,75-27,15</w:t>
            </w:r>
          </w:p>
        </w:tc>
        <w:tc>
          <w:tcPr>
            <w:tcW w:w="2624" w:type="dxa"/>
            <w:vAlign w:val="center"/>
          </w:tcPr>
          <w:p w:rsidR="00CA41E8" w:rsidRPr="00F44EAF" w:rsidRDefault="00CA41E8" w:rsidP="00715EF4">
            <w:pPr>
              <w:pStyle w:val="Tabletext"/>
              <w:jc w:val="center"/>
              <w:rPr>
                <w:lang w:val="es-ES_tradnl"/>
              </w:rPr>
            </w:pPr>
            <w:r w:rsidRPr="00F44EAF">
              <w:rPr>
                <w:lang w:val="es-ES_tradnl"/>
              </w:rPr>
              <w:t>22,55-23,5</w:t>
            </w:r>
          </w:p>
        </w:tc>
        <w:tc>
          <w:tcPr>
            <w:tcW w:w="2624" w:type="dxa"/>
            <w:vAlign w:val="center"/>
          </w:tcPr>
          <w:p w:rsidR="00CA41E8" w:rsidRPr="00F44EAF" w:rsidRDefault="00CA41E8" w:rsidP="00715EF4">
            <w:pPr>
              <w:pStyle w:val="Tabletext"/>
              <w:jc w:val="center"/>
              <w:rPr>
                <w:lang w:val="es-ES_tradnl"/>
              </w:rPr>
            </w:pPr>
            <w:r w:rsidRPr="00F44EAF">
              <w:rPr>
                <w:lang w:val="es-ES_tradnl"/>
              </w:rPr>
              <w:t>25,25-27,5</w:t>
            </w:r>
          </w:p>
        </w:tc>
      </w:tr>
      <w:tr w:rsidR="00CA41E8" w:rsidRPr="00F44EAF" w:rsidTr="00715EF4">
        <w:trPr>
          <w:jc w:val="center"/>
        </w:trPr>
        <w:tc>
          <w:tcPr>
            <w:tcW w:w="1459" w:type="dxa"/>
            <w:vMerge w:val="restart"/>
          </w:tcPr>
          <w:p w:rsidR="00CA41E8" w:rsidRPr="00F44EAF" w:rsidRDefault="00CA41E8" w:rsidP="00715EF4">
            <w:pPr>
              <w:pStyle w:val="Tabletext"/>
              <w:rPr>
                <w:lang w:val="es-ES_tradnl"/>
              </w:rPr>
            </w:pPr>
            <w:r w:rsidRPr="00F44EAF">
              <w:rPr>
                <w:lang w:val="es-ES_tradnl"/>
              </w:rPr>
              <w:t>Selectividad RF</w:t>
            </w:r>
          </w:p>
        </w:tc>
        <w:tc>
          <w:tcPr>
            <w:tcW w:w="1371" w:type="dxa"/>
          </w:tcPr>
          <w:p w:rsidR="00CA41E8" w:rsidRPr="00F44EAF" w:rsidRDefault="00CA41E8" w:rsidP="00715EF4">
            <w:pPr>
              <w:pStyle w:val="Tabletext"/>
              <w:rPr>
                <w:lang w:val="es-ES_tradnl"/>
              </w:rPr>
            </w:pPr>
            <w:bookmarkStart w:id="30" w:name="lt_pId202"/>
            <w:r w:rsidRPr="00F44EAF">
              <w:rPr>
                <w:lang w:val="es-ES_tradnl"/>
              </w:rPr>
              <w:t>3 dB</w:t>
            </w:r>
            <w:bookmarkEnd w:id="30"/>
          </w:p>
        </w:tc>
        <w:tc>
          <w:tcPr>
            <w:tcW w:w="1134" w:type="dxa"/>
          </w:tcPr>
          <w:p w:rsidR="00CA41E8" w:rsidRPr="00F44EAF" w:rsidRDefault="00CA41E8" w:rsidP="00715EF4">
            <w:pPr>
              <w:pStyle w:val="Tabletext"/>
              <w:jc w:val="center"/>
              <w:rPr>
                <w:lang w:val="es-ES_tradnl"/>
              </w:rPr>
            </w:pPr>
            <w:bookmarkStart w:id="31" w:name="lt_pId203"/>
            <w:r w:rsidRPr="00F44EAF">
              <w:rPr>
                <w:lang w:val="es-ES_tradnl"/>
              </w:rPr>
              <w:t>MHz</w:t>
            </w:r>
            <w:bookmarkEnd w:id="31"/>
          </w:p>
        </w:tc>
        <w:tc>
          <w:tcPr>
            <w:tcW w:w="2623" w:type="dxa"/>
            <w:vAlign w:val="center"/>
          </w:tcPr>
          <w:p w:rsidR="00CA41E8" w:rsidRPr="00F44EAF" w:rsidRDefault="00CA41E8" w:rsidP="00715EF4">
            <w:pPr>
              <w:pStyle w:val="Tabletext"/>
              <w:jc w:val="center"/>
              <w:rPr>
                <w:lang w:val="es-ES_tradnl"/>
              </w:rPr>
            </w:pPr>
            <w:r w:rsidRPr="00F44EAF">
              <w:rPr>
                <w:lang w:val="es-ES_tradnl"/>
              </w:rPr>
              <w:t>1 410</w:t>
            </w:r>
          </w:p>
        </w:tc>
        <w:tc>
          <w:tcPr>
            <w:tcW w:w="2624" w:type="dxa"/>
            <w:vAlign w:val="center"/>
          </w:tcPr>
          <w:p w:rsidR="00CA41E8" w:rsidRPr="00F44EAF" w:rsidRDefault="00CA41E8" w:rsidP="00715EF4">
            <w:pPr>
              <w:pStyle w:val="Tabletext"/>
              <w:jc w:val="center"/>
              <w:rPr>
                <w:lang w:val="es-ES_tradnl"/>
              </w:rPr>
            </w:pPr>
            <w:r w:rsidRPr="00F44EAF">
              <w:rPr>
                <w:lang w:val="es-ES_tradnl"/>
              </w:rPr>
              <w:t>2 410</w:t>
            </w:r>
          </w:p>
        </w:tc>
        <w:tc>
          <w:tcPr>
            <w:tcW w:w="2624" w:type="dxa"/>
            <w:vAlign w:val="center"/>
          </w:tcPr>
          <w:p w:rsidR="00CA41E8" w:rsidRPr="00F44EAF" w:rsidRDefault="00CA41E8" w:rsidP="00715EF4">
            <w:pPr>
              <w:pStyle w:val="Tabletext"/>
              <w:jc w:val="center"/>
              <w:rPr>
                <w:lang w:val="es-ES_tradnl"/>
              </w:rPr>
            </w:pPr>
            <w:r w:rsidRPr="00F44EAF">
              <w:rPr>
                <w:lang w:val="es-ES_tradnl"/>
              </w:rPr>
              <w:t>3 299</w:t>
            </w:r>
          </w:p>
        </w:tc>
        <w:tc>
          <w:tcPr>
            <w:tcW w:w="2624" w:type="dxa"/>
            <w:vAlign w:val="center"/>
          </w:tcPr>
          <w:p w:rsidR="00CA41E8" w:rsidRPr="00F44EAF" w:rsidRDefault="00CA41E8" w:rsidP="00715EF4">
            <w:pPr>
              <w:pStyle w:val="Tabletext"/>
              <w:jc w:val="center"/>
              <w:rPr>
                <w:lang w:val="es-ES_tradnl"/>
              </w:rPr>
            </w:pPr>
            <w:r w:rsidRPr="00F44EAF">
              <w:rPr>
                <w:lang w:val="es-ES_tradnl"/>
              </w:rPr>
              <w:t>3 299</w:t>
            </w:r>
          </w:p>
        </w:tc>
      </w:tr>
      <w:tr w:rsidR="00CA41E8" w:rsidRPr="00F44EAF" w:rsidTr="00715EF4">
        <w:trPr>
          <w:jc w:val="center"/>
        </w:trPr>
        <w:tc>
          <w:tcPr>
            <w:tcW w:w="1459" w:type="dxa"/>
            <w:vMerge/>
          </w:tcPr>
          <w:p w:rsidR="00CA41E8" w:rsidRPr="00F44EAF" w:rsidRDefault="00CA41E8" w:rsidP="00715EF4">
            <w:pPr>
              <w:pStyle w:val="Tabletext"/>
              <w:rPr>
                <w:lang w:val="es-ES_tradnl"/>
              </w:rPr>
            </w:pPr>
          </w:p>
        </w:tc>
        <w:tc>
          <w:tcPr>
            <w:tcW w:w="1371" w:type="dxa"/>
          </w:tcPr>
          <w:p w:rsidR="00CA41E8" w:rsidRPr="00F44EAF" w:rsidRDefault="00CA41E8" w:rsidP="00715EF4">
            <w:pPr>
              <w:pStyle w:val="Tabletext"/>
              <w:rPr>
                <w:lang w:val="es-ES_tradnl"/>
              </w:rPr>
            </w:pPr>
            <w:bookmarkStart w:id="32" w:name="lt_pId208"/>
            <w:r w:rsidRPr="00F44EAF">
              <w:rPr>
                <w:lang w:val="es-ES_tradnl"/>
              </w:rPr>
              <w:t>20 dB</w:t>
            </w:r>
            <w:bookmarkEnd w:id="32"/>
          </w:p>
        </w:tc>
        <w:tc>
          <w:tcPr>
            <w:tcW w:w="1134" w:type="dxa"/>
          </w:tcPr>
          <w:p w:rsidR="00CA41E8" w:rsidRPr="00F44EAF" w:rsidRDefault="00CA41E8" w:rsidP="00715EF4">
            <w:pPr>
              <w:pStyle w:val="Tabletext"/>
              <w:jc w:val="center"/>
              <w:rPr>
                <w:lang w:val="es-ES_tradnl"/>
              </w:rPr>
            </w:pPr>
            <w:bookmarkStart w:id="33" w:name="lt_pId209"/>
            <w:r w:rsidRPr="00F44EAF">
              <w:rPr>
                <w:lang w:val="es-ES_tradnl"/>
              </w:rPr>
              <w:t>MHz</w:t>
            </w:r>
            <w:bookmarkEnd w:id="33"/>
          </w:p>
        </w:tc>
        <w:tc>
          <w:tcPr>
            <w:tcW w:w="2623" w:type="dxa"/>
            <w:vAlign w:val="center"/>
          </w:tcPr>
          <w:p w:rsidR="00CA41E8" w:rsidRPr="00F44EAF" w:rsidRDefault="00CA41E8" w:rsidP="00715EF4">
            <w:pPr>
              <w:pStyle w:val="Tabletext"/>
              <w:jc w:val="center"/>
              <w:rPr>
                <w:lang w:val="es-ES_tradnl"/>
              </w:rPr>
            </w:pPr>
            <w:r w:rsidRPr="00F44EAF">
              <w:rPr>
                <w:lang w:val="es-ES_tradnl"/>
              </w:rPr>
              <w:t>1 540</w:t>
            </w:r>
          </w:p>
        </w:tc>
        <w:tc>
          <w:tcPr>
            <w:tcW w:w="2624" w:type="dxa"/>
            <w:vAlign w:val="center"/>
          </w:tcPr>
          <w:p w:rsidR="00CA41E8" w:rsidRPr="00F44EAF" w:rsidRDefault="00CA41E8" w:rsidP="00715EF4">
            <w:pPr>
              <w:pStyle w:val="Tabletext"/>
              <w:jc w:val="center"/>
              <w:rPr>
                <w:lang w:val="es-ES_tradnl"/>
              </w:rPr>
            </w:pPr>
            <w:r w:rsidRPr="00F44EAF">
              <w:rPr>
                <w:lang w:val="es-ES_tradnl"/>
              </w:rPr>
              <w:t>2 620</w:t>
            </w:r>
          </w:p>
        </w:tc>
        <w:tc>
          <w:tcPr>
            <w:tcW w:w="2624" w:type="dxa"/>
            <w:vAlign w:val="center"/>
          </w:tcPr>
          <w:p w:rsidR="00CA41E8" w:rsidRPr="00F44EAF" w:rsidRDefault="00CA41E8" w:rsidP="00715EF4">
            <w:pPr>
              <w:pStyle w:val="Tabletext"/>
              <w:jc w:val="center"/>
              <w:rPr>
                <w:lang w:val="es-ES_tradnl"/>
              </w:rPr>
            </w:pPr>
            <w:r w:rsidRPr="00F44EAF">
              <w:rPr>
                <w:lang w:val="es-ES_tradnl"/>
              </w:rPr>
              <w:t>3 510</w:t>
            </w:r>
          </w:p>
        </w:tc>
        <w:tc>
          <w:tcPr>
            <w:tcW w:w="2624" w:type="dxa"/>
            <w:vAlign w:val="center"/>
          </w:tcPr>
          <w:p w:rsidR="00CA41E8" w:rsidRPr="00F44EAF" w:rsidRDefault="00CA41E8" w:rsidP="00715EF4">
            <w:pPr>
              <w:pStyle w:val="Tabletext"/>
              <w:jc w:val="center"/>
              <w:rPr>
                <w:lang w:val="es-ES_tradnl"/>
              </w:rPr>
            </w:pPr>
            <w:r w:rsidRPr="00F44EAF">
              <w:rPr>
                <w:lang w:val="es-ES_tradnl"/>
              </w:rPr>
              <w:t>3 510</w:t>
            </w:r>
          </w:p>
        </w:tc>
      </w:tr>
      <w:tr w:rsidR="00CA41E8" w:rsidRPr="00F44EAF" w:rsidTr="00715EF4">
        <w:trPr>
          <w:jc w:val="center"/>
        </w:trPr>
        <w:tc>
          <w:tcPr>
            <w:tcW w:w="1459" w:type="dxa"/>
            <w:vMerge/>
          </w:tcPr>
          <w:p w:rsidR="00CA41E8" w:rsidRPr="00F44EAF" w:rsidRDefault="00CA41E8" w:rsidP="00715EF4">
            <w:pPr>
              <w:pStyle w:val="Tabletext"/>
              <w:rPr>
                <w:lang w:val="es-ES_tradnl"/>
              </w:rPr>
            </w:pPr>
          </w:p>
        </w:tc>
        <w:tc>
          <w:tcPr>
            <w:tcW w:w="1371" w:type="dxa"/>
          </w:tcPr>
          <w:p w:rsidR="00CA41E8" w:rsidRPr="00F44EAF" w:rsidRDefault="00CA41E8" w:rsidP="00715EF4">
            <w:pPr>
              <w:pStyle w:val="Tabletext"/>
              <w:rPr>
                <w:lang w:val="es-ES_tradnl"/>
              </w:rPr>
            </w:pPr>
            <w:bookmarkStart w:id="34" w:name="lt_pId214"/>
            <w:r w:rsidRPr="00F44EAF">
              <w:rPr>
                <w:lang w:val="es-ES_tradnl"/>
              </w:rPr>
              <w:t>60 dB</w:t>
            </w:r>
            <w:bookmarkEnd w:id="34"/>
          </w:p>
        </w:tc>
        <w:tc>
          <w:tcPr>
            <w:tcW w:w="1134" w:type="dxa"/>
          </w:tcPr>
          <w:p w:rsidR="00CA41E8" w:rsidRPr="00F44EAF" w:rsidRDefault="00CA41E8" w:rsidP="00715EF4">
            <w:pPr>
              <w:pStyle w:val="Tabletext"/>
              <w:jc w:val="center"/>
              <w:rPr>
                <w:lang w:val="es-ES_tradnl"/>
              </w:rPr>
            </w:pPr>
            <w:bookmarkStart w:id="35" w:name="lt_pId215"/>
            <w:r w:rsidRPr="00F44EAF">
              <w:rPr>
                <w:lang w:val="es-ES_tradnl"/>
              </w:rPr>
              <w:t>MHz</w:t>
            </w:r>
            <w:bookmarkEnd w:id="35"/>
          </w:p>
        </w:tc>
        <w:tc>
          <w:tcPr>
            <w:tcW w:w="2623" w:type="dxa"/>
            <w:vAlign w:val="center"/>
          </w:tcPr>
          <w:p w:rsidR="00CA41E8" w:rsidRPr="00F44EAF" w:rsidRDefault="00CA41E8" w:rsidP="00715EF4">
            <w:pPr>
              <w:pStyle w:val="Tabletext"/>
              <w:jc w:val="center"/>
              <w:rPr>
                <w:lang w:val="es-ES_tradnl"/>
              </w:rPr>
            </w:pPr>
            <w:r w:rsidRPr="00F44EAF">
              <w:rPr>
                <w:lang w:val="es-ES_tradnl"/>
              </w:rPr>
              <w:t>1 850</w:t>
            </w:r>
          </w:p>
        </w:tc>
        <w:tc>
          <w:tcPr>
            <w:tcW w:w="2624" w:type="dxa"/>
            <w:vAlign w:val="center"/>
          </w:tcPr>
          <w:p w:rsidR="00CA41E8" w:rsidRPr="00F44EAF" w:rsidRDefault="00CA41E8" w:rsidP="00715EF4">
            <w:pPr>
              <w:pStyle w:val="Tabletext"/>
              <w:jc w:val="center"/>
              <w:rPr>
                <w:lang w:val="es-ES_tradnl"/>
              </w:rPr>
            </w:pPr>
            <w:r w:rsidRPr="00F44EAF">
              <w:rPr>
                <w:lang w:val="es-ES_tradnl"/>
              </w:rPr>
              <w:t>3 300</w:t>
            </w:r>
          </w:p>
        </w:tc>
        <w:tc>
          <w:tcPr>
            <w:tcW w:w="2624" w:type="dxa"/>
            <w:vAlign w:val="center"/>
          </w:tcPr>
          <w:p w:rsidR="00CA41E8" w:rsidRPr="00F44EAF" w:rsidRDefault="00CA41E8" w:rsidP="00715EF4">
            <w:pPr>
              <w:pStyle w:val="Tabletext"/>
              <w:jc w:val="center"/>
              <w:rPr>
                <w:lang w:val="es-ES_tradnl"/>
              </w:rPr>
            </w:pPr>
            <w:r w:rsidRPr="00F44EAF">
              <w:rPr>
                <w:lang w:val="es-ES_tradnl"/>
              </w:rPr>
              <w:t>3 940</w:t>
            </w:r>
          </w:p>
        </w:tc>
        <w:tc>
          <w:tcPr>
            <w:tcW w:w="2624" w:type="dxa"/>
            <w:vAlign w:val="center"/>
          </w:tcPr>
          <w:p w:rsidR="00CA41E8" w:rsidRPr="00F44EAF" w:rsidRDefault="00CA41E8" w:rsidP="00715EF4">
            <w:pPr>
              <w:pStyle w:val="Tabletext"/>
              <w:jc w:val="center"/>
              <w:rPr>
                <w:lang w:val="es-ES_tradnl"/>
              </w:rPr>
            </w:pPr>
            <w:r w:rsidRPr="00F44EAF">
              <w:rPr>
                <w:lang w:val="es-ES_tradnl"/>
              </w:rPr>
              <w:t>3 940</w:t>
            </w:r>
          </w:p>
        </w:tc>
      </w:tr>
      <w:tr w:rsidR="00CA41E8" w:rsidRPr="00F44EAF" w:rsidTr="00715EF4">
        <w:trPr>
          <w:jc w:val="center"/>
        </w:trPr>
        <w:tc>
          <w:tcPr>
            <w:tcW w:w="1459" w:type="dxa"/>
            <w:vMerge w:val="restart"/>
          </w:tcPr>
          <w:p w:rsidR="00CA41E8" w:rsidRPr="00F44EAF" w:rsidRDefault="00CA41E8" w:rsidP="00715EF4">
            <w:pPr>
              <w:pStyle w:val="Tabletext"/>
              <w:rPr>
                <w:lang w:val="es-ES_tradnl"/>
              </w:rPr>
            </w:pPr>
            <w:r w:rsidRPr="00F44EAF">
              <w:rPr>
                <w:lang w:val="es-ES_tradnl"/>
              </w:rPr>
              <w:t>Selectividad IF</w:t>
            </w:r>
          </w:p>
        </w:tc>
        <w:tc>
          <w:tcPr>
            <w:tcW w:w="1371" w:type="dxa"/>
          </w:tcPr>
          <w:p w:rsidR="00CA41E8" w:rsidRPr="00F44EAF" w:rsidRDefault="00CA41E8" w:rsidP="00715EF4">
            <w:pPr>
              <w:pStyle w:val="Tabletext"/>
              <w:rPr>
                <w:lang w:val="es-ES_tradnl"/>
              </w:rPr>
            </w:pPr>
            <w:bookmarkStart w:id="36" w:name="lt_pId221"/>
            <w:r w:rsidRPr="00F44EAF">
              <w:rPr>
                <w:lang w:val="es-ES_tradnl"/>
              </w:rPr>
              <w:t>3 dB</w:t>
            </w:r>
            <w:bookmarkEnd w:id="36"/>
          </w:p>
        </w:tc>
        <w:tc>
          <w:tcPr>
            <w:tcW w:w="1134" w:type="dxa"/>
          </w:tcPr>
          <w:p w:rsidR="00CA41E8" w:rsidRPr="00F44EAF" w:rsidRDefault="00CA41E8" w:rsidP="00715EF4">
            <w:pPr>
              <w:pStyle w:val="Tabletext"/>
              <w:jc w:val="center"/>
              <w:rPr>
                <w:lang w:val="es-ES_tradnl"/>
              </w:rPr>
            </w:pPr>
            <w:bookmarkStart w:id="37" w:name="lt_pId222"/>
            <w:r w:rsidRPr="00F44EAF">
              <w:rPr>
                <w:lang w:val="es-ES_tradnl"/>
              </w:rPr>
              <w:t>MHz</w:t>
            </w:r>
            <w:bookmarkEnd w:id="37"/>
          </w:p>
        </w:tc>
        <w:tc>
          <w:tcPr>
            <w:tcW w:w="2623" w:type="dxa"/>
            <w:vAlign w:val="center"/>
          </w:tcPr>
          <w:p w:rsidR="00CA41E8" w:rsidRPr="00F44EAF" w:rsidRDefault="00CA41E8" w:rsidP="00715EF4">
            <w:pPr>
              <w:pStyle w:val="Tabletext"/>
              <w:jc w:val="center"/>
              <w:rPr>
                <w:lang w:val="es-ES_tradnl"/>
              </w:rPr>
            </w:pPr>
            <w:r w:rsidRPr="00F44EAF">
              <w:rPr>
                <w:lang w:val="es-ES_tradnl"/>
              </w:rPr>
              <w:t>652</w:t>
            </w:r>
          </w:p>
        </w:tc>
        <w:tc>
          <w:tcPr>
            <w:tcW w:w="2624" w:type="dxa"/>
            <w:vAlign w:val="center"/>
          </w:tcPr>
          <w:p w:rsidR="00CA41E8" w:rsidRPr="00F44EAF" w:rsidRDefault="00CA41E8" w:rsidP="00715EF4">
            <w:pPr>
              <w:pStyle w:val="Tabletext"/>
              <w:jc w:val="center"/>
              <w:rPr>
                <w:lang w:val="es-ES_tradnl"/>
              </w:rPr>
            </w:pPr>
            <w:r w:rsidRPr="00F44EAF">
              <w:rPr>
                <w:lang w:val="es-ES_tradnl"/>
              </w:rPr>
              <w:t>957</w:t>
            </w:r>
          </w:p>
        </w:tc>
        <w:tc>
          <w:tcPr>
            <w:tcW w:w="2624" w:type="dxa"/>
            <w:vAlign w:val="center"/>
          </w:tcPr>
          <w:p w:rsidR="00CA41E8" w:rsidRPr="00F44EAF" w:rsidRDefault="00CA41E8" w:rsidP="00715EF4">
            <w:pPr>
              <w:pStyle w:val="Tabletext"/>
              <w:jc w:val="center"/>
              <w:rPr>
                <w:lang w:val="es-ES_tradnl"/>
              </w:rPr>
            </w:pPr>
            <w:r w:rsidRPr="00F44EAF">
              <w:rPr>
                <w:lang w:val="es-ES_tradnl"/>
              </w:rPr>
              <w:t>226</w:t>
            </w:r>
          </w:p>
        </w:tc>
        <w:tc>
          <w:tcPr>
            <w:tcW w:w="2624" w:type="dxa"/>
            <w:vAlign w:val="center"/>
          </w:tcPr>
          <w:p w:rsidR="00CA41E8" w:rsidRPr="00F44EAF" w:rsidRDefault="00CA41E8" w:rsidP="00715EF4">
            <w:pPr>
              <w:pStyle w:val="Tabletext"/>
              <w:jc w:val="center"/>
              <w:rPr>
                <w:lang w:val="es-ES_tradnl"/>
              </w:rPr>
            </w:pPr>
            <w:r w:rsidRPr="00F44EAF">
              <w:rPr>
                <w:lang w:val="es-ES_tradnl"/>
              </w:rPr>
              <w:t>854</w:t>
            </w:r>
          </w:p>
        </w:tc>
      </w:tr>
      <w:tr w:rsidR="00CA41E8" w:rsidRPr="00F44EAF" w:rsidTr="00715EF4">
        <w:trPr>
          <w:jc w:val="center"/>
        </w:trPr>
        <w:tc>
          <w:tcPr>
            <w:tcW w:w="1459" w:type="dxa"/>
            <w:vMerge/>
          </w:tcPr>
          <w:p w:rsidR="00CA41E8" w:rsidRPr="00F44EAF" w:rsidRDefault="00CA41E8" w:rsidP="00715EF4">
            <w:pPr>
              <w:pStyle w:val="Tabletext"/>
              <w:rPr>
                <w:lang w:val="es-ES_tradnl"/>
              </w:rPr>
            </w:pPr>
          </w:p>
        </w:tc>
        <w:tc>
          <w:tcPr>
            <w:tcW w:w="1371" w:type="dxa"/>
          </w:tcPr>
          <w:p w:rsidR="00CA41E8" w:rsidRPr="00F44EAF" w:rsidRDefault="00CA41E8" w:rsidP="00715EF4">
            <w:pPr>
              <w:pStyle w:val="Tabletext"/>
              <w:rPr>
                <w:lang w:val="es-ES_tradnl"/>
              </w:rPr>
            </w:pPr>
            <w:bookmarkStart w:id="38" w:name="lt_pId227"/>
            <w:r w:rsidRPr="00F44EAF">
              <w:rPr>
                <w:lang w:val="es-ES_tradnl"/>
              </w:rPr>
              <w:t>20 dB</w:t>
            </w:r>
            <w:bookmarkEnd w:id="38"/>
          </w:p>
        </w:tc>
        <w:tc>
          <w:tcPr>
            <w:tcW w:w="1134" w:type="dxa"/>
          </w:tcPr>
          <w:p w:rsidR="00CA41E8" w:rsidRPr="00F44EAF" w:rsidRDefault="00CA41E8" w:rsidP="00715EF4">
            <w:pPr>
              <w:pStyle w:val="Tabletext"/>
              <w:jc w:val="center"/>
              <w:rPr>
                <w:lang w:val="es-ES_tradnl"/>
              </w:rPr>
            </w:pPr>
            <w:bookmarkStart w:id="39" w:name="lt_pId228"/>
            <w:r w:rsidRPr="00F44EAF">
              <w:rPr>
                <w:lang w:val="es-ES_tradnl"/>
              </w:rPr>
              <w:t>MHz</w:t>
            </w:r>
            <w:bookmarkEnd w:id="39"/>
          </w:p>
        </w:tc>
        <w:tc>
          <w:tcPr>
            <w:tcW w:w="2623" w:type="dxa"/>
            <w:vAlign w:val="center"/>
          </w:tcPr>
          <w:p w:rsidR="00CA41E8" w:rsidRPr="00F44EAF" w:rsidRDefault="00CA41E8" w:rsidP="00715EF4">
            <w:pPr>
              <w:pStyle w:val="Tabletext"/>
              <w:jc w:val="center"/>
              <w:rPr>
                <w:lang w:val="es-ES_tradnl"/>
              </w:rPr>
            </w:pPr>
            <w:r w:rsidRPr="00F44EAF">
              <w:rPr>
                <w:lang w:val="es-ES_tradnl"/>
              </w:rPr>
              <w:t>971</w:t>
            </w:r>
          </w:p>
        </w:tc>
        <w:tc>
          <w:tcPr>
            <w:tcW w:w="2624" w:type="dxa"/>
            <w:vAlign w:val="center"/>
          </w:tcPr>
          <w:p w:rsidR="00CA41E8" w:rsidRPr="00F44EAF" w:rsidRDefault="00CA41E8" w:rsidP="00715EF4">
            <w:pPr>
              <w:pStyle w:val="Tabletext"/>
              <w:jc w:val="center"/>
              <w:rPr>
                <w:lang w:val="es-ES_tradnl"/>
              </w:rPr>
            </w:pPr>
            <w:r w:rsidRPr="00F44EAF">
              <w:rPr>
                <w:lang w:val="es-ES_tradnl"/>
              </w:rPr>
              <w:t>1 075</w:t>
            </w:r>
          </w:p>
        </w:tc>
        <w:tc>
          <w:tcPr>
            <w:tcW w:w="2624" w:type="dxa"/>
            <w:vAlign w:val="center"/>
          </w:tcPr>
          <w:p w:rsidR="00CA41E8" w:rsidRPr="00F44EAF" w:rsidRDefault="00CA41E8" w:rsidP="00715EF4">
            <w:pPr>
              <w:pStyle w:val="Tabletext"/>
              <w:jc w:val="center"/>
              <w:rPr>
                <w:lang w:val="es-ES_tradnl"/>
              </w:rPr>
            </w:pPr>
            <w:r w:rsidRPr="00F44EAF">
              <w:rPr>
                <w:lang w:val="es-ES_tradnl"/>
              </w:rPr>
              <w:t>324</w:t>
            </w:r>
          </w:p>
        </w:tc>
        <w:tc>
          <w:tcPr>
            <w:tcW w:w="2624" w:type="dxa"/>
            <w:vAlign w:val="center"/>
          </w:tcPr>
          <w:p w:rsidR="00CA41E8" w:rsidRPr="00F44EAF" w:rsidRDefault="00CA41E8" w:rsidP="00715EF4">
            <w:pPr>
              <w:pStyle w:val="Tabletext"/>
              <w:jc w:val="center"/>
              <w:rPr>
                <w:lang w:val="es-ES_tradnl"/>
              </w:rPr>
            </w:pPr>
            <w:r w:rsidRPr="00F44EAF">
              <w:rPr>
                <w:lang w:val="es-ES_tradnl"/>
              </w:rPr>
              <w:t>1 108</w:t>
            </w:r>
          </w:p>
        </w:tc>
      </w:tr>
      <w:tr w:rsidR="00CA41E8" w:rsidRPr="00F44EAF" w:rsidTr="00715EF4">
        <w:trPr>
          <w:jc w:val="center"/>
        </w:trPr>
        <w:tc>
          <w:tcPr>
            <w:tcW w:w="1459" w:type="dxa"/>
            <w:vMerge/>
          </w:tcPr>
          <w:p w:rsidR="00CA41E8" w:rsidRPr="00F44EAF" w:rsidRDefault="00CA41E8" w:rsidP="00715EF4">
            <w:pPr>
              <w:pStyle w:val="Tabletext"/>
              <w:rPr>
                <w:lang w:val="es-ES_tradnl"/>
              </w:rPr>
            </w:pPr>
          </w:p>
        </w:tc>
        <w:tc>
          <w:tcPr>
            <w:tcW w:w="1371" w:type="dxa"/>
          </w:tcPr>
          <w:p w:rsidR="00CA41E8" w:rsidRPr="00F44EAF" w:rsidRDefault="00CA41E8" w:rsidP="00715EF4">
            <w:pPr>
              <w:pStyle w:val="Tabletext"/>
              <w:rPr>
                <w:lang w:val="es-ES_tradnl"/>
              </w:rPr>
            </w:pPr>
            <w:bookmarkStart w:id="40" w:name="lt_pId233"/>
            <w:r w:rsidRPr="00F44EAF">
              <w:rPr>
                <w:lang w:val="es-ES_tradnl"/>
              </w:rPr>
              <w:t>60 dB</w:t>
            </w:r>
            <w:bookmarkEnd w:id="40"/>
          </w:p>
        </w:tc>
        <w:tc>
          <w:tcPr>
            <w:tcW w:w="1134" w:type="dxa"/>
          </w:tcPr>
          <w:p w:rsidR="00CA41E8" w:rsidRPr="00F44EAF" w:rsidRDefault="00CA41E8" w:rsidP="00715EF4">
            <w:pPr>
              <w:pStyle w:val="Tabletext"/>
              <w:jc w:val="center"/>
              <w:rPr>
                <w:lang w:val="es-ES_tradnl"/>
              </w:rPr>
            </w:pPr>
            <w:bookmarkStart w:id="41" w:name="lt_pId234"/>
            <w:r w:rsidRPr="00F44EAF">
              <w:rPr>
                <w:lang w:val="es-ES_tradnl"/>
              </w:rPr>
              <w:t>MHz</w:t>
            </w:r>
            <w:bookmarkEnd w:id="41"/>
          </w:p>
        </w:tc>
        <w:tc>
          <w:tcPr>
            <w:tcW w:w="2623" w:type="dxa"/>
            <w:vAlign w:val="center"/>
          </w:tcPr>
          <w:p w:rsidR="00CA41E8" w:rsidRPr="00F44EAF" w:rsidRDefault="00CA41E8" w:rsidP="00715EF4">
            <w:pPr>
              <w:pStyle w:val="Tabletext"/>
              <w:jc w:val="center"/>
              <w:rPr>
                <w:lang w:val="es-ES_tradnl"/>
              </w:rPr>
            </w:pPr>
            <w:r w:rsidRPr="00F44EAF">
              <w:rPr>
                <w:lang w:val="es-ES_tradnl"/>
              </w:rPr>
              <w:t>3 540</w:t>
            </w:r>
          </w:p>
        </w:tc>
        <w:tc>
          <w:tcPr>
            <w:tcW w:w="2624" w:type="dxa"/>
            <w:vAlign w:val="center"/>
          </w:tcPr>
          <w:p w:rsidR="00CA41E8" w:rsidRPr="00F44EAF" w:rsidRDefault="00CA41E8" w:rsidP="00715EF4">
            <w:pPr>
              <w:pStyle w:val="Tabletext"/>
              <w:jc w:val="center"/>
              <w:rPr>
                <w:lang w:val="es-ES_tradnl"/>
              </w:rPr>
            </w:pPr>
            <w:r w:rsidRPr="00F44EAF">
              <w:rPr>
                <w:lang w:val="es-ES_tradnl"/>
              </w:rPr>
              <w:t>3 540</w:t>
            </w:r>
          </w:p>
        </w:tc>
        <w:tc>
          <w:tcPr>
            <w:tcW w:w="2624" w:type="dxa"/>
            <w:vAlign w:val="center"/>
          </w:tcPr>
          <w:p w:rsidR="00CA41E8" w:rsidRPr="00F44EAF" w:rsidRDefault="00CA41E8" w:rsidP="00715EF4">
            <w:pPr>
              <w:pStyle w:val="Tabletext"/>
              <w:jc w:val="center"/>
              <w:rPr>
                <w:lang w:val="es-ES_tradnl"/>
              </w:rPr>
            </w:pPr>
            <w:r w:rsidRPr="00F44EAF">
              <w:rPr>
                <w:lang w:val="es-ES_tradnl"/>
              </w:rPr>
              <w:t>2 248</w:t>
            </w:r>
          </w:p>
        </w:tc>
        <w:tc>
          <w:tcPr>
            <w:tcW w:w="2624" w:type="dxa"/>
            <w:vAlign w:val="center"/>
          </w:tcPr>
          <w:p w:rsidR="00CA41E8" w:rsidRPr="00F44EAF" w:rsidRDefault="00CA41E8" w:rsidP="00715EF4">
            <w:pPr>
              <w:pStyle w:val="Tabletext"/>
              <w:jc w:val="center"/>
              <w:rPr>
                <w:lang w:val="es-ES_tradnl"/>
              </w:rPr>
            </w:pPr>
            <w:r w:rsidRPr="00F44EAF">
              <w:rPr>
                <w:lang w:val="es-ES_tradnl"/>
              </w:rPr>
              <w:t>4 248</w:t>
            </w:r>
          </w:p>
        </w:tc>
      </w:tr>
      <w:tr w:rsidR="00CA41E8" w:rsidRPr="00F44EAF" w:rsidTr="00715EF4">
        <w:trPr>
          <w:jc w:val="center"/>
        </w:trPr>
        <w:tc>
          <w:tcPr>
            <w:tcW w:w="2830" w:type="dxa"/>
            <w:gridSpan w:val="2"/>
          </w:tcPr>
          <w:p w:rsidR="00CA41E8" w:rsidRPr="00F44EAF" w:rsidRDefault="00CA41E8" w:rsidP="00715EF4">
            <w:pPr>
              <w:pStyle w:val="Tabletext"/>
              <w:rPr>
                <w:lang w:val="es-ES_tradnl"/>
              </w:rPr>
            </w:pPr>
            <w:bookmarkStart w:id="42" w:name="lt_pId239"/>
            <w:r w:rsidRPr="00F44EAF">
              <w:rPr>
                <w:lang w:val="es-ES_tradnl"/>
              </w:rPr>
              <w:t>NF</w:t>
            </w:r>
            <w:bookmarkEnd w:id="42"/>
          </w:p>
        </w:tc>
        <w:tc>
          <w:tcPr>
            <w:tcW w:w="1134" w:type="dxa"/>
          </w:tcPr>
          <w:p w:rsidR="00CA41E8" w:rsidRPr="00F44EAF" w:rsidRDefault="00CA41E8" w:rsidP="00715EF4">
            <w:pPr>
              <w:pStyle w:val="Tabletext"/>
              <w:jc w:val="center"/>
              <w:rPr>
                <w:lang w:val="es-ES_tradnl"/>
              </w:rPr>
            </w:pPr>
            <w:bookmarkStart w:id="43" w:name="lt_pId240"/>
            <w:r w:rsidRPr="00F44EAF">
              <w:rPr>
                <w:lang w:val="es-ES_tradnl"/>
              </w:rPr>
              <w:t>dB</w:t>
            </w:r>
            <w:bookmarkEnd w:id="43"/>
          </w:p>
        </w:tc>
        <w:tc>
          <w:tcPr>
            <w:tcW w:w="2623" w:type="dxa"/>
            <w:vAlign w:val="center"/>
          </w:tcPr>
          <w:p w:rsidR="00CA41E8" w:rsidRPr="00F44EAF" w:rsidRDefault="00CA41E8" w:rsidP="00715EF4">
            <w:pPr>
              <w:pStyle w:val="Tabletext"/>
              <w:jc w:val="center"/>
              <w:rPr>
                <w:lang w:val="es-ES_tradnl"/>
              </w:rPr>
            </w:pPr>
            <w:r w:rsidRPr="00F44EAF">
              <w:rPr>
                <w:lang w:val="es-ES_tradnl"/>
              </w:rPr>
              <w:t>4</w:t>
            </w:r>
          </w:p>
        </w:tc>
        <w:tc>
          <w:tcPr>
            <w:tcW w:w="2624" w:type="dxa"/>
            <w:vAlign w:val="center"/>
          </w:tcPr>
          <w:p w:rsidR="00CA41E8" w:rsidRPr="00F44EAF" w:rsidRDefault="00CA41E8" w:rsidP="00715EF4">
            <w:pPr>
              <w:pStyle w:val="Tabletext"/>
              <w:jc w:val="center"/>
              <w:rPr>
                <w:lang w:val="es-ES_tradnl"/>
              </w:rPr>
            </w:pPr>
            <w:r w:rsidRPr="00F44EAF">
              <w:rPr>
                <w:lang w:val="es-ES_tradnl"/>
              </w:rPr>
              <w:t>4</w:t>
            </w:r>
          </w:p>
        </w:tc>
        <w:tc>
          <w:tcPr>
            <w:tcW w:w="2624" w:type="dxa"/>
            <w:vAlign w:val="center"/>
          </w:tcPr>
          <w:p w:rsidR="00CA41E8" w:rsidRPr="00F44EAF" w:rsidRDefault="00CA41E8" w:rsidP="00715EF4">
            <w:pPr>
              <w:pStyle w:val="Tabletext"/>
              <w:jc w:val="center"/>
              <w:rPr>
                <w:lang w:val="es-ES_tradnl"/>
              </w:rPr>
            </w:pPr>
            <w:r w:rsidRPr="00F44EAF">
              <w:rPr>
                <w:lang w:val="es-ES_tradnl"/>
              </w:rPr>
              <w:t>3,5</w:t>
            </w:r>
          </w:p>
        </w:tc>
        <w:tc>
          <w:tcPr>
            <w:tcW w:w="2624" w:type="dxa"/>
            <w:vAlign w:val="center"/>
          </w:tcPr>
          <w:p w:rsidR="00CA41E8" w:rsidRPr="00F44EAF" w:rsidRDefault="00CA41E8" w:rsidP="00715EF4">
            <w:pPr>
              <w:pStyle w:val="Tabletext"/>
              <w:jc w:val="center"/>
              <w:rPr>
                <w:lang w:val="es-ES_tradnl"/>
              </w:rPr>
            </w:pPr>
            <w:r w:rsidRPr="00F44EAF">
              <w:rPr>
                <w:lang w:val="es-ES_tradnl"/>
              </w:rPr>
              <w:t>4,5</w:t>
            </w:r>
          </w:p>
        </w:tc>
      </w:tr>
      <w:tr w:rsidR="00CA41E8" w:rsidRPr="00F44EAF" w:rsidTr="00715EF4">
        <w:trPr>
          <w:jc w:val="center"/>
        </w:trPr>
        <w:tc>
          <w:tcPr>
            <w:tcW w:w="2830" w:type="dxa"/>
            <w:gridSpan w:val="2"/>
          </w:tcPr>
          <w:p w:rsidR="00CA41E8" w:rsidRPr="00F44EAF" w:rsidRDefault="00CA41E8" w:rsidP="00715EF4">
            <w:pPr>
              <w:pStyle w:val="Tabletext"/>
              <w:rPr>
                <w:lang w:val="es-ES_tradnl"/>
              </w:rPr>
            </w:pPr>
            <w:r w:rsidRPr="00F44EAF">
              <w:rPr>
                <w:lang w:val="es-ES_tradnl"/>
              </w:rPr>
              <w:t>Sensibilidad</w:t>
            </w:r>
          </w:p>
        </w:tc>
        <w:tc>
          <w:tcPr>
            <w:tcW w:w="1134" w:type="dxa"/>
          </w:tcPr>
          <w:p w:rsidR="00CA41E8" w:rsidRPr="00F44EAF" w:rsidRDefault="00CA41E8" w:rsidP="00715EF4">
            <w:pPr>
              <w:pStyle w:val="Tabletext"/>
              <w:jc w:val="center"/>
              <w:rPr>
                <w:lang w:val="es-ES_tradnl"/>
              </w:rPr>
            </w:pPr>
            <w:bookmarkStart w:id="44" w:name="lt_pId246"/>
            <w:r w:rsidRPr="00F44EAF">
              <w:rPr>
                <w:lang w:val="es-ES_tradnl"/>
              </w:rPr>
              <w:t>dBm</w:t>
            </w:r>
            <w:bookmarkEnd w:id="44"/>
          </w:p>
        </w:tc>
        <w:tc>
          <w:tcPr>
            <w:tcW w:w="2623" w:type="dxa"/>
            <w:vAlign w:val="center"/>
          </w:tcPr>
          <w:p w:rsidR="00CA41E8" w:rsidRPr="00F44EAF" w:rsidRDefault="00CA41E8" w:rsidP="00715EF4">
            <w:pPr>
              <w:pStyle w:val="Tabletext"/>
              <w:jc w:val="center"/>
              <w:rPr>
                <w:lang w:val="es-ES_tradnl"/>
              </w:rPr>
            </w:pPr>
            <w:r w:rsidRPr="00F44EAF">
              <w:rPr>
                <w:lang w:val="es-ES_tradnl"/>
              </w:rPr>
              <w:t>–80,1</w:t>
            </w:r>
          </w:p>
        </w:tc>
        <w:tc>
          <w:tcPr>
            <w:tcW w:w="2624" w:type="dxa"/>
            <w:vAlign w:val="center"/>
          </w:tcPr>
          <w:p w:rsidR="00CA41E8" w:rsidRPr="00F44EAF" w:rsidRDefault="00CA41E8" w:rsidP="00715EF4">
            <w:pPr>
              <w:pStyle w:val="Tabletext"/>
              <w:jc w:val="center"/>
              <w:rPr>
                <w:lang w:val="es-ES_tradnl"/>
              </w:rPr>
            </w:pPr>
            <w:r w:rsidRPr="00F44EAF">
              <w:rPr>
                <w:lang w:val="es-ES_tradnl"/>
              </w:rPr>
              <w:t>–79,7</w:t>
            </w:r>
          </w:p>
        </w:tc>
        <w:tc>
          <w:tcPr>
            <w:tcW w:w="2624" w:type="dxa"/>
            <w:vAlign w:val="center"/>
          </w:tcPr>
          <w:p w:rsidR="00CA41E8" w:rsidRPr="00F44EAF" w:rsidRDefault="00CA41E8" w:rsidP="00715EF4">
            <w:pPr>
              <w:pStyle w:val="Tabletext"/>
              <w:jc w:val="center"/>
              <w:rPr>
                <w:lang w:val="es-ES_tradnl"/>
              </w:rPr>
            </w:pPr>
            <w:r w:rsidRPr="00F44EAF">
              <w:rPr>
                <w:lang w:val="es-ES_tradnl"/>
              </w:rPr>
              <w:t>–85,4</w:t>
            </w:r>
          </w:p>
        </w:tc>
        <w:tc>
          <w:tcPr>
            <w:tcW w:w="2624" w:type="dxa"/>
            <w:vAlign w:val="center"/>
          </w:tcPr>
          <w:p w:rsidR="00CA41E8" w:rsidRPr="00F44EAF" w:rsidRDefault="00CA41E8" w:rsidP="00715EF4">
            <w:pPr>
              <w:pStyle w:val="Tabletext"/>
              <w:jc w:val="center"/>
              <w:rPr>
                <w:lang w:val="es-ES_tradnl"/>
              </w:rPr>
            </w:pPr>
            <w:r w:rsidRPr="00F44EAF">
              <w:rPr>
                <w:lang w:val="es-ES_tradnl"/>
              </w:rPr>
              <w:t>–79,1</w:t>
            </w:r>
          </w:p>
        </w:tc>
      </w:tr>
      <w:tr w:rsidR="00CA41E8" w:rsidRPr="00F44EAF" w:rsidTr="00715EF4">
        <w:trPr>
          <w:jc w:val="center"/>
        </w:trPr>
        <w:tc>
          <w:tcPr>
            <w:tcW w:w="2830" w:type="dxa"/>
            <w:gridSpan w:val="2"/>
          </w:tcPr>
          <w:p w:rsidR="00CA41E8" w:rsidRPr="00F44EAF" w:rsidRDefault="00CA41E8" w:rsidP="00715EF4">
            <w:pPr>
              <w:pStyle w:val="Tabletext"/>
              <w:rPr>
                <w:lang w:val="es-ES_tradnl"/>
              </w:rPr>
            </w:pPr>
            <w:r w:rsidRPr="00F44EAF">
              <w:rPr>
                <w:lang w:val="es-ES_tradnl"/>
              </w:rPr>
              <w:t>Rechazo de imagen</w:t>
            </w:r>
          </w:p>
        </w:tc>
        <w:tc>
          <w:tcPr>
            <w:tcW w:w="1134" w:type="dxa"/>
          </w:tcPr>
          <w:p w:rsidR="00CA41E8" w:rsidRPr="00F44EAF" w:rsidRDefault="00CA41E8" w:rsidP="00715EF4">
            <w:pPr>
              <w:pStyle w:val="Tabletext"/>
              <w:jc w:val="center"/>
              <w:rPr>
                <w:lang w:val="es-ES_tradnl"/>
              </w:rPr>
            </w:pPr>
            <w:bookmarkStart w:id="45" w:name="lt_pId252"/>
            <w:r w:rsidRPr="00F44EAF">
              <w:rPr>
                <w:lang w:val="es-ES_tradnl"/>
              </w:rPr>
              <w:t>dB</w:t>
            </w:r>
            <w:bookmarkEnd w:id="45"/>
          </w:p>
        </w:tc>
        <w:tc>
          <w:tcPr>
            <w:tcW w:w="2623" w:type="dxa"/>
            <w:vAlign w:val="center"/>
          </w:tcPr>
          <w:p w:rsidR="00CA41E8" w:rsidRPr="00F44EAF" w:rsidRDefault="00CA41E8" w:rsidP="00715EF4">
            <w:pPr>
              <w:pStyle w:val="Tabletext"/>
              <w:jc w:val="center"/>
              <w:rPr>
                <w:lang w:val="es-ES_tradnl"/>
              </w:rPr>
            </w:pPr>
            <w:r w:rsidRPr="00F44EAF">
              <w:rPr>
                <w:lang w:val="es-ES_tradnl"/>
              </w:rPr>
              <w:t>80</w:t>
            </w:r>
          </w:p>
        </w:tc>
        <w:tc>
          <w:tcPr>
            <w:tcW w:w="2624" w:type="dxa"/>
            <w:vAlign w:val="center"/>
          </w:tcPr>
          <w:p w:rsidR="00CA41E8" w:rsidRPr="00F44EAF" w:rsidRDefault="00CA41E8" w:rsidP="00715EF4">
            <w:pPr>
              <w:pStyle w:val="Tabletext"/>
              <w:jc w:val="center"/>
              <w:rPr>
                <w:lang w:val="es-ES_tradnl"/>
              </w:rPr>
            </w:pPr>
            <w:r w:rsidRPr="00F44EAF">
              <w:rPr>
                <w:lang w:val="es-ES_tradnl"/>
              </w:rPr>
              <w:t>80</w:t>
            </w:r>
          </w:p>
        </w:tc>
        <w:tc>
          <w:tcPr>
            <w:tcW w:w="2624" w:type="dxa"/>
            <w:vAlign w:val="center"/>
          </w:tcPr>
          <w:p w:rsidR="00CA41E8" w:rsidRPr="00F44EAF" w:rsidRDefault="00CA41E8" w:rsidP="00715EF4">
            <w:pPr>
              <w:pStyle w:val="Tabletext"/>
              <w:jc w:val="center"/>
              <w:rPr>
                <w:lang w:val="es-ES_tradnl"/>
              </w:rPr>
            </w:pPr>
            <w:r w:rsidRPr="00F44EAF">
              <w:rPr>
                <w:lang w:val="es-ES_tradnl"/>
              </w:rPr>
              <w:t>No disponible</w:t>
            </w:r>
          </w:p>
        </w:tc>
        <w:tc>
          <w:tcPr>
            <w:tcW w:w="2624" w:type="dxa"/>
            <w:vAlign w:val="center"/>
          </w:tcPr>
          <w:p w:rsidR="00CA41E8" w:rsidRPr="00F44EAF" w:rsidRDefault="00CA41E8" w:rsidP="00715EF4">
            <w:pPr>
              <w:pStyle w:val="Tabletext"/>
              <w:jc w:val="center"/>
              <w:rPr>
                <w:lang w:val="es-ES_tradnl"/>
              </w:rPr>
            </w:pPr>
            <w:r w:rsidRPr="00F44EAF">
              <w:rPr>
                <w:lang w:val="es-ES_tradnl"/>
              </w:rPr>
              <w:t>No disponible</w:t>
            </w:r>
          </w:p>
        </w:tc>
      </w:tr>
      <w:tr w:rsidR="00CA41E8" w:rsidRPr="00F44EAF" w:rsidTr="00715EF4">
        <w:trPr>
          <w:jc w:val="center"/>
        </w:trPr>
        <w:tc>
          <w:tcPr>
            <w:tcW w:w="2830" w:type="dxa"/>
            <w:gridSpan w:val="2"/>
          </w:tcPr>
          <w:p w:rsidR="00CA41E8" w:rsidRPr="00F44EAF" w:rsidRDefault="00CA41E8" w:rsidP="00715EF4">
            <w:pPr>
              <w:pStyle w:val="Tabletext"/>
              <w:rPr>
                <w:lang w:val="es-ES_tradnl"/>
              </w:rPr>
            </w:pPr>
            <w:r w:rsidRPr="00F44EAF">
              <w:rPr>
                <w:lang w:val="es-ES_tradnl"/>
              </w:rPr>
              <w:t>Rechazo de frecuencias no esenciales</w:t>
            </w:r>
          </w:p>
        </w:tc>
        <w:tc>
          <w:tcPr>
            <w:tcW w:w="1134" w:type="dxa"/>
          </w:tcPr>
          <w:p w:rsidR="00CA41E8" w:rsidRPr="00F44EAF" w:rsidRDefault="00CA41E8" w:rsidP="00715EF4">
            <w:pPr>
              <w:pStyle w:val="Tabletext"/>
              <w:spacing w:before="120"/>
              <w:jc w:val="center"/>
              <w:rPr>
                <w:lang w:val="es-ES_tradnl"/>
              </w:rPr>
            </w:pPr>
            <w:bookmarkStart w:id="46" w:name="lt_pId258"/>
            <w:r w:rsidRPr="00F44EAF">
              <w:rPr>
                <w:lang w:val="es-ES_tradnl"/>
              </w:rPr>
              <w:t>dB</w:t>
            </w:r>
            <w:bookmarkEnd w:id="46"/>
          </w:p>
        </w:tc>
        <w:tc>
          <w:tcPr>
            <w:tcW w:w="2623" w:type="dxa"/>
            <w:vAlign w:val="center"/>
          </w:tcPr>
          <w:p w:rsidR="00CA41E8" w:rsidRPr="00F44EAF" w:rsidRDefault="00CA41E8" w:rsidP="00715EF4">
            <w:pPr>
              <w:pStyle w:val="Tabletext"/>
              <w:jc w:val="center"/>
              <w:rPr>
                <w:lang w:val="es-ES_tradnl"/>
              </w:rPr>
            </w:pPr>
            <w:r w:rsidRPr="00F44EAF">
              <w:rPr>
                <w:lang w:val="es-ES_tradnl"/>
              </w:rPr>
              <w:t>65</w:t>
            </w:r>
          </w:p>
        </w:tc>
        <w:tc>
          <w:tcPr>
            <w:tcW w:w="2624" w:type="dxa"/>
            <w:vAlign w:val="center"/>
          </w:tcPr>
          <w:p w:rsidR="00CA41E8" w:rsidRPr="00F44EAF" w:rsidRDefault="00CA41E8" w:rsidP="00715EF4">
            <w:pPr>
              <w:pStyle w:val="Tabletext"/>
              <w:jc w:val="center"/>
              <w:rPr>
                <w:lang w:val="es-ES_tradnl"/>
              </w:rPr>
            </w:pPr>
            <w:r w:rsidRPr="00F44EAF">
              <w:rPr>
                <w:lang w:val="es-ES_tradnl"/>
              </w:rPr>
              <w:t>65</w:t>
            </w:r>
          </w:p>
        </w:tc>
        <w:tc>
          <w:tcPr>
            <w:tcW w:w="2624" w:type="dxa"/>
            <w:vAlign w:val="center"/>
          </w:tcPr>
          <w:p w:rsidR="00CA41E8" w:rsidRPr="00F44EAF" w:rsidRDefault="00CA41E8" w:rsidP="00715EF4">
            <w:pPr>
              <w:pStyle w:val="Tabletext"/>
              <w:jc w:val="center"/>
              <w:rPr>
                <w:lang w:val="es-ES_tradnl"/>
              </w:rPr>
            </w:pPr>
            <w:r w:rsidRPr="00F44EAF">
              <w:rPr>
                <w:lang w:val="es-ES_tradnl"/>
              </w:rPr>
              <w:t>75</w:t>
            </w:r>
          </w:p>
        </w:tc>
        <w:tc>
          <w:tcPr>
            <w:tcW w:w="2624" w:type="dxa"/>
            <w:vAlign w:val="center"/>
          </w:tcPr>
          <w:p w:rsidR="00CA41E8" w:rsidRPr="00F44EAF" w:rsidRDefault="00CA41E8" w:rsidP="00715EF4">
            <w:pPr>
              <w:pStyle w:val="Tabletext"/>
              <w:jc w:val="center"/>
              <w:rPr>
                <w:lang w:val="es-ES_tradnl"/>
              </w:rPr>
            </w:pPr>
            <w:r w:rsidRPr="00F44EAF">
              <w:rPr>
                <w:lang w:val="es-ES_tradnl"/>
              </w:rPr>
              <w:t>75</w:t>
            </w:r>
          </w:p>
        </w:tc>
      </w:tr>
    </w:tbl>
    <w:p w:rsidR="00CA41E8" w:rsidRPr="00F44EAF" w:rsidRDefault="00CA41E8" w:rsidP="00CA41E8">
      <w:pPr>
        <w:pStyle w:val="TableNo"/>
        <w:spacing w:before="240"/>
        <w:rPr>
          <w:lang w:val="es-ES_tradnl"/>
        </w:rPr>
      </w:pPr>
      <w:r w:rsidRPr="00F44EAF">
        <w:rPr>
          <w:lang w:val="es-ES_tradnl"/>
        </w:rPr>
        <w:lastRenderedPageBreak/>
        <w:t>CUADRO 1 (</w:t>
      </w:r>
      <w:r w:rsidRPr="00F44EAF">
        <w:rPr>
          <w:i/>
          <w:iCs/>
          <w:lang w:val="es-ES_tradnl"/>
        </w:rPr>
        <w:t>fin</w:t>
      </w:r>
      <w:r w:rsidRPr="00F44EAF">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76"/>
        <w:gridCol w:w="2588"/>
        <w:gridCol w:w="2588"/>
        <w:gridCol w:w="2588"/>
        <w:gridCol w:w="2589"/>
      </w:tblGrid>
      <w:tr w:rsidR="00CA41E8" w:rsidRPr="00F44EAF" w:rsidTr="00715EF4">
        <w:trPr>
          <w:jc w:val="center"/>
        </w:trPr>
        <w:tc>
          <w:tcPr>
            <w:tcW w:w="2830" w:type="dxa"/>
            <w:shd w:val="clear" w:color="auto" w:fill="D9D9D9" w:themeFill="background1" w:themeFillShade="D9"/>
            <w:vAlign w:val="center"/>
          </w:tcPr>
          <w:p w:rsidR="00CA41E8" w:rsidRPr="00F44EAF" w:rsidRDefault="00CA41E8" w:rsidP="00715EF4">
            <w:pPr>
              <w:pStyle w:val="Tablehead"/>
              <w:rPr>
                <w:lang w:val="es-ES_tradnl"/>
              </w:rPr>
            </w:pPr>
            <w:r w:rsidRPr="00F44EAF">
              <w:rPr>
                <w:lang w:val="es-ES_tradnl"/>
              </w:rPr>
              <w:t>Parámetro</w:t>
            </w:r>
          </w:p>
        </w:tc>
        <w:tc>
          <w:tcPr>
            <w:tcW w:w="1276" w:type="dxa"/>
            <w:shd w:val="clear" w:color="auto" w:fill="D9D9D9" w:themeFill="background1" w:themeFillShade="D9"/>
            <w:vAlign w:val="center"/>
          </w:tcPr>
          <w:p w:rsidR="00CA41E8" w:rsidRPr="00F44EAF" w:rsidRDefault="00CA41E8" w:rsidP="00715EF4">
            <w:pPr>
              <w:pStyle w:val="Tablehead"/>
              <w:rPr>
                <w:lang w:val="es-ES_tradnl"/>
              </w:rPr>
            </w:pPr>
            <w:r w:rsidRPr="00F44EAF">
              <w:rPr>
                <w:lang w:val="es-ES_tradnl"/>
              </w:rPr>
              <w:t>Unidades</w:t>
            </w:r>
          </w:p>
        </w:tc>
        <w:tc>
          <w:tcPr>
            <w:tcW w:w="2588" w:type="dxa"/>
            <w:shd w:val="clear" w:color="auto" w:fill="D9D9D9" w:themeFill="background1" w:themeFillShade="D9"/>
          </w:tcPr>
          <w:p w:rsidR="00CA41E8" w:rsidRPr="00F44EAF" w:rsidRDefault="00CA41E8" w:rsidP="00715EF4">
            <w:pPr>
              <w:pStyle w:val="Tablehead"/>
              <w:rPr>
                <w:lang w:val="es-ES_tradnl"/>
              </w:rPr>
            </w:pPr>
            <w:bookmarkStart w:id="47" w:name="lt_pId265"/>
            <w:r w:rsidRPr="00F44EAF">
              <w:rPr>
                <w:lang w:val="es-ES_tradnl"/>
              </w:rPr>
              <w:t>Sistema 1</w:t>
            </w:r>
            <w:bookmarkEnd w:id="47"/>
            <w:r w:rsidRPr="00F44EAF">
              <w:rPr>
                <w:lang w:val="es-ES_tradnl"/>
              </w:rPr>
              <w:t xml:space="preserve"> </w:t>
            </w:r>
            <w:r w:rsidRPr="00F44EAF">
              <w:rPr>
                <w:lang w:val="es-ES_tradnl"/>
              </w:rPr>
              <w:br/>
              <w:t>Aerotransportado</w:t>
            </w:r>
          </w:p>
        </w:tc>
        <w:tc>
          <w:tcPr>
            <w:tcW w:w="2588" w:type="dxa"/>
            <w:shd w:val="clear" w:color="auto" w:fill="D9D9D9" w:themeFill="background1" w:themeFillShade="D9"/>
          </w:tcPr>
          <w:p w:rsidR="00CA41E8" w:rsidRPr="00F44EAF" w:rsidRDefault="00CA41E8" w:rsidP="00715EF4">
            <w:pPr>
              <w:pStyle w:val="Tablehead"/>
              <w:rPr>
                <w:lang w:val="es-ES_tradnl"/>
              </w:rPr>
            </w:pPr>
            <w:bookmarkStart w:id="48" w:name="lt_pId267"/>
            <w:r w:rsidRPr="00F44EAF">
              <w:rPr>
                <w:lang w:val="es-ES_tradnl"/>
              </w:rPr>
              <w:t>Sistema 1</w:t>
            </w:r>
            <w:bookmarkEnd w:id="48"/>
            <w:r w:rsidRPr="00F44EAF">
              <w:rPr>
                <w:lang w:val="es-ES_tradnl"/>
              </w:rPr>
              <w:br/>
              <w:t>En tierra</w:t>
            </w:r>
          </w:p>
        </w:tc>
        <w:tc>
          <w:tcPr>
            <w:tcW w:w="2588" w:type="dxa"/>
            <w:shd w:val="clear" w:color="auto" w:fill="D9D9D9" w:themeFill="background1" w:themeFillShade="D9"/>
          </w:tcPr>
          <w:p w:rsidR="00CA41E8" w:rsidRPr="00F44EAF" w:rsidRDefault="00CA41E8" w:rsidP="00715EF4">
            <w:pPr>
              <w:pStyle w:val="Tablehead"/>
              <w:rPr>
                <w:lang w:val="es-ES_tradnl"/>
              </w:rPr>
            </w:pPr>
            <w:bookmarkStart w:id="49" w:name="lt_pId269"/>
            <w:r w:rsidRPr="00F44EAF">
              <w:rPr>
                <w:lang w:val="es-ES_tradnl"/>
              </w:rPr>
              <w:t>Sistema 2</w:t>
            </w:r>
            <w:bookmarkEnd w:id="49"/>
            <w:r w:rsidRPr="00F44EAF">
              <w:rPr>
                <w:lang w:val="es-ES_tradnl"/>
              </w:rPr>
              <w:t xml:space="preserve"> </w:t>
            </w:r>
            <w:r w:rsidRPr="00F44EAF">
              <w:rPr>
                <w:lang w:val="es-ES_tradnl"/>
              </w:rPr>
              <w:br/>
              <w:t>Aerotransportado</w:t>
            </w:r>
          </w:p>
        </w:tc>
        <w:tc>
          <w:tcPr>
            <w:tcW w:w="2589" w:type="dxa"/>
            <w:shd w:val="clear" w:color="auto" w:fill="D9D9D9" w:themeFill="background1" w:themeFillShade="D9"/>
          </w:tcPr>
          <w:p w:rsidR="00CA41E8" w:rsidRPr="00F44EAF" w:rsidRDefault="00CA41E8" w:rsidP="00715EF4">
            <w:pPr>
              <w:pStyle w:val="Tablehead"/>
              <w:rPr>
                <w:lang w:val="es-ES_tradnl"/>
              </w:rPr>
            </w:pPr>
            <w:bookmarkStart w:id="50" w:name="lt_pId271"/>
            <w:r w:rsidRPr="00F44EAF">
              <w:rPr>
                <w:lang w:val="es-ES_tradnl"/>
              </w:rPr>
              <w:t>Sistema 2</w:t>
            </w:r>
            <w:bookmarkEnd w:id="50"/>
            <w:r w:rsidRPr="00F44EAF">
              <w:rPr>
                <w:lang w:val="es-ES_tradnl"/>
              </w:rPr>
              <w:t xml:space="preserve"> </w:t>
            </w:r>
            <w:r w:rsidRPr="00F44EAF">
              <w:rPr>
                <w:lang w:val="es-ES_tradnl"/>
              </w:rPr>
              <w:br/>
              <w:t>En tierra</w:t>
            </w:r>
          </w:p>
        </w:tc>
      </w:tr>
      <w:tr w:rsidR="00CA41E8" w:rsidRPr="00F44EAF" w:rsidTr="00715EF4">
        <w:trPr>
          <w:jc w:val="center"/>
        </w:trPr>
        <w:tc>
          <w:tcPr>
            <w:tcW w:w="14459" w:type="dxa"/>
            <w:gridSpan w:val="6"/>
            <w:shd w:val="clear" w:color="auto" w:fill="D9D9D9" w:themeFill="background1" w:themeFillShade="D9"/>
          </w:tcPr>
          <w:p w:rsidR="00CA41E8" w:rsidRPr="00F44EAF" w:rsidRDefault="00CA41E8" w:rsidP="00715EF4">
            <w:pPr>
              <w:pStyle w:val="Tablehead"/>
              <w:rPr>
                <w:lang w:val="es-ES_tradnl"/>
              </w:rPr>
            </w:pPr>
            <w:r w:rsidRPr="00F44EAF">
              <w:rPr>
                <w:lang w:val="es-ES_tradnl"/>
              </w:rPr>
              <w:t>Antena</w:t>
            </w:r>
          </w:p>
        </w:tc>
      </w:tr>
      <w:tr w:rsidR="00CA41E8" w:rsidRPr="00F44EAF" w:rsidTr="00715EF4">
        <w:trPr>
          <w:jc w:val="center"/>
        </w:trPr>
        <w:tc>
          <w:tcPr>
            <w:tcW w:w="2830" w:type="dxa"/>
          </w:tcPr>
          <w:p w:rsidR="00CA41E8" w:rsidRPr="00F44EAF" w:rsidRDefault="00CA41E8" w:rsidP="00715EF4">
            <w:pPr>
              <w:pStyle w:val="Tabletext"/>
              <w:jc w:val="left"/>
              <w:rPr>
                <w:lang w:val="es-ES_tradnl"/>
              </w:rPr>
            </w:pPr>
            <w:r w:rsidRPr="00F44EAF">
              <w:rPr>
                <w:lang w:val="es-ES_tradnl"/>
              </w:rPr>
              <w:t>Ganancia de la antena</w:t>
            </w:r>
          </w:p>
        </w:tc>
        <w:tc>
          <w:tcPr>
            <w:tcW w:w="1276" w:type="dxa"/>
            <w:vAlign w:val="center"/>
          </w:tcPr>
          <w:p w:rsidR="00CA41E8" w:rsidRPr="00F44EAF" w:rsidRDefault="00CA41E8" w:rsidP="00715EF4">
            <w:pPr>
              <w:pStyle w:val="Tabletext"/>
              <w:jc w:val="center"/>
              <w:rPr>
                <w:lang w:val="es-ES_tradnl"/>
              </w:rPr>
            </w:pPr>
            <w:bookmarkStart w:id="51" w:name="lt_pId275"/>
            <w:r w:rsidRPr="00F44EAF">
              <w:rPr>
                <w:lang w:val="es-ES_tradnl"/>
              </w:rPr>
              <w:t>dBi</w:t>
            </w:r>
            <w:bookmarkEnd w:id="51"/>
          </w:p>
        </w:tc>
        <w:tc>
          <w:tcPr>
            <w:tcW w:w="2588" w:type="dxa"/>
            <w:vAlign w:val="center"/>
          </w:tcPr>
          <w:p w:rsidR="00CA41E8" w:rsidRPr="00F44EAF" w:rsidRDefault="00CA41E8" w:rsidP="00715EF4">
            <w:pPr>
              <w:pStyle w:val="Tabletext"/>
              <w:jc w:val="center"/>
              <w:rPr>
                <w:lang w:val="es-ES_tradnl"/>
              </w:rPr>
            </w:pPr>
            <w:r w:rsidRPr="00F44EAF">
              <w:rPr>
                <w:lang w:val="es-ES_tradnl"/>
              </w:rPr>
              <w:t>33</w:t>
            </w:r>
          </w:p>
        </w:tc>
        <w:tc>
          <w:tcPr>
            <w:tcW w:w="2588" w:type="dxa"/>
            <w:vAlign w:val="center"/>
          </w:tcPr>
          <w:p w:rsidR="00CA41E8" w:rsidRPr="00F44EAF" w:rsidRDefault="00CA41E8" w:rsidP="00715EF4">
            <w:pPr>
              <w:pStyle w:val="Tabletext"/>
              <w:jc w:val="center"/>
              <w:rPr>
                <w:lang w:val="es-ES_tradnl"/>
              </w:rPr>
            </w:pPr>
            <w:r w:rsidRPr="00F44EAF">
              <w:rPr>
                <w:lang w:val="es-ES_tradnl"/>
              </w:rPr>
              <w:t>36-46</w:t>
            </w:r>
          </w:p>
        </w:tc>
        <w:tc>
          <w:tcPr>
            <w:tcW w:w="2588" w:type="dxa"/>
            <w:vAlign w:val="center"/>
          </w:tcPr>
          <w:p w:rsidR="00CA41E8" w:rsidRPr="00F44EAF" w:rsidRDefault="00CA41E8" w:rsidP="00715EF4">
            <w:pPr>
              <w:pStyle w:val="Tabletext"/>
              <w:jc w:val="center"/>
              <w:rPr>
                <w:lang w:val="es-ES_tradnl"/>
              </w:rPr>
            </w:pPr>
            <w:r w:rsidRPr="00F44EAF">
              <w:rPr>
                <w:lang w:val="es-ES_tradnl"/>
              </w:rPr>
              <w:t>33</w:t>
            </w:r>
          </w:p>
        </w:tc>
        <w:tc>
          <w:tcPr>
            <w:tcW w:w="2589" w:type="dxa"/>
            <w:vAlign w:val="center"/>
          </w:tcPr>
          <w:p w:rsidR="00CA41E8" w:rsidRPr="00F44EAF" w:rsidRDefault="00CA41E8" w:rsidP="00715EF4">
            <w:pPr>
              <w:pStyle w:val="Tabletext"/>
              <w:jc w:val="center"/>
              <w:rPr>
                <w:lang w:val="es-ES_tradnl"/>
              </w:rPr>
            </w:pPr>
            <w:r w:rsidRPr="00F44EAF">
              <w:rPr>
                <w:lang w:val="es-ES_tradnl"/>
              </w:rPr>
              <w:t>33-46</w:t>
            </w:r>
          </w:p>
        </w:tc>
      </w:tr>
      <w:tr w:rsidR="00CA41E8" w:rsidRPr="00F44EAF" w:rsidTr="00715EF4">
        <w:trPr>
          <w:jc w:val="center"/>
        </w:trPr>
        <w:tc>
          <w:tcPr>
            <w:tcW w:w="2830" w:type="dxa"/>
          </w:tcPr>
          <w:p w:rsidR="00CA41E8" w:rsidRPr="00F44EAF" w:rsidRDefault="00CA41E8" w:rsidP="00715EF4">
            <w:pPr>
              <w:pStyle w:val="Tabletext"/>
              <w:jc w:val="left"/>
              <w:rPr>
                <w:lang w:val="es-ES_tradnl"/>
              </w:rPr>
            </w:pPr>
            <w:r w:rsidRPr="00F44EAF">
              <w:rPr>
                <w:lang w:val="es-ES_tradnl"/>
              </w:rPr>
              <w:t>1</w:t>
            </w:r>
            <w:r w:rsidRPr="00F44EAF">
              <w:rPr>
                <w:vertAlign w:val="superscript"/>
                <w:lang w:val="es-ES_tradnl"/>
              </w:rPr>
              <w:t>er</w:t>
            </w:r>
            <w:r w:rsidRPr="00F44EAF">
              <w:rPr>
                <w:lang w:val="es-ES_tradnl"/>
              </w:rPr>
              <w:t xml:space="preserve"> lóbulo lateral</w:t>
            </w:r>
          </w:p>
        </w:tc>
        <w:tc>
          <w:tcPr>
            <w:tcW w:w="1276" w:type="dxa"/>
            <w:vAlign w:val="center"/>
          </w:tcPr>
          <w:p w:rsidR="00CA41E8" w:rsidRPr="00F44EAF" w:rsidRDefault="00CA41E8" w:rsidP="00715EF4">
            <w:pPr>
              <w:pStyle w:val="Tabletext"/>
              <w:jc w:val="center"/>
              <w:rPr>
                <w:lang w:val="es-ES_tradnl"/>
              </w:rPr>
            </w:pPr>
            <w:bookmarkStart w:id="52" w:name="lt_pId283"/>
            <w:r w:rsidRPr="00F44EAF">
              <w:rPr>
                <w:lang w:val="es-ES_tradnl"/>
              </w:rPr>
              <w:t>dBi</w:t>
            </w:r>
            <w:bookmarkEnd w:id="52"/>
          </w:p>
        </w:tc>
        <w:tc>
          <w:tcPr>
            <w:tcW w:w="2588" w:type="dxa"/>
            <w:vAlign w:val="center"/>
          </w:tcPr>
          <w:p w:rsidR="00CA41E8" w:rsidRPr="00F44EAF" w:rsidRDefault="00CA41E8" w:rsidP="00715EF4">
            <w:pPr>
              <w:pStyle w:val="Tabletext"/>
              <w:jc w:val="center"/>
              <w:rPr>
                <w:lang w:val="es-ES_tradnl"/>
              </w:rPr>
            </w:pPr>
            <w:r w:rsidRPr="00F44EAF">
              <w:rPr>
                <w:lang w:val="es-ES_tradnl"/>
              </w:rPr>
              <w:t>17</w:t>
            </w:r>
          </w:p>
        </w:tc>
        <w:tc>
          <w:tcPr>
            <w:tcW w:w="2588" w:type="dxa"/>
            <w:vAlign w:val="center"/>
          </w:tcPr>
          <w:p w:rsidR="00CA41E8" w:rsidRPr="00F44EAF" w:rsidRDefault="00CA41E8" w:rsidP="00715EF4">
            <w:pPr>
              <w:pStyle w:val="Tabletext"/>
              <w:jc w:val="center"/>
              <w:rPr>
                <w:lang w:val="es-ES_tradnl"/>
              </w:rPr>
            </w:pPr>
            <w:r w:rsidRPr="00F44EAF">
              <w:rPr>
                <w:lang w:val="es-ES_tradnl"/>
              </w:rPr>
              <w:t>18</w:t>
            </w:r>
          </w:p>
        </w:tc>
        <w:tc>
          <w:tcPr>
            <w:tcW w:w="2588" w:type="dxa"/>
            <w:vAlign w:val="center"/>
          </w:tcPr>
          <w:p w:rsidR="00CA41E8" w:rsidRPr="00F44EAF" w:rsidRDefault="00CA41E8" w:rsidP="00715EF4">
            <w:pPr>
              <w:pStyle w:val="Tabletext"/>
              <w:jc w:val="center"/>
              <w:rPr>
                <w:lang w:val="es-ES_tradnl"/>
              </w:rPr>
            </w:pPr>
            <w:r w:rsidRPr="00F44EAF">
              <w:rPr>
                <w:lang w:val="es-ES_tradnl"/>
              </w:rPr>
              <w:t>16</w:t>
            </w:r>
          </w:p>
        </w:tc>
        <w:tc>
          <w:tcPr>
            <w:tcW w:w="2589" w:type="dxa"/>
            <w:vAlign w:val="center"/>
          </w:tcPr>
          <w:p w:rsidR="00CA41E8" w:rsidRPr="00F44EAF" w:rsidRDefault="00CA41E8" w:rsidP="00715EF4">
            <w:pPr>
              <w:pStyle w:val="Tabletext"/>
              <w:jc w:val="center"/>
              <w:rPr>
                <w:lang w:val="es-ES_tradnl"/>
              </w:rPr>
            </w:pPr>
            <w:r w:rsidRPr="00F44EAF">
              <w:rPr>
                <w:lang w:val="es-ES_tradnl"/>
              </w:rPr>
              <w:t>16</w:t>
            </w:r>
          </w:p>
        </w:tc>
      </w:tr>
      <w:tr w:rsidR="00CA41E8" w:rsidRPr="00F44EAF" w:rsidTr="00715EF4">
        <w:trPr>
          <w:jc w:val="center"/>
        </w:trPr>
        <w:tc>
          <w:tcPr>
            <w:tcW w:w="2830" w:type="dxa"/>
          </w:tcPr>
          <w:p w:rsidR="00CA41E8" w:rsidRPr="00F44EAF" w:rsidRDefault="00CA41E8" w:rsidP="00715EF4">
            <w:pPr>
              <w:pStyle w:val="Tabletext"/>
              <w:jc w:val="left"/>
              <w:rPr>
                <w:lang w:val="es-ES_tradnl"/>
              </w:rPr>
            </w:pPr>
            <w:r w:rsidRPr="00F44EAF">
              <w:rPr>
                <w:lang w:val="es-ES_tradnl"/>
              </w:rPr>
              <w:t>Polarización</w:t>
            </w:r>
          </w:p>
        </w:tc>
        <w:tc>
          <w:tcPr>
            <w:tcW w:w="1276" w:type="dxa"/>
            <w:vAlign w:val="center"/>
          </w:tcPr>
          <w:p w:rsidR="00CA41E8" w:rsidRPr="00F44EAF" w:rsidRDefault="00CA41E8" w:rsidP="00715EF4">
            <w:pPr>
              <w:pStyle w:val="Tabletext"/>
              <w:rPr>
                <w:lang w:val="es-ES_tradnl"/>
              </w:rPr>
            </w:pPr>
          </w:p>
        </w:tc>
        <w:tc>
          <w:tcPr>
            <w:tcW w:w="2588" w:type="dxa"/>
            <w:vAlign w:val="center"/>
          </w:tcPr>
          <w:p w:rsidR="00CA41E8" w:rsidRPr="00F44EAF" w:rsidRDefault="00CA41E8" w:rsidP="00715EF4">
            <w:pPr>
              <w:pStyle w:val="Tabletext"/>
              <w:jc w:val="center"/>
              <w:rPr>
                <w:lang w:val="es-ES_tradnl"/>
              </w:rPr>
            </w:pPr>
            <w:bookmarkStart w:id="53" w:name="lt_pId291"/>
            <w:r w:rsidRPr="00F44EAF">
              <w:rPr>
                <w:lang w:val="es-ES_tradnl"/>
              </w:rPr>
              <w:t>RHCP</w:t>
            </w:r>
            <w:bookmarkEnd w:id="53"/>
            <w:r w:rsidRPr="00F44EAF">
              <w:rPr>
                <w:vertAlign w:val="superscript"/>
                <w:lang w:val="es-ES_tradnl"/>
              </w:rPr>
              <w:t>(2)</w:t>
            </w:r>
          </w:p>
        </w:tc>
        <w:tc>
          <w:tcPr>
            <w:tcW w:w="2588" w:type="dxa"/>
            <w:vAlign w:val="center"/>
          </w:tcPr>
          <w:p w:rsidR="00CA41E8" w:rsidRPr="00F44EAF" w:rsidRDefault="00CA41E8" w:rsidP="00715EF4">
            <w:pPr>
              <w:pStyle w:val="Tabletext"/>
              <w:jc w:val="center"/>
              <w:rPr>
                <w:lang w:val="es-ES_tradnl"/>
              </w:rPr>
            </w:pPr>
            <w:bookmarkStart w:id="54" w:name="lt_pId292"/>
            <w:r w:rsidRPr="00F44EAF">
              <w:rPr>
                <w:lang w:val="es-ES_tradnl"/>
              </w:rPr>
              <w:t>RHCP</w:t>
            </w:r>
            <w:r w:rsidRPr="00F44EAF">
              <w:rPr>
                <w:vertAlign w:val="superscript"/>
                <w:lang w:val="es-ES_tradnl"/>
              </w:rPr>
              <w:t>(2)</w:t>
            </w:r>
            <w:bookmarkEnd w:id="54"/>
          </w:p>
        </w:tc>
        <w:tc>
          <w:tcPr>
            <w:tcW w:w="2588" w:type="dxa"/>
            <w:vAlign w:val="center"/>
          </w:tcPr>
          <w:p w:rsidR="00CA41E8" w:rsidRPr="00F44EAF" w:rsidRDefault="00CA41E8" w:rsidP="00715EF4">
            <w:pPr>
              <w:pStyle w:val="Tabletext"/>
              <w:jc w:val="center"/>
              <w:rPr>
                <w:lang w:val="es-ES_tradnl"/>
              </w:rPr>
            </w:pPr>
            <w:bookmarkStart w:id="55" w:name="lt_pId293"/>
            <w:r w:rsidRPr="00F44EAF">
              <w:rPr>
                <w:lang w:val="es-ES_tradnl"/>
              </w:rPr>
              <w:t>RHCP</w:t>
            </w:r>
            <w:r w:rsidRPr="00F44EAF">
              <w:rPr>
                <w:vertAlign w:val="superscript"/>
                <w:lang w:val="es-ES_tradnl"/>
              </w:rPr>
              <w:t>(2)</w:t>
            </w:r>
            <w:bookmarkEnd w:id="55"/>
            <w:r w:rsidRPr="00F44EAF">
              <w:rPr>
                <w:lang w:val="es-ES_tradnl"/>
              </w:rPr>
              <w:t xml:space="preserve"> </w:t>
            </w:r>
          </w:p>
        </w:tc>
        <w:tc>
          <w:tcPr>
            <w:tcW w:w="2589" w:type="dxa"/>
            <w:vAlign w:val="center"/>
          </w:tcPr>
          <w:p w:rsidR="00CA41E8" w:rsidRPr="00F44EAF" w:rsidRDefault="00CA41E8" w:rsidP="00715EF4">
            <w:pPr>
              <w:pStyle w:val="Tabletext"/>
              <w:jc w:val="center"/>
              <w:rPr>
                <w:lang w:val="es-ES_tradnl"/>
              </w:rPr>
            </w:pPr>
            <w:r w:rsidRPr="00F44EAF">
              <w:rPr>
                <w:lang w:val="es-ES_tradnl"/>
              </w:rPr>
              <w:t>RHCP</w:t>
            </w:r>
            <w:r w:rsidRPr="00F44EAF">
              <w:rPr>
                <w:vertAlign w:val="superscript"/>
                <w:lang w:val="es-ES_tradnl"/>
              </w:rPr>
              <w:t>(2)</w:t>
            </w:r>
          </w:p>
        </w:tc>
      </w:tr>
      <w:tr w:rsidR="00CA41E8" w:rsidRPr="00F44EAF" w:rsidTr="00715EF4">
        <w:trPr>
          <w:jc w:val="center"/>
        </w:trPr>
        <w:tc>
          <w:tcPr>
            <w:tcW w:w="2830" w:type="dxa"/>
          </w:tcPr>
          <w:p w:rsidR="00CA41E8" w:rsidRPr="00F44EAF" w:rsidRDefault="00CA41E8" w:rsidP="00715EF4">
            <w:pPr>
              <w:pStyle w:val="Tabletext"/>
              <w:jc w:val="left"/>
              <w:rPr>
                <w:lang w:val="es-ES_tradnl"/>
              </w:rPr>
            </w:pPr>
            <w:r w:rsidRPr="00F44EAF">
              <w:rPr>
                <w:lang w:val="es-ES_tradnl"/>
              </w:rPr>
              <w:t>Diagrama/tipo de antena</w:t>
            </w:r>
          </w:p>
        </w:tc>
        <w:tc>
          <w:tcPr>
            <w:tcW w:w="1276" w:type="dxa"/>
            <w:vAlign w:val="center"/>
          </w:tcPr>
          <w:p w:rsidR="00CA41E8" w:rsidRPr="00F44EAF" w:rsidRDefault="00CA41E8" w:rsidP="00715EF4">
            <w:pPr>
              <w:pStyle w:val="Tabletext"/>
              <w:rPr>
                <w:lang w:val="es-ES_tradnl"/>
              </w:rPr>
            </w:pPr>
          </w:p>
        </w:tc>
        <w:tc>
          <w:tcPr>
            <w:tcW w:w="2588" w:type="dxa"/>
            <w:vAlign w:val="center"/>
          </w:tcPr>
          <w:p w:rsidR="00CA41E8" w:rsidRPr="00F44EAF" w:rsidRDefault="00CA41E8" w:rsidP="00715EF4">
            <w:pPr>
              <w:pStyle w:val="Tabletext"/>
              <w:jc w:val="center"/>
              <w:rPr>
                <w:lang w:val="es-ES_tradnl"/>
              </w:rPr>
            </w:pPr>
            <w:r w:rsidRPr="00F44EAF">
              <w:rPr>
                <w:lang w:val="es-ES_tradnl"/>
              </w:rPr>
              <w:t>Reflector parabólico</w:t>
            </w:r>
          </w:p>
        </w:tc>
        <w:tc>
          <w:tcPr>
            <w:tcW w:w="2588" w:type="dxa"/>
            <w:vAlign w:val="center"/>
          </w:tcPr>
          <w:p w:rsidR="00CA41E8" w:rsidRPr="00F44EAF" w:rsidRDefault="00CA41E8" w:rsidP="00715EF4">
            <w:pPr>
              <w:pStyle w:val="Tabletext"/>
              <w:jc w:val="center"/>
              <w:rPr>
                <w:lang w:val="es-ES_tradnl"/>
              </w:rPr>
            </w:pPr>
            <w:r w:rsidRPr="00F44EAF">
              <w:rPr>
                <w:lang w:val="es-ES_tradnl"/>
              </w:rPr>
              <w:t xml:space="preserve">Reflector parabólico </w:t>
            </w:r>
          </w:p>
        </w:tc>
        <w:tc>
          <w:tcPr>
            <w:tcW w:w="2588" w:type="dxa"/>
            <w:vAlign w:val="center"/>
          </w:tcPr>
          <w:p w:rsidR="00CA41E8" w:rsidRPr="00F44EAF" w:rsidRDefault="00CA41E8" w:rsidP="00715EF4">
            <w:pPr>
              <w:pStyle w:val="Tabletext"/>
              <w:jc w:val="center"/>
              <w:rPr>
                <w:lang w:val="es-ES_tradnl"/>
              </w:rPr>
            </w:pPr>
            <w:r w:rsidRPr="00F44EAF">
              <w:rPr>
                <w:lang w:val="es-ES_tradnl"/>
              </w:rPr>
              <w:t xml:space="preserve">Reflector parabólico </w:t>
            </w:r>
          </w:p>
        </w:tc>
        <w:tc>
          <w:tcPr>
            <w:tcW w:w="2589" w:type="dxa"/>
            <w:vAlign w:val="center"/>
          </w:tcPr>
          <w:p w:rsidR="00CA41E8" w:rsidRPr="00F44EAF" w:rsidRDefault="00CA41E8" w:rsidP="00715EF4">
            <w:pPr>
              <w:pStyle w:val="Tabletext"/>
              <w:jc w:val="center"/>
              <w:rPr>
                <w:lang w:val="es-ES_tradnl"/>
              </w:rPr>
            </w:pPr>
            <w:r w:rsidRPr="00F44EAF">
              <w:rPr>
                <w:lang w:val="es-ES_tradnl"/>
              </w:rPr>
              <w:t>Reflector parabólico</w:t>
            </w:r>
          </w:p>
        </w:tc>
      </w:tr>
      <w:tr w:rsidR="00CA41E8" w:rsidRPr="00F44EAF" w:rsidTr="00715EF4">
        <w:trPr>
          <w:jc w:val="center"/>
        </w:trPr>
        <w:tc>
          <w:tcPr>
            <w:tcW w:w="2830" w:type="dxa"/>
            <w:vAlign w:val="center"/>
          </w:tcPr>
          <w:p w:rsidR="00CA41E8" w:rsidRPr="00F44EAF" w:rsidRDefault="00CA41E8" w:rsidP="00715EF4">
            <w:pPr>
              <w:pStyle w:val="Tabletext"/>
              <w:jc w:val="left"/>
              <w:rPr>
                <w:lang w:val="es-ES_tradnl"/>
              </w:rPr>
            </w:pPr>
            <w:r w:rsidRPr="00F44EAF">
              <w:rPr>
                <w:lang w:val="es-ES_tradnl"/>
              </w:rPr>
              <w:t>Anchura de banda horizontal</w:t>
            </w:r>
          </w:p>
        </w:tc>
        <w:tc>
          <w:tcPr>
            <w:tcW w:w="1276" w:type="dxa"/>
            <w:vAlign w:val="center"/>
          </w:tcPr>
          <w:p w:rsidR="00CA41E8" w:rsidRPr="00F44EAF" w:rsidRDefault="00CA41E8" w:rsidP="00715EF4">
            <w:pPr>
              <w:pStyle w:val="Tabletext"/>
              <w:spacing w:before="120"/>
              <w:jc w:val="center"/>
              <w:rPr>
                <w:lang w:val="es-ES_tradnl"/>
              </w:rPr>
            </w:pPr>
            <w:r w:rsidRPr="00F44EAF">
              <w:rPr>
                <w:lang w:val="es-ES_tradnl"/>
              </w:rPr>
              <w:t>Grados</w:t>
            </w:r>
          </w:p>
        </w:tc>
        <w:tc>
          <w:tcPr>
            <w:tcW w:w="2588" w:type="dxa"/>
            <w:vAlign w:val="center"/>
          </w:tcPr>
          <w:p w:rsidR="00CA41E8" w:rsidRPr="00F44EAF" w:rsidRDefault="00CA41E8" w:rsidP="00715EF4">
            <w:pPr>
              <w:pStyle w:val="Tabletext"/>
              <w:jc w:val="center"/>
              <w:rPr>
                <w:lang w:val="es-ES_tradnl"/>
              </w:rPr>
            </w:pPr>
            <w:r w:rsidRPr="00F44EAF">
              <w:rPr>
                <w:lang w:val="es-ES_tradnl"/>
              </w:rPr>
              <w:t>3,0</w:t>
            </w:r>
          </w:p>
        </w:tc>
        <w:tc>
          <w:tcPr>
            <w:tcW w:w="2588" w:type="dxa"/>
            <w:vAlign w:val="center"/>
          </w:tcPr>
          <w:p w:rsidR="00CA41E8" w:rsidRPr="00F44EAF" w:rsidRDefault="00CA41E8" w:rsidP="00715EF4">
            <w:pPr>
              <w:pStyle w:val="Tabletext"/>
              <w:jc w:val="center"/>
              <w:rPr>
                <w:lang w:val="es-ES_tradnl"/>
              </w:rPr>
            </w:pPr>
            <w:r w:rsidRPr="00F44EAF">
              <w:rPr>
                <w:lang w:val="es-ES_tradnl"/>
              </w:rPr>
              <w:t>2,7</w:t>
            </w:r>
          </w:p>
        </w:tc>
        <w:tc>
          <w:tcPr>
            <w:tcW w:w="2588" w:type="dxa"/>
            <w:vAlign w:val="center"/>
          </w:tcPr>
          <w:p w:rsidR="00CA41E8" w:rsidRPr="00F44EAF" w:rsidRDefault="00CA41E8" w:rsidP="00715EF4">
            <w:pPr>
              <w:pStyle w:val="Tabletext"/>
              <w:jc w:val="center"/>
              <w:rPr>
                <w:lang w:val="es-ES_tradnl"/>
              </w:rPr>
            </w:pPr>
            <w:r w:rsidRPr="00F44EAF">
              <w:rPr>
                <w:lang w:val="es-ES_tradnl"/>
              </w:rPr>
              <w:t>7,2</w:t>
            </w:r>
          </w:p>
        </w:tc>
        <w:tc>
          <w:tcPr>
            <w:tcW w:w="2589" w:type="dxa"/>
            <w:vAlign w:val="center"/>
          </w:tcPr>
          <w:p w:rsidR="00CA41E8" w:rsidRPr="00F44EAF" w:rsidRDefault="00CA41E8" w:rsidP="00715EF4">
            <w:pPr>
              <w:pStyle w:val="Tabletext"/>
              <w:jc w:val="center"/>
              <w:rPr>
                <w:lang w:val="es-ES_tradnl"/>
              </w:rPr>
            </w:pPr>
            <w:r w:rsidRPr="00F44EAF">
              <w:rPr>
                <w:lang w:val="es-ES_tradnl"/>
              </w:rPr>
              <w:t>7,2</w:t>
            </w:r>
          </w:p>
        </w:tc>
      </w:tr>
      <w:tr w:rsidR="00CA41E8" w:rsidRPr="00F44EAF" w:rsidTr="00715EF4">
        <w:trPr>
          <w:jc w:val="center"/>
        </w:trPr>
        <w:tc>
          <w:tcPr>
            <w:tcW w:w="2830" w:type="dxa"/>
            <w:vAlign w:val="center"/>
          </w:tcPr>
          <w:p w:rsidR="00CA41E8" w:rsidRPr="00F44EAF" w:rsidRDefault="00CA41E8" w:rsidP="00715EF4">
            <w:pPr>
              <w:pStyle w:val="Tabletext"/>
              <w:jc w:val="left"/>
              <w:rPr>
                <w:lang w:val="es-ES_tradnl"/>
              </w:rPr>
            </w:pPr>
            <w:r w:rsidRPr="00F44EAF">
              <w:rPr>
                <w:lang w:val="es-ES_tradnl"/>
              </w:rPr>
              <w:t>Anchura de banda vertical</w:t>
            </w:r>
          </w:p>
        </w:tc>
        <w:tc>
          <w:tcPr>
            <w:tcW w:w="1276" w:type="dxa"/>
            <w:vAlign w:val="center"/>
          </w:tcPr>
          <w:p w:rsidR="00CA41E8" w:rsidRPr="00F44EAF" w:rsidRDefault="00CA41E8" w:rsidP="00715EF4">
            <w:pPr>
              <w:pStyle w:val="Tabletext"/>
              <w:spacing w:before="120"/>
              <w:jc w:val="center"/>
              <w:rPr>
                <w:lang w:val="es-ES_tradnl"/>
              </w:rPr>
            </w:pPr>
            <w:r w:rsidRPr="00F44EAF">
              <w:rPr>
                <w:lang w:val="es-ES_tradnl"/>
              </w:rPr>
              <w:t>Grados</w:t>
            </w:r>
          </w:p>
        </w:tc>
        <w:tc>
          <w:tcPr>
            <w:tcW w:w="2588" w:type="dxa"/>
            <w:vAlign w:val="center"/>
          </w:tcPr>
          <w:p w:rsidR="00CA41E8" w:rsidRPr="00F44EAF" w:rsidRDefault="00CA41E8" w:rsidP="00715EF4">
            <w:pPr>
              <w:pStyle w:val="Tabletext"/>
              <w:jc w:val="center"/>
              <w:rPr>
                <w:lang w:val="es-ES_tradnl"/>
              </w:rPr>
            </w:pPr>
            <w:r w:rsidRPr="00F44EAF">
              <w:rPr>
                <w:lang w:val="es-ES_tradnl"/>
              </w:rPr>
              <w:t>3,0</w:t>
            </w:r>
          </w:p>
        </w:tc>
        <w:tc>
          <w:tcPr>
            <w:tcW w:w="2588" w:type="dxa"/>
            <w:vAlign w:val="center"/>
          </w:tcPr>
          <w:p w:rsidR="00CA41E8" w:rsidRPr="00F44EAF" w:rsidRDefault="00CA41E8" w:rsidP="00715EF4">
            <w:pPr>
              <w:pStyle w:val="Tabletext"/>
              <w:jc w:val="center"/>
              <w:rPr>
                <w:lang w:val="es-ES_tradnl"/>
              </w:rPr>
            </w:pPr>
            <w:r w:rsidRPr="00F44EAF">
              <w:rPr>
                <w:lang w:val="es-ES_tradnl"/>
              </w:rPr>
              <w:t>2,7</w:t>
            </w:r>
          </w:p>
        </w:tc>
        <w:tc>
          <w:tcPr>
            <w:tcW w:w="2588" w:type="dxa"/>
            <w:vAlign w:val="center"/>
          </w:tcPr>
          <w:p w:rsidR="00CA41E8" w:rsidRPr="00F44EAF" w:rsidRDefault="00CA41E8" w:rsidP="00715EF4">
            <w:pPr>
              <w:pStyle w:val="Tabletext"/>
              <w:jc w:val="center"/>
              <w:rPr>
                <w:lang w:val="es-ES_tradnl"/>
              </w:rPr>
            </w:pPr>
            <w:r w:rsidRPr="00F44EAF">
              <w:rPr>
                <w:lang w:val="es-ES_tradnl"/>
              </w:rPr>
              <w:t>7,2</w:t>
            </w:r>
          </w:p>
        </w:tc>
        <w:tc>
          <w:tcPr>
            <w:tcW w:w="2589" w:type="dxa"/>
            <w:vAlign w:val="center"/>
          </w:tcPr>
          <w:p w:rsidR="00CA41E8" w:rsidRPr="00F44EAF" w:rsidRDefault="00CA41E8" w:rsidP="00715EF4">
            <w:pPr>
              <w:pStyle w:val="Tabletext"/>
              <w:jc w:val="center"/>
              <w:rPr>
                <w:lang w:val="es-ES_tradnl"/>
              </w:rPr>
            </w:pPr>
            <w:r w:rsidRPr="00F44EAF">
              <w:rPr>
                <w:lang w:val="es-ES_tradnl"/>
              </w:rPr>
              <w:t>7,2</w:t>
            </w:r>
          </w:p>
        </w:tc>
      </w:tr>
      <w:tr w:rsidR="00CA41E8" w:rsidRPr="005D29FA" w:rsidTr="00715EF4">
        <w:trPr>
          <w:jc w:val="center"/>
        </w:trPr>
        <w:tc>
          <w:tcPr>
            <w:tcW w:w="2830" w:type="dxa"/>
            <w:tcBorders>
              <w:bottom w:val="single" w:sz="4" w:space="0" w:color="auto"/>
            </w:tcBorders>
            <w:vAlign w:val="center"/>
          </w:tcPr>
          <w:p w:rsidR="00CA41E8" w:rsidRPr="00F44EAF" w:rsidRDefault="00CA41E8" w:rsidP="00715EF4">
            <w:pPr>
              <w:pStyle w:val="Tabletext"/>
              <w:rPr>
                <w:lang w:val="es-ES_tradnl"/>
              </w:rPr>
            </w:pPr>
            <w:r w:rsidRPr="00F44EAF">
              <w:rPr>
                <w:lang w:val="es-ES_tradnl"/>
              </w:rPr>
              <w:t>Modelo de antena</w:t>
            </w:r>
          </w:p>
        </w:tc>
        <w:tc>
          <w:tcPr>
            <w:tcW w:w="1276" w:type="dxa"/>
            <w:tcBorders>
              <w:bottom w:val="single" w:sz="4" w:space="0" w:color="auto"/>
            </w:tcBorders>
            <w:vAlign w:val="center"/>
          </w:tcPr>
          <w:p w:rsidR="00CA41E8" w:rsidRPr="00F44EAF" w:rsidRDefault="00CA41E8" w:rsidP="00715EF4">
            <w:pPr>
              <w:pStyle w:val="Tabletext"/>
              <w:jc w:val="center"/>
              <w:rPr>
                <w:lang w:val="es-ES_tradnl"/>
              </w:rPr>
            </w:pPr>
          </w:p>
        </w:tc>
        <w:tc>
          <w:tcPr>
            <w:tcW w:w="2588" w:type="dxa"/>
            <w:tcBorders>
              <w:bottom w:val="single" w:sz="4" w:space="0" w:color="auto"/>
            </w:tcBorders>
            <w:vAlign w:val="center"/>
          </w:tcPr>
          <w:p w:rsidR="00CA41E8" w:rsidRPr="00F44EAF" w:rsidRDefault="00CA41E8" w:rsidP="00715EF4">
            <w:pPr>
              <w:pStyle w:val="Tabletext"/>
              <w:jc w:val="center"/>
              <w:rPr>
                <w:lang w:val="es-ES_tradnl"/>
              </w:rPr>
            </w:pPr>
            <w:r w:rsidRPr="00F44EAF">
              <w:rPr>
                <w:lang w:val="es-ES_tradnl"/>
              </w:rPr>
              <w:t>Recomendación</w:t>
            </w:r>
          </w:p>
          <w:p w:rsidR="00CA41E8" w:rsidRPr="00F44EAF" w:rsidRDefault="00CA41E8" w:rsidP="00715EF4">
            <w:pPr>
              <w:pStyle w:val="Tabletext"/>
              <w:jc w:val="center"/>
              <w:rPr>
                <w:lang w:val="es-ES_tradnl"/>
              </w:rPr>
            </w:pPr>
            <w:r w:rsidRPr="00F44EAF">
              <w:rPr>
                <w:lang w:val="es-ES_tradnl"/>
              </w:rPr>
              <w:fldChar w:fldCharType="begin"/>
            </w:r>
            <w:bookmarkStart w:id="56" w:name="lt_pId322"/>
            <w:r w:rsidRPr="00F44EAF">
              <w:rPr>
                <w:lang w:val="es-ES_tradnl"/>
              </w:rPr>
              <w:instrText xml:space="preserve"> HYPERLINK "http://www.itu.int/rec/R-REC-M.1851/en" </w:instrText>
            </w:r>
            <w:r w:rsidRPr="00F44EAF">
              <w:rPr>
                <w:lang w:val="es-ES_tradnl"/>
              </w:rPr>
              <w:fldChar w:fldCharType="separate"/>
            </w:r>
            <w:r w:rsidRPr="00F44EAF">
              <w:rPr>
                <w:lang w:val="es-ES_tradnl"/>
              </w:rPr>
              <w:t>UIT-R M.1851</w:t>
            </w:r>
            <w:r w:rsidRPr="00F44EAF">
              <w:rPr>
                <w:lang w:val="es-ES_tradnl"/>
              </w:rPr>
              <w:fldChar w:fldCharType="end"/>
            </w:r>
            <w:bookmarkEnd w:id="56"/>
            <w:r w:rsidRPr="00F44EAF">
              <w:rPr>
                <w:vertAlign w:val="superscript"/>
                <w:lang w:val="es-ES_tradnl"/>
              </w:rPr>
              <w:t>(3)</w:t>
            </w:r>
          </w:p>
          <w:p w:rsidR="00CA41E8" w:rsidRPr="00F44EAF" w:rsidRDefault="00CA41E8" w:rsidP="00715EF4">
            <w:pPr>
              <w:pStyle w:val="Tabletext"/>
              <w:jc w:val="center"/>
              <w:rPr>
                <w:lang w:val="es-ES_tradnl"/>
              </w:rPr>
            </w:pPr>
            <w:bookmarkStart w:id="57" w:name="lt_pId323"/>
            <w:r w:rsidRPr="00F44EAF">
              <w:rPr>
                <w:lang w:val="es-ES_tradnl"/>
              </w:rPr>
              <w:t>(Distribución uniforme)</w:t>
            </w:r>
            <w:bookmarkEnd w:id="57"/>
          </w:p>
        </w:tc>
        <w:tc>
          <w:tcPr>
            <w:tcW w:w="2588" w:type="dxa"/>
            <w:tcBorders>
              <w:bottom w:val="single" w:sz="4" w:space="0" w:color="auto"/>
            </w:tcBorders>
            <w:vAlign w:val="center"/>
          </w:tcPr>
          <w:p w:rsidR="00CA41E8" w:rsidRPr="00F44EAF" w:rsidRDefault="00CA41E8" w:rsidP="00715EF4">
            <w:pPr>
              <w:pStyle w:val="Tabletext"/>
              <w:jc w:val="center"/>
              <w:rPr>
                <w:lang w:val="es-ES_tradnl"/>
              </w:rPr>
            </w:pPr>
            <w:r w:rsidRPr="00F44EAF">
              <w:rPr>
                <w:lang w:val="es-ES_tradnl"/>
              </w:rPr>
              <w:t>Recomendación</w:t>
            </w:r>
          </w:p>
          <w:p w:rsidR="00CA41E8" w:rsidRPr="00F44EAF" w:rsidRDefault="00CA41E8" w:rsidP="00715EF4">
            <w:pPr>
              <w:pStyle w:val="Tabletext"/>
              <w:jc w:val="center"/>
              <w:rPr>
                <w:lang w:val="es-ES_tradnl"/>
              </w:rPr>
            </w:pPr>
            <w:r w:rsidRPr="00F44EAF">
              <w:rPr>
                <w:lang w:val="es-ES_tradnl"/>
              </w:rPr>
              <w:fldChar w:fldCharType="begin"/>
            </w:r>
            <w:bookmarkStart w:id="58" w:name="lt_pId325"/>
            <w:r w:rsidRPr="00F44EAF">
              <w:rPr>
                <w:lang w:val="es-ES_tradnl"/>
              </w:rPr>
              <w:instrText xml:space="preserve"> HYPERLINK "http://www.itu.int/rec/R-REC-M.1851/en" </w:instrText>
            </w:r>
            <w:r w:rsidRPr="00F44EAF">
              <w:rPr>
                <w:lang w:val="es-ES_tradnl"/>
              </w:rPr>
              <w:fldChar w:fldCharType="separate"/>
            </w:r>
            <w:r w:rsidRPr="00F44EAF">
              <w:rPr>
                <w:lang w:val="es-ES_tradnl"/>
              </w:rPr>
              <w:t>UIT-R M.1851</w:t>
            </w:r>
            <w:r w:rsidRPr="00F44EAF">
              <w:rPr>
                <w:lang w:val="es-ES_tradnl"/>
              </w:rPr>
              <w:fldChar w:fldCharType="end"/>
            </w:r>
            <w:bookmarkEnd w:id="58"/>
            <w:r w:rsidRPr="00F44EAF">
              <w:rPr>
                <w:vertAlign w:val="superscript"/>
                <w:lang w:val="es-ES_tradnl"/>
              </w:rPr>
              <w:t>(3)</w:t>
            </w:r>
          </w:p>
          <w:p w:rsidR="00CA41E8" w:rsidRPr="00F44EAF" w:rsidRDefault="00CA41E8" w:rsidP="00715EF4">
            <w:pPr>
              <w:pStyle w:val="Tabletext"/>
              <w:jc w:val="center"/>
              <w:rPr>
                <w:lang w:val="es-ES_tradnl"/>
              </w:rPr>
            </w:pPr>
            <w:bookmarkStart w:id="59" w:name="lt_pId326"/>
            <w:r w:rsidRPr="00F44EAF">
              <w:rPr>
                <w:lang w:val="es-ES_tradnl"/>
              </w:rPr>
              <w:t>(Distribución uniforme)</w:t>
            </w:r>
            <w:bookmarkEnd w:id="59"/>
          </w:p>
        </w:tc>
        <w:tc>
          <w:tcPr>
            <w:tcW w:w="2588" w:type="dxa"/>
            <w:tcBorders>
              <w:bottom w:val="single" w:sz="4" w:space="0" w:color="auto"/>
            </w:tcBorders>
            <w:vAlign w:val="center"/>
          </w:tcPr>
          <w:p w:rsidR="00CA41E8" w:rsidRPr="00F44EAF" w:rsidRDefault="00CA41E8" w:rsidP="00715EF4">
            <w:pPr>
              <w:pStyle w:val="Tabletext"/>
              <w:jc w:val="center"/>
              <w:rPr>
                <w:lang w:val="es-ES_tradnl"/>
              </w:rPr>
            </w:pPr>
            <w:r w:rsidRPr="00F44EAF">
              <w:rPr>
                <w:lang w:val="es-ES_tradnl"/>
              </w:rPr>
              <w:t>Recomendación</w:t>
            </w:r>
          </w:p>
          <w:p w:rsidR="00CA41E8" w:rsidRPr="00F44EAF" w:rsidRDefault="00CA41E8" w:rsidP="00715EF4">
            <w:pPr>
              <w:pStyle w:val="Tabletext"/>
              <w:jc w:val="center"/>
              <w:rPr>
                <w:lang w:val="es-ES_tradnl"/>
              </w:rPr>
            </w:pPr>
            <w:r w:rsidRPr="00F44EAF">
              <w:rPr>
                <w:lang w:val="es-ES_tradnl"/>
              </w:rPr>
              <w:fldChar w:fldCharType="begin"/>
            </w:r>
            <w:bookmarkStart w:id="60" w:name="lt_pId328"/>
            <w:r w:rsidRPr="00F44EAF">
              <w:rPr>
                <w:lang w:val="es-ES_tradnl"/>
              </w:rPr>
              <w:instrText xml:space="preserve"> HYPERLINK "http://www.itu.int/rec/R-REC-M.1851/en" </w:instrText>
            </w:r>
            <w:r w:rsidRPr="00F44EAF">
              <w:rPr>
                <w:lang w:val="es-ES_tradnl"/>
              </w:rPr>
              <w:fldChar w:fldCharType="separate"/>
            </w:r>
            <w:r w:rsidRPr="00F44EAF">
              <w:rPr>
                <w:lang w:val="es-ES_tradnl"/>
              </w:rPr>
              <w:t>UIT-R M.1851</w:t>
            </w:r>
            <w:r w:rsidRPr="00F44EAF">
              <w:rPr>
                <w:lang w:val="es-ES_tradnl"/>
              </w:rPr>
              <w:fldChar w:fldCharType="end"/>
            </w:r>
            <w:bookmarkEnd w:id="60"/>
            <w:r w:rsidRPr="00F44EAF">
              <w:rPr>
                <w:vertAlign w:val="superscript"/>
                <w:lang w:val="es-ES_tradnl"/>
              </w:rPr>
              <w:t>(3)</w:t>
            </w:r>
          </w:p>
          <w:p w:rsidR="00CA41E8" w:rsidRPr="00F44EAF" w:rsidRDefault="00CA41E8" w:rsidP="00715EF4">
            <w:pPr>
              <w:pStyle w:val="Tabletext"/>
              <w:jc w:val="center"/>
              <w:rPr>
                <w:lang w:val="es-ES_tradnl"/>
              </w:rPr>
            </w:pPr>
            <w:bookmarkStart w:id="61" w:name="lt_pId329"/>
            <w:r w:rsidRPr="00F44EAF">
              <w:rPr>
                <w:lang w:val="es-ES_tradnl"/>
              </w:rPr>
              <w:t>(Distribución uniforme)</w:t>
            </w:r>
            <w:bookmarkEnd w:id="61"/>
            <w:r w:rsidRPr="00F44EAF">
              <w:rPr>
                <w:lang w:val="es-ES_tradnl"/>
              </w:rPr>
              <w:t xml:space="preserve"> </w:t>
            </w:r>
          </w:p>
        </w:tc>
        <w:tc>
          <w:tcPr>
            <w:tcW w:w="2589" w:type="dxa"/>
            <w:tcBorders>
              <w:bottom w:val="single" w:sz="4" w:space="0" w:color="auto"/>
            </w:tcBorders>
            <w:vAlign w:val="center"/>
          </w:tcPr>
          <w:p w:rsidR="00CA41E8" w:rsidRPr="00F44EAF" w:rsidRDefault="00CA41E8" w:rsidP="00715EF4">
            <w:pPr>
              <w:pStyle w:val="Tabletext"/>
              <w:jc w:val="center"/>
              <w:rPr>
                <w:lang w:val="es-ES_tradnl"/>
              </w:rPr>
            </w:pPr>
            <w:r w:rsidRPr="00F44EAF">
              <w:rPr>
                <w:lang w:val="es-ES_tradnl"/>
              </w:rPr>
              <w:t>Recomendación</w:t>
            </w:r>
          </w:p>
          <w:p w:rsidR="00CA41E8" w:rsidRPr="00F44EAF" w:rsidRDefault="00CA41E8" w:rsidP="00715EF4">
            <w:pPr>
              <w:pStyle w:val="Tabletext"/>
              <w:jc w:val="center"/>
              <w:rPr>
                <w:vertAlign w:val="superscript"/>
                <w:lang w:val="es-ES_tradnl"/>
              </w:rPr>
            </w:pPr>
            <w:hyperlink r:id="rId19" w:history="1">
              <w:r w:rsidRPr="00F44EAF">
                <w:rPr>
                  <w:lang w:val="es-ES_tradnl"/>
                </w:rPr>
                <w:t>UIT-R M.1851</w:t>
              </w:r>
            </w:hyperlink>
            <w:r w:rsidRPr="00F44EAF">
              <w:rPr>
                <w:vertAlign w:val="superscript"/>
                <w:lang w:val="es-ES_tradnl"/>
              </w:rPr>
              <w:t>(3)</w:t>
            </w:r>
          </w:p>
          <w:p w:rsidR="00CA41E8" w:rsidRPr="00F44EAF" w:rsidRDefault="00CA41E8" w:rsidP="00715EF4">
            <w:pPr>
              <w:pStyle w:val="Tabletext"/>
              <w:jc w:val="center"/>
              <w:rPr>
                <w:lang w:val="es-ES_tradnl"/>
              </w:rPr>
            </w:pPr>
            <w:r w:rsidRPr="00F44EAF">
              <w:rPr>
                <w:lang w:val="es-ES_tradnl"/>
              </w:rPr>
              <w:t>(Distribución uniforme)</w:t>
            </w:r>
          </w:p>
        </w:tc>
      </w:tr>
      <w:tr w:rsidR="00CA41E8" w:rsidRPr="005D29FA" w:rsidTr="00715EF4">
        <w:trPr>
          <w:jc w:val="center"/>
        </w:trPr>
        <w:tc>
          <w:tcPr>
            <w:tcW w:w="14459" w:type="dxa"/>
            <w:gridSpan w:val="6"/>
            <w:tcBorders>
              <w:left w:val="nil"/>
              <w:bottom w:val="nil"/>
              <w:right w:val="nil"/>
            </w:tcBorders>
          </w:tcPr>
          <w:p w:rsidR="00CA41E8" w:rsidRPr="00F44EAF" w:rsidRDefault="00CA41E8" w:rsidP="00715EF4">
            <w:pPr>
              <w:pStyle w:val="Tablelegend"/>
              <w:rPr>
                <w:lang w:val="es-ES_tradnl"/>
              </w:rPr>
            </w:pPr>
            <w:bookmarkStart w:id="62" w:name="lt_pId335"/>
            <w:r w:rsidRPr="00F44EAF">
              <w:rPr>
                <w:lang w:val="es-ES_tradnl"/>
              </w:rPr>
              <w:t>Notas:</w:t>
            </w:r>
            <w:bookmarkEnd w:id="62"/>
          </w:p>
          <w:p w:rsidR="00CA41E8" w:rsidRPr="00F44EAF" w:rsidRDefault="00CA41E8" w:rsidP="00715EF4">
            <w:pPr>
              <w:pStyle w:val="Tablelegend"/>
              <w:rPr>
                <w:lang w:val="es-ES_tradnl"/>
              </w:rPr>
            </w:pPr>
            <w:r w:rsidRPr="00F44EAF">
              <w:rPr>
                <w:vertAlign w:val="superscript"/>
                <w:lang w:val="es-ES_tradnl"/>
              </w:rPr>
              <w:t>(1)</w:t>
            </w:r>
            <w:r w:rsidRPr="00F44EAF">
              <w:rPr>
                <w:lang w:val="es-ES_tradnl"/>
              </w:rPr>
              <w:tab/>
            </w:r>
            <w:bookmarkStart w:id="63" w:name="lt_pId337"/>
            <w:r w:rsidRPr="00F44EAF">
              <w:rPr>
                <w:lang w:val="es-ES_tradnl"/>
              </w:rPr>
              <w:t xml:space="preserve">En la banda de frecuencias 25,25-27,5 GHz se aplica el número </w:t>
            </w:r>
            <w:r w:rsidRPr="00F44EAF">
              <w:rPr>
                <w:b/>
                <w:bCs/>
                <w:lang w:val="es-ES_tradnl"/>
              </w:rPr>
              <w:t>21</w:t>
            </w:r>
            <w:r w:rsidRPr="00F44EAF">
              <w:rPr>
                <w:lang w:val="es-ES_tradnl"/>
              </w:rPr>
              <w:t xml:space="preserve"> del RR (§ </w:t>
            </w:r>
            <w:r w:rsidRPr="00F44EAF">
              <w:rPr>
                <w:b/>
                <w:bCs/>
                <w:lang w:val="es-ES_tradnl"/>
              </w:rPr>
              <w:t>21.2</w:t>
            </w:r>
            <w:r w:rsidRPr="00F44EAF">
              <w:rPr>
                <w:lang w:val="es-ES_tradnl"/>
              </w:rPr>
              <w:t xml:space="preserve"> y </w:t>
            </w:r>
            <w:r w:rsidRPr="00F44EAF">
              <w:rPr>
                <w:b/>
                <w:bCs/>
                <w:lang w:val="es-ES_tradnl"/>
              </w:rPr>
              <w:t>21.5</w:t>
            </w:r>
            <w:r w:rsidRPr="00F44EAF">
              <w:rPr>
                <w:lang w:val="es-ES_tradnl"/>
              </w:rPr>
              <w:t>).</w:t>
            </w:r>
            <w:bookmarkEnd w:id="63"/>
          </w:p>
          <w:p w:rsidR="00CA41E8" w:rsidRPr="00F44EAF" w:rsidRDefault="00CA41E8" w:rsidP="00715EF4">
            <w:pPr>
              <w:pStyle w:val="Tablelegend"/>
              <w:spacing w:before="60"/>
              <w:rPr>
                <w:lang w:val="es-ES_tradnl"/>
              </w:rPr>
            </w:pPr>
            <w:r w:rsidRPr="00F44EAF">
              <w:rPr>
                <w:vertAlign w:val="superscript"/>
                <w:lang w:val="es-ES_tradnl"/>
              </w:rPr>
              <w:t>(2)</w:t>
            </w:r>
            <w:r w:rsidRPr="00F44EAF">
              <w:rPr>
                <w:lang w:val="es-ES_tradnl"/>
              </w:rPr>
              <w:tab/>
            </w:r>
            <w:bookmarkStart w:id="64" w:name="lt_pId341"/>
            <w:r w:rsidRPr="00F44EAF">
              <w:rPr>
                <w:lang w:val="es-ES_tradnl"/>
              </w:rPr>
              <w:t>RHCP – Polarización circular dextrógira.</w:t>
            </w:r>
            <w:bookmarkEnd w:id="64"/>
          </w:p>
          <w:p w:rsidR="00CA41E8" w:rsidRPr="00F44EAF" w:rsidRDefault="00CA41E8" w:rsidP="00715EF4">
            <w:pPr>
              <w:pStyle w:val="Tablelegend"/>
              <w:spacing w:before="60"/>
              <w:rPr>
                <w:lang w:val="es-ES_tradnl"/>
              </w:rPr>
            </w:pPr>
            <w:r w:rsidRPr="00F44EAF">
              <w:rPr>
                <w:vertAlign w:val="superscript"/>
                <w:lang w:val="es-ES_tradnl"/>
              </w:rPr>
              <w:t>(3)</w:t>
            </w:r>
            <w:r w:rsidRPr="00F44EAF">
              <w:rPr>
                <w:lang w:val="es-ES_tradnl"/>
              </w:rPr>
              <w:tab/>
            </w:r>
            <w:bookmarkStart w:id="65" w:name="lt_pId345"/>
            <w:r w:rsidRPr="00F44EAF">
              <w:rPr>
                <w:lang w:val="es-ES_tradnl"/>
              </w:rPr>
              <w:t xml:space="preserve">La Recomendación </w:t>
            </w:r>
            <w:hyperlink r:id="rId20" w:history="1">
              <w:r w:rsidRPr="00F44EAF">
                <w:rPr>
                  <w:lang w:val="es-ES_tradnl"/>
                </w:rPr>
                <w:t>UIT-R M.1851</w:t>
              </w:r>
            </w:hyperlink>
            <w:r w:rsidRPr="00F44EAF">
              <w:rPr>
                <w:lang w:val="es-ES_tradnl"/>
              </w:rPr>
              <w:t xml:space="preserve"> </w:t>
            </w:r>
            <w:bookmarkEnd w:id="65"/>
            <w:r w:rsidRPr="00F44EAF">
              <w:rPr>
                <w:lang w:val="es-ES_tradnl"/>
              </w:rPr>
              <w:t>contiene varios diagramas basados en la distribución de campo a través de la apertura de la antena. La distribución propuesta para la modelización de las antenas se indica en el texto entre paréntesis basado en indicaciones de la Recomendación</w:t>
            </w:r>
            <w:bookmarkStart w:id="66" w:name="lt_pId346"/>
            <w:r w:rsidRPr="00F44EAF">
              <w:rPr>
                <w:lang w:val="es-ES_tradnl"/>
              </w:rPr>
              <w:t xml:space="preserve"> </w:t>
            </w:r>
            <w:hyperlink r:id="rId21" w:history="1">
              <w:r w:rsidRPr="00F44EAF">
                <w:rPr>
                  <w:lang w:val="es-ES_tradnl"/>
                </w:rPr>
                <w:t>UIT-R M.1851</w:t>
              </w:r>
            </w:hyperlink>
            <w:r w:rsidRPr="00F44EAF">
              <w:rPr>
                <w:lang w:val="es-ES_tradnl"/>
              </w:rPr>
              <w:t>.</w:t>
            </w:r>
            <w:bookmarkEnd w:id="66"/>
          </w:p>
        </w:tc>
      </w:tr>
    </w:tbl>
    <w:p w:rsidR="00CA41E8" w:rsidRPr="00CA41E8" w:rsidRDefault="00CA41E8" w:rsidP="00CA41E8">
      <w:pPr>
        <w:pStyle w:val="Reasons"/>
        <w:rPr>
          <w:lang w:val="es-ES_tradnl"/>
        </w:rPr>
      </w:pPr>
    </w:p>
    <w:p w:rsidR="00CA41E8" w:rsidRPr="00F44EAF" w:rsidRDefault="00CA41E8" w:rsidP="00CA41E8">
      <w:pPr>
        <w:jc w:val="center"/>
        <w:rPr>
          <w:lang w:val="es-ES_tradnl"/>
        </w:rPr>
      </w:pPr>
      <w:r w:rsidRPr="00F44EAF">
        <w:rPr>
          <w:lang w:val="es-ES_tradnl"/>
        </w:rPr>
        <w:t>______________</w:t>
      </w:r>
    </w:p>
    <w:p w:rsidR="00574749" w:rsidRDefault="00574749" w:rsidP="0021735B">
      <w:pPr>
        <w:rPr>
          <w:lang w:val="es-ES_tradnl"/>
        </w:rPr>
      </w:pPr>
    </w:p>
    <w:sectPr w:rsidR="00574749" w:rsidSect="00E84049">
      <w:headerReference w:type="even" r:id="rId22"/>
      <w:headerReference w:type="default" r:id="rId23"/>
      <w:pgSz w:w="16834" w:h="11907" w:orient="landscape" w:code="9"/>
      <w:pgMar w:top="1418" w:right="1134" w:bottom="1134" w:left="1134" w:header="720" w:footer="482"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1E8" w:rsidRDefault="00CA41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1E8" w:rsidRPr="003423BC" w:rsidRDefault="00CA41E8" w:rsidP="003423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1E8" w:rsidRPr="003423BC" w:rsidRDefault="00CA41E8" w:rsidP="003423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EB" w:rsidRDefault="00A07AEB">
      <w:r>
        <w:separator/>
      </w:r>
    </w:p>
  </w:footnote>
  <w:footnote w:type="continuationSeparator" w:id="0">
    <w:p w:rsidR="00A07AEB" w:rsidRDefault="00A07A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4D65"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DF01E1">
      <w:rPr>
        <w:rStyle w:val="PageNumber"/>
        <w:b/>
        <w:bCs/>
        <w:noProof/>
      </w:rPr>
      <w:t>ii</w:t>
    </w:r>
    <w:r>
      <w:rPr>
        <w:rStyle w:val="PageNumber"/>
        <w:b/>
        <w:bCs/>
      </w:rPr>
      <w:fldChar w:fldCharType="end"/>
    </w:r>
    <w:r w:rsidR="00042292">
      <w:tab/>
    </w:r>
    <w:fldSimple w:instr=" DOCPROPERTY &quot;Header&quot; \* MERGEFORMAT ">
      <w:r w:rsidR="00DF01E1" w:rsidRPr="00DF01E1">
        <w:rPr>
          <w:b/>
          <w:bCs/>
        </w:rPr>
        <w:t xml:space="preserve">Rec. </w:t>
      </w:r>
    </w:fldSimple>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DF01E1">
      <w:rPr>
        <w:b/>
        <w:bCs/>
        <w:noProof/>
      </w:rPr>
      <w:t>UIT-R  M.2114-0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r>
      <w:tab/>
    </w:r>
    <w:fldSimple w:instr=" DOCPROPERTY &quot;Header&quot; \* MERGEFORMAT ">
      <w:r w:rsidR="00DF01E1" w:rsidRPr="00DF01E1">
        <w:rPr>
          <w:b/>
          <w:bCs/>
        </w:rPr>
        <w:t xml:space="preserve">Rec. </w:t>
      </w:r>
    </w:fldSimple>
    <w:r>
      <w:rPr>
        <w:b/>
        <w:bCs/>
      </w:rPr>
      <w:t xml:space="preserve"> </w:t>
    </w:r>
    <w:r w:rsidR="006870AA">
      <w:rPr>
        <w:b/>
        <w:bCs/>
      </w:rPr>
      <w:fldChar w:fldCharType="begin"/>
    </w:r>
    <w:r>
      <w:rPr>
        <w:b/>
        <w:bCs/>
      </w:rPr>
      <w:instrText>styleref href</w:instrText>
    </w:r>
    <w:r w:rsidR="006870AA">
      <w:rPr>
        <w:b/>
        <w:bCs/>
      </w:rPr>
      <w:fldChar w:fldCharType="separate"/>
    </w:r>
    <w:r w:rsidR="00DF01E1">
      <w:rPr>
        <w:b/>
        <w:bCs/>
        <w:noProof/>
      </w:rPr>
      <w:t>UIT-R  M.2114-0</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1E8" w:rsidRDefault="00CA41E8" w:rsidP="00526F63">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D547E">
      <w:rPr>
        <w:rStyle w:val="PageNumber"/>
        <w:b/>
        <w:bCs/>
        <w:noProof/>
      </w:rPr>
      <w:t>2</w:t>
    </w:r>
    <w:r>
      <w:rPr>
        <w:rStyle w:val="PageNumber"/>
        <w:b/>
        <w:bCs/>
      </w:rPr>
      <w:fldChar w:fldCharType="end"/>
    </w:r>
    <w:r w:rsidRPr="00FC42AF">
      <w:tab/>
    </w:r>
    <w:r>
      <w:fldChar w:fldCharType="begin"/>
    </w:r>
    <w:r>
      <w:instrText xml:space="preserve"> DOCPROPERTY "Header" \* MERGEFORMAT </w:instrText>
    </w:r>
    <w:r>
      <w:fldChar w:fldCharType="separate"/>
    </w:r>
    <w:r w:rsidR="00DF01E1" w:rsidRPr="00DF01E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D547E">
      <w:rPr>
        <w:b/>
        <w:bCs/>
        <w:noProof/>
      </w:rPr>
      <w:t>UIT-R  M.2114-0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1E8" w:rsidRDefault="00CA41E8" w:rsidP="003423BC">
    <w:pPr>
      <w:tabs>
        <w:tab w:val="clear" w:pos="794"/>
        <w:tab w:val="clear" w:pos="1191"/>
        <w:tab w:val="clear" w:pos="1588"/>
        <w:tab w:val="clear" w:pos="1985"/>
        <w:tab w:val="center" w:pos="4848"/>
        <w:tab w:val="center" w:pos="9696"/>
      </w:tabs>
      <w:jc w:val="left"/>
    </w:pPr>
    <w:r w:rsidRPr="00FC42AF">
      <w:tab/>
    </w:r>
    <w:r>
      <w:fldChar w:fldCharType="begin"/>
    </w:r>
    <w:r>
      <w:instrText xml:space="preserve"> DOCPROPERTY "Header" \* MERGEFORMAT </w:instrText>
    </w:r>
    <w:r>
      <w:fldChar w:fldCharType="separate"/>
    </w:r>
    <w:r w:rsidR="00DF01E1" w:rsidRPr="00DF01E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F01E1">
      <w:rPr>
        <w:b/>
        <w:bCs/>
        <w:noProof/>
      </w:rPr>
      <w:t>UIT-R  M.2114-0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F01E1">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1E8" w:rsidRDefault="00CA41E8" w:rsidP="00526F63">
    <w:pPr>
      <w:tabs>
        <w:tab w:val="clear" w:pos="794"/>
        <w:tab w:val="clear" w:pos="1191"/>
        <w:tab w:val="clear" w:pos="1588"/>
        <w:tab w:val="clear" w:pos="1985"/>
        <w:tab w:val="center" w:pos="4848"/>
        <w:tab w:val="center" w:pos="9696"/>
      </w:tabs>
      <w:jc w:val="left"/>
    </w:pPr>
    <w:r w:rsidRPr="00FC42AF">
      <w:tab/>
    </w:r>
    <w:r>
      <w:fldChar w:fldCharType="begin"/>
    </w:r>
    <w:r>
      <w:instrText xml:space="preserve"> DOCPROPERTY "Header" \* MERGEFORMAT </w:instrText>
    </w:r>
    <w:r>
      <w:fldChar w:fldCharType="separate"/>
    </w:r>
    <w:r w:rsidR="00DF01E1" w:rsidRPr="00DF01E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F01E1">
      <w:rPr>
        <w:b/>
        <w:bCs/>
        <w:noProof/>
      </w:rPr>
      <w:t>UIT-R  M.2114-0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F01E1">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0D2AB6" w:rsidRDefault="006870AA" w:rsidP="000D2AB6">
    <w:pPr>
      <w:tabs>
        <w:tab w:val="clear" w:pos="794"/>
        <w:tab w:val="clear" w:pos="1191"/>
        <w:tab w:val="clear" w:pos="1588"/>
        <w:tab w:val="clear" w:pos="1985"/>
        <w:tab w:val="center" w:pos="7230"/>
      </w:tabs>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DF01E1">
      <w:rPr>
        <w:rStyle w:val="PageNumber"/>
        <w:b/>
        <w:bCs/>
        <w:noProof/>
        <w:lang w:val="en-US"/>
      </w:rPr>
      <w:t>6</w:t>
    </w:r>
    <w:r>
      <w:rPr>
        <w:rStyle w:val="PageNumber"/>
        <w:b/>
        <w:bCs/>
      </w:rPr>
      <w:fldChar w:fldCharType="end"/>
    </w:r>
    <w:r w:rsidR="00607D68">
      <w:rPr>
        <w:lang w:val="en-US"/>
      </w:rPr>
      <w:tab/>
    </w:r>
    <w:r w:rsidR="0072064A">
      <w:fldChar w:fldCharType="begin"/>
    </w:r>
    <w:r w:rsidR="0072064A">
      <w:instrText xml:space="preserve"> DOCPROPERTY "Header" \* MERGEFORMAT </w:instrText>
    </w:r>
    <w:r w:rsidR="0072064A">
      <w:fldChar w:fldCharType="separate"/>
    </w:r>
    <w:r w:rsidR="00DF01E1" w:rsidRPr="00DF01E1">
      <w:rPr>
        <w:b/>
        <w:bCs/>
        <w:lang w:val="en-US"/>
      </w:rPr>
      <w:t xml:space="preserve">Rec. </w:t>
    </w:r>
    <w:r w:rsidR="0072064A">
      <w:rPr>
        <w:b/>
        <w:bCs/>
        <w:lang w:val="en-US"/>
      </w:rPr>
      <w:fldChar w:fldCharType="end"/>
    </w:r>
    <w:r w:rsidR="00607D68">
      <w:rPr>
        <w:b/>
        <w:bCs/>
      </w:rPr>
      <w:t xml:space="preserve"> </w:t>
    </w:r>
    <w:r>
      <w:rPr>
        <w:b/>
        <w:bCs/>
      </w:rPr>
      <w:fldChar w:fldCharType="begin"/>
    </w:r>
    <w:r w:rsidR="00607D68">
      <w:rPr>
        <w:b/>
        <w:bCs/>
        <w:lang w:val="en-US"/>
      </w:rPr>
      <w:instrText>styleref href</w:instrText>
    </w:r>
    <w:r>
      <w:rPr>
        <w:b/>
        <w:bCs/>
      </w:rPr>
      <w:fldChar w:fldCharType="separate"/>
    </w:r>
    <w:r w:rsidR="00DF01E1">
      <w:rPr>
        <w:b/>
        <w:bCs/>
        <w:noProof/>
      </w:rPr>
      <w:t>UIT-R  M.2114-0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0D2AB6" w:rsidRDefault="00F32218" w:rsidP="00E84049">
    <w:pPr>
      <w:pStyle w:val="Header"/>
      <w:tabs>
        <w:tab w:val="clear" w:pos="4848"/>
        <w:tab w:val="clear" w:pos="9696"/>
        <w:tab w:val="center" w:pos="7230"/>
        <w:tab w:val="right" w:pos="14459"/>
      </w:tabs>
      <w:jc w:val="left"/>
      <w:rPr>
        <w:b/>
        <w:bCs/>
      </w:rPr>
    </w:pPr>
    <w:r>
      <w:tab/>
    </w:r>
    <w:r w:rsidR="0072064A">
      <w:fldChar w:fldCharType="begin"/>
    </w:r>
    <w:r w:rsidR="0072064A">
      <w:instrText xml:space="preserve"> DOCPROPERTY "Header" \* MERGEFORMAT </w:instrText>
    </w:r>
    <w:r w:rsidR="0072064A">
      <w:fldChar w:fldCharType="separate"/>
    </w:r>
    <w:r w:rsidR="00DF01E1" w:rsidRPr="00DF01E1">
      <w:rPr>
        <w:b/>
        <w:bCs/>
      </w:rPr>
      <w:t xml:space="preserve">Rec. </w:t>
    </w:r>
    <w:r w:rsidR="0072064A">
      <w:rPr>
        <w:b/>
        <w:bCs/>
      </w:rPr>
      <w:fldChar w:fldCharType="end"/>
    </w:r>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DF01E1">
      <w:rPr>
        <w:b/>
        <w:bCs/>
        <w:noProof/>
      </w:rPr>
      <w:t>UIT-R  M.2114-0</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DF01E1">
      <w:rPr>
        <w:rStyle w:val="PageNumber"/>
        <w:b/>
        <w:bCs/>
        <w:noProof/>
      </w:rPr>
      <w:t>5</w:t>
    </w:r>
    <w:r w:rsidRPr="00F32218">
      <w:rPr>
        <w:rStyle w:val="PageNumbe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085E0F"/>
    <w:rsid w:val="000C7703"/>
    <w:rsid w:val="000D2AB6"/>
    <w:rsid w:val="000D7BEB"/>
    <w:rsid w:val="001B26B3"/>
    <w:rsid w:val="001B2F46"/>
    <w:rsid w:val="001B395D"/>
    <w:rsid w:val="0021735B"/>
    <w:rsid w:val="00246E41"/>
    <w:rsid w:val="002D76C4"/>
    <w:rsid w:val="00383195"/>
    <w:rsid w:val="00410F5B"/>
    <w:rsid w:val="00427ED9"/>
    <w:rsid w:val="004E478F"/>
    <w:rsid w:val="004E4FBE"/>
    <w:rsid w:val="00502EA3"/>
    <w:rsid w:val="00567624"/>
    <w:rsid w:val="00574749"/>
    <w:rsid w:val="00607D68"/>
    <w:rsid w:val="00616F70"/>
    <w:rsid w:val="006870AA"/>
    <w:rsid w:val="006F3D6E"/>
    <w:rsid w:val="007172BA"/>
    <w:rsid w:val="0072064A"/>
    <w:rsid w:val="0076082A"/>
    <w:rsid w:val="008B5064"/>
    <w:rsid w:val="008C67E6"/>
    <w:rsid w:val="00906075"/>
    <w:rsid w:val="00982F3A"/>
    <w:rsid w:val="00A07AEB"/>
    <w:rsid w:val="00A6617B"/>
    <w:rsid w:val="00A80825"/>
    <w:rsid w:val="00AB0DC8"/>
    <w:rsid w:val="00B42F17"/>
    <w:rsid w:val="00B44E24"/>
    <w:rsid w:val="00BD547E"/>
    <w:rsid w:val="00C36A75"/>
    <w:rsid w:val="00C411AF"/>
    <w:rsid w:val="00CA41E8"/>
    <w:rsid w:val="00CB1354"/>
    <w:rsid w:val="00CF7F63"/>
    <w:rsid w:val="00D131B8"/>
    <w:rsid w:val="00D33FA3"/>
    <w:rsid w:val="00D4362D"/>
    <w:rsid w:val="00DE120B"/>
    <w:rsid w:val="00DF01E1"/>
    <w:rsid w:val="00DF4176"/>
    <w:rsid w:val="00DF4734"/>
    <w:rsid w:val="00E704B6"/>
    <w:rsid w:val="00E84049"/>
    <w:rsid w:val="00ED6A57"/>
    <w:rsid w:val="00EE743D"/>
    <w:rsid w:val="00F32218"/>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B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D7BEB"/>
    <w:pPr>
      <w:keepNext/>
      <w:keepLines/>
      <w:spacing w:before="480"/>
      <w:ind w:left="794" w:hanging="794"/>
      <w:outlineLvl w:val="0"/>
    </w:pPr>
    <w:rPr>
      <w:b/>
    </w:rPr>
  </w:style>
  <w:style w:type="paragraph" w:styleId="Heading2">
    <w:name w:val="heading 2"/>
    <w:basedOn w:val="Heading1"/>
    <w:next w:val="Normal"/>
    <w:link w:val="Heading2Char"/>
    <w:qFormat/>
    <w:rsid w:val="000D7BEB"/>
    <w:pPr>
      <w:spacing w:before="320"/>
      <w:outlineLvl w:val="1"/>
    </w:pPr>
  </w:style>
  <w:style w:type="paragraph" w:styleId="Heading3">
    <w:name w:val="heading 3"/>
    <w:basedOn w:val="Heading1"/>
    <w:next w:val="Normal"/>
    <w:qFormat/>
    <w:rsid w:val="000D7BEB"/>
    <w:pPr>
      <w:spacing w:before="200"/>
      <w:outlineLvl w:val="2"/>
    </w:pPr>
  </w:style>
  <w:style w:type="paragraph" w:styleId="Heading4">
    <w:name w:val="heading 4"/>
    <w:basedOn w:val="Heading3"/>
    <w:next w:val="Normal"/>
    <w:qFormat/>
    <w:rsid w:val="000D7BEB"/>
    <w:pPr>
      <w:tabs>
        <w:tab w:val="clear" w:pos="794"/>
        <w:tab w:val="left" w:pos="992"/>
      </w:tabs>
      <w:ind w:left="992" w:hanging="992"/>
      <w:outlineLvl w:val="3"/>
    </w:pPr>
  </w:style>
  <w:style w:type="paragraph" w:styleId="Heading5">
    <w:name w:val="heading 5"/>
    <w:basedOn w:val="Heading4"/>
    <w:next w:val="Normal"/>
    <w:qFormat/>
    <w:rsid w:val="000D7BEB"/>
    <w:pPr>
      <w:outlineLvl w:val="4"/>
    </w:pPr>
  </w:style>
  <w:style w:type="paragraph" w:styleId="Heading6">
    <w:name w:val="heading 6"/>
    <w:basedOn w:val="Heading4"/>
    <w:next w:val="Normal"/>
    <w:qFormat/>
    <w:rsid w:val="000D7BEB"/>
    <w:pPr>
      <w:tabs>
        <w:tab w:val="clear" w:pos="992"/>
        <w:tab w:val="clear" w:pos="1191"/>
      </w:tabs>
      <w:ind w:left="1588" w:hanging="1588"/>
      <w:outlineLvl w:val="5"/>
    </w:pPr>
  </w:style>
  <w:style w:type="paragraph" w:styleId="Heading7">
    <w:name w:val="heading 7"/>
    <w:basedOn w:val="Heading6"/>
    <w:next w:val="Normal"/>
    <w:qFormat/>
    <w:rsid w:val="000D7BEB"/>
    <w:pPr>
      <w:outlineLvl w:val="6"/>
    </w:pPr>
  </w:style>
  <w:style w:type="paragraph" w:styleId="Heading8">
    <w:name w:val="heading 8"/>
    <w:basedOn w:val="Heading6"/>
    <w:next w:val="Normal"/>
    <w:qFormat/>
    <w:rsid w:val="000D7BEB"/>
    <w:pPr>
      <w:outlineLvl w:val="7"/>
    </w:pPr>
  </w:style>
  <w:style w:type="paragraph" w:styleId="Heading9">
    <w:name w:val="heading 9"/>
    <w:basedOn w:val="Heading6"/>
    <w:next w:val="Normal"/>
    <w:qFormat/>
    <w:rsid w:val="000D7BEB"/>
    <w:pPr>
      <w:jc w:val="left"/>
      <w:outlineLvl w:val="8"/>
    </w:pPr>
  </w:style>
  <w:style w:type="character" w:default="1" w:styleId="DefaultParagraphFont">
    <w:name w:val="Default Paragraph Font"/>
    <w:uiPriority w:val="1"/>
    <w:semiHidden/>
    <w:unhideWhenUsed/>
    <w:rsid w:val="000D7BE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D7BEB"/>
  </w:style>
  <w:style w:type="paragraph" w:styleId="Header">
    <w:name w:val="header"/>
    <w:basedOn w:val="Normal"/>
    <w:link w:val="HeaderChar"/>
    <w:rsid w:val="000D7BE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D7BE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D7BEB"/>
  </w:style>
  <w:style w:type="paragraph" w:customStyle="1" w:styleId="Headingb">
    <w:name w:val="Heading_b"/>
    <w:basedOn w:val="Heading3"/>
    <w:next w:val="Normal"/>
    <w:link w:val="HeadingbChar"/>
    <w:rsid w:val="000D7BEB"/>
    <w:pPr>
      <w:spacing w:before="160"/>
      <w:ind w:left="0" w:firstLine="0"/>
      <w:outlineLvl w:val="9"/>
    </w:pPr>
  </w:style>
  <w:style w:type="paragraph" w:customStyle="1" w:styleId="Headingi">
    <w:name w:val="Heading_i"/>
    <w:basedOn w:val="Heading3"/>
    <w:next w:val="Normal"/>
    <w:rsid w:val="000D7BEB"/>
    <w:pPr>
      <w:spacing w:before="160"/>
      <w:ind w:left="0" w:firstLine="0"/>
    </w:pPr>
    <w:rPr>
      <w:b w:val="0"/>
      <w:i/>
    </w:rPr>
  </w:style>
  <w:style w:type="character" w:customStyle="1" w:styleId="href">
    <w:name w:val="href"/>
    <w:basedOn w:val="DefaultParagraphFont"/>
    <w:rsid w:val="000D7BEB"/>
  </w:style>
  <w:style w:type="paragraph" w:customStyle="1" w:styleId="enumlev1">
    <w:name w:val="enumlev1"/>
    <w:basedOn w:val="Normal"/>
    <w:rsid w:val="000D7BEB"/>
    <w:pPr>
      <w:spacing w:before="80"/>
      <w:ind w:left="794" w:hanging="794"/>
    </w:pPr>
  </w:style>
  <w:style w:type="paragraph" w:customStyle="1" w:styleId="enumlev2">
    <w:name w:val="enumlev2"/>
    <w:basedOn w:val="enumlev1"/>
    <w:rsid w:val="000D7BEB"/>
    <w:pPr>
      <w:ind w:left="1191" w:hanging="397"/>
    </w:pPr>
  </w:style>
  <w:style w:type="paragraph" w:customStyle="1" w:styleId="enumlev3">
    <w:name w:val="enumlev3"/>
    <w:basedOn w:val="enumlev2"/>
    <w:rsid w:val="000D7BEB"/>
    <w:pPr>
      <w:ind w:left="1588"/>
    </w:pPr>
  </w:style>
  <w:style w:type="paragraph" w:customStyle="1" w:styleId="Normalaftertitle">
    <w:name w:val="Normal_after_title"/>
    <w:basedOn w:val="Normal"/>
    <w:next w:val="Normal"/>
    <w:rsid w:val="000D7BEB"/>
    <w:pPr>
      <w:spacing w:before="320"/>
    </w:pPr>
  </w:style>
  <w:style w:type="paragraph" w:customStyle="1" w:styleId="Note">
    <w:name w:val="Note"/>
    <w:basedOn w:val="Normal"/>
    <w:rsid w:val="000D7BE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D7BE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D7BEB"/>
    <w:pPr>
      <w:spacing w:before="240"/>
    </w:pPr>
    <w:rPr>
      <w:sz w:val="22"/>
      <w:lang w:val="es-ES_tradnl"/>
    </w:rPr>
  </w:style>
  <w:style w:type="paragraph" w:customStyle="1" w:styleId="Recref">
    <w:name w:val="Rec_ref"/>
    <w:basedOn w:val="Normal"/>
    <w:next w:val="Recdate"/>
    <w:rsid w:val="000D7BEB"/>
    <w:pPr>
      <w:jc w:val="center"/>
    </w:pPr>
  </w:style>
  <w:style w:type="paragraph" w:customStyle="1" w:styleId="Recdate">
    <w:name w:val="Rec_date"/>
    <w:basedOn w:val="Recref"/>
    <w:next w:val="Normalaftertitle"/>
    <w:rsid w:val="000D7BEB"/>
    <w:pPr>
      <w:jc w:val="right"/>
    </w:pPr>
  </w:style>
  <w:style w:type="paragraph" w:customStyle="1" w:styleId="AnnexNoTitle">
    <w:name w:val="Annex_NoTitle"/>
    <w:basedOn w:val="Normal"/>
    <w:next w:val="Normalaftertitle"/>
    <w:rsid w:val="000D7BEB"/>
    <w:pPr>
      <w:keepNext/>
      <w:keepLines/>
      <w:spacing w:before="480" w:after="80"/>
      <w:jc w:val="center"/>
    </w:pPr>
    <w:rPr>
      <w:b/>
      <w:sz w:val="28"/>
    </w:rPr>
  </w:style>
  <w:style w:type="paragraph" w:customStyle="1" w:styleId="AppendixNoTitle">
    <w:name w:val="Appendix_NoTitle"/>
    <w:basedOn w:val="AnnexNoTitle"/>
    <w:next w:val="Normal"/>
    <w:rsid w:val="000D7BEB"/>
  </w:style>
  <w:style w:type="paragraph" w:customStyle="1" w:styleId="Tablefin">
    <w:name w:val="Table_fin"/>
    <w:basedOn w:val="Normal"/>
    <w:next w:val="Normal"/>
    <w:rsid w:val="000D7BEB"/>
    <w:pPr>
      <w:spacing w:before="0"/>
    </w:pPr>
    <w:rPr>
      <w:sz w:val="20"/>
      <w:lang w:val="en-GB"/>
    </w:rPr>
  </w:style>
  <w:style w:type="paragraph" w:customStyle="1" w:styleId="Tablehead">
    <w:name w:val="Table_head"/>
    <w:basedOn w:val="Normal"/>
    <w:next w:val="Normal"/>
    <w:link w:val="TableheadChar"/>
    <w:rsid w:val="000D7BE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D7B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D7BEB"/>
    <w:pPr>
      <w:keepNext/>
      <w:spacing w:before="360" w:after="120"/>
      <w:jc w:val="center"/>
    </w:pPr>
  </w:style>
  <w:style w:type="paragraph" w:customStyle="1" w:styleId="Tabletext">
    <w:name w:val="Table_text"/>
    <w:basedOn w:val="Normal"/>
    <w:link w:val="TabletextChar"/>
    <w:rsid w:val="000D7B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D7BEB"/>
    <w:pPr>
      <w:tabs>
        <w:tab w:val="clear" w:pos="1191"/>
        <w:tab w:val="clear" w:pos="1588"/>
        <w:tab w:val="clear" w:pos="1985"/>
        <w:tab w:val="center" w:pos="4820"/>
        <w:tab w:val="right" w:pos="9639"/>
      </w:tabs>
    </w:pPr>
  </w:style>
  <w:style w:type="paragraph" w:customStyle="1" w:styleId="Equationlegend">
    <w:name w:val="Equation_legend"/>
    <w:basedOn w:val="NormalIndent"/>
    <w:rsid w:val="000D7BE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D7BEB"/>
    <w:pPr>
      <w:ind w:left="794"/>
    </w:pPr>
  </w:style>
  <w:style w:type="paragraph" w:customStyle="1" w:styleId="Figurelegend">
    <w:name w:val="Figure_legend"/>
    <w:basedOn w:val="Normal"/>
    <w:rsid w:val="000D7BE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D7BEB"/>
    <w:pPr>
      <w:keepNext/>
      <w:keepLines/>
      <w:spacing w:before="480" w:after="80"/>
      <w:jc w:val="center"/>
    </w:pPr>
    <w:rPr>
      <w:caps/>
      <w:sz w:val="18"/>
    </w:rPr>
  </w:style>
  <w:style w:type="paragraph" w:customStyle="1" w:styleId="tocpart">
    <w:name w:val="tocpart"/>
    <w:basedOn w:val="Normal"/>
    <w:rsid w:val="000D7BE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D7BEB"/>
    <w:pPr>
      <w:keepNext/>
      <w:keepLines/>
      <w:spacing w:before="480"/>
      <w:jc w:val="center"/>
    </w:pPr>
    <w:rPr>
      <w:sz w:val="28"/>
    </w:rPr>
  </w:style>
  <w:style w:type="paragraph" w:customStyle="1" w:styleId="Arttitle">
    <w:name w:val="Art_title"/>
    <w:basedOn w:val="Normal"/>
    <w:next w:val="Normalaftertitle"/>
    <w:rsid w:val="000D7BEB"/>
    <w:pPr>
      <w:keepNext/>
      <w:keepLines/>
      <w:spacing w:before="240"/>
      <w:jc w:val="center"/>
    </w:pPr>
    <w:rPr>
      <w:b/>
      <w:sz w:val="28"/>
    </w:rPr>
  </w:style>
  <w:style w:type="paragraph" w:customStyle="1" w:styleId="Blanc">
    <w:name w:val="Blanc"/>
    <w:basedOn w:val="Normal"/>
    <w:next w:val="Tabletext"/>
    <w:rsid w:val="000D7BE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D7BE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D7BEB"/>
    <w:pPr>
      <w:keepNext/>
      <w:keepLines/>
      <w:spacing w:before="160"/>
      <w:ind w:left="794"/>
    </w:pPr>
    <w:rPr>
      <w:i/>
    </w:rPr>
  </w:style>
  <w:style w:type="paragraph" w:customStyle="1" w:styleId="ChapNo">
    <w:name w:val="Chap_No"/>
    <w:basedOn w:val="ArtNo"/>
    <w:next w:val="Chaptitle"/>
    <w:rsid w:val="000D7BEB"/>
    <w:rPr>
      <w:b/>
    </w:rPr>
  </w:style>
  <w:style w:type="paragraph" w:customStyle="1" w:styleId="Chaptitle">
    <w:name w:val="Chap_title"/>
    <w:basedOn w:val="Arttitle"/>
    <w:next w:val="Normalaftertitle"/>
    <w:rsid w:val="000D7BEB"/>
  </w:style>
  <w:style w:type="character" w:styleId="FootnoteReference">
    <w:name w:val="footnote reference"/>
    <w:basedOn w:val="DefaultParagraphFont"/>
    <w:semiHidden/>
    <w:rsid w:val="000D7BEB"/>
    <w:rPr>
      <w:position w:val="6"/>
      <w:sz w:val="18"/>
    </w:rPr>
  </w:style>
  <w:style w:type="paragraph" w:styleId="FootnoteText">
    <w:name w:val="footnote text"/>
    <w:basedOn w:val="Normal"/>
    <w:semiHidden/>
    <w:rsid w:val="000D7BEB"/>
    <w:pPr>
      <w:keepLines/>
      <w:tabs>
        <w:tab w:val="left" w:pos="255"/>
      </w:tabs>
      <w:ind w:left="255" w:hanging="255"/>
    </w:pPr>
    <w:rPr>
      <w:sz w:val="22"/>
    </w:rPr>
  </w:style>
  <w:style w:type="paragraph" w:styleId="Index1">
    <w:name w:val="index 1"/>
    <w:basedOn w:val="Normal"/>
    <w:next w:val="Normal"/>
    <w:semiHidden/>
    <w:rsid w:val="000D7BEB"/>
  </w:style>
  <w:style w:type="paragraph" w:styleId="Index2">
    <w:name w:val="index 2"/>
    <w:basedOn w:val="Normal"/>
    <w:next w:val="Normal"/>
    <w:semiHidden/>
    <w:rsid w:val="000D7BEB"/>
    <w:pPr>
      <w:ind w:left="283"/>
    </w:pPr>
  </w:style>
  <w:style w:type="paragraph" w:styleId="Index3">
    <w:name w:val="index 3"/>
    <w:basedOn w:val="Normal"/>
    <w:next w:val="Normal"/>
    <w:semiHidden/>
    <w:rsid w:val="000D7BEB"/>
    <w:pPr>
      <w:ind w:left="566"/>
    </w:pPr>
  </w:style>
  <w:style w:type="paragraph" w:styleId="IndexHeading">
    <w:name w:val="index heading"/>
    <w:basedOn w:val="Normal"/>
    <w:next w:val="Index1"/>
    <w:semiHidden/>
    <w:rsid w:val="000D7BEB"/>
  </w:style>
  <w:style w:type="paragraph" w:customStyle="1" w:styleId="Line">
    <w:name w:val="Line"/>
    <w:basedOn w:val="Normal"/>
    <w:next w:val="Normal"/>
    <w:rsid w:val="000D7BE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D7BE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D7BEB"/>
  </w:style>
  <w:style w:type="paragraph" w:customStyle="1" w:styleId="Partref">
    <w:name w:val="Part_ref"/>
    <w:basedOn w:val="Normal"/>
    <w:next w:val="Normal"/>
    <w:rsid w:val="000D7BEB"/>
    <w:pPr>
      <w:keepNext/>
      <w:keepLines/>
      <w:spacing w:after="280"/>
      <w:jc w:val="center"/>
    </w:pPr>
  </w:style>
  <w:style w:type="paragraph" w:customStyle="1" w:styleId="Parttitle">
    <w:name w:val="Part_title"/>
    <w:basedOn w:val="Normal"/>
    <w:next w:val="Normalaftertitle"/>
    <w:rsid w:val="000D7BE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D7BEB"/>
  </w:style>
  <w:style w:type="paragraph" w:customStyle="1" w:styleId="QuestionNo">
    <w:name w:val="Question_No"/>
    <w:basedOn w:val="RecNo"/>
    <w:next w:val="Normal"/>
    <w:rsid w:val="000D7BEB"/>
  </w:style>
  <w:style w:type="paragraph" w:customStyle="1" w:styleId="Questionref">
    <w:name w:val="Question_ref"/>
    <w:basedOn w:val="Recref"/>
    <w:next w:val="Questiondate"/>
    <w:rsid w:val="000D7BEB"/>
  </w:style>
  <w:style w:type="paragraph" w:customStyle="1" w:styleId="Questiontitle">
    <w:name w:val="Question_title"/>
    <w:basedOn w:val="Normal"/>
    <w:next w:val="Questionref"/>
    <w:rsid w:val="000D7BEB"/>
  </w:style>
  <w:style w:type="paragraph" w:customStyle="1" w:styleId="Reftext">
    <w:name w:val="Ref_text"/>
    <w:basedOn w:val="Normal"/>
    <w:rsid w:val="000D7BEB"/>
    <w:pPr>
      <w:ind w:left="794" w:hanging="794"/>
    </w:pPr>
    <w:rPr>
      <w:sz w:val="22"/>
    </w:rPr>
  </w:style>
  <w:style w:type="paragraph" w:customStyle="1" w:styleId="Reftitle">
    <w:name w:val="Ref_title"/>
    <w:basedOn w:val="Normal"/>
    <w:next w:val="Reftext"/>
    <w:rsid w:val="000D7BE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D7BEB"/>
  </w:style>
  <w:style w:type="paragraph" w:customStyle="1" w:styleId="RepNo">
    <w:name w:val="Rep_No"/>
    <w:basedOn w:val="RecNo"/>
    <w:next w:val="Reptitle"/>
    <w:rsid w:val="000D7BEB"/>
  </w:style>
  <w:style w:type="paragraph" w:customStyle="1" w:styleId="Repref">
    <w:name w:val="Rep_ref"/>
    <w:basedOn w:val="Recref"/>
    <w:next w:val="Repdate"/>
    <w:rsid w:val="000D7BEB"/>
  </w:style>
  <w:style w:type="paragraph" w:customStyle="1" w:styleId="Reptitle">
    <w:name w:val="Rep_title"/>
    <w:basedOn w:val="Rectitle"/>
    <w:next w:val="Repref"/>
    <w:rsid w:val="000D7BEB"/>
  </w:style>
  <w:style w:type="paragraph" w:customStyle="1" w:styleId="Resdate">
    <w:name w:val="Res_date"/>
    <w:basedOn w:val="Recdate"/>
    <w:next w:val="Normalaftertitle"/>
    <w:rsid w:val="000D7BEB"/>
  </w:style>
  <w:style w:type="paragraph" w:customStyle="1" w:styleId="ResNo">
    <w:name w:val="Res_No"/>
    <w:basedOn w:val="RecNo"/>
    <w:next w:val="Restitle"/>
    <w:rsid w:val="000D7BEB"/>
  </w:style>
  <w:style w:type="paragraph" w:customStyle="1" w:styleId="Resref">
    <w:name w:val="Res_ref"/>
    <w:basedOn w:val="Recref"/>
    <w:next w:val="Resdate"/>
    <w:rsid w:val="000D7BEB"/>
  </w:style>
  <w:style w:type="paragraph" w:customStyle="1" w:styleId="Restitle">
    <w:name w:val="Res_title"/>
    <w:basedOn w:val="Normal"/>
    <w:next w:val="Resref"/>
    <w:rsid w:val="000D7BEB"/>
    <w:pPr>
      <w:spacing w:before="240"/>
      <w:jc w:val="center"/>
    </w:pPr>
    <w:rPr>
      <w:b/>
      <w:sz w:val="28"/>
    </w:rPr>
  </w:style>
  <w:style w:type="paragraph" w:customStyle="1" w:styleId="SectionNo">
    <w:name w:val="Section_No"/>
    <w:basedOn w:val="Normal"/>
    <w:next w:val="Normal"/>
    <w:rsid w:val="000D7BEB"/>
  </w:style>
  <w:style w:type="paragraph" w:customStyle="1" w:styleId="Sectiontitle">
    <w:name w:val="Section_title"/>
    <w:basedOn w:val="Normal"/>
    <w:next w:val="Normalaftertitle"/>
    <w:rsid w:val="000D7BE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D7BEB"/>
    <w:pPr>
      <w:tabs>
        <w:tab w:val="clear" w:pos="794"/>
        <w:tab w:val="clear" w:pos="1191"/>
        <w:tab w:val="clear" w:pos="1588"/>
        <w:tab w:val="clear" w:pos="1985"/>
        <w:tab w:val="right" w:pos="9611"/>
      </w:tabs>
    </w:pPr>
    <w:rPr>
      <w:i/>
    </w:rPr>
  </w:style>
  <w:style w:type="paragraph" w:styleId="TOC1">
    <w:name w:val="toc 1"/>
    <w:basedOn w:val="Normal"/>
    <w:rsid w:val="000D7BE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D7BEB"/>
    <w:pPr>
      <w:tabs>
        <w:tab w:val="clear" w:pos="567"/>
        <w:tab w:val="left" w:pos="1276"/>
      </w:tabs>
      <w:spacing w:before="160"/>
      <w:ind w:left="1276" w:hanging="709"/>
    </w:pPr>
  </w:style>
  <w:style w:type="paragraph" w:styleId="TOC3">
    <w:name w:val="toc 3"/>
    <w:basedOn w:val="TOC2"/>
    <w:semiHidden/>
    <w:rsid w:val="000D7BEB"/>
    <w:pPr>
      <w:tabs>
        <w:tab w:val="clear" w:pos="1276"/>
        <w:tab w:val="left" w:pos="2155"/>
      </w:tabs>
      <w:ind w:left="2155" w:hanging="879"/>
    </w:pPr>
  </w:style>
  <w:style w:type="paragraph" w:styleId="TOC4">
    <w:name w:val="toc 4"/>
    <w:basedOn w:val="TOC3"/>
    <w:semiHidden/>
    <w:rsid w:val="000D7BEB"/>
    <w:pPr>
      <w:tabs>
        <w:tab w:val="left" w:pos="3261"/>
      </w:tabs>
      <w:spacing w:before="80"/>
      <w:ind w:left="3261" w:hanging="993"/>
    </w:pPr>
  </w:style>
  <w:style w:type="paragraph" w:styleId="TOC5">
    <w:name w:val="toc 5"/>
    <w:basedOn w:val="TOC4"/>
    <w:semiHidden/>
    <w:rsid w:val="000D7BEB"/>
  </w:style>
  <w:style w:type="paragraph" w:styleId="TOC6">
    <w:name w:val="toc 6"/>
    <w:basedOn w:val="TOC4"/>
    <w:semiHidden/>
    <w:rsid w:val="000D7BEB"/>
  </w:style>
  <w:style w:type="paragraph" w:styleId="TOC7">
    <w:name w:val="toc 7"/>
    <w:basedOn w:val="TOC4"/>
    <w:semiHidden/>
    <w:rsid w:val="000D7BEB"/>
  </w:style>
  <w:style w:type="paragraph" w:styleId="TOC8">
    <w:name w:val="toc 8"/>
    <w:basedOn w:val="TOC4"/>
    <w:semiHidden/>
    <w:rsid w:val="000D7BEB"/>
  </w:style>
  <w:style w:type="paragraph" w:customStyle="1" w:styleId="Rectitle">
    <w:name w:val="Rec_title"/>
    <w:basedOn w:val="Normal"/>
    <w:next w:val="Recref"/>
    <w:rsid w:val="000D7BEB"/>
    <w:pPr>
      <w:keepNext/>
      <w:keepLines/>
      <w:spacing w:before="240"/>
      <w:jc w:val="center"/>
    </w:pPr>
    <w:rPr>
      <w:b/>
      <w:sz w:val="28"/>
    </w:rPr>
  </w:style>
  <w:style w:type="paragraph" w:customStyle="1" w:styleId="Annexref">
    <w:name w:val="Annex_ref"/>
    <w:basedOn w:val="Normal"/>
    <w:next w:val="Normalaftertitle"/>
    <w:rsid w:val="000D7BEB"/>
    <w:pPr>
      <w:keepNext/>
      <w:keepLines/>
      <w:spacing w:after="280"/>
      <w:jc w:val="center"/>
    </w:pPr>
  </w:style>
  <w:style w:type="paragraph" w:customStyle="1" w:styleId="Appendixref">
    <w:name w:val="Appendix_ref"/>
    <w:basedOn w:val="Annexref"/>
    <w:next w:val="Normalaftertitle"/>
    <w:rsid w:val="000D7BEB"/>
  </w:style>
  <w:style w:type="paragraph" w:customStyle="1" w:styleId="Figuretitle">
    <w:name w:val="Figure_title"/>
    <w:basedOn w:val="Normal"/>
    <w:next w:val="Figure"/>
    <w:rsid w:val="000D7BE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D7BEB"/>
    <w:pPr>
      <w:keepNext/>
      <w:spacing w:before="0" w:after="120"/>
      <w:jc w:val="center"/>
    </w:pPr>
    <w:rPr>
      <w:b/>
    </w:rPr>
  </w:style>
  <w:style w:type="paragraph" w:customStyle="1" w:styleId="Summary">
    <w:name w:val="Summary"/>
    <w:basedOn w:val="Normal"/>
    <w:next w:val="Normalaftertitle"/>
    <w:autoRedefine/>
    <w:rsid w:val="000D7BEB"/>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0D7BEB"/>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D7BEB"/>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link w:val="NormalaftertitleChar"/>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NormalaftertitleChar">
    <w:name w:val="Normal after title Char"/>
    <w:basedOn w:val="DefaultParagraphFont"/>
    <w:link w:val="Normalaftertitle0"/>
    <w:locked/>
    <w:rsid w:val="00CA41E8"/>
    <w:rPr>
      <w:lang w:val="en-GB"/>
    </w:rPr>
  </w:style>
  <w:style w:type="character" w:customStyle="1" w:styleId="CallChar">
    <w:name w:val="Call Char"/>
    <w:link w:val="Call"/>
    <w:locked/>
    <w:rsid w:val="00CA41E8"/>
    <w:rPr>
      <w:i/>
      <w:sz w:val="24"/>
      <w:lang w:val="fr-FR" w:eastAsia="en-US"/>
    </w:rPr>
  </w:style>
  <w:style w:type="character" w:customStyle="1" w:styleId="HeadingbChar">
    <w:name w:val="Heading_b Char"/>
    <w:link w:val="Headingb"/>
    <w:locked/>
    <w:rsid w:val="00CA41E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itu.int/rec/R-REC-M.1851/en" TargetMode="Externa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itu.int/rec/R-REC-M.1851/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9.xml"/><Relationship Id="rId10" Type="http://schemas.openxmlformats.org/officeDocument/2006/relationships/hyperlink" Target="http://www.itu.int/publ/R-REC/es" TargetMode="External"/><Relationship Id="rId19" Type="http://schemas.openxmlformats.org/officeDocument/2006/relationships/hyperlink" Target="http://www.itu.int/rec/R-REC-M.1851/en"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TotalTime>
  <Pages>8</Pages>
  <Words>2589</Words>
  <Characters>14614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17169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12</cp:revision>
  <cp:lastPrinted>2018-05-01T12:58:00Z</cp:lastPrinted>
  <dcterms:created xsi:type="dcterms:W3CDTF">2018-05-01T12:15:00Z</dcterms:created>
  <dcterms:modified xsi:type="dcterms:W3CDTF">2018-05-01T13:26:00Z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