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7A8" w:rsidRPr="00575CB8" w:rsidRDefault="00A637A8" w:rsidP="00A637A8">
      <w:pPr>
        <w:rPr>
          <w:lang w:val="en-US"/>
        </w:rPr>
      </w:pPr>
    </w:p>
    <w:p w:rsidR="00A637A8" w:rsidRDefault="00A637A8" w:rsidP="00A637A8"/>
    <w:p w:rsidR="00A637A8" w:rsidRDefault="00A637A8" w:rsidP="00A637A8"/>
    <w:p w:rsidR="00A637A8" w:rsidRDefault="00A637A8" w:rsidP="00A637A8"/>
    <w:p w:rsidR="00A637A8" w:rsidRDefault="00A637A8" w:rsidP="00A637A8"/>
    <w:p w:rsidR="00A637A8" w:rsidRDefault="00A637A8" w:rsidP="00A637A8"/>
    <w:p w:rsidR="00A637A8" w:rsidRDefault="00A637A8" w:rsidP="00A637A8"/>
    <w:p w:rsidR="00A637A8" w:rsidRDefault="00A637A8" w:rsidP="00A637A8"/>
    <w:p w:rsidR="00A637A8" w:rsidRDefault="00A637A8" w:rsidP="00A637A8"/>
    <w:tbl>
      <w:tblPr>
        <w:tblW w:w="10089" w:type="dxa"/>
        <w:tblLook w:val="01E0" w:firstRow="1" w:lastRow="1" w:firstColumn="1" w:lastColumn="1" w:noHBand="0" w:noVBand="0"/>
      </w:tblPr>
      <w:tblGrid>
        <w:gridCol w:w="10089"/>
      </w:tblGrid>
      <w:tr w:rsidR="00A637A8" w:rsidRPr="003D2CC0" w:rsidTr="0033474B">
        <w:tc>
          <w:tcPr>
            <w:tcW w:w="10089" w:type="dxa"/>
          </w:tcPr>
          <w:p w:rsidR="00A637A8" w:rsidRPr="00A07AEB" w:rsidRDefault="00A637A8" w:rsidP="0033474B">
            <w:pPr>
              <w:spacing w:before="380" w:line="280" w:lineRule="exact"/>
              <w:jc w:val="right"/>
              <w:rPr>
                <w:rFonts w:ascii="Tahoma" w:hAnsi="Tahoma" w:cs="Tahoma"/>
                <w:b/>
                <w:bCs/>
                <w:iCs/>
                <w:color w:val="243285"/>
                <w:sz w:val="32"/>
                <w:szCs w:val="32"/>
                <w:lang w:val="en-US"/>
              </w:rPr>
            </w:pPr>
          </w:p>
          <w:p w:rsidR="00A637A8" w:rsidRPr="00A07AEB" w:rsidRDefault="00A637A8" w:rsidP="00CC69E7">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CC69E7">
              <w:rPr>
                <w:rFonts w:ascii="Tahoma" w:hAnsi="Tahoma" w:cs="Tahoma"/>
                <w:b/>
                <w:bCs/>
                <w:iCs/>
                <w:color w:val="243285"/>
                <w:sz w:val="36"/>
                <w:szCs w:val="36"/>
                <w:lang w:val="es-ES_tradnl"/>
              </w:rPr>
              <w:t>2090-0</w:t>
            </w:r>
          </w:p>
          <w:p w:rsidR="00A637A8" w:rsidRPr="00A07AEB" w:rsidRDefault="00A637A8" w:rsidP="0033474B">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CC69E7">
              <w:rPr>
                <w:rFonts w:ascii="Tahoma" w:hAnsi="Tahoma" w:cs="Tahoma"/>
                <w:b/>
                <w:bCs/>
                <w:iCs/>
                <w:color w:val="243285"/>
                <w:szCs w:val="24"/>
                <w:lang w:val="es-ES_tradnl"/>
              </w:rPr>
              <w:t>10</w:t>
            </w:r>
            <w:r w:rsidRPr="00A07AEB">
              <w:rPr>
                <w:rFonts w:ascii="Tahoma" w:hAnsi="Tahoma" w:cs="Tahoma"/>
                <w:b/>
                <w:bCs/>
                <w:iCs/>
                <w:color w:val="243285"/>
                <w:szCs w:val="24"/>
                <w:lang w:val="es-ES_tradnl"/>
              </w:rPr>
              <w:t>/</w:t>
            </w:r>
            <w:r w:rsidR="00CC69E7">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A637A8" w:rsidRPr="00ED3BC5" w:rsidTr="0033474B">
        <w:tc>
          <w:tcPr>
            <w:tcW w:w="10089" w:type="dxa"/>
          </w:tcPr>
          <w:p w:rsidR="00A637A8" w:rsidRPr="0010336F" w:rsidRDefault="00A637A8" w:rsidP="0033474B">
            <w:pPr>
              <w:spacing w:before="80" w:line="500" w:lineRule="exact"/>
              <w:jc w:val="right"/>
              <w:rPr>
                <w:rFonts w:ascii="Tahoma" w:hAnsi="Tahoma" w:cs="Tahoma"/>
                <w:b/>
                <w:bCs/>
                <w:iCs/>
                <w:color w:val="243285"/>
                <w:sz w:val="44"/>
                <w:szCs w:val="44"/>
                <w:lang w:val="es-ES_tradnl"/>
              </w:rPr>
            </w:pPr>
          </w:p>
          <w:p w:rsidR="00A637A8" w:rsidRPr="0010336F" w:rsidRDefault="00A637A8" w:rsidP="0033474B">
            <w:pPr>
              <w:spacing w:before="80" w:line="500" w:lineRule="exact"/>
              <w:jc w:val="right"/>
              <w:rPr>
                <w:rFonts w:ascii="Tahoma" w:hAnsi="Tahoma" w:cs="Tahoma"/>
                <w:b/>
                <w:bCs/>
                <w:iCs/>
                <w:color w:val="243285"/>
                <w:sz w:val="44"/>
                <w:szCs w:val="44"/>
                <w:lang w:val="es-ES_tradnl"/>
              </w:rPr>
            </w:pPr>
          </w:p>
          <w:p w:rsidR="00A637A8" w:rsidRDefault="00ED3BC5" w:rsidP="00ED3BC5">
            <w:pPr>
              <w:spacing w:before="80" w:line="500" w:lineRule="exact"/>
              <w:jc w:val="right"/>
              <w:rPr>
                <w:rFonts w:ascii="Tahoma" w:hAnsi="Tahoma" w:cs="Tahoma"/>
                <w:b/>
                <w:bCs/>
                <w:color w:val="243285"/>
                <w:sz w:val="44"/>
                <w:szCs w:val="44"/>
                <w:lang w:val="es-ES_tradnl"/>
              </w:rPr>
            </w:pPr>
            <w:r w:rsidRPr="00ED3BC5">
              <w:rPr>
                <w:rFonts w:ascii="Tahoma" w:hAnsi="Tahoma" w:cs="Tahoma"/>
                <w:b/>
                <w:bCs/>
                <w:color w:val="243285"/>
                <w:sz w:val="44"/>
                <w:szCs w:val="44"/>
                <w:lang w:val="es-ES_tradnl"/>
              </w:rPr>
              <w:t xml:space="preserve">Límite de emisiones no deseadas específico de las estaciones móviles IMT que funcionan en la banda de frecuencias 694-790 MHz para facilitar la protección de los servicios existentes en la Región 1 en la banda </w:t>
            </w:r>
            <w:r>
              <w:rPr>
                <w:rFonts w:ascii="Tahoma" w:hAnsi="Tahoma" w:cs="Tahoma"/>
                <w:b/>
                <w:bCs/>
                <w:color w:val="243285"/>
                <w:sz w:val="44"/>
                <w:szCs w:val="44"/>
                <w:lang w:val="es-ES_tradnl"/>
              </w:rPr>
              <w:br/>
            </w:r>
            <w:r w:rsidRPr="00ED3BC5">
              <w:rPr>
                <w:rFonts w:ascii="Tahoma" w:hAnsi="Tahoma" w:cs="Tahoma"/>
                <w:b/>
                <w:bCs/>
                <w:color w:val="243285"/>
                <w:sz w:val="44"/>
                <w:szCs w:val="44"/>
                <w:lang w:val="es-ES_tradnl"/>
              </w:rPr>
              <w:t>de frecuencias 470-694 MHz</w:t>
            </w:r>
          </w:p>
          <w:p w:rsidR="00A637A8" w:rsidRPr="00A07AEB" w:rsidRDefault="00A637A8" w:rsidP="0033474B">
            <w:pPr>
              <w:spacing w:before="80" w:line="500" w:lineRule="exact"/>
              <w:jc w:val="right"/>
              <w:rPr>
                <w:rFonts w:ascii="Tahoma" w:hAnsi="Tahoma" w:cs="Tahoma"/>
                <w:b/>
                <w:bCs/>
                <w:iCs/>
                <w:color w:val="243285"/>
                <w:sz w:val="44"/>
                <w:szCs w:val="44"/>
                <w:lang w:val="es-ES_tradnl"/>
              </w:rPr>
            </w:pPr>
          </w:p>
        </w:tc>
      </w:tr>
      <w:tr w:rsidR="00A637A8" w:rsidRPr="003D2CC0" w:rsidTr="0033474B">
        <w:tc>
          <w:tcPr>
            <w:tcW w:w="10089" w:type="dxa"/>
          </w:tcPr>
          <w:p w:rsidR="00A637A8" w:rsidRPr="00A07AEB" w:rsidRDefault="00A637A8" w:rsidP="0033474B">
            <w:pPr>
              <w:spacing w:before="80" w:line="280" w:lineRule="exact"/>
              <w:ind w:right="640"/>
              <w:rPr>
                <w:rFonts w:ascii="Tahoma" w:hAnsi="Tahoma" w:cs="Tahoma"/>
                <w:b/>
                <w:bCs/>
                <w:iCs/>
                <w:color w:val="243285"/>
                <w:sz w:val="32"/>
                <w:szCs w:val="32"/>
                <w:lang w:val="es-ES_tradnl"/>
              </w:rPr>
            </w:pPr>
          </w:p>
          <w:p w:rsidR="00A637A8" w:rsidRPr="00A07AEB" w:rsidRDefault="00A637A8" w:rsidP="0033474B">
            <w:pPr>
              <w:spacing w:before="80" w:line="280" w:lineRule="exact"/>
              <w:ind w:right="640"/>
              <w:rPr>
                <w:rFonts w:ascii="Tahoma" w:hAnsi="Tahoma" w:cs="Tahoma"/>
                <w:b/>
                <w:bCs/>
                <w:iCs/>
                <w:color w:val="243285"/>
                <w:sz w:val="32"/>
                <w:szCs w:val="32"/>
                <w:lang w:val="es-ES_tradnl"/>
              </w:rPr>
            </w:pPr>
          </w:p>
          <w:p w:rsidR="00A637A8" w:rsidRPr="00A07AEB" w:rsidRDefault="00A637A8" w:rsidP="0033474B">
            <w:pPr>
              <w:spacing w:before="80" w:after="180" w:line="360" w:lineRule="exact"/>
              <w:ind w:right="720"/>
              <w:rPr>
                <w:rFonts w:ascii="Tahoma" w:hAnsi="Tahoma" w:cs="Tahoma"/>
                <w:b/>
                <w:bCs/>
                <w:iCs/>
                <w:color w:val="243285"/>
                <w:sz w:val="36"/>
                <w:szCs w:val="36"/>
                <w:lang w:val="es-ES_tradnl"/>
              </w:rPr>
            </w:pPr>
          </w:p>
          <w:p w:rsidR="00A637A8" w:rsidRPr="00A07AEB" w:rsidRDefault="00A637A8" w:rsidP="0033474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A637A8" w:rsidRPr="00A07AEB" w:rsidRDefault="00A637A8" w:rsidP="0033474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A637A8" w:rsidRPr="0026666F" w:rsidRDefault="00A637A8" w:rsidP="00A637A8">
      <w:pPr>
        <w:spacing w:before="80"/>
        <w:rPr>
          <w:i/>
          <w:sz w:val="22"/>
          <w:lang w:val="es-ES_tradnl"/>
        </w:rPr>
      </w:pPr>
    </w:p>
    <w:p w:rsidR="00A637A8" w:rsidRPr="0026666F" w:rsidRDefault="00A637A8" w:rsidP="00A637A8">
      <w:pPr>
        <w:spacing w:before="80"/>
        <w:rPr>
          <w:i/>
          <w:sz w:val="22"/>
          <w:lang w:val="es-ES_tradnl"/>
        </w:rPr>
      </w:pPr>
    </w:p>
    <w:p w:rsidR="00A637A8" w:rsidRPr="0026666F" w:rsidRDefault="00A637A8" w:rsidP="00A637A8">
      <w:pPr>
        <w:spacing w:before="80"/>
        <w:rPr>
          <w:i/>
          <w:sz w:val="22"/>
          <w:lang w:val="es-ES_tradnl"/>
        </w:rPr>
      </w:pPr>
    </w:p>
    <w:p w:rsidR="00A637A8" w:rsidRPr="0026666F" w:rsidRDefault="00A637A8" w:rsidP="00A637A8">
      <w:pPr>
        <w:pStyle w:val="Equation"/>
        <w:tabs>
          <w:tab w:val="clear" w:pos="4820"/>
          <w:tab w:val="clear" w:pos="9639"/>
          <w:tab w:val="left" w:pos="1191"/>
          <w:tab w:val="left" w:pos="1588"/>
          <w:tab w:val="left" w:pos="1985"/>
        </w:tabs>
        <w:rPr>
          <w:rFonts w:ascii="Palatino Linotype" w:hAnsi="Palatino Linotype"/>
          <w:lang w:val="es-ES_tradnl"/>
        </w:rPr>
        <w:sectPr w:rsidR="00A637A8" w:rsidRPr="0026666F">
          <w:headerReference w:type="even" r:id="rId7"/>
          <w:headerReference w:type="default" r:id="rId8"/>
          <w:pgSz w:w="11907" w:h="16840" w:code="9"/>
          <w:pgMar w:top="1089" w:right="1089" w:bottom="284" w:left="1089" w:header="567" w:footer="284" w:gutter="0"/>
          <w:pgNumType w:start="1"/>
          <w:cols w:space="720"/>
        </w:sectPr>
      </w:pPr>
    </w:p>
    <w:p w:rsidR="00A637A8" w:rsidRPr="006C718C" w:rsidRDefault="00A637A8" w:rsidP="00A637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A637A8" w:rsidRPr="006C718C" w:rsidRDefault="00A637A8" w:rsidP="00A637A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637A8" w:rsidRPr="006C718C" w:rsidRDefault="00A637A8" w:rsidP="00A637A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A637A8" w:rsidRPr="00021E8A" w:rsidRDefault="00A637A8" w:rsidP="00A637A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A637A8" w:rsidRPr="00021E8A" w:rsidRDefault="00A637A8" w:rsidP="00A637A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A637A8" w:rsidRPr="007C36CA" w:rsidRDefault="00A637A8" w:rsidP="00A637A8">
      <w:pPr>
        <w:spacing w:before="0"/>
        <w:jc w:val="center"/>
        <w:rPr>
          <w:sz w:val="22"/>
          <w:lang w:val="es-ES_tradnl"/>
        </w:rPr>
      </w:pPr>
    </w:p>
    <w:p w:rsidR="00A637A8" w:rsidRPr="007C36CA" w:rsidRDefault="00A637A8" w:rsidP="00A637A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637A8" w:rsidRPr="003D2CC0" w:rsidTr="0033474B">
        <w:tc>
          <w:tcPr>
            <w:tcW w:w="9360" w:type="dxa"/>
            <w:gridSpan w:val="2"/>
          </w:tcPr>
          <w:p w:rsidR="00A637A8" w:rsidRPr="00021E8A" w:rsidRDefault="00A637A8" w:rsidP="0033474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A637A8" w:rsidRPr="00763D08" w:rsidRDefault="00A637A8"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A637A8" w:rsidRPr="00036EE3" w:rsidTr="0033474B">
        <w:tc>
          <w:tcPr>
            <w:tcW w:w="1140" w:type="dxa"/>
          </w:tcPr>
          <w:p w:rsidR="00A637A8" w:rsidRPr="00036EE3" w:rsidRDefault="00A637A8" w:rsidP="0033474B">
            <w:pPr>
              <w:spacing w:before="180" w:after="100"/>
              <w:ind w:left="57"/>
              <w:rPr>
                <w:b/>
                <w:bCs/>
                <w:sz w:val="20"/>
                <w:lang w:val="en-US"/>
              </w:rPr>
            </w:pPr>
            <w:r w:rsidRPr="00036EE3">
              <w:rPr>
                <w:b/>
                <w:bCs/>
                <w:sz w:val="20"/>
                <w:lang w:val="en-US"/>
              </w:rPr>
              <w:t>Series</w:t>
            </w:r>
          </w:p>
        </w:tc>
        <w:tc>
          <w:tcPr>
            <w:tcW w:w="8220" w:type="dxa"/>
          </w:tcPr>
          <w:p w:rsidR="00A637A8" w:rsidRPr="00036EE3" w:rsidRDefault="00A637A8"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A637A8" w:rsidRPr="00036EE3" w:rsidTr="0033474B">
        <w:tc>
          <w:tcPr>
            <w:tcW w:w="1140" w:type="dxa"/>
          </w:tcPr>
          <w:p w:rsidR="00A637A8" w:rsidRPr="00036EE3" w:rsidRDefault="00A637A8" w:rsidP="0033474B">
            <w:pPr>
              <w:spacing w:before="30" w:after="30"/>
              <w:ind w:left="57"/>
              <w:jc w:val="left"/>
              <w:rPr>
                <w:b/>
                <w:bCs/>
                <w:sz w:val="20"/>
                <w:lang w:val="en-US"/>
              </w:rPr>
            </w:pPr>
            <w:r w:rsidRPr="00036EE3">
              <w:rPr>
                <w:b/>
                <w:bCs/>
                <w:sz w:val="20"/>
                <w:lang w:val="en-US"/>
              </w:rPr>
              <w:t>BO</w:t>
            </w:r>
          </w:p>
        </w:tc>
        <w:tc>
          <w:tcPr>
            <w:tcW w:w="8220" w:type="dxa"/>
          </w:tcPr>
          <w:p w:rsidR="00A637A8" w:rsidRPr="00021E8A" w:rsidRDefault="00A637A8"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A637A8" w:rsidRPr="003D2CC0" w:rsidTr="0033474B">
        <w:tc>
          <w:tcPr>
            <w:tcW w:w="1140" w:type="dxa"/>
          </w:tcPr>
          <w:p w:rsidR="00A637A8" w:rsidRPr="00036EE3" w:rsidRDefault="00A637A8" w:rsidP="0033474B">
            <w:pPr>
              <w:spacing w:before="30" w:after="30"/>
              <w:ind w:left="57"/>
              <w:jc w:val="left"/>
              <w:rPr>
                <w:b/>
                <w:bCs/>
                <w:sz w:val="20"/>
                <w:lang w:val="en-US"/>
              </w:rPr>
            </w:pPr>
            <w:r w:rsidRPr="00036EE3">
              <w:rPr>
                <w:b/>
                <w:bCs/>
                <w:sz w:val="20"/>
                <w:lang w:val="en-US"/>
              </w:rPr>
              <w:t>BR</w:t>
            </w:r>
          </w:p>
        </w:tc>
        <w:tc>
          <w:tcPr>
            <w:tcW w:w="8220" w:type="dxa"/>
          </w:tcPr>
          <w:p w:rsidR="00A637A8" w:rsidRPr="00021E8A" w:rsidRDefault="00A637A8"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A637A8" w:rsidRPr="00036EE3" w:rsidTr="0033474B">
        <w:tc>
          <w:tcPr>
            <w:tcW w:w="1140" w:type="dxa"/>
          </w:tcPr>
          <w:p w:rsidR="00A637A8" w:rsidRPr="00036EE3" w:rsidRDefault="00A637A8" w:rsidP="0033474B">
            <w:pPr>
              <w:spacing w:before="30" w:after="30"/>
              <w:ind w:left="57"/>
              <w:jc w:val="left"/>
              <w:rPr>
                <w:b/>
                <w:bCs/>
                <w:sz w:val="20"/>
                <w:lang w:val="en-US"/>
              </w:rPr>
            </w:pPr>
            <w:r w:rsidRPr="00036EE3">
              <w:rPr>
                <w:b/>
                <w:bCs/>
                <w:sz w:val="20"/>
                <w:lang w:val="en-US"/>
              </w:rPr>
              <w:t>BS</w:t>
            </w:r>
          </w:p>
        </w:tc>
        <w:tc>
          <w:tcPr>
            <w:tcW w:w="8220" w:type="dxa"/>
          </w:tcPr>
          <w:p w:rsidR="00A637A8" w:rsidRPr="00021E8A" w:rsidRDefault="00A637A8"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A637A8" w:rsidRPr="00ED2695" w:rsidTr="0033474B">
        <w:tc>
          <w:tcPr>
            <w:tcW w:w="1140" w:type="dxa"/>
            <w:shd w:val="clear" w:color="auto" w:fill="auto"/>
          </w:tcPr>
          <w:p w:rsidR="00A637A8" w:rsidRPr="00ED2695" w:rsidRDefault="00A637A8" w:rsidP="0033474B">
            <w:pPr>
              <w:spacing w:before="30" w:after="30"/>
              <w:ind w:left="57"/>
              <w:jc w:val="left"/>
              <w:rPr>
                <w:b/>
                <w:bCs/>
                <w:sz w:val="20"/>
                <w:lang w:val="en-US"/>
              </w:rPr>
            </w:pPr>
            <w:r w:rsidRPr="00ED2695">
              <w:rPr>
                <w:b/>
                <w:bCs/>
                <w:sz w:val="20"/>
                <w:lang w:val="en-US"/>
              </w:rPr>
              <w:t>BT</w:t>
            </w:r>
          </w:p>
        </w:tc>
        <w:tc>
          <w:tcPr>
            <w:tcW w:w="8220" w:type="dxa"/>
            <w:shd w:val="clear" w:color="auto" w:fill="auto"/>
          </w:tcPr>
          <w:p w:rsidR="00A637A8" w:rsidRPr="00021E8A" w:rsidRDefault="00A637A8"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A637A8" w:rsidRPr="00036EE3" w:rsidTr="0033474B">
        <w:tc>
          <w:tcPr>
            <w:tcW w:w="1140" w:type="dxa"/>
            <w:shd w:val="clear" w:color="auto" w:fill="auto"/>
          </w:tcPr>
          <w:p w:rsidR="00A637A8" w:rsidRPr="00036EE3" w:rsidRDefault="00A637A8" w:rsidP="0033474B">
            <w:pPr>
              <w:spacing w:before="30" w:after="30"/>
              <w:ind w:left="57"/>
              <w:jc w:val="left"/>
              <w:rPr>
                <w:b/>
                <w:bCs/>
                <w:sz w:val="20"/>
                <w:lang w:val="fr-CH"/>
              </w:rPr>
            </w:pPr>
            <w:r w:rsidRPr="00036EE3">
              <w:rPr>
                <w:b/>
                <w:bCs/>
                <w:sz w:val="20"/>
                <w:lang w:val="fr-CH"/>
              </w:rPr>
              <w:t>F</w:t>
            </w:r>
          </w:p>
        </w:tc>
        <w:tc>
          <w:tcPr>
            <w:tcW w:w="8220" w:type="dxa"/>
            <w:shd w:val="clear" w:color="auto" w:fill="auto"/>
          </w:tcPr>
          <w:p w:rsidR="00A637A8" w:rsidRPr="00021E8A" w:rsidRDefault="00A637A8" w:rsidP="003347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A637A8" w:rsidRPr="003D2CC0" w:rsidTr="0033474B">
        <w:tc>
          <w:tcPr>
            <w:tcW w:w="1140" w:type="dxa"/>
            <w:shd w:val="clear" w:color="auto" w:fill="F3F3F3"/>
          </w:tcPr>
          <w:p w:rsidR="00A637A8" w:rsidRPr="001240BC" w:rsidRDefault="00A637A8" w:rsidP="0033474B">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A637A8" w:rsidRPr="001240BC" w:rsidRDefault="00A637A8"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A637A8" w:rsidRPr="003D2CC0" w:rsidTr="0033474B">
        <w:tc>
          <w:tcPr>
            <w:tcW w:w="1140" w:type="dxa"/>
          </w:tcPr>
          <w:p w:rsidR="00A637A8" w:rsidRPr="00036EE3" w:rsidRDefault="00A637A8" w:rsidP="0033474B">
            <w:pPr>
              <w:spacing w:before="30" w:after="30"/>
              <w:ind w:left="57"/>
              <w:jc w:val="left"/>
              <w:rPr>
                <w:b/>
                <w:bCs/>
                <w:sz w:val="20"/>
                <w:lang w:val="fr-CH"/>
              </w:rPr>
            </w:pPr>
            <w:r w:rsidRPr="00036EE3">
              <w:rPr>
                <w:b/>
                <w:bCs/>
                <w:sz w:val="20"/>
                <w:lang w:val="fr-CH"/>
              </w:rPr>
              <w:t>P</w:t>
            </w:r>
          </w:p>
        </w:tc>
        <w:tc>
          <w:tcPr>
            <w:tcW w:w="8220" w:type="dxa"/>
          </w:tcPr>
          <w:p w:rsidR="00A637A8" w:rsidRPr="00021E8A" w:rsidRDefault="00A637A8" w:rsidP="0033474B">
            <w:pPr>
              <w:spacing w:before="30" w:after="30"/>
              <w:jc w:val="left"/>
              <w:rPr>
                <w:bCs/>
                <w:sz w:val="20"/>
                <w:lang w:val="es-ES_tradnl"/>
              </w:rPr>
            </w:pPr>
            <w:r w:rsidRPr="00021E8A">
              <w:rPr>
                <w:bCs/>
                <w:sz w:val="20"/>
                <w:lang w:val="es-ES_tradnl"/>
              </w:rPr>
              <w:t>Propagación de las ondas radioeléctricas</w:t>
            </w:r>
          </w:p>
        </w:tc>
      </w:tr>
      <w:tr w:rsidR="00A637A8" w:rsidRPr="00036EE3" w:rsidTr="0033474B">
        <w:tc>
          <w:tcPr>
            <w:tcW w:w="1140" w:type="dxa"/>
          </w:tcPr>
          <w:p w:rsidR="00A637A8" w:rsidRPr="00036EE3" w:rsidRDefault="00A637A8" w:rsidP="0033474B">
            <w:pPr>
              <w:spacing w:before="30" w:after="30"/>
              <w:ind w:left="57"/>
              <w:jc w:val="left"/>
              <w:rPr>
                <w:b/>
                <w:bCs/>
                <w:sz w:val="20"/>
                <w:lang w:val="en-US"/>
              </w:rPr>
            </w:pPr>
            <w:r w:rsidRPr="00036EE3">
              <w:rPr>
                <w:b/>
                <w:bCs/>
                <w:sz w:val="20"/>
                <w:lang w:val="en-US"/>
              </w:rPr>
              <w:t>RA</w:t>
            </w:r>
          </w:p>
        </w:tc>
        <w:tc>
          <w:tcPr>
            <w:tcW w:w="8220" w:type="dxa"/>
          </w:tcPr>
          <w:p w:rsidR="00A637A8" w:rsidRPr="00021E8A" w:rsidRDefault="00A637A8" w:rsidP="003347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A637A8" w:rsidRPr="003D2CC0" w:rsidTr="0033474B">
        <w:tc>
          <w:tcPr>
            <w:tcW w:w="1140" w:type="dxa"/>
          </w:tcPr>
          <w:p w:rsidR="00A637A8" w:rsidRPr="00036EE3" w:rsidRDefault="00A637A8" w:rsidP="0033474B">
            <w:pPr>
              <w:spacing w:before="30" w:after="30"/>
              <w:ind w:left="57"/>
              <w:jc w:val="left"/>
              <w:rPr>
                <w:b/>
                <w:bCs/>
                <w:sz w:val="20"/>
                <w:lang w:val="en-US"/>
              </w:rPr>
            </w:pPr>
            <w:r w:rsidRPr="00036EE3">
              <w:rPr>
                <w:b/>
                <w:bCs/>
                <w:sz w:val="20"/>
                <w:lang w:val="en-US"/>
              </w:rPr>
              <w:t>RS</w:t>
            </w:r>
          </w:p>
        </w:tc>
        <w:tc>
          <w:tcPr>
            <w:tcW w:w="8220" w:type="dxa"/>
          </w:tcPr>
          <w:p w:rsidR="00A637A8" w:rsidRPr="00021E8A" w:rsidRDefault="00A637A8" w:rsidP="003347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A637A8" w:rsidRPr="00036EE3" w:rsidTr="0033474B">
        <w:tc>
          <w:tcPr>
            <w:tcW w:w="1140" w:type="dxa"/>
          </w:tcPr>
          <w:p w:rsidR="00A637A8" w:rsidRPr="00036EE3" w:rsidRDefault="00A637A8" w:rsidP="0033474B">
            <w:pPr>
              <w:spacing w:before="30" w:after="30"/>
              <w:ind w:left="57"/>
              <w:jc w:val="left"/>
              <w:rPr>
                <w:b/>
                <w:bCs/>
                <w:sz w:val="20"/>
                <w:lang w:val="en-US"/>
              </w:rPr>
            </w:pPr>
            <w:r w:rsidRPr="00036EE3">
              <w:rPr>
                <w:b/>
                <w:bCs/>
                <w:sz w:val="20"/>
                <w:lang w:val="en-US"/>
              </w:rPr>
              <w:t>S</w:t>
            </w:r>
          </w:p>
        </w:tc>
        <w:tc>
          <w:tcPr>
            <w:tcW w:w="8220" w:type="dxa"/>
          </w:tcPr>
          <w:p w:rsidR="00A637A8" w:rsidRPr="00021E8A" w:rsidRDefault="00A637A8" w:rsidP="0033474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A637A8" w:rsidRPr="00036EE3" w:rsidTr="0033474B">
        <w:tc>
          <w:tcPr>
            <w:tcW w:w="1140" w:type="dxa"/>
          </w:tcPr>
          <w:p w:rsidR="00A637A8" w:rsidRPr="00036EE3" w:rsidRDefault="00A637A8" w:rsidP="0033474B">
            <w:pPr>
              <w:spacing w:before="30" w:after="30"/>
              <w:ind w:left="57"/>
              <w:jc w:val="left"/>
              <w:rPr>
                <w:b/>
                <w:bCs/>
                <w:sz w:val="20"/>
                <w:lang w:val="en-US"/>
              </w:rPr>
            </w:pPr>
            <w:r w:rsidRPr="00036EE3">
              <w:rPr>
                <w:b/>
                <w:bCs/>
                <w:sz w:val="20"/>
                <w:lang w:val="en-US"/>
              </w:rPr>
              <w:t>SA</w:t>
            </w:r>
          </w:p>
        </w:tc>
        <w:tc>
          <w:tcPr>
            <w:tcW w:w="8220" w:type="dxa"/>
          </w:tcPr>
          <w:p w:rsidR="00A637A8" w:rsidRPr="00021E8A" w:rsidRDefault="00A637A8" w:rsidP="0033474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A637A8" w:rsidRPr="003D2CC0" w:rsidTr="0033474B">
        <w:tc>
          <w:tcPr>
            <w:tcW w:w="1140" w:type="dxa"/>
          </w:tcPr>
          <w:p w:rsidR="00A637A8" w:rsidRPr="00036EE3" w:rsidRDefault="00A637A8" w:rsidP="0033474B">
            <w:pPr>
              <w:spacing w:before="30" w:after="30"/>
              <w:ind w:left="57"/>
              <w:jc w:val="left"/>
              <w:rPr>
                <w:b/>
                <w:bCs/>
                <w:sz w:val="20"/>
                <w:lang w:val="en-US"/>
              </w:rPr>
            </w:pPr>
            <w:r w:rsidRPr="00036EE3">
              <w:rPr>
                <w:b/>
                <w:bCs/>
                <w:sz w:val="20"/>
                <w:lang w:val="en-US"/>
              </w:rPr>
              <w:t>SF</w:t>
            </w:r>
          </w:p>
        </w:tc>
        <w:tc>
          <w:tcPr>
            <w:tcW w:w="8220" w:type="dxa"/>
          </w:tcPr>
          <w:p w:rsidR="00A637A8" w:rsidRPr="00021E8A" w:rsidRDefault="00A637A8" w:rsidP="0033474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637A8" w:rsidRPr="00036EE3" w:rsidTr="0033474B">
        <w:tc>
          <w:tcPr>
            <w:tcW w:w="1140" w:type="dxa"/>
            <w:shd w:val="clear" w:color="auto" w:fill="auto"/>
          </w:tcPr>
          <w:p w:rsidR="00A637A8" w:rsidRPr="001240BC" w:rsidRDefault="00A637A8" w:rsidP="0033474B">
            <w:pPr>
              <w:spacing w:before="30" w:after="30"/>
              <w:ind w:left="57"/>
              <w:jc w:val="left"/>
              <w:rPr>
                <w:b/>
                <w:bCs/>
                <w:sz w:val="20"/>
                <w:lang w:val="en-US"/>
              </w:rPr>
            </w:pPr>
            <w:r w:rsidRPr="001240BC">
              <w:rPr>
                <w:b/>
                <w:bCs/>
                <w:sz w:val="20"/>
                <w:lang w:val="en-US"/>
              </w:rPr>
              <w:t>SM</w:t>
            </w:r>
          </w:p>
        </w:tc>
        <w:tc>
          <w:tcPr>
            <w:tcW w:w="8220" w:type="dxa"/>
            <w:shd w:val="clear" w:color="auto" w:fill="auto"/>
          </w:tcPr>
          <w:p w:rsidR="00A637A8" w:rsidRPr="001240BC" w:rsidRDefault="00A637A8" w:rsidP="0033474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A637A8" w:rsidRPr="00036EE3" w:rsidTr="0033474B">
        <w:tc>
          <w:tcPr>
            <w:tcW w:w="1140" w:type="dxa"/>
          </w:tcPr>
          <w:p w:rsidR="00A637A8" w:rsidRPr="00036EE3" w:rsidRDefault="00A637A8" w:rsidP="0033474B">
            <w:pPr>
              <w:spacing w:before="30" w:after="30"/>
              <w:ind w:left="57"/>
              <w:jc w:val="left"/>
              <w:rPr>
                <w:b/>
                <w:bCs/>
                <w:sz w:val="20"/>
                <w:lang w:val="en-US"/>
              </w:rPr>
            </w:pPr>
            <w:r w:rsidRPr="00036EE3">
              <w:rPr>
                <w:b/>
                <w:bCs/>
                <w:sz w:val="20"/>
                <w:lang w:val="en-US"/>
              </w:rPr>
              <w:t>SNG</w:t>
            </w:r>
          </w:p>
        </w:tc>
        <w:tc>
          <w:tcPr>
            <w:tcW w:w="8220" w:type="dxa"/>
          </w:tcPr>
          <w:p w:rsidR="00A637A8" w:rsidRPr="00021E8A" w:rsidRDefault="00A637A8" w:rsidP="0033474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A637A8" w:rsidRPr="003D2CC0" w:rsidTr="0033474B">
        <w:tc>
          <w:tcPr>
            <w:tcW w:w="1140" w:type="dxa"/>
          </w:tcPr>
          <w:p w:rsidR="00A637A8" w:rsidRPr="00036EE3" w:rsidRDefault="00A637A8" w:rsidP="0033474B">
            <w:pPr>
              <w:spacing w:before="30" w:after="30"/>
              <w:ind w:left="57"/>
              <w:jc w:val="left"/>
              <w:rPr>
                <w:b/>
                <w:bCs/>
                <w:sz w:val="20"/>
                <w:lang w:val="en-US"/>
              </w:rPr>
            </w:pPr>
            <w:r w:rsidRPr="00036EE3">
              <w:rPr>
                <w:b/>
                <w:bCs/>
                <w:sz w:val="20"/>
                <w:lang w:val="en-US"/>
              </w:rPr>
              <w:t>TF</w:t>
            </w:r>
          </w:p>
        </w:tc>
        <w:tc>
          <w:tcPr>
            <w:tcW w:w="8220" w:type="dxa"/>
          </w:tcPr>
          <w:p w:rsidR="00A637A8" w:rsidRPr="00021E8A" w:rsidRDefault="00A637A8" w:rsidP="0033474B">
            <w:pPr>
              <w:spacing w:before="30" w:after="30"/>
              <w:jc w:val="left"/>
              <w:rPr>
                <w:bCs/>
                <w:sz w:val="20"/>
                <w:lang w:val="es-ES_tradnl"/>
              </w:rPr>
            </w:pPr>
            <w:r w:rsidRPr="00021E8A">
              <w:rPr>
                <w:bCs/>
                <w:sz w:val="20"/>
                <w:lang w:val="es-ES_tradnl"/>
              </w:rPr>
              <w:t>Emisiones de frecuencias patrón y señales horarias</w:t>
            </w:r>
          </w:p>
        </w:tc>
      </w:tr>
      <w:tr w:rsidR="00A637A8" w:rsidRPr="00036EE3" w:rsidTr="0033474B">
        <w:tc>
          <w:tcPr>
            <w:tcW w:w="1140" w:type="dxa"/>
          </w:tcPr>
          <w:p w:rsidR="00A637A8" w:rsidRPr="00036EE3" w:rsidRDefault="00A637A8" w:rsidP="0033474B">
            <w:pPr>
              <w:spacing w:before="30" w:after="30"/>
              <w:ind w:left="57"/>
              <w:jc w:val="left"/>
              <w:rPr>
                <w:b/>
                <w:bCs/>
                <w:sz w:val="20"/>
                <w:lang w:val="en-US"/>
              </w:rPr>
            </w:pPr>
            <w:r w:rsidRPr="00036EE3">
              <w:rPr>
                <w:b/>
                <w:bCs/>
                <w:sz w:val="20"/>
                <w:lang w:val="en-US"/>
              </w:rPr>
              <w:t>V</w:t>
            </w:r>
          </w:p>
        </w:tc>
        <w:tc>
          <w:tcPr>
            <w:tcW w:w="8220" w:type="dxa"/>
          </w:tcPr>
          <w:p w:rsidR="00A637A8" w:rsidRPr="00021E8A" w:rsidRDefault="00A637A8" w:rsidP="0033474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A637A8" w:rsidRPr="00036EE3" w:rsidRDefault="00A637A8" w:rsidP="00A637A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637A8" w:rsidTr="0033474B">
        <w:tc>
          <w:tcPr>
            <w:tcW w:w="720" w:type="dxa"/>
          </w:tcPr>
          <w:p w:rsidR="00A637A8" w:rsidRDefault="00A637A8" w:rsidP="0033474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637A8" w:rsidRPr="003D2CC0" w:rsidTr="0033474B">
        <w:tc>
          <w:tcPr>
            <w:tcW w:w="9360" w:type="dxa"/>
          </w:tcPr>
          <w:p w:rsidR="00A637A8" w:rsidRPr="00A07AEB" w:rsidRDefault="00A637A8" w:rsidP="0033474B">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A637A8" w:rsidRPr="00763D08" w:rsidRDefault="00A637A8" w:rsidP="00A637A8">
      <w:pPr>
        <w:spacing w:before="0"/>
        <w:jc w:val="center"/>
        <w:rPr>
          <w:sz w:val="22"/>
          <w:lang w:val="es-ES_tradnl"/>
        </w:rPr>
      </w:pPr>
    </w:p>
    <w:p w:rsidR="00A637A8" w:rsidRPr="00763D08" w:rsidRDefault="00A637A8" w:rsidP="00A637A8">
      <w:pPr>
        <w:spacing w:before="60"/>
        <w:jc w:val="right"/>
        <w:rPr>
          <w:i/>
          <w:iCs/>
          <w:sz w:val="20"/>
          <w:lang w:val="es-ES_tradnl"/>
        </w:rPr>
      </w:pPr>
      <w:r w:rsidRPr="00763D08">
        <w:rPr>
          <w:i/>
          <w:iCs/>
          <w:sz w:val="20"/>
          <w:lang w:val="es-ES_tradnl"/>
        </w:rPr>
        <w:t>Publicación electrónica</w:t>
      </w:r>
    </w:p>
    <w:p w:rsidR="00A637A8" w:rsidRPr="00763D08" w:rsidRDefault="00A637A8" w:rsidP="00A637A8">
      <w:pPr>
        <w:spacing w:before="0" w:after="40"/>
        <w:jc w:val="right"/>
        <w:rPr>
          <w:sz w:val="20"/>
          <w:lang w:val="es-ES_tradnl"/>
        </w:rPr>
      </w:pPr>
      <w:r w:rsidRPr="00763D08">
        <w:rPr>
          <w:sz w:val="20"/>
          <w:lang w:val="es-ES_tradnl"/>
        </w:rPr>
        <w:t>Ginebra, 20</w:t>
      </w:r>
      <w:r>
        <w:rPr>
          <w:sz w:val="20"/>
          <w:lang w:val="es-ES_tradnl"/>
        </w:rPr>
        <w:t>15</w:t>
      </w:r>
    </w:p>
    <w:p w:rsidR="00A637A8" w:rsidRPr="00763D08" w:rsidRDefault="00A637A8" w:rsidP="00A637A8">
      <w:pPr>
        <w:spacing w:before="0"/>
        <w:jc w:val="center"/>
        <w:rPr>
          <w:sz w:val="22"/>
          <w:lang w:val="es-ES_tradnl"/>
        </w:rPr>
      </w:pPr>
    </w:p>
    <w:p w:rsidR="00A637A8" w:rsidRPr="00763D08" w:rsidRDefault="00A637A8" w:rsidP="00A637A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A637A8" w:rsidRPr="006C718C" w:rsidRDefault="00A637A8" w:rsidP="00A637A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A637A8" w:rsidRPr="006C718C" w:rsidRDefault="00A637A8" w:rsidP="00A637A8">
      <w:pPr>
        <w:spacing w:before="160"/>
        <w:rPr>
          <w:i/>
          <w:sz w:val="20"/>
          <w:highlight w:val="yellow"/>
          <w:lang w:val="es-ES_tradnl"/>
        </w:rPr>
        <w:sectPr w:rsidR="00A637A8"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A637A8" w:rsidRPr="0010336F" w:rsidRDefault="00A637A8" w:rsidP="009F7218">
      <w:pPr>
        <w:pStyle w:val="RecNo"/>
        <w:rPr>
          <w:lang w:val="es-ES_tradnl"/>
        </w:rPr>
      </w:pPr>
      <w:bookmarkStart w:id="2" w:name="irecnoe"/>
      <w:bookmarkEnd w:id="2"/>
      <w:r w:rsidRPr="009F7218">
        <w:lastRenderedPageBreak/>
        <w:t>RECOMENDACIÓN</w:t>
      </w:r>
      <w:r w:rsidRPr="00763D08">
        <w:rPr>
          <w:lang w:val="es-ES_tradnl"/>
        </w:rPr>
        <w:t xml:space="preserve">  </w:t>
      </w:r>
      <w:r w:rsidRPr="0010336F">
        <w:rPr>
          <w:rStyle w:val="href"/>
          <w:lang w:val="es-ES_tradnl"/>
        </w:rPr>
        <w:t xml:space="preserve">UIT-R  </w:t>
      </w:r>
      <w:r>
        <w:rPr>
          <w:rStyle w:val="href"/>
          <w:lang w:val="es-ES_tradnl"/>
        </w:rPr>
        <w:t>M</w:t>
      </w:r>
      <w:r w:rsidRPr="0010336F">
        <w:rPr>
          <w:rStyle w:val="href"/>
          <w:lang w:val="es-ES_tradnl"/>
        </w:rPr>
        <w:t>.</w:t>
      </w:r>
      <w:r w:rsidR="006564F1">
        <w:rPr>
          <w:rStyle w:val="href"/>
          <w:lang w:val="es-ES_tradnl"/>
        </w:rPr>
        <w:t>2090-0</w:t>
      </w:r>
    </w:p>
    <w:p w:rsidR="00A637A8" w:rsidRDefault="006564F1" w:rsidP="00AC29FC">
      <w:pPr>
        <w:pStyle w:val="Rectitle"/>
        <w:rPr>
          <w:lang w:val="es-ES_tradnl"/>
        </w:rPr>
      </w:pPr>
      <w:r w:rsidRPr="00ED3BC5">
        <w:rPr>
          <w:lang w:val="es-ES_tradnl"/>
        </w:rPr>
        <w:t xml:space="preserve">Límite de emisiones no deseadas específico de las estaciones móviles IMT que funcionan en la banda de frecuencias 694-790 MHz para facilitar la </w:t>
      </w:r>
      <w:r w:rsidR="00AC29FC">
        <w:rPr>
          <w:lang w:val="es-ES_tradnl"/>
        </w:rPr>
        <w:br/>
      </w:r>
      <w:r w:rsidRPr="00ED3BC5">
        <w:rPr>
          <w:lang w:val="es-ES_tradnl"/>
        </w:rPr>
        <w:t xml:space="preserve">protección de los servicios existentes en la Región 1 en </w:t>
      </w:r>
      <w:r w:rsidR="00AC29FC">
        <w:rPr>
          <w:lang w:val="es-ES_tradnl"/>
        </w:rPr>
        <w:br/>
      </w:r>
      <w:r w:rsidRPr="00ED3BC5">
        <w:rPr>
          <w:lang w:val="es-ES_tradnl"/>
        </w:rPr>
        <w:t>la banda de frecuencias 470-694 MHz</w:t>
      </w:r>
    </w:p>
    <w:p w:rsidR="00AC29FC" w:rsidRPr="00AC29FC" w:rsidRDefault="00AC29FC" w:rsidP="00AC29FC">
      <w:pPr>
        <w:pStyle w:val="Recdate"/>
        <w:rPr>
          <w:lang w:val="es-ES_tradnl"/>
        </w:rPr>
      </w:pPr>
      <w:r>
        <w:rPr>
          <w:lang w:val="es-ES_tradnl"/>
        </w:rPr>
        <w:t>(2015)</w:t>
      </w:r>
    </w:p>
    <w:p w:rsidR="00ED3BC5" w:rsidRPr="00ED3BC5" w:rsidRDefault="00ED3BC5" w:rsidP="006564F1">
      <w:pPr>
        <w:pStyle w:val="HeadingSum"/>
        <w:rPr>
          <w:lang w:eastAsia="ja-JP"/>
        </w:rPr>
      </w:pPr>
      <w:r w:rsidRPr="00ED3BC5">
        <w:rPr>
          <w:lang w:eastAsia="ja-JP"/>
        </w:rPr>
        <w:t>Alcance</w:t>
      </w:r>
    </w:p>
    <w:p w:rsidR="00ED3BC5" w:rsidRPr="00ED3BC5" w:rsidRDefault="00ED3BC5" w:rsidP="006564F1">
      <w:pPr>
        <w:pStyle w:val="Summary"/>
        <w:rPr>
          <w:szCs w:val="22"/>
        </w:rPr>
      </w:pPr>
      <w:r w:rsidRPr="00ED3BC5">
        <w:rPr>
          <w:lang w:eastAsia="ja-JP"/>
        </w:rPr>
        <w:t>Esta Recomendación proporciona orientaciones a las administraciones sobre los niveles específicos de emisiones no deseadas de las estaciones móviles IMT que funcionan en la banda de frecuencias 694-790 MHz para facilitar la protección de los servicios existentes en la banda de frecuencias 470-694 MHz en la Región 1.</w:t>
      </w:r>
    </w:p>
    <w:p w:rsidR="00ED3BC5" w:rsidRPr="0068513F" w:rsidRDefault="00ED3BC5" w:rsidP="00ED3BC5">
      <w:pPr>
        <w:pStyle w:val="Normalaftertitle"/>
        <w:rPr>
          <w:lang w:val="es-ES_tradnl"/>
        </w:rPr>
      </w:pPr>
      <w:r w:rsidRPr="0068513F">
        <w:rPr>
          <w:lang w:val="es-ES_tradnl"/>
        </w:rPr>
        <w:t>La Asamblea de Radiocomunicaciones de la UIT,</w:t>
      </w:r>
    </w:p>
    <w:p w:rsidR="00ED3BC5" w:rsidRPr="00ED3BC5" w:rsidRDefault="00ED3BC5" w:rsidP="00ED3BC5">
      <w:pPr>
        <w:pStyle w:val="Call"/>
        <w:rPr>
          <w:lang w:val="es-ES_tradnl"/>
        </w:rPr>
      </w:pPr>
      <w:r w:rsidRPr="00ED3BC5">
        <w:rPr>
          <w:lang w:val="es-ES_tradnl"/>
        </w:rPr>
        <w:t>considerando</w:t>
      </w:r>
    </w:p>
    <w:p w:rsidR="00ED3BC5" w:rsidRPr="00ED3BC5" w:rsidRDefault="00ED3BC5" w:rsidP="00ED3BC5">
      <w:pPr>
        <w:rPr>
          <w:lang w:val="es-ES_tradnl"/>
        </w:rPr>
      </w:pPr>
      <w:r w:rsidRPr="00ED3BC5">
        <w:rPr>
          <w:i/>
          <w:iCs/>
          <w:lang w:val="es-ES_tradnl"/>
        </w:rPr>
        <w:t>a)</w:t>
      </w:r>
      <w:r w:rsidRPr="00ED3BC5">
        <w:rPr>
          <w:i/>
          <w:iCs/>
          <w:lang w:val="es-ES_tradnl"/>
        </w:rPr>
        <w:tab/>
      </w:r>
      <w:r w:rsidRPr="00ED3BC5">
        <w:rPr>
          <w:lang w:val="es-ES_tradnl"/>
        </w:rPr>
        <w:t xml:space="preserve">que las Recomendaciones UIT-R M.1581 </w:t>
      </w:r>
      <w:r w:rsidRPr="00ED3BC5">
        <w:rPr>
          <w:lang w:val="es-ES_tradnl" w:eastAsia="ko-KR"/>
        </w:rPr>
        <w:t>y UIT-R M.2071 especifican las características de emisiones no deseadas genéricas de las estaciones móviles IMT</w:t>
      </w:r>
      <w:r w:rsidRPr="00ED3BC5">
        <w:rPr>
          <w:lang w:val="es-ES_tradnl" w:eastAsia="ko-KR"/>
        </w:rPr>
        <w:noBreakHyphen/>
        <w:t>2000 e IMT</w:t>
      </w:r>
      <w:r w:rsidRPr="00ED3BC5">
        <w:rPr>
          <w:lang w:val="es-ES_tradnl" w:eastAsia="ko-KR"/>
        </w:rPr>
        <w:noBreakHyphen/>
        <w:t>Avanzadas, respectivamente</w:t>
      </w:r>
      <w:r w:rsidRPr="00ED3BC5">
        <w:rPr>
          <w:lang w:val="es-ES_tradnl"/>
        </w:rPr>
        <w:t>;</w:t>
      </w:r>
    </w:p>
    <w:p w:rsidR="00ED3BC5" w:rsidRPr="00ED3BC5" w:rsidRDefault="00ED3BC5" w:rsidP="00ED3BC5">
      <w:pPr>
        <w:rPr>
          <w:lang w:val="es-ES_tradnl"/>
        </w:rPr>
      </w:pPr>
      <w:r w:rsidRPr="00ED3BC5">
        <w:rPr>
          <w:i/>
          <w:iCs/>
          <w:lang w:val="es-ES_tradnl"/>
        </w:rPr>
        <w:t>b)</w:t>
      </w:r>
      <w:r w:rsidRPr="00ED3BC5">
        <w:rPr>
          <w:lang w:val="es-ES_tradnl"/>
        </w:rPr>
        <w:tab/>
        <w:t>que la Recomendación UIT-R M.1036 proporciona las disposiciones de frecuencias de las redes IMT, en particular las que se utilizan en la banda 694-790 MHz;</w:t>
      </w:r>
    </w:p>
    <w:p w:rsidR="00ED3BC5" w:rsidRPr="00ED3BC5" w:rsidRDefault="00ED3BC5" w:rsidP="00ED3BC5">
      <w:pPr>
        <w:rPr>
          <w:lang w:val="es-ES_tradnl"/>
        </w:rPr>
      </w:pPr>
      <w:r w:rsidRPr="00ED3BC5">
        <w:rPr>
          <w:i/>
          <w:iCs/>
          <w:lang w:val="es-ES_tradnl"/>
        </w:rPr>
        <w:t>c)</w:t>
      </w:r>
      <w:r w:rsidRPr="00ED3BC5">
        <w:rPr>
          <w:lang w:val="es-ES_tradnl"/>
        </w:rPr>
        <w:tab/>
        <w:t xml:space="preserve">que en la Resolución </w:t>
      </w:r>
      <w:r w:rsidRPr="00ED3BC5">
        <w:rPr>
          <w:b/>
          <w:bCs/>
          <w:lang w:val="es-ES_tradnl"/>
        </w:rPr>
        <w:t>232 (CMR-12)</w:t>
      </w:r>
      <w:r w:rsidRPr="00ED3BC5">
        <w:rPr>
          <w:lang w:val="es-ES_tradnl"/>
        </w:rPr>
        <w:t xml:space="preserve"> se invita al UIT-R a estudiar la compatibilidad entre el servicio móvil y otros servicios primarios a los que se ha atribuido la banda de frecuencias, en particular en las bandas de frecuencia adyacentes;</w:t>
      </w:r>
    </w:p>
    <w:p w:rsidR="00ED3BC5" w:rsidRPr="00ED3BC5" w:rsidRDefault="00ED3BC5" w:rsidP="00ED3BC5">
      <w:pPr>
        <w:rPr>
          <w:lang w:val="es-ES_tradnl"/>
        </w:rPr>
      </w:pPr>
      <w:r w:rsidRPr="00ED3BC5">
        <w:rPr>
          <w:i/>
          <w:iCs/>
          <w:lang w:val="es-ES_tradnl"/>
        </w:rPr>
        <w:t>d)</w:t>
      </w:r>
      <w:r w:rsidRPr="00ED3BC5">
        <w:rPr>
          <w:lang w:val="es-ES_tradnl"/>
        </w:rPr>
        <w:tab/>
        <w:t>que es necesario limitar las emisiones no deseadas en la banda de frecuencias 470-694 MHz procedentes de las estaciones móviles IMT que funcionan en la Región 1 en la banda de frecuencias 694-790 MHz a fin de facilitar la compatibilidad con el servicio de radiodifusión por debajo de 694 MHz;</w:t>
      </w:r>
    </w:p>
    <w:p w:rsidR="00ED3BC5" w:rsidRPr="00ED3BC5" w:rsidRDefault="00ED3BC5" w:rsidP="00ED3BC5">
      <w:pPr>
        <w:rPr>
          <w:lang w:val="es-ES_tradnl"/>
        </w:rPr>
      </w:pPr>
      <w:r w:rsidRPr="00ED3BC5">
        <w:rPr>
          <w:i/>
          <w:iCs/>
          <w:lang w:val="es-ES_tradnl"/>
        </w:rPr>
        <w:t>e)</w:t>
      </w:r>
      <w:r w:rsidRPr="00ED3BC5">
        <w:rPr>
          <w:lang w:val="es-ES_tradnl"/>
        </w:rPr>
        <w:tab/>
        <w:t>que el establecimiento de límites demasiado estrictos podría aumentar el tamaño, el coste o la complejidad de los equipos radioeléctricos de IMT;</w:t>
      </w:r>
    </w:p>
    <w:p w:rsidR="00ED3BC5" w:rsidRPr="00ED3BC5" w:rsidRDefault="00ED3BC5" w:rsidP="00ED3BC5">
      <w:pPr>
        <w:rPr>
          <w:lang w:val="es-ES_tradnl"/>
        </w:rPr>
      </w:pPr>
      <w:r w:rsidRPr="00ED3BC5">
        <w:rPr>
          <w:i/>
          <w:iCs/>
          <w:lang w:val="es-ES_tradnl"/>
        </w:rPr>
        <w:t>f)</w:t>
      </w:r>
      <w:r w:rsidRPr="00ED3BC5">
        <w:rPr>
          <w:lang w:val="es-ES_tradnl"/>
        </w:rPr>
        <w:tab/>
        <w:t xml:space="preserve">la necesidad de facilitar la armonización, la circulación de equipos y la </w:t>
      </w:r>
      <w:proofErr w:type="spellStart"/>
      <w:r w:rsidRPr="00ED3BC5">
        <w:rPr>
          <w:lang w:val="es-ES_tradnl"/>
        </w:rPr>
        <w:t>itinerancia</w:t>
      </w:r>
      <w:proofErr w:type="spellEnd"/>
      <w:r w:rsidRPr="00ED3BC5">
        <w:rPr>
          <w:lang w:val="es-ES_tradnl"/>
        </w:rPr>
        <w:t xml:space="preserve"> a escala mundial y de fomentar las economías de escala;</w:t>
      </w:r>
    </w:p>
    <w:p w:rsidR="00ED3BC5" w:rsidRPr="00ED3BC5" w:rsidRDefault="00ED3BC5" w:rsidP="00ED3BC5">
      <w:pPr>
        <w:rPr>
          <w:lang w:val="es-ES_tradnl"/>
        </w:rPr>
      </w:pPr>
      <w:r w:rsidRPr="00ED3BC5">
        <w:rPr>
          <w:i/>
          <w:lang w:val="es-ES_tradnl"/>
        </w:rPr>
        <w:t>g)</w:t>
      </w:r>
      <w:r w:rsidRPr="00ED3BC5">
        <w:rPr>
          <w:i/>
          <w:lang w:val="es-ES_tradnl"/>
        </w:rPr>
        <w:tab/>
      </w:r>
      <w:r w:rsidRPr="00ED3BC5">
        <w:rPr>
          <w:lang w:val="es-ES_tradnl"/>
        </w:rPr>
        <w:t>que las administraciones deciden la anchura de banda del canal de las IMT y su ubicación en la banda 703-733 MHz que debe utilizarse para los equipos de usuario;</w:t>
      </w:r>
    </w:p>
    <w:p w:rsidR="00ED3BC5" w:rsidRPr="00ED3BC5" w:rsidRDefault="00ED3BC5" w:rsidP="00ED3BC5">
      <w:pPr>
        <w:rPr>
          <w:lang w:val="es-ES_tradnl"/>
        </w:rPr>
      </w:pPr>
      <w:r w:rsidRPr="00ED3BC5">
        <w:rPr>
          <w:i/>
          <w:lang w:val="es-ES_tradnl"/>
        </w:rPr>
        <w:t>h)</w:t>
      </w:r>
      <w:r w:rsidRPr="00ED3BC5">
        <w:rPr>
          <w:lang w:val="es-ES_tradnl"/>
        </w:rPr>
        <w:tab/>
        <w:t>que en determinados países de la Región 1 se prevé comenzar a desplegar sistemas IMT en la banda de 700 MHz inmediatamente después de la CMR-15,</w:t>
      </w:r>
    </w:p>
    <w:p w:rsidR="00ED3BC5" w:rsidRPr="00ED3BC5" w:rsidRDefault="00ED3BC5" w:rsidP="00ED3BC5">
      <w:pPr>
        <w:pStyle w:val="Call"/>
        <w:rPr>
          <w:lang w:val="es-ES_tradnl"/>
        </w:rPr>
      </w:pPr>
      <w:r w:rsidRPr="00ED3BC5">
        <w:rPr>
          <w:lang w:val="es-ES_tradnl"/>
        </w:rPr>
        <w:t>reconociendo</w:t>
      </w:r>
    </w:p>
    <w:p w:rsidR="00ED3BC5" w:rsidRPr="00ED3BC5" w:rsidRDefault="00ED3BC5" w:rsidP="00ED3BC5">
      <w:pPr>
        <w:rPr>
          <w:lang w:val="es-ES_tradnl"/>
        </w:rPr>
      </w:pPr>
      <w:r w:rsidRPr="00ED3BC5">
        <w:rPr>
          <w:i/>
          <w:iCs/>
          <w:lang w:val="es-ES_tradnl"/>
        </w:rPr>
        <w:t>a)</w:t>
      </w:r>
      <w:r w:rsidRPr="00ED3BC5">
        <w:rPr>
          <w:lang w:val="es-ES_tradnl"/>
        </w:rPr>
        <w:tab/>
        <w:t>que una limitación de las emisiones no deseadas procedentes de las estaciones móviles IMT constituye uno de los factores necesarios para facilitar la protección de los servicios de radiodifusión en la banda 470-694 MHz;</w:t>
      </w:r>
    </w:p>
    <w:p w:rsidR="00BE3974" w:rsidRDefault="00ED3BC5" w:rsidP="001F3379">
      <w:pPr>
        <w:keepNext/>
        <w:keepLines/>
        <w:rPr>
          <w:lang w:val="es-ES_tradnl"/>
        </w:rPr>
      </w:pPr>
      <w:r w:rsidRPr="00ED3BC5">
        <w:rPr>
          <w:i/>
          <w:iCs/>
          <w:lang w:val="es-ES_tradnl"/>
        </w:rPr>
        <w:lastRenderedPageBreak/>
        <w:t>b)</w:t>
      </w:r>
      <w:r w:rsidRPr="00ED3BC5">
        <w:rPr>
          <w:lang w:val="es-ES_tradnl"/>
        </w:rPr>
        <w:tab/>
        <w:t>que limitar las emisiones no deseadas de las estaciones móviles IMT:</w:t>
      </w:r>
    </w:p>
    <w:p w:rsidR="00ED3BC5" w:rsidRPr="00ED3BC5" w:rsidRDefault="00ED3BC5" w:rsidP="001F3379">
      <w:pPr>
        <w:pStyle w:val="enumlev1"/>
        <w:keepNext/>
        <w:keepLines/>
        <w:rPr>
          <w:lang w:val="es-ES_tradnl"/>
        </w:rPr>
      </w:pPr>
      <w:r w:rsidRPr="00ED3BC5">
        <w:rPr>
          <w:lang w:val="es-ES_tradnl"/>
        </w:rPr>
        <w:t>•</w:t>
      </w:r>
      <w:r w:rsidRPr="00ED3BC5">
        <w:rPr>
          <w:lang w:val="es-ES_tradnl"/>
        </w:rPr>
        <w:tab/>
        <w:t>ayudará a controlar el riesgo de interferencia asociada a la utilización de los servicios móviles;</w:t>
      </w:r>
    </w:p>
    <w:p w:rsidR="00ED3BC5" w:rsidRPr="00ED3BC5" w:rsidRDefault="00ED3BC5" w:rsidP="00BE3974">
      <w:pPr>
        <w:pStyle w:val="enumlev1"/>
        <w:rPr>
          <w:lang w:val="es-ES_tradnl"/>
        </w:rPr>
      </w:pPr>
      <w:r w:rsidRPr="00ED3BC5">
        <w:rPr>
          <w:lang w:val="es-ES_tradnl"/>
        </w:rPr>
        <w:t>•</w:t>
      </w:r>
      <w:r w:rsidRPr="00ED3BC5">
        <w:rPr>
          <w:lang w:val="es-ES_tradnl"/>
        </w:rPr>
        <w:tab/>
        <w:t>ayudará a lograr la a</w:t>
      </w:r>
      <w:bookmarkStart w:id="3" w:name="_GoBack"/>
      <w:bookmarkEnd w:id="3"/>
      <w:r w:rsidRPr="00ED3BC5">
        <w:rPr>
          <w:lang w:val="es-ES_tradnl"/>
        </w:rPr>
        <w:t>rmonización de las estaciones móviles a nivel mundial;</w:t>
      </w:r>
    </w:p>
    <w:p w:rsidR="00ED3BC5" w:rsidRPr="00ED3BC5" w:rsidRDefault="00ED3BC5" w:rsidP="00BE3974">
      <w:pPr>
        <w:rPr>
          <w:lang w:val="es-ES_tradnl"/>
        </w:rPr>
      </w:pPr>
      <w:proofErr w:type="spellStart"/>
      <w:r w:rsidRPr="00ED3BC5">
        <w:rPr>
          <w:i/>
          <w:lang w:val="es-ES_tradnl"/>
        </w:rPr>
        <w:t>bbis</w:t>
      </w:r>
      <w:proofErr w:type="spellEnd"/>
      <w:r w:rsidRPr="00ED3BC5">
        <w:rPr>
          <w:lang w:val="es-ES_tradnl"/>
        </w:rPr>
        <w:t>)</w:t>
      </w:r>
      <w:r w:rsidRPr="00ED3BC5">
        <w:rPr>
          <w:lang w:val="es-ES_tradnl"/>
        </w:rPr>
        <w:tab/>
        <w:t>que limitar las emisiones no deseadas de las estaciones móviles IMT debe ser técnicamente posible desde el punto de vista de una implantación práctica de las estaciones móviles IMT;</w:t>
      </w:r>
    </w:p>
    <w:p w:rsidR="00ED3BC5" w:rsidRPr="00ED3BC5" w:rsidRDefault="00ED3BC5" w:rsidP="00ED3BC5">
      <w:pPr>
        <w:rPr>
          <w:lang w:val="es-ES_tradnl"/>
        </w:rPr>
      </w:pPr>
      <w:r w:rsidRPr="00ED3BC5">
        <w:rPr>
          <w:i/>
          <w:iCs/>
          <w:lang w:val="es-ES_tradnl"/>
        </w:rPr>
        <w:t>c)</w:t>
      </w:r>
      <w:r w:rsidRPr="00ED3BC5">
        <w:rPr>
          <w:lang w:val="es-ES_tradnl"/>
        </w:rPr>
        <w:tab/>
        <w:t>que las administraciones de la Región 1 han examinado diversos límites de emisiones no deseadas para las estaciones móviles IMT que funcionan en la banda de 694</w:t>
      </w:r>
      <w:r w:rsidRPr="00ED3BC5">
        <w:rPr>
          <w:lang w:val="es-ES_tradnl"/>
        </w:rPr>
        <w:noBreakHyphen/>
        <w:t>790 MHz, a saber:</w:t>
      </w:r>
    </w:p>
    <w:p w:rsidR="00ED3BC5" w:rsidRPr="00ED3BC5" w:rsidRDefault="00ED3BC5" w:rsidP="002563E6">
      <w:pPr>
        <w:pStyle w:val="enumlev1"/>
        <w:rPr>
          <w:lang w:val="es-ES_tradnl"/>
        </w:rPr>
      </w:pPr>
      <w:r w:rsidRPr="00ED3BC5">
        <w:rPr>
          <w:lang w:val="es-ES_tradnl"/>
        </w:rPr>
        <w:t>•</w:t>
      </w:r>
      <w:r w:rsidRPr="00ED3BC5">
        <w:rPr>
          <w:lang w:val="es-ES_tradnl"/>
        </w:rPr>
        <w:tab/>
      </w:r>
      <w:r w:rsidR="002563E6" w:rsidRPr="002563E6">
        <w:rPr>
          <w:lang w:val="es-ES_tradnl"/>
        </w:rPr>
        <w:t>−</w:t>
      </w:r>
      <w:r w:rsidRPr="00ED3BC5">
        <w:rPr>
          <w:lang w:val="es-ES_tradnl"/>
        </w:rPr>
        <w:t xml:space="preserve">25 </w:t>
      </w:r>
      <w:proofErr w:type="spellStart"/>
      <w:r w:rsidRPr="00ED3BC5">
        <w:rPr>
          <w:lang w:val="es-ES_tradnl"/>
        </w:rPr>
        <w:t>dBm</w:t>
      </w:r>
      <w:proofErr w:type="spellEnd"/>
      <w:r w:rsidRPr="00ED3BC5">
        <w:rPr>
          <w:lang w:val="es-ES_tradnl"/>
        </w:rPr>
        <w:t>/8 MHz para anchuras de banda de canal IMT máximas de 20 MHz;</w:t>
      </w:r>
    </w:p>
    <w:p w:rsidR="00ED3BC5" w:rsidRPr="00ED3BC5" w:rsidRDefault="00ED3BC5" w:rsidP="002563E6">
      <w:pPr>
        <w:pStyle w:val="enumlev1"/>
        <w:rPr>
          <w:lang w:val="es-ES_tradnl"/>
        </w:rPr>
      </w:pPr>
      <w:r w:rsidRPr="00ED3BC5">
        <w:rPr>
          <w:lang w:val="es-ES_tradnl"/>
        </w:rPr>
        <w:t>•</w:t>
      </w:r>
      <w:r w:rsidRPr="00ED3BC5">
        <w:rPr>
          <w:lang w:val="es-ES_tradnl"/>
        </w:rPr>
        <w:tab/>
      </w:r>
      <w:r w:rsidR="002563E6" w:rsidRPr="002563E6">
        <w:rPr>
          <w:lang w:val="es-ES_tradnl"/>
        </w:rPr>
        <w:t>−</w:t>
      </w:r>
      <w:r w:rsidRPr="00ED3BC5">
        <w:rPr>
          <w:lang w:val="es-ES_tradnl"/>
        </w:rPr>
        <w:t xml:space="preserve">42 </w:t>
      </w:r>
      <w:proofErr w:type="spellStart"/>
      <w:r w:rsidRPr="00ED3BC5">
        <w:rPr>
          <w:lang w:val="es-ES_tradnl"/>
        </w:rPr>
        <w:t>dBm</w:t>
      </w:r>
      <w:proofErr w:type="spellEnd"/>
      <w:r w:rsidRPr="00ED3BC5">
        <w:rPr>
          <w:lang w:val="es-ES_tradnl"/>
        </w:rPr>
        <w:t>/8 MHz para anchuras de banda de canal IMT máximas de 10 MHz;</w:t>
      </w:r>
    </w:p>
    <w:p w:rsidR="00ED3BC5" w:rsidRPr="00ED3BC5" w:rsidRDefault="00ED3BC5" w:rsidP="002563E6">
      <w:pPr>
        <w:pStyle w:val="enumlev1"/>
        <w:rPr>
          <w:lang w:val="es-ES_tradnl"/>
        </w:rPr>
      </w:pPr>
      <w:r w:rsidRPr="00ED3BC5">
        <w:rPr>
          <w:lang w:val="es-ES_tradnl"/>
        </w:rPr>
        <w:t>•</w:t>
      </w:r>
      <w:r w:rsidRPr="00ED3BC5">
        <w:rPr>
          <w:lang w:val="es-ES_tradnl"/>
        </w:rPr>
        <w:tab/>
      </w:r>
      <w:r w:rsidR="002563E6" w:rsidRPr="00CA7343">
        <w:rPr>
          <w:lang w:val="es-ES_tradnl"/>
        </w:rPr>
        <w:t>−</w:t>
      </w:r>
      <w:r w:rsidRPr="00ED3BC5">
        <w:rPr>
          <w:lang w:val="es-ES_tradnl"/>
        </w:rPr>
        <w:t xml:space="preserve">56 </w:t>
      </w:r>
      <w:proofErr w:type="spellStart"/>
      <w:r w:rsidRPr="00ED3BC5">
        <w:rPr>
          <w:lang w:val="es-ES_tradnl"/>
        </w:rPr>
        <w:t>dBm</w:t>
      </w:r>
      <w:proofErr w:type="spellEnd"/>
      <w:r w:rsidRPr="00ED3BC5">
        <w:rPr>
          <w:lang w:val="es-ES_tradnl"/>
        </w:rPr>
        <w:t>/8 MHz para anchuras de banda de canal IMT máximas de 10 MHz;</w:t>
      </w:r>
    </w:p>
    <w:p w:rsidR="00ED3BC5" w:rsidRPr="00ED3BC5" w:rsidRDefault="00ED3BC5" w:rsidP="00ED3BC5">
      <w:pPr>
        <w:rPr>
          <w:lang w:val="es-ES_tradnl"/>
        </w:rPr>
      </w:pPr>
      <w:r w:rsidRPr="00ED3BC5">
        <w:rPr>
          <w:i/>
          <w:iCs/>
          <w:lang w:val="es-ES_tradnl"/>
        </w:rPr>
        <w:t>d)</w:t>
      </w:r>
      <w:r w:rsidRPr="00ED3BC5">
        <w:rPr>
          <w:lang w:val="es-ES_tradnl"/>
        </w:rPr>
        <w:tab/>
        <w:t xml:space="preserve">que las administraciones que despliegan sistemas de IMT pueden adoptar otras medidas además de los límites de emisiones no deseadas especificados en los </w:t>
      </w:r>
      <w:r w:rsidRPr="00ED3BC5">
        <w:rPr>
          <w:i/>
          <w:iCs/>
          <w:lang w:val="es-ES_tradnl"/>
        </w:rPr>
        <w:t>recomienda</w:t>
      </w:r>
      <w:r w:rsidRPr="00ED3BC5">
        <w:rPr>
          <w:lang w:val="es-ES_tradnl"/>
        </w:rPr>
        <w:t xml:space="preserve"> 1 y 2 para seguir mejorando la compatibilidad con el servicio de radiodifusión, en función de las condiciones nacionales,</w:t>
      </w:r>
    </w:p>
    <w:p w:rsidR="00ED3BC5" w:rsidRPr="00ED3BC5" w:rsidRDefault="00ED3BC5" w:rsidP="00ED3BC5">
      <w:pPr>
        <w:pStyle w:val="Call"/>
        <w:rPr>
          <w:lang w:val="es-ES_tradnl"/>
        </w:rPr>
      </w:pPr>
      <w:r w:rsidRPr="00ED3BC5">
        <w:rPr>
          <w:lang w:val="es-ES_tradnl"/>
        </w:rPr>
        <w:t>teniendo en cuenta</w:t>
      </w:r>
    </w:p>
    <w:p w:rsidR="00ED3BC5" w:rsidRPr="00ED3BC5" w:rsidRDefault="00ED3BC5" w:rsidP="00ED3BC5">
      <w:pPr>
        <w:rPr>
          <w:i/>
          <w:lang w:val="es-ES_tradnl"/>
        </w:rPr>
      </w:pPr>
      <w:r w:rsidRPr="00ED3BC5">
        <w:rPr>
          <w:i/>
          <w:lang w:val="es-ES_tradnl"/>
        </w:rPr>
        <w:t>a)</w:t>
      </w:r>
      <w:r w:rsidRPr="00ED3BC5">
        <w:rPr>
          <w:lang w:val="es-ES_tradnl"/>
        </w:rPr>
        <w:tab/>
        <w:t xml:space="preserve">que los estudios del UIT-R se basaron en el </w:t>
      </w:r>
      <w:proofErr w:type="spellStart"/>
      <w:r w:rsidRPr="00ED3BC5">
        <w:rPr>
          <w:lang w:val="es-ES_tradnl"/>
        </w:rPr>
        <w:t>duplexor</w:t>
      </w:r>
      <w:proofErr w:type="spellEnd"/>
      <w:r w:rsidRPr="00ED3BC5">
        <w:rPr>
          <w:lang w:val="es-ES_tradnl"/>
        </w:rPr>
        <w:t xml:space="preserve"> más ba</w:t>
      </w:r>
      <w:r w:rsidR="002563E6">
        <w:rPr>
          <w:lang w:val="es-ES_tradnl"/>
        </w:rPr>
        <w:t>jo de la disposición de canales </w:t>
      </w:r>
      <w:r w:rsidRPr="00ED3BC5">
        <w:rPr>
          <w:lang w:val="es-ES_tradnl"/>
        </w:rPr>
        <w:t xml:space="preserve">A5 de la Recomendación UIT-R M.1036 (es decir, con un enlace ascendente que oscila entre 703 MHz y 733 MHz) y en una potencia máxima de salida de 23 </w:t>
      </w:r>
      <w:proofErr w:type="spellStart"/>
      <w:r w:rsidRPr="00ED3BC5">
        <w:rPr>
          <w:lang w:val="es-ES_tradnl"/>
        </w:rPr>
        <w:t>dBm</w:t>
      </w:r>
      <w:proofErr w:type="spellEnd"/>
      <w:r w:rsidRPr="00ED3BC5">
        <w:rPr>
          <w:lang w:val="es-ES_tradnl"/>
        </w:rPr>
        <w:t>;</w:t>
      </w:r>
    </w:p>
    <w:p w:rsidR="00ED3BC5" w:rsidRPr="00ED3BC5" w:rsidRDefault="00ED3BC5" w:rsidP="00ED3BC5">
      <w:pPr>
        <w:rPr>
          <w:lang w:val="es-ES_tradnl"/>
        </w:rPr>
      </w:pPr>
      <w:r w:rsidRPr="00ED3BC5">
        <w:rPr>
          <w:i/>
          <w:iCs/>
          <w:lang w:val="es-ES_tradnl"/>
        </w:rPr>
        <w:t>b)</w:t>
      </w:r>
      <w:r w:rsidRPr="00ED3BC5">
        <w:rPr>
          <w:lang w:val="es-ES_tradnl"/>
        </w:rPr>
        <w:tab/>
        <w:t xml:space="preserve">que en una organización regional de la Región 3 estableció un límite de emisiones no deseadas de –26,2 </w:t>
      </w:r>
      <w:proofErr w:type="spellStart"/>
      <w:r w:rsidRPr="00ED3BC5">
        <w:rPr>
          <w:lang w:val="es-ES_tradnl"/>
        </w:rPr>
        <w:t>dBm</w:t>
      </w:r>
      <w:proofErr w:type="spellEnd"/>
      <w:r w:rsidRPr="00ED3BC5">
        <w:rPr>
          <w:lang w:val="es-ES_tradnl"/>
        </w:rPr>
        <w:t>/6 MHz para las estaciones móviles IMT que uti</w:t>
      </w:r>
      <w:r w:rsidR="002563E6">
        <w:rPr>
          <w:lang w:val="es-ES_tradnl"/>
        </w:rPr>
        <w:t>lizan la disposición de canales </w:t>
      </w:r>
      <w:r w:rsidRPr="00ED3BC5">
        <w:rPr>
          <w:lang w:val="es-ES_tradnl"/>
        </w:rPr>
        <w:t>A5, como se incluye en la especificación 3GPP pertinente;</w:t>
      </w:r>
    </w:p>
    <w:p w:rsidR="00ED3BC5" w:rsidRPr="00ED3BC5" w:rsidRDefault="00ED3BC5" w:rsidP="00ED3BC5">
      <w:pPr>
        <w:rPr>
          <w:lang w:val="es-ES_tradnl"/>
        </w:rPr>
      </w:pPr>
      <w:r w:rsidRPr="00ED3BC5">
        <w:rPr>
          <w:i/>
          <w:iCs/>
          <w:lang w:val="es-ES_tradnl"/>
        </w:rPr>
        <w:t>c)</w:t>
      </w:r>
      <w:r w:rsidRPr="00ED3BC5">
        <w:rPr>
          <w:lang w:val="es-ES_tradnl"/>
        </w:rPr>
        <w:tab/>
        <w:t xml:space="preserve">que en las nuevas especificaciones 3GPP pertinentes se especifica un límite de emisiones no deseadas de –25 </w:t>
      </w:r>
      <w:proofErr w:type="spellStart"/>
      <w:r w:rsidRPr="00ED3BC5">
        <w:rPr>
          <w:lang w:val="es-ES_tradnl"/>
        </w:rPr>
        <w:t>dBm</w:t>
      </w:r>
      <w:proofErr w:type="spellEnd"/>
      <w:r w:rsidRPr="00ED3BC5">
        <w:rPr>
          <w:lang w:val="es-ES_tradnl"/>
        </w:rPr>
        <w:t xml:space="preserve">/8 MHz para una anchura de banda de canal IMT máxima de 20 MHz y un valor de –42 </w:t>
      </w:r>
      <w:proofErr w:type="spellStart"/>
      <w:r w:rsidRPr="00ED3BC5">
        <w:rPr>
          <w:lang w:val="es-ES_tradnl"/>
        </w:rPr>
        <w:t>dBm</w:t>
      </w:r>
      <w:proofErr w:type="spellEnd"/>
      <w:r w:rsidRPr="00ED3BC5">
        <w:rPr>
          <w:lang w:val="es-ES_tradnl"/>
        </w:rPr>
        <w:t>/8 MHz para una anchura de banda de canal IMT de 10 MHz;</w:t>
      </w:r>
    </w:p>
    <w:p w:rsidR="00ED3BC5" w:rsidRPr="00ED3BC5" w:rsidRDefault="00ED3BC5" w:rsidP="00ED3BC5">
      <w:pPr>
        <w:rPr>
          <w:lang w:val="es-ES_tradnl"/>
        </w:rPr>
      </w:pPr>
      <w:r w:rsidRPr="00ED3BC5">
        <w:rPr>
          <w:i/>
          <w:iCs/>
          <w:lang w:val="es-ES_tradnl"/>
        </w:rPr>
        <w:t>d)</w:t>
      </w:r>
      <w:r w:rsidRPr="00ED3BC5">
        <w:rPr>
          <w:lang w:val="es-ES_tradnl"/>
        </w:rPr>
        <w:tab/>
        <w:t xml:space="preserve">que las estaciones IMT existentes que no satisfacen el límite de emisiones no deseadas especificado en </w:t>
      </w:r>
      <w:proofErr w:type="spellStart"/>
      <w:r w:rsidRPr="00ED3BC5">
        <w:rPr>
          <w:lang w:val="es-ES_tradnl"/>
        </w:rPr>
        <w:t>el</w:t>
      </w:r>
      <w:proofErr w:type="spellEnd"/>
      <w:r w:rsidRPr="00ED3BC5">
        <w:rPr>
          <w:lang w:val="es-ES_tradnl"/>
        </w:rPr>
        <w:t xml:space="preserve"> </w:t>
      </w:r>
      <w:r w:rsidRPr="00ED3BC5">
        <w:rPr>
          <w:i/>
          <w:iCs/>
          <w:lang w:val="es-ES_tradnl"/>
        </w:rPr>
        <w:t>recomienda</w:t>
      </w:r>
      <w:r w:rsidRPr="00ED3BC5">
        <w:rPr>
          <w:lang w:val="es-ES_tradnl"/>
        </w:rPr>
        <w:t xml:space="preserve"> 2 podrían seguir utilizándose,</w:t>
      </w:r>
    </w:p>
    <w:p w:rsidR="00ED3BC5" w:rsidRPr="00ED3BC5" w:rsidRDefault="00ED3BC5" w:rsidP="00ED3BC5">
      <w:pPr>
        <w:pStyle w:val="Call"/>
        <w:rPr>
          <w:lang w:val="es-ES_tradnl"/>
        </w:rPr>
      </w:pPr>
      <w:r w:rsidRPr="00ED3BC5">
        <w:rPr>
          <w:lang w:val="es-ES_tradnl"/>
        </w:rPr>
        <w:t>recomienda</w:t>
      </w:r>
    </w:p>
    <w:p w:rsidR="00ED3BC5" w:rsidRPr="00ED3BC5" w:rsidRDefault="00ED3BC5" w:rsidP="00ED3BC5">
      <w:pPr>
        <w:rPr>
          <w:szCs w:val="24"/>
          <w:lang w:val="es-ES_tradnl"/>
        </w:rPr>
      </w:pPr>
      <w:r w:rsidRPr="002563E6">
        <w:rPr>
          <w:b/>
          <w:bCs/>
          <w:lang w:val="es-ES_tradnl"/>
        </w:rPr>
        <w:t>1</w:t>
      </w:r>
      <w:r w:rsidRPr="00ED3BC5">
        <w:rPr>
          <w:lang w:val="es-ES_tradnl"/>
        </w:rPr>
        <w:tab/>
        <w:t xml:space="preserve">que las emisiones no deseadas de las estaciones móviles IMT que funcionan en la Región 1 en la banda de frecuencias 703-733 MHz con una anchura de banda de canal IMT superior a 10 MHz no rebasen los –25 </w:t>
      </w:r>
      <w:proofErr w:type="spellStart"/>
      <w:r w:rsidRPr="00ED3BC5">
        <w:rPr>
          <w:lang w:val="es-ES_tradnl"/>
        </w:rPr>
        <w:t>dBm</w:t>
      </w:r>
      <w:proofErr w:type="spellEnd"/>
      <w:r w:rsidRPr="00ED3BC5">
        <w:rPr>
          <w:lang w:val="es-ES_tradnl"/>
        </w:rPr>
        <w:t>/8 MHz en la banda de frecuencias 470</w:t>
      </w:r>
      <w:r w:rsidRPr="00ED3BC5">
        <w:rPr>
          <w:lang w:val="es-ES_tradnl"/>
        </w:rPr>
        <w:noBreakHyphen/>
        <w:t>694 MHz;</w:t>
      </w:r>
    </w:p>
    <w:p w:rsidR="00ED3BC5" w:rsidRPr="00ED3BC5" w:rsidRDefault="00ED3BC5" w:rsidP="00ED3BC5">
      <w:pPr>
        <w:rPr>
          <w:szCs w:val="24"/>
          <w:lang w:val="es-ES_tradnl"/>
        </w:rPr>
      </w:pPr>
      <w:r w:rsidRPr="002563E6">
        <w:rPr>
          <w:b/>
          <w:bCs/>
          <w:szCs w:val="24"/>
          <w:lang w:val="es-ES_tradnl"/>
        </w:rPr>
        <w:t>2</w:t>
      </w:r>
      <w:r w:rsidRPr="00ED3BC5">
        <w:rPr>
          <w:szCs w:val="24"/>
          <w:lang w:val="es-ES_tradnl"/>
        </w:rPr>
        <w:tab/>
        <w:t xml:space="preserve">que las emisiones no deseadas de las estaciones móviles IMT que funcionan en la Región 1 en la banda de frecuencias 703-733 MHz con una anchura de banda de canal IMT igual o inferior a 10 MHz no rebasen los </w:t>
      </w:r>
      <w:r w:rsidRPr="00ED3BC5">
        <w:rPr>
          <w:lang w:val="es-ES_tradnl"/>
        </w:rPr>
        <w:t>–</w:t>
      </w:r>
      <w:r w:rsidRPr="00ED3BC5">
        <w:rPr>
          <w:szCs w:val="24"/>
          <w:lang w:val="es-ES_tradnl"/>
        </w:rPr>
        <w:t xml:space="preserve">42 </w:t>
      </w:r>
      <w:proofErr w:type="spellStart"/>
      <w:r w:rsidRPr="00ED3BC5">
        <w:rPr>
          <w:szCs w:val="24"/>
          <w:lang w:val="es-ES_tradnl"/>
        </w:rPr>
        <w:t>dBm</w:t>
      </w:r>
      <w:proofErr w:type="spellEnd"/>
      <w:r w:rsidRPr="00ED3BC5">
        <w:rPr>
          <w:szCs w:val="24"/>
          <w:lang w:val="es-ES_tradnl"/>
        </w:rPr>
        <w:t>/8 MHz en la banda de frecuencias 470</w:t>
      </w:r>
      <w:r w:rsidRPr="00ED3BC5">
        <w:rPr>
          <w:szCs w:val="24"/>
          <w:lang w:val="es-ES_tradnl"/>
        </w:rPr>
        <w:noBreakHyphen/>
        <w:t>694 MHz;</w:t>
      </w:r>
    </w:p>
    <w:p w:rsidR="00ED3BC5" w:rsidRPr="00ED3BC5" w:rsidRDefault="00ED3BC5" w:rsidP="00ED3BC5">
      <w:pPr>
        <w:rPr>
          <w:lang w:val="es-ES_tradnl"/>
        </w:rPr>
      </w:pPr>
      <w:r w:rsidRPr="002563E6">
        <w:rPr>
          <w:b/>
          <w:bCs/>
          <w:lang w:val="es-ES_tradnl"/>
        </w:rPr>
        <w:t>3</w:t>
      </w:r>
      <w:r w:rsidRPr="00ED3BC5">
        <w:rPr>
          <w:lang w:val="es-ES_tradnl"/>
        </w:rPr>
        <w:tab/>
        <w:t xml:space="preserve">que las administraciones tengan en cuenta los </w:t>
      </w:r>
      <w:r w:rsidRPr="00ED3BC5">
        <w:rPr>
          <w:i/>
          <w:iCs/>
          <w:lang w:val="es-ES_tradnl"/>
        </w:rPr>
        <w:t>recomienda</w:t>
      </w:r>
      <w:r w:rsidRPr="00ED3BC5">
        <w:rPr>
          <w:lang w:val="es-ES_tradnl"/>
        </w:rPr>
        <w:t xml:space="preserve"> 1 y 2 al decidir la anchura de banda de canal IMT pertinente.</w:t>
      </w:r>
    </w:p>
    <w:p w:rsidR="00ED3BC5" w:rsidRPr="0068513F" w:rsidRDefault="00ED3BC5" w:rsidP="00ED3BC5">
      <w:pPr>
        <w:pStyle w:val="Reasons"/>
      </w:pPr>
    </w:p>
    <w:p w:rsidR="00ED3BC5" w:rsidRPr="0068513F" w:rsidRDefault="00ED3BC5" w:rsidP="00ED3BC5">
      <w:pPr>
        <w:jc w:val="center"/>
      </w:pPr>
      <w:r w:rsidRPr="0068513F">
        <w:t>______________</w:t>
      </w:r>
    </w:p>
    <w:p w:rsidR="00A6617B" w:rsidRPr="00A6617B" w:rsidRDefault="00A6617B" w:rsidP="00A637A8"/>
    <w:sectPr w:rsidR="00A6617B" w:rsidRPr="00A6617B" w:rsidSect="006564F1">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7A8" w:rsidRDefault="00A637A8">
      <w:r>
        <w:separator/>
      </w:r>
    </w:p>
  </w:endnote>
  <w:endnote w:type="continuationSeparator" w:id="0">
    <w:p w:rsidR="00A637A8" w:rsidRDefault="00A63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7A8" w:rsidRDefault="00A637A8">
      <w:r>
        <w:separator/>
      </w:r>
    </w:p>
  </w:footnote>
  <w:footnote w:type="continuationSeparator" w:id="0">
    <w:p w:rsidR="00A637A8" w:rsidRDefault="00A637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7A8" w:rsidRDefault="00A637A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7A8" w:rsidRDefault="00A637A8" w:rsidP="00CB1354">
    <w:pPr>
      <w:ind w:right="360" w:firstLine="360"/>
    </w:pPr>
    <w:r>
      <w:rPr>
        <w:noProof/>
        <w:lang w:val="en-US" w:eastAsia="zh-CN"/>
      </w:rPr>
      <w:drawing>
        <wp:anchor distT="0" distB="0" distL="114300" distR="114300" simplePos="0" relativeHeight="251660288" behindDoc="0" locked="0" layoutInCell="1" allowOverlap="1" wp14:anchorId="4BA7ECDC" wp14:editId="04369FF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3EA3C416" wp14:editId="2BA6556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7A8" w:rsidRDefault="00A637A8"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C3971">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006C3971" w:rsidRPr="006C3971">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6C3971">
      <w:rPr>
        <w:b/>
        <w:bCs/>
        <w:noProof/>
      </w:rPr>
      <w:t>UIT-R  M.2090-0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7A8" w:rsidRDefault="00A637A8">
    <w:r>
      <w:tab/>
    </w:r>
    <w:r>
      <w:fldChar w:fldCharType="begin"/>
    </w:r>
    <w:r>
      <w:instrText xml:space="preserve"> DOCPROPERTY "Header" \* MERGEFORMAT </w:instrText>
    </w:r>
    <w:r>
      <w:fldChar w:fldCharType="separate"/>
    </w:r>
    <w:r w:rsidR="006C3971" w:rsidRPr="006C397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C3971">
      <w:rPr>
        <w:b/>
        <w:bCs/>
        <w:noProof/>
      </w:rPr>
      <w:t>UIT-R  M.2090-0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397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C3971" w:rsidRPr="006C397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3971">
      <w:rPr>
        <w:b/>
        <w:bCs/>
        <w:noProof/>
      </w:rPr>
      <w:t>UIT-R  M.2090-0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6C3971">
      <w:fldChar w:fldCharType="begin"/>
    </w:r>
    <w:r w:rsidR="006C3971">
      <w:instrText xml:space="preserve"> DOCPROPERTY "Header" \* MERGEFORMAT </w:instrText>
    </w:r>
    <w:r w:rsidR="006C3971">
      <w:fldChar w:fldCharType="separate"/>
    </w:r>
    <w:r w:rsidR="006C3971" w:rsidRPr="006C3971">
      <w:rPr>
        <w:b/>
        <w:bCs/>
      </w:rPr>
      <w:t xml:space="preserve">Rec. </w:t>
    </w:r>
    <w:r w:rsidR="006C3971">
      <w:rPr>
        <w:b/>
        <w:bCs/>
      </w:rPr>
      <w:fldChar w:fldCharType="end"/>
    </w:r>
    <w:r>
      <w:rPr>
        <w:b/>
        <w:bCs/>
      </w:rPr>
      <w:t xml:space="preserve"> </w:t>
    </w:r>
    <w:r>
      <w:rPr>
        <w:b/>
        <w:bCs/>
      </w:rPr>
      <w:fldChar w:fldCharType="begin"/>
    </w:r>
    <w:r>
      <w:rPr>
        <w:b/>
        <w:bCs/>
      </w:rPr>
      <w:instrText>styleref href</w:instrText>
    </w:r>
    <w:r>
      <w:rPr>
        <w:b/>
        <w:bCs/>
      </w:rPr>
      <w:fldChar w:fldCharType="separate"/>
    </w:r>
    <w:r w:rsidR="006C3971">
      <w:rPr>
        <w:b/>
        <w:bCs/>
        <w:noProof/>
      </w:rPr>
      <w:t>UIT-R  M.2090-0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397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48A2E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0F4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EA52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EFA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98FD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4EE7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9CFF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AA5B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3C08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963A5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7A8"/>
    <w:rsid w:val="001F3379"/>
    <w:rsid w:val="00217EBF"/>
    <w:rsid w:val="00242AEE"/>
    <w:rsid w:val="002563E6"/>
    <w:rsid w:val="00296018"/>
    <w:rsid w:val="002D63B7"/>
    <w:rsid w:val="002D76C4"/>
    <w:rsid w:val="0052529D"/>
    <w:rsid w:val="00607D68"/>
    <w:rsid w:val="006564F1"/>
    <w:rsid w:val="006C3971"/>
    <w:rsid w:val="007468DA"/>
    <w:rsid w:val="009E00A8"/>
    <w:rsid w:val="009F7218"/>
    <w:rsid w:val="00A637A8"/>
    <w:rsid w:val="00A6617B"/>
    <w:rsid w:val="00AB0DC8"/>
    <w:rsid w:val="00AC29FC"/>
    <w:rsid w:val="00B44E24"/>
    <w:rsid w:val="00BE3974"/>
    <w:rsid w:val="00CA7343"/>
    <w:rsid w:val="00CA79D0"/>
    <w:rsid w:val="00CC69E7"/>
    <w:rsid w:val="00DF4176"/>
    <w:rsid w:val="00DF436D"/>
    <w:rsid w:val="00ED3B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C1740CE-5797-4FC1-8CD2-EFFA07C11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7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A637A8"/>
    <w:rPr>
      <w:color w:val="0000FF"/>
      <w:u w:val="single"/>
    </w:rPr>
  </w:style>
  <w:style w:type="character" w:customStyle="1" w:styleId="TableheadChar">
    <w:name w:val="Table_head Char"/>
    <w:basedOn w:val="DefaultParagraphFont"/>
    <w:link w:val="Tablehead"/>
    <w:locked/>
    <w:rsid w:val="00A637A8"/>
    <w:rPr>
      <w:b/>
      <w:sz w:val="22"/>
      <w:lang w:val="fr-FR" w:eastAsia="en-US"/>
    </w:rPr>
  </w:style>
  <w:style w:type="character" w:customStyle="1" w:styleId="TabletextChar">
    <w:name w:val="Table_text Char"/>
    <w:basedOn w:val="DefaultParagraphFont"/>
    <w:link w:val="Tabletext"/>
    <w:locked/>
    <w:rsid w:val="00A637A8"/>
    <w:rPr>
      <w:sz w:val="22"/>
      <w:lang w:val="fr-FR" w:eastAsia="en-US"/>
    </w:rPr>
  </w:style>
  <w:style w:type="character" w:customStyle="1" w:styleId="Heading1Char">
    <w:name w:val="Heading 1 Char"/>
    <w:basedOn w:val="DefaultParagraphFont"/>
    <w:link w:val="Heading1"/>
    <w:rsid w:val="00A637A8"/>
    <w:rPr>
      <w:b/>
      <w:sz w:val="24"/>
      <w:lang w:val="fr-FR" w:eastAsia="en-US"/>
    </w:rPr>
  </w:style>
  <w:style w:type="character" w:customStyle="1" w:styleId="FooterChar">
    <w:name w:val="Footer Char"/>
    <w:link w:val="Footer"/>
    <w:rsid w:val="00A637A8"/>
    <w:rPr>
      <w:noProof/>
      <w:sz w:val="18"/>
      <w:lang w:val="fr-FR" w:eastAsia="en-US"/>
    </w:rPr>
  </w:style>
  <w:style w:type="character" w:customStyle="1" w:styleId="HeaderChar">
    <w:name w:val="Header Char"/>
    <w:basedOn w:val="DefaultParagraphFont"/>
    <w:link w:val="Header"/>
    <w:rsid w:val="00A637A8"/>
    <w:rPr>
      <w:sz w:val="24"/>
      <w:lang w:val="fr-FR" w:eastAsia="en-US"/>
    </w:rPr>
  </w:style>
  <w:style w:type="paragraph" w:customStyle="1" w:styleId="Reasons">
    <w:name w:val="Reasons"/>
    <w:basedOn w:val="Normal"/>
    <w:qFormat/>
    <w:rsid w:val="00ED3BC5"/>
    <w:pPr>
      <w:tabs>
        <w:tab w:val="clear" w:pos="794"/>
        <w:tab w:val="clear" w:pos="1191"/>
        <w:tab w:val="left" w:pos="1134"/>
      </w:tabs>
      <w:jc w:val="left"/>
    </w:pPr>
    <w:rPr>
      <w:lang w:val="es-ES_tradnl"/>
    </w:rPr>
  </w:style>
  <w:style w:type="character" w:customStyle="1" w:styleId="enumlev1Char">
    <w:name w:val="enumlev1 Char"/>
    <w:link w:val="enumlev1"/>
    <w:locked/>
    <w:rsid w:val="00ED3BC5"/>
    <w:rPr>
      <w:sz w:val="24"/>
      <w:lang w:val="fr-FR" w:eastAsia="en-US"/>
    </w:rPr>
  </w:style>
  <w:style w:type="character" w:customStyle="1" w:styleId="NormalaftertitleChar">
    <w:name w:val="Normal_after_title Char"/>
    <w:basedOn w:val="DefaultParagraphFont"/>
    <w:link w:val="Normalaftertitle"/>
    <w:locked/>
    <w:rsid w:val="00ED3BC5"/>
    <w:rPr>
      <w:sz w:val="24"/>
      <w:lang w:val="fr-FR" w:eastAsia="en-US"/>
    </w:rPr>
  </w:style>
  <w:style w:type="character" w:customStyle="1" w:styleId="CallChar">
    <w:name w:val="Call Char"/>
    <w:basedOn w:val="DefaultParagraphFont"/>
    <w:link w:val="Call"/>
    <w:locked/>
    <w:rsid w:val="00ED3BC5"/>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4</Pages>
  <Words>1256</Words>
  <Characters>6825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Catalano Moreira, Rossana</cp:lastModifiedBy>
  <cp:revision>16</cp:revision>
  <cp:lastPrinted>2015-11-04T13:40:00Z</cp:lastPrinted>
  <dcterms:created xsi:type="dcterms:W3CDTF">2015-11-04T13:17:00Z</dcterms:created>
  <dcterms:modified xsi:type="dcterms:W3CDTF">2015-11-04T13:49:00Z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