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F77" w:rsidRDefault="008C6F77" w:rsidP="008C6F77"/>
    <w:p w:rsidR="008C6F77" w:rsidRPr="00575CB8" w:rsidRDefault="008C6F77" w:rsidP="008C6F77">
      <w:pPr>
        <w:rPr>
          <w:lang w:val="en-US"/>
        </w:rPr>
      </w:pPr>
    </w:p>
    <w:p w:rsidR="008C6F77" w:rsidRDefault="008C6F77" w:rsidP="008C6F77"/>
    <w:p w:rsidR="008C6F77" w:rsidRDefault="008C6F77" w:rsidP="008C6F77"/>
    <w:p w:rsidR="008C6F77" w:rsidRDefault="008C6F77" w:rsidP="008C6F77"/>
    <w:p w:rsidR="008C6F77" w:rsidRDefault="008C6F77" w:rsidP="008C6F77"/>
    <w:p w:rsidR="008C6F77" w:rsidRDefault="008C6F77" w:rsidP="008C6F77"/>
    <w:p w:rsidR="008C6F77" w:rsidRDefault="008C6F77" w:rsidP="008C6F77"/>
    <w:p w:rsidR="008C6F77" w:rsidRDefault="008C6F77" w:rsidP="008C6F77"/>
    <w:p w:rsidR="008C6F77" w:rsidRDefault="008C6F77" w:rsidP="008C6F77"/>
    <w:tbl>
      <w:tblPr>
        <w:tblW w:w="10089" w:type="dxa"/>
        <w:tblLook w:val="01E0" w:firstRow="1" w:lastRow="1" w:firstColumn="1" w:lastColumn="1" w:noHBand="0" w:noVBand="0"/>
      </w:tblPr>
      <w:tblGrid>
        <w:gridCol w:w="10089"/>
      </w:tblGrid>
      <w:tr w:rsidR="008C6F77" w:rsidRPr="004240C8" w:rsidTr="00CA71F1">
        <w:tc>
          <w:tcPr>
            <w:tcW w:w="10089" w:type="dxa"/>
          </w:tcPr>
          <w:p w:rsidR="008C6F77" w:rsidRPr="00A07AEB" w:rsidRDefault="008C6F77" w:rsidP="00CA71F1">
            <w:pPr>
              <w:spacing w:before="380" w:line="280" w:lineRule="exact"/>
              <w:jc w:val="right"/>
              <w:rPr>
                <w:rFonts w:ascii="Tahoma" w:hAnsi="Tahoma" w:cs="Tahoma"/>
                <w:b/>
                <w:bCs/>
                <w:iCs/>
                <w:color w:val="243285"/>
                <w:sz w:val="32"/>
                <w:szCs w:val="32"/>
                <w:lang w:val="en-US"/>
              </w:rPr>
            </w:pPr>
          </w:p>
          <w:p w:rsidR="008C6F77" w:rsidRPr="00A07AEB" w:rsidRDefault="008C6F77" w:rsidP="00CA71F1">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M.2082-0</w:t>
            </w:r>
          </w:p>
          <w:p w:rsidR="008C6F77" w:rsidRPr="00A07AEB" w:rsidRDefault="008C6F77" w:rsidP="00CA71F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11</w:t>
            </w:r>
            <w:r w:rsidRPr="00A07AEB">
              <w:rPr>
                <w:rFonts w:ascii="Tahoma" w:hAnsi="Tahoma" w:cs="Tahoma"/>
                <w:b/>
                <w:bCs/>
                <w:iCs/>
                <w:color w:val="243285"/>
                <w:szCs w:val="24"/>
                <w:lang w:val="es-ES_tradnl"/>
              </w:rPr>
              <w:t>/</w:t>
            </w:r>
            <w:r w:rsidRPr="0080562B">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8C6F77" w:rsidRPr="00AF1BD9" w:rsidTr="00CA71F1">
        <w:tc>
          <w:tcPr>
            <w:tcW w:w="10089" w:type="dxa"/>
          </w:tcPr>
          <w:p w:rsidR="008C6F77" w:rsidRPr="0010336F" w:rsidRDefault="008C6F77" w:rsidP="00CA71F1">
            <w:pPr>
              <w:spacing w:before="80" w:line="500" w:lineRule="exact"/>
              <w:jc w:val="right"/>
              <w:rPr>
                <w:rFonts w:ascii="Tahoma" w:hAnsi="Tahoma" w:cs="Tahoma"/>
                <w:b/>
                <w:bCs/>
                <w:iCs/>
                <w:color w:val="243285"/>
                <w:sz w:val="44"/>
                <w:szCs w:val="44"/>
                <w:lang w:val="es-ES_tradnl"/>
              </w:rPr>
            </w:pPr>
          </w:p>
          <w:p w:rsidR="008C6F77" w:rsidRPr="0010336F" w:rsidRDefault="008C6F77" w:rsidP="00CA71F1">
            <w:pPr>
              <w:spacing w:before="80" w:line="500" w:lineRule="exact"/>
              <w:jc w:val="right"/>
              <w:rPr>
                <w:rFonts w:ascii="Tahoma" w:hAnsi="Tahoma" w:cs="Tahoma"/>
                <w:b/>
                <w:bCs/>
                <w:iCs/>
                <w:color w:val="243285"/>
                <w:sz w:val="44"/>
                <w:szCs w:val="44"/>
                <w:lang w:val="es-ES_tradnl"/>
              </w:rPr>
            </w:pPr>
          </w:p>
          <w:p w:rsidR="008C6F77" w:rsidRDefault="008C6F77" w:rsidP="00CA71F1">
            <w:pPr>
              <w:spacing w:before="80" w:line="500" w:lineRule="exact"/>
              <w:jc w:val="right"/>
              <w:rPr>
                <w:rFonts w:ascii="Tahoma" w:hAnsi="Tahoma" w:cs="Tahoma"/>
                <w:b/>
                <w:bCs/>
                <w:color w:val="243285"/>
                <w:sz w:val="44"/>
                <w:szCs w:val="44"/>
                <w:lang w:val="es-ES_tradnl"/>
              </w:rPr>
            </w:pPr>
            <w:r w:rsidRPr="0080562B">
              <w:rPr>
                <w:rFonts w:ascii="Tahoma" w:hAnsi="Tahoma" w:cs="Tahoma"/>
                <w:b/>
                <w:bCs/>
                <w:iCs/>
                <w:color w:val="243285"/>
                <w:sz w:val="44"/>
                <w:szCs w:val="44"/>
                <w:lang w:val="es-ES_tradnl"/>
              </w:rPr>
              <w:t>Metodología y ejemplo técnico para apoyar la coordinación del servicio móvil por satélite y del servicio de radiodeterminación por satélite con el servicio fijo sobre la base de los niveles de densidad de flujo de potencia determinantes de la coordinación en la banda 2 483,5-2 500 MHz</w:t>
            </w:r>
          </w:p>
          <w:p w:rsidR="008C6F77" w:rsidRPr="00A07AEB" w:rsidRDefault="008C6F77" w:rsidP="00CA71F1">
            <w:pPr>
              <w:spacing w:before="80" w:line="500" w:lineRule="exact"/>
              <w:jc w:val="right"/>
              <w:rPr>
                <w:rFonts w:ascii="Tahoma" w:hAnsi="Tahoma" w:cs="Tahoma"/>
                <w:b/>
                <w:bCs/>
                <w:iCs/>
                <w:color w:val="243285"/>
                <w:sz w:val="44"/>
                <w:szCs w:val="44"/>
                <w:lang w:val="es-ES_tradnl"/>
              </w:rPr>
            </w:pPr>
          </w:p>
        </w:tc>
      </w:tr>
      <w:tr w:rsidR="008C6F77" w:rsidRPr="00AF1BD9" w:rsidTr="00CA71F1">
        <w:tc>
          <w:tcPr>
            <w:tcW w:w="10089" w:type="dxa"/>
          </w:tcPr>
          <w:p w:rsidR="008C6F77" w:rsidRPr="00A07AEB" w:rsidRDefault="008C6F77" w:rsidP="00CA71F1">
            <w:pPr>
              <w:spacing w:before="80" w:line="280" w:lineRule="exact"/>
              <w:ind w:right="640"/>
              <w:rPr>
                <w:rFonts w:ascii="Tahoma" w:hAnsi="Tahoma" w:cs="Tahoma"/>
                <w:b/>
                <w:bCs/>
                <w:iCs/>
                <w:color w:val="243285"/>
                <w:sz w:val="32"/>
                <w:szCs w:val="32"/>
                <w:lang w:val="es-ES_tradnl"/>
              </w:rPr>
            </w:pPr>
          </w:p>
          <w:p w:rsidR="008C6F77" w:rsidRPr="00A07AEB" w:rsidRDefault="008C6F77" w:rsidP="00CA71F1">
            <w:pPr>
              <w:spacing w:before="80" w:line="280" w:lineRule="exact"/>
              <w:ind w:right="640"/>
              <w:rPr>
                <w:rFonts w:ascii="Tahoma" w:hAnsi="Tahoma" w:cs="Tahoma"/>
                <w:b/>
                <w:bCs/>
                <w:iCs/>
                <w:color w:val="243285"/>
                <w:sz w:val="32"/>
                <w:szCs w:val="32"/>
                <w:lang w:val="es-ES_tradnl"/>
              </w:rPr>
            </w:pPr>
          </w:p>
          <w:p w:rsidR="008C6F77" w:rsidRPr="00A07AEB" w:rsidRDefault="008C6F77" w:rsidP="00CA71F1">
            <w:pPr>
              <w:spacing w:before="80" w:after="180" w:line="360" w:lineRule="exact"/>
              <w:ind w:right="720"/>
              <w:rPr>
                <w:rFonts w:ascii="Tahoma" w:hAnsi="Tahoma" w:cs="Tahoma"/>
                <w:b/>
                <w:bCs/>
                <w:iCs/>
                <w:color w:val="243285"/>
                <w:sz w:val="36"/>
                <w:szCs w:val="36"/>
                <w:lang w:val="es-ES_tradnl"/>
              </w:rPr>
            </w:pPr>
          </w:p>
          <w:p w:rsidR="008C6F77" w:rsidRPr="00A07AEB" w:rsidRDefault="008C6F77" w:rsidP="00CA71F1">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C6F77" w:rsidRPr="00A07AEB" w:rsidRDefault="008C6F77" w:rsidP="00CA71F1">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C6F77" w:rsidRPr="0026666F" w:rsidRDefault="008C6F77" w:rsidP="008C6F77">
      <w:pPr>
        <w:spacing w:before="80"/>
        <w:rPr>
          <w:i/>
          <w:sz w:val="22"/>
          <w:lang w:val="es-ES_tradnl"/>
        </w:rPr>
      </w:pPr>
    </w:p>
    <w:p w:rsidR="008C6F77" w:rsidRPr="0026666F" w:rsidRDefault="008C6F77" w:rsidP="008C6F77">
      <w:pPr>
        <w:spacing w:before="80"/>
        <w:rPr>
          <w:i/>
          <w:sz w:val="22"/>
          <w:lang w:val="es-ES_tradnl"/>
        </w:rPr>
      </w:pPr>
    </w:p>
    <w:p w:rsidR="008C6F77" w:rsidRPr="0026666F" w:rsidRDefault="008C6F77" w:rsidP="008C6F77">
      <w:pPr>
        <w:spacing w:before="80"/>
        <w:rPr>
          <w:i/>
          <w:sz w:val="22"/>
          <w:lang w:val="es-ES_tradnl"/>
        </w:rPr>
      </w:pPr>
    </w:p>
    <w:p w:rsidR="008C6F77" w:rsidRPr="0026666F" w:rsidRDefault="008C6F77" w:rsidP="008C6F77">
      <w:pPr>
        <w:pStyle w:val="Equation"/>
        <w:tabs>
          <w:tab w:val="clear" w:pos="4820"/>
          <w:tab w:val="clear" w:pos="9639"/>
          <w:tab w:val="left" w:pos="1191"/>
          <w:tab w:val="left" w:pos="1588"/>
          <w:tab w:val="left" w:pos="1985"/>
        </w:tabs>
        <w:rPr>
          <w:rFonts w:ascii="Palatino Linotype" w:hAnsi="Palatino Linotype"/>
          <w:lang w:val="es-ES_tradnl"/>
        </w:rPr>
        <w:sectPr w:rsidR="008C6F77" w:rsidRPr="0026666F">
          <w:headerReference w:type="even" r:id="rId7"/>
          <w:headerReference w:type="default" r:id="rId8"/>
          <w:pgSz w:w="11907" w:h="16840" w:code="9"/>
          <w:pgMar w:top="1089" w:right="1089" w:bottom="284" w:left="1089" w:header="567" w:footer="284" w:gutter="0"/>
          <w:pgNumType w:start="1"/>
          <w:cols w:space="720"/>
        </w:sectPr>
      </w:pPr>
    </w:p>
    <w:p w:rsidR="008C6F77" w:rsidRPr="006C718C" w:rsidRDefault="008C6F77" w:rsidP="00F96C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8C6F77" w:rsidRPr="006C718C" w:rsidRDefault="008C6F77" w:rsidP="008C6F7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C6F77" w:rsidRPr="006C718C" w:rsidRDefault="008C6F77" w:rsidP="008C6F7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C6F77" w:rsidRPr="00021E8A" w:rsidRDefault="008C6F77" w:rsidP="008C6F7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C6F77" w:rsidRPr="00021E8A" w:rsidRDefault="008C6F77" w:rsidP="008C6F7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C6F77" w:rsidRPr="007C36CA" w:rsidRDefault="008C6F77" w:rsidP="008C6F77">
      <w:pPr>
        <w:spacing w:before="0"/>
        <w:jc w:val="center"/>
        <w:rPr>
          <w:sz w:val="22"/>
          <w:lang w:val="es-ES_tradnl"/>
        </w:rPr>
      </w:pPr>
    </w:p>
    <w:p w:rsidR="008C6F77" w:rsidRPr="007C36CA" w:rsidRDefault="008C6F77" w:rsidP="008C6F7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6F77" w:rsidRPr="00AF1BD9" w:rsidTr="00CA71F1">
        <w:tc>
          <w:tcPr>
            <w:tcW w:w="9360" w:type="dxa"/>
            <w:gridSpan w:val="2"/>
          </w:tcPr>
          <w:p w:rsidR="008C6F77" w:rsidRPr="00021E8A" w:rsidRDefault="008C6F77" w:rsidP="00CA71F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C6F77" w:rsidRPr="00763D08"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Cs/>
                  <w:sz w:val="18"/>
                  <w:szCs w:val="18"/>
                  <w:lang w:val="es-ES_tradnl"/>
                </w:rPr>
                <w:t>http://www.itu.int/publ/R-REC/es</w:t>
              </w:r>
            </w:hyperlink>
            <w:r w:rsidRPr="00763D08">
              <w:rPr>
                <w:b w:val="0"/>
                <w:bCs/>
                <w:sz w:val="18"/>
                <w:szCs w:val="18"/>
                <w:lang w:val="es-ES_tradnl"/>
              </w:rPr>
              <w:t>)</w:t>
            </w:r>
          </w:p>
        </w:tc>
      </w:tr>
      <w:tr w:rsidR="008C6F77" w:rsidRPr="00036EE3" w:rsidTr="00CA71F1">
        <w:tc>
          <w:tcPr>
            <w:tcW w:w="1140" w:type="dxa"/>
          </w:tcPr>
          <w:p w:rsidR="008C6F77" w:rsidRPr="00036EE3" w:rsidRDefault="008C6F77" w:rsidP="00CA71F1">
            <w:pPr>
              <w:spacing w:before="180" w:after="100"/>
              <w:ind w:left="57"/>
              <w:rPr>
                <w:b/>
                <w:bCs/>
                <w:sz w:val="20"/>
                <w:lang w:val="en-US"/>
              </w:rPr>
            </w:pPr>
            <w:r w:rsidRPr="00036EE3">
              <w:rPr>
                <w:b/>
                <w:bCs/>
                <w:sz w:val="20"/>
                <w:lang w:val="en-US"/>
              </w:rPr>
              <w:t>Series</w:t>
            </w:r>
          </w:p>
        </w:tc>
        <w:tc>
          <w:tcPr>
            <w:tcW w:w="8220" w:type="dxa"/>
          </w:tcPr>
          <w:p w:rsidR="008C6F77" w:rsidRPr="00036EE3"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BO</w:t>
            </w:r>
          </w:p>
        </w:tc>
        <w:tc>
          <w:tcPr>
            <w:tcW w:w="8220" w:type="dxa"/>
          </w:tcPr>
          <w:p w:rsidR="008C6F77" w:rsidRPr="00021E8A"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C6F77" w:rsidRPr="00AF1BD9"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BR</w:t>
            </w:r>
          </w:p>
        </w:tc>
        <w:tc>
          <w:tcPr>
            <w:tcW w:w="8220" w:type="dxa"/>
          </w:tcPr>
          <w:p w:rsidR="008C6F77" w:rsidRPr="00021E8A"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BS</w:t>
            </w:r>
          </w:p>
        </w:tc>
        <w:tc>
          <w:tcPr>
            <w:tcW w:w="8220" w:type="dxa"/>
          </w:tcPr>
          <w:p w:rsidR="008C6F77" w:rsidRPr="00021E8A"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C6F77" w:rsidRPr="00ED2695" w:rsidTr="00CA71F1">
        <w:tc>
          <w:tcPr>
            <w:tcW w:w="1140" w:type="dxa"/>
            <w:shd w:val="clear" w:color="auto" w:fill="auto"/>
          </w:tcPr>
          <w:p w:rsidR="008C6F77" w:rsidRPr="00ED2695" w:rsidRDefault="008C6F77" w:rsidP="00CA71F1">
            <w:pPr>
              <w:spacing w:before="30" w:after="30"/>
              <w:ind w:left="57"/>
              <w:jc w:val="left"/>
              <w:rPr>
                <w:b/>
                <w:bCs/>
                <w:sz w:val="20"/>
                <w:lang w:val="en-US"/>
              </w:rPr>
            </w:pPr>
            <w:r w:rsidRPr="00ED2695">
              <w:rPr>
                <w:b/>
                <w:bCs/>
                <w:sz w:val="20"/>
                <w:lang w:val="en-US"/>
              </w:rPr>
              <w:t>BT</w:t>
            </w:r>
          </w:p>
        </w:tc>
        <w:tc>
          <w:tcPr>
            <w:tcW w:w="8220" w:type="dxa"/>
            <w:shd w:val="clear" w:color="auto" w:fill="auto"/>
          </w:tcPr>
          <w:p w:rsidR="008C6F77" w:rsidRPr="00021E8A"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C6F77" w:rsidRPr="00036EE3" w:rsidTr="00CA71F1">
        <w:tc>
          <w:tcPr>
            <w:tcW w:w="1140" w:type="dxa"/>
            <w:shd w:val="clear" w:color="auto" w:fill="auto"/>
          </w:tcPr>
          <w:p w:rsidR="008C6F77" w:rsidRPr="00036EE3" w:rsidRDefault="008C6F77" w:rsidP="00CA71F1">
            <w:pPr>
              <w:spacing w:before="30" w:after="30"/>
              <w:ind w:left="57"/>
              <w:jc w:val="left"/>
              <w:rPr>
                <w:b/>
                <w:bCs/>
                <w:sz w:val="20"/>
                <w:lang w:val="fr-CH"/>
              </w:rPr>
            </w:pPr>
            <w:r w:rsidRPr="00036EE3">
              <w:rPr>
                <w:b/>
                <w:bCs/>
                <w:sz w:val="20"/>
                <w:lang w:val="fr-CH"/>
              </w:rPr>
              <w:t>F</w:t>
            </w:r>
          </w:p>
        </w:tc>
        <w:tc>
          <w:tcPr>
            <w:tcW w:w="8220" w:type="dxa"/>
            <w:shd w:val="clear" w:color="auto" w:fill="auto"/>
          </w:tcPr>
          <w:p w:rsidR="008C6F77" w:rsidRPr="00021E8A" w:rsidRDefault="008C6F77" w:rsidP="00CA71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C6F77" w:rsidRPr="00AF1BD9" w:rsidTr="00CA71F1">
        <w:tc>
          <w:tcPr>
            <w:tcW w:w="1140" w:type="dxa"/>
            <w:shd w:val="clear" w:color="auto" w:fill="F3F3F3"/>
          </w:tcPr>
          <w:p w:rsidR="008C6F77" w:rsidRPr="001240BC" w:rsidRDefault="008C6F77" w:rsidP="00CA71F1">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C6F77" w:rsidRPr="001240BC" w:rsidRDefault="008C6F77" w:rsidP="00CA71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C6F77" w:rsidRPr="00AF1BD9" w:rsidTr="00CA71F1">
        <w:tc>
          <w:tcPr>
            <w:tcW w:w="1140" w:type="dxa"/>
          </w:tcPr>
          <w:p w:rsidR="008C6F77" w:rsidRPr="00036EE3" w:rsidRDefault="008C6F77" w:rsidP="00CA71F1">
            <w:pPr>
              <w:spacing w:before="30" w:after="30"/>
              <w:ind w:left="57"/>
              <w:jc w:val="left"/>
              <w:rPr>
                <w:b/>
                <w:bCs/>
                <w:sz w:val="20"/>
                <w:lang w:val="fr-CH"/>
              </w:rPr>
            </w:pPr>
            <w:r w:rsidRPr="00036EE3">
              <w:rPr>
                <w:b/>
                <w:bCs/>
                <w:sz w:val="20"/>
                <w:lang w:val="fr-CH"/>
              </w:rPr>
              <w:t>P</w:t>
            </w:r>
          </w:p>
        </w:tc>
        <w:tc>
          <w:tcPr>
            <w:tcW w:w="8220" w:type="dxa"/>
          </w:tcPr>
          <w:p w:rsidR="008C6F77" w:rsidRPr="00021E8A" w:rsidRDefault="008C6F77" w:rsidP="00CA71F1">
            <w:pPr>
              <w:spacing w:before="30" w:after="30"/>
              <w:jc w:val="left"/>
              <w:rPr>
                <w:bCs/>
                <w:sz w:val="20"/>
                <w:lang w:val="es-ES_tradnl"/>
              </w:rPr>
            </w:pPr>
            <w:r w:rsidRPr="00021E8A">
              <w:rPr>
                <w:bCs/>
                <w:sz w:val="20"/>
                <w:lang w:val="es-ES_tradnl"/>
              </w:rPr>
              <w:t>Propagación de las ondas radioeléctricas</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RA</w:t>
            </w:r>
          </w:p>
        </w:tc>
        <w:tc>
          <w:tcPr>
            <w:tcW w:w="8220" w:type="dxa"/>
          </w:tcPr>
          <w:p w:rsidR="008C6F77" w:rsidRPr="00021E8A" w:rsidRDefault="008C6F77" w:rsidP="00CA71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C6F77" w:rsidRPr="00AF1BD9"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RS</w:t>
            </w:r>
          </w:p>
        </w:tc>
        <w:tc>
          <w:tcPr>
            <w:tcW w:w="8220" w:type="dxa"/>
          </w:tcPr>
          <w:p w:rsidR="008C6F77" w:rsidRPr="00021E8A" w:rsidRDefault="008C6F77" w:rsidP="00CA71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S</w:t>
            </w:r>
          </w:p>
        </w:tc>
        <w:tc>
          <w:tcPr>
            <w:tcW w:w="8220" w:type="dxa"/>
          </w:tcPr>
          <w:p w:rsidR="008C6F77" w:rsidRPr="00021E8A" w:rsidRDefault="008C6F77" w:rsidP="00CA71F1">
            <w:pPr>
              <w:spacing w:before="30" w:after="30"/>
              <w:jc w:val="left"/>
              <w:rPr>
                <w:bCs/>
                <w:sz w:val="20"/>
                <w:lang w:val="en-US"/>
              </w:rPr>
            </w:pPr>
            <w:r w:rsidRPr="00021E8A">
              <w:rPr>
                <w:bCs/>
                <w:sz w:val="20"/>
              </w:rPr>
              <w:t>Servicio fijo por satélite</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SA</w:t>
            </w:r>
          </w:p>
        </w:tc>
        <w:tc>
          <w:tcPr>
            <w:tcW w:w="8220" w:type="dxa"/>
          </w:tcPr>
          <w:p w:rsidR="008C6F77" w:rsidRPr="00021E8A" w:rsidRDefault="008C6F77" w:rsidP="00CA71F1">
            <w:pPr>
              <w:spacing w:before="30" w:after="30"/>
              <w:jc w:val="left"/>
              <w:rPr>
                <w:bCs/>
                <w:sz w:val="20"/>
                <w:lang w:val="en-US"/>
              </w:rPr>
            </w:pPr>
            <w:r w:rsidRPr="00021E8A">
              <w:rPr>
                <w:bCs/>
                <w:sz w:val="20"/>
              </w:rPr>
              <w:t>Aplicaciones espaciales y meteorología</w:t>
            </w:r>
          </w:p>
        </w:tc>
      </w:tr>
      <w:tr w:rsidR="008C6F77" w:rsidRPr="00AF1BD9"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SF</w:t>
            </w:r>
          </w:p>
        </w:tc>
        <w:tc>
          <w:tcPr>
            <w:tcW w:w="8220" w:type="dxa"/>
          </w:tcPr>
          <w:p w:rsidR="008C6F77" w:rsidRPr="00021E8A" w:rsidRDefault="008C6F77" w:rsidP="00CA71F1">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C6F77" w:rsidRPr="00036EE3" w:rsidTr="00CA71F1">
        <w:tc>
          <w:tcPr>
            <w:tcW w:w="1140" w:type="dxa"/>
            <w:shd w:val="clear" w:color="auto" w:fill="auto"/>
          </w:tcPr>
          <w:p w:rsidR="008C6F77" w:rsidRPr="001240BC" w:rsidRDefault="008C6F77" w:rsidP="00CA71F1">
            <w:pPr>
              <w:spacing w:before="30" w:after="30"/>
              <w:ind w:left="57"/>
              <w:jc w:val="left"/>
              <w:rPr>
                <w:b/>
                <w:bCs/>
                <w:sz w:val="20"/>
                <w:lang w:val="en-US"/>
              </w:rPr>
            </w:pPr>
            <w:r w:rsidRPr="001240BC">
              <w:rPr>
                <w:b/>
                <w:bCs/>
                <w:sz w:val="20"/>
                <w:lang w:val="en-US"/>
              </w:rPr>
              <w:t>SM</w:t>
            </w:r>
          </w:p>
        </w:tc>
        <w:tc>
          <w:tcPr>
            <w:tcW w:w="8220" w:type="dxa"/>
            <w:shd w:val="clear" w:color="auto" w:fill="auto"/>
          </w:tcPr>
          <w:p w:rsidR="008C6F77" w:rsidRPr="001240BC" w:rsidRDefault="008C6F77" w:rsidP="00CA71F1">
            <w:pPr>
              <w:spacing w:before="30" w:after="30"/>
              <w:jc w:val="left"/>
              <w:rPr>
                <w:sz w:val="20"/>
                <w:lang w:val="en-US"/>
              </w:rPr>
            </w:pPr>
            <w:r w:rsidRPr="001240BC">
              <w:rPr>
                <w:sz w:val="20"/>
              </w:rPr>
              <w:t>Gestión del espectro</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SNG</w:t>
            </w:r>
          </w:p>
        </w:tc>
        <w:tc>
          <w:tcPr>
            <w:tcW w:w="8220" w:type="dxa"/>
          </w:tcPr>
          <w:p w:rsidR="008C6F77" w:rsidRPr="00021E8A" w:rsidRDefault="008C6F77" w:rsidP="00CA71F1">
            <w:pPr>
              <w:spacing w:before="30" w:after="30"/>
              <w:jc w:val="left"/>
              <w:rPr>
                <w:bCs/>
                <w:sz w:val="20"/>
                <w:lang w:val="en-US"/>
              </w:rPr>
            </w:pPr>
            <w:r w:rsidRPr="00021E8A">
              <w:rPr>
                <w:bCs/>
                <w:sz w:val="20"/>
              </w:rPr>
              <w:t>Periodismo electrónico por satélite</w:t>
            </w:r>
          </w:p>
        </w:tc>
      </w:tr>
      <w:tr w:rsidR="008C6F77" w:rsidRPr="00AF1BD9"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TF</w:t>
            </w:r>
          </w:p>
        </w:tc>
        <w:tc>
          <w:tcPr>
            <w:tcW w:w="8220" w:type="dxa"/>
          </w:tcPr>
          <w:p w:rsidR="008C6F77" w:rsidRPr="00021E8A" w:rsidRDefault="008C6F77" w:rsidP="00CA71F1">
            <w:pPr>
              <w:spacing w:before="30" w:after="30"/>
              <w:jc w:val="left"/>
              <w:rPr>
                <w:bCs/>
                <w:sz w:val="20"/>
                <w:lang w:val="es-ES_tradnl"/>
              </w:rPr>
            </w:pPr>
            <w:r w:rsidRPr="00021E8A">
              <w:rPr>
                <w:bCs/>
                <w:sz w:val="20"/>
                <w:lang w:val="es-ES_tradnl"/>
              </w:rPr>
              <w:t>Emisiones de frecuencias patrón y señales horarias</w:t>
            </w:r>
          </w:p>
        </w:tc>
      </w:tr>
      <w:tr w:rsidR="008C6F77" w:rsidRPr="00036EE3" w:rsidTr="00CA71F1">
        <w:tc>
          <w:tcPr>
            <w:tcW w:w="1140" w:type="dxa"/>
          </w:tcPr>
          <w:p w:rsidR="008C6F77" w:rsidRPr="00036EE3" w:rsidRDefault="008C6F77" w:rsidP="00CA71F1">
            <w:pPr>
              <w:spacing w:before="30" w:after="30"/>
              <w:ind w:left="57"/>
              <w:jc w:val="left"/>
              <w:rPr>
                <w:b/>
                <w:bCs/>
                <w:sz w:val="20"/>
                <w:lang w:val="en-US"/>
              </w:rPr>
            </w:pPr>
            <w:r w:rsidRPr="00036EE3">
              <w:rPr>
                <w:b/>
                <w:bCs/>
                <w:sz w:val="20"/>
                <w:lang w:val="en-US"/>
              </w:rPr>
              <w:t>V</w:t>
            </w:r>
          </w:p>
        </w:tc>
        <w:tc>
          <w:tcPr>
            <w:tcW w:w="8220" w:type="dxa"/>
          </w:tcPr>
          <w:p w:rsidR="008C6F77" w:rsidRPr="00021E8A" w:rsidRDefault="008C6F77" w:rsidP="00CA71F1">
            <w:pPr>
              <w:spacing w:before="30" w:after="140"/>
              <w:jc w:val="left"/>
              <w:rPr>
                <w:bCs/>
                <w:sz w:val="20"/>
                <w:lang w:val="en-US"/>
              </w:rPr>
            </w:pPr>
            <w:r w:rsidRPr="00021E8A">
              <w:rPr>
                <w:bCs/>
                <w:sz w:val="20"/>
              </w:rPr>
              <w:t>Vocabulario y cuestiones afines</w:t>
            </w:r>
          </w:p>
        </w:tc>
      </w:tr>
    </w:tbl>
    <w:p w:rsidR="008C6F77" w:rsidRPr="00036EE3" w:rsidRDefault="008C6F77" w:rsidP="008C6F7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6F77" w:rsidTr="00CA71F1">
        <w:tc>
          <w:tcPr>
            <w:tcW w:w="720" w:type="dxa"/>
          </w:tcPr>
          <w:p w:rsidR="008C6F77" w:rsidRDefault="008C6F77" w:rsidP="00CA71F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6F77" w:rsidRPr="00AF1BD9" w:rsidTr="00CA71F1">
        <w:tc>
          <w:tcPr>
            <w:tcW w:w="9360" w:type="dxa"/>
          </w:tcPr>
          <w:p w:rsidR="008C6F77" w:rsidRPr="00A07AEB" w:rsidRDefault="008C6F77" w:rsidP="00CA71F1">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C6F77" w:rsidRPr="00763D08" w:rsidRDefault="008C6F77" w:rsidP="008C6F77">
      <w:pPr>
        <w:spacing w:before="0"/>
        <w:jc w:val="center"/>
        <w:rPr>
          <w:sz w:val="22"/>
          <w:lang w:val="es-ES_tradnl"/>
        </w:rPr>
      </w:pPr>
    </w:p>
    <w:p w:rsidR="008C6F77" w:rsidRPr="00763D08" w:rsidRDefault="008C6F77" w:rsidP="008C6F77">
      <w:pPr>
        <w:spacing w:before="60"/>
        <w:jc w:val="right"/>
        <w:rPr>
          <w:i/>
          <w:iCs/>
          <w:sz w:val="20"/>
          <w:lang w:val="es-ES_tradnl"/>
        </w:rPr>
      </w:pPr>
      <w:r w:rsidRPr="00763D08">
        <w:rPr>
          <w:i/>
          <w:iCs/>
          <w:sz w:val="20"/>
          <w:lang w:val="es-ES_tradnl"/>
        </w:rPr>
        <w:t>Publicación electrónica</w:t>
      </w:r>
    </w:p>
    <w:p w:rsidR="008C6F77" w:rsidRPr="00763D08" w:rsidRDefault="008C6F77" w:rsidP="008C6F77">
      <w:pPr>
        <w:spacing w:before="0" w:after="40"/>
        <w:jc w:val="right"/>
        <w:rPr>
          <w:sz w:val="20"/>
          <w:lang w:val="es-ES_tradnl"/>
        </w:rPr>
      </w:pPr>
      <w:r w:rsidRPr="00763D08">
        <w:rPr>
          <w:sz w:val="20"/>
          <w:lang w:val="es-ES_tradnl"/>
        </w:rPr>
        <w:t>Ginebra, 20</w:t>
      </w:r>
      <w:r>
        <w:rPr>
          <w:sz w:val="20"/>
          <w:lang w:val="es-ES_tradnl"/>
        </w:rPr>
        <w:t>16</w:t>
      </w:r>
    </w:p>
    <w:p w:rsidR="008C6F77" w:rsidRPr="00763D08" w:rsidRDefault="008C6F77" w:rsidP="00F96C80">
      <w:pPr>
        <w:spacing w:before="0" w:after="120"/>
        <w:jc w:val="center"/>
        <w:rPr>
          <w:sz w:val="22"/>
          <w:lang w:val="es-ES_tradnl"/>
        </w:rPr>
      </w:pPr>
    </w:p>
    <w:p w:rsidR="008C6F77" w:rsidRPr="00763D08" w:rsidRDefault="008C6F77" w:rsidP="008C6F7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8C6F77" w:rsidRPr="006C718C" w:rsidRDefault="008C6F77" w:rsidP="008C6F7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C6F77" w:rsidRPr="006C718C" w:rsidRDefault="008C6F77" w:rsidP="008C6F77">
      <w:pPr>
        <w:spacing w:before="160"/>
        <w:rPr>
          <w:i/>
          <w:sz w:val="20"/>
          <w:highlight w:val="yellow"/>
          <w:lang w:val="es-ES_tradnl"/>
        </w:rPr>
        <w:sectPr w:rsidR="008C6F77" w:rsidRPr="006C718C" w:rsidSect="00CA71F1">
          <w:headerReference w:type="even" r:id="rId11"/>
          <w:headerReference w:type="default" r:id="rId12"/>
          <w:pgSz w:w="11907" w:h="16834" w:code="9"/>
          <w:pgMar w:top="1418" w:right="1134" w:bottom="1134" w:left="1134" w:header="720" w:footer="482" w:gutter="0"/>
          <w:pgNumType w:fmt="lowerRoman" w:start="2"/>
          <w:cols w:space="720"/>
        </w:sectPr>
      </w:pPr>
    </w:p>
    <w:p w:rsidR="008C6F77" w:rsidRPr="0010336F" w:rsidRDefault="008C6F77" w:rsidP="008C6F77">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Pr="0080562B">
        <w:rPr>
          <w:rStyle w:val="href"/>
          <w:lang w:val="es-ES_tradnl"/>
        </w:rPr>
        <w:t>2082-0</w:t>
      </w:r>
    </w:p>
    <w:p w:rsidR="008C6F77" w:rsidRDefault="008C6F77" w:rsidP="008C6F77">
      <w:pPr>
        <w:pStyle w:val="Rectitle"/>
        <w:rPr>
          <w:lang w:val="es-ES_tradnl"/>
        </w:rPr>
      </w:pPr>
      <w:r w:rsidRPr="0080562B">
        <w:rPr>
          <w:lang w:val="es-ES_tradnl"/>
        </w:rPr>
        <w:t>Metodología y ejemplo técnico para apoyar la coordinación del servicio</w:t>
      </w:r>
      <w:r>
        <w:rPr>
          <w:lang w:val="es-ES_tradnl"/>
        </w:rPr>
        <w:br/>
      </w:r>
      <w:r w:rsidRPr="0080562B">
        <w:rPr>
          <w:lang w:val="es-ES_tradnl"/>
        </w:rPr>
        <w:t>móvil por satélite y del servicio de radiodeterminación por satélite</w:t>
      </w:r>
      <w:r>
        <w:rPr>
          <w:lang w:val="es-ES_tradnl"/>
        </w:rPr>
        <w:br/>
      </w:r>
      <w:r w:rsidRPr="0080562B">
        <w:rPr>
          <w:lang w:val="es-ES_tradnl"/>
        </w:rPr>
        <w:t xml:space="preserve">con el servicio fijo sobre la base de los niveles de densidad </w:t>
      </w:r>
      <w:r>
        <w:rPr>
          <w:lang w:val="es-ES_tradnl"/>
        </w:rPr>
        <w:br/>
      </w:r>
      <w:r w:rsidRPr="0080562B">
        <w:rPr>
          <w:lang w:val="es-ES_tradnl"/>
        </w:rPr>
        <w:t>de flujo de potencia determinantes de la coordinación</w:t>
      </w:r>
      <w:r>
        <w:rPr>
          <w:lang w:val="es-ES_tradnl"/>
        </w:rPr>
        <w:br/>
      </w:r>
      <w:r w:rsidRPr="0080562B">
        <w:rPr>
          <w:lang w:val="es-ES_tradnl"/>
        </w:rPr>
        <w:t>en la banda 2 483,5-2 500 MHz</w:t>
      </w:r>
    </w:p>
    <w:p w:rsidR="00AD11F7" w:rsidRPr="00E415F9" w:rsidRDefault="00AD11F7" w:rsidP="00AD11F7">
      <w:pPr>
        <w:pStyle w:val="Blanc"/>
        <w:rPr>
          <w:lang w:val="es-ES_tradnl"/>
        </w:rPr>
      </w:pPr>
    </w:p>
    <w:p w:rsidR="008C6F77" w:rsidRPr="0080562B" w:rsidRDefault="008C6F77" w:rsidP="008C6F77">
      <w:pPr>
        <w:pStyle w:val="Recdate"/>
        <w:rPr>
          <w:lang w:val="es-ES_tradnl"/>
        </w:rPr>
      </w:pPr>
      <w:r w:rsidRPr="0080562B">
        <w:rPr>
          <w:lang w:val="es-ES_tradnl"/>
        </w:rPr>
        <w:t>(2015)</w:t>
      </w:r>
    </w:p>
    <w:p w:rsidR="00AD11F7" w:rsidRPr="00E415F9" w:rsidRDefault="00AD11F7" w:rsidP="00AD11F7">
      <w:pPr>
        <w:pStyle w:val="Blanc"/>
        <w:rPr>
          <w:lang w:val="es-ES_tradnl"/>
        </w:rPr>
      </w:pPr>
    </w:p>
    <w:p w:rsidR="008C6F77" w:rsidRPr="0080562B" w:rsidRDefault="008C6F77" w:rsidP="008C6F77">
      <w:pPr>
        <w:pStyle w:val="HeadingSum"/>
      </w:pPr>
      <w:r w:rsidRPr="0080562B">
        <w:t>Cometido</w:t>
      </w:r>
    </w:p>
    <w:p w:rsidR="008C6F77" w:rsidRPr="0080562B" w:rsidRDefault="008C6F77" w:rsidP="008C6F77">
      <w:pPr>
        <w:pStyle w:val="Summary"/>
      </w:pPr>
      <w:r w:rsidRPr="0080562B">
        <w:t>En esta Recomendación se da información sobre la coordinación entre sistemas del servicio fijo y sistemas del servicio móvil por satélite y el servicio de radiodeterminación por satélite en la banda de frecuencias 2 483,5</w:t>
      </w:r>
      <w:r w:rsidRPr="0080562B">
        <w:noBreakHyphen/>
        <w:t>2 500 MHz. Se incluye una estimación del nivel de interferencia que pueden causar los sistemas del servicio móvil por satélite y el servicio de radiodeterminación por satélite. En esta Recomendación se examinan las consecuencias de la relajación del nivel de densidad de flujo de potencia que determina la coordinación con el servicio fijo acordada por la CMR-12 en el marco del punto 1.18 de su orden del día.</w:t>
      </w:r>
    </w:p>
    <w:p w:rsidR="008C6F77" w:rsidRPr="00A6617B" w:rsidRDefault="008C6F77" w:rsidP="008C6F77">
      <w:pPr>
        <w:pStyle w:val="Summary"/>
        <w:spacing w:after="480"/>
      </w:pPr>
      <w:r w:rsidRPr="0080562B">
        <w:t>Esta Recomendación puede servir de ayuda para realizar la coordinación en virtud del número</w:t>
      </w:r>
      <w:r>
        <w:t> </w:t>
      </w:r>
      <w:r w:rsidRPr="0080562B">
        <w:rPr>
          <w:b/>
          <w:bCs/>
        </w:rPr>
        <w:t>9.14</w:t>
      </w:r>
      <w:r w:rsidRPr="0080562B">
        <w:t xml:space="preserve"> del Reglamento de Radiocomunicaciones con administraciones que deseen explotar sus sistemas del SMS o el SRDS con niveles de dfp superiores a los umbrales definidos en el Apéndice </w:t>
      </w:r>
      <w:r w:rsidRPr="0080562B">
        <w:rPr>
          <w:b/>
          <w:bCs/>
        </w:rPr>
        <w:t>5</w:t>
      </w:r>
      <w:r w:rsidRPr="0080562B">
        <w:t xml:space="preserve"> del RR.</w:t>
      </w:r>
    </w:p>
    <w:p w:rsidR="008C6F77" w:rsidRPr="0080562B" w:rsidRDefault="008C6F77" w:rsidP="008C6F77">
      <w:pPr>
        <w:pStyle w:val="Headingb"/>
        <w:rPr>
          <w:lang w:val="es-ES_tradnl"/>
        </w:rPr>
      </w:pPr>
      <w:r w:rsidRPr="0080562B">
        <w:rPr>
          <w:lang w:val="es-ES_tradnl"/>
        </w:rPr>
        <w:t>Palabras clave</w:t>
      </w:r>
    </w:p>
    <w:p w:rsidR="008C6F77" w:rsidRPr="0080562B" w:rsidRDefault="008C6F77" w:rsidP="008C6F77">
      <w:pPr>
        <w:rPr>
          <w:lang w:val="es-ES_tradnl"/>
        </w:rPr>
      </w:pPr>
      <w:r w:rsidRPr="0080562B">
        <w:rPr>
          <w:lang w:val="es-ES_tradnl"/>
        </w:rPr>
        <w:t>SF, SM,</w:t>
      </w:r>
      <w:r>
        <w:rPr>
          <w:lang w:val="es-ES_tradnl"/>
        </w:rPr>
        <w:t xml:space="preserve"> </w:t>
      </w:r>
      <w:r w:rsidRPr="0080562B">
        <w:rPr>
          <w:lang w:val="es-ES_tradnl"/>
        </w:rPr>
        <w:t>SMS, SRDS, umbral de coordinación</w:t>
      </w:r>
    </w:p>
    <w:p w:rsidR="008C6F77" w:rsidRPr="0080562B" w:rsidRDefault="008C6F77" w:rsidP="008C6F77">
      <w:pPr>
        <w:pStyle w:val="Headingb"/>
        <w:rPr>
          <w:lang w:val="es-ES_tradnl"/>
        </w:rPr>
      </w:pPr>
      <w:r w:rsidRPr="0080562B">
        <w:rPr>
          <w:lang w:val="es-ES_tradnl"/>
        </w:rPr>
        <w:t>Siglas y acrónimos/glosario</w:t>
      </w:r>
    </w:p>
    <w:p w:rsidR="008C6F77" w:rsidRPr="0080562B" w:rsidRDefault="008C6F77" w:rsidP="008C6F77">
      <w:pPr>
        <w:rPr>
          <w:lang w:val="es-ES_tradnl"/>
        </w:rPr>
      </w:pPr>
      <w:r w:rsidRPr="0080562B">
        <w:rPr>
          <w:lang w:val="es-ES_tradnl"/>
        </w:rPr>
        <w:t>DFC</w:t>
      </w:r>
      <w:r w:rsidRPr="0080562B">
        <w:rPr>
          <w:lang w:val="es-ES_tradnl"/>
        </w:rPr>
        <w:tab/>
      </w:r>
      <w:r w:rsidR="00F96C80" w:rsidRPr="0080562B">
        <w:rPr>
          <w:lang w:val="es-ES_tradnl"/>
        </w:rPr>
        <w:t xml:space="preserve">Degradación </w:t>
      </w:r>
      <w:r w:rsidRPr="0080562B">
        <w:rPr>
          <w:lang w:val="es-ES_tradnl"/>
        </w:rPr>
        <w:t>fraccionaria de la calidad de funcionamiento</w:t>
      </w:r>
    </w:p>
    <w:p w:rsidR="008C6F77" w:rsidRPr="0080562B" w:rsidRDefault="008C6F77" w:rsidP="008C6F77">
      <w:pPr>
        <w:rPr>
          <w:lang w:val="es-ES_tradnl"/>
        </w:rPr>
      </w:pPr>
      <w:r w:rsidRPr="0080562B">
        <w:rPr>
          <w:lang w:val="es-ES_tradnl"/>
        </w:rPr>
        <w:t>dfp</w:t>
      </w:r>
      <w:r w:rsidRPr="0080562B">
        <w:rPr>
          <w:lang w:val="es-ES_tradnl"/>
        </w:rPr>
        <w:tab/>
      </w:r>
      <w:r w:rsidR="00F96C80" w:rsidRPr="0080562B">
        <w:rPr>
          <w:lang w:val="es-ES_tradnl"/>
        </w:rPr>
        <w:t xml:space="preserve">Densidad </w:t>
      </w:r>
      <w:r w:rsidRPr="0080562B">
        <w:rPr>
          <w:lang w:val="es-ES_tradnl"/>
        </w:rPr>
        <w:t>de flujo de potencia</w:t>
      </w:r>
    </w:p>
    <w:p w:rsidR="008C6F77" w:rsidRPr="0080562B" w:rsidRDefault="008C6F77" w:rsidP="008C6F77">
      <w:pPr>
        <w:pStyle w:val="Headingb"/>
        <w:rPr>
          <w:lang w:val="es-ES_tradnl"/>
        </w:rPr>
      </w:pPr>
      <w:r w:rsidRPr="0080562B">
        <w:rPr>
          <w:lang w:val="es-ES_tradnl"/>
        </w:rPr>
        <w:t>Recomendaciones de la UIT relacionad</w:t>
      </w:r>
      <w:r>
        <w:rPr>
          <w:lang w:val="es-ES_tradnl"/>
        </w:rPr>
        <w:t>a</w:t>
      </w:r>
      <w:r w:rsidRPr="0080562B">
        <w:rPr>
          <w:lang w:val="es-ES_tradnl"/>
        </w:rPr>
        <w:t>s</w:t>
      </w:r>
    </w:p>
    <w:p w:rsidR="008C6F77" w:rsidRPr="0080562B" w:rsidRDefault="008C6F77" w:rsidP="008C6F77">
      <w:pPr>
        <w:tabs>
          <w:tab w:val="left" w:pos="3572"/>
        </w:tabs>
        <w:ind w:left="3572" w:hanging="3572"/>
        <w:rPr>
          <w:sz w:val="22"/>
          <w:lang w:val="es-ES_tradnl"/>
        </w:rPr>
      </w:pPr>
      <w:r w:rsidRPr="0080562B">
        <w:rPr>
          <w:lang w:val="es-ES_tradnl"/>
        </w:rPr>
        <w:t>Recomendación UIT-R F.758-6</w:t>
      </w:r>
      <w:r w:rsidRPr="0080562B">
        <w:rPr>
          <w:rFonts w:eastAsia="SimSun"/>
          <w:lang w:val="es-ES_tradnl"/>
        </w:rPr>
        <w:tab/>
        <w:t>Parámetros de sistema y consideraciones relativas a la elaboración de criterios para la compartición o la compatibilidad entre los sistemas inalámbricos fijos digitales del servicio fijo y sistemas de otros servicios y otras fuentes de interferencia</w:t>
      </w:r>
    </w:p>
    <w:p w:rsidR="008C6F77" w:rsidRPr="0080562B" w:rsidRDefault="008C6F77" w:rsidP="008C6F77">
      <w:pPr>
        <w:tabs>
          <w:tab w:val="left" w:pos="3572"/>
        </w:tabs>
        <w:ind w:left="3572" w:hanging="3572"/>
        <w:rPr>
          <w:rFonts w:eastAsia="SimSun"/>
          <w:lang w:val="es-ES_tradnl"/>
        </w:rPr>
      </w:pPr>
      <w:r w:rsidRPr="0080562B">
        <w:rPr>
          <w:lang w:val="es-ES_tradnl"/>
        </w:rPr>
        <w:t>Recomendación UIT-R F.1108-4</w:t>
      </w:r>
      <w:r w:rsidRPr="0080562B">
        <w:rPr>
          <w:rFonts w:eastAsia="SimSun"/>
          <w:lang w:val="es-ES_tradnl"/>
        </w:rPr>
        <w:tab/>
      </w:r>
      <w:r w:rsidRPr="0080562B">
        <w:rPr>
          <w:lang w:val="es-ES_tradnl"/>
        </w:rPr>
        <w:t>Determinación de los criterios para proteger los receptores del servicio fijo contra las emisiones procedentes de estaciones espaciales situadas en órbitas de satélites no geoestacionarios y que funcionan en bandas de frecuencias compartidas</w:t>
      </w:r>
    </w:p>
    <w:p w:rsidR="008C6F77" w:rsidRPr="0080562B" w:rsidRDefault="008C6F77" w:rsidP="008C6F77">
      <w:pPr>
        <w:tabs>
          <w:tab w:val="left" w:pos="3572"/>
        </w:tabs>
        <w:ind w:left="3572" w:hanging="3572"/>
        <w:rPr>
          <w:rFonts w:eastAsia="SimSun"/>
          <w:sz w:val="22"/>
          <w:lang w:val="es-ES_tradnl"/>
        </w:rPr>
      </w:pPr>
      <w:r w:rsidRPr="0080562B">
        <w:rPr>
          <w:lang w:val="es-ES_tradnl"/>
        </w:rPr>
        <w:t>Recomendación UIT-R M.1143-3</w:t>
      </w:r>
      <w:r w:rsidRPr="0080562B">
        <w:rPr>
          <w:rFonts w:eastAsia="SimSun"/>
          <w:lang w:val="es-ES_tradnl"/>
        </w:rPr>
        <w:tab/>
        <w:t>Metodología específica del sistema para la coordinación de estaciones espaciales no geoestacionarias (espacio-Tierra) que operan en el servicio móvil por satélite con el servicio fijo</w:t>
      </w:r>
    </w:p>
    <w:p w:rsidR="008C6F77" w:rsidRPr="0080562B" w:rsidRDefault="008C6F77" w:rsidP="008C6F77">
      <w:pPr>
        <w:tabs>
          <w:tab w:val="left" w:pos="3572"/>
        </w:tabs>
        <w:ind w:left="3572" w:hanging="3572"/>
        <w:rPr>
          <w:rFonts w:eastAsia="SimSun"/>
          <w:sz w:val="22"/>
          <w:lang w:val="es-ES_tradnl"/>
        </w:rPr>
      </w:pPr>
      <w:r w:rsidRPr="0080562B">
        <w:rPr>
          <w:lang w:val="es-ES_tradnl"/>
        </w:rPr>
        <w:t>Recomendación UIT-R M.1787-2</w:t>
      </w:r>
      <w:r w:rsidRPr="0080562B">
        <w:rPr>
          <w:rFonts w:eastAsia="SimSun"/>
          <w:lang w:val="es-ES_tradnl"/>
        </w:rPr>
        <w:tab/>
      </w:r>
      <w:r w:rsidRPr="0080562B">
        <w:rPr>
          <w:lang w:val="es-ES_tradnl"/>
        </w:rPr>
        <w:t>Descripción de sistemas y redes del servicio de radionavegación por satélite (espacio-Tierra y espacio</w:t>
      </w:r>
      <w:r>
        <w:rPr>
          <w:lang w:val="es-ES_tradnl"/>
        </w:rPr>
        <w:t>-</w:t>
      </w:r>
      <w:r w:rsidRPr="0080562B">
        <w:rPr>
          <w:lang w:val="es-ES_tradnl"/>
        </w:rPr>
        <w:t>espacio) y características técnicas de estaciones espaciales transmisoras que funcionan en</w:t>
      </w:r>
      <w:r>
        <w:rPr>
          <w:lang w:val="es-ES_tradnl"/>
        </w:rPr>
        <w:t xml:space="preserve"> </w:t>
      </w:r>
      <w:r w:rsidRPr="0080562B">
        <w:rPr>
          <w:lang w:val="es-ES_tradnl"/>
        </w:rPr>
        <w:t>las bandas 1 164</w:t>
      </w:r>
      <w:r w:rsidRPr="0080562B">
        <w:rPr>
          <w:lang w:val="es-ES_tradnl"/>
        </w:rPr>
        <w:noBreakHyphen/>
        <w:t>1 215 MHz, 1 215</w:t>
      </w:r>
      <w:r>
        <w:rPr>
          <w:lang w:val="es-ES_tradnl"/>
        </w:rPr>
        <w:noBreakHyphen/>
        <w:t>1 300 </w:t>
      </w:r>
      <w:r w:rsidRPr="0080562B">
        <w:rPr>
          <w:lang w:val="es-ES_tradnl"/>
        </w:rPr>
        <w:t>MHz y</w:t>
      </w:r>
      <w:r>
        <w:rPr>
          <w:lang w:val="es-ES_tradnl"/>
        </w:rPr>
        <w:t xml:space="preserve"> 1 559-1 610 </w:t>
      </w:r>
      <w:r w:rsidRPr="0080562B">
        <w:rPr>
          <w:lang w:val="es-ES_tradnl"/>
        </w:rPr>
        <w:t>MHz</w:t>
      </w:r>
    </w:p>
    <w:p w:rsidR="008C6F77" w:rsidRPr="0080562B" w:rsidRDefault="008C6F77" w:rsidP="008C6F77">
      <w:pPr>
        <w:pStyle w:val="Normalaftertitle"/>
        <w:keepNext/>
        <w:keepLines/>
        <w:rPr>
          <w:lang w:val="es-ES_tradnl"/>
        </w:rPr>
      </w:pPr>
      <w:r w:rsidRPr="0080562B">
        <w:rPr>
          <w:lang w:val="es-ES_tradnl"/>
        </w:rPr>
        <w:lastRenderedPageBreak/>
        <w:t>La Asamblea de Radiocomunicaciones de la UIT,</w:t>
      </w:r>
    </w:p>
    <w:p w:rsidR="008C6F77" w:rsidRPr="0080562B" w:rsidRDefault="008C6F77" w:rsidP="008C6F77">
      <w:pPr>
        <w:pStyle w:val="Call"/>
        <w:rPr>
          <w:lang w:val="es-ES_tradnl"/>
        </w:rPr>
      </w:pPr>
      <w:r w:rsidRPr="0080562B">
        <w:rPr>
          <w:lang w:val="es-ES_tradnl"/>
        </w:rPr>
        <w:t>considerando</w:t>
      </w:r>
    </w:p>
    <w:p w:rsidR="008C6F77" w:rsidRPr="0080562B" w:rsidRDefault="008C6F77" w:rsidP="008C6F77">
      <w:pPr>
        <w:rPr>
          <w:lang w:val="es-ES_tradnl"/>
        </w:rPr>
      </w:pPr>
      <w:r w:rsidRPr="0080562B">
        <w:rPr>
          <w:i/>
          <w:iCs/>
          <w:lang w:val="es-ES_tradnl"/>
        </w:rPr>
        <w:t>a)</w:t>
      </w:r>
      <w:r w:rsidRPr="0080562B">
        <w:rPr>
          <w:lang w:val="es-ES_tradnl"/>
        </w:rPr>
        <w:tab/>
        <w:t>que la banda 2 483,5</w:t>
      </w:r>
      <w:r w:rsidRPr="0080562B">
        <w:rPr>
          <w:lang w:val="es-ES_tradnl"/>
        </w:rPr>
        <w:noBreakHyphen/>
      </w:r>
      <w:r>
        <w:rPr>
          <w:lang w:val="es-ES_tradnl"/>
        </w:rPr>
        <w:t>2 </w:t>
      </w:r>
      <w:r w:rsidRPr="0080562B">
        <w:rPr>
          <w:lang w:val="es-ES_tradnl"/>
        </w:rPr>
        <w:t>500 MHz está atribuida al servicio móvil por satélite (SMS), al servicio de radiodeterminación por satélite (SRDS), al servicio fijo (SF) y al servicio móvil (SM) a título coprimario en todo el mundo;</w:t>
      </w:r>
    </w:p>
    <w:p w:rsidR="008C6F77" w:rsidRPr="0080562B" w:rsidRDefault="008C6F77" w:rsidP="008C6F77">
      <w:pPr>
        <w:rPr>
          <w:lang w:val="es-ES_tradnl"/>
        </w:rPr>
      </w:pPr>
      <w:r w:rsidRPr="0080562B">
        <w:rPr>
          <w:i/>
          <w:iCs/>
          <w:lang w:val="es-ES_tradnl"/>
        </w:rPr>
        <w:t>b)</w:t>
      </w:r>
      <w:r w:rsidRPr="0080562B">
        <w:rPr>
          <w:lang w:val="es-ES_tradnl"/>
        </w:rPr>
        <w:tab/>
        <w:t>que el SMS utiliza esta banda para las transmisiones de enlace descendente (espacio-Tierra) a los terminales de usuario;</w:t>
      </w:r>
    </w:p>
    <w:p w:rsidR="008C6F77" w:rsidRPr="0080562B" w:rsidRDefault="008C6F77" w:rsidP="008C6F77">
      <w:pPr>
        <w:rPr>
          <w:lang w:val="es-ES_tradnl"/>
        </w:rPr>
      </w:pPr>
      <w:r w:rsidRPr="0080562B">
        <w:rPr>
          <w:i/>
          <w:iCs/>
          <w:lang w:val="es-ES_tradnl"/>
        </w:rPr>
        <w:t>c)</w:t>
      </w:r>
      <w:r w:rsidRPr="0080562B">
        <w:rPr>
          <w:lang w:val="es-ES_tradnl"/>
        </w:rPr>
        <w:tab/>
        <w:t xml:space="preserve">que la necesidad de coordinar los sistemas espaciales con las administraciones que utilizan el SF viene determinada por la utilización de los valores de densidad de flujo de potencia (dfp) adecuados indicados en el Apéndice </w:t>
      </w:r>
      <w:r w:rsidRPr="0080562B">
        <w:rPr>
          <w:b/>
          <w:bCs/>
          <w:lang w:val="es-ES_tradnl"/>
        </w:rPr>
        <w:t>5</w:t>
      </w:r>
      <w:r w:rsidRPr="0080562B">
        <w:rPr>
          <w:lang w:val="es-ES_tradnl"/>
        </w:rPr>
        <w:t xml:space="preserve"> del RR;</w:t>
      </w:r>
    </w:p>
    <w:p w:rsidR="008C6F77" w:rsidRPr="0080562B" w:rsidRDefault="008C6F77" w:rsidP="008C6F77">
      <w:pPr>
        <w:rPr>
          <w:lang w:val="es-ES_tradnl"/>
        </w:rPr>
      </w:pPr>
      <w:r w:rsidRPr="0080562B">
        <w:rPr>
          <w:i/>
          <w:iCs/>
          <w:lang w:val="es-ES_tradnl"/>
        </w:rPr>
        <w:t>d)</w:t>
      </w:r>
      <w:r w:rsidRPr="0080562B">
        <w:rPr>
          <w:lang w:val="es-ES_tradnl"/>
        </w:rPr>
        <w:tab/>
        <w:t>que la dfp es uno de los parámetros técnicos utilizados para determinar los criterios que facilitan la compartición entre el SMS y los servicios terrenales;</w:t>
      </w:r>
    </w:p>
    <w:p w:rsidR="008C6F77" w:rsidRPr="0080562B" w:rsidRDefault="008C6F77" w:rsidP="008C6F77">
      <w:pPr>
        <w:rPr>
          <w:lang w:val="es-ES_tradnl"/>
        </w:rPr>
      </w:pPr>
      <w:r w:rsidRPr="0080562B">
        <w:rPr>
          <w:i/>
          <w:iCs/>
          <w:lang w:val="es-ES_tradnl"/>
        </w:rPr>
        <w:t>e)</w:t>
      </w:r>
      <w:r w:rsidRPr="0080562B">
        <w:rPr>
          <w:lang w:val="es-ES_tradnl"/>
        </w:rPr>
        <w:tab/>
        <w:t>que las redes del SF utilizan técnicas de modulación digital,</w:t>
      </w:r>
    </w:p>
    <w:p w:rsidR="008C6F77" w:rsidRPr="0080562B" w:rsidRDefault="008C6F77" w:rsidP="008C6F77">
      <w:pPr>
        <w:pStyle w:val="Call"/>
        <w:rPr>
          <w:lang w:val="es-ES_tradnl"/>
        </w:rPr>
      </w:pPr>
      <w:r w:rsidRPr="0080562B">
        <w:rPr>
          <w:lang w:val="es-ES_tradnl"/>
        </w:rPr>
        <w:t>observando</w:t>
      </w:r>
    </w:p>
    <w:p w:rsidR="008C6F77" w:rsidRPr="0080562B" w:rsidRDefault="008C6F77" w:rsidP="009D3ADE">
      <w:pPr>
        <w:rPr>
          <w:lang w:val="es-ES_tradnl"/>
        </w:rPr>
      </w:pPr>
      <w:r w:rsidRPr="0080562B">
        <w:rPr>
          <w:i/>
          <w:iCs/>
          <w:lang w:val="es-ES_tradnl"/>
        </w:rPr>
        <w:t>a)</w:t>
      </w:r>
      <w:r w:rsidRPr="0080562B">
        <w:rPr>
          <w:lang w:val="es-ES_tradnl"/>
        </w:rPr>
        <w:tab/>
        <w:t>que para la banda de frecuencias 2</w:t>
      </w:r>
      <w:r>
        <w:rPr>
          <w:lang w:val="es-ES_tradnl"/>
        </w:rPr>
        <w:t> </w:t>
      </w:r>
      <w:r w:rsidRPr="0080562B">
        <w:rPr>
          <w:lang w:val="es-ES_tradnl"/>
        </w:rPr>
        <w:t>483,</w:t>
      </w:r>
      <w:r>
        <w:rPr>
          <w:lang w:val="es-ES_tradnl"/>
        </w:rPr>
        <w:t>5</w:t>
      </w:r>
      <w:r>
        <w:rPr>
          <w:lang w:val="es-ES_tradnl"/>
        </w:rPr>
        <w:noBreakHyphen/>
        <w:t>2 500 </w:t>
      </w:r>
      <w:r w:rsidRPr="0080562B">
        <w:rPr>
          <w:lang w:val="es-ES_tradnl"/>
        </w:rPr>
        <w:t>MHz compartida entre sistemas del SMS no geoestacionarios y sistemas del SF, en el Cuadro</w:t>
      </w:r>
      <w:r w:rsidR="00F96C80">
        <w:rPr>
          <w:lang w:val="es-ES_tradnl"/>
        </w:rPr>
        <w:t> </w:t>
      </w:r>
      <w:r w:rsidRPr="0080562B">
        <w:rPr>
          <w:lang w:val="es-ES_tradnl"/>
        </w:rPr>
        <w:t>5-2 del Apéndice</w:t>
      </w:r>
      <w:r w:rsidR="009D3ADE">
        <w:rPr>
          <w:lang w:val="es-ES_tradnl"/>
        </w:rPr>
        <w:t> </w:t>
      </w:r>
      <w:r w:rsidRPr="0080562B">
        <w:rPr>
          <w:b/>
          <w:bCs/>
          <w:lang w:val="es-ES_tradnl"/>
        </w:rPr>
        <w:t>5</w:t>
      </w:r>
      <w:r w:rsidRPr="0080562B">
        <w:rPr>
          <w:lang w:val="es-ES_tradnl"/>
        </w:rPr>
        <w:t xml:space="preserve"> del RR se fijan los siguientes umbrales de dfp:</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126</w:t>
      </w:r>
      <w:r w:rsidRPr="0080562B">
        <w:rPr>
          <w:lang w:val="es-ES_tradnl"/>
        </w:rPr>
        <w:tab/>
        <w:t>dB(W/(m</w:t>
      </w:r>
      <w:r w:rsidR="006758F4" w:rsidRPr="006758F4">
        <w:rPr>
          <w:vertAlign w:val="superscript"/>
          <w:lang w:val="es-ES_tradnl"/>
        </w:rPr>
        <w:t>2</w:t>
      </w:r>
      <w:r w:rsidRPr="0080562B">
        <w:rPr>
          <w:lang w:val="es-ES_tradnl"/>
        </w:rPr>
        <w:t xml:space="preserve"> · MHz)) </w:t>
      </w:r>
      <w:r w:rsidRPr="0080562B">
        <w:rPr>
          <w:lang w:val="es-ES_tradnl"/>
        </w:rPr>
        <w:tab/>
      </w:r>
      <w:r w:rsidRPr="0080562B">
        <w:rPr>
          <w:lang w:val="es-ES_tradnl"/>
        </w:rPr>
        <w:tab/>
        <w:t>para 0</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5</w:t>
      </w:r>
      <w:r w:rsidR="006758F4">
        <w:rPr>
          <w:lang w:val="es-ES_tradnl"/>
        </w:rPr>
        <w:t>°</w:t>
      </w:r>
    </w:p>
    <w:p w:rsidR="008C6F77" w:rsidRPr="0080562B" w:rsidRDefault="008C6F77" w:rsidP="006758F4">
      <w:pPr>
        <w:pStyle w:val="enumlev3"/>
        <w:tabs>
          <w:tab w:val="left" w:pos="3119"/>
          <w:tab w:val="left" w:pos="6521"/>
        </w:tabs>
        <w:rPr>
          <w:lang w:val="es-ES_tradnl"/>
        </w:rPr>
      </w:pPr>
      <w:r w:rsidRPr="0080562B">
        <w:rPr>
          <w:lang w:val="es-ES_tradnl"/>
        </w:rPr>
        <w:sym w:font="Symbol" w:char="F02D"/>
      </w:r>
      <w:r w:rsidRPr="0080562B">
        <w:rPr>
          <w:lang w:val="es-ES_tradnl"/>
        </w:rPr>
        <w:t>126 + 0,65 (</w:t>
      </w:r>
      <w:r w:rsidRPr="0080562B">
        <w:rPr>
          <w:lang w:val="es-ES_tradnl"/>
        </w:rPr>
        <w:sym w:font="Symbol" w:char="F071"/>
      </w:r>
      <w:r w:rsidRPr="0080562B">
        <w:rPr>
          <w:lang w:val="es-ES_tradnl"/>
        </w:rPr>
        <w:t xml:space="preserve"> – 5)</w:t>
      </w:r>
      <w:r w:rsidR="006758F4">
        <w:rPr>
          <w:lang w:val="es-ES_tradnl"/>
        </w:rPr>
        <w:t>  </w:t>
      </w:r>
      <w:r w:rsidR="00F96C80">
        <w:rPr>
          <w:lang w:val="es-ES_tradnl"/>
        </w:rPr>
        <w:t>   </w:t>
      </w:r>
      <w:r w:rsidRPr="0080562B">
        <w:rPr>
          <w:lang w:val="es-ES_tradnl"/>
        </w:rPr>
        <w:t>dB(W/(m</w:t>
      </w:r>
      <w:r w:rsidR="006758F4" w:rsidRPr="006758F4">
        <w:rPr>
          <w:vertAlign w:val="superscript"/>
          <w:lang w:val="es-ES_tradnl"/>
        </w:rPr>
        <w:t>2</w:t>
      </w:r>
      <w:r w:rsidRPr="0080562B">
        <w:rPr>
          <w:lang w:val="es-ES_tradnl"/>
        </w:rPr>
        <w:t xml:space="preserve"> · MHz))</w:t>
      </w:r>
      <w:r w:rsidRPr="0080562B">
        <w:rPr>
          <w:lang w:val="es-ES_tradnl"/>
        </w:rPr>
        <w:tab/>
        <w:t>para 5</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25</w:t>
      </w:r>
      <w:r w:rsidR="006758F4">
        <w:rPr>
          <w:lang w:val="es-ES_tradnl"/>
        </w:rPr>
        <w:t>°</w:t>
      </w:r>
    </w:p>
    <w:p w:rsidR="008C6F77" w:rsidRPr="0080562B" w:rsidRDefault="008C6F77" w:rsidP="006758F4">
      <w:pPr>
        <w:pStyle w:val="enumlev3"/>
        <w:tabs>
          <w:tab w:val="left" w:pos="3969"/>
          <w:tab w:val="left" w:pos="6521"/>
          <w:tab w:val="left" w:pos="6946"/>
          <w:tab w:val="left" w:pos="7230"/>
        </w:tabs>
        <w:rPr>
          <w:lang w:val="es-ES_tradnl"/>
        </w:rPr>
      </w:pPr>
      <w:r w:rsidRPr="0080562B">
        <w:rPr>
          <w:lang w:val="es-ES_tradnl"/>
        </w:rPr>
        <w:sym w:font="Symbol" w:char="F02D"/>
      </w:r>
      <w:r w:rsidRPr="0080562B">
        <w:rPr>
          <w:lang w:val="es-ES_tradnl"/>
        </w:rPr>
        <w:t>113</w:t>
      </w:r>
      <w:r w:rsidRPr="0080562B">
        <w:rPr>
          <w:lang w:val="es-ES_tradnl"/>
        </w:rPr>
        <w:tab/>
        <w:t>dB(W/(m</w:t>
      </w:r>
      <w:r w:rsidR="006758F4" w:rsidRPr="006758F4">
        <w:rPr>
          <w:vertAlign w:val="superscript"/>
          <w:lang w:val="es-ES_tradnl"/>
        </w:rPr>
        <w:t>2</w:t>
      </w:r>
      <w:r w:rsidRPr="0080562B">
        <w:rPr>
          <w:lang w:val="es-ES_tradnl"/>
        </w:rPr>
        <w:t xml:space="preserve"> · MHz))</w:t>
      </w:r>
      <w:r w:rsidRPr="0080562B">
        <w:rPr>
          <w:lang w:val="es-ES_tradnl"/>
        </w:rPr>
        <w:tab/>
      </w:r>
      <w:r w:rsidRPr="0080562B">
        <w:rPr>
          <w:lang w:val="es-ES_tradnl"/>
        </w:rPr>
        <w:tab/>
        <w:t xml:space="preserve">para </w:t>
      </w:r>
      <w:r w:rsidRPr="0080562B">
        <w:rPr>
          <w:lang w:val="es-ES_tradnl"/>
        </w:rPr>
        <w:tab/>
        <w:t>    </w:t>
      </w:r>
      <w:r w:rsidRPr="0080562B">
        <w:rPr>
          <w:lang w:val="es-ES_tradnl"/>
        </w:rPr>
        <w:sym w:font="Symbol" w:char="F071"/>
      </w:r>
      <w:r w:rsidRPr="0080562B">
        <w:rPr>
          <w:lang w:val="es-ES_tradnl"/>
        </w:rPr>
        <w:t xml:space="preserve"> &gt; 25</w:t>
      </w:r>
      <w:r w:rsidR="006758F4">
        <w:rPr>
          <w:lang w:val="es-ES_tradnl"/>
        </w:rPr>
        <w:t>°</w:t>
      </w:r>
    </w:p>
    <w:p w:rsidR="008C6F77" w:rsidRPr="0080562B" w:rsidRDefault="008C6F77" w:rsidP="00CA71F1">
      <w:pPr>
        <w:rPr>
          <w:lang w:val="es-ES_tradnl"/>
        </w:rPr>
      </w:pPr>
      <w:r w:rsidRPr="0080562B">
        <w:rPr>
          <w:lang w:val="es-ES_tradnl"/>
        </w:rPr>
        <w:t xml:space="preserve">siendo </w:t>
      </w:r>
      <w:r w:rsidR="00CA71F1">
        <w:rPr>
          <w:lang w:val="es-ES_tradnl"/>
        </w:rPr>
        <w:sym w:font="Symbol" w:char="F071"/>
      </w:r>
      <w:r w:rsidRPr="0080562B">
        <w:rPr>
          <w:lang w:val="es-ES_tradnl"/>
        </w:rPr>
        <w:t xml:space="preserve"> el ángulo de incidencia (grados) sobre la superficie de la Tierra de la onda de radiofrecuencias;</w:t>
      </w:r>
    </w:p>
    <w:p w:rsidR="008C6F77" w:rsidRPr="0080562B" w:rsidRDefault="008C6F77" w:rsidP="00F96C80">
      <w:pPr>
        <w:rPr>
          <w:lang w:val="es-ES_tradnl"/>
        </w:rPr>
      </w:pPr>
      <w:r w:rsidRPr="0080562B">
        <w:rPr>
          <w:i/>
          <w:iCs/>
          <w:lang w:val="es-ES_tradnl"/>
        </w:rPr>
        <w:t>b)</w:t>
      </w:r>
      <w:r w:rsidRPr="0080562B">
        <w:rPr>
          <w:lang w:val="es-ES_tradnl"/>
        </w:rPr>
        <w:tab/>
        <w:t>que para los países de la Regió</w:t>
      </w:r>
      <w:r w:rsidR="006758F4">
        <w:rPr>
          <w:lang w:val="es-ES_tradnl"/>
        </w:rPr>
        <w:t> </w:t>
      </w:r>
      <w:r w:rsidRPr="0080562B">
        <w:rPr>
          <w:lang w:val="es-ES_tradnl"/>
        </w:rPr>
        <w:t xml:space="preserve"> 2, 43</w:t>
      </w:r>
      <w:r w:rsidR="006758F4">
        <w:rPr>
          <w:lang w:val="es-ES_tradnl"/>
        </w:rPr>
        <w:t> </w:t>
      </w:r>
      <w:r w:rsidRPr="0080562B">
        <w:rPr>
          <w:lang w:val="es-ES_tradnl"/>
        </w:rPr>
        <w:t>países de la Región</w:t>
      </w:r>
      <w:r w:rsidR="006758F4">
        <w:rPr>
          <w:lang w:val="es-ES_tradnl"/>
        </w:rPr>
        <w:t> </w:t>
      </w:r>
      <w:r w:rsidRPr="0080562B">
        <w:rPr>
          <w:lang w:val="es-ES_tradnl"/>
        </w:rPr>
        <w:t>1, Australia e Israel, donde la banda de frecuencias 2 483,</w:t>
      </w:r>
      <w:r>
        <w:rPr>
          <w:lang w:val="es-ES_tradnl"/>
        </w:rPr>
        <w:t>5</w:t>
      </w:r>
      <w:r>
        <w:rPr>
          <w:lang w:val="es-ES_tradnl"/>
        </w:rPr>
        <w:noBreakHyphen/>
        <w:t>2 500 </w:t>
      </w:r>
      <w:r w:rsidRPr="0080562B">
        <w:rPr>
          <w:lang w:val="es-ES_tradnl"/>
        </w:rPr>
        <w:t>MHz está compartida entre sistemas del SMS no geoestacionarios y sistemas del SF, en la Nota</w:t>
      </w:r>
      <w:r w:rsidR="00F96C80">
        <w:rPr>
          <w:lang w:val="es-ES_tradnl"/>
        </w:rPr>
        <w:t> </w:t>
      </w:r>
      <w:r w:rsidRPr="0080562B">
        <w:rPr>
          <w:lang w:val="es-ES_tradnl"/>
        </w:rPr>
        <w:t>9 al Cuadro</w:t>
      </w:r>
      <w:r w:rsidR="00F96C80">
        <w:rPr>
          <w:lang w:val="es-ES_tradnl"/>
        </w:rPr>
        <w:t> </w:t>
      </w:r>
      <w:r w:rsidRPr="0080562B">
        <w:rPr>
          <w:lang w:val="es-ES_tradnl"/>
        </w:rPr>
        <w:t>5-2 del Apéndice</w:t>
      </w:r>
      <w:r w:rsidR="00F96C80">
        <w:rPr>
          <w:lang w:val="es-ES_tradnl"/>
        </w:rPr>
        <w:t> </w:t>
      </w:r>
      <w:r w:rsidRPr="0080562B">
        <w:rPr>
          <w:b/>
          <w:lang w:val="es-ES_tradnl"/>
        </w:rPr>
        <w:t>5</w:t>
      </w:r>
      <w:r w:rsidRPr="0080562B">
        <w:rPr>
          <w:lang w:val="es-ES_tradnl"/>
        </w:rPr>
        <w:t xml:space="preserve"> del RR se fijan los siguientes umbrales de dfp:</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124,5</w:t>
      </w:r>
      <w:r w:rsidRPr="0080562B">
        <w:rPr>
          <w:lang w:val="es-ES_tradnl"/>
        </w:rPr>
        <w:tab/>
        <w:t>dB(W/(m</w:t>
      </w:r>
      <w:r w:rsidRPr="0080562B">
        <w:rPr>
          <w:position w:val="6"/>
          <w:sz w:val="20"/>
          <w:lang w:val="es-ES_tradnl"/>
        </w:rPr>
        <w:t>2</w:t>
      </w:r>
      <w:r w:rsidRPr="0080562B">
        <w:rPr>
          <w:lang w:val="es-ES_tradnl"/>
        </w:rPr>
        <w:t xml:space="preserve"> · MHz)) </w:t>
      </w:r>
      <w:r w:rsidRPr="0080562B">
        <w:rPr>
          <w:lang w:val="es-ES_tradnl"/>
        </w:rPr>
        <w:tab/>
      </w:r>
      <w:r w:rsidRPr="0080562B">
        <w:rPr>
          <w:lang w:val="es-ES_tradnl"/>
        </w:rPr>
        <w:tab/>
        <w:t>para 0</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5</w:t>
      </w:r>
      <w:r w:rsidR="006758F4">
        <w:rPr>
          <w:lang w:val="es-ES_tradnl"/>
        </w:rPr>
        <w:t>°</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124,5 + 0,65 (</w:t>
      </w:r>
      <w:r w:rsidRPr="0080562B">
        <w:rPr>
          <w:lang w:val="es-ES_tradnl"/>
        </w:rPr>
        <w:sym w:font="Symbol" w:char="F071"/>
      </w:r>
      <w:r w:rsidRPr="0080562B">
        <w:rPr>
          <w:lang w:val="es-ES_tradnl"/>
        </w:rPr>
        <w:t xml:space="preserve"> – 5)</w:t>
      </w:r>
      <w:r w:rsidR="006758F4" w:rsidRPr="006758F4">
        <w:rPr>
          <w:lang w:val="es-ES_tradnl"/>
        </w:rPr>
        <w:t>  </w:t>
      </w:r>
      <w:r w:rsidR="00F96C80">
        <w:rPr>
          <w:lang w:val="es-ES_tradnl"/>
        </w:rPr>
        <w:t>    </w:t>
      </w:r>
      <w:r w:rsidRPr="0080562B">
        <w:rPr>
          <w:lang w:val="es-ES_tradnl"/>
        </w:rPr>
        <w:t>dB(W/(m</w:t>
      </w:r>
      <w:r w:rsidRPr="0080562B">
        <w:rPr>
          <w:position w:val="6"/>
          <w:sz w:val="20"/>
          <w:lang w:val="es-ES_tradnl"/>
        </w:rPr>
        <w:t>2</w:t>
      </w:r>
      <w:r w:rsidRPr="0080562B">
        <w:rPr>
          <w:lang w:val="es-ES_tradnl"/>
        </w:rPr>
        <w:t xml:space="preserve"> · MHz))</w:t>
      </w:r>
      <w:r w:rsidRPr="0080562B">
        <w:rPr>
          <w:lang w:val="es-ES_tradnl"/>
        </w:rPr>
        <w:tab/>
        <w:t>para 5</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25</w:t>
      </w:r>
      <w:r w:rsidR="006758F4">
        <w:rPr>
          <w:lang w:val="es-ES_tradnl"/>
        </w:rPr>
        <w:t>°</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111,5</w:t>
      </w:r>
      <w:r w:rsidRPr="0080562B">
        <w:rPr>
          <w:lang w:val="es-ES_tradnl"/>
        </w:rPr>
        <w:tab/>
        <w:t>dB(W/(m</w:t>
      </w:r>
      <w:r w:rsidRPr="0080562B">
        <w:rPr>
          <w:position w:val="6"/>
          <w:sz w:val="20"/>
          <w:lang w:val="es-ES_tradnl"/>
        </w:rPr>
        <w:t>2</w:t>
      </w:r>
      <w:r w:rsidRPr="0080562B">
        <w:rPr>
          <w:lang w:val="es-ES_tradnl"/>
        </w:rPr>
        <w:t xml:space="preserve"> · MHz))</w:t>
      </w:r>
      <w:r w:rsidRPr="0080562B">
        <w:rPr>
          <w:lang w:val="es-ES_tradnl"/>
        </w:rPr>
        <w:tab/>
      </w:r>
      <w:r w:rsidRPr="0080562B">
        <w:rPr>
          <w:lang w:val="es-ES_tradnl"/>
        </w:rPr>
        <w:tab/>
        <w:t xml:space="preserve">para </w:t>
      </w:r>
      <w:r w:rsidRPr="0080562B">
        <w:rPr>
          <w:lang w:val="es-ES_tradnl"/>
        </w:rPr>
        <w:tab/>
      </w:r>
      <w:r w:rsidRPr="00B65277">
        <w:rPr>
          <w:sz w:val="22"/>
          <w:lang w:val="es-ES_tradnl"/>
        </w:rPr>
        <w:t> </w:t>
      </w:r>
      <w:r w:rsidRPr="0080562B">
        <w:rPr>
          <w:sz w:val="22"/>
          <w:lang w:val="es-ES_tradnl"/>
        </w:rPr>
        <w:t>    </w:t>
      </w:r>
      <w:r w:rsidRPr="0080562B">
        <w:rPr>
          <w:lang w:val="es-ES_tradnl"/>
        </w:rPr>
        <w:sym w:font="Symbol" w:char="F071"/>
      </w:r>
      <w:r w:rsidRPr="0080562B">
        <w:rPr>
          <w:lang w:val="es-ES_tradnl"/>
        </w:rPr>
        <w:t xml:space="preserve"> &gt; 25</w:t>
      </w:r>
      <w:r w:rsidR="006758F4">
        <w:rPr>
          <w:lang w:val="es-ES_tradnl"/>
        </w:rPr>
        <w:t>°</w:t>
      </w:r>
    </w:p>
    <w:p w:rsidR="008C6F77" w:rsidRPr="0080562B" w:rsidRDefault="008C6F77" w:rsidP="00F96C80">
      <w:pPr>
        <w:pStyle w:val="enumlev1"/>
        <w:ind w:left="0" w:firstLine="0"/>
        <w:rPr>
          <w:lang w:val="es-ES_tradnl"/>
        </w:rPr>
      </w:pPr>
      <w:r w:rsidRPr="0080562B">
        <w:rPr>
          <w:i/>
          <w:iCs/>
          <w:lang w:val="es-ES_tradnl"/>
        </w:rPr>
        <w:t>c)</w:t>
      </w:r>
      <w:r w:rsidRPr="0080562B">
        <w:rPr>
          <w:lang w:val="es-ES_tradnl"/>
        </w:rPr>
        <w:tab/>
        <w:t>que para la banda de frecuencias 2 483,5-2 500 MHz compartida entre sistemas del SRDS no geoestacionarios y sistemas del SF, en el Cuadro</w:t>
      </w:r>
      <w:r w:rsidR="00F96C80">
        <w:rPr>
          <w:lang w:val="es-ES_tradnl"/>
        </w:rPr>
        <w:t> </w:t>
      </w:r>
      <w:r w:rsidRPr="0080562B">
        <w:rPr>
          <w:lang w:val="es-ES_tradnl"/>
        </w:rPr>
        <w:t>5-2 del Apéndice</w:t>
      </w:r>
      <w:r w:rsidR="00F96C80">
        <w:rPr>
          <w:lang w:val="es-ES_tradnl"/>
        </w:rPr>
        <w:t> </w:t>
      </w:r>
      <w:r w:rsidRPr="0080562B">
        <w:rPr>
          <w:b/>
          <w:bCs/>
          <w:lang w:val="es-ES_tradnl"/>
        </w:rPr>
        <w:t>5</w:t>
      </w:r>
      <w:r w:rsidRPr="0080562B">
        <w:rPr>
          <w:lang w:val="es-ES_tradnl"/>
        </w:rPr>
        <w:t xml:space="preserve"> del RR se fijan los siguientes umbrales de dfp:</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129</w:t>
      </w:r>
      <w:r w:rsidRPr="0080562B">
        <w:rPr>
          <w:lang w:val="es-ES_tradnl"/>
        </w:rPr>
        <w:tab/>
        <w:t>dB(W/(m</w:t>
      </w:r>
      <w:r w:rsidRPr="0080562B">
        <w:rPr>
          <w:position w:val="6"/>
          <w:sz w:val="20"/>
          <w:lang w:val="es-ES_tradnl"/>
        </w:rPr>
        <w:t>2</w:t>
      </w:r>
      <w:r w:rsidRPr="0080562B">
        <w:rPr>
          <w:lang w:val="es-ES_tradnl"/>
        </w:rPr>
        <w:t xml:space="preserve"> · MHz)) </w:t>
      </w:r>
      <w:r w:rsidRPr="0080562B">
        <w:rPr>
          <w:lang w:val="es-ES_tradnl"/>
        </w:rPr>
        <w:tab/>
      </w:r>
      <w:r w:rsidRPr="0080562B">
        <w:rPr>
          <w:lang w:val="es-ES_tradnl"/>
        </w:rPr>
        <w:tab/>
        <w:t>para 0</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90</w:t>
      </w:r>
      <w:r w:rsidR="006758F4">
        <w:rPr>
          <w:lang w:val="es-ES_tradnl"/>
        </w:rPr>
        <w:t>°</w:t>
      </w:r>
    </w:p>
    <w:p w:rsidR="008C6F77" w:rsidRPr="0080562B" w:rsidRDefault="008C6F77" w:rsidP="00F96C80">
      <w:pPr>
        <w:rPr>
          <w:lang w:val="es-ES_tradnl"/>
        </w:rPr>
      </w:pPr>
      <w:r w:rsidRPr="0080562B">
        <w:rPr>
          <w:i/>
          <w:iCs/>
          <w:lang w:val="es-ES_tradnl"/>
        </w:rPr>
        <w:t>d)</w:t>
      </w:r>
      <w:r w:rsidRPr="0080562B">
        <w:rPr>
          <w:lang w:val="es-ES_tradnl"/>
        </w:rPr>
        <w:tab/>
        <w:t>que para los países de la Región</w:t>
      </w:r>
      <w:r w:rsidR="006758F4">
        <w:rPr>
          <w:lang w:val="es-ES_tradnl"/>
        </w:rPr>
        <w:t> </w:t>
      </w:r>
      <w:r w:rsidRPr="0080562B">
        <w:rPr>
          <w:lang w:val="es-ES_tradnl"/>
        </w:rPr>
        <w:t>2, 43</w:t>
      </w:r>
      <w:r w:rsidR="006758F4">
        <w:rPr>
          <w:lang w:val="es-ES_tradnl"/>
        </w:rPr>
        <w:t> </w:t>
      </w:r>
      <w:r w:rsidRPr="0080562B">
        <w:rPr>
          <w:lang w:val="es-ES_tradnl"/>
        </w:rPr>
        <w:t>países de la Región</w:t>
      </w:r>
      <w:r w:rsidR="006758F4">
        <w:rPr>
          <w:lang w:val="es-ES_tradnl"/>
        </w:rPr>
        <w:t> </w:t>
      </w:r>
      <w:r w:rsidRPr="0080562B">
        <w:rPr>
          <w:lang w:val="es-ES_tradnl"/>
        </w:rPr>
        <w:t>1, Australia e Israel, donde la banda de frecuencias 2 483,5-2 500</w:t>
      </w:r>
      <w:r w:rsidR="00F96C80">
        <w:rPr>
          <w:lang w:val="es-ES_tradnl"/>
        </w:rPr>
        <w:t> </w:t>
      </w:r>
      <w:r w:rsidRPr="0080562B">
        <w:rPr>
          <w:lang w:val="es-ES_tradnl"/>
        </w:rPr>
        <w:t>MHz está compartida entre sistemas del SRDS no geoestacionarios y sistemas del SF, en la Nota 9 al Cuadro</w:t>
      </w:r>
      <w:r w:rsidR="006758F4">
        <w:rPr>
          <w:lang w:val="es-ES_tradnl"/>
        </w:rPr>
        <w:t> </w:t>
      </w:r>
      <w:r w:rsidRPr="0080562B">
        <w:rPr>
          <w:lang w:val="es-ES_tradnl"/>
        </w:rPr>
        <w:t>5-2 del Apéndice</w:t>
      </w:r>
      <w:r w:rsidR="00F96C80">
        <w:rPr>
          <w:lang w:val="es-ES_tradnl"/>
        </w:rPr>
        <w:t> </w:t>
      </w:r>
      <w:r w:rsidRPr="0080562B">
        <w:rPr>
          <w:b/>
          <w:bCs/>
          <w:lang w:val="es-ES_tradnl"/>
        </w:rPr>
        <w:t>5</w:t>
      </w:r>
      <w:r w:rsidRPr="0080562B">
        <w:rPr>
          <w:lang w:val="es-ES_tradnl"/>
        </w:rPr>
        <w:t xml:space="preserve"> del RR se fijan los siguientes umbrales de dfp:</w:t>
      </w:r>
    </w:p>
    <w:p w:rsidR="008C6F77" w:rsidRPr="0080562B" w:rsidRDefault="008C6F77" w:rsidP="006758F4">
      <w:pPr>
        <w:pStyle w:val="enumlev3"/>
        <w:tabs>
          <w:tab w:val="left" w:pos="3969"/>
          <w:tab w:val="left" w:pos="6521"/>
        </w:tabs>
        <w:rPr>
          <w:lang w:val="es-ES_tradnl"/>
        </w:rPr>
      </w:pPr>
      <w:r w:rsidRPr="0080562B">
        <w:rPr>
          <w:lang w:val="es-ES_tradnl"/>
        </w:rPr>
        <w:sym w:font="Symbol" w:char="F02D"/>
      </w:r>
      <w:r w:rsidRPr="0080562B">
        <w:rPr>
          <w:lang w:val="es-ES_tradnl"/>
        </w:rPr>
        <w:t>128</w:t>
      </w:r>
      <w:r w:rsidRPr="0080562B">
        <w:rPr>
          <w:lang w:val="es-ES_tradnl"/>
        </w:rPr>
        <w:tab/>
        <w:t>dB(W/(m</w:t>
      </w:r>
      <w:r w:rsidRPr="0080562B">
        <w:rPr>
          <w:position w:val="6"/>
          <w:sz w:val="20"/>
          <w:lang w:val="es-ES_tradnl"/>
        </w:rPr>
        <w:t>2</w:t>
      </w:r>
      <w:r w:rsidRPr="0080562B">
        <w:rPr>
          <w:lang w:val="es-ES_tradnl"/>
        </w:rPr>
        <w:t xml:space="preserve"> · MHz)) </w:t>
      </w:r>
      <w:r w:rsidRPr="0080562B">
        <w:rPr>
          <w:lang w:val="es-ES_tradnl"/>
        </w:rPr>
        <w:tab/>
      </w:r>
      <w:r w:rsidRPr="0080562B">
        <w:rPr>
          <w:lang w:val="es-ES_tradnl"/>
        </w:rPr>
        <w:tab/>
        <w:t>para 0</w:t>
      </w:r>
      <w:r w:rsidR="006758F4">
        <w:rPr>
          <w:lang w:val="es-ES_tradnl"/>
        </w:rPr>
        <w:t>°</w:t>
      </w:r>
      <w:r w:rsidRPr="0080562B">
        <w:rPr>
          <w:lang w:val="es-ES_tradnl"/>
        </w:rPr>
        <w:t xml:space="preserve"> </w:t>
      </w:r>
      <w:r w:rsidRPr="0080562B">
        <w:rPr>
          <w:lang w:val="es-ES_tradnl"/>
        </w:rPr>
        <w:sym w:font="Symbol" w:char="F0A3"/>
      </w:r>
      <w:r w:rsidRPr="0080562B">
        <w:rPr>
          <w:lang w:val="es-ES_tradnl"/>
        </w:rPr>
        <w:t xml:space="preserve"> </w:t>
      </w:r>
      <w:r w:rsidRPr="0080562B">
        <w:rPr>
          <w:lang w:val="es-ES_tradnl"/>
        </w:rPr>
        <w:sym w:font="Symbol" w:char="F071"/>
      </w:r>
      <w:r w:rsidRPr="0080562B">
        <w:rPr>
          <w:lang w:val="es-ES_tradnl"/>
        </w:rPr>
        <w:t xml:space="preserve"> </w:t>
      </w:r>
      <w:r w:rsidRPr="0080562B">
        <w:rPr>
          <w:lang w:val="es-ES_tradnl"/>
        </w:rPr>
        <w:sym w:font="Symbol" w:char="F0A3"/>
      </w:r>
      <w:r w:rsidRPr="0080562B">
        <w:rPr>
          <w:lang w:val="es-ES_tradnl"/>
        </w:rPr>
        <w:t xml:space="preserve"> 90</w:t>
      </w:r>
      <w:r w:rsidR="006758F4">
        <w:rPr>
          <w:lang w:val="es-ES_tradnl"/>
        </w:rPr>
        <w:t>°</w:t>
      </w:r>
    </w:p>
    <w:p w:rsidR="008C6F77" w:rsidRPr="0080562B" w:rsidRDefault="008C6F77" w:rsidP="008C6F77">
      <w:pPr>
        <w:rPr>
          <w:lang w:val="es-ES_tradnl"/>
        </w:rPr>
      </w:pPr>
      <w:r w:rsidRPr="0080562B">
        <w:rPr>
          <w:i/>
          <w:iCs/>
          <w:lang w:val="es-ES_tradnl"/>
        </w:rPr>
        <w:t>e)</w:t>
      </w:r>
      <w:r w:rsidRPr="0080562B">
        <w:rPr>
          <w:lang w:val="es-ES_tradnl"/>
        </w:rPr>
        <w:tab/>
        <w:t>que los valores mencionados se relacionan con la dfp y los ángulos de incidencia que se obtendrían en condiciones de propagación en el espacio libre;</w:t>
      </w:r>
    </w:p>
    <w:p w:rsidR="008C6F77" w:rsidRPr="0080562B" w:rsidRDefault="008C6F77" w:rsidP="008C6F77">
      <w:pPr>
        <w:rPr>
          <w:lang w:val="es-ES_tradnl"/>
        </w:rPr>
      </w:pPr>
      <w:r w:rsidRPr="0080562B">
        <w:rPr>
          <w:i/>
          <w:iCs/>
          <w:lang w:val="es-ES_tradnl"/>
        </w:rPr>
        <w:t>f)</w:t>
      </w:r>
      <w:r w:rsidRPr="0080562B">
        <w:rPr>
          <w:lang w:val="es-ES_tradnl"/>
        </w:rPr>
        <w:tab/>
        <w:t xml:space="preserve">que en la Región 1 ha de tenerse en cuenta lo dispuesto en el número </w:t>
      </w:r>
      <w:r w:rsidRPr="0080562B">
        <w:rPr>
          <w:b/>
          <w:lang w:val="es-ES_tradnl"/>
        </w:rPr>
        <w:t>5.398A</w:t>
      </w:r>
      <w:r w:rsidRPr="0080562B">
        <w:rPr>
          <w:lang w:val="es-ES_tradnl"/>
        </w:rPr>
        <w:t xml:space="preserve"> del RR,</w:t>
      </w:r>
    </w:p>
    <w:p w:rsidR="008C6F77" w:rsidRPr="0080562B" w:rsidRDefault="008C6F77" w:rsidP="008C6F77">
      <w:pPr>
        <w:pStyle w:val="Call"/>
        <w:rPr>
          <w:lang w:val="es-ES_tradnl"/>
        </w:rPr>
      </w:pPr>
      <w:r w:rsidRPr="0080562B">
        <w:rPr>
          <w:lang w:val="es-ES_tradnl"/>
        </w:rPr>
        <w:lastRenderedPageBreak/>
        <w:t>recomienda</w:t>
      </w:r>
    </w:p>
    <w:p w:rsidR="008C6F77" w:rsidRPr="0080562B" w:rsidRDefault="008C6F77" w:rsidP="006758F4">
      <w:pPr>
        <w:keepNext/>
        <w:keepLines/>
        <w:rPr>
          <w:lang w:val="es-ES_tradnl"/>
        </w:rPr>
      </w:pPr>
      <w:r w:rsidRPr="0080562B">
        <w:rPr>
          <w:b/>
          <w:bCs/>
          <w:lang w:val="es-ES_tradnl"/>
        </w:rPr>
        <w:t>1</w:t>
      </w:r>
      <w:r w:rsidRPr="0080562B">
        <w:rPr>
          <w:lang w:val="es-ES_tradnl"/>
        </w:rPr>
        <w:tab/>
        <w:t>que, de mutuo acuerdo entre las administraciones interesadas, pueda utilizarse la metodología presentada en el Anexo</w:t>
      </w:r>
      <w:r w:rsidR="006758F4">
        <w:rPr>
          <w:lang w:val="es-ES_tradnl"/>
        </w:rPr>
        <w:t> </w:t>
      </w:r>
      <w:r w:rsidRPr="0080562B">
        <w:rPr>
          <w:lang w:val="es-ES_tradnl"/>
        </w:rPr>
        <w:t>1 para la coordinación entre sistemas del SF</w:t>
      </w:r>
      <w:r>
        <w:rPr>
          <w:lang w:val="es-ES_tradnl"/>
        </w:rPr>
        <w:t xml:space="preserve">, </w:t>
      </w:r>
      <w:r w:rsidRPr="0080562B">
        <w:rPr>
          <w:lang w:val="es-ES_tradnl"/>
        </w:rPr>
        <w:t xml:space="preserve">el SMS y el SRDS como medio de determinar qué consecuencias tendrá </w:t>
      </w:r>
      <w:r>
        <w:rPr>
          <w:lang w:val="es-ES_tradnl"/>
        </w:rPr>
        <w:t xml:space="preserve">en </w:t>
      </w:r>
      <w:r w:rsidRPr="0080562B">
        <w:rPr>
          <w:lang w:val="es-ES_tradnl"/>
        </w:rPr>
        <w:t>los sistemas del SF el rebasamiento de los niveles de dfp umbral del Cuadro 5</w:t>
      </w:r>
      <w:r w:rsidRPr="0080562B">
        <w:rPr>
          <w:lang w:val="es-ES_tradnl"/>
        </w:rPr>
        <w:noBreakHyphen/>
        <w:t xml:space="preserve">2 del Apéndice </w:t>
      </w:r>
      <w:r w:rsidRPr="0080562B">
        <w:rPr>
          <w:b/>
          <w:bCs/>
          <w:lang w:val="es-ES_tradnl"/>
        </w:rPr>
        <w:t>5</w:t>
      </w:r>
      <w:r w:rsidRPr="0080562B">
        <w:rPr>
          <w:lang w:val="es-ES_tradnl"/>
        </w:rPr>
        <w:t xml:space="preserve"> del RR;</w:t>
      </w:r>
    </w:p>
    <w:p w:rsidR="008C6F77" w:rsidRPr="0080562B" w:rsidRDefault="008C6F77" w:rsidP="008C6F77">
      <w:pPr>
        <w:rPr>
          <w:lang w:val="es-ES_tradnl"/>
        </w:rPr>
      </w:pPr>
      <w:r w:rsidRPr="0080562B">
        <w:rPr>
          <w:b/>
          <w:bCs/>
          <w:lang w:val="es-ES_tradnl"/>
        </w:rPr>
        <w:t>2</w:t>
      </w:r>
      <w:r w:rsidRPr="0080562B">
        <w:rPr>
          <w:lang w:val="es-ES_tradnl"/>
        </w:rPr>
        <w:tab/>
        <w:t>que toda ambigüedad en los parámetros específicos de la met</w:t>
      </w:r>
      <w:r>
        <w:rPr>
          <w:lang w:val="es-ES_tradnl"/>
        </w:rPr>
        <w:t>odología presentada en el Anexo </w:t>
      </w:r>
      <w:r w:rsidRPr="0080562B">
        <w:rPr>
          <w:lang w:val="es-ES_tradnl"/>
        </w:rPr>
        <w:t>1 se resuelva de mutuo acuerdo.</w:t>
      </w:r>
    </w:p>
    <w:p w:rsidR="008C6F77" w:rsidRPr="0080562B" w:rsidRDefault="008C6F77" w:rsidP="00F96C80">
      <w:pPr>
        <w:rPr>
          <w:lang w:val="es-ES_tradnl"/>
        </w:rPr>
      </w:pPr>
      <w:r w:rsidRPr="0080562B">
        <w:rPr>
          <w:lang w:val="es-ES_tradnl"/>
        </w:rPr>
        <w:t>NOTA</w:t>
      </w:r>
      <w:r w:rsidR="00F96C80">
        <w:rPr>
          <w:lang w:val="es-ES_tradnl"/>
        </w:rPr>
        <w:t> </w:t>
      </w:r>
      <w:r w:rsidRPr="0080562B">
        <w:rPr>
          <w:lang w:val="es-ES_tradnl"/>
        </w:rPr>
        <w:t>–</w:t>
      </w:r>
      <w:r w:rsidR="00F96C80">
        <w:rPr>
          <w:lang w:val="es-ES_tradnl"/>
        </w:rPr>
        <w:t> </w:t>
      </w:r>
      <w:r w:rsidRPr="0080562B">
        <w:rPr>
          <w:lang w:val="es-ES_tradnl"/>
        </w:rPr>
        <w:t>En el Anexo</w:t>
      </w:r>
      <w:r w:rsidR="00F96C80">
        <w:rPr>
          <w:lang w:val="es-ES_tradnl"/>
        </w:rPr>
        <w:t> </w:t>
      </w:r>
      <w:r w:rsidRPr="0080562B">
        <w:rPr>
          <w:lang w:val="es-ES_tradnl"/>
        </w:rPr>
        <w:t>2 se presenta un ejemplo técnico de la aplicación de la metodología presentada en el Anexo 1.</w:t>
      </w:r>
    </w:p>
    <w:p w:rsidR="008C6F77" w:rsidRPr="0080562B" w:rsidRDefault="008C6F77" w:rsidP="008C6F77">
      <w:pPr>
        <w:jc w:val="left"/>
        <w:rPr>
          <w:lang w:val="es-ES_tradnl"/>
        </w:rPr>
      </w:pPr>
    </w:p>
    <w:p w:rsidR="008C6F77" w:rsidRPr="0080562B" w:rsidRDefault="008C6F77" w:rsidP="008C6F77">
      <w:pPr>
        <w:jc w:val="left"/>
        <w:rPr>
          <w:lang w:val="es-ES_tradnl"/>
        </w:rPr>
      </w:pPr>
    </w:p>
    <w:p w:rsidR="008C6F77" w:rsidRPr="0080562B" w:rsidRDefault="008C6F77" w:rsidP="006758F4">
      <w:pPr>
        <w:pStyle w:val="AnnexNoTitle"/>
        <w:rPr>
          <w:lang w:val="es-ES_tradnl"/>
        </w:rPr>
      </w:pPr>
      <w:r w:rsidRPr="0080562B">
        <w:rPr>
          <w:lang w:val="es-ES_tradnl"/>
        </w:rPr>
        <w:t>Anexo 1</w:t>
      </w:r>
      <w:r w:rsidRPr="0080562B">
        <w:rPr>
          <w:lang w:val="es-ES_tradnl"/>
        </w:rPr>
        <w:br/>
      </w:r>
      <w:r w:rsidRPr="0080562B">
        <w:rPr>
          <w:lang w:val="es-ES_tradnl"/>
        </w:rPr>
        <w:br/>
        <w:t>Determinación de la degradación fraccionaria de la calidad de funcionamiento de los sistemas del servicio fijo debida a niveles de densidad de flujo</w:t>
      </w:r>
      <w:r w:rsidR="006758F4">
        <w:rPr>
          <w:lang w:val="es-ES_tradnl"/>
        </w:rPr>
        <w:br/>
      </w:r>
      <w:r w:rsidRPr="0080562B">
        <w:rPr>
          <w:lang w:val="es-ES_tradnl"/>
        </w:rPr>
        <w:t>de potencia que determinan la coordinación</w:t>
      </w:r>
      <w:r w:rsidR="006758F4">
        <w:rPr>
          <w:lang w:val="es-ES_tradnl"/>
        </w:rPr>
        <w:br/>
      </w:r>
      <w:r w:rsidRPr="0080562B">
        <w:rPr>
          <w:lang w:val="es-ES_tradnl"/>
        </w:rPr>
        <w:t>en la banda</w:t>
      </w:r>
      <w:r>
        <w:rPr>
          <w:lang w:val="es-ES_tradnl"/>
        </w:rPr>
        <w:t xml:space="preserve"> 2 </w:t>
      </w:r>
      <w:r w:rsidRPr="0080562B">
        <w:rPr>
          <w:lang w:val="es-ES_tradnl"/>
        </w:rPr>
        <w:t>483,5-</w:t>
      </w:r>
      <w:r>
        <w:rPr>
          <w:lang w:val="es-ES_tradnl"/>
        </w:rPr>
        <w:t>2 </w:t>
      </w:r>
      <w:r w:rsidRPr="0080562B">
        <w:rPr>
          <w:lang w:val="es-ES_tradnl"/>
        </w:rPr>
        <w:t>500 MHz</w:t>
      </w:r>
    </w:p>
    <w:p w:rsidR="008C6F77" w:rsidRPr="0080562B" w:rsidRDefault="008C6F77" w:rsidP="008C6F77">
      <w:pPr>
        <w:pStyle w:val="Heading1"/>
        <w:rPr>
          <w:lang w:val="es-ES_tradnl"/>
        </w:rPr>
      </w:pPr>
      <w:r w:rsidRPr="0080562B">
        <w:rPr>
          <w:lang w:val="es-ES_tradnl"/>
        </w:rPr>
        <w:t>1</w:t>
      </w:r>
      <w:r w:rsidRPr="0080562B">
        <w:rPr>
          <w:lang w:val="es-ES_tradnl"/>
        </w:rPr>
        <w:tab/>
        <w:t>Alcance</w:t>
      </w:r>
    </w:p>
    <w:p w:rsidR="008C6F77" w:rsidRPr="0080562B" w:rsidRDefault="008C6F77" w:rsidP="008C6F77">
      <w:pPr>
        <w:rPr>
          <w:lang w:val="es-ES_tradnl"/>
        </w:rPr>
      </w:pPr>
      <w:r w:rsidRPr="0080562B">
        <w:rPr>
          <w:lang w:val="es-ES_tradnl"/>
        </w:rPr>
        <w:t>La metodología descrita en este Anexo se basa en las Recomendaciones UIT</w:t>
      </w:r>
      <w:r>
        <w:rPr>
          <w:lang w:val="es-ES_tradnl"/>
        </w:rPr>
        <w:noBreakHyphen/>
      </w:r>
      <w:r w:rsidRPr="0080562B">
        <w:rPr>
          <w:lang w:val="es-ES_tradnl"/>
        </w:rPr>
        <w:t>R existentes y en una metodología general para el cálculo de la interferencia combinada de los vehículos espaciales del SRDS y el SMS desde el punto de vista de una estación terrenal del SF</w:t>
      </w:r>
      <w:r>
        <w:rPr>
          <w:lang w:val="es-ES_tradnl"/>
        </w:rPr>
        <w:t>.</w:t>
      </w:r>
    </w:p>
    <w:p w:rsidR="008C6F77" w:rsidRPr="0080562B" w:rsidRDefault="008C6F77" w:rsidP="00D54295">
      <w:pPr>
        <w:rPr>
          <w:lang w:val="es-ES_tradnl"/>
        </w:rPr>
      </w:pPr>
      <w:r w:rsidRPr="0080562B">
        <w:rPr>
          <w:lang w:val="es-ES_tradnl"/>
        </w:rPr>
        <w:t>En el Adjunto al Anexo</w:t>
      </w:r>
      <w:r w:rsidR="00D54295">
        <w:rPr>
          <w:lang w:val="es-ES_tradnl"/>
        </w:rPr>
        <w:t> </w:t>
      </w:r>
      <w:r w:rsidRPr="0080562B">
        <w:rPr>
          <w:lang w:val="es-ES_tradnl"/>
        </w:rPr>
        <w:t xml:space="preserve">2 se presentan ejemplos de la interferencia combinada causada al SF por las constelaciones HIBLEO-X/HIBLEO-4 </w:t>
      </w:r>
      <w:r>
        <w:rPr>
          <w:lang w:val="es-ES_tradnl"/>
        </w:rPr>
        <w:t>del SM</w:t>
      </w:r>
      <w:r w:rsidRPr="0080562B">
        <w:rPr>
          <w:lang w:val="es-ES_tradnl"/>
        </w:rPr>
        <w:t>S y Galileo del SRDS.</w:t>
      </w:r>
    </w:p>
    <w:p w:rsidR="008C6F77" w:rsidRPr="0080562B" w:rsidRDefault="008C6F77" w:rsidP="008C6F77">
      <w:pPr>
        <w:pStyle w:val="Heading1"/>
        <w:rPr>
          <w:lang w:val="es-ES_tradnl"/>
        </w:rPr>
      </w:pPr>
      <w:r w:rsidRPr="0080562B">
        <w:rPr>
          <w:lang w:val="es-ES_tradnl"/>
        </w:rPr>
        <w:t>2</w:t>
      </w:r>
      <w:r w:rsidRPr="0080562B">
        <w:rPr>
          <w:lang w:val="es-ES_tradnl"/>
        </w:rPr>
        <w:tab/>
        <w:t>Metodología</w:t>
      </w:r>
      <w:r w:rsidRPr="0080562B">
        <w:rPr>
          <w:rStyle w:val="FootnoteReference"/>
          <w:lang w:val="es-ES_tradnl"/>
        </w:rPr>
        <w:footnoteReference w:id="1"/>
      </w:r>
    </w:p>
    <w:p w:rsidR="008C6F77" w:rsidRPr="0080562B" w:rsidRDefault="008C6F77" w:rsidP="006758F4">
      <w:pPr>
        <w:rPr>
          <w:lang w:val="es-ES_tradnl"/>
        </w:rPr>
      </w:pPr>
      <w:r>
        <w:rPr>
          <w:szCs w:val="24"/>
          <w:lang w:val="es-ES_tradnl"/>
        </w:rPr>
        <w:t>En la Recomendación UIT</w:t>
      </w:r>
      <w:r>
        <w:rPr>
          <w:szCs w:val="24"/>
          <w:lang w:val="es-ES_tradnl"/>
        </w:rPr>
        <w:noBreakHyphen/>
        <w:t>R </w:t>
      </w:r>
      <w:r w:rsidRPr="0080562B">
        <w:rPr>
          <w:szCs w:val="24"/>
          <w:lang w:val="es-ES_tradnl"/>
        </w:rPr>
        <w:t>M.1143 se utiliza la metodología e</w:t>
      </w:r>
      <w:r>
        <w:rPr>
          <w:szCs w:val="24"/>
          <w:lang w:val="es-ES_tradnl"/>
        </w:rPr>
        <w:t>mpleada en la Recomendación UIT</w:t>
      </w:r>
      <w:r>
        <w:rPr>
          <w:szCs w:val="24"/>
          <w:lang w:val="es-ES_tradnl"/>
        </w:rPr>
        <w:noBreakHyphen/>
      </w:r>
      <w:r w:rsidRPr="0080562B">
        <w:rPr>
          <w:szCs w:val="24"/>
          <w:lang w:val="es-ES_tradnl"/>
        </w:rPr>
        <w:t>R</w:t>
      </w:r>
      <w:r>
        <w:rPr>
          <w:szCs w:val="24"/>
          <w:lang w:val="es-ES_tradnl"/>
        </w:rPr>
        <w:t> </w:t>
      </w:r>
      <w:r w:rsidRPr="0080562B">
        <w:rPr>
          <w:szCs w:val="24"/>
          <w:lang w:val="es-ES_tradnl"/>
        </w:rPr>
        <w:t>F.1108 para los sistemas de radiorrelevadores radioeléctricos digitales. En la Recomendación UIT</w:t>
      </w:r>
      <w:r w:rsidRPr="0080562B">
        <w:rPr>
          <w:lang w:val="es-ES_tradnl"/>
        </w:rPr>
        <w:noBreakHyphen/>
        <w:t>R F.1108 se utiliza el concepto de degradación fraccionaria de la calidad de funcionamiento (DFC) para las estaciones digitales del servicio fijo. La DFC es el pequeño aumento del porcentaje de tiempo durante el cual no se satisface el criterio de calidad de funcionamiento del control debido a la presencia de interferencia. En la Recomendación UIT-R</w:t>
      </w:r>
      <w:r w:rsidR="006758F4">
        <w:rPr>
          <w:lang w:val="es-ES_tradnl"/>
        </w:rPr>
        <w:t> </w:t>
      </w:r>
      <w:r w:rsidRPr="0080562B">
        <w:rPr>
          <w:lang w:val="es-ES_tradnl"/>
        </w:rPr>
        <w:t>F.758-6 se considera adecuada para los sistemas operati</w:t>
      </w:r>
      <w:r>
        <w:rPr>
          <w:lang w:val="es-ES_tradnl"/>
        </w:rPr>
        <w:t>vos en la gama de frecuencias 2 </w:t>
      </w:r>
      <w:r w:rsidRPr="0080562B">
        <w:rPr>
          <w:lang w:val="es-ES_tradnl"/>
        </w:rPr>
        <w:t>483,</w:t>
      </w:r>
      <w:r>
        <w:rPr>
          <w:lang w:val="es-ES_tradnl"/>
        </w:rPr>
        <w:t>5</w:t>
      </w:r>
      <w:r>
        <w:rPr>
          <w:lang w:val="es-ES_tradnl"/>
        </w:rPr>
        <w:noBreakHyphen/>
        <w:t>2 </w:t>
      </w:r>
      <w:r w:rsidRPr="0080562B">
        <w:rPr>
          <w:lang w:val="es-ES_tradnl"/>
        </w:rPr>
        <w:t>500</w:t>
      </w:r>
      <w:r w:rsidR="006758F4">
        <w:rPr>
          <w:lang w:val="es-ES_tradnl"/>
        </w:rPr>
        <w:t> </w:t>
      </w:r>
      <w:r w:rsidRPr="0080562B">
        <w:rPr>
          <w:lang w:val="es-ES_tradnl"/>
        </w:rPr>
        <w:t>MHz una DFC del</w:t>
      </w:r>
      <w:r w:rsidR="006758F4">
        <w:rPr>
          <w:lang w:val="es-ES_tradnl"/>
        </w:rPr>
        <w:t> </w:t>
      </w:r>
      <w:r w:rsidRPr="0080562B">
        <w:rPr>
          <w:lang w:val="es-ES_tradnl"/>
        </w:rPr>
        <w:t>2</w:t>
      </w:r>
      <w:r>
        <w:rPr>
          <w:lang w:val="es-ES_tradnl"/>
        </w:rPr>
        <w:t>5%.</w:t>
      </w:r>
    </w:p>
    <w:p w:rsidR="008C6F77" w:rsidRPr="0080562B" w:rsidRDefault="008C6F77" w:rsidP="008C6F77">
      <w:pPr>
        <w:rPr>
          <w:lang w:val="es-ES_tradnl"/>
        </w:rPr>
      </w:pPr>
      <w:r w:rsidRPr="0080562B">
        <w:rPr>
          <w:lang w:val="es-ES_tradnl"/>
        </w:rPr>
        <w:t>El programa simula la interferencia producida por la(s) constelación(es) de satélites no OSG sobre la red del servicio fijo, del modo siguiente.</w:t>
      </w:r>
    </w:p>
    <w:p w:rsidR="008C6F77" w:rsidRPr="0080562B" w:rsidRDefault="008C6F77" w:rsidP="008C6F77">
      <w:pPr>
        <w:pStyle w:val="Heading2"/>
        <w:rPr>
          <w:lang w:val="es-ES_tradnl"/>
        </w:rPr>
      </w:pPr>
      <w:r w:rsidRPr="0080562B">
        <w:rPr>
          <w:lang w:val="es-ES_tradnl"/>
        </w:rPr>
        <w:lastRenderedPageBreak/>
        <w:t>2.1</w:t>
      </w:r>
      <w:r w:rsidRPr="0080562B">
        <w:rPr>
          <w:lang w:val="es-ES_tradnl"/>
        </w:rPr>
        <w:tab/>
        <w:t>Bucle de cálculo</w:t>
      </w:r>
    </w:p>
    <w:p w:rsidR="008C6F77" w:rsidRPr="0080562B" w:rsidRDefault="008C6F77" w:rsidP="008C6F77">
      <w:pPr>
        <w:keepNext/>
        <w:keepLines/>
        <w:rPr>
          <w:lang w:val="es-ES_tradnl"/>
        </w:rPr>
      </w:pPr>
      <w:r w:rsidRPr="0080562B">
        <w:rPr>
          <w:lang w:val="es-ES_tradnl"/>
        </w:rPr>
        <w:t>El programa calcula los vectores posición y velocidad de los satélites del sistema de satélites no OSG y de las estaciones de sistema del SF en cada instante de tiempo.</w:t>
      </w:r>
    </w:p>
    <w:p w:rsidR="008C6F77" w:rsidRPr="0080562B" w:rsidRDefault="008C6F77" w:rsidP="008C6F77">
      <w:pPr>
        <w:rPr>
          <w:lang w:val="es-ES_tradnl"/>
        </w:rPr>
      </w:pPr>
      <w:r w:rsidRPr="0080562B">
        <w:rPr>
          <w:lang w:val="es-ES_tradnl"/>
        </w:rPr>
        <w:t xml:space="preserve">En cada muestra temporal, el programa calcula la potencia interferente total en cada estación del servicio fijo (SF) procedente de todos los haces puntuales activos de todos los satélites del SMS y el SRDS visibles y seleccionados adecuadamente. Si el ancho de banda del receptor del SF no se superpone completamente a la señal del SMS o el SRDS, la potencia interferente se ajusta en función del factor del ancho de banda. En el caso digital, la potencia interferente </w:t>
      </w:r>
      <w:r>
        <w:rPr>
          <w:lang w:val="es-ES_tradnl"/>
        </w:rPr>
        <w:t xml:space="preserve">se ajusta </w:t>
      </w:r>
      <w:r w:rsidRPr="0080562B">
        <w:rPr>
          <w:lang w:val="es-ES_tradnl"/>
        </w:rPr>
        <w:t>a 1 MHz.</w:t>
      </w:r>
    </w:p>
    <w:p w:rsidR="008C6F77" w:rsidRPr="0080562B" w:rsidRDefault="008C6F77" w:rsidP="008C6F77">
      <w:pPr>
        <w:rPr>
          <w:lang w:val="es-ES_tradnl"/>
        </w:rPr>
      </w:pPr>
      <w:r w:rsidRPr="0080562B">
        <w:rPr>
          <w:lang w:val="es-ES_tradnl"/>
        </w:rPr>
        <w:t>La potencia interferente combinada de todos los haces puntuales activos de todos los satélites visibles desde la estación del SF se calcula mediante la siguiente ecuación:</w:t>
      </w:r>
    </w:p>
    <w:p w:rsidR="008C6F77" w:rsidRPr="0080562B" w:rsidRDefault="008C6F77" w:rsidP="008C6F77">
      <w:pPr>
        <w:pStyle w:val="Equation"/>
        <w:rPr>
          <w:lang w:val="es-ES_tradnl"/>
        </w:rPr>
      </w:pPr>
      <m:oMathPara>
        <m:oMath>
          <m:r>
            <w:rPr>
              <w:rFonts w:ascii="Cambria Math" w:hAnsi="Cambria Math"/>
              <w:lang w:val="es-ES_tradnl"/>
            </w:rPr>
            <m:t>I</m:t>
          </m:r>
          <m:r>
            <m:rPr>
              <m:sty m:val="p"/>
            </m:rPr>
            <w:rPr>
              <w:rFonts w:ascii="Cambria Math" w:hAnsi="Cambria Math"/>
              <w:lang w:val="es-ES_tradnl"/>
            </w:rPr>
            <m:t xml:space="preserve">= </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nary>
                <m:naryPr>
                  <m:chr m:val="∑"/>
                  <m:limLoc m:val="undOvr"/>
                  <m:ctrlPr>
                    <w:rPr>
                      <w:rFonts w:ascii="Cambria Math" w:hAnsi="Cambria Math"/>
                      <w:lang w:val="es-ES_tradnl"/>
                    </w:rPr>
                  </m:ctrlPr>
                </m:naryPr>
                <m:sub>
                  <m:r>
                    <w:rPr>
                      <w:rFonts w:ascii="Cambria Math" w:hAnsi="Cambria Math"/>
                      <w:lang w:val="es-ES_tradnl"/>
                    </w:rPr>
                    <m:t>j</m:t>
                  </m:r>
                  <m:r>
                    <m:rPr>
                      <m:sty m:val="p"/>
                    </m:rPr>
                    <w:rPr>
                      <w:rFonts w:ascii="Cambria Math" w:hAnsi="Cambria Math"/>
                      <w:lang w:val="es-ES_tradnl"/>
                    </w:rPr>
                    <m:t>=1</m:t>
                  </m:r>
                </m:sub>
                <m:sup>
                  <m:r>
                    <w:rPr>
                      <w:rFonts w:ascii="Cambria Math" w:hAnsi="Cambria Math"/>
                      <w:lang w:val="es-ES_tradnl"/>
                    </w:rPr>
                    <m:t>S</m:t>
                  </m:r>
                </m:sup>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ij</m:t>
                          </m:r>
                        </m:sub>
                      </m:sSub>
                    </m:num>
                    <m:den>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en>
                  </m:f>
                </m:e>
              </m:nary>
            </m:e>
          </m:nary>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G</m:t>
              </m:r>
            </m:e>
            <m:sup>
              <m:r>
                <m:rPr>
                  <m:sty m:val="p"/>
                </m:rPr>
                <w:rPr>
                  <w:rFonts w:ascii="Cambria Math" w:hAnsi="Cambria Math"/>
                  <w:lang w:val="es-ES_tradnl"/>
                </w:rPr>
                <m:t>3</m:t>
              </m:r>
            </m:sup>
          </m:sSup>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α</m:t>
                  </m:r>
                </m:e>
                <m:sub>
                  <m:r>
                    <w:rPr>
                      <w:rFonts w:ascii="Cambria Math" w:hAnsi="Cambria Math"/>
                      <w:lang w:val="es-ES_tradnl"/>
                    </w:rPr>
                    <m:t>ij</m:t>
                  </m:r>
                </m:sub>
              </m:sSub>
            </m:e>
          </m:d>
          <m:sSup>
            <m:sSupPr>
              <m:ctrlPr>
                <w:rPr>
                  <w:rFonts w:ascii="Cambria Math" w:hAnsi="Cambria Math"/>
                  <w:lang w:val="es-ES_tradnl"/>
                </w:rPr>
              </m:ctrlPr>
            </m:sSupPr>
            <m:e>
              <m:r>
                <w:rPr>
                  <w:rFonts w:ascii="Cambria Math" w:hAnsi="Cambria Math"/>
                  <w:lang w:val="es-ES_tradnl"/>
                </w:rPr>
                <m:t>G</m:t>
              </m:r>
            </m:e>
            <m:sup>
              <m:r>
                <m:rPr>
                  <m:sty m:val="p"/>
                </m:rPr>
                <w:rPr>
                  <w:rFonts w:ascii="Cambria Math" w:hAnsi="Cambria Math"/>
                  <w:lang w:val="es-ES_tradnl"/>
                </w:rPr>
                <m:t>4</m:t>
              </m:r>
            </m:sup>
          </m:sSup>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i</m:t>
                  </m:r>
                </m:sub>
              </m:sSub>
            </m:e>
          </m:d>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B</m:t>
                  </m:r>
                </m:e>
                <m:sub>
                  <m:r>
                    <w:rPr>
                      <w:rFonts w:ascii="Cambria Math" w:hAnsi="Cambria Math"/>
                      <w:lang w:val="es-ES_tradnl"/>
                    </w:rPr>
                    <m:t>w</m:t>
                  </m:r>
                </m:sub>
              </m:sSub>
            </m:num>
            <m:den>
              <m:sSub>
                <m:sSubPr>
                  <m:ctrlPr>
                    <w:rPr>
                      <w:rFonts w:ascii="Cambria Math" w:hAnsi="Cambria Math"/>
                      <w:lang w:val="es-ES_tradnl"/>
                    </w:rPr>
                  </m:ctrlPr>
                </m:sSubPr>
                <m:e>
                  <m:r>
                    <w:rPr>
                      <w:rFonts w:ascii="Cambria Math" w:hAnsi="Cambria Math"/>
                      <w:lang w:val="es-ES_tradnl"/>
                    </w:rPr>
                    <m:t>B</m:t>
                  </m:r>
                </m:e>
                <m:sub>
                  <m:r>
                    <w:rPr>
                      <w:rFonts w:ascii="Cambria Math" w:hAnsi="Cambria Math"/>
                      <w:lang w:val="es-ES_tradnl"/>
                    </w:rPr>
                    <m:t>ij</m:t>
                  </m:r>
                </m:sub>
              </m:sSub>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F</m:t>
              </m:r>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ij</m:t>
                  </m:r>
                </m:sub>
              </m:sSub>
            </m:den>
          </m:f>
        </m:oMath>
      </m:oMathPara>
    </w:p>
    <w:p w:rsidR="008C6F77" w:rsidRPr="0080562B" w:rsidRDefault="008C6F77" w:rsidP="008C6F77">
      <w:pPr>
        <w:rPr>
          <w:szCs w:val="24"/>
          <w:lang w:val="es-ES_tradnl"/>
        </w:rPr>
      </w:pPr>
      <w:r w:rsidRPr="0080562B">
        <w:rPr>
          <w:szCs w:val="24"/>
          <w:lang w:val="es-ES_tradnl"/>
        </w:rPr>
        <w:t>donde:</w:t>
      </w:r>
    </w:p>
    <w:p w:rsidR="008C6F77" w:rsidRPr="0080562B" w:rsidRDefault="008C6F77" w:rsidP="00CA71F1">
      <w:pPr>
        <w:pStyle w:val="Equationlegend"/>
        <w:rPr>
          <w:lang w:val="es-ES_tradnl"/>
        </w:rPr>
      </w:pPr>
      <w:r w:rsidRPr="0080562B">
        <w:rPr>
          <w:lang w:val="es-ES_tradnl"/>
        </w:rPr>
        <w:tab/>
      </w:r>
      <w:r w:rsidRPr="0080562B">
        <w:rPr>
          <w:i/>
          <w:lang w:val="es-ES_tradnl"/>
        </w:rPr>
        <w:t>I</w:t>
      </w:r>
      <w:r w:rsidRPr="0080562B">
        <w:rPr>
          <w:lang w:val="es-ES_tradnl"/>
        </w:rPr>
        <w:t>:</w:t>
      </w:r>
      <w:r w:rsidRPr="0080562B">
        <w:rPr>
          <w:lang w:val="es-ES_tradnl"/>
        </w:rPr>
        <w:tab/>
        <w:t>potencia interferente (W)</w:t>
      </w:r>
    </w:p>
    <w:p w:rsidR="008C6F77" w:rsidRPr="0080562B" w:rsidRDefault="008C6F77" w:rsidP="00CA71F1">
      <w:pPr>
        <w:pStyle w:val="Equationlegend"/>
        <w:rPr>
          <w:lang w:val="es-ES_tradnl"/>
        </w:rPr>
      </w:pPr>
      <w:r w:rsidRPr="0080562B">
        <w:rPr>
          <w:lang w:val="es-ES_tradnl"/>
        </w:rPr>
        <w:tab/>
      </w:r>
      <w:r w:rsidRPr="0080562B">
        <w:rPr>
          <w:i/>
          <w:lang w:val="es-ES_tradnl"/>
        </w:rPr>
        <w:t>i</w:t>
      </w:r>
      <w:r w:rsidRPr="0080562B">
        <w:rPr>
          <w:lang w:val="es-ES_tradnl"/>
        </w:rPr>
        <w:t>:</w:t>
      </w:r>
      <w:r w:rsidRPr="0080562B">
        <w:rPr>
          <w:lang w:val="es-ES_tradnl"/>
        </w:rPr>
        <w:tab/>
        <w:t xml:space="preserve">1 de </w:t>
      </w:r>
      <w:r w:rsidRPr="0080562B">
        <w:rPr>
          <w:i/>
          <w:lang w:val="es-ES_tradnl"/>
        </w:rPr>
        <w:t>N</w:t>
      </w:r>
      <w:r w:rsidRPr="0080562B">
        <w:rPr>
          <w:lang w:val="es-ES_tradnl"/>
        </w:rPr>
        <w:t xml:space="preserve"> satélites considerados </w:t>
      </w:r>
      <w:r>
        <w:rPr>
          <w:lang w:val="es-ES_tradnl"/>
        </w:rPr>
        <w:t xml:space="preserve">al calcular la interferencia </w:t>
      </w:r>
      <w:r w:rsidRPr="0080562B">
        <w:rPr>
          <w:lang w:val="es-ES_tradnl"/>
        </w:rPr>
        <w:t xml:space="preserve">para </w:t>
      </w:r>
      <w:r>
        <w:rPr>
          <w:lang w:val="es-ES_tradnl"/>
        </w:rPr>
        <w:t xml:space="preserve">la </w:t>
      </w:r>
      <w:r w:rsidRPr="0080562B">
        <w:rPr>
          <w:lang w:val="es-ES_tradnl"/>
        </w:rPr>
        <w:t>estación del SF</w:t>
      </w:r>
    </w:p>
    <w:p w:rsidR="008C6F77" w:rsidRPr="0080562B" w:rsidRDefault="008C6F77" w:rsidP="00CA71F1">
      <w:pPr>
        <w:pStyle w:val="Equationlegend"/>
        <w:rPr>
          <w:lang w:val="es-ES_tradnl"/>
        </w:rPr>
      </w:pPr>
      <w:r w:rsidRPr="0080562B">
        <w:rPr>
          <w:lang w:val="es-ES_tradnl"/>
        </w:rPr>
        <w:tab/>
      </w:r>
      <w:r w:rsidRPr="0080562B">
        <w:rPr>
          <w:i/>
          <w:lang w:val="es-ES_tradnl"/>
        </w:rPr>
        <w:t>j</w:t>
      </w:r>
      <w:r w:rsidRPr="0080562B">
        <w:rPr>
          <w:lang w:val="es-ES_tradnl"/>
        </w:rPr>
        <w:t>:</w:t>
      </w:r>
      <w:r w:rsidRPr="0080562B">
        <w:rPr>
          <w:lang w:val="es-ES_tradnl"/>
        </w:rPr>
        <w:tab/>
        <w:t xml:space="preserve">1 de </w:t>
      </w:r>
      <w:r w:rsidRPr="0080562B">
        <w:rPr>
          <w:i/>
          <w:lang w:val="es-ES_tradnl"/>
        </w:rPr>
        <w:t>S</w:t>
      </w:r>
      <w:r w:rsidRPr="0080562B">
        <w:rPr>
          <w:lang w:val="es-ES_tradnl"/>
        </w:rPr>
        <w:t xml:space="preserve"> haces puntuales activos</w:t>
      </w:r>
      <w:r>
        <w:rPr>
          <w:lang w:val="es-ES_tradnl"/>
        </w:rPr>
        <w:t xml:space="preserve"> del satélite visible del SMS (</w:t>
      </w:r>
      <w:r w:rsidRPr="0080562B">
        <w:rPr>
          <w:lang w:val="es-ES_tradnl"/>
        </w:rPr>
        <w:t>o SRDS) seleccionado para el que hay superposición de frecuencias con el receptor de la estación del SF considerada, teniendo en cuenta la pauta de reutilización de frecuencias del haz puntual del satélite</w:t>
      </w:r>
    </w:p>
    <w:p w:rsidR="008C6F77" w:rsidRPr="0080562B" w:rsidRDefault="008C6F77" w:rsidP="00CA71F1">
      <w:pPr>
        <w:pStyle w:val="Equationlegend"/>
        <w:rPr>
          <w:lang w:val="es-ES_tradnl"/>
        </w:rPr>
      </w:pPr>
      <w:r w:rsidRPr="0080562B">
        <w:rPr>
          <w:lang w:val="es-ES_tradnl"/>
        </w:rPr>
        <w:tab/>
      </w:r>
      <w:r w:rsidRPr="0080562B">
        <w:rPr>
          <w:i/>
          <w:lang w:val="es-ES_tradnl"/>
        </w:rPr>
        <w:t>E</w:t>
      </w:r>
      <w:r w:rsidRPr="00E415F9">
        <w:rPr>
          <w:i/>
          <w:iCs/>
          <w:vertAlign w:val="subscript"/>
          <w:lang w:val="es-ES_tradnl"/>
        </w:rPr>
        <w:t>ij</w:t>
      </w:r>
      <w:r w:rsidRPr="0080562B">
        <w:rPr>
          <w:lang w:val="es-ES_tradnl"/>
        </w:rPr>
        <w:t>:</w:t>
      </w:r>
      <w:r w:rsidRPr="0080562B">
        <w:rPr>
          <w:lang w:val="es-ES_tradnl"/>
        </w:rPr>
        <w:tab/>
        <w:t xml:space="preserve">valor máximo de la densidad de p.i.r.e. en el ancho de banda de referencia de entrada a la antena para el </w:t>
      </w:r>
      <w:r w:rsidRPr="0080562B">
        <w:rPr>
          <w:i/>
          <w:lang w:val="es-ES_tradnl"/>
        </w:rPr>
        <w:t>j-ésimo</w:t>
      </w:r>
      <w:r w:rsidRPr="0080562B">
        <w:rPr>
          <w:lang w:val="es-ES_tradnl"/>
        </w:rPr>
        <w:t xml:space="preserve"> haz puntual activo en la dirección de puntería del </w:t>
      </w:r>
      <w:r w:rsidRPr="0080562B">
        <w:rPr>
          <w:i/>
          <w:lang w:val="es-ES_tradnl"/>
        </w:rPr>
        <w:t>i-ésimo</w:t>
      </w:r>
      <w:r w:rsidRPr="0080562B">
        <w:rPr>
          <w:lang w:val="es-ES_tradnl"/>
        </w:rPr>
        <w:t xml:space="preserve"> satélite visible seleccionado (W/ancho de banda de referencia)</w:t>
      </w:r>
    </w:p>
    <w:p w:rsidR="008C6F77" w:rsidRPr="0080562B" w:rsidRDefault="008C6F77" w:rsidP="00CA71F1">
      <w:pPr>
        <w:pStyle w:val="Equationlegend"/>
        <w:rPr>
          <w:lang w:val="es-ES_tradnl"/>
        </w:rPr>
      </w:pPr>
      <w:r w:rsidRPr="0080562B">
        <w:rPr>
          <w:lang w:val="es-ES_tradnl"/>
        </w:rPr>
        <w:tab/>
      </w:r>
      <w:r w:rsidRPr="0080562B">
        <w:rPr>
          <w:i/>
          <w:lang w:val="es-ES_tradnl"/>
        </w:rPr>
        <w:t>B</w:t>
      </w:r>
      <w:r w:rsidRPr="00E415F9">
        <w:rPr>
          <w:i/>
          <w:iCs/>
          <w:vertAlign w:val="subscript"/>
          <w:lang w:val="es-ES_tradnl"/>
        </w:rPr>
        <w:t>ij</w:t>
      </w:r>
      <w:r w:rsidRPr="0080562B">
        <w:rPr>
          <w:lang w:val="es-ES_tradnl"/>
        </w:rPr>
        <w:t>:</w:t>
      </w:r>
      <w:r w:rsidRPr="0080562B">
        <w:rPr>
          <w:lang w:val="es-ES_tradnl"/>
        </w:rPr>
        <w:tab/>
        <w:t xml:space="preserve">ancho de banda de referencia de la señal interferente procedente del </w:t>
      </w:r>
      <w:r w:rsidRPr="0080562B">
        <w:rPr>
          <w:i/>
          <w:lang w:val="es-ES_tradnl"/>
        </w:rPr>
        <w:t>j-ésimo</w:t>
      </w:r>
      <w:r w:rsidRPr="0080562B">
        <w:rPr>
          <w:lang w:val="es-ES_tradnl"/>
        </w:rPr>
        <w:t xml:space="preserve"> haz puntual activo del </w:t>
      </w:r>
      <w:r w:rsidRPr="0080562B">
        <w:rPr>
          <w:i/>
          <w:lang w:val="es-ES_tradnl"/>
        </w:rPr>
        <w:t>i-ésimo</w:t>
      </w:r>
      <w:r w:rsidRPr="0080562B">
        <w:rPr>
          <w:lang w:val="es-ES_tradnl"/>
        </w:rPr>
        <w:t xml:space="preserve"> satélite visible seleccionado (kHz)</w:t>
      </w:r>
    </w:p>
    <w:p w:rsidR="008C6F77" w:rsidRPr="0080562B" w:rsidRDefault="008C6F77" w:rsidP="00CA71F1">
      <w:pPr>
        <w:pStyle w:val="Equationlegend"/>
        <w:rPr>
          <w:lang w:val="es-ES_tradnl"/>
        </w:rPr>
      </w:pPr>
      <w:r w:rsidRPr="0080562B">
        <w:rPr>
          <w:lang w:val="es-ES_tradnl"/>
        </w:rPr>
        <w:tab/>
      </w:r>
      <w:r w:rsidRPr="0080562B">
        <w:rPr>
          <w:i/>
          <w:lang w:val="es-ES_tradnl"/>
        </w:rPr>
        <w:t>G</w:t>
      </w:r>
      <w:r w:rsidRPr="00CA71F1">
        <w:rPr>
          <w:vertAlign w:val="superscript"/>
          <w:lang w:val="es-ES_tradnl"/>
        </w:rPr>
        <w:t>3</w:t>
      </w:r>
      <w:r w:rsidRPr="0080562B">
        <w:rPr>
          <w:lang w:val="es-ES_tradnl"/>
        </w:rPr>
        <w:t>(</w:t>
      </w:r>
      <w:r w:rsidR="00CA71F1">
        <w:rPr>
          <w:lang w:val="es-ES_tradnl"/>
        </w:rPr>
        <w:sym w:font="Symbol" w:char="F061"/>
      </w:r>
      <w:r w:rsidRPr="00CA71F1">
        <w:rPr>
          <w:i/>
          <w:iCs/>
          <w:vertAlign w:val="subscript"/>
          <w:lang w:val="es-ES_tradnl"/>
        </w:rPr>
        <w:t>ij</w:t>
      </w:r>
      <w:r w:rsidRPr="0080562B">
        <w:rPr>
          <w:lang w:val="es-ES_tradnl"/>
        </w:rPr>
        <w:t>):</w:t>
      </w:r>
      <w:r w:rsidRPr="0080562B">
        <w:rPr>
          <w:lang w:val="es-ES_tradnl"/>
        </w:rPr>
        <w:tab/>
        <w:t xml:space="preserve">discriminación de antena del </w:t>
      </w:r>
      <w:r w:rsidRPr="0080562B">
        <w:rPr>
          <w:i/>
          <w:lang w:val="es-ES_tradnl"/>
        </w:rPr>
        <w:t>j-ésimo</w:t>
      </w:r>
      <w:r w:rsidRPr="0080562B">
        <w:rPr>
          <w:lang w:val="es-ES_tradnl"/>
        </w:rPr>
        <w:t xml:space="preserve"> haz puntual activo del </w:t>
      </w:r>
      <w:r w:rsidRPr="0080562B">
        <w:rPr>
          <w:i/>
          <w:lang w:val="es-ES_tradnl"/>
        </w:rPr>
        <w:t>i-ésimo</w:t>
      </w:r>
      <w:r w:rsidRPr="0080562B">
        <w:rPr>
          <w:lang w:val="es-ES_tradnl"/>
        </w:rPr>
        <w:t xml:space="preserve"> satélite visible seleccionado hacia la estación del SF</w:t>
      </w:r>
    </w:p>
    <w:p w:rsidR="008C6F77" w:rsidRPr="0080562B" w:rsidRDefault="008C6F77" w:rsidP="006758F4">
      <w:pPr>
        <w:pStyle w:val="Equationlegend"/>
        <w:rPr>
          <w:lang w:val="es-ES_tradnl"/>
        </w:rPr>
      </w:pPr>
      <w:r w:rsidRPr="0080562B">
        <w:rPr>
          <w:lang w:val="es-ES_tradnl"/>
        </w:rPr>
        <w:tab/>
      </w:r>
      <w:r w:rsidR="00CA71F1">
        <w:rPr>
          <w:lang w:val="es-ES_tradnl"/>
        </w:rPr>
        <w:sym w:font="Symbol" w:char="F061"/>
      </w:r>
      <w:r w:rsidR="00CA71F1" w:rsidRPr="00CA71F1">
        <w:rPr>
          <w:i/>
          <w:iCs/>
          <w:vertAlign w:val="subscript"/>
          <w:lang w:val="es-ES_tradnl"/>
        </w:rPr>
        <w:t>ij</w:t>
      </w:r>
      <w:r w:rsidRPr="0080562B">
        <w:rPr>
          <w:lang w:val="es-ES_tradnl"/>
        </w:rPr>
        <w:t>:</w:t>
      </w:r>
      <w:r w:rsidRPr="0080562B">
        <w:rPr>
          <w:lang w:val="es-ES_tradnl"/>
        </w:rPr>
        <w:tab/>
        <w:t xml:space="preserve">ángulo entre el vector de puntería del </w:t>
      </w:r>
      <w:r w:rsidRPr="0080562B">
        <w:rPr>
          <w:i/>
          <w:lang w:val="es-ES_tradnl"/>
        </w:rPr>
        <w:t>j-ésimo</w:t>
      </w:r>
      <w:r w:rsidRPr="0080562B">
        <w:rPr>
          <w:lang w:val="es-ES_tradnl"/>
        </w:rPr>
        <w:t xml:space="preserve"> haz puntual activo del </w:t>
      </w:r>
      <w:r w:rsidRPr="0080562B">
        <w:rPr>
          <w:i/>
          <w:lang w:val="es-ES_tradnl"/>
        </w:rPr>
        <w:t>i-ésimo</w:t>
      </w:r>
      <w:r w:rsidRPr="0080562B">
        <w:rPr>
          <w:lang w:val="es-ES_tradnl"/>
        </w:rPr>
        <w:t xml:space="preserve"> satélite visible seleccionado en la dirección de la estación del SF (grados)</w:t>
      </w:r>
    </w:p>
    <w:p w:rsidR="008C6F77" w:rsidRPr="0080562B" w:rsidRDefault="008C6F77" w:rsidP="00CA71F1">
      <w:pPr>
        <w:pStyle w:val="Equationlegend"/>
        <w:rPr>
          <w:lang w:val="es-ES_tradnl"/>
        </w:rPr>
      </w:pPr>
      <w:r w:rsidRPr="0080562B">
        <w:rPr>
          <w:lang w:val="es-ES_tradnl"/>
        </w:rPr>
        <w:tab/>
      </w:r>
      <w:r w:rsidRPr="0080562B">
        <w:rPr>
          <w:i/>
          <w:lang w:val="es-ES_tradnl"/>
        </w:rPr>
        <w:t>L</w:t>
      </w:r>
      <w:r w:rsidRPr="00E415F9">
        <w:rPr>
          <w:i/>
          <w:iCs/>
          <w:vertAlign w:val="subscript"/>
          <w:lang w:val="es-ES_tradnl"/>
        </w:rPr>
        <w:t>i</w:t>
      </w:r>
      <w:r w:rsidRPr="0080562B">
        <w:rPr>
          <w:lang w:val="es-ES_tradnl"/>
        </w:rPr>
        <w:t>:</w:t>
      </w:r>
      <w:r w:rsidRPr="0080562B">
        <w:rPr>
          <w:lang w:val="es-ES_tradnl"/>
        </w:rPr>
        <w:tab/>
        <w:t xml:space="preserve">pérdida en condiciones de espacio libre en la frecuencia de referencia dada desde el </w:t>
      </w:r>
      <w:r w:rsidRPr="0080562B">
        <w:rPr>
          <w:i/>
          <w:lang w:val="es-ES_tradnl"/>
        </w:rPr>
        <w:t>i-ésimo</w:t>
      </w:r>
      <w:r w:rsidRPr="0080562B">
        <w:rPr>
          <w:lang w:val="es-ES_tradnl"/>
        </w:rPr>
        <w:t xml:space="preserve"> satélite visible seleccionado hasta la estación del SF</w:t>
      </w:r>
    </w:p>
    <w:p w:rsidR="008C6F77" w:rsidRPr="0080562B" w:rsidRDefault="008C6F77" w:rsidP="00CA71F1">
      <w:pPr>
        <w:pStyle w:val="Equationlegend"/>
        <w:rPr>
          <w:lang w:val="es-ES_tradnl"/>
        </w:rPr>
      </w:pPr>
      <w:r w:rsidRPr="0080562B">
        <w:rPr>
          <w:lang w:val="es-ES_tradnl"/>
        </w:rPr>
        <w:tab/>
      </w:r>
      <w:r w:rsidRPr="0080562B">
        <w:rPr>
          <w:i/>
          <w:lang w:val="es-ES_tradnl"/>
        </w:rPr>
        <w:t>G</w:t>
      </w:r>
      <w:r w:rsidRPr="00CA71F1">
        <w:rPr>
          <w:vertAlign w:val="superscript"/>
          <w:lang w:val="es-ES_tradnl"/>
        </w:rPr>
        <w:t>4</w:t>
      </w:r>
      <w:r w:rsidRPr="0080562B">
        <w:rPr>
          <w:lang w:val="es-ES_tradnl"/>
        </w:rPr>
        <w:t>(</w:t>
      </w:r>
      <w:r w:rsidR="00CA71F1">
        <w:rPr>
          <w:lang w:val="es-ES_tradnl"/>
        </w:rPr>
        <w:sym w:font="Symbol" w:char="F071"/>
      </w:r>
      <w:r w:rsidRPr="00CA71F1">
        <w:rPr>
          <w:i/>
          <w:iCs/>
          <w:vertAlign w:val="subscript"/>
          <w:lang w:val="es-ES_tradnl"/>
        </w:rPr>
        <w:t>i</w:t>
      </w:r>
      <w:r w:rsidRPr="0080562B">
        <w:rPr>
          <w:lang w:val="es-ES_tradnl"/>
        </w:rPr>
        <w:t>):</w:t>
      </w:r>
      <w:r w:rsidRPr="0080562B">
        <w:rPr>
          <w:lang w:val="es-ES_tradnl"/>
        </w:rPr>
        <w:tab/>
        <w:t xml:space="preserve">ganancia de la antena de la estación del SF en la dirección del </w:t>
      </w:r>
      <w:r w:rsidRPr="0080562B">
        <w:rPr>
          <w:i/>
          <w:lang w:val="es-ES_tradnl"/>
        </w:rPr>
        <w:t>i-ésimo</w:t>
      </w:r>
      <w:r w:rsidRPr="0080562B">
        <w:rPr>
          <w:lang w:val="es-ES_tradnl"/>
        </w:rPr>
        <w:t xml:space="preserve"> satélite visible seleccionado</w:t>
      </w:r>
    </w:p>
    <w:p w:rsidR="008C6F77" w:rsidRPr="0080562B" w:rsidRDefault="008C6F77" w:rsidP="00913085">
      <w:pPr>
        <w:pStyle w:val="Equationlegend"/>
        <w:rPr>
          <w:lang w:val="es-ES_tradnl"/>
        </w:rPr>
      </w:pPr>
      <w:r w:rsidRPr="0080562B">
        <w:rPr>
          <w:lang w:val="es-ES_tradnl"/>
        </w:rPr>
        <w:tab/>
      </w:r>
      <w:r w:rsidR="00CA71F1">
        <w:rPr>
          <w:lang w:val="es-ES_tradnl"/>
        </w:rPr>
        <w:sym w:font="Symbol" w:char="F071"/>
      </w:r>
      <w:r w:rsidRPr="00E415F9">
        <w:rPr>
          <w:i/>
          <w:iCs/>
          <w:vertAlign w:val="subscript"/>
          <w:lang w:val="es-ES_tradnl"/>
        </w:rPr>
        <w:t>ik</w:t>
      </w:r>
      <w:r w:rsidRPr="0080562B">
        <w:rPr>
          <w:lang w:val="es-ES_tradnl"/>
        </w:rPr>
        <w:t>:</w:t>
      </w:r>
      <w:r w:rsidRPr="0080562B">
        <w:rPr>
          <w:lang w:val="es-ES_tradnl"/>
        </w:rPr>
        <w:tab/>
        <w:t>ángulo entre el vector de puntería de la antena de la estación del SF y el vector distancia entre la estación del SF y el </w:t>
      </w:r>
      <w:r w:rsidRPr="0080562B">
        <w:rPr>
          <w:i/>
          <w:lang w:val="es-ES_tradnl"/>
        </w:rPr>
        <w:t>i-ésimo</w:t>
      </w:r>
      <w:r w:rsidRPr="0080562B">
        <w:rPr>
          <w:lang w:val="es-ES_tradnl"/>
        </w:rPr>
        <w:t xml:space="preserve"> satélite visible seleccionado (grados)</w:t>
      </w:r>
    </w:p>
    <w:p w:rsidR="008C6F77" w:rsidRPr="0080562B" w:rsidRDefault="008C6F77" w:rsidP="00913085">
      <w:pPr>
        <w:pStyle w:val="Equationlegend"/>
        <w:rPr>
          <w:lang w:val="es-ES_tradnl"/>
        </w:rPr>
      </w:pPr>
      <w:r w:rsidRPr="0080562B">
        <w:rPr>
          <w:lang w:val="es-ES_tradnl"/>
        </w:rPr>
        <w:tab/>
      </w:r>
      <w:r w:rsidRPr="0080562B">
        <w:rPr>
          <w:i/>
          <w:lang w:val="es-ES_tradnl"/>
        </w:rPr>
        <w:t>B</w:t>
      </w:r>
      <w:r w:rsidRPr="00E415F9">
        <w:rPr>
          <w:i/>
          <w:iCs/>
          <w:vertAlign w:val="subscript"/>
          <w:lang w:val="es-ES_tradnl"/>
        </w:rPr>
        <w:t>w</w:t>
      </w:r>
      <w:r w:rsidRPr="0080562B">
        <w:rPr>
          <w:lang w:val="es-ES_tradnl"/>
        </w:rPr>
        <w:t>:</w:t>
      </w:r>
      <w:r w:rsidRPr="0080562B">
        <w:rPr>
          <w:lang w:val="es-ES_tradnl"/>
        </w:rPr>
        <w:tab/>
        <w:t>ancho de banda del receptor de la estación del SF interferida (1 MHz)</w:t>
      </w:r>
    </w:p>
    <w:p w:rsidR="008C6F77" w:rsidRPr="0080562B" w:rsidRDefault="008C6F77" w:rsidP="00913085">
      <w:pPr>
        <w:pStyle w:val="Equationlegend"/>
        <w:rPr>
          <w:lang w:val="es-ES_tradnl"/>
        </w:rPr>
      </w:pPr>
      <w:r w:rsidRPr="0080562B">
        <w:rPr>
          <w:lang w:val="es-ES_tradnl"/>
        </w:rPr>
        <w:tab/>
      </w:r>
      <w:r w:rsidRPr="0080562B">
        <w:rPr>
          <w:i/>
          <w:lang w:val="es-ES_tradnl"/>
        </w:rPr>
        <w:t>F</w:t>
      </w:r>
      <w:r w:rsidRPr="0080562B">
        <w:rPr>
          <w:lang w:val="es-ES_tradnl"/>
        </w:rPr>
        <w:t>:</w:t>
      </w:r>
      <w:r w:rsidRPr="0080562B">
        <w:rPr>
          <w:lang w:val="es-ES_tradnl"/>
        </w:rPr>
        <w:tab/>
        <w:t>pérdida en los alimentadores de la estación del SF</w:t>
      </w:r>
    </w:p>
    <w:p w:rsidR="008C6F77" w:rsidRPr="0080562B" w:rsidRDefault="008C6F77" w:rsidP="00913085">
      <w:pPr>
        <w:pStyle w:val="Equationlegend"/>
        <w:rPr>
          <w:lang w:val="es-ES_tradnl"/>
        </w:rPr>
      </w:pPr>
      <w:r w:rsidRPr="0080562B">
        <w:rPr>
          <w:lang w:val="es-ES_tradnl"/>
        </w:rPr>
        <w:tab/>
      </w:r>
      <w:r w:rsidRPr="0080562B">
        <w:rPr>
          <w:i/>
          <w:lang w:val="es-ES_tradnl"/>
        </w:rPr>
        <w:t>P</w:t>
      </w:r>
      <w:r w:rsidRPr="00E415F9">
        <w:rPr>
          <w:i/>
          <w:iCs/>
          <w:vertAlign w:val="subscript"/>
          <w:lang w:val="es-ES_tradnl"/>
        </w:rPr>
        <w:t>ij</w:t>
      </w:r>
      <w:r w:rsidRPr="0080562B">
        <w:rPr>
          <w:lang w:val="es-ES_tradnl"/>
        </w:rPr>
        <w:t>:</w:t>
      </w:r>
      <w:r w:rsidRPr="0080562B">
        <w:rPr>
          <w:lang w:val="es-ES_tradnl"/>
        </w:rPr>
        <w:tab/>
        <w:t xml:space="preserve">factor de mejora de la polarización entre el </w:t>
      </w:r>
      <w:r w:rsidRPr="0080562B">
        <w:rPr>
          <w:i/>
          <w:lang w:val="es-ES_tradnl"/>
        </w:rPr>
        <w:t>j-ésimo</w:t>
      </w:r>
      <w:r w:rsidRPr="0080562B">
        <w:rPr>
          <w:lang w:val="es-ES_tradnl"/>
        </w:rPr>
        <w:t xml:space="preserve"> haz puntual del </w:t>
      </w:r>
      <w:r w:rsidRPr="0080562B">
        <w:rPr>
          <w:i/>
          <w:lang w:val="es-ES_tradnl"/>
        </w:rPr>
        <w:t>i-ésimo</w:t>
      </w:r>
      <w:r w:rsidRPr="0080562B">
        <w:rPr>
          <w:lang w:val="es-ES_tradnl"/>
        </w:rPr>
        <w:t xml:space="preserve"> satélite del SMS (o el SRDS) y la estación del SF.</w:t>
      </w:r>
    </w:p>
    <w:p w:rsidR="008C6F77" w:rsidRPr="0080562B" w:rsidRDefault="008C6F77" w:rsidP="008C6F77">
      <w:pPr>
        <w:keepNext/>
        <w:keepLines/>
        <w:rPr>
          <w:szCs w:val="24"/>
          <w:lang w:val="es-ES_tradnl"/>
        </w:rPr>
      </w:pPr>
      <w:r w:rsidRPr="0080562B">
        <w:rPr>
          <w:szCs w:val="24"/>
          <w:lang w:val="es-ES_tradnl"/>
        </w:rPr>
        <w:lastRenderedPageBreak/>
        <w:t xml:space="preserve">La mejora de la polarización, </w:t>
      </w:r>
      <w:r w:rsidRPr="0080562B">
        <w:rPr>
          <w:i/>
          <w:szCs w:val="24"/>
          <w:lang w:val="es-ES_tradnl"/>
        </w:rPr>
        <w:t>P</w:t>
      </w:r>
      <w:r w:rsidRPr="00BD197B">
        <w:rPr>
          <w:i/>
          <w:iCs/>
          <w:vertAlign w:val="subscript"/>
          <w:lang w:val="es-ES_tradnl"/>
        </w:rPr>
        <w:t>ij</w:t>
      </w:r>
      <w:r w:rsidRPr="0080562B">
        <w:rPr>
          <w:i/>
          <w:position w:val="-4"/>
          <w:szCs w:val="24"/>
          <w:lang w:val="es-ES_tradnl"/>
        </w:rPr>
        <w:t>,</w:t>
      </w:r>
      <w:r w:rsidRPr="0080562B">
        <w:rPr>
          <w:szCs w:val="24"/>
          <w:lang w:val="es-ES_tradnl"/>
        </w:rPr>
        <w:t xml:space="preserve"> sólo se utilizará si el </w:t>
      </w:r>
      <w:r w:rsidRPr="0080562B">
        <w:rPr>
          <w:i/>
          <w:szCs w:val="24"/>
          <w:lang w:val="es-ES_tradnl"/>
        </w:rPr>
        <w:t>i-ésimo</w:t>
      </w:r>
      <w:r w:rsidRPr="0080562B">
        <w:rPr>
          <w:szCs w:val="24"/>
          <w:lang w:val="es-ES_tradnl"/>
        </w:rPr>
        <w:t xml:space="preserve"> satélite del SMS (o el SRDS) está dentro del </w:t>
      </w:r>
      <w:r w:rsidRPr="0080562B">
        <w:rPr>
          <w:lang w:val="es-ES_tradnl"/>
        </w:rPr>
        <w:t>ancho</w:t>
      </w:r>
      <w:r w:rsidRPr="0080562B">
        <w:rPr>
          <w:szCs w:val="24"/>
          <w:lang w:val="es-ES_tradnl"/>
        </w:rPr>
        <w:t xml:space="preserve"> del haz de 3 dB de la antena de la estación del SF y la estación del SF está dentro del ancho del haz de 3 dB del </w:t>
      </w:r>
      <w:r w:rsidRPr="0080562B">
        <w:rPr>
          <w:i/>
          <w:szCs w:val="24"/>
          <w:lang w:val="es-ES_tradnl"/>
        </w:rPr>
        <w:t>j-ésimo</w:t>
      </w:r>
      <w:r w:rsidRPr="0080562B">
        <w:rPr>
          <w:szCs w:val="24"/>
          <w:lang w:val="es-ES_tradnl"/>
        </w:rPr>
        <w:t xml:space="preserve"> haz puntual del </w:t>
      </w:r>
      <w:r w:rsidRPr="0080562B">
        <w:rPr>
          <w:i/>
          <w:szCs w:val="24"/>
          <w:lang w:val="es-ES_tradnl"/>
        </w:rPr>
        <w:t>i-ésimo</w:t>
      </w:r>
      <w:r w:rsidRPr="0080562B">
        <w:rPr>
          <w:szCs w:val="24"/>
          <w:lang w:val="es-ES_tradnl"/>
        </w:rPr>
        <w:t xml:space="preserve"> satélite del SMS (o el SRDS). La </w:t>
      </w:r>
      <w:r w:rsidRPr="0080562B">
        <w:rPr>
          <w:i/>
          <w:szCs w:val="24"/>
          <w:lang w:val="es-ES_tradnl"/>
        </w:rPr>
        <w:t>P</w:t>
      </w:r>
      <w:r w:rsidRPr="00E415F9">
        <w:rPr>
          <w:i/>
          <w:iCs/>
          <w:vertAlign w:val="subscript"/>
          <w:lang w:val="es-ES_tradnl"/>
        </w:rPr>
        <w:t>ij</w:t>
      </w:r>
      <w:r w:rsidRPr="0080562B">
        <w:rPr>
          <w:szCs w:val="24"/>
          <w:lang w:val="es-ES_tradnl"/>
        </w:rPr>
        <w:t xml:space="preserve"> puede calcularse con la formula indicada en la Nota 7 de la Recomendación UIT</w:t>
      </w:r>
      <w:r w:rsidRPr="0080562B">
        <w:rPr>
          <w:szCs w:val="24"/>
          <w:lang w:val="es-ES_tradnl"/>
        </w:rPr>
        <w:noBreakHyphen/>
      </w:r>
      <w:r>
        <w:rPr>
          <w:szCs w:val="24"/>
          <w:lang w:val="es-ES_tradnl"/>
        </w:rPr>
        <w:t>R </w:t>
      </w:r>
      <w:r w:rsidRPr="0080562B">
        <w:rPr>
          <w:szCs w:val="24"/>
          <w:lang w:val="es-ES_tradnl"/>
        </w:rPr>
        <w:t>F.1245.</w:t>
      </w:r>
    </w:p>
    <w:p w:rsidR="008C6F77" w:rsidRPr="0080562B" w:rsidRDefault="008C6F77" w:rsidP="008C6F77">
      <w:pPr>
        <w:pStyle w:val="Heading2"/>
        <w:rPr>
          <w:lang w:val="es-ES_tradnl"/>
        </w:rPr>
      </w:pPr>
      <w:r w:rsidRPr="0080562B">
        <w:rPr>
          <w:lang w:val="es-ES_tradnl"/>
        </w:rPr>
        <w:t>2.2</w:t>
      </w:r>
      <w:r w:rsidRPr="0080562B">
        <w:rPr>
          <w:lang w:val="es-ES_tradnl"/>
        </w:rPr>
        <w:tab/>
        <w:t>Tamaño y número de etapas en el bucle de cálculo</w:t>
      </w:r>
    </w:p>
    <w:p w:rsidR="008C6F77" w:rsidRPr="0080562B" w:rsidRDefault="008C6F77" w:rsidP="008C6F77">
      <w:pPr>
        <w:rPr>
          <w:lang w:val="es-ES_tradnl"/>
        </w:rPr>
      </w:pPr>
      <w:r w:rsidRPr="0080562B">
        <w:rPr>
          <w:lang w:val="es-ES_tradnl"/>
        </w:rPr>
        <w:t>Es necesario disponer de suficientes muestras durante intervalos de tiempo adecuados para obtener resultados exactos, teniendo en cuenta toda la interferencia captada por el receptor de la estación del servicio fijo.</w:t>
      </w:r>
    </w:p>
    <w:p w:rsidR="008C6F77" w:rsidRPr="0080562B" w:rsidRDefault="008C6F77" w:rsidP="008C6F77">
      <w:pPr>
        <w:pStyle w:val="Heading3"/>
        <w:rPr>
          <w:lang w:val="es-ES_tradnl"/>
        </w:rPr>
      </w:pPr>
      <w:r w:rsidRPr="0080562B">
        <w:rPr>
          <w:lang w:val="es-ES_tradnl"/>
        </w:rPr>
        <w:t>2.2.1</w:t>
      </w:r>
      <w:r w:rsidRPr="0080562B">
        <w:rPr>
          <w:lang w:val="es-ES_tradnl"/>
        </w:rPr>
        <w:tab/>
        <w:t>Incremento de tiempo</w:t>
      </w:r>
    </w:p>
    <w:p w:rsidR="008C6F77" w:rsidRPr="0080562B" w:rsidRDefault="008C6F77" w:rsidP="00CA71F1">
      <w:pPr>
        <w:pStyle w:val="Equation"/>
        <w:rPr>
          <w:szCs w:val="24"/>
          <w:lang w:val="es-ES_tradnl"/>
        </w:rPr>
      </w:pPr>
      <w:r w:rsidRPr="0080562B">
        <w:rPr>
          <w:szCs w:val="24"/>
          <w:lang w:val="es-ES_tradnl"/>
        </w:rPr>
        <w:t>Se utilizan las siguientes formulas, cuyos cálculos se describen detalladamente</w:t>
      </w:r>
      <w:r>
        <w:rPr>
          <w:szCs w:val="24"/>
          <w:lang w:val="es-ES_tradnl"/>
        </w:rPr>
        <w:t xml:space="preserve"> en el Apéndice </w:t>
      </w:r>
      <w:r w:rsidRPr="000A5087">
        <w:rPr>
          <w:b/>
          <w:bCs/>
          <w:szCs w:val="24"/>
          <w:lang w:val="es-ES_tradnl"/>
        </w:rPr>
        <w:t>4</w:t>
      </w:r>
      <w:r>
        <w:rPr>
          <w:szCs w:val="24"/>
          <w:lang w:val="es-ES_tradnl"/>
        </w:rPr>
        <w:t xml:space="preserve"> </w:t>
      </w:r>
      <w:r w:rsidRPr="0080562B">
        <w:rPr>
          <w:szCs w:val="24"/>
          <w:lang w:val="es-ES_tradnl"/>
        </w:rPr>
        <w:t xml:space="preserve">del RR. Como la velocidad del satélite es aproximadamente la misma en el Ecuador y en latitudes superiores, el cálculo del incremento de tiempo de la simulación, </w:t>
      </w:r>
      <w:r w:rsidR="00CA71F1">
        <w:rPr>
          <w:szCs w:val="24"/>
          <w:lang w:val="es-ES_tradnl"/>
        </w:rPr>
        <w:sym w:font="Symbol" w:char="F044"/>
      </w:r>
      <w:r w:rsidRPr="0080562B">
        <w:rPr>
          <w:i/>
          <w:szCs w:val="24"/>
          <w:lang w:val="es-ES_tradnl"/>
        </w:rPr>
        <w:t>t,</w:t>
      </w:r>
      <w:r w:rsidRPr="0080562B">
        <w:rPr>
          <w:szCs w:val="24"/>
          <w:lang w:val="es-ES_tradnl"/>
        </w:rPr>
        <w:t xml:space="preserve"> se realiza para un satélite situado en el Ecuador, teniendo en cuenta la rotación de la Tierra, la inclinación del satélite y la elevación de la antena de la estación del SF. En el cálculo de </w:t>
      </w:r>
      <w:r w:rsidR="00CA71F1">
        <w:rPr>
          <w:szCs w:val="24"/>
          <w:lang w:val="es-ES_tradnl"/>
        </w:rPr>
        <w:sym w:font="Symbol" w:char="F044"/>
      </w:r>
      <w:r w:rsidRPr="0080562B">
        <w:rPr>
          <w:i/>
          <w:szCs w:val="24"/>
          <w:lang w:val="es-ES_tradnl"/>
        </w:rPr>
        <w:t>t</w:t>
      </w:r>
      <w:r w:rsidRPr="0080562B">
        <w:rPr>
          <w:szCs w:val="24"/>
          <w:lang w:val="es-ES_tradnl"/>
        </w:rPr>
        <w:t xml:space="preserve"> no se emplea el acimut más desfavorable para la DFC ni el acimut de movimiento horizontal.</w:t>
      </w:r>
    </w:p>
    <w:p w:rsidR="008C6F77" w:rsidRPr="0080562B" w:rsidRDefault="008C6F77" w:rsidP="008C6F77">
      <w:pPr>
        <w:pStyle w:val="Equation"/>
        <w:rPr>
          <w:szCs w:val="24"/>
          <w:lang w:val="es-ES_tradnl"/>
        </w:rPr>
      </w:pPr>
      <w:r w:rsidRPr="0080562B">
        <w:rPr>
          <w:szCs w:val="24"/>
          <w:lang w:val="es-ES_tradnl"/>
        </w:rPr>
        <w:tab/>
      </w:r>
      <w:r w:rsidRPr="0080562B">
        <w:rPr>
          <w:szCs w:val="24"/>
          <w:lang w:val="es-ES_tradnl"/>
        </w:rPr>
        <w:tab/>
      </w:r>
      <w:r w:rsidR="00E92891" w:rsidRPr="00BD197B">
        <w:rPr>
          <w:position w:val="-24"/>
          <w:szCs w:val="24"/>
          <w:lang w:val="es-ES_tradnl"/>
        </w:rPr>
        <w:object w:dxaOrig="294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26.1pt" o:ole="">
            <v:imagedata r:id="rId13" o:title=""/>
          </v:shape>
          <o:OLEObject Type="Embed" ProgID="Equation.3" ShapeID="_x0000_i1025" DrawAspect="Content" ObjectID="_1542525627" r:id="rId14"/>
        </w:object>
      </w:r>
    </w:p>
    <w:p w:rsidR="004C285B" w:rsidRDefault="004C285B" w:rsidP="008C6F77">
      <w:pPr>
        <w:pStyle w:val="Equation"/>
        <w:rPr>
          <w:szCs w:val="24"/>
          <w:lang w:val="es-ES_tradnl"/>
        </w:rPr>
      </w:pPr>
      <w:r>
        <w:rPr>
          <w:szCs w:val="24"/>
          <w:lang w:val="es-ES_tradnl"/>
        </w:rPr>
        <w:tab/>
      </w:r>
      <w:r>
        <w:rPr>
          <w:szCs w:val="24"/>
          <w:lang w:val="es-ES_tradnl"/>
        </w:rPr>
        <w:tab/>
      </w:r>
      <w:r w:rsidRPr="004C285B">
        <w:rPr>
          <w:position w:val="-28"/>
          <w:szCs w:val="24"/>
          <w:lang w:val="es-ES_tradnl"/>
        </w:rPr>
        <w:object w:dxaOrig="2840" w:dyaOrig="680">
          <v:shape id="_x0000_i1026" type="#_x0000_t75" style="width:141.9pt;height:33.9pt" o:ole="">
            <v:imagedata r:id="rId15" o:title=""/>
          </v:shape>
          <o:OLEObject Type="Embed" ProgID="Equation.3" ShapeID="_x0000_i1026" DrawAspect="Content" ObjectID="_1542525628" r:id="rId16"/>
        </w:object>
      </w:r>
    </w:p>
    <w:p w:rsidR="004C285B" w:rsidRPr="0080562B" w:rsidRDefault="004C285B" w:rsidP="004C285B">
      <w:pPr>
        <w:pStyle w:val="Equation"/>
        <w:rPr>
          <w:szCs w:val="24"/>
          <w:lang w:val="es-ES_tradnl"/>
        </w:rPr>
      </w:pPr>
      <w:r>
        <w:rPr>
          <w:szCs w:val="24"/>
          <w:lang w:val="es-ES_tradnl"/>
        </w:rPr>
        <w:tab/>
      </w:r>
      <w:r>
        <w:rPr>
          <w:szCs w:val="24"/>
          <w:lang w:val="es-ES_tradnl"/>
        </w:rPr>
        <w:tab/>
      </w:r>
      <w:r w:rsidR="00D54295" w:rsidRPr="004C285B">
        <w:rPr>
          <w:position w:val="-34"/>
          <w:szCs w:val="24"/>
          <w:lang w:val="es-ES_tradnl"/>
        </w:rPr>
        <w:object w:dxaOrig="1960" w:dyaOrig="720">
          <v:shape id="_x0000_i1027" type="#_x0000_t75" style="width:98.1pt;height:36pt" o:ole="">
            <v:imagedata r:id="rId17" o:title=""/>
          </v:shape>
          <o:OLEObject Type="Embed" ProgID="Equation.3" ShapeID="_x0000_i1027" DrawAspect="Content" ObjectID="_1542525629" r:id="rId18"/>
        </w:object>
      </w:r>
    </w:p>
    <w:p w:rsidR="008C6F77" w:rsidRPr="0080562B" w:rsidRDefault="008C6F77" w:rsidP="008C6F77">
      <w:pPr>
        <w:rPr>
          <w:szCs w:val="24"/>
          <w:lang w:val="es-ES_tradnl"/>
        </w:rPr>
      </w:pPr>
      <w:r w:rsidRPr="0080562B">
        <w:rPr>
          <w:szCs w:val="24"/>
          <w:lang w:val="es-ES_tradnl"/>
        </w:rPr>
        <w:t>donde:</w:t>
      </w:r>
    </w:p>
    <w:p w:rsidR="008C6F77" w:rsidRPr="0080562B" w:rsidRDefault="008C6F77" w:rsidP="008C6F77">
      <w:pPr>
        <w:pStyle w:val="Equationlegend"/>
        <w:jc w:val="left"/>
        <w:rPr>
          <w:lang w:val="es-ES_tradnl"/>
        </w:rPr>
      </w:pPr>
      <w:r w:rsidRPr="0080562B">
        <w:rPr>
          <w:lang w:val="es-ES_tradnl"/>
        </w:rPr>
        <w:tab/>
      </w:r>
      <w:r w:rsidRPr="0080562B">
        <w:rPr>
          <w:lang w:val="es-ES_tradnl"/>
        </w:rPr>
        <w:sym w:font="Symbol" w:char="F077"/>
      </w:r>
      <w:r w:rsidRPr="0080562B">
        <w:rPr>
          <w:lang w:val="es-ES_tradnl"/>
        </w:rPr>
        <w:t>:</w:t>
      </w:r>
      <w:r w:rsidRPr="0080562B">
        <w:rPr>
          <w:lang w:val="es-ES_tradnl"/>
        </w:rPr>
        <w:tab/>
        <w:t>velocidad angular del satélite en coordenadas fijadas en la Tierra (sistema de coordenadas de referencia geocéntrico geosíncrono)</w:t>
      </w:r>
    </w:p>
    <w:p w:rsidR="008C6F77" w:rsidRPr="0080562B" w:rsidRDefault="008C6F77" w:rsidP="00CA71F1">
      <w:pPr>
        <w:pStyle w:val="Equationlegend"/>
        <w:jc w:val="left"/>
        <w:rPr>
          <w:lang w:val="es-ES_tradnl"/>
        </w:rPr>
      </w:pPr>
      <w:r w:rsidRPr="0080562B">
        <w:rPr>
          <w:lang w:val="es-ES_tradnl"/>
        </w:rPr>
        <w:tab/>
      </w:r>
      <w:r w:rsidR="00CA71F1">
        <w:rPr>
          <w:lang w:val="es-ES_tradnl"/>
        </w:rPr>
        <w:sym w:font="Symbol" w:char="F077"/>
      </w:r>
      <w:r w:rsidRPr="00E415F9">
        <w:rPr>
          <w:i/>
          <w:iCs/>
          <w:vertAlign w:val="subscript"/>
          <w:lang w:val="es-ES_tradnl"/>
        </w:rPr>
        <w:t>s</w:t>
      </w:r>
      <w:r w:rsidRPr="0080562B">
        <w:rPr>
          <w:lang w:val="es-ES_tradnl"/>
        </w:rPr>
        <w:t>:</w:t>
      </w:r>
      <w:r w:rsidRPr="0080562B">
        <w:rPr>
          <w:lang w:val="es-ES_tradnl"/>
        </w:rPr>
        <w:tab/>
        <w:t>velocidad angular del satélite en coordenadas fijadas en el espacio (sistema de coordenadas de referencia geocéntrico heliosíncrono)</w:t>
      </w:r>
    </w:p>
    <w:p w:rsidR="008C6F77" w:rsidRPr="0080562B" w:rsidRDefault="008C6F77" w:rsidP="00CA71F1">
      <w:pPr>
        <w:pStyle w:val="Equationlegend"/>
        <w:jc w:val="left"/>
        <w:rPr>
          <w:lang w:val="es-ES_tradnl"/>
        </w:rPr>
      </w:pPr>
      <w:r w:rsidRPr="0080562B">
        <w:rPr>
          <w:lang w:val="es-ES_tradnl"/>
        </w:rPr>
        <w:tab/>
      </w:r>
      <w:r w:rsidR="00CA71F1">
        <w:rPr>
          <w:lang w:val="es-ES_tradnl"/>
        </w:rPr>
        <w:sym w:font="Symbol" w:char="F077"/>
      </w:r>
      <w:r w:rsidRPr="00CA71F1">
        <w:rPr>
          <w:i/>
          <w:iCs/>
          <w:vertAlign w:val="subscript"/>
          <w:lang w:val="es-ES_tradnl"/>
        </w:rPr>
        <w:t>e</w:t>
      </w:r>
      <w:r w:rsidRPr="0080562B">
        <w:rPr>
          <w:lang w:val="es-ES_tradnl"/>
        </w:rPr>
        <w:t>:</w:t>
      </w:r>
      <w:r w:rsidRPr="0080562B">
        <w:rPr>
          <w:lang w:val="es-ES_tradnl"/>
        </w:rPr>
        <w:tab/>
        <w:t>velocidad angular de rotación de la Tierra en el Ecuador</w:t>
      </w:r>
    </w:p>
    <w:p w:rsidR="008C6F77" w:rsidRPr="0080562B" w:rsidRDefault="008C6F77" w:rsidP="00CA71F1">
      <w:pPr>
        <w:pStyle w:val="Equationlegend"/>
        <w:jc w:val="left"/>
        <w:rPr>
          <w:lang w:val="es-ES_tradnl"/>
        </w:rPr>
      </w:pPr>
      <w:r w:rsidRPr="0080562B">
        <w:rPr>
          <w:lang w:val="es-ES_tradnl"/>
        </w:rPr>
        <w:tab/>
      </w:r>
      <w:r w:rsidRPr="0080562B">
        <w:rPr>
          <w:i/>
          <w:lang w:val="es-ES_tradnl"/>
        </w:rPr>
        <w:t>I</w:t>
      </w:r>
      <w:r w:rsidRPr="0080562B">
        <w:rPr>
          <w:lang w:val="es-ES_tradnl"/>
        </w:rPr>
        <w:t>:</w:t>
      </w:r>
      <w:r w:rsidRPr="0080562B">
        <w:rPr>
          <w:lang w:val="es-ES_tradnl"/>
        </w:rPr>
        <w:tab/>
        <w:t>inclinación de la órbita del satélite</w:t>
      </w:r>
    </w:p>
    <w:p w:rsidR="008C6F77" w:rsidRPr="0080562B" w:rsidRDefault="008C6F77" w:rsidP="00CA71F1">
      <w:pPr>
        <w:pStyle w:val="Equationlegend"/>
        <w:jc w:val="left"/>
        <w:rPr>
          <w:lang w:val="es-ES_tradnl"/>
        </w:rPr>
      </w:pPr>
      <w:r w:rsidRPr="0080562B">
        <w:rPr>
          <w:lang w:val="es-ES_tradnl"/>
        </w:rPr>
        <w:tab/>
      </w:r>
      <w:r w:rsidR="00CA71F1">
        <w:rPr>
          <w:lang w:val="es-ES_tradnl"/>
        </w:rPr>
        <w:sym w:font="Symbol" w:char="F071"/>
      </w:r>
      <w:r w:rsidR="00CA71F1">
        <w:rPr>
          <w:lang w:val="es-ES_tradnl"/>
        </w:rPr>
        <w:sym w:font="Symbol" w:char="F065"/>
      </w:r>
      <w:r w:rsidRPr="0080562B">
        <w:rPr>
          <w:lang w:val="es-ES_tradnl"/>
        </w:rPr>
        <w:t>:</w:t>
      </w:r>
      <w:r w:rsidRPr="0080562B">
        <w:rPr>
          <w:lang w:val="es-ES_tradnl"/>
        </w:rPr>
        <w:tab/>
        <w:t>ángulo geocéntrico entre el satélite y la estación del SF</w:t>
      </w:r>
    </w:p>
    <w:p w:rsidR="008C6F77" w:rsidRPr="0080562B" w:rsidRDefault="008C6F77" w:rsidP="00CA71F1">
      <w:pPr>
        <w:pStyle w:val="Equationlegend"/>
        <w:jc w:val="left"/>
        <w:rPr>
          <w:lang w:val="es-ES_tradnl"/>
        </w:rPr>
      </w:pPr>
      <w:r w:rsidRPr="0080562B">
        <w:rPr>
          <w:lang w:val="es-ES_tradnl"/>
        </w:rPr>
        <w:tab/>
      </w:r>
      <w:r w:rsidRPr="0080562B">
        <w:rPr>
          <w:i/>
          <w:lang w:val="es-ES_tradnl"/>
        </w:rPr>
        <w:t>R</w:t>
      </w:r>
      <w:r w:rsidRPr="0080562B">
        <w:rPr>
          <w:lang w:val="es-ES_tradnl"/>
        </w:rPr>
        <w:t>:</w:t>
      </w:r>
      <w:r w:rsidRPr="0080562B">
        <w:rPr>
          <w:lang w:val="es-ES_tradnl"/>
        </w:rPr>
        <w:tab/>
        <w:t>radio de la Tierra</w:t>
      </w:r>
    </w:p>
    <w:p w:rsidR="008C6F77" w:rsidRPr="0080562B" w:rsidRDefault="008C6F77" w:rsidP="00CA71F1">
      <w:pPr>
        <w:pStyle w:val="Equationlegend"/>
        <w:jc w:val="left"/>
        <w:rPr>
          <w:lang w:val="es-ES_tradnl"/>
        </w:rPr>
      </w:pPr>
      <w:r w:rsidRPr="0080562B">
        <w:rPr>
          <w:lang w:val="es-ES_tradnl"/>
        </w:rPr>
        <w:tab/>
      </w:r>
      <w:r w:rsidRPr="0080562B">
        <w:rPr>
          <w:i/>
          <w:lang w:val="es-ES_tradnl"/>
        </w:rPr>
        <w:t>h</w:t>
      </w:r>
      <w:r w:rsidRPr="0080562B">
        <w:rPr>
          <w:lang w:val="es-ES_tradnl"/>
        </w:rPr>
        <w:t>:</w:t>
      </w:r>
      <w:r w:rsidRPr="0080562B">
        <w:rPr>
          <w:lang w:val="es-ES_tradnl"/>
        </w:rPr>
        <w:tab/>
        <w:t>altitud del satélite</w:t>
      </w:r>
    </w:p>
    <w:p w:rsidR="008C6F77" w:rsidRPr="0080562B" w:rsidRDefault="008C6F77" w:rsidP="00CA71F1">
      <w:pPr>
        <w:pStyle w:val="Equationlegend"/>
        <w:jc w:val="left"/>
        <w:rPr>
          <w:lang w:val="es-ES_tradnl"/>
        </w:rPr>
      </w:pPr>
      <w:r w:rsidRPr="0080562B">
        <w:rPr>
          <w:lang w:val="es-ES_tradnl"/>
        </w:rPr>
        <w:tab/>
      </w:r>
      <w:r w:rsidR="00CA71F1">
        <w:rPr>
          <w:lang w:val="es-ES_tradnl"/>
        </w:rPr>
        <w:sym w:font="Symbol" w:char="F065"/>
      </w:r>
      <w:r w:rsidRPr="0080562B">
        <w:rPr>
          <w:lang w:val="es-ES_tradnl"/>
        </w:rPr>
        <w:t>:</w:t>
      </w:r>
      <w:r w:rsidRPr="0080562B">
        <w:rPr>
          <w:lang w:val="es-ES_tradnl"/>
        </w:rPr>
        <w:tab/>
        <w:t>ángulo de elevación de la antena del SF</w:t>
      </w:r>
    </w:p>
    <w:p w:rsidR="008C6F77" w:rsidRPr="0080562B" w:rsidRDefault="008C6F77" w:rsidP="00CA71F1">
      <w:pPr>
        <w:pStyle w:val="Equationlegend"/>
        <w:jc w:val="left"/>
        <w:rPr>
          <w:lang w:val="es-ES_tradnl"/>
        </w:rPr>
      </w:pPr>
      <w:r w:rsidRPr="0080562B">
        <w:rPr>
          <w:lang w:val="es-ES_tradnl"/>
        </w:rPr>
        <w:tab/>
      </w:r>
      <w:r w:rsidRPr="0080562B">
        <w:rPr>
          <w:iCs/>
          <w:lang w:val="es-ES_tradnl"/>
        </w:rPr>
        <w:t>φ</w:t>
      </w:r>
      <w:r w:rsidRPr="0080562B">
        <w:rPr>
          <w:position w:val="-4"/>
          <w:sz w:val="20"/>
          <w:lang w:val="es-ES_tradnl"/>
        </w:rPr>
        <w:t>3dB</w:t>
      </w:r>
      <w:r w:rsidRPr="0080562B">
        <w:rPr>
          <w:lang w:val="es-ES_tradnl"/>
        </w:rPr>
        <w:t>:</w:t>
      </w:r>
      <w:r w:rsidRPr="0080562B">
        <w:rPr>
          <w:lang w:val="es-ES_tradnl"/>
        </w:rPr>
        <w:tab/>
        <w:t>ancho del haz de 3 dB de la estación del SF</w:t>
      </w:r>
    </w:p>
    <w:p w:rsidR="008C6F77" w:rsidRPr="0080562B" w:rsidRDefault="008C6F77" w:rsidP="00CA71F1">
      <w:pPr>
        <w:pStyle w:val="Equationlegend"/>
        <w:jc w:val="left"/>
        <w:rPr>
          <w:lang w:val="es-ES_tradnl"/>
        </w:rPr>
      </w:pPr>
      <w:r w:rsidRPr="0080562B">
        <w:rPr>
          <w:lang w:val="es-ES_tradnl"/>
        </w:rPr>
        <w:tab/>
      </w:r>
      <w:r w:rsidRPr="0080562B">
        <w:rPr>
          <w:i/>
          <w:lang w:val="es-ES_tradnl"/>
        </w:rPr>
        <w:t>N</w:t>
      </w:r>
      <w:r w:rsidRPr="00E415F9">
        <w:rPr>
          <w:i/>
          <w:iCs/>
          <w:vertAlign w:val="subscript"/>
          <w:lang w:val="es-ES_tradnl"/>
        </w:rPr>
        <w:t>hits</w:t>
      </w:r>
      <w:r w:rsidRPr="0080562B">
        <w:rPr>
          <w:lang w:val="es-ES_tradnl"/>
        </w:rPr>
        <w:t>:</w:t>
      </w:r>
      <w:r w:rsidRPr="0080562B">
        <w:rPr>
          <w:lang w:val="es-ES_tradnl"/>
        </w:rPr>
        <w:tab/>
        <w:t>número de saltos en el ancho de haz de 3 dB de la estación del SF</w:t>
      </w:r>
    </w:p>
    <w:p w:rsidR="008C6F77" w:rsidRPr="0080562B" w:rsidRDefault="008C6F77" w:rsidP="00CA71F1">
      <w:pPr>
        <w:pStyle w:val="Equationlegend"/>
        <w:jc w:val="left"/>
        <w:rPr>
          <w:lang w:val="es-ES_tradnl"/>
        </w:rPr>
      </w:pPr>
      <w:r w:rsidRPr="0080562B">
        <w:rPr>
          <w:lang w:val="es-ES_tradnl"/>
        </w:rPr>
        <w:tab/>
      </w:r>
      <w:r w:rsidR="00CA71F1">
        <w:rPr>
          <w:lang w:val="es-ES_tradnl"/>
        </w:rPr>
        <w:sym w:font="Symbol" w:char="F044"/>
      </w:r>
      <w:r w:rsidRPr="0080562B">
        <w:rPr>
          <w:i/>
          <w:lang w:val="es-ES_tradnl"/>
        </w:rPr>
        <w:t>t</w:t>
      </w:r>
      <w:r w:rsidRPr="0080562B">
        <w:rPr>
          <w:lang w:val="es-ES_tradnl"/>
        </w:rPr>
        <w:t>:</w:t>
      </w:r>
      <w:r w:rsidRPr="0080562B">
        <w:rPr>
          <w:lang w:val="es-ES_tradnl"/>
        </w:rPr>
        <w:tab/>
        <w:t>incremento de tiempo de simulación</w:t>
      </w:r>
      <w:r>
        <w:rPr>
          <w:lang w:val="es-ES_tradnl"/>
        </w:rPr>
        <w:t>.</w:t>
      </w:r>
    </w:p>
    <w:p w:rsidR="008C6F77" w:rsidRPr="0080562B" w:rsidRDefault="008C6F77" w:rsidP="008C6F77">
      <w:pPr>
        <w:pStyle w:val="Heading2"/>
        <w:rPr>
          <w:lang w:val="es-ES_tradnl"/>
        </w:rPr>
      </w:pPr>
      <w:r w:rsidRPr="0080562B">
        <w:rPr>
          <w:lang w:val="es-ES_tradnl"/>
        </w:rPr>
        <w:lastRenderedPageBreak/>
        <w:t>2.3</w:t>
      </w:r>
      <w:r w:rsidRPr="0080562B">
        <w:rPr>
          <w:lang w:val="es-ES_tradnl"/>
        </w:rPr>
        <w:tab/>
        <w:t xml:space="preserve">Criterios de interferencia aplicables – </w:t>
      </w:r>
      <w:r w:rsidR="00DF5C1E" w:rsidRPr="0080562B">
        <w:rPr>
          <w:lang w:val="es-ES_tradnl"/>
        </w:rPr>
        <w:t xml:space="preserve">Sistema </w:t>
      </w:r>
      <w:r w:rsidRPr="0080562B">
        <w:rPr>
          <w:lang w:val="es-ES_tradnl"/>
        </w:rPr>
        <w:t>digital del SF</w:t>
      </w:r>
    </w:p>
    <w:p w:rsidR="008C6F77" w:rsidRDefault="008C6F77" w:rsidP="00E415F9">
      <w:pPr>
        <w:keepNext/>
        <w:keepLines/>
        <w:rPr>
          <w:lang w:val="es-ES_tradnl"/>
        </w:rPr>
      </w:pPr>
      <w:r w:rsidRPr="0080562B">
        <w:rPr>
          <w:lang w:val="es-ES_tradnl"/>
        </w:rPr>
        <w:t>En el caso del servicio fijo digital, el programa calcula la DFC para la estación digi</w:t>
      </w:r>
      <w:r>
        <w:rPr>
          <w:lang w:val="es-ES_tradnl"/>
        </w:rPr>
        <w:t>tal como se muestra en el Anexo </w:t>
      </w:r>
      <w:r w:rsidRPr="0080562B">
        <w:rPr>
          <w:lang w:val="es-ES_tradnl"/>
        </w:rPr>
        <w:t>3 a la Recomendación UIT</w:t>
      </w:r>
      <w:r>
        <w:rPr>
          <w:lang w:val="es-ES_tradnl"/>
        </w:rPr>
        <w:noBreakHyphen/>
        <w:t>R </w:t>
      </w:r>
      <w:r w:rsidRPr="0080562B">
        <w:rPr>
          <w:lang w:val="es-ES_tradnl"/>
        </w:rPr>
        <w:t>F.1108:</w:t>
      </w:r>
    </w:p>
    <w:p w:rsidR="00D01364" w:rsidRPr="0080562B" w:rsidRDefault="00D01364" w:rsidP="008C6F77">
      <w:pPr>
        <w:pStyle w:val="Equation"/>
        <w:rPr>
          <w:szCs w:val="24"/>
          <w:lang w:val="es-ES_tradnl"/>
        </w:rPr>
      </w:pPr>
      <w:r>
        <w:rPr>
          <w:szCs w:val="24"/>
          <w:lang w:val="es-ES_tradnl"/>
        </w:rPr>
        <w:tab/>
      </w:r>
      <w:r>
        <w:rPr>
          <w:szCs w:val="24"/>
          <w:lang w:val="es-ES_tradnl"/>
        </w:rPr>
        <w:tab/>
      </w:r>
      <w:r w:rsidRPr="00D01364">
        <w:rPr>
          <w:position w:val="-40"/>
          <w:szCs w:val="24"/>
          <w:lang w:val="es-ES_tradnl"/>
        </w:rPr>
        <w:object w:dxaOrig="1900" w:dyaOrig="859">
          <v:shape id="_x0000_i1028" type="#_x0000_t75" style="width:94.95pt;height:43.05pt" o:ole="">
            <v:imagedata r:id="rId19" o:title=""/>
          </v:shape>
          <o:OLEObject Type="Embed" ProgID="Equation.3" ShapeID="_x0000_i1028" DrawAspect="Content" ObjectID="_1542525630" r:id="rId20"/>
        </w:object>
      </w:r>
    </w:p>
    <w:p w:rsidR="008C6F77" w:rsidRPr="0080562B" w:rsidRDefault="008C6F77" w:rsidP="008C6F77">
      <w:pPr>
        <w:rPr>
          <w:szCs w:val="24"/>
          <w:lang w:val="es-ES_tradnl"/>
        </w:rPr>
      </w:pPr>
      <w:r w:rsidRPr="0080562B">
        <w:rPr>
          <w:szCs w:val="24"/>
          <w:lang w:val="es-ES_tradnl"/>
        </w:rPr>
        <w:t>donde:</w:t>
      </w:r>
    </w:p>
    <w:p w:rsidR="008C6F77" w:rsidRPr="0080562B" w:rsidRDefault="008C6F77" w:rsidP="00CA71F1">
      <w:pPr>
        <w:pStyle w:val="Equationlegend"/>
        <w:rPr>
          <w:iCs/>
          <w:lang w:val="es-ES_tradnl"/>
        </w:rPr>
      </w:pPr>
      <w:r w:rsidRPr="0080562B">
        <w:rPr>
          <w:lang w:val="es-ES_tradnl"/>
        </w:rPr>
        <w:tab/>
      </w:r>
      <w:r w:rsidRPr="0080562B">
        <w:rPr>
          <w:i/>
          <w:lang w:val="es-ES_tradnl"/>
        </w:rPr>
        <w:t>I</w:t>
      </w:r>
      <w:r w:rsidRPr="0080562B">
        <w:rPr>
          <w:lang w:val="es-ES_tradnl"/>
        </w:rPr>
        <w:t>:</w:t>
      </w:r>
      <w:r w:rsidRPr="0080562B">
        <w:rPr>
          <w:lang w:val="es-ES_tradnl"/>
        </w:rPr>
        <w:tab/>
        <w:t xml:space="preserve">potencia interferente en el ancho de banda, </w:t>
      </w:r>
      <w:r w:rsidRPr="0080562B">
        <w:rPr>
          <w:i/>
          <w:lang w:val="es-ES_tradnl"/>
        </w:rPr>
        <w:t>B</w:t>
      </w:r>
      <w:r w:rsidRPr="0080562B">
        <w:rPr>
          <w:i/>
          <w:position w:val="-4"/>
          <w:lang w:val="es-ES_tradnl"/>
        </w:rPr>
        <w:t>w</w:t>
      </w:r>
      <w:r w:rsidRPr="0080562B">
        <w:rPr>
          <w:lang w:val="es-ES_tradnl"/>
        </w:rPr>
        <w:t>,</w:t>
      </w:r>
      <w:r w:rsidRPr="0080562B">
        <w:rPr>
          <w:i/>
          <w:position w:val="-4"/>
          <w:lang w:val="es-ES_tradnl"/>
        </w:rPr>
        <w:t xml:space="preserve"> </w:t>
      </w:r>
      <w:r w:rsidRPr="0080562B">
        <w:rPr>
          <w:iCs/>
          <w:position w:val="-4"/>
          <w:lang w:val="es-ES_tradnl"/>
        </w:rPr>
        <w:t>del receptor del SF</w:t>
      </w:r>
    </w:p>
    <w:p w:rsidR="008C6F77" w:rsidRPr="0080562B" w:rsidRDefault="008C6F77" w:rsidP="00CA71F1">
      <w:pPr>
        <w:pStyle w:val="Equationlegend"/>
        <w:rPr>
          <w:i/>
          <w:lang w:val="es-ES_tradnl"/>
        </w:rPr>
      </w:pPr>
      <w:r w:rsidRPr="0080562B">
        <w:rPr>
          <w:lang w:val="es-ES_tradnl"/>
        </w:rPr>
        <w:tab/>
      </w:r>
      <w:r w:rsidRPr="0080562B">
        <w:rPr>
          <w:i/>
          <w:lang w:val="es-ES_tradnl"/>
        </w:rPr>
        <w:t>f</w:t>
      </w:r>
      <w:r w:rsidRPr="00E415F9">
        <w:rPr>
          <w:i/>
          <w:iCs/>
          <w:vertAlign w:val="subscript"/>
          <w:lang w:val="es-ES_tradnl"/>
        </w:rPr>
        <w:t>i</w:t>
      </w:r>
      <w:r w:rsidRPr="0080562B">
        <w:rPr>
          <w:lang w:val="es-ES_tradnl"/>
        </w:rPr>
        <w:t>:</w:t>
      </w:r>
      <w:r w:rsidRPr="0080562B">
        <w:rPr>
          <w:lang w:val="es-ES_tradnl"/>
        </w:rPr>
        <w:tab/>
        <w:t xml:space="preserve">fracción de tiempo en el que la potencia interferente es igual a </w:t>
      </w:r>
      <w:r w:rsidRPr="0080562B">
        <w:rPr>
          <w:i/>
          <w:lang w:val="es-ES_tradnl"/>
        </w:rPr>
        <w:t>I</w:t>
      </w:r>
    </w:p>
    <w:p w:rsidR="008C6F77" w:rsidRPr="0080562B" w:rsidRDefault="008C6F77" w:rsidP="00CA71F1">
      <w:pPr>
        <w:pStyle w:val="Equationlegend"/>
        <w:rPr>
          <w:i/>
          <w:lang w:val="es-ES_tradnl"/>
        </w:rPr>
      </w:pPr>
      <w:r w:rsidRPr="0080562B">
        <w:rPr>
          <w:lang w:val="es-ES_tradnl"/>
        </w:rPr>
        <w:tab/>
      </w:r>
      <w:r w:rsidRPr="0080562B">
        <w:rPr>
          <w:i/>
          <w:lang w:val="es-ES_tradnl"/>
        </w:rPr>
        <w:t>N</w:t>
      </w:r>
      <w:r w:rsidRPr="00E415F9">
        <w:rPr>
          <w:i/>
          <w:iCs/>
          <w:vertAlign w:val="subscript"/>
          <w:lang w:val="es-ES_tradnl"/>
        </w:rPr>
        <w:t>T</w:t>
      </w:r>
      <w:r w:rsidRPr="0080562B">
        <w:rPr>
          <w:lang w:val="es-ES_tradnl"/>
        </w:rPr>
        <w:t>:</w:t>
      </w:r>
      <w:r w:rsidRPr="0080562B">
        <w:rPr>
          <w:i/>
          <w:lang w:val="es-ES_tradnl"/>
        </w:rPr>
        <w:tab/>
      </w:r>
      <w:r w:rsidRPr="0080562B">
        <w:rPr>
          <w:iCs/>
          <w:lang w:val="es-ES_tradnl"/>
        </w:rPr>
        <w:t>nivel de potencia de ruido del sistema de recepción de la estación</w:t>
      </w:r>
      <w:r w:rsidR="00D54295">
        <w:rPr>
          <w:lang w:val="es-ES_tradnl"/>
        </w:rPr>
        <w:t>:</w:t>
      </w:r>
    </w:p>
    <w:p w:rsidR="008C6F77" w:rsidRPr="00BE04B3" w:rsidRDefault="008C6F77" w:rsidP="003354B5">
      <w:pPr>
        <w:pStyle w:val="Equation"/>
        <w:rPr>
          <w:i/>
          <w:lang w:val="fr-CH"/>
        </w:rPr>
      </w:pPr>
      <w:r w:rsidRPr="0080562B">
        <w:rPr>
          <w:lang w:val="es-ES_tradnl"/>
        </w:rPr>
        <w:tab/>
      </w:r>
      <w:r w:rsidRPr="0080562B">
        <w:rPr>
          <w:lang w:val="es-ES_tradnl"/>
        </w:rPr>
        <w:tab/>
      </w:r>
      <w:r w:rsidRPr="00BE04B3">
        <w:rPr>
          <w:i/>
          <w:lang w:val="fr-CH"/>
        </w:rPr>
        <w:t>N</w:t>
      </w:r>
      <w:r w:rsidRPr="003354B5">
        <w:rPr>
          <w:i/>
          <w:iCs/>
          <w:vertAlign w:val="subscript"/>
        </w:rPr>
        <w:t>T</w:t>
      </w:r>
      <w:r w:rsidR="003354B5">
        <w:rPr>
          <w:lang w:val="fr-CH"/>
        </w:rPr>
        <w:t xml:space="preserve"> = </w:t>
      </w:r>
      <w:r w:rsidRPr="00BE04B3">
        <w:rPr>
          <w:i/>
          <w:lang w:val="fr-CH"/>
        </w:rPr>
        <w:t>k</w:t>
      </w:r>
      <w:r w:rsidRPr="00BE04B3">
        <w:rPr>
          <w:lang w:val="fr-CH"/>
        </w:rPr>
        <w:t xml:space="preserve"> </w:t>
      </w:r>
      <w:r w:rsidRPr="00BE04B3">
        <w:rPr>
          <w:i/>
          <w:lang w:val="fr-CH"/>
        </w:rPr>
        <w:t>T</w:t>
      </w:r>
      <w:r w:rsidRPr="00BE04B3">
        <w:rPr>
          <w:lang w:val="fr-CH"/>
        </w:rPr>
        <w:t xml:space="preserve"> </w:t>
      </w:r>
      <w:r w:rsidRPr="00BE04B3">
        <w:rPr>
          <w:i/>
          <w:lang w:val="fr-CH"/>
        </w:rPr>
        <w:t>B</w:t>
      </w:r>
      <w:r w:rsidRPr="003354B5">
        <w:rPr>
          <w:i/>
          <w:iCs/>
          <w:vertAlign w:val="subscript"/>
        </w:rPr>
        <w:t>w</w:t>
      </w:r>
    </w:p>
    <w:p w:rsidR="008C6F77" w:rsidRPr="00BE04B3" w:rsidRDefault="008C6F77" w:rsidP="008C6F77">
      <w:pPr>
        <w:keepNext/>
        <w:keepLines/>
        <w:rPr>
          <w:lang w:val="fr-CH"/>
        </w:rPr>
      </w:pPr>
      <w:r w:rsidRPr="00BE04B3">
        <w:rPr>
          <w:lang w:val="fr-CH"/>
        </w:rPr>
        <w:t>donde:</w:t>
      </w:r>
    </w:p>
    <w:p w:rsidR="008C6F77" w:rsidRPr="0080562B" w:rsidRDefault="008C6F77" w:rsidP="00CA71F1">
      <w:pPr>
        <w:pStyle w:val="Equationlegend"/>
        <w:keepNext/>
        <w:keepLines/>
        <w:rPr>
          <w:lang w:val="es-ES_tradnl"/>
        </w:rPr>
      </w:pPr>
      <w:r w:rsidRPr="00BE04B3">
        <w:rPr>
          <w:lang w:val="fr-CH"/>
        </w:rPr>
        <w:tab/>
      </w:r>
      <w:r w:rsidRPr="0080562B">
        <w:rPr>
          <w:i/>
          <w:lang w:val="es-ES_tradnl"/>
        </w:rPr>
        <w:t>k</w:t>
      </w:r>
      <w:r w:rsidRPr="0080562B">
        <w:rPr>
          <w:lang w:val="es-ES_tradnl"/>
        </w:rPr>
        <w:t>:</w:t>
      </w:r>
      <w:r w:rsidRPr="0080562B">
        <w:rPr>
          <w:lang w:val="es-ES_tradnl"/>
        </w:rPr>
        <w:tab/>
        <w:t>constante de Boltzmann</w:t>
      </w:r>
    </w:p>
    <w:p w:rsidR="008C6F77" w:rsidRPr="0080562B" w:rsidRDefault="008C6F77" w:rsidP="00E415F9">
      <w:pPr>
        <w:pStyle w:val="Equationlegend"/>
        <w:rPr>
          <w:lang w:val="es-ES_tradnl"/>
        </w:rPr>
      </w:pPr>
      <w:r w:rsidRPr="0080562B">
        <w:rPr>
          <w:lang w:val="es-ES_tradnl"/>
        </w:rPr>
        <w:tab/>
      </w:r>
      <w:r w:rsidRPr="0080562B">
        <w:rPr>
          <w:i/>
          <w:lang w:val="es-ES_tradnl"/>
        </w:rPr>
        <w:t>T</w:t>
      </w:r>
      <w:r w:rsidRPr="0080562B">
        <w:rPr>
          <w:lang w:val="es-ES_tradnl"/>
        </w:rPr>
        <w:t>:</w:t>
      </w:r>
      <w:r w:rsidRPr="0080562B">
        <w:rPr>
          <w:lang w:val="es-ES_tradnl"/>
        </w:rPr>
        <w:tab/>
        <w:t>temperatura de ruido del sistema de recepción equivalente de la estación del SF</w:t>
      </w:r>
      <w:r w:rsidR="00E415F9">
        <w:rPr>
          <w:lang w:val="es-ES_tradnl"/>
        </w:rPr>
        <w:t> </w:t>
      </w:r>
      <w:r w:rsidRPr="0080562B">
        <w:rPr>
          <w:lang w:val="es-ES_tradnl"/>
        </w:rPr>
        <w:t>(K)</w:t>
      </w:r>
    </w:p>
    <w:p w:rsidR="008C6F77" w:rsidRPr="0080562B" w:rsidRDefault="008C6F77" w:rsidP="00CA71F1">
      <w:pPr>
        <w:pStyle w:val="Equationlegend"/>
        <w:rPr>
          <w:lang w:val="es-ES_tradnl"/>
        </w:rPr>
      </w:pPr>
      <w:r w:rsidRPr="0080562B">
        <w:rPr>
          <w:lang w:val="es-ES_tradnl"/>
        </w:rPr>
        <w:tab/>
      </w:r>
      <w:r w:rsidRPr="0080562B">
        <w:rPr>
          <w:i/>
          <w:lang w:val="es-ES_tradnl"/>
        </w:rPr>
        <w:t>B</w:t>
      </w:r>
      <w:r w:rsidRPr="00E415F9">
        <w:rPr>
          <w:i/>
          <w:iCs/>
          <w:vertAlign w:val="subscript"/>
          <w:lang w:val="es-ES_tradnl"/>
        </w:rPr>
        <w:t>w</w:t>
      </w:r>
      <w:r w:rsidRPr="0080562B">
        <w:rPr>
          <w:lang w:val="es-ES_tradnl"/>
        </w:rPr>
        <w:t>:</w:t>
      </w:r>
      <w:r w:rsidRPr="0080562B">
        <w:rPr>
          <w:lang w:val="es-ES_tradnl"/>
        </w:rPr>
        <w:tab/>
        <w:t>ancho de banda del receptor del SF (generalmente la DFC se calcula para un ancho de banda de referencia de 1 MHz).</w:t>
      </w:r>
    </w:p>
    <w:p w:rsidR="008C6F77" w:rsidRPr="0080562B" w:rsidRDefault="008C6F77" w:rsidP="008C6F77">
      <w:pPr>
        <w:rPr>
          <w:lang w:val="es-ES_tradnl"/>
        </w:rPr>
      </w:pPr>
      <w:r w:rsidRPr="0080562B">
        <w:rPr>
          <w:lang w:val="es-ES_tradnl"/>
        </w:rPr>
        <w:t>Para evaluar si se requerirá o no la coordinación con respecto a los sistemas digitales del SF, se compara la DFC calculada con el criterio aplicable del 25%.</w:t>
      </w:r>
    </w:p>
    <w:p w:rsidR="008C6F77" w:rsidRPr="0080562B" w:rsidRDefault="008C6F77" w:rsidP="008C6F77">
      <w:pPr>
        <w:rPr>
          <w:szCs w:val="24"/>
          <w:lang w:val="es-ES_tradnl"/>
        </w:rPr>
      </w:pPr>
    </w:p>
    <w:p w:rsidR="008C6F77" w:rsidRPr="0080562B" w:rsidRDefault="008C6F77" w:rsidP="008C6F77">
      <w:pPr>
        <w:rPr>
          <w:szCs w:val="24"/>
          <w:lang w:val="es-ES_tradnl"/>
        </w:rPr>
      </w:pPr>
    </w:p>
    <w:p w:rsidR="00E415F9" w:rsidRDefault="00E415F9">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8C6F77" w:rsidRPr="0080562B" w:rsidRDefault="008C6F77" w:rsidP="008C6F77">
      <w:pPr>
        <w:pStyle w:val="AnnexNoTitle"/>
        <w:rPr>
          <w:lang w:val="es-ES_tradnl"/>
        </w:rPr>
      </w:pPr>
      <w:r w:rsidRPr="0080562B">
        <w:rPr>
          <w:lang w:val="es-ES_tradnl"/>
        </w:rPr>
        <w:lastRenderedPageBreak/>
        <w:t>Anexo 2</w:t>
      </w:r>
      <w:r w:rsidRPr="0080562B">
        <w:rPr>
          <w:lang w:val="es-ES_tradnl"/>
        </w:rPr>
        <w:br/>
      </w:r>
      <w:r w:rsidRPr="0080562B">
        <w:rPr>
          <w:lang w:val="es-ES_tradnl"/>
        </w:rPr>
        <w:br/>
        <w:t>Ejemplo técnico de análisis de interferencia</w:t>
      </w:r>
    </w:p>
    <w:p w:rsidR="008C6F77" w:rsidRPr="0080562B" w:rsidRDefault="008C6F77" w:rsidP="008C6F77">
      <w:pPr>
        <w:pStyle w:val="Heading1"/>
        <w:rPr>
          <w:lang w:val="es-ES_tradnl"/>
        </w:rPr>
      </w:pPr>
      <w:r w:rsidRPr="0080562B">
        <w:rPr>
          <w:lang w:val="es-ES_tradnl"/>
        </w:rPr>
        <w:t>1</w:t>
      </w:r>
      <w:r w:rsidRPr="0080562B">
        <w:rPr>
          <w:lang w:val="es-ES_tradnl"/>
        </w:rPr>
        <w:tab/>
        <w:t>Características de los sistemas del SMS, el SRDS y el SF</w:t>
      </w:r>
    </w:p>
    <w:p w:rsidR="008C6F77" w:rsidRPr="0080562B" w:rsidRDefault="008C6F77" w:rsidP="008C6F77">
      <w:pPr>
        <w:pStyle w:val="Heading2"/>
        <w:rPr>
          <w:lang w:val="es-ES_tradnl"/>
        </w:rPr>
      </w:pPr>
      <w:r w:rsidRPr="0080562B">
        <w:rPr>
          <w:lang w:val="es-ES_tradnl"/>
        </w:rPr>
        <w:t>1.1</w:t>
      </w:r>
      <w:r w:rsidRPr="0080562B">
        <w:rPr>
          <w:lang w:val="es-ES_tradnl"/>
        </w:rPr>
        <w:tab/>
        <w:t>Características de los sistemas del SMS en la banda 2 483,5-2 500 MHz</w:t>
      </w:r>
    </w:p>
    <w:p w:rsidR="008C6F77" w:rsidRPr="0080562B" w:rsidRDefault="008C6F77" w:rsidP="008C6F77">
      <w:pPr>
        <w:rPr>
          <w:lang w:val="es-ES_tradnl"/>
        </w:rPr>
      </w:pPr>
      <w:r w:rsidRPr="0080562B">
        <w:rPr>
          <w:lang w:val="es-ES_tradnl"/>
        </w:rPr>
        <w:t>Para los sistemas del SMS no OSG considerados en los análisis se han utilizado las características que se muestran en el Cuadro 1.</w:t>
      </w:r>
    </w:p>
    <w:p w:rsidR="008C6F77" w:rsidRPr="0080562B" w:rsidRDefault="008C6F77" w:rsidP="008C6F77">
      <w:pPr>
        <w:pStyle w:val="TableNo"/>
        <w:rPr>
          <w:lang w:val="es-ES_tradnl"/>
        </w:rPr>
      </w:pPr>
      <w:bookmarkStart w:id="3" w:name="_Ref304323052"/>
      <w:r w:rsidRPr="0080562B">
        <w:rPr>
          <w:lang w:val="es-ES_tradnl"/>
        </w:rPr>
        <w:t>CUADRO 1</w:t>
      </w:r>
      <w:bookmarkEnd w:id="3"/>
    </w:p>
    <w:p w:rsidR="008C6F77" w:rsidRPr="0080562B" w:rsidRDefault="008C6F77" w:rsidP="008C6F77">
      <w:pPr>
        <w:pStyle w:val="Tabletitle"/>
        <w:rPr>
          <w:lang w:val="es-ES_tradnl"/>
        </w:rPr>
      </w:pPr>
      <w:r w:rsidRPr="0080562B">
        <w:rPr>
          <w:lang w:val="es-ES_tradnl"/>
        </w:rPr>
        <w:t>Parámetros típicos de un sistema del servicio móvil por satélite</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669"/>
        <w:gridCol w:w="4054"/>
      </w:tblGrid>
      <w:tr w:rsidR="008C6F77" w:rsidRPr="0080562B" w:rsidTr="00E415F9">
        <w:trPr>
          <w:tblHeader/>
          <w:jc w:val="center"/>
        </w:trPr>
        <w:tc>
          <w:tcPr>
            <w:tcW w:w="5669" w:type="dxa"/>
          </w:tcPr>
          <w:p w:rsidR="008C6F77" w:rsidRPr="0080562B" w:rsidRDefault="008C6F77" w:rsidP="00CA71F1">
            <w:pPr>
              <w:pStyle w:val="Tablehead"/>
              <w:rPr>
                <w:lang w:val="es-ES_tradnl"/>
              </w:rPr>
            </w:pPr>
            <w:r w:rsidRPr="0080562B">
              <w:rPr>
                <w:lang w:val="es-ES_tradnl"/>
              </w:rPr>
              <w:t>Nombre del sistema</w:t>
            </w:r>
          </w:p>
        </w:tc>
        <w:tc>
          <w:tcPr>
            <w:tcW w:w="4054" w:type="dxa"/>
          </w:tcPr>
          <w:p w:rsidR="008C6F77" w:rsidRPr="0080562B" w:rsidRDefault="008C6F77" w:rsidP="00CA71F1">
            <w:pPr>
              <w:pStyle w:val="Tablehead"/>
              <w:rPr>
                <w:lang w:val="es-ES_tradnl"/>
              </w:rPr>
            </w:pPr>
            <w:r w:rsidRPr="0080562B">
              <w:rPr>
                <w:lang w:val="es-ES_tradnl"/>
              </w:rPr>
              <w:t>HIBLEO-4/HIBLEO-X</w:t>
            </w:r>
          </w:p>
        </w:tc>
      </w:tr>
      <w:tr w:rsidR="008C6F77" w:rsidRPr="0080562B" w:rsidTr="00E415F9">
        <w:trPr>
          <w:jc w:val="center"/>
        </w:trPr>
        <w:tc>
          <w:tcPr>
            <w:tcW w:w="5669" w:type="dxa"/>
          </w:tcPr>
          <w:p w:rsidR="008C6F77" w:rsidRPr="0080562B" w:rsidRDefault="008C6F77" w:rsidP="00CA71F1">
            <w:pPr>
              <w:pStyle w:val="Tabletext"/>
              <w:keepNext/>
              <w:keepLines/>
              <w:jc w:val="left"/>
              <w:rPr>
                <w:lang w:val="es-ES_tradnl"/>
              </w:rPr>
            </w:pPr>
            <w:r w:rsidRPr="0080562B">
              <w:rPr>
                <w:lang w:val="es-ES_tradnl"/>
              </w:rPr>
              <w:t>Altitud</w:t>
            </w:r>
          </w:p>
        </w:tc>
        <w:tc>
          <w:tcPr>
            <w:tcW w:w="4054" w:type="dxa"/>
          </w:tcPr>
          <w:p w:rsidR="008C6F77" w:rsidRPr="0080562B" w:rsidRDefault="008C6F77" w:rsidP="00CA71F1">
            <w:pPr>
              <w:pStyle w:val="Tabletext"/>
              <w:keepNext/>
              <w:keepLines/>
              <w:jc w:val="left"/>
              <w:rPr>
                <w:lang w:val="es-ES_tradnl"/>
              </w:rPr>
            </w:pPr>
            <w:r w:rsidRPr="0080562B">
              <w:rPr>
                <w:lang w:val="es-ES_tradnl"/>
              </w:rPr>
              <w:t>1 414 km</w:t>
            </w:r>
          </w:p>
        </w:tc>
      </w:tr>
      <w:tr w:rsidR="008C6F77" w:rsidRPr="0080562B" w:rsidTr="00E415F9">
        <w:trPr>
          <w:jc w:val="center"/>
        </w:trPr>
        <w:tc>
          <w:tcPr>
            <w:tcW w:w="5669" w:type="dxa"/>
          </w:tcPr>
          <w:p w:rsidR="008C6F77" w:rsidRPr="0080562B" w:rsidRDefault="008C6F77" w:rsidP="00CA71F1">
            <w:pPr>
              <w:pStyle w:val="Tabletext"/>
              <w:keepNext/>
              <w:keepLines/>
              <w:jc w:val="left"/>
              <w:rPr>
                <w:lang w:val="es-ES_tradnl"/>
              </w:rPr>
            </w:pPr>
            <w:r w:rsidRPr="0080562B">
              <w:rPr>
                <w:lang w:val="es-ES_tradnl"/>
              </w:rPr>
              <w:t>Inclinación</w:t>
            </w:r>
          </w:p>
        </w:tc>
        <w:tc>
          <w:tcPr>
            <w:tcW w:w="4054" w:type="dxa"/>
          </w:tcPr>
          <w:p w:rsidR="008C6F77" w:rsidRPr="0080562B" w:rsidRDefault="008C6F77" w:rsidP="00CA71F1">
            <w:pPr>
              <w:pStyle w:val="Tabletext"/>
              <w:keepNext/>
              <w:keepLines/>
              <w:jc w:val="left"/>
              <w:rPr>
                <w:lang w:val="es-ES_tradnl"/>
              </w:rPr>
            </w:pPr>
            <w:r w:rsidRPr="0080562B">
              <w:rPr>
                <w:lang w:val="es-ES_tradnl"/>
              </w:rPr>
              <w:t>52 grados</w:t>
            </w:r>
          </w:p>
        </w:tc>
      </w:tr>
      <w:tr w:rsidR="008C6F77" w:rsidRPr="0080562B" w:rsidTr="00E415F9">
        <w:trPr>
          <w:jc w:val="center"/>
        </w:trPr>
        <w:tc>
          <w:tcPr>
            <w:tcW w:w="5669" w:type="dxa"/>
          </w:tcPr>
          <w:p w:rsidR="008C6F77" w:rsidRPr="0080562B" w:rsidRDefault="008C6F77" w:rsidP="00CA71F1">
            <w:pPr>
              <w:pStyle w:val="Tabletext"/>
              <w:keepNext/>
              <w:keepLines/>
              <w:jc w:val="left"/>
              <w:rPr>
                <w:lang w:val="es-ES_tradnl"/>
              </w:rPr>
            </w:pPr>
            <w:r w:rsidRPr="0080562B">
              <w:rPr>
                <w:lang w:val="es-ES_tradnl"/>
              </w:rPr>
              <w:t>Número de planos orbitales</w:t>
            </w:r>
          </w:p>
        </w:tc>
        <w:tc>
          <w:tcPr>
            <w:tcW w:w="4054" w:type="dxa"/>
          </w:tcPr>
          <w:p w:rsidR="008C6F77" w:rsidRPr="0080562B" w:rsidRDefault="008C6F77" w:rsidP="00CA71F1">
            <w:pPr>
              <w:pStyle w:val="Tabletext"/>
              <w:keepNext/>
              <w:keepLines/>
              <w:jc w:val="left"/>
              <w:rPr>
                <w:lang w:val="es-ES_tradnl"/>
              </w:rPr>
            </w:pPr>
            <w:r w:rsidRPr="0080562B">
              <w:rPr>
                <w:lang w:val="es-ES_tradnl"/>
              </w:rPr>
              <w:t>8</w:t>
            </w:r>
          </w:p>
        </w:tc>
      </w:tr>
      <w:tr w:rsidR="008C6F77" w:rsidRPr="00AF1BD9" w:rsidTr="00E415F9">
        <w:trPr>
          <w:jc w:val="center"/>
        </w:trPr>
        <w:tc>
          <w:tcPr>
            <w:tcW w:w="5669" w:type="dxa"/>
          </w:tcPr>
          <w:p w:rsidR="008C6F77" w:rsidRPr="0080562B" w:rsidRDefault="008C6F77" w:rsidP="00CA71F1">
            <w:pPr>
              <w:pStyle w:val="Tabletext"/>
              <w:keepNext/>
              <w:keepLines/>
              <w:jc w:val="left"/>
              <w:rPr>
                <w:lang w:val="es-ES_tradnl"/>
              </w:rPr>
            </w:pPr>
            <w:r w:rsidRPr="0080562B">
              <w:rPr>
                <w:lang w:val="es-ES_tradnl"/>
              </w:rPr>
              <w:t>Número de satélites por plano</w:t>
            </w:r>
          </w:p>
        </w:tc>
        <w:tc>
          <w:tcPr>
            <w:tcW w:w="4054" w:type="dxa"/>
          </w:tcPr>
          <w:p w:rsidR="008C6F77" w:rsidRPr="0080562B" w:rsidRDefault="008C6F77" w:rsidP="00E415F9">
            <w:pPr>
              <w:pStyle w:val="Tabletext"/>
              <w:keepNext/>
              <w:keepLines/>
              <w:ind w:right="-57"/>
              <w:jc w:val="left"/>
              <w:rPr>
                <w:lang w:val="es-ES_tradnl"/>
              </w:rPr>
            </w:pPr>
            <w:r w:rsidRPr="0080562B">
              <w:rPr>
                <w:lang w:val="es-ES_tradnl"/>
              </w:rPr>
              <w:t>6 con un espaciamiento de 1 cada 60 grados</w:t>
            </w:r>
          </w:p>
        </w:tc>
      </w:tr>
      <w:tr w:rsidR="008C6F77" w:rsidRPr="0080562B" w:rsidTr="00E415F9">
        <w:trPr>
          <w:jc w:val="center"/>
        </w:trPr>
        <w:tc>
          <w:tcPr>
            <w:tcW w:w="5669" w:type="dxa"/>
          </w:tcPr>
          <w:p w:rsidR="008C6F77" w:rsidRPr="0080562B" w:rsidRDefault="008C6F77" w:rsidP="00CA71F1">
            <w:pPr>
              <w:pStyle w:val="Tabletext"/>
              <w:keepNext/>
              <w:keepLines/>
              <w:jc w:val="left"/>
              <w:rPr>
                <w:lang w:val="es-ES_tradnl"/>
              </w:rPr>
            </w:pPr>
            <w:r w:rsidRPr="0080562B">
              <w:rPr>
                <w:lang w:val="es-ES_tradnl"/>
              </w:rPr>
              <w:t>Puesta en fase*</w:t>
            </w:r>
          </w:p>
        </w:tc>
        <w:tc>
          <w:tcPr>
            <w:tcW w:w="4054" w:type="dxa"/>
          </w:tcPr>
          <w:p w:rsidR="008C6F77" w:rsidRPr="0080562B" w:rsidRDefault="008C6F77" w:rsidP="00CA71F1">
            <w:pPr>
              <w:pStyle w:val="Tabletext"/>
              <w:keepNext/>
              <w:keepLines/>
              <w:jc w:val="left"/>
              <w:rPr>
                <w:lang w:val="es-ES_tradnl"/>
              </w:rPr>
            </w:pPr>
            <w:r w:rsidRPr="0080562B">
              <w:rPr>
                <w:lang w:val="es-ES_tradnl"/>
              </w:rPr>
              <w:t>7,5 grados</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Tipo de antena</w:t>
            </w:r>
          </w:p>
        </w:tc>
        <w:tc>
          <w:tcPr>
            <w:tcW w:w="4054" w:type="dxa"/>
          </w:tcPr>
          <w:p w:rsidR="008C6F77" w:rsidRPr="0080562B" w:rsidRDefault="008C6F77" w:rsidP="00CA71F1">
            <w:pPr>
              <w:pStyle w:val="Tabletext"/>
              <w:jc w:val="left"/>
              <w:rPr>
                <w:lang w:val="es-ES_tradnl"/>
              </w:rPr>
            </w:pPr>
            <w:r w:rsidRPr="0080562B">
              <w:rPr>
                <w:lang w:val="es-ES_tradnl"/>
              </w:rPr>
              <w:t>Multihaz</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Ganancia media</w:t>
            </w:r>
          </w:p>
        </w:tc>
        <w:tc>
          <w:tcPr>
            <w:tcW w:w="4054" w:type="dxa"/>
          </w:tcPr>
          <w:p w:rsidR="008C6F77" w:rsidRPr="0080562B" w:rsidRDefault="008C6F77" w:rsidP="00CA71F1">
            <w:pPr>
              <w:pStyle w:val="Tabletext"/>
              <w:jc w:val="left"/>
              <w:rPr>
                <w:lang w:val="es-ES_tradnl"/>
              </w:rPr>
            </w:pPr>
            <w:r w:rsidRPr="0080562B">
              <w:rPr>
                <w:lang w:val="es-ES_tradnl"/>
              </w:rPr>
              <w:t>15,0 dBi</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Ancho de haz de 3 dB medio</w:t>
            </w:r>
          </w:p>
        </w:tc>
        <w:tc>
          <w:tcPr>
            <w:tcW w:w="4054" w:type="dxa"/>
          </w:tcPr>
          <w:p w:rsidR="008C6F77" w:rsidRPr="0080562B" w:rsidRDefault="008C6F77" w:rsidP="00CA71F1">
            <w:pPr>
              <w:pStyle w:val="Tabletext"/>
              <w:jc w:val="left"/>
              <w:rPr>
                <w:lang w:val="es-ES_tradnl"/>
              </w:rPr>
            </w:pPr>
            <w:r w:rsidRPr="0080562B">
              <w:rPr>
                <w:lang w:val="es-ES_tradnl"/>
              </w:rPr>
              <w:t>25,3 grados</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Polarización</w:t>
            </w:r>
          </w:p>
        </w:tc>
        <w:tc>
          <w:tcPr>
            <w:tcW w:w="4054" w:type="dxa"/>
          </w:tcPr>
          <w:p w:rsidR="008C6F77" w:rsidRPr="0080562B" w:rsidRDefault="008C6F77" w:rsidP="00CA71F1">
            <w:pPr>
              <w:pStyle w:val="Tabletext"/>
              <w:jc w:val="left"/>
              <w:rPr>
                <w:lang w:val="es-ES_tradnl"/>
              </w:rPr>
            </w:pPr>
            <w:r w:rsidRPr="0080562B">
              <w:rPr>
                <w:lang w:val="es-ES_tradnl"/>
              </w:rPr>
              <w:t>Circular levógira</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Ancho de banda de la señal</w:t>
            </w:r>
          </w:p>
        </w:tc>
        <w:tc>
          <w:tcPr>
            <w:tcW w:w="4054" w:type="dxa"/>
          </w:tcPr>
          <w:p w:rsidR="008C6F77" w:rsidRPr="0080562B" w:rsidRDefault="008C6F77" w:rsidP="00CA71F1">
            <w:pPr>
              <w:pStyle w:val="Tabletext"/>
              <w:jc w:val="left"/>
              <w:rPr>
                <w:lang w:val="es-ES_tradnl"/>
              </w:rPr>
            </w:pPr>
            <w:r w:rsidRPr="0080562B">
              <w:rPr>
                <w:lang w:val="es-ES_tradnl"/>
              </w:rPr>
              <w:t xml:space="preserve">13 </w:t>
            </w:r>
            <w:r w:rsidRPr="0080562B">
              <w:rPr>
                <w:lang w:val="es-ES_tradnl"/>
              </w:rPr>
              <w:sym w:font="Symbol" w:char="F0B4"/>
            </w:r>
            <w:r w:rsidRPr="0080562B">
              <w:rPr>
                <w:lang w:val="es-ES_tradnl"/>
              </w:rPr>
              <w:t xml:space="preserve"> 1,23 MHz = 16,5 MHz</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Frecuencia central de la señal</w:t>
            </w:r>
          </w:p>
        </w:tc>
        <w:tc>
          <w:tcPr>
            <w:tcW w:w="4054" w:type="dxa"/>
          </w:tcPr>
          <w:p w:rsidR="008C6F77" w:rsidRPr="0080562B" w:rsidRDefault="008C6F77" w:rsidP="00CA71F1">
            <w:pPr>
              <w:pStyle w:val="Tabletext"/>
              <w:jc w:val="left"/>
              <w:rPr>
                <w:lang w:val="es-ES_tradnl"/>
              </w:rPr>
            </w:pPr>
            <w:r w:rsidRPr="0080562B">
              <w:rPr>
                <w:lang w:val="es-ES_tradnl"/>
              </w:rPr>
              <w:t>2 491,75 MHz</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Temperatura de ruido del receptor del terminal de usuario</w:t>
            </w:r>
          </w:p>
        </w:tc>
        <w:tc>
          <w:tcPr>
            <w:tcW w:w="4054" w:type="dxa"/>
          </w:tcPr>
          <w:p w:rsidR="008C6F77" w:rsidRPr="0080562B" w:rsidRDefault="008C6F77" w:rsidP="00CA71F1">
            <w:pPr>
              <w:pStyle w:val="Tabletext"/>
              <w:jc w:val="left"/>
              <w:rPr>
                <w:lang w:val="es-ES_tradnl"/>
              </w:rPr>
            </w:pPr>
            <w:r w:rsidRPr="0080562B">
              <w:rPr>
                <w:lang w:val="es-ES_tradnl"/>
              </w:rPr>
              <w:t>300 K</w:t>
            </w:r>
          </w:p>
        </w:tc>
      </w:tr>
      <w:tr w:rsidR="008C6F77" w:rsidRPr="0080562B" w:rsidTr="00E415F9">
        <w:trPr>
          <w:jc w:val="center"/>
        </w:trPr>
        <w:tc>
          <w:tcPr>
            <w:tcW w:w="5669" w:type="dxa"/>
          </w:tcPr>
          <w:p w:rsidR="008C6F77" w:rsidRPr="0080562B" w:rsidRDefault="008C6F77" w:rsidP="00CA71F1">
            <w:pPr>
              <w:pStyle w:val="Tabletext"/>
              <w:jc w:val="left"/>
              <w:rPr>
                <w:lang w:val="es-ES_tradnl"/>
              </w:rPr>
            </w:pPr>
            <w:r w:rsidRPr="0080562B">
              <w:rPr>
                <w:lang w:val="es-ES_tradnl"/>
              </w:rPr>
              <w:t>Ganancia de antena del receptor del terminal de usuario</w:t>
            </w:r>
          </w:p>
        </w:tc>
        <w:tc>
          <w:tcPr>
            <w:tcW w:w="4054" w:type="dxa"/>
          </w:tcPr>
          <w:p w:rsidR="008C6F77" w:rsidRPr="0080562B" w:rsidRDefault="008C6F77" w:rsidP="00CA71F1">
            <w:pPr>
              <w:pStyle w:val="Tabletext"/>
              <w:jc w:val="left"/>
              <w:rPr>
                <w:lang w:val="es-ES_tradnl"/>
              </w:rPr>
            </w:pPr>
            <w:r w:rsidRPr="0080562B">
              <w:rPr>
                <w:lang w:val="es-ES_tradnl"/>
              </w:rPr>
              <w:t>2,7 dBi</w:t>
            </w:r>
          </w:p>
        </w:tc>
      </w:tr>
      <w:tr w:rsidR="008C6F77" w:rsidRPr="0080562B" w:rsidTr="00E415F9">
        <w:trPr>
          <w:jc w:val="center"/>
        </w:trPr>
        <w:tc>
          <w:tcPr>
            <w:tcW w:w="5669" w:type="dxa"/>
            <w:tcBorders>
              <w:bottom w:val="single" w:sz="4" w:space="0" w:color="auto"/>
            </w:tcBorders>
          </w:tcPr>
          <w:p w:rsidR="008C6F77" w:rsidRPr="0080562B" w:rsidRDefault="008C6F77" w:rsidP="00E415F9">
            <w:pPr>
              <w:pStyle w:val="Tabletext"/>
              <w:ind w:right="-57"/>
              <w:jc w:val="left"/>
              <w:rPr>
                <w:lang w:val="es-ES_tradnl"/>
              </w:rPr>
            </w:pPr>
            <w:r w:rsidRPr="0080562B">
              <w:rPr>
                <w:lang w:val="es-ES_tradnl"/>
              </w:rPr>
              <w:t>Ancho de haz de la antena del receptor del terminal de usuario</w:t>
            </w:r>
          </w:p>
        </w:tc>
        <w:tc>
          <w:tcPr>
            <w:tcW w:w="4054" w:type="dxa"/>
            <w:tcBorders>
              <w:bottom w:val="single" w:sz="4" w:space="0" w:color="auto"/>
            </w:tcBorders>
          </w:tcPr>
          <w:p w:rsidR="008C6F77" w:rsidRPr="0080562B" w:rsidRDefault="008C6F77" w:rsidP="00CA71F1">
            <w:pPr>
              <w:pStyle w:val="Tabletext"/>
              <w:jc w:val="left"/>
              <w:rPr>
                <w:lang w:val="es-ES_tradnl"/>
              </w:rPr>
            </w:pPr>
            <w:r w:rsidRPr="0080562B">
              <w:rPr>
                <w:lang w:val="es-ES_tradnl"/>
              </w:rPr>
              <w:t>126 grados</w:t>
            </w:r>
          </w:p>
        </w:tc>
      </w:tr>
      <w:tr w:rsidR="00E415F9" w:rsidRPr="00AF1BD9" w:rsidTr="00E415F9">
        <w:trPr>
          <w:jc w:val="center"/>
        </w:trPr>
        <w:tc>
          <w:tcPr>
            <w:tcW w:w="9723" w:type="dxa"/>
            <w:gridSpan w:val="2"/>
            <w:tcBorders>
              <w:left w:val="nil"/>
              <w:bottom w:val="nil"/>
              <w:right w:val="nil"/>
            </w:tcBorders>
          </w:tcPr>
          <w:p w:rsidR="00E415F9" w:rsidRPr="0080562B" w:rsidRDefault="00E415F9" w:rsidP="00D54295">
            <w:pPr>
              <w:pStyle w:val="Tablelegend"/>
              <w:rPr>
                <w:lang w:val="es-ES_tradnl"/>
              </w:rPr>
            </w:pPr>
            <w:r w:rsidRPr="0080562B">
              <w:rPr>
                <w:lang w:val="es-ES_tradnl"/>
              </w:rPr>
              <w:t>*</w:t>
            </w:r>
            <w:r w:rsidRPr="0080562B">
              <w:rPr>
                <w:lang w:val="es-ES_tradnl"/>
              </w:rPr>
              <w:tab/>
              <w:t>Ángulo de fase inicial (ω</w:t>
            </w:r>
            <w:r w:rsidRPr="0080562B">
              <w:rPr>
                <w:i/>
                <w:iCs/>
                <w:vertAlign w:val="subscript"/>
                <w:lang w:val="es-ES_tradnl"/>
              </w:rPr>
              <w:t>i</w:t>
            </w:r>
            <w:r w:rsidRPr="0080562B">
              <w:rPr>
                <w:lang w:val="es-ES_tradnl"/>
              </w:rPr>
              <w:t xml:space="preserve">) del </w:t>
            </w:r>
            <w:r w:rsidRPr="0080562B">
              <w:rPr>
                <w:i/>
                <w:iCs/>
                <w:lang w:val="es-ES_tradnl"/>
              </w:rPr>
              <w:t>i</w:t>
            </w:r>
            <w:r w:rsidRPr="0080562B">
              <w:rPr>
                <w:lang w:val="es-ES_tradnl"/>
              </w:rPr>
              <w:t xml:space="preserve">-ésimo satélite en su plano orbital en el instante de referencia </w:t>
            </w:r>
            <w:r w:rsidRPr="0080562B">
              <w:rPr>
                <w:i/>
                <w:iCs/>
                <w:lang w:val="es-ES_tradnl"/>
              </w:rPr>
              <w:t>t</w:t>
            </w:r>
            <w:r>
              <w:rPr>
                <w:lang w:val="es-ES_tradnl"/>
              </w:rPr>
              <w:t> </w:t>
            </w:r>
            <w:r w:rsidRPr="0080562B">
              <w:rPr>
                <w:lang w:val="es-ES_tradnl"/>
              </w:rPr>
              <w:t>=</w:t>
            </w:r>
            <w:r>
              <w:rPr>
                <w:lang w:val="es-ES_tradnl"/>
              </w:rPr>
              <w:t> </w:t>
            </w:r>
            <w:r w:rsidRPr="0080562B">
              <w:rPr>
                <w:lang w:val="es-ES_tradnl"/>
              </w:rPr>
              <w:t xml:space="preserve">0, medido a partir del punto del nodo ascendente (0° ≤ </w:t>
            </w:r>
            <w:r w:rsidRPr="00D54295">
              <w:t>ω</w:t>
            </w:r>
            <w:r w:rsidRPr="0080562B">
              <w:rPr>
                <w:i/>
                <w:iCs/>
                <w:vertAlign w:val="subscript"/>
                <w:lang w:val="es-ES_tradnl"/>
              </w:rPr>
              <w:t>i</w:t>
            </w:r>
            <w:r w:rsidRPr="0080562B">
              <w:rPr>
                <w:lang w:val="es-ES_tradnl"/>
              </w:rPr>
              <w:t xml:space="preserve"> &lt; 360°).</w:t>
            </w:r>
          </w:p>
        </w:tc>
      </w:tr>
    </w:tbl>
    <w:p w:rsidR="008C6F77" w:rsidRPr="0080562B" w:rsidRDefault="008C6F77" w:rsidP="008C6F77">
      <w:pPr>
        <w:pStyle w:val="Tablefin"/>
        <w:rPr>
          <w:lang w:val="es-ES_tradnl"/>
        </w:rPr>
      </w:pPr>
    </w:p>
    <w:p w:rsidR="008C6F77" w:rsidRPr="0080562B" w:rsidRDefault="008C6F77" w:rsidP="008C6F77">
      <w:pPr>
        <w:pStyle w:val="Heading2"/>
        <w:rPr>
          <w:lang w:val="es-ES_tradnl"/>
        </w:rPr>
      </w:pPr>
      <w:r w:rsidRPr="0080562B">
        <w:rPr>
          <w:lang w:val="es-ES_tradnl"/>
        </w:rPr>
        <w:t>1.2</w:t>
      </w:r>
      <w:r w:rsidRPr="0080562B">
        <w:rPr>
          <w:lang w:val="es-ES_tradnl"/>
        </w:rPr>
        <w:tab/>
        <w:t>Características del sistema del SRDS supuesto</w:t>
      </w:r>
    </w:p>
    <w:p w:rsidR="008C6F77" w:rsidRPr="0080562B" w:rsidRDefault="008C6F77" w:rsidP="008C6F77">
      <w:pPr>
        <w:rPr>
          <w:lang w:val="es-ES_tradnl"/>
        </w:rPr>
      </w:pPr>
      <w:r w:rsidRPr="0080562B">
        <w:rPr>
          <w:lang w:val="es-ES_tradnl"/>
        </w:rPr>
        <w:t xml:space="preserve">Se ha señalado que el sistema Galileo pretende ofrecer una aplicación del SRDS con su constelación, pero hasta la fecha no se han publicado especificaciones concretas para esa aplicación. </w:t>
      </w:r>
    </w:p>
    <w:p w:rsidR="008C6F77" w:rsidRPr="0080562B" w:rsidRDefault="008C6F77" w:rsidP="008C6F77">
      <w:pPr>
        <w:rPr>
          <w:lang w:val="es-ES_tradnl"/>
        </w:rPr>
      </w:pPr>
      <w:r w:rsidRPr="0080562B">
        <w:rPr>
          <w:lang w:val="es-ES_tradnl"/>
        </w:rPr>
        <w:t>Para realizar las simulaciones informáticas se ha supuesto que la aplicación del SRDS Galileo tendrá unas características semejantes a las utilizadas para la aplicación del servicio de radionavegación por satélite (SRNS) publicadas en la Recomendación UIT</w:t>
      </w:r>
      <w:r>
        <w:rPr>
          <w:lang w:val="es-ES_tradnl"/>
        </w:rPr>
        <w:noBreakHyphen/>
        <w:t>R </w:t>
      </w:r>
      <w:r w:rsidRPr="0080562B">
        <w:rPr>
          <w:lang w:val="es-ES_tradnl"/>
        </w:rPr>
        <w:t>M.1787.</w:t>
      </w:r>
    </w:p>
    <w:p w:rsidR="008C6F77" w:rsidRPr="0080562B" w:rsidRDefault="008C6F77" w:rsidP="00F75BEF">
      <w:pPr>
        <w:rPr>
          <w:lang w:val="es-ES_tradnl"/>
        </w:rPr>
      </w:pPr>
      <w:r w:rsidRPr="0080562B">
        <w:rPr>
          <w:lang w:val="es-ES_tradnl"/>
        </w:rPr>
        <w:t>Se ha supuesto también que la antena del vehículo espacial para la aplicación SRDS también tendrá una característica de antena isoflujo. La ganancia de cresta de la antena supuesta es de 13,3</w:t>
      </w:r>
      <w:r w:rsidR="00913085">
        <w:rPr>
          <w:lang w:val="es-ES_tradnl"/>
        </w:rPr>
        <w:t> </w:t>
      </w:r>
      <w:r w:rsidRPr="0080562B">
        <w:rPr>
          <w:lang w:val="es-ES_tradnl"/>
        </w:rPr>
        <w:t>dBi. El diagrama de antena utilizado en la simulación informática es el que se muestra en la Fig</w:t>
      </w:r>
      <w:r w:rsidR="00CA71F1">
        <w:rPr>
          <w:lang w:val="es-ES_tradnl"/>
        </w:rPr>
        <w:t>. </w:t>
      </w:r>
      <w:r w:rsidRPr="0080562B">
        <w:rPr>
          <w:lang w:val="es-ES_tradnl"/>
        </w:rPr>
        <w:t>1. En la CMR</w:t>
      </w:r>
      <w:r w:rsidRPr="0080562B">
        <w:rPr>
          <w:lang w:val="es-ES_tradnl"/>
        </w:rPr>
        <w:noBreakHyphen/>
        <w:t>12 se estableció que, para una atribución al SRDS en la banda de frecuencias 2 483,</w:t>
      </w:r>
      <w:r>
        <w:rPr>
          <w:lang w:val="es-ES_tradnl"/>
        </w:rPr>
        <w:t>5-</w:t>
      </w:r>
      <w:r w:rsidRPr="0080562B">
        <w:rPr>
          <w:lang w:val="es-ES_tradnl"/>
        </w:rPr>
        <w:t>2 500 MHz, el nivel determinante de la coordinación es un nivel de dfp de −128 dBW/</w:t>
      </w:r>
      <w:r w:rsidR="00F75BEF">
        <w:rPr>
          <w:lang w:val="es-ES_tradnl"/>
        </w:rPr>
        <w:t>m</w:t>
      </w:r>
      <w:r w:rsidR="00F75BEF" w:rsidRPr="00F75BEF">
        <w:rPr>
          <w:vertAlign w:val="superscript"/>
          <w:lang w:val="es-ES_tradnl"/>
        </w:rPr>
        <w:t>2</w:t>
      </w:r>
      <w:r>
        <w:rPr>
          <w:lang w:val="es-ES_tradnl"/>
        </w:rPr>
        <w:t> · </w:t>
      </w:r>
      <w:r w:rsidRPr="0080562B">
        <w:rPr>
          <w:lang w:val="es-ES_tradnl"/>
        </w:rPr>
        <w:t xml:space="preserve">MHz en todos los ángulos de incidencia sobre la superficie de la Tierra. Dado el nivel de dfp y que la antena </w:t>
      </w:r>
      <w:r w:rsidRPr="0080562B">
        <w:rPr>
          <w:lang w:val="es-ES_tradnl"/>
        </w:rPr>
        <w:lastRenderedPageBreak/>
        <w:t>supuesta alcanza su máxima ganancia relativa a ±9</w:t>
      </w:r>
      <w:r w:rsidR="00BD197B">
        <w:rPr>
          <w:lang w:val="es-ES_tradnl"/>
        </w:rPr>
        <w:t> </w:t>
      </w:r>
      <w:r w:rsidRPr="0080562B">
        <w:rPr>
          <w:lang w:val="es-ES_tradnl"/>
        </w:rPr>
        <w:t xml:space="preserve">grados, lo que corresponde </w:t>
      </w:r>
      <w:r>
        <w:rPr>
          <w:lang w:val="es-ES_tradnl"/>
        </w:rPr>
        <w:t xml:space="preserve">a </w:t>
      </w:r>
      <w:r w:rsidRPr="0080562B">
        <w:rPr>
          <w:lang w:val="es-ES_tradnl"/>
        </w:rPr>
        <w:t>una distancia de 25 239 km entre el vehículo espacial del SRDS y la superficie de la Tierra, se supone una p.i.r.e</w:t>
      </w:r>
      <w:r>
        <w:rPr>
          <w:lang w:val="es-ES_tradnl"/>
        </w:rPr>
        <w:t>.</w:t>
      </w:r>
      <w:r w:rsidRPr="0080562B">
        <w:rPr>
          <w:lang w:val="es-ES_tradnl"/>
        </w:rPr>
        <w:t xml:space="preserve"> del SRDS de 40,46 dBW o una densidad de p.i.r.e. de 30,16 dBW/MHz.</w:t>
      </w:r>
    </w:p>
    <w:p w:rsidR="008C6F77" w:rsidRPr="0080562B" w:rsidRDefault="008C6F77" w:rsidP="008C6F77">
      <w:pPr>
        <w:pStyle w:val="FigureNo"/>
        <w:rPr>
          <w:lang w:val="es-ES_tradnl"/>
        </w:rPr>
      </w:pPr>
      <w:bookmarkStart w:id="4" w:name="_Ref304349929"/>
      <w:r w:rsidRPr="0080562B">
        <w:rPr>
          <w:lang w:val="es-ES_tradnl"/>
        </w:rPr>
        <w:t xml:space="preserve">FigurA </w:t>
      </w:r>
      <w:bookmarkEnd w:id="4"/>
      <w:r w:rsidRPr="0080562B">
        <w:rPr>
          <w:lang w:val="es-ES_tradnl"/>
        </w:rPr>
        <w:t>1</w:t>
      </w:r>
    </w:p>
    <w:p w:rsidR="008C6F77" w:rsidRPr="0080562B" w:rsidRDefault="008C6F77" w:rsidP="008C6F77">
      <w:pPr>
        <w:pStyle w:val="Figuretitle"/>
        <w:rPr>
          <w:lang w:val="es-ES_tradnl"/>
        </w:rPr>
      </w:pPr>
      <w:r w:rsidRPr="0080562B">
        <w:rPr>
          <w:lang w:val="es-ES_tradnl"/>
        </w:rPr>
        <w:t>Diagrama de la antena Galileo en banda S</w:t>
      </w:r>
    </w:p>
    <w:p w:rsidR="008C6F77" w:rsidRPr="0080562B" w:rsidRDefault="00E415F9" w:rsidP="008C6F77">
      <w:pPr>
        <w:pStyle w:val="Figure"/>
        <w:rPr>
          <w:lang w:val="es-ES_tradnl"/>
        </w:rPr>
      </w:pPr>
      <w:r w:rsidRPr="0080562B">
        <w:rPr>
          <w:lang w:val="es-ES_tradnl"/>
        </w:rPr>
        <w:object w:dxaOrig="4953" w:dyaOrig="3109">
          <v:shape id="_x0000_i1029" type="#_x0000_t75" style="width:399.9pt;height:248.1pt" o:ole="">
            <v:imagedata r:id="rId21" o:title=""/>
          </v:shape>
          <o:OLEObject Type="Embed" ProgID="CorelDRAW.Graphic.14" ShapeID="_x0000_i1029" DrawAspect="Content" ObjectID="_1542525631" r:id="rId22"/>
        </w:object>
      </w:r>
    </w:p>
    <w:p w:rsidR="008C6F77" w:rsidRPr="0080562B" w:rsidRDefault="008C6F77" w:rsidP="00E415F9">
      <w:pPr>
        <w:rPr>
          <w:lang w:val="es-ES_tradnl"/>
        </w:rPr>
      </w:pPr>
      <w:r w:rsidRPr="0080562B">
        <w:rPr>
          <w:lang w:val="es-ES_tradnl"/>
        </w:rPr>
        <w:t>En el Cuadro</w:t>
      </w:r>
      <w:r w:rsidR="00E415F9">
        <w:rPr>
          <w:lang w:val="es-ES_tradnl"/>
        </w:rPr>
        <w:t> </w:t>
      </w:r>
      <w:r w:rsidRPr="0080562B">
        <w:rPr>
          <w:lang w:val="es-ES_tradnl"/>
        </w:rPr>
        <w:t>2 se muestran las demás características supuestas para la aplicación del SRDS Galileo utilizadas en la simulación informática.</w:t>
      </w:r>
    </w:p>
    <w:p w:rsidR="008C6F77" w:rsidRPr="0080562B" w:rsidRDefault="008C6F77" w:rsidP="008C6F77">
      <w:pPr>
        <w:pStyle w:val="TableNo"/>
        <w:keepLines/>
        <w:rPr>
          <w:lang w:val="es-ES_tradnl"/>
        </w:rPr>
      </w:pPr>
      <w:r w:rsidRPr="0080562B">
        <w:rPr>
          <w:lang w:val="es-ES_tradnl"/>
        </w:rPr>
        <w:t>CUADRO 2</w:t>
      </w:r>
    </w:p>
    <w:p w:rsidR="008C6F77" w:rsidRPr="0080562B" w:rsidRDefault="008C6F77" w:rsidP="008C6F77">
      <w:pPr>
        <w:pStyle w:val="Tabletitle"/>
        <w:keepLines/>
        <w:rPr>
          <w:lang w:val="es-ES_tradnl"/>
        </w:rPr>
      </w:pPr>
      <w:r w:rsidRPr="0080562B">
        <w:rPr>
          <w:lang w:val="es-ES_tradnl"/>
        </w:rPr>
        <w:t>Características típicas propuestas del sistema del SRDS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4535"/>
        <w:gridCol w:w="4820"/>
      </w:tblGrid>
      <w:tr w:rsidR="008C6F77" w:rsidRPr="0080562B" w:rsidTr="00E415F9">
        <w:trPr>
          <w:jc w:val="center"/>
        </w:trPr>
        <w:tc>
          <w:tcPr>
            <w:tcW w:w="4535" w:type="dxa"/>
          </w:tcPr>
          <w:p w:rsidR="008C6F77" w:rsidRPr="0080562B" w:rsidRDefault="008C6F77" w:rsidP="00CA71F1">
            <w:pPr>
              <w:pStyle w:val="Tablehead"/>
              <w:keepLines/>
              <w:rPr>
                <w:lang w:val="es-ES_tradnl"/>
              </w:rPr>
            </w:pPr>
            <w:r w:rsidRPr="0080562B">
              <w:rPr>
                <w:lang w:val="es-ES_tradnl"/>
              </w:rPr>
              <w:t>Nombre del sistema</w:t>
            </w:r>
          </w:p>
        </w:tc>
        <w:tc>
          <w:tcPr>
            <w:tcW w:w="4820" w:type="dxa"/>
          </w:tcPr>
          <w:p w:rsidR="008C6F77" w:rsidRPr="0080562B" w:rsidRDefault="008C6F77" w:rsidP="00CA71F1">
            <w:pPr>
              <w:pStyle w:val="Tablehead"/>
              <w:keepLines/>
              <w:rPr>
                <w:lang w:val="es-ES_tradnl"/>
              </w:rPr>
            </w:pPr>
            <w:r w:rsidRPr="0080562B">
              <w:rPr>
                <w:lang w:val="es-ES_tradnl"/>
              </w:rPr>
              <w:t>SRDS Galileo</w:t>
            </w:r>
          </w:p>
        </w:tc>
      </w:tr>
      <w:tr w:rsidR="008C6F77" w:rsidRPr="0080562B" w:rsidTr="00E415F9">
        <w:trPr>
          <w:jc w:val="center"/>
        </w:trPr>
        <w:tc>
          <w:tcPr>
            <w:tcW w:w="4535" w:type="dxa"/>
          </w:tcPr>
          <w:p w:rsidR="008C6F77" w:rsidRPr="0080562B" w:rsidRDefault="008C6F77" w:rsidP="00CA71F1">
            <w:pPr>
              <w:pStyle w:val="Tabletext"/>
              <w:keepNext/>
              <w:keepLines/>
              <w:rPr>
                <w:lang w:val="es-ES_tradnl"/>
              </w:rPr>
            </w:pPr>
            <w:r w:rsidRPr="0080562B">
              <w:rPr>
                <w:lang w:val="es-ES_tradnl"/>
              </w:rPr>
              <w:t>Altitud</w:t>
            </w:r>
          </w:p>
        </w:tc>
        <w:tc>
          <w:tcPr>
            <w:tcW w:w="4820" w:type="dxa"/>
          </w:tcPr>
          <w:p w:rsidR="008C6F77" w:rsidRPr="0080562B" w:rsidRDefault="008C6F77" w:rsidP="00CA71F1">
            <w:pPr>
              <w:pStyle w:val="Tabletext"/>
              <w:keepNext/>
              <w:keepLines/>
              <w:rPr>
                <w:lang w:val="es-ES_tradnl"/>
              </w:rPr>
            </w:pPr>
            <w:r w:rsidRPr="0080562B">
              <w:rPr>
                <w:lang w:val="es-ES_tradnl"/>
              </w:rPr>
              <w:t>23 616 km</w:t>
            </w:r>
          </w:p>
        </w:tc>
      </w:tr>
      <w:tr w:rsidR="008C6F77" w:rsidRPr="0080562B" w:rsidTr="00E415F9">
        <w:trPr>
          <w:jc w:val="center"/>
        </w:trPr>
        <w:tc>
          <w:tcPr>
            <w:tcW w:w="4535" w:type="dxa"/>
          </w:tcPr>
          <w:p w:rsidR="008C6F77" w:rsidRPr="0080562B" w:rsidRDefault="008C6F77" w:rsidP="00CA71F1">
            <w:pPr>
              <w:pStyle w:val="Tabletext"/>
              <w:keepNext/>
              <w:keepLines/>
              <w:rPr>
                <w:lang w:val="es-ES_tradnl"/>
              </w:rPr>
            </w:pPr>
            <w:r w:rsidRPr="0080562B">
              <w:rPr>
                <w:lang w:val="es-ES_tradnl"/>
              </w:rPr>
              <w:t>Inclinación</w:t>
            </w:r>
          </w:p>
        </w:tc>
        <w:tc>
          <w:tcPr>
            <w:tcW w:w="4820" w:type="dxa"/>
          </w:tcPr>
          <w:p w:rsidR="008C6F77" w:rsidRPr="0080562B" w:rsidRDefault="008C6F77" w:rsidP="00CA71F1">
            <w:pPr>
              <w:pStyle w:val="Tabletext"/>
              <w:keepNext/>
              <w:keepLines/>
              <w:rPr>
                <w:lang w:val="es-ES_tradnl"/>
              </w:rPr>
            </w:pPr>
            <w:r w:rsidRPr="0080562B">
              <w:rPr>
                <w:lang w:val="es-ES_tradnl"/>
              </w:rPr>
              <w:t>56 grados</w:t>
            </w:r>
          </w:p>
        </w:tc>
      </w:tr>
      <w:tr w:rsidR="008C6F77" w:rsidRPr="0080562B" w:rsidTr="00E415F9">
        <w:trPr>
          <w:jc w:val="center"/>
        </w:trPr>
        <w:tc>
          <w:tcPr>
            <w:tcW w:w="4535" w:type="dxa"/>
          </w:tcPr>
          <w:p w:rsidR="008C6F77" w:rsidRPr="0080562B" w:rsidRDefault="008C6F77" w:rsidP="00CA71F1">
            <w:pPr>
              <w:pStyle w:val="Tabletext"/>
              <w:keepNext/>
              <w:keepLines/>
              <w:rPr>
                <w:lang w:val="es-ES_tradnl"/>
              </w:rPr>
            </w:pPr>
            <w:r w:rsidRPr="0080562B">
              <w:rPr>
                <w:lang w:val="es-ES_tradnl"/>
              </w:rPr>
              <w:t>Número de planos orbitales</w:t>
            </w:r>
          </w:p>
        </w:tc>
        <w:tc>
          <w:tcPr>
            <w:tcW w:w="4820" w:type="dxa"/>
          </w:tcPr>
          <w:p w:rsidR="008C6F77" w:rsidRPr="0080562B" w:rsidRDefault="008C6F77" w:rsidP="00CA71F1">
            <w:pPr>
              <w:pStyle w:val="Tabletext"/>
              <w:keepNext/>
              <w:keepLines/>
              <w:rPr>
                <w:lang w:val="es-ES_tradnl"/>
              </w:rPr>
            </w:pPr>
            <w:r w:rsidRPr="0080562B">
              <w:rPr>
                <w:lang w:val="es-ES_tradnl"/>
              </w:rPr>
              <w:t>3</w:t>
            </w:r>
          </w:p>
        </w:tc>
      </w:tr>
      <w:tr w:rsidR="008C6F77" w:rsidRPr="00AF1BD9" w:rsidTr="00E415F9">
        <w:trPr>
          <w:jc w:val="center"/>
        </w:trPr>
        <w:tc>
          <w:tcPr>
            <w:tcW w:w="4535" w:type="dxa"/>
          </w:tcPr>
          <w:p w:rsidR="008C6F77" w:rsidRPr="0080562B" w:rsidRDefault="008C6F77" w:rsidP="00CA71F1">
            <w:pPr>
              <w:pStyle w:val="Tabletext"/>
              <w:keepNext/>
              <w:keepLines/>
              <w:rPr>
                <w:lang w:val="es-ES_tradnl"/>
              </w:rPr>
            </w:pPr>
            <w:r w:rsidRPr="0080562B">
              <w:rPr>
                <w:lang w:val="es-ES_tradnl"/>
              </w:rPr>
              <w:t>Número de satélites por plano</w:t>
            </w:r>
          </w:p>
        </w:tc>
        <w:tc>
          <w:tcPr>
            <w:tcW w:w="4820" w:type="dxa"/>
          </w:tcPr>
          <w:p w:rsidR="008C6F77" w:rsidRPr="0080562B" w:rsidRDefault="008C6F77" w:rsidP="00CA71F1">
            <w:pPr>
              <w:pStyle w:val="Tabletext"/>
              <w:keepNext/>
              <w:keepLines/>
              <w:rPr>
                <w:lang w:val="es-ES_tradnl"/>
              </w:rPr>
            </w:pPr>
            <w:r w:rsidRPr="0080562B">
              <w:rPr>
                <w:lang w:val="es-ES_tradnl"/>
              </w:rPr>
              <w:t>9 en total con una separación de 1 cada 40 grados</w:t>
            </w:r>
          </w:p>
        </w:tc>
      </w:tr>
      <w:tr w:rsidR="008C6F77" w:rsidRPr="0080562B" w:rsidTr="00E415F9">
        <w:trPr>
          <w:jc w:val="center"/>
        </w:trPr>
        <w:tc>
          <w:tcPr>
            <w:tcW w:w="4535" w:type="dxa"/>
          </w:tcPr>
          <w:p w:rsidR="008C6F77" w:rsidRPr="0080562B" w:rsidRDefault="008C6F77" w:rsidP="00CA71F1">
            <w:pPr>
              <w:pStyle w:val="Tabletext"/>
              <w:keepNext/>
              <w:keepLines/>
              <w:rPr>
                <w:lang w:val="es-ES_tradnl"/>
              </w:rPr>
            </w:pPr>
            <w:r w:rsidRPr="0080562B">
              <w:rPr>
                <w:lang w:val="es-ES_tradnl"/>
              </w:rPr>
              <w:t>Puesta en fase*</w:t>
            </w:r>
          </w:p>
        </w:tc>
        <w:tc>
          <w:tcPr>
            <w:tcW w:w="4820" w:type="dxa"/>
          </w:tcPr>
          <w:p w:rsidR="008C6F77" w:rsidRPr="0080562B" w:rsidRDefault="008C6F77" w:rsidP="00CA71F1">
            <w:pPr>
              <w:pStyle w:val="Tabletext"/>
              <w:keepNext/>
              <w:keepLines/>
              <w:rPr>
                <w:lang w:val="es-ES_tradnl"/>
              </w:rPr>
            </w:pPr>
            <w:r w:rsidRPr="0080562B">
              <w:rPr>
                <w:lang w:val="es-ES_tradnl"/>
              </w:rPr>
              <w:t>13 1/3 grados</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Tipo de antena</w:t>
            </w:r>
          </w:p>
        </w:tc>
        <w:tc>
          <w:tcPr>
            <w:tcW w:w="4820" w:type="dxa"/>
          </w:tcPr>
          <w:p w:rsidR="008C6F77" w:rsidRPr="0080562B" w:rsidRDefault="008C6F77" w:rsidP="00CA71F1">
            <w:pPr>
              <w:pStyle w:val="Tabletext"/>
              <w:rPr>
                <w:lang w:val="es-ES_tradnl"/>
              </w:rPr>
            </w:pPr>
            <w:r w:rsidRPr="0080562B">
              <w:rPr>
                <w:lang w:val="es-ES_tradnl"/>
              </w:rPr>
              <w:t>Isoflujo</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Ganancia de cresta</w:t>
            </w:r>
          </w:p>
        </w:tc>
        <w:tc>
          <w:tcPr>
            <w:tcW w:w="4820" w:type="dxa"/>
          </w:tcPr>
          <w:p w:rsidR="008C6F77" w:rsidRPr="0080562B" w:rsidRDefault="008C6F77" w:rsidP="00CA71F1">
            <w:pPr>
              <w:pStyle w:val="Tabletext"/>
              <w:rPr>
                <w:lang w:val="es-ES_tradnl"/>
              </w:rPr>
            </w:pPr>
            <w:r w:rsidRPr="0080562B">
              <w:rPr>
                <w:lang w:val="es-ES_tradnl"/>
              </w:rPr>
              <w:t>13,3 dBi</w:t>
            </w:r>
          </w:p>
        </w:tc>
      </w:tr>
      <w:tr w:rsidR="008C6F77" w:rsidRPr="00AF1BD9" w:rsidTr="00E415F9">
        <w:trPr>
          <w:jc w:val="center"/>
        </w:trPr>
        <w:tc>
          <w:tcPr>
            <w:tcW w:w="4535" w:type="dxa"/>
          </w:tcPr>
          <w:p w:rsidR="008C6F77" w:rsidRPr="0080562B" w:rsidRDefault="008C6F77" w:rsidP="00CA71F1">
            <w:pPr>
              <w:pStyle w:val="Tabletext"/>
              <w:rPr>
                <w:lang w:val="es-ES_tradnl"/>
              </w:rPr>
            </w:pPr>
            <w:r w:rsidRPr="0080562B">
              <w:rPr>
                <w:lang w:val="es-ES_tradnl"/>
              </w:rPr>
              <w:t>Ancho del haz de 3 dB</w:t>
            </w:r>
          </w:p>
        </w:tc>
        <w:tc>
          <w:tcPr>
            <w:tcW w:w="4820" w:type="dxa"/>
          </w:tcPr>
          <w:p w:rsidR="008C6F77" w:rsidRPr="0080562B" w:rsidRDefault="008C6F77" w:rsidP="00CA71F1">
            <w:pPr>
              <w:pStyle w:val="Tabletext"/>
              <w:rPr>
                <w:lang w:val="es-ES_tradnl"/>
              </w:rPr>
            </w:pPr>
            <w:r w:rsidRPr="0080562B">
              <w:rPr>
                <w:lang w:val="es-ES_tradnl"/>
              </w:rPr>
              <w:t>40 grados de cresta a cresta</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Polarización</w:t>
            </w:r>
          </w:p>
        </w:tc>
        <w:tc>
          <w:tcPr>
            <w:tcW w:w="4820" w:type="dxa"/>
          </w:tcPr>
          <w:p w:rsidR="008C6F77" w:rsidRPr="0080562B" w:rsidRDefault="008C6F77" w:rsidP="00CA71F1">
            <w:pPr>
              <w:pStyle w:val="Tabletext"/>
              <w:rPr>
                <w:lang w:val="es-ES_tradnl"/>
              </w:rPr>
            </w:pPr>
            <w:r w:rsidRPr="0080562B">
              <w:rPr>
                <w:lang w:val="es-ES_tradnl"/>
              </w:rPr>
              <w:t>Circular dextrógira (RHCP)</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Ancho de banda de la señal</w:t>
            </w:r>
          </w:p>
        </w:tc>
        <w:tc>
          <w:tcPr>
            <w:tcW w:w="4820" w:type="dxa"/>
          </w:tcPr>
          <w:p w:rsidR="008C6F77" w:rsidRPr="0080562B" w:rsidRDefault="008C6F77" w:rsidP="00CA71F1">
            <w:pPr>
              <w:pStyle w:val="Tabletext"/>
              <w:rPr>
                <w:lang w:val="es-ES_tradnl"/>
              </w:rPr>
            </w:pPr>
            <w:r w:rsidRPr="0080562B">
              <w:rPr>
                <w:lang w:val="es-ES_tradnl"/>
              </w:rPr>
              <w:t>16,5 MHz</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Frecuencia central de la señal</w:t>
            </w:r>
          </w:p>
        </w:tc>
        <w:tc>
          <w:tcPr>
            <w:tcW w:w="4820" w:type="dxa"/>
          </w:tcPr>
          <w:p w:rsidR="008C6F77" w:rsidRPr="0080562B" w:rsidRDefault="008C6F77" w:rsidP="00CA71F1">
            <w:pPr>
              <w:pStyle w:val="Tabletext"/>
              <w:rPr>
                <w:lang w:val="es-ES_tradnl"/>
              </w:rPr>
            </w:pPr>
            <w:r w:rsidRPr="0080562B">
              <w:rPr>
                <w:lang w:val="es-ES_tradnl"/>
              </w:rPr>
              <w:t>2 491,75 MHz</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Nivel de densidad de flujo de potencia</w:t>
            </w:r>
          </w:p>
        </w:tc>
        <w:tc>
          <w:tcPr>
            <w:tcW w:w="4820" w:type="dxa"/>
          </w:tcPr>
          <w:p w:rsidR="008C6F77" w:rsidRPr="0080562B" w:rsidRDefault="008C6F77" w:rsidP="00603288">
            <w:pPr>
              <w:pStyle w:val="Tabletext"/>
              <w:rPr>
                <w:lang w:val="es-ES_tradnl"/>
              </w:rPr>
            </w:pPr>
            <w:r w:rsidRPr="0080562B">
              <w:rPr>
                <w:lang w:val="es-ES_tradnl"/>
              </w:rPr>
              <w:t>–128 dB (W/</w:t>
            </w:r>
            <w:r w:rsidR="00603288">
              <w:rPr>
                <w:lang w:val="es-ES_tradnl"/>
              </w:rPr>
              <w:t>m</w:t>
            </w:r>
            <w:r w:rsidR="00603288" w:rsidRPr="00603288">
              <w:rPr>
                <w:vertAlign w:val="superscript"/>
                <w:lang w:val="es-ES_tradnl"/>
              </w:rPr>
              <w:t>2</w:t>
            </w:r>
            <w:r>
              <w:rPr>
                <w:lang w:val="es-ES_tradnl"/>
              </w:rPr>
              <w:t> · </w:t>
            </w:r>
            <w:r w:rsidRPr="0080562B">
              <w:rPr>
                <w:lang w:val="es-ES_tradnl"/>
              </w:rPr>
              <w:t>MHz)</w:t>
            </w:r>
          </w:p>
        </w:tc>
      </w:tr>
      <w:tr w:rsidR="008C6F77" w:rsidRPr="0080562B" w:rsidTr="00E415F9">
        <w:trPr>
          <w:jc w:val="center"/>
        </w:trPr>
        <w:tc>
          <w:tcPr>
            <w:tcW w:w="4535" w:type="dxa"/>
          </w:tcPr>
          <w:p w:rsidR="008C6F77" w:rsidRPr="0080562B" w:rsidRDefault="008C6F77" w:rsidP="00CA71F1">
            <w:pPr>
              <w:pStyle w:val="Tabletext"/>
              <w:rPr>
                <w:lang w:val="es-ES_tradnl"/>
              </w:rPr>
            </w:pPr>
            <w:r w:rsidRPr="0080562B">
              <w:rPr>
                <w:lang w:val="es-ES_tradnl"/>
              </w:rPr>
              <w:t>p.i.r.e. implícita por vehículo espacial</w:t>
            </w:r>
          </w:p>
        </w:tc>
        <w:tc>
          <w:tcPr>
            <w:tcW w:w="4820" w:type="dxa"/>
          </w:tcPr>
          <w:p w:rsidR="008C6F77" w:rsidRPr="0080562B" w:rsidRDefault="008C6F77" w:rsidP="00CA71F1">
            <w:pPr>
              <w:pStyle w:val="Tabletext"/>
              <w:rPr>
                <w:lang w:val="es-ES_tradnl"/>
              </w:rPr>
            </w:pPr>
            <w:r w:rsidRPr="0080562B">
              <w:rPr>
                <w:lang w:val="es-ES_tradnl"/>
              </w:rPr>
              <w:t>40,5 dBW</w:t>
            </w:r>
          </w:p>
        </w:tc>
      </w:tr>
      <w:tr w:rsidR="008C6F77" w:rsidRPr="00AF1BD9" w:rsidTr="00E41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354" w:type="dxa"/>
            <w:gridSpan w:val="2"/>
            <w:tcBorders>
              <w:left w:val="nil"/>
              <w:bottom w:val="nil"/>
              <w:right w:val="nil"/>
            </w:tcBorders>
          </w:tcPr>
          <w:p w:rsidR="008C6F77" w:rsidRPr="0080562B" w:rsidRDefault="008C6F77" w:rsidP="00B7305F">
            <w:pPr>
              <w:pStyle w:val="Tablelegend"/>
              <w:spacing w:before="40"/>
              <w:rPr>
                <w:lang w:val="es-ES_tradnl"/>
              </w:rPr>
            </w:pPr>
            <w:r w:rsidRPr="0080562B">
              <w:rPr>
                <w:lang w:val="es-ES_tradnl"/>
              </w:rPr>
              <w:t>*</w:t>
            </w:r>
            <w:r w:rsidRPr="0080562B">
              <w:rPr>
                <w:lang w:val="es-ES_tradnl"/>
              </w:rPr>
              <w:tab/>
              <w:t>Ángulo de fase inicial (ω</w:t>
            </w:r>
            <w:r w:rsidRPr="0080562B">
              <w:rPr>
                <w:i/>
                <w:iCs/>
                <w:vertAlign w:val="subscript"/>
                <w:lang w:val="es-ES_tradnl"/>
              </w:rPr>
              <w:t>i</w:t>
            </w:r>
            <w:r w:rsidRPr="0080562B">
              <w:rPr>
                <w:lang w:val="es-ES_tradnl"/>
              </w:rPr>
              <w:t xml:space="preserve">) del </w:t>
            </w:r>
            <w:r w:rsidRPr="0080562B">
              <w:rPr>
                <w:i/>
                <w:iCs/>
                <w:lang w:val="es-ES_tradnl"/>
              </w:rPr>
              <w:t>i</w:t>
            </w:r>
            <w:r w:rsidRPr="0080562B">
              <w:rPr>
                <w:lang w:val="es-ES_tradnl"/>
              </w:rPr>
              <w:t xml:space="preserve">-ésimo satélite en su plano orbital en el instante de referencia </w:t>
            </w:r>
            <w:r w:rsidRPr="0080562B">
              <w:rPr>
                <w:i/>
                <w:iCs/>
                <w:lang w:val="es-ES_tradnl"/>
              </w:rPr>
              <w:t>t</w:t>
            </w:r>
            <w:r w:rsidR="00B82203">
              <w:rPr>
                <w:lang w:val="es-ES_tradnl"/>
              </w:rPr>
              <w:t> </w:t>
            </w:r>
            <w:r w:rsidRPr="0080562B">
              <w:rPr>
                <w:lang w:val="es-ES_tradnl"/>
              </w:rPr>
              <w:t>=</w:t>
            </w:r>
            <w:r w:rsidR="00B82203">
              <w:rPr>
                <w:lang w:val="es-ES_tradnl"/>
              </w:rPr>
              <w:t> </w:t>
            </w:r>
            <w:r w:rsidRPr="0080562B">
              <w:rPr>
                <w:lang w:val="es-ES_tradnl"/>
              </w:rPr>
              <w:t>0, medido a partir del punto del nodo ascendente (0° ≤</w:t>
            </w:r>
            <w:r>
              <w:rPr>
                <w:lang w:val="es-ES_tradnl"/>
              </w:rPr>
              <w:t xml:space="preserve"> </w:t>
            </w:r>
            <w:r w:rsidRPr="0080562B">
              <w:rPr>
                <w:lang w:val="es-ES_tradnl"/>
              </w:rPr>
              <w:t>ω</w:t>
            </w:r>
            <w:r w:rsidRPr="0080562B">
              <w:rPr>
                <w:i/>
                <w:iCs/>
                <w:vertAlign w:val="subscript"/>
                <w:lang w:val="es-ES_tradnl"/>
              </w:rPr>
              <w:t>i</w:t>
            </w:r>
            <w:r w:rsidRPr="0080562B">
              <w:rPr>
                <w:lang w:val="es-ES_tradnl"/>
              </w:rPr>
              <w:t xml:space="preserve"> &lt; 360°).</w:t>
            </w:r>
          </w:p>
        </w:tc>
      </w:tr>
    </w:tbl>
    <w:p w:rsidR="008C6F77" w:rsidRPr="0080562B" w:rsidRDefault="008C6F77" w:rsidP="008C6F77">
      <w:pPr>
        <w:pStyle w:val="Heading2"/>
        <w:rPr>
          <w:lang w:val="es-ES_tradnl"/>
        </w:rPr>
      </w:pPr>
      <w:r w:rsidRPr="0080562B">
        <w:rPr>
          <w:lang w:val="es-ES_tradnl"/>
        </w:rPr>
        <w:lastRenderedPageBreak/>
        <w:t>1.3</w:t>
      </w:r>
      <w:r w:rsidRPr="0080562B">
        <w:rPr>
          <w:lang w:val="es-ES_tradnl"/>
        </w:rPr>
        <w:tab/>
        <w:t>Características del servicio fijo punto a punto</w:t>
      </w:r>
    </w:p>
    <w:p w:rsidR="008C6F77" w:rsidRPr="0080562B" w:rsidRDefault="008C6F77" w:rsidP="00CA71F1">
      <w:pPr>
        <w:rPr>
          <w:lang w:val="es-ES_tradnl"/>
        </w:rPr>
      </w:pPr>
      <w:r w:rsidRPr="0080562B">
        <w:rPr>
          <w:lang w:val="es-ES_tradnl"/>
        </w:rPr>
        <w:t>En el Cuadro</w:t>
      </w:r>
      <w:r w:rsidR="00CA71F1">
        <w:rPr>
          <w:lang w:val="es-ES_tradnl"/>
        </w:rPr>
        <w:t> </w:t>
      </w:r>
      <w:r w:rsidRPr="0080562B">
        <w:rPr>
          <w:lang w:val="es-ES_tradnl"/>
        </w:rPr>
        <w:t>3 se muestran los parámetros escogidos para las estaciones del servicio fijo, conformes con la Recomendación UIT-R F.758.</w:t>
      </w:r>
    </w:p>
    <w:p w:rsidR="008C6F77" w:rsidRPr="0080562B" w:rsidRDefault="008C6F77" w:rsidP="008C6F77">
      <w:pPr>
        <w:pStyle w:val="TableNo"/>
        <w:rPr>
          <w:lang w:val="es-ES_tradnl"/>
        </w:rPr>
      </w:pPr>
      <w:bookmarkStart w:id="5" w:name="_Ref304324723"/>
      <w:r w:rsidRPr="0080562B">
        <w:rPr>
          <w:lang w:val="es-ES_tradnl"/>
        </w:rPr>
        <w:t xml:space="preserve">CUADRO </w:t>
      </w:r>
      <w:bookmarkEnd w:id="5"/>
      <w:r w:rsidRPr="0080562B">
        <w:rPr>
          <w:lang w:val="es-ES_tradnl"/>
        </w:rPr>
        <w:t>3</w:t>
      </w:r>
    </w:p>
    <w:p w:rsidR="008C6F77" w:rsidRPr="0080562B" w:rsidRDefault="008C6F77" w:rsidP="008C6F77">
      <w:pPr>
        <w:pStyle w:val="Tabletitle"/>
        <w:rPr>
          <w:lang w:val="es-ES_tradnl"/>
        </w:rPr>
      </w:pPr>
      <w:r w:rsidRPr="0080562B">
        <w:rPr>
          <w:lang w:val="es-ES_tradnl"/>
        </w:rPr>
        <w:t>Parámetros medios del servicio fijo punto a punto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402"/>
      </w:tblGrid>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Longitud de trayecto media</w:t>
            </w:r>
          </w:p>
        </w:tc>
        <w:tc>
          <w:tcPr>
            <w:tcW w:w="3402" w:type="dxa"/>
          </w:tcPr>
          <w:p w:rsidR="008C6F77" w:rsidRPr="0080562B" w:rsidRDefault="008C6F77" w:rsidP="00CA71F1">
            <w:pPr>
              <w:pStyle w:val="Tabletext"/>
              <w:rPr>
                <w:lang w:val="es-ES_tradnl"/>
              </w:rPr>
            </w:pPr>
            <w:r w:rsidRPr="0080562B">
              <w:rPr>
                <w:lang w:val="es-ES_tradnl"/>
              </w:rPr>
              <w:t>29,45 kilómetros</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p.i.r.e. media</w:t>
            </w:r>
          </w:p>
        </w:tc>
        <w:tc>
          <w:tcPr>
            <w:tcW w:w="3402" w:type="dxa"/>
          </w:tcPr>
          <w:p w:rsidR="008C6F77" w:rsidRPr="0080562B" w:rsidRDefault="008C6F77" w:rsidP="00CA71F1">
            <w:pPr>
              <w:pStyle w:val="Tabletext"/>
              <w:rPr>
                <w:lang w:val="es-ES_tradnl"/>
              </w:rPr>
            </w:pPr>
            <w:r w:rsidRPr="0080562B">
              <w:rPr>
                <w:lang w:val="es-ES_tradnl"/>
              </w:rPr>
              <w:t>29,5 dBW</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Ganancia de antena media</w:t>
            </w:r>
          </w:p>
        </w:tc>
        <w:tc>
          <w:tcPr>
            <w:tcW w:w="3402" w:type="dxa"/>
          </w:tcPr>
          <w:p w:rsidR="008C6F77" w:rsidRPr="00BE04B3" w:rsidRDefault="008C6F77" w:rsidP="00CA71F1">
            <w:pPr>
              <w:pStyle w:val="Tabletext"/>
              <w:rPr>
                <w:lang w:val="fr-CH"/>
              </w:rPr>
            </w:pPr>
            <w:r w:rsidRPr="00BE04B3">
              <w:rPr>
                <w:lang w:val="fr-CH"/>
              </w:rPr>
              <w:t>25 dBi Rec. UIT-R F.1245-1</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Ancho del haz de 3 dB</w:t>
            </w:r>
          </w:p>
        </w:tc>
        <w:tc>
          <w:tcPr>
            <w:tcW w:w="3402" w:type="dxa"/>
          </w:tcPr>
          <w:p w:rsidR="008C6F77" w:rsidRPr="0080562B" w:rsidRDefault="008C6F77" w:rsidP="00CA71F1">
            <w:pPr>
              <w:pStyle w:val="Tabletext"/>
              <w:rPr>
                <w:lang w:val="es-ES_tradnl"/>
              </w:rPr>
            </w:pPr>
            <w:r w:rsidRPr="0080562B">
              <w:rPr>
                <w:lang w:val="es-ES_tradnl"/>
              </w:rPr>
              <w:t>9,1 grados</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Altura de antena media</w:t>
            </w:r>
          </w:p>
        </w:tc>
        <w:tc>
          <w:tcPr>
            <w:tcW w:w="3402" w:type="dxa"/>
          </w:tcPr>
          <w:p w:rsidR="008C6F77" w:rsidRPr="0080562B" w:rsidRDefault="008C6F77" w:rsidP="00CA71F1">
            <w:pPr>
              <w:pStyle w:val="Tabletext"/>
              <w:rPr>
                <w:lang w:val="es-ES_tradnl"/>
              </w:rPr>
            </w:pPr>
            <w:r w:rsidRPr="0080562B">
              <w:rPr>
                <w:lang w:val="es-ES_tradnl"/>
              </w:rPr>
              <w:t>50,3 m</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Ángulo de elevación</w:t>
            </w:r>
          </w:p>
        </w:tc>
        <w:tc>
          <w:tcPr>
            <w:tcW w:w="3402" w:type="dxa"/>
          </w:tcPr>
          <w:p w:rsidR="008C6F77" w:rsidRPr="0080562B" w:rsidRDefault="008C6F77" w:rsidP="00CA71F1">
            <w:pPr>
              <w:pStyle w:val="Tabletext"/>
              <w:rPr>
                <w:lang w:val="es-ES_tradnl"/>
              </w:rPr>
            </w:pPr>
            <w:r w:rsidRPr="0080562B">
              <w:rPr>
                <w:lang w:val="es-ES_tradnl"/>
              </w:rPr>
              <w:t>0 grados</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Frecuencia central de la portadora</w:t>
            </w:r>
          </w:p>
        </w:tc>
        <w:tc>
          <w:tcPr>
            <w:tcW w:w="3402" w:type="dxa"/>
          </w:tcPr>
          <w:p w:rsidR="008C6F77" w:rsidRPr="0080562B" w:rsidRDefault="008C6F77" w:rsidP="00CA71F1">
            <w:pPr>
              <w:pStyle w:val="Tabletext"/>
              <w:rPr>
                <w:lang w:val="es-ES_tradnl"/>
              </w:rPr>
            </w:pPr>
            <w:r w:rsidRPr="0080562B">
              <w:rPr>
                <w:lang w:val="es-ES_tradnl"/>
              </w:rPr>
              <w:t>2 491 MHz</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Ancho de banda de la portadora</w:t>
            </w:r>
          </w:p>
        </w:tc>
        <w:tc>
          <w:tcPr>
            <w:tcW w:w="3402" w:type="dxa"/>
          </w:tcPr>
          <w:p w:rsidR="008C6F77" w:rsidRPr="0080562B" w:rsidRDefault="008C6F77" w:rsidP="00CA71F1">
            <w:pPr>
              <w:pStyle w:val="Tabletext"/>
              <w:rPr>
                <w:lang w:val="es-ES_tradnl"/>
              </w:rPr>
            </w:pPr>
            <w:r w:rsidRPr="0080562B">
              <w:rPr>
                <w:lang w:val="es-ES_tradnl"/>
              </w:rPr>
              <w:t>14 MHz</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Temperatura de ruido del sistema</w:t>
            </w:r>
          </w:p>
        </w:tc>
        <w:tc>
          <w:tcPr>
            <w:tcW w:w="3402" w:type="dxa"/>
          </w:tcPr>
          <w:p w:rsidR="008C6F77" w:rsidRPr="0080562B" w:rsidRDefault="008C6F77" w:rsidP="00CA71F1">
            <w:pPr>
              <w:pStyle w:val="Tabletext"/>
              <w:rPr>
                <w:lang w:val="es-ES_tradnl"/>
              </w:rPr>
            </w:pPr>
            <w:r w:rsidRPr="0080562B">
              <w:rPr>
                <w:lang w:val="es-ES_tradnl"/>
              </w:rPr>
              <w:t>438 K</w:t>
            </w:r>
          </w:p>
        </w:tc>
      </w:tr>
      <w:tr w:rsidR="008C6F77" w:rsidRPr="0080562B" w:rsidTr="00BD197B">
        <w:trPr>
          <w:jc w:val="center"/>
        </w:trPr>
        <w:tc>
          <w:tcPr>
            <w:tcW w:w="3685" w:type="dxa"/>
          </w:tcPr>
          <w:p w:rsidR="008C6F77" w:rsidRPr="0080562B" w:rsidRDefault="008C6F77" w:rsidP="00CA71F1">
            <w:pPr>
              <w:pStyle w:val="Tabletext"/>
              <w:rPr>
                <w:lang w:val="es-ES_tradnl"/>
              </w:rPr>
            </w:pPr>
            <w:r w:rsidRPr="0080562B">
              <w:rPr>
                <w:lang w:val="es-ES_tradnl"/>
              </w:rPr>
              <w:t>Pérdida del conector</w:t>
            </w:r>
          </w:p>
        </w:tc>
        <w:tc>
          <w:tcPr>
            <w:tcW w:w="3402" w:type="dxa"/>
          </w:tcPr>
          <w:p w:rsidR="008C6F77" w:rsidRPr="0080562B" w:rsidRDefault="008C6F77" w:rsidP="00CA71F1">
            <w:pPr>
              <w:pStyle w:val="Tabletext"/>
              <w:rPr>
                <w:lang w:val="es-ES_tradnl"/>
              </w:rPr>
            </w:pPr>
            <w:r w:rsidRPr="0080562B">
              <w:rPr>
                <w:lang w:val="es-ES_tradnl"/>
              </w:rPr>
              <w:t>4 dB</w:t>
            </w:r>
          </w:p>
        </w:tc>
      </w:tr>
    </w:tbl>
    <w:p w:rsidR="008C6F77" w:rsidRPr="0080562B" w:rsidRDefault="008C6F77" w:rsidP="008C6F77">
      <w:pPr>
        <w:pStyle w:val="Tablefin"/>
        <w:rPr>
          <w:lang w:val="es-ES_tradnl"/>
        </w:rPr>
      </w:pPr>
    </w:p>
    <w:p w:rsidR="008C6F77" w:rsidRPr="0080562B" w:rsidRDefault="008C6F77" w:rsidP="008C6F77">
      <w:pPr>
        <w:rPr>
          <w:lang w:val="es-ES_tradnl"/>
        </w:rPr>
      </w:pPr>
      <w:r w:rsidRPr="0080562B">
        <w:rPr>
          <w:lang w:val="es-ES_tradnl"/>
        </w:rPr>
        <w:t>Se ha supuesto que el terreno bajo el trayecto punto a punto es una superficie plana. La propagación por el trayecto del SF es conforme con las Recomendaciones UIT-R P.525 y UIT-R P.530, siendo la propagación de la interferencia conforme con la Recomendación UIT-R P.452.</w:t>
      </w:r>
    </w:p>
    <w:p w:rsidR="008C6F77" w:rsidRPr="0080562B" w:rsidRDefault="008C6F77" w:rsidP="008C6F77">
      <w:pPr>
        <w:pStyle w:val="Heading1"/>
        <w:rPr>
          <w:lang w:val="es-ES_tradnl"/>
        </w:rPr>
      </w:pPr>
      <w:r w:rsidRPr="0080562B">
        <w:rPr>
          <w:lang w:val="es-ES_tradnl"/>
        </w:rPr>
        <w:t>2</w:t>
      </w:r>
      <w:r w:rsidRPr="0080562B">
        <w:rPr>
          <w:lang w:val="es-ES_tradnl"/>
        </w:rPr>
        <w:tab/>
        <w:t>Determinación de los niveles de interferencia en los sistemas del SF</w:t>
      </w:r>
    </w:p>
    <w:p w:rsidR="008C6F77" w:rsidRPr="0080562B" w:rsidRDefault="008C6F77" w:rsidP="008C6F77">
      <w:pPr>
        <w:pStyle w:val="Heading2"/>
        <w:rPr>
          <w:lang w:val="es-ES_tradnl"/>
        </w:rPr>
      </w:pPr>
      <w:r w:rsidRPr="0080562B">
        <w:rPr>
          <w:lang w:val="es-ES_tradnl"/>
        </w:rPr>
        <w:t>2.1</w:t>
      </w:r>
      <w:r w:rsidRPr="0080562B">
        <w:rPr>
          <w:lang w:val="es-ES_tradnl"/>
        </w:rPr>
        <w:tab/>
        <w:t>Simulación de interferencia al servicio fijo punto a punto</w:t>
      </w:r>
    </w:p>
    <w:p w:rsidR="008C6F77" w:rsidRPr="0080562B" w:rsidRDefault="008C6F77" w:rsidP="00BD197B">
      <w:pPr>
        <w:rPr>
          <w:szCs w:val="24"/>
          <w:lang w:val="es-ES_tradnl"/>
        </w:rPr>
      </w:pPr>
      <w:r w:rsidRPr="0080562B">
        <w:rPr>
          <w:szCs w:val="24"/>
          <w:lang w:val="es-ES_tradnl"/>
        </w:rPr>
        <w:t>Las simulaciones informáticas que se muestran en el Adjunto siguiente se realizaron con un software comercial para evaluar la interferencia potencial causada por los enlaces descendentes del SRDS y el SMS en los enlaces del SF y se utilizaron los parámetros del Cuadro</w:t>
      </w:r>
      <w:r w:rsidR="00BD197B">
        <w:rPr>
          <w:szCs w:val="24"/>
          <w:lang w:val="es-ES_tradnl"/>
        </w:rPr>
        <w:t> </w:t>
      </w:r>
      <w:r w:rsidRPr="0080562B">
        <w:rPr>
          <w:szCs w:val="24"/>
          <w:lang w:val="es-ES_tradnl"/>
        </w:rPr>
        <w:t>3 anterior. Los parámetros utilizados para el SMS son los indicados en el Cuadro</w:t>
      </w:r>
      <w:r w:rsidR="00BD197B">
        <w:rPr>
          <w:szCs w:val="24"/>
          <w:lang w:val="es-ES_tradnl"/>
        </w:rPr>
        <w:t> </w:t>
      </w:r>
      <w:r w:rsidRPr="0080562B">
        <w:rPr>
          <w:szCs w:val="24"/>
          <w:lang w:val="es-ES_tradnl"/>
        </w:rPr>
        <w:t xml:space="preserve">1 y para el </w:t>
      </w:r>
      <w:r>
        <w:rPr>
          <w:szCs w:val="24"/>
          <w:lang w:val="es-ES_tradnl"/>
        </w:rPr>
        <w:t>SRDS los indicados en el Cuadro </w:t>
      </w:r>
      <w:r w:rsidRPr="0080562B">
        <w:rPr>
          <w:szCs w:val="24"/>
          <w:lang w:val="es-ES_tradnl"/>
        </w:rPr>
        <w:t>2. Las antenas de los vehículos espaciales y las potencias de salida se eligieron de tal manera que la densidad de flujo de potencia (dfp) producida en la superficie de la Tierra fuese idéntica a los niveles de dfp determinantes de la coordinación del Apéndice</w:t>
      </w:r>
      <w:r w:rsidR="00BD197B">
        <w:rPr>
          <w:szCs w:val="24"/>
          <w:lang w:val="es-ES_tradnl"/>
        </w:rPr>
        <w:t> </w:t>
      </w:r>
      <w:r w:rsidRPr="0080562B">
        <w:rPr>
          <w:b/>
          <w:bCs/>
          <w:szCs w:val="24"/>
          <w:lang w:val="es-ES_tradnl"/>
        </w:rPr>
        <w:t>5</w:t>
      </w:r>
      <w:r w:rsidRPr="0080562B">
        <w:rPr>
          <w:szCs w:val="24"/>
          <w:lang w:val="es-ES_tradnl"/>
        </w:rPr>
        <w:t xml:space="preserve"> del RR. Para la simulación se escogió situar las estaciones del servicio fijo en Nigeria. En la simulación se incluyen los efectos del clima de la región y del desvanecimiento por trayectos múltiples.</w:t>
      </w:r>
    </w:p>
    <w:p w:rsidR="008C6F77" w:rsidRPr="0080562B" w:rsidRDefault="008C6F77" w:rsidP="00664B48">
      <w:pPr>
        <w:rPr>
          <w:lang w:val="es-ES_tradnl"/>
        </w:rPr>
      </w:pPr>
      <w:r w:rsidRPr="0080562B">
        <w:rPr>
          <w:lang w:val="es-ES_tradnl"/>
        </w:rPr>
        <w:t>Se fijó la potencia de cada vehículo espacial del SMS para que produjese una dfp de enlace descendente de −124,5 dBW/</w:t>
      </w:r>
      <w:r w:rsidR="00F04860">
        <w:rPr>
          <w:lang w:val="es-ES_tradnl"/>
        </w:rPr>
        <w:t>m</w:t>
      </w:r>
      <w:r w:rsidR="00F04860" w:rsidRPr="00F04860">
        <w:rPr>
          <w:vertAlign w:val="superscript"/>
          <w:lang w:val="es-ES_tradnl"/>
        </w:rPr>
        <w:t>2</w:t>
      </w:r>
      <w:r>
        <w:rPr>
          <w:lang w:val="es-ES_tradnl"/>
        </w:rPr>
        <w:t> · </w:t>
      </w:r>
      <w:r w:rsidRPr="0080562B">
        <w:rPr>
          <w:lang w:val="es-ES_tradnl"/>
        </w:rPr>
        <w:t>MHz en la banda de frecuencias 2 483,5</w:t>
      </w:r>
      <w:r w:rsidRPr="0080562B">
        <w:rPr>
          <w:lang w:val="es-ES_tradnl"/>
        </w:rPr>
        <w:noBreakHyphen/>
        <w:t>2 500</w:t>
      </w:r>
      <w:r w:rsidR="00664B48">
        <w:rPr>
          <w:lang w:val="es-ES_tradnl"/>
        </w:rPr>
        <w:t> </w:t>
      </w:r>
      <w:r w:rsidRPr="0080562B">
        <w:rPr>
          <w:lang w:val="es-ES_tradnl"/>
        </w:rPr>
        <w:t>MHz. Del mismo modo, se fijó la potencia de cada vehículo espacial del SRDS para que produjese una dfp de −128 dBW/</w:t>
      </w:r>
      <w:r w:rsidR="00BD197B">
        <w:rPr>
          <w:lang w:val="es-ES_tradnl"/>
        </w:rPr>
        <w:t>m</w:t>
      </w:r>
      <w:r w:rsidR="00BD197B" w:rsidRPr="00BD197B">
        <w:rPr>
          <w:vertAlign w:val="superscript"/>
          <w:lang w:val="es-ES_tradnl"/>
        </w:rPr>
        <w:t>2</w:t>
      </w:r>
      <w:r>
        <w:rPr>
          <w:lang w:val="es-ES_tradnl"/>
        </w:rPr>
        <w:t> · </w:t>
      </w:r>
      <w:r w:rsidRPr="0080562B">
        <w:rPr>
          <w:lang w:val="es-ES_tradnl"/>
        </w:rPr>
        <w:t>MHz.</w:t>
      </w:r>
    </w:p>
    <w:p w:rsidR="008C6F77" w:rsidRPr="0080562B" w:rsidRDefault="008C6F77" w:rsidP="00664B48">
      <w:pPr>
        <w:rPr>
          <w:lang w:val="es-ES_tradnl"/>
        </w:rPr>
      </w:pPr>
      <w:r w:rsidRPr="0080562B">
        <w:rPr>
          <w:lang w:val="es-ES_tradnl"/>
        </w:rPr>
        <w:t>Se calculó la interferencia en incrementos temporales de 20</w:t>
      </w:r>
      <w:r w:rsidR="00664B48">
        <w:rPr>
          <w:lang w:val="es-ES_tradnl"/>
        </w:rPr>
        <w:t> </w:t>
      </w:r>
      <w:r w:rsidRPr="0080562B">
        <w:rPr>
          <w:lang w:val="es-ES_tradnl"/>
        </w:rPr>
        <w:t>segundos durante un periodo de 10</w:t>
      </w:r>
      <w:r w:rsidR="00603288">
        <w:rPr>
          <w:lang w:val="es-ES_tradnl"/>
        </w:rPr>
        <w:t> </w:t>
      </w:r>
      <w:r w:rsidRPr="0080562B">
        <w:rPr>
          <w:lang w:val="es-ES_tradnl"/>
        </w:rPr>
        <w:t>días. El intervalo entre las repeticiones de la traza en el suelo de los sistemas SRDS Galileo e</w:t>
      </w:r>
      <w:r>
        <w:rPr>
          <w:lang w:val="es-ES_tradnl"/>
        </w:rPr>
        <w:t xml:space="preserve"> HIBLEO</w:t>
      </w:r>
      <w:r>
        <w:rPr>
          <w:lang w:val="es-ES_tradnl"/>
        </w:rPr>
        <w:noBreakHyphen/>
      </w:r>
      <w:r w:rsidRPr="0080562B">
        <w:rPr>
          <w:lang w:val="es-ES_tradnl"/>
        </w:rPr>
        <w:t>4/HIBLEO-X es de 10</w:t>
      </w:r>
      <w:r w:rsidR="00CA71F1">
        <w:rPr>
          <w:lang w:val="es-ES_tradnl"/>
        </w:rPr>
        <w:t> </w:t>
      </w:r>
      <w:r w:rsidRPr="0080562B">
        <w:rPr>
          <w:lang w:val="es-ES_tradnl"/>
        </w:rPr>
        <w:t>días y 2</w:t>
      </w:r>
      <w:r w:rsidR="00CA71F1">
        <w:rPr>
          <w:lang w:val="es-ES_tradnl"/>
        </w:rPr>
        <w:t> </w:t>
      </w:r>
      <w:r w:rsidRPr="0080562B">
        <w:rPr>
          <w:lang w:val="es-ES_tradnl"/>
        </w:rPr>
        <w:t>días, respectivamente. Por tanto, el periodo de la simulación comprende un número entero de repeticiones de trazas en el suelo de ambos sistemas de satélites. Se analizó la interferencia sobre la base de la DFC del enlace del servicio fijo.</w:t>
      </w:r>
    </w:p>
    <w:p w:rsidR="008C6F77" w:rsidRPr="0080562B" w:rsidRDefault="008C6F77" w:rsidP="008C6F77">
      <w:pPr>
        <w:rPr>
          <w:lang w:val="es-ES_tradnl"/>
        </w:rPr>
      </w:pPr>
    </w:p>
    <w:p w:rsidR="008C6F77" w:rsidRPr="0080562B" w:rsidRDefault="008C6F77" w:rsidP="00664B48">
      <w:pPr>
        <w:pStyle w:val="AppendixNoTitle"/>
        <w:rPr>
          <w:lang w:val="es-ES_tradnl"/>
        </w:rPr>
      </w:pPr>
      <w:r w:rsidRPr="0080562B">
        <w:rPr>
          <w:lang w:val="es-ES_tradnl"/>
        </w:rPr>
        <w:lastRenderedPageBreak/>
        <w:t>Adjunto</w:t>
      </w:r>
      <w:r w:rsidR="00664B48">
        <w:rPr>
          <w:lang w:val="es-ES_tradnl"/>
        </w:rPr>
        <w:br/>
        <w:t xml:space="preserve">al </w:t>
      </w:r>
      <w:r w:rsidRPr="0080562B">
        <w:rPr>
          <w:lang w:val="es-ES_tradnl"/>
        </w:rPr>
        <w:t>Anexo 2</w:t>
      </w:r>
      <w:r w:rsidRPr="0080562B">
        <w:rPr>
          <w:lang w:val="es-ES_tradnl"/>
        </w:rPr>
        <w:br/>
      </w:r>
      <w:bookmarkStart w:id="6" w:name="_GoBack"/>
      <w:bookmarkEnd w:id="6"/>
      <w:r w:rsidRPr="0080562B">
        <w:rPr>
          <w:lang w:val="es-ES_tradnl"/>
        </w:rPr>
        <w:br/>
        <w:t>Resultados de la simulación</w:t>
      </w:r>
    </w:p>
    <w:p w:rsidR="008C6F77" w:rsidRPr="0080562B" w:rsidRDefault="008C6F77" w:rsidP="00CA71F1">
      <w:pPr>
        <w:pStyle w:val="Normalaftertitle"/>
        <w:rPr>
          <w:lang w:val="es-ES_tradnl"/>
        </w:rPr>
      </w:pPr>
      <w:r>
        <w:rPr>
          <w:lang w:val="es-ES_tradnl"/>
        </w:rPr>
        <w:t>En las Fig</w:t>
      </w:r>
      <w:r w:rsidRPr="0080562B">
        <w:rPr>
          <w:lang w:val="es-ES_tradnl"/>
        </w:rPr>
        <w:t>s</w:t>
      </w:r>
      <w:r>
        <w:rPr>
          <w:lang w:val="es-ES_tradnl"/>
        </w:rPr>
        <w:t>.</w:t>
      </w:r>
      <w:r w:rsidR="00CA71F1">
        <w:rPr>
          <w:lang w:val="es-ES_tradnl"/>
        </w:rPr>
        <w:t> </w:t>
      </w:r>
      <w:r w:rsidRPr="0080562B">
        <w:rPr>
          <w:lang w:val="es-ES_tradnl"/>
        </w:rPr>
        <w:t>2 a 5 se muestran los resultados de las simulaciones informáticas. Como ya se ha indicado</w:t>
      </w:r>
      <w:r>
        <w:rPr>
          <w:lang w:val="es-ES_tradnl"/>
        </w:rPr>
        <w:t>,</w:t>
      </w:r>
      <w:r w:rsidRPr="0080562B">
        <w:rPr>
          <w:lang w:val="es-ES_tradnl"/>
        </w:rPr>
        <w:t xml:space="preserve"> el periodo escogido fue suficiente para que toda la constelación de ambos sistemas de satélites interfiriese con el sistema del servicio fijo. La interferencia causada al enlace del servicio fijo se determinó a intervalos de acimut de 5</w:t>
      </w:r>
      <w:r w:rsidR="00CA71F1">
        <w:rPr>
          <w:lang w:val="es-ES_tradnl"/>
        </w:rPr>
        <w:t> </w:t>
      </w:r>
      <w:r w:rsidRPr="0080562B">
        <w:rPr>
          <w:lang w:val="es-ES_tradnl"/>
        </w:rPr>
        <w:t>grados. La DFC se determinó a partir de una media aritmética, por oposición a una media de valores logarítmicos.</w:t>
      </w:r>
    </w:p>
    <w:p w:rsidR="008C6F77" w:rsidRPr="0080562B" w:rsidRDefault="008C6F77" w:rsidP="008C6F77">
      <w:pPr>
        <w:pStyle w:val="FigureNo"/>
        <w:rPr>
          <w:lang w:val="es-ES_tradnl"/>
        </w:rPr>
      </w:pPr>
      <w:r w:rsidRPr="0080562B">
        <w:rPr>
          <w:lang w:val="es-ES_tradnl"/>
        </w:rPr>
        <w:t>FigurA 2</w:t>
      </w:r>
    </w:p>
    <w:p w:rsidR="008C6F77" w:rsidRPr="0080562B" w:rsidRDefault="008C6F77" w:rsidP="00603288">
      <w:pPr>
        <w:pStyle w:val="Figuretitle"/>
        <w:rPr>
          <w:lang w:val="es-ES_tradnl"/>
        </w:rPr>
      </w:pPr>
      <w:r w:rsidRPr="0080562B">
        <w:rPr>
          <w:lang w:val="es-ES_tradnl"/>
        </w:rPr>
        <w:t>DFC (en %) de los enlaces del SF simulados en Nigeria debida a la interferencia causada</w:t>
      </w:r>
      <w:r w:rsidR="00603288">
        <w:rPr>
          <w:lang w:val="es-ES_tradnl"/>
        </w:rPr>
        <w:br/>
      </w:r>
      <w:r w:rsidRPr="0080562B">
        <w:rPr>
          <w:lang w:val="es-ES_tradnl"/>
        </w:rPr>
        <w:t>por las emisiones combinadas de los sistemas del SRDS y el SMS</w:t>
      </w:r>
    </w:p>
    <w:p w:rsidR="008C6F77" w:rsidRPr="0080562B" w:rsidRDefault="00603288" w:rsidP="008C6F77">
      <w:pPr>
        <w:pStyle w:val="Figure"/>
        <w:rPr>
          <w:lang w:val="es-ES_tradnl"/>
        </w:rPr>
      </w:pPr>
      <w:r w:rsidRPr="0080562B">
        <w:rPr>
          <w:lang w:val="es-ES_tradnl"/>
        </w:rPr>
        <w:object w:dxaOrig="5025" w:dyaOrig="3597">
          <v:shape id="_x0000_i1030" type="#_x0000_t75" style="width:418.25pt;height:299.3pt" o:ole="">
            <v:imagedata r:id="rId23" o:title=""/>
          </v:shape>
          <o:OLEObject Type="Embed" ProgID="CorelDRAW.Graphic.14" ShapeID="_x0000_i1030" DrawAspect="Content" ObjectID="_1542525632" r:id="rId24"/>
        </w:object>
      </w:r>
    </w:p>
    <w:p w:rsidR="008C6F77" w:rsidRPr="0080562B" w:rsidRDefault="008C6F77" w:rsidP="008C6F77">
      <w:pPr>
        <w:rPr>
          <w:lang w:val="es-ES_tradnl"/>
        </w:rPr>
      </w:pPr>
      <w:r w:rsidRPr="0080562B">
        <w:rPr>
          <w:lang w:val="es-ES_tradnl"/>
        </w:rPr>
        <w:t>La DFC para este enlace en Nigeria es siempre inferior al 14%, lo que está muy por debajo del valor aceptable del 25% para los enlaces en la banda de frecuencias 2 483,5</w:t>
      </w:r>
      <w:r w:rsidRPr="0080562B">
        <w:rPr>
          <w:lang w:val="es-ES_tradnl"/>
        </w:rPr>
        <w:noBreakHyphen/>
        <w:t>2 500 MHz.</w:t>
      </w:r>
    </w:p>
    <w:p w:rsidR="008C6F77" w:rsidRPr="0080562B" w:rsidRDefault="008C6F77" w:rsidP="00A738AF">
      <w:pPr>
        <w:keepNext/>
        <w:keepLines/>
        <w:rPr>
          <w:lang w:val="es-ES_tradnl"/>
        </w:rPr>
      </w:pPr>
      <w:r w:rsidRPr="0080562B">
        <w:rPr>
          <w:lang w:val="es-ES_tradnl"/>
        </w:rPr>
        <w:lastRenderedPageBreak/>
        <w:t>En la Fig</w:t>
      </w:r>
      <w:r w:rsidR="00CA71F1">
        <w:rPr>
          <w:lang w:val="es-ES_tradnl"/>
        </w:rPr>
        <w:t>. </w:t>
      </w:r>
      <w:r w:rsidRPr="0080562B">
        <w:rPr>
          <w:lang w:val="es-ES_tradnl"/>
        </w:rPr>
        <w:t>3 se muestran los resultados de la simulación informática para un enlace en Senegal. La DFC para este enlace es siempre inferior al 22% en la banda de frecuencias 2 483,5</w:t>
      </w:r>
      <w:r w:rsidRPr="0080562B">
        <w:rPr>
          <w:lang w:val="es-ES_tradnl"/>
        </w:rPr>
        <w:noBreakHyphen/>
        <w:t>2 500 MHz.</w:t>
      </w:r>
    </w:p>
    <w:p w:rsidR="008C6F77" w:rsidRPr="0080562B" w:rsidRDefault="008C6F77" w:rsidP="008C6F77">
      <w:pPr>
        <w:pStyle w:val="FigureNo"/>
        <w:rPr>
          <w:lang w:val="es-ES_tradnl"/>
        </w:rPr>
      </w:pPr>
      <w:r w:rsidRPr="0080562B">
        <w:rPr>
          <w:lang w:val="es-ES_tradnl"/>
        </w:rPr>
        <w:t>FigurA 3</w:t>
      </w:r>
    </w:p>
    <w:p w:rsidR="008C6F77" w:rsidRPr="0080562B" w:rsidRDefault="008C6F77" w:rsidP="008C6F77">
      <w:pPr>
        <w:pStyle w:val="Figuretitle"/>
        <w:rPr>
          <w:lang w:val="es-ES_tradnl"/>
        </w:rPr>
      </w:pPr>
      <w:r w:rsidRPr="0080562B">
        <w:rPr>
          <w:lang w:val="es-ES_tradnl"/>
        </w:rPr>
        <w:t xml:space="preserve">DFC (en %) para los enlaces del SF simulados en Senegal debida a la interferencia </w:t>
      </w:r>
      <w:r w:rsidRPr="0080562B">
        <w:rPr>
          <w:lang w:val="es-ES_tradnl"/>
        </w:rPr>
        <w:br/>
        <w:t>causada por las emisiones combinadas de los sistemas del SRDS y el SMS</w:t>
      </w:r>
    </w:p>
    <w:p w:rsidR="008C6F77" w:rsidRPr="0080562B" w:rsidRDefault="00603288" w:rsidP="008C6F77">
      <w:pPr>
        <w:pStyle w:val="Figure"/>
        <w:rPr>
          <w:lang w:val="es-ES_tradnl"/>
        </w:rPr>
      </w:pPr>
      <w:r w:rsidRPr="0080562B">
        <w:rPr>
          <w:lang w:val="es-ES_tradnl"/>
        </w:rPr>
        <w:object w:dxaOrig="5023" w:dyaOrig="3597">
          <v:shape id="_x0000_i1031" type="#_x0000_t75" style="width:419.65pt;height:302.8pt" o:ole="">
            <v:imagedata r:id="rId25" o:title=""/>
          </v:shape>
          <o:OLEObject Type="Embed" ProgID="CorelDRAW.Graphic.14" ShapeID="_x0000_i1031" DrawAspect="Content" ObjectID="_1542525633" r:id="rId26"/>
        </w:object>
      </w:r>
    </w:p>
    <w:p w:rsidR="008C6F77" w:rsidRPr="0080562B" w:rsidRDefault="008C6F77" w:rsidP="00603288">
      <w:pPr>
        <w:keepNext/>
        <w:keepLines/>
        <w:rPr>
          <w:lang w:val="es-ES_tradnl"/>
        </w:rPr>
      </w:pPr>
      <w:r w:rsidRPr="0080562B">
        <w:rPr>
          <w:lang w:val="es-ES_tradnl"/>
        </w:rPr>
        <w:lastRenderedPageBreak/>
        <w:t xml:space="preserve">En la </w:t>
      </w:r>
      <w:r w:rsidR="00CA71F1" w:rsidRPr="0080562B">
        <w:rPr>
          <w:lang w:val="es-ES_tradnl"/>
        </w:rPr>
        <w:t>Fig</w:t>
      </w:r>
      <w:r w:rsidR="00CA71F1">
        <w:rPr>
          <w:lang w:val="es-ES_tradnl"/>
        </w:rPr>
        <w:t>. </w:t>
      </w:r>
      <w:r w:rsidRPr="0080562B">
        <w:rPr>
          <w:lang w:val="es-ES_tradnl"/>
        </w:rPr>
        <w:t>4 se muestran los resultados de la simulación informática para un enlace en Kenya. La DFC para este enlace es siempre inferior al 19% en la banda de frecuencias 2 483,5</w:t>
      </w:r>
      <w:r w:rsidRPr="0080562B">
        <w:rPr>
          <w:lang w:val="es-ES_tradnl"/>
        </w:rPr>
        <w:noBreakHyphen/>
        <w:t>2 500 MHz.</w:t>
      </w:r>
    </w:p>
    <w:p w:rsidR="008C6F77" w:rsidRPr="0080562B" w:rsidRDefault="008C6F77" w:rsidP="008C6F77">
      <w:pPr>
        <w:pStyle w:val="FigureNo"/>
        <w:rPr>
          <w:lang w:val="es-ES_tradnl"/>
        </w:rPr>
      </w:pPr>
      <w:r w:rsidRPr="0080562B">
        <w:rPr>
          <w:lang w:val="es-ES_tradnl"/>
        </w:rPr>
        <w:t>FigurA 4</w:t>
      </w:r>
    </w:p>
    <w:p w:rsidR="008C6F77" w:rsidRPr="0080562B" w:rsidRDefault="008C6F77" w:rsidP="008C6F77">
      <w:pPr>
        <w:pStyle w:val="Figuretitle"/>
        <w:rPr>
          <w:lang w:val="es-ES_tradnl"/>
        </w:rPr>
      </w:pPr>
      <w:r w:rsidRPr="0080562B">
        <w:rPr>
          <w:lang w:val="es-ES_tradnl"/>
        </w:rPr>
        <w:t xml:space="preserve">DFC (en %) para los enlaces del SF simulados en Kenya debida a la interferencia </w:t>
      </w:r>
      <w:r w:rsidRPr="0080562B">
        <w:rPr>
          <w:lang w:val="es-ES_tradnl"/>
        </w:rPr>
        <w:br/>
        <w:t>causada por las emisiones combinadas de los sistemas del SRDS y el SMS</w:t>
      </w:r>
    </w:p>
    <w:p w:rsidR="008C6F77" w:rsidRPr="0080562B" w:rsidRDefault="00603288" w:rsidP="008C6F77">
      <w:pPr>
        <w:pStyle w:val="Figure"/>
        <w:rPr>
          <w:lang w:val="es-ES_tradnl"/>
        </w:rPr>
      </w:pPr>
      <w:r w:rsidRPr="0080562B">
        <w:rPr>
          <w:lang w:val="es-ES_tradnl"/>
        </w:rPr>
        <w:object w:dxaOrig="5025" w:dyaOrig="3597">
          <v:shape id="_x0000_i1032" type="#_x0000_t75" style="width:413.65pt;height:295.4pt" o:ole="">
            <v:imagedata r:id="rId27" o:title=""/>
          </v:shape>
          <o:OLEObject Type="Embed" ProgID="CorelDRAW.Graphic.14" ShapeID="_x0000_i1032" DrawAspect="Content" ObjectID="_1542525634" r:id="rId28"/>
        </w:object>
      </w:r>
    </w:p>
    <w:p w:rsidR="008C6F77" w:rsidRPr="0080562B" w:rsidRDefault="008C6F77" w:rsidP="00603288">
      <w:pPr>
        <w:keepNext/>
        <w:keepLines/>
        <w:rPr>
          <w:lang w:val="es-ES_tradnl"/>
        </w:rPr>
      </w:pPr>
      <w:r w:rsidRPr="0080562B">
        <w:rPr>
          <w:lang w:val="es-ES_tradnl"/>
        </w:rPr>
        <w:lastRenderedPageBreak/>
        <w:t xml:space="preserve">En la </w:t>
      </w:r>
      <w:r w:rsidR="00CA71F1" w:rsidRPr="0080562B">
        <w:rPr>
          <w:lang w:val="es-ES_tradnl"/>
        </w:rPr>
        <w:t>Fig</w:t>
      </w:r>
      <w:r w:rsidR="00CA71F1">
        <w:rPr>
          <w:lang w:val="es-ES_tradnl"/>
        </w:rPr>
        <w:t>. </w:t>
      </w:r>
      <w:r w:rsidRPr="0080562B">
        <w:rPr>
          <w:lang w:val="es-ES_tradnl"/>
        </w:rPr>
        <w:t>5 se muestran los resultados de la simulación informática para un enlace en Sudáfrica. La DFC para este enlace es siempre inferior al 21% en la banda de frecuencias 2 483,5</w:t>
      </w:r>
      <w:r w:rsidRPr="0080562B">
        <w:rPr>
          <w:lang w:val="es-ES_tradnl"/>
        </w:rPr>
        <w:noBreakHyphen/>
        <w:t>2 500 MHz.</w:t>
      </w:r>
    </w:p>
    <w:p w:rsidR="008C6F77" w:rsidRPr="0080562B" w:rsidRDefault="008C6F77" w:rsidP="008C6F77">
      <w:pPr>
        <w:pStyle w:val="FigureNo"/>
        <w:rPr>
          <w:lang w:val="es-ES_tradnl"/>
        </w:rPr>
      </w:pPr>
      <w:r w:rsidRPr="0080562B">
        <w:rPr>
          <w:lang w:val="es-ES_tradnl"/>
        </w:rPr>
        <w:t>FigurA 5</w:t>
      </w:r>
    </w:p>
    <w:p w:rsidR="008C6F77" w:rsidRPr="0080562B" w:rsidRDefault="008C6F77" w:rsidP="008C6F77">
      <w:pPr>
        <w:pStyle w:val="Figuretitle"/>
        <w:rPr>
          <w:lang w:val="es-ES_tradnl"/>
        </w:rPr>
      </w:pPr>
      <w:r w:rsidRPr="0080562B">
        <w:rPr>
          <w:lang w:val="es-ES_tradnl"/>
        </w:rPr>
        <w:t xml:space="preserve">DFC (en %) para los enlaces del SF simulados en Sudáfrica debida a la interferencia </w:t>
      </w:r>
      <w:r w:rsidRPr="0080562B">
        <w:rPr>
          <w:lang w:val="es-ES_tradnl"/>
        </w:rPr>
        <w:br/>
        <w:t>causada por las emisiones combinadas de los sistemas del SRDS y el SMS</w:t>
      </w:r>
    </w:p>
    <w:p w:rsidR="008C6F77" w:rsidRPr="0080562B" w:rsidRDefault="00603288" w:rsidP="008C6F77">
      <w:pPr>
        <w:pStyle w:val="Figure"/>
        <w:rPr>
          <w:lang w:val="es-ES_tradnl"/>
        </w:rPr>
      </w:pPr>
      <w:r w:rsidRPr="0080562B">
        <w:rPr>
          <w:lang w:val="es-ES_tradnl"/>
        </w:rPr>
        <w:object w:dxaOrig="5023" w:dyaOrig="3597">
          <v:shape id="_x0000_i1033" type="#_x0000_t75" style="width:416.8pt;height:298.25pt" o:ole="">
            <v:imagedata r:id="rId29" o:title=""/>
          </v:shape>
          <o:OLEObject Type="Embed" ProgID="CorelDRAW.Graphic.14" ShapeID="_x0000_i1033" DrawAspect="Content" ObjectID="_1542525635" r:id="rId30"/>
        </w:object>
      </w:r>
    </w:p>
    <w:p w:rsidR="008C6F77" w:rsidRPr="0080562B" w:rsidRDefault="008C6F77" w:rsidP="008C6F77">
      <w:pPr>
        <w:pStyle w:val="Headingb"/>
        <w:rPr>
          <w:lang w:val="es-ES_tradnl"/>
        </w:rPr>
      </w:pPr>
      <w:r w:rsidRPr="0080562B">
        <w:rPr>
          <w:lang w:val="es-ES_tradnl"/>
        </w:rPr>
        <w:t>Efecto de la elevación de la antena del servicio fijo</w:t>
      </w:r>
    </w:p>
    <w:p w:rsidR="008C6F77" w:rsidRPr="0080562B" w:rsidRDefault="008C6F77" w:rsidP="00BD197B">
      <w:pPr>
        <w:rPr>
          <w:lang w:val="es-ES_tradnl"/>
        </w:rPr>
      </w:pPr>
      <w:r w:rsidRPr="0080562B">
        <w:rPr>
          <w:lang w:val="es-ES_tradnl"/>
        </w:rPr>
        <w:t>Se realizó una segunda serie de simulaciones en las que se incluyó el efecto provocado por un ángulo de elevación de la antena de 0,5</w:t>
      </w:r>
      <w:r>
        <w:rPr>
          <w:lang w:val="es-ES_tradnl"/>
        </w:rPr>
        <w:t> </w:t>
      </w:r>
      <w:r w:rsidRPr="0080562B">
        <w:rPr>
          <w:lang w:val="es-ES_tradnl"/>
        </w:rPr>
        <w:t>grados. Se repitieron las simulaciones presentadas más arriba utilizando una elevación de la antena receptora de 0,5</w:t>
      </w:r>
      <w:r w:rsidR="00BD197B">
        <w:rPr>
          <w:lang w:val="es-ES_tradnl"/>
        </w:rPr>
        <w:t> </w:t>
      </w:r>
      <w:r w:rsidRPr="0080562B">
        <w:rPr>
          <w:lang w:val="es-ES_tradnl"/>
        </w:rPr>
        <w:t>grados. Los resultados de estas simulaciones se presentan en la Figs</w:t>
      </w:r>
      <w:r>
        <w:rPr>
          <w:lang w:val="es-ES_tradnl"/>
        </w:rPr>
        <w:t>.</w:t>
      </w:r>
      <w:r w:rsidRPr="0080562B">
        <w:rPr>
          <w:lang w:val="es-ES_tradnl"/>
        </w:rPr>
        <w:t xml:space="preserve"> 6 a 9.</w:t>
      </w:r>
    </w:p>
    <w:p w:rsidR="008C6F77" w:rsidRPr="0080562B" w:rsidRDefault="008C6F77" w:rsidP="008C6F77">
      <w:pPr>
        <w:pStyle w:val="FigureNo"/>
        <w:rPr>
          <w:lang w:val="es-ES_tradnl"/>
        </w:rPr>
      </w:pPr>
      <w:r w:rsidRPr="0080562B">
        <w:rPr>
          <w:lang w:val="es-ES_tradnl"/>
        </w:rPr>
        <w:lastRenderedPageBreak/>
        <w:t>FigurA 6</w:t>
      </w:r>
    </w:p>
    <w:p w:rsidR="008C6F77" w:rsidRPr="0080562B" w:rsidRDefault="008C6F77" w:rsidP="008C6F77">
      <w:pPr>
        <w:pStyle w:val="Figuretitle"/>
        <w:rPr>
          <w:lang w:val="es-ES_tradnl"/>
        </w:rPr>
      </w:pPr>
      <w:r w:rsidRPr="0080562B">
        <w:rPr>
          <w:lang w:val="es-ES_tradnl"/>
        </w:rPr>
        <w:t xml:space="preserve">DFC (en %) para los enlaces del SF simulados en Nigeria debida a la interferencia </w:t>
      </w:r>
      <w:r w:rsidRPr="0080562B">
        <w:rPr>
          <w:lang w:val="es-ES_tradnl"/>
        </w:rPr>
        <w:br/>
        <w:t xml:space="preserve">causada por las emisiones combinadas de los sistemas del SRDS y el SMS </w:t>
      </w:r>
      <w:r>
        <w:rPr>
          <w:lang w:val="es-ES_tradnl"/>
        </w:rPr>
        <w:br/>
      </w:r>
      <w:r w:rsidRPr="0080562B">
        <w:rPr>
          <w:lang w:val="es-ES_tradnl"/>
        </w:rPr>
        <w:t>Ángulo de elevación de la antena receptora del servicio fijo = 0,5 grados</w:t>
      </w:r>
    </w:p>
    <w:p w:rsidR="008C6F77" w:rsidRPr="0080562B" w:rsidRDefault="00603288" w:rsidP="008C6F77">
      <w:pPr>
        <w:pStyle w:val="Figure"/>
        <w:rPr>
          <w:lang w:val="es-ES_tradnl"/>
        </w:rPr>
      </w:pPr>
      <w:r w:rsidRPr="0080562B">
        <w:rPr>
          <w:lang w:val="es-ES_tradnl"/>
        </w:rPr>
        <w:object w:dxaOrig="5025" w:dyaOrig="3167">
          <v:shape id="_x0000_i1034" type="#_x0000_t75" style="width:418.25pt;height:262.95pt" o:ole="">
            <v:imagedata r:id="rId31" o:title=""/>
          </v:shape>
          <o:OLEObject Type="Embed" ProgID="CorelDRAW.Graphic.14" ShapeID="_x0000_i1034" DrawAspect="Content" ObjectID="_1542525636" r:id="rId32"/>
        </w:object>
      </w:r>
    </w:p>
    <w:p w:rsidR="008C6F77" w:rsidRPr="0080562B" w:rsidRDefault="008C6F77" w:rsidP="008C6F77">
      <w:pPr>
        <w:pStyle w:val="FigureNo"/>
        <w:rPr>
          <w:lang w:val="es-ES_tradnl"/>
        </w:rPr>
      </w:pPr>
      <w:r w:rsidRPr="0080562B">
        <w:rPr>
          <w:lang w:val="es-ES_tradnl"/>
        </w:rPr>
        <w:t>FigurA 7</w:t>
      </w:r>
    </w:p>
    <w:p w:rsidR="008C6F77" w:rsidRPr="0080562B" w:rsidRDefault="008C6F77" w:rsidP="008C6F77">
      <w:pPr>
        <w:pStyle w:val="Figuretitle"/>
        <w:rPr>
          <w:lang w:val="es-ES_tradnl"/>
        </w:rPr>
      </w:pPr>
      <w:r w:rsidRPr="0080562B">
        <w:rPr>
          <w:lang w:val="es-ES_tradnl"/>
        </w:rPr>
        <w:t xml:space="preserve">DFC (en %) para los enlaces del SF simulados en Senegal debida a la interferencia </w:t>
      </w:r>
      <w:r w:rsidRPr="0080562B">
        <w:rPr>
          <w:lang w:val="es-ES_tradnl"/>
        </w:rPr>
        <w:br/>
        <w:t xml:space="preserve">causada por las emisiones combinadas de los sistemas del SRDS y el SMS </w:t>
      </w:r>
      <w:r>
        <w:rPr>
          <w:lang w:val="es-ES_tradnl"/>
        </w:rPr>
        <w:br/>
      </w:r>
      <w:r w:rsidRPr="0080562B">
        <w:rPr>
          <w:lang w:val="es-ES_tradnl"/>
        </w:rPr>
        <w:t>Ángulo de elevación de la antena receptora del servicio fijo = 0,5 grados</w:t>
      </w:r>
    </w:p>
    <w:p w:rsidR="008C6F77" w:rsidRPr="0080562B" w:rsidRDefault="00603288" w:rsidP="008C6F77">
      <w:pPr>
        <w:pStyle w:val="Figure"/>
        <w:rPr>
          <w:lang w:val="es-ES_tradnl"/>
        </w:rPr>
      </w:pPr>
      <w:r w:rsidRPr="0080562B">
        <w:rPr>
          <w:lang w:val="es-ES_tradnl"/>
        </w:rPr>
        <w:object w:dxaOrig="5025" w:dyaOrig="3167">
          <v:shape id="_x0000_i1035" type="#_x0000_t75" style="width:416.8pt;height:260.45pt" o:ole="">
            <v:imagedata r:id="rId33" o:title=""/>
          </v:shape>
          <o:OLEObject Type="Embed" ProgID="CorelDRAW.Graphic.14" ShapeID="_x0000_i1035" DrawAspect="Content" ObjectID="_1542525637" r:id="rId34"/>
        </w:object>
      </w:r>
    </w:p>
    <w:p w:rsidR="008C6F77" w:rsidRPr="0080562B" w:rsidRDefault="008C6F77" w:rsidP="008C6F77">
      <w:pPr>
        <w:pStyle w:val="FigureNo"/>
        <w:rPr>
          <w:lang w:val="es-ES_tradnl"/>
        </w:rPr>
      </w:pPr>
      <w:r w:rsidRPr="0080562B">
        <w:rPr>
          <w:lang w:val="es-ES_tradnl"/>
        </w:rPr>
        <w:lastRenderedPageBreak/>
        <w:t>FigurA 8</w:t>
      </w:r>
    </w:p>
    <w:p w:rsidR="008C6F77" w:rsidRPr="0080562B" w:rsidRDefault="008C6F77" w:rsidP="008C6F77">
      <w:pPr>
        <w:pStyle w:val="Figuretitle"/>
        <w:rPr>
          <w:lang w:val="es-ES_tradnl"/>
        </w:rPr>
      </w:pPr>
      <w:r w:rsidRPr="0080562B">
        <w:rPr>
          <w:lang w:val="es-ES_tradnl"/>
        </w:rPr>
        <w:t xml:space="preserve">DFC (en %) para los enlaces del SF simulados en Kenya debida a la interferencia </w:t>
      </w:r>
      <w:r w:rsidRPr="0080562B">
        <w:rPr>
          <w:lang w:val="es-ES_tradnl"/>
        </w:rPr>
        <w:br/>
        <w:t xml:space="preserve">causada por las emisiones combinadas de los sistemas del SRDS y el SMS </w:t>
      </w:r>
      <w:r>
        <w:rPr>
          <w:lang w:val="es-ES_tradnl"/>
        </w:rPr>
        <w:br/>
      </w:r>
      <w:r w:rsidRPr="0080562B">
        <w:rPr>
          <w:lang w:val="es-ES_tradnl"/>
        </w:rPr>
        <w:t>Ángulo de elevación de la antena receptora del servicio fijo = 0,5 grados</w:t>
      </w:r>
    </w:p>
    <w:p w:rsidR="008C6F77" w:rsidRPr="0080562B" w:rsidRDefault="008C6F77" w:rsidP="008C6F77">
      <w:pPr>
        <w:pStyle w:val="Figure"/>
        <w:rPr>
          <w:lang w:val="es-ES_tradnl"/>
        </w:rPr>
      </w:pPr>
      <w:r w:rsidRPr="0080562B">
        <w:rPr>
          <w:lang w:val="es-ES_tradnl"/>
        </w:rPr>
        <w:object w:dxaOrig="6279" w:dyaOrig="3962">
          <v:shape id="_x0000_i1036" type="#_x0000_t75" style="width:418.6pt;height:262.6pt" o:ole="">
            <v:imagedata r:id="rId35" o:title=""/>
          </v:shape>
          <o:OLEObject Type="Embed" ProgID="CorelDRAW.Graphic.14" ShapeID="_x0000_i1036" DrawAspect="Content" ObjectID="_1542525638" r:id="rId36"/>
        </w:object>
      </w:r>
    </w:p>
    <w:p w:rsidR="008C6F77" w:rsidRPr="0080562B" w:rsidRDefault="008C6F77" w:rsidP="008C6F77">
      <w:pPr>
        <w:pStyle w:val="FigureNo"/>
        <w:rPr>
          <w:lang w:val="es-ES_tradnl"/>
        </w:rPr>
      </w:pPr>
      <w:r w:rsidRPr="0080562B">
        <w:rPr>
          <w:lang w:val="es-ES_tradnl"/>
        </w:rPr>
        <w:t>FigurA 9</w:t>
      </w:r>
    </w:p>
    <w:p w:rsidR="008C6F77" w:rsidRPr="0080562B" w:rsidRDefault="008C6F77" w:rsidP="008C6F77">
      <w:pPr>
        <w:pStyle w:val="Figuretitle"/>
        <w:rPr>
          <w:lang w:val="es-ES_tradnl"/>
        </w:rPr>
      </w:pPr>
      <w:r w:rsidRPr="0080562B">
        <w:rPr>
          <w:lang w:val="es-ES_tradnl"/>
        </w:rPr>
        <w:t xml:space="preserve">DFC (en %) para los enlaces del SF simulados en Sudáfrica debida a la interferencia </w:t>
      </w:r>
      <w:r w:rsidRPr="0080562B">
        <w:rPr>
          <w:lang w:val="es-ES_tradnl"/>
        </w:rPr>
        <w:br/>
        <w:t xml:space="preserve">causada por las emisiones combinadas de los sistemas del SRDS y el SMS </w:t>
      </w:r>
      <w:r>
        <w:rPr>
          <w:lang w:val="es-ES_tradnl"/>
        </w:rPr>
        <w:br/>
      </w:r>
      <w:r w:rsidRPr="0080562B">
        <w:rPr>
          <w:lang w:val="es-ES_tradnl"/>
        </w:rPr>
        <w:t>Ángulo de elevación de la antena receptora del servicio fijo = 0,5 grados</w:t>
      </w:r>
    </w:p>
    <w:p w:rsidR="008C6F77" w:rsidRPr="0080562B" w:rsidRDefault="008C6F77" w:rsidP="008C6F77">
      <w:pPr>
        <w:pStyle w:val="Figure"/>
        <w:rPr>
          <w:lang w:val="es-ES_tradnl"/>
        </w:rPr>
      </w:pPr>
      <w:r w:rsidRPr="0080562B">
        <w:rPr>
          <w:lang w:val="es-ES_tradnl"/>
        </w:rPr>
        <w:object w:dxaOrig="6281" w:dyaOrig="4098">
          <v:shape id="_x0000_i1037" type="#_x0000_t75" style="width:422.8pt;height:275.3pt" o:ole="">
            <v:imagedata r:id="rId37" o:title=""/>
          </v:shape>
          <o:OLEObject Type="Embed" ProgID="CorelDRAW.Graphic.14" ShapeID="_x0000_i1037" DrawAspect="Content" ObjectID="_1542525639" r:id="rId38"/>
        </w:object>
      </w:r>
    </w:p>
    <w:p w:rsidR="008C6F77" w:rsidRDefault="008C6F77" w:rsidP="00DA18A7">
      <w:pPr>
        <w:spacing w:before="0"/>
      </w:pPr>
    </w:p>
    <w:p w:rsidR="008C6F77" w:rsidRDefault="008C6F77" w:rsidP="008C6F77">
      <w:pPr>
        <w:jc w:val="center"/>
      </w:pPr>
      <w:r>
        <w:t>______________</w:t>
      </w:r>
    </w:p>
    <w:sectPr w:rsidR="008C6F77" w:rsidSect="008C6F77">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5F9" w:rsidRDefault="00E415F9">
      <w:r>
        <w:separator/>
      </w:r>
    </w:p>
  </w:endnote>
  <w:endnote w:type="continuationSeparator" w:id="0">
    <w:p w:rsidR="00E415F9" w:rsidRDefault="00E4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5F9" w:rsidRDefault="00E415F9">
      <w:r>
        <w:separator/>
      </w:r>
    </w:p>
  </w:footnote>
  <w:footnote w:type="continuationSeparator" w:id="0">
    <w:p w:rsidR="00E415F9" w:rsidRDefault="00E415F9">
      <w:r>
        <w:continuationSeparator/>
      </w:r>
    </w:p>
  </w:footnote>
  <w:footnote w:id="1">
    <w:p w:rsidR="00E415F9" w:rsidRPr="00482323" w:rsidRDefault="00E415F9" w:rsidP="008C6F77">
      <w:pPr>
        <w:pStyle w:val="FootnoteText"/>
        <w:rPr>
          <w:lang w:val="es-ES_tradnl"/>
        </w:rPr>
      </w:pPr>
      <w:r>
        <w:rPr>
          <w:rStyle w:val="FootnoteReference"/>
        </w:rPr>
        <w:footnoteRef/>
      </w:r>
      <w:r w:rsidRPr="00482323">
        <w:rPr>
          <w:lang w:val="es-ES_tradnl"/>
        </w:rPr>
        <w:tab/>
        <w:t>Texto adaptado de la Recomendación UIT-R M.1143.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rsidP="00CA71F1">
    <w:pPr>
      <w:ind w:right="360" w:firstLine="360"/>
    </w:pPr>
    <w:r>
      <w:rPr>
        <w:noProof/>
        <w:lang w:val="es-ES_tradnl" w:eastAsia="zh-CN"/>
      </w:rPr>
      <w:drawing>
        <wp:anchor distT="0" distB="0" distL="114300" distR="114300" simplePos="0" relativeHeight="251657216" behindDoc="1" locked="0" layoutInCell="1" allowOverlap="1" wp14:anchorId="1FFE5C86" wp14:editId="7C30513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rsidP="00CA71F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F1BD9">
      <w:rPr>
        <w:rStyle w:val="PageNumber"/>
        <w:b/>
        <w:bCs/>
        <w:noProof/>
      </w:rPr>
      <w:t>ii</w:t>
    </w:r>
    <w:r>
      <w:rPr>
        <w:rStyle w:val="PageNumber"/>
        <w:b/>
        <w:bCs/>
      </w:rPr>
      <w:fldChar w:fldCharType="end"/>
    </w:r>
    <w:r>
      <w:tab/>
    </w:r>
    <w:r w:rsidR="00AF1BD9">
      <w:fldChar w:fldCharType="begin"/>
    </w:r>
    <w:r w:rsidR="00AF1BD9">
      <w:instrText xml:space="preserve"> DOCPROPERTY "Header" \* MERGEFORMAT </w:instrText>
    </w:r>
    <w:r w:rsidR="00AF1BD9">
      <w:fldChar w:fldCharType="separate"/>
    </w:r>
    <w:r w:rsidR="00AF1BD9" w:rsidRPr="00AF1BD9">
      <w:rPr>
        <w:b/>
        <w:bCs/>
      </w:rPr>
      <w:t xml:space="preserve">Rec. </w:t>
    </w:r>
    <w:r w:rsidR="00AF1BD9">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F1BD9">
      <w:rPr>
        <w:b/>
        <w:bCs/>
        <w:noProof/>
      </w:rPr>
      <w:t>UIT-R  M.2082-0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r>
      <w:tab/>
    </w:r>
    <w:r w:rsidR="00AF1BD9">
      <w:fldChar w:fldCharType="begin"/>
    </w:r>
    <w:r w:rsidR="00AF1BD9">
      <w:instrText xml:space="preserve"> DOCPROPERTY "Header" \* MERGEFORMAT </w:instrText>
    </w:r>
    <w:r w:rsidR="00AF1BD9">
      <w:fldChar w:fldCharType="separate"/>
    </w:r>
    <w:r w:rsidR="00AF1BD9" w:rsidRPr="00AF1BD9">
      <w:rPr>
        <w:b/>
        <w:bCs/>
      </w:rPr>
      <w:t xml:space="preserve">Rec. </w:t>
    </w:r>
    <w:r w:rsidR="00AF1BD9">
      <w:rPr>
        <w:b/>
        <w:bCs/>
      </w:rPr>
      <w:fldChar w:fldCharType="end"/>
    </w:r>
    <w:r>
      <w:rPr>
        <w:b/>
        <w:bCs/>
      </w:rPr>
      <w:t xml:space="preserve"> </w:t>
    </w:r>
    <w:r>
      <w:rPr>
        <w:b/>
        <w:bCs/>
      </w:rPr>
      <w:fldChar w:fldCharType="begin"/>
    </w:r>
    <w:r>
      <w:rPr>
        <w:b/>
        <w:bCs/>
      </w:rPr>
      <w:instrText>styleref href</w:instrText>
    </w:r>
    <w:r>
      <w:rPr>
        <w:b/>
        <w:bCs/>
      </w:rPr>
      <w:fldChar w:fldCharType="separate"/>
    </w:r>
    <w:r w:rsidR="00AF1BD9">
      <w:rPr>
        <w:b/>
        <w:bCs/>
        <w:noProof/>
      </w:rPr>
      <w:t>UIT-R  M.2082-0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1BD9">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F1BD9" w:rsidRPr="00AF1BD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F1BD9">
      <w:rPr>
        <w:b/>
        <w:bCs/>
        <w:noProof/>
      </w:rPr>
      <w:t>UIT-R  M.2082-0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5F9" w:rsidRDefault="00E415F9">
    <w:pPr>
      <w:pStyle w:val="Header"/>
    </w:pPr>
    <w:r>
      <w:tab/>
    </w:r>
    <w:r w:rsidR="00AF1BD9">
      <w:fldChar w:fldCharType="begin"/>
    </w:r>
    <w:r w:rsidR="00AF1BD9">
      <w:instrText xml:space="preserve"> DOCPROPERTY "Header" \* MERGEFORMAT </w:instrText>
    </w:r>
    <w:r w:rsidR="00AF1BD9">
      <w:fldChar w:fldCharType="separate"/>
    </w:r>
    <w:r w:rsidR="00AF1BD9" w:rsidRPr="00AF1BD9">
      <w:rPr>
        <w:b/>
        <w:bCs/>
      </w:rPr>
      <w:t xml:space="preserve">Rec. </w:t>
    </w:r>
    <w:r w:rsidR="00AF1BD9">
      <w:rPr>
        <w:b/>
        <w:bCs/>
      </w:rPr>
      <w:fldChar w:fldCharType="end"/>
    </w:r>
    <w:r>
      <w:rPr>
        <w:b/>
        <w:bCs/>
      </w:rPr>
      <w:t xml:space="preserve"> </w:t>
    </w:r>
    <w:r>
      <w:rPr>
        <w:b/>
        <w:bCs/>
      </w:rPr>
      <w:fldChar w:fldCharType="begin"/>
    </w:r>
    <w:r>
      <w:rPr>
        <w:b/>
        <w:bCs/>
      </w:rPr>
      <w:instrText>styleref href</w:instrText>
    </w:r>
    <w:r>
      <w:rPr>
        <w:b/>
        <w:bCs/>
      </w:rPr>
      <w:fldChar w:fldCharType="separate"/>
    </w:r>
    <w:r w:rsidR="00AF1BD9">
      <w:rPr>
        <w:b/>
        <w:bCs/>
        <w:noProof/>
      </w:rPr>
      <w:t>UIT-R  M.2082-0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1BD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8C28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E897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E016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9425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2C28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C46D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DA4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2CCB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B092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628EF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F77"/>
    <w:rsid w:val="000400A7"/>
    <w:rsid w:val="00217EBF"/>
    <w:rsid w:val="00242AEE"/>
    <w:rsid w:val="002D76C4"/>
    <w:rsid w:val="003354B5"/>
    <w:rsid w:val="004C285B"/>
    <w:rsid w:val="0052529D"/>
    <w:rsid w:val="00603288"/>
    <w:rsid w:val="00607D68"/>
    <w:rsid w:val="00664B48"/>
    <w:rsid w:val="006758F4"/>
    <w:rsid w:val="006B3C36"/>
    <w:rsid w:val="007468DA"/>
    <w:rsid w:val="008C6F77"/>
    <w:rsid w:val="00913085"/>
    <w:rsid w:val="009D3ADE"/>
    <w:rsid w:val="009E00A8"/>
    <w:rsid w:val="00A6617B"/>
    <w:rsid w:val="00A738AF"/>
    <w:rsid w:val="00AB0DC8"/>
    <w:rsid w:val="00AD11F7"/>
    <w:rsid w:val="00AF1BD9"/>
    <w:rsid w:val="00B35235"/>
    <w:rsid w:val="00B44E24"/>
    <w:rsid w:val="00B7305F"/>
    <w:rsid w:val="00B82203"/>
    <w:rsid w:val="00BD197B"/>
    <w:rsid w:val="00CA71F1"/>
    <w:rsid w:val="00D01364"/>
    <w:rsid w:val="00D54295"/>
    <w:rsid w:val="00DA18A7"/>
    <w:rsid w:val="00DF4176"/>
    <w:rsid w:val="00DF5C1E"/>
    <w:rsid w:val="00E415F9"/>
    <w:rsid w:val="00E5451F"/>
    <w:rsid w:val="00E56A5D"/>
    <w:rsid w:val="00E92891"/>
    <w:rsid w:val="00F04860"/>
    <w:rsid w:val="00F212B4"/>
    <w:rsid w:val="00F75BEF"/>
    <w:rsid w:val="00F96C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A24B3510-A91B-444F-A888-786ADC36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F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8C6F7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8C6F77"/>
    <w:rPr>
      <w:b/>
      <w:sz w:val="22"/>
      <w:lang w:val="fr-FR" w:eastAsia="en-US"/>
    </w:rPr>
  </w:style>
  <w:style w:type="character" w:customStyle="1" w:styleId="TabletextChar">
    <w:name w:val="Table_text Char"/>
    <w:basedOn w:val="DefaultParagraphFont"/>
    <w:link w:val="Tabletext"/>
    <w:locked/>
    <w:rsid w:val="008C6F77"/>
    <w:rPr>
      <w:sz w:val="22"/>
      <w:lang w:val="fr-FR" w:eastAsia="en-US"/>
    </w:rPr>
  </w:style>
  <w:style w:type="character" w:customStyle="1" w:styleId="Heading1Char">
    <w:name w:val="Heading 1 Char"/>
    <w:basedOn w:val="DefaultParagraphFont"/>
    <w:link w:val="Heading1"/>
    <w:rsid w:val="008C6F77"/>
    <w:rPr>
      <w:b/>
      <w:sz w:val="24"/>
      <w:lang w:val="fr-FR" w:eastAsia="en-US"/>
    </w:rPr>
  </w:style>
  <w:style w:type="character" w:customStyle="1" w:styleId="HeadingbChar">
    <w:name w:val="Heading_b Char"/>
    <w:basedOn w:val="DefaultParagraphFont"/>
    <w:link w:val="Headingb"/>
    <w:locked/>
    <w:rsid w:val="008C6F77"/>
    <w:rPr>
      <w:b/>
      <w:sz w:val="24"/>
      <w:lang w:val="fr-FR" w:eastAsia="en-US"/>
    </w:rPr>
  </w:style>
  <w:style w:type="character" w:customStyle="1" w:styleId="TableNo0">
    <w:name w:val="Table_No Знак"/>
    <w:link w:val="TableNo"/>
    <w:locked/>
    <w:rsid w:val="008C6F77"/>
    <w:rPr>
      <w:sz w:val="24"/>
      <w:lang w:val="fr-FR" w:eastAsia="en-US"/>
    </w:rPr>
  </w:style>
  <w:style w:type="character" w:customStyle="1" w:styleId="Tabletitle0">
    <w:name w:val="Table_title Знак"/>
    <w:link w:val="Tabletitle"/>
    <w:locked/>
    <w:rsid w:val="008C6F77"/>
    <w:rPr>
      <w:b/>
      <w:sz w:val="24"/>
      <w:lang w:val="fr-FR" w:eastAsia="en-US"/>
    </w:rPr>
  </w:style>
  <w:style w:type="character" w:customStyle="1" w:styleId="FootnoteTextChar">
    <w:name w:val="Footnote Text Char"/>
    <w:basedOn w:val="DefaultParagraphFont"/>
    <w:link w:val="FootnoteText"/>
    <w:rsid w:val="008C6F77"/>
    <w:rPr>
      <w:sz w:val="22"/>
      <w:lang w:val="fr-FR" w:eastAsia="en-US"/>
    </w:rPr>
  </w:style>
  <w:style w:type="character" w:styleId="Hyperlink">
    <w:name w:val="Hyperlink"/>
    <w:basedOn w:val="DefaultParagraphFont"/>
    <w:uiPriority w:val="99"/>
    <w:rsid w:val="008C6F77"/>
    <w:rPr>
      <w:color w:val="0000FF"/>
      <w:u w:val="single"/>
    </w:rPr>
  </w:style>
  <w:style w:type="character" w:customStyle="1" w:styleId="HeaderChar">
    <w:name w:val="Header Char"/>
    <w:basedOn w:val="DefaultParagraphFont"/>
    <w:link w:val="Header"/>
    <w:rsid w:val="008C6F7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288</TotalTime>
  <Pages>17</Pages>
  <Words>4253</Words>
  <Characters>21397</Characters>
  <Application>Microsoft Office Word</Application>
  <DocSecurity>0</DocSecurity>
  <Lines>668</Lines>
  <Paragraphs>98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Template BR_Rec_2005.dot</vt:lpstr>
      <vt:lpstr>Política sobre Derechos de Propiedad Intelectual (IPR)</vt:lpstr>
      <vt:lpstr>1	Alcance</vt:lpstr>
      <vt:lpstr>2	Metodología </vt:lpstr>
      <vt:lpstr>    2.1	Bucle de cálculo</vt:lpstr>
      <vt:lpstr>    2.2	Tamaño y número de etapas en el bucle de cálculo</vt:lpstr>
      <vt:lpstr>        2.2.1	Incremento de tiempo</vt:lpstr>
      <vt:lpstr>    2.3	Criterios de interferencia aplicables – Sistema digital del SF</vt:lpstr>
      <vt:lpstr>1	Características de los sistemas del SMS, el SRDS y el SF</vt:lpstr>
      <vt:lpstr>    1.1	Características de los sistemas del SMS en la banda 2 483,5-2 500 MHz</vt:lpstr>
      <vt:lpstr>    1.2	Características del sistema del SRDS supuesto</vt:lpstr>
      <vt:lpstr>    1.3	Características del servicio fijo punto a punto</vt:lpstr>
      <vt:lpstr>2	Determinación de los niveles de interferencia en los sistemas del SF</vt:lpstr>
      <vt:lpstr>    2.1	Simulación de interferencia al servicio fijo punto a punto</vt:lpstr>
    </vt:vector>
  </TitlesOfParts>
  <Manager/>
  <Company>ITU</Company>
  <LinksUpToDate>false</LinksUpToDate>
  <CharactersWithSpaces>25552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25</cp:revision>
  <cp:lastPrinted>2016-12-06T09:21:00Z</cp:lastPrinted>
  <dcterms:created xsi:type="dcterms:W3CDTF">2016-12-05T09:12:00Z</dcterms:created>
  <dcterms:modified xsi:type="dcterms:W3CDTF">2016-12-06T09:30:00Z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