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07C" w:rsidRDefault="0045707C" w:rsidP="0045707C">
      <w:bookmarkStart w:id="0" w:name="_GoBack"/>
      <w:bookmarkEnd w:id="0"/>
    </w:p>
    <w:p w:rsidR="0045707C" w:rsidRDefault="0045707C" w:rsidP="0045707C"/>
    <w:p w:rsidR="0045707C" w:rsidRDefault="0045707C" w:rsidP="0045707C"/>
    <w:p w:rsidR="0045707C" w:rsidRDefault="0045707C" w:rsidP="0045707C"/>
    <w:p w:rsidR="0045707C" w:rsidRDefault="0045707C" w:rsidP="0045707C"/>
    <w:p w:rsidR="0045707C" w:rsidRDefault="0045707C" w:rsidP="0045707C"/>
    <w:p w:rsidR="0045707C" w:rsidRDefault="0045707C" w:rsidP="0045707C"/>
    <w:p w:rsidR="0045707C" w:rsidRDefault="0045707C" w:rsidP="0045707C"/>
    <w:p w:rsidR="0045707C" w:rsidRDefault="0045707C" w:rsidP="0045707C"/>
    <w:tbl>
      <w:tblPr>
        <w:tblW w:w="10089" w:type="dxa"/>
        <w:tblLook w:val="01E0" w:firstRow="1" w:lastRow="1" w:firstColumn="1" w:lastColumn="1" w:noHBand="0" w:noVBand="0"/>
      </w:tblPr>
      <w:tblGrid>
        <w:gridCol w:w="10089"/>
      </w:tblGrid>
      <w:tr w:rsidR="0045707C" w:rsidRPr="00A443C2" w:rsidTr="00DA0E34">
        <w:tc>
          <w:tcPr>
            <w:tcW w:w="10089" w:type="dxa"/>
          </w:tcPr>
          <w:p w:rsidR="0045707C" w:rsidRPr="00B033C8" w:rsidRDefault="0045707C" w:rsidP="00DA0E34">
            <w:pPr>
              <w:spacing w:before="380" w:line="280" w:lineRule="exact"/>
              <w:jc w:val="right"/>
              <w:rPr>
                <w:rFonts w:ascii="Tahoma" w:hAnsi="Tahoma" w:cs="Tahoma"/>
                <w:b/>
                <w:bCs/>
                <w:iCs/>
                <w:color w:val="243285"/>
                <w:sz w:val="32"/>
                <w:szCs w:val="32"/>
                <w:lang w:val="en-US"/>
              </w:rPr>
            </w:pPr>
          </w:p>
          <w:p w:rsidR="0045707C" w:rsidRPr="00A443C2" w:rsidRDefault="0045707C" w:rsidP="006037F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6037FF">
              <w:rPr>
                <w:rFonts w:ascii="Tahoma" w:hAnsi="Tahoma" w:cs="Tahoma"/>
                <w:b/>
                <w:bCs/>
                <w:iCs/>
                <w:color w:val="243285"/>
                <w:sz w:val="36"/>
                <w:szCs w:val="36"/>
              </w:rPr>
              <w:t>2082-0</w:t>
            </w:r>
          </w:p>
          <w:p w:rsidR="0045707C" w:rsidRPr="00A443C2" w:rsidRDefault="0045707C" w:rsidP="006037F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037FF">
              <w:rPr>
                <w:rFonts w:ascii="Tahoma" w:hAnsi="Tahoma" w:cs="Tahoma"/>
                <w:b/>
                <w:bCs/>
                <w:iCs/>
                <w:color w:val="243285"/>
                <w:szCs w:val="24"/>
              </w:rPr>
              <w:t>11</w:t>
            </w:r>
            <w:r>
              <w:rPr>
                <w:rFonts w:ascii="Tahoma" w:hAnsi="Tahoma" w:cs="Tahoma"/>
                <w:b/>
                <w:bCs/>
                <w:iCs/>
                <w:color w:val="243285"/>
                <w:szCs w:val="24"/>
              </w:rPr>
              <w:t>/</w:t>
            </w:r>
            <w:r w:rsidR="006037FF">
              <w:rPr>
                <w:rFonts w:ascii="Tahoma" w:hAnsi="Tahoma" w:cs="Tahoma"/>
                <w:b/>
                <w:bCs/>
                <w:iCs/>
                <w:color w:val="243285"/>
                <w:szCs w:val="24"/>
              </w:rPr>
              <w:t>2015</w:t>
            </w:r>
            <w:r w:rsidRPr="00A443C2">
              <w:rPr>
                <w:rFonts w:ascii="Tahoma" w:hAnsi="Tahoma" w:cs="Tahoma"/>
                <w:b/>
                <w:bCs/>
                <w:iCs/>
                <w:color w:val="243285"/>
                <w:szCs w:val="24"/>
              </w:rPr>
              <w:t>)</w:t>
            </w:r>
          </w:p>
        </w:tc>
      </w:tr>
      <w:tr w:rsidR="0045707C" w:rsidRPr="00F54FBD" w:rsidTr="00DA0E34">
        <w:trPr>
          <w:trHeight w:val="4629"/>
        </w:trPr>
        <w:tc>
          <w:tcPr>
            <w:tcW w:w="10089" w:type="dxa"/>
          </w:tcPr>
          <w:p w:rsidR="0045707C" w:rsidRDefault="0045707C" w:rsidP="00DA0E34">
            <w:pPr>
              <w:spacing w:before="80" w:line="500" w:lineRule="exact"/>
              <w:jc w:val="right"/>
              <w:rPr>
                <w:rFonts w:ascii="Tahoma" w:hAnsi="Tahoma" w:cs="Tahoma"/>
                <w:b/>
                <w:bCs/>
                <w:iCs/>
                <w:color w:val="243285"/>
                <w:sz w:val="44"/>
                <w:szCs w:val="44"/>
              </w:rPr>
            </w:pPr>
          </w:p>
          <w:p w:rsidR="0045707C" w:rsidRDefault="001D36AA" w:rsidP="001D36AA">
            <w:pPr>
              <w:spacing w:before="80" w:line="500" w:lineRule="exact"/>
              <w:jc w:val="right"/>
              <w:rPr>
                <w:rFonts w:ascii="Tahoma" w:hAnsi="Tahoma" w:cs="Tahoma"/>
                <w:b/>
                <w:bCs/>
                <w:iCs/>
                <w:color w:val="243285"/>
                <w:sz w:val="44"/>
                <w:szCs w:val="44"/>
              </w:rPr>
            </w:pPr>
            <w:bookmarkStart w:id="1" w:name="dtitle2" w:colFirst="0" w:colLast="0"/>
            <w:r w:rsidRPr="001D36AA">
              <w:rPr>
                <w:rFonts w:ascii="Tahoma" w:hAnsi="Tahoma" w:cs="Tahoma"/>
                <w:b/>
                <w:bCs/>
                <w:color w:val="1F497D" w:themeColor="text2"/>
                <w:sz w:val="44"/>
                <w:szCs w:val="44"/>
              </w:rPr>
              <w:t>Méthode et exemple technique pour faciliter la coordination du service mobile par satellite et du service de radiorepérage par satellite avec le service fixe sur la base des niveaux de puissance surfacique déclenchant la coordination dans la bande 2 483,5-2 500 MHz</w:t>
            </w:r>
            <w:bookmarkEnd w:id="1"/>
          </w:p>
          <w:p w:rsidR="0045707C" w:rsidRPr="00F54FBD" w:rsidRDefault="0045707C" w:rsidP="00DA0E34">
            <w:pPr>
              <w:spacing w:before="80" w:line="500" w:lineRule="exact"/>
              <w:jc w:val="right"/>
              <w:rPr>
                <w:rFonts w:ascii="Tahoma" w:hAnsi="Tahoma" w:cs="Tahoma"/>
                <w:b/>
                <w:bCs/>
                <w:iCs/>
                <w:color w:val="243285"/>
                <w:sz w:val="44"/>
                <w:szCs w:val="44"/>
              </w:rPr>
            </w:pPr>
          </w:p>
        </w:tc>
      </w:tr>
      <w:tr w:rsidR="0045707C" w:rsidRPr="00F54FBD" w:rsidTr="00DA0E34">
        <w:tc>
          <w:tcPr>
            <w:tcW w:w="10089" w:type="dxa"/>
          </w:tcPr>
          <w:p w:rsidR="0045707C" w:rsidRPr="00F54FBD" w:rsidRDefault="0045707C" w:rsidP="00DA0E34">
            <w:pPr>
              <w:spacing w:before="80" w:line="280" w:lineRule="exact"/>
              <w:ind w:right="640"/>
              <w:rPr>
                <w:rFonts w:ascii="Tahoma" w:hAnsi="Tahoma" w:cs="Tahoma"/>
                <w:b/>
                <w:bCs/>
                <w:iCs/>
                <w:color w:val="243285"/>
                <w:sz w:val="32"/>
                <w:szCs w:val="32"/>
              </w:rPr>
            </w:pPr>
          </w:p>
          <w:p w:rsidR="0045707C" w:rsidRPr="00F54FBD" w:rsidRDefault="0045707C" w:rsidP="00DA0E34">
            <w:pPr>
              <w:spacing w:before="80" w:line="280" w:lineRule="exact"/>
              <w:ind w:right="640"/>
              <w:rPr>
                <w:rFonts w:ascii="Tahoma" w:hAnsi="Tahoma" w:cs="Tahoma"/>
                <w:b/>
                <w:bCs/>
                <w:iCs/>
                <w:color w:val="243285"/>
                <w:sz w:val="32"/>
                <w:szCs w:val="32"/>
              </w:rPr>
            </w:pPr>
          </w:p>
          <w:p w:rsidR="0045707C" w:rsidRPr="00F54FBD" w:rsidRDefault="0045707C" w:rsidP="00DA0E34">
            <w:pPr>
              <w:spacing w:before="80" w:after="180" w:line="360" w:lineRule="exact"/>
              <w:ind w:right="720"/>
              <w:rPr>
                <w:rFonts w:ascii="Tahoma" w:hAnsi="Tahoma" w:cs="Tahoma"/>
                <w:b/>
                <w:bCs/>
                <w:iCs/>
                <w:color w:val="243285"/>
                <w:sz w:val="36"/>
                <w:szCs w:val="36"/>
              </w:rPr>
            </w:pPr>
          </w:p>
          <w:p w:rsidR="0045707C" w:rsidRPr="00F54FBD" w:rsidRDefault="0045707C" w:rsidP="00DA0E3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5707C" w:rsidRPr="00F54FBD" w:rsidRDefault="0045707C" w:rsidP="00DA0E3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5707C" w:rsidRPr="00F54FBD" w:rsidRDefault="0045707C" w:rsidP="0045707C">
      <w:pPr>
        <w:spacing w:before="80"/>
        <w:rPr>
          <w:i/>
          <w:sz w:val="22"/>
        </w:rPr>
      </w:pPr>
    </w:p>
    <w:p w:rsidR="0045707C" w:rsidRPr="00F54FBD" w:rsidRDefault="0045707C" w:rsidP="0045707C">
      <w:pPr>
        <w:spacing w:before="80"/>
        <w:rPr>
          <w:i/>
          <w:sz w:val="22"/>
        </w:rPr>
      </w:pPr>
    </w:p>
    <w:p w:rsidR="0045707C" w:rsidRPr="00F54FBD" w:rsidRDefault="0045707C" w:rsidP="0045707C">
      <w:pPr>
        <w:spacing w:before="80"/>
        <w:rPr>
          <w:i/>
          <w:sz w:val="22"/>
        </w:rPr>
      </w:pPr>
    </w:p>
    <w:p w:rsidR="0045707C" w:rsidRPr="00F54FBD" w:rsidRDefault="0045707C" w:rsidP="0045707C">
      <w:pPr>
        <w:spacing w:before="80"/>
        <w:rPr>
          <w:i/>
          <w:sz w:val="22"/>
        </w:rPr>
      </w:pPr>
    </w:p>
    <w:p w:rsidR="0045707C" w:rsidRPr="00F54FBD" w:rsidRDefault="0045707C" w:rsidP="0045707C">
      <w:pPr>
        <w:pStyle w:val="Equation"/>
        <w:tabs>
          <w:tab w:val="clear" w:pos="4820"/>
          <w:tab w:val="clear" w:pos="9639"/>
          <w:tab w:val="left" w:pos="1191"/>
          <w:tab w:val="left" w:pos="1588"/>
          <w:tab w:val="left" w:pos="1985"/>
        </w:tabs>
        <w:rPr>
          <w:rFonts w:ascii="Palatino Linotype" w:hAnsi="Palatino Linotype"/>
        </w:rPr>
        <w:sectPr w:rsidR="0045707C" w:rsidRPr="00F54FBD">
          <w:headerReference w:type="even" r:id="rId6"/>
          <w:headerReference w:type="default" r:id="rId7"/>
          <w:pgSz w:w="11907" w:h="16840" w:code="9"/>
          <w:pgMar w:top="1089" w:right="1089" w:bottom="284" w:left="1089" w:header="567" w:footer="284" w:gutter="0"/>
          <w:pgNumType w:start="1"/>
          <w:cols w:space="720"/>
        </w:sectPr>
      </w:pPr>
    </w:p>
    <w:p w:rsidR="0045707C" w:rsidRPr="00F54FBD" w:rsidRDefault="0045707C" w:rsidP="004570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45707C" w:rsidRPr="00F54FBD" w:rsidRDefault="0045707C" w:rsidP="0045707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5707C" w:rsidRPr="00F54FBD" w:rsidRDefault="0045707C" w:rsidP="0045707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5707C" w:rsidRPr="00E44CBB" w:rsidRDefault="0045707C" w:rsidP="0045707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5707C" w:rsidRPr="00E44CBB" w:rsidRDefault="0045707C" w:rsidP="0045707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5707C" w:rsidRPr="00C95B6F" w:rsidRDefault="0045707C" w:rsidP="0045707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5707C" w:rsidRPr="009454F8" w:rsidTr="00DA0E34">
        <w:tc>
          <w:tcPr>
            <w:tcW w:w="9360" w:type="dxa"/>
            <w:gridSpan w:val="2"/>
          </w:tcPr>
          <w:p w:rsidR="0045707C" w:rsidRPr="009454F8" w:rsidRDefault="0045707C" w:rsidP="00DA0E3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5707C" w:rsidRPr="009454F8"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5707C" w:rsidRPr="00036EE3" w:rsidTr="00DA0E34">
        <w:tc>
          <w:tcPr>
            <w:tcW w:w="1140" w:type="dxa"/>
          </w:tcPr>
          <w:p w:rsidR="0045707C" w:rsidRPr="00614CC6" w:rsidRDefault="0045707C" w:rsidP="00DA0E34">
            <w:pPr>
              <w:spacing w:before="90" w:after="100"/>
              <w:ind w:left="57"/>
              <w:rPr>
                <w:b/>
                <w:bCs/>
                <w:sz w:val="20"/>
                <w:lang w:val="en-US"/>
              </w:rPr>
            </w:pPr>
            <w:r w:rsidRPr="00614CC6">
              <w:rPr>
                <w:b/>
                <w:bCs/>
                <w:sz w:val="20"/>
                <w:lang w:val="en-US"/>
              </w:rPr>
              <w:t>Séries</w:t>
            </w:r>
          </w:p>
        </w:tc>
        <w:tc>
          <w:tcPr>
            <w:tcW w:w="8220" w:type="dxa"/>
          </w:tcPr>
          <w:p w:rsidR="0045707C" w:rsidRPr="00614CC6"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BO</w:t>
            </w:r>
          </w:p>
        </w:tc>
        <w:tc>
          <w:tcPr>
            <w:tcW w:w="8220" w:type="dxa"/>
          </w:tcPr>
          <w:p w:rsidR="0045707C" w:rsidRPr="00614CC6"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5707C" w:rsidRPr="009454F8"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BR</w:t>
            </w:r>
          </w:p>
        </w:tc>
        <w:tc>
          <w:tcPr>
            <w:tcW w:w="8220" w:type="dxa"/>
          </w:tcPr>
          <w:p w:rsidR="0045707C" w:rsidRPr="00614CC6"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BS</w:t>
            </w:r>
          </w:p>
        </w:tc>
        <w:tc>
          <w:tcPr>
            <w:tcW w:w="8220" w:type="dxa"/>
          </w:tcPr>
          <w:p w:rsidR="0045707C" w:rsidRPr="00614CC6"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5707C" w:rsidRPr="00ED2695" w:rsidTr="00DA0E34">
        <w:tc>
          <w:tcPr>
            <w:tcW w:w="1140" w:type="dxa"/>
            <w:shd w:val="clear" w:color="auto" w:fill="auto"/>
          </w:tcPr>
          <w:p w:rsidR="0045707C" w:rsidRPr="00614CC6" w:rsidRDefault="0045707C" w:rsidP="00DA0E34">
            <w:pPr>
              <w:spacing w:before="30" w:after="30"/>
              <w:ind w:left="57"/>
              <w:jc w:val="left"/>
              <w:rPr>
                <w:b/>
                <w:bCs/>
                <w:sz w:val="20"/>
                <w:lang w:val="en-US"/>
              </w:rPr>
            </w:pPr>
            <w:r w:rsidRPr="00614CC6">
              <w:rPr>
                <w:b/>
                <w:bCs/>
                <w:sz w:val="20"/>
                <w:lang w:val="en-US"/>
              </w:rPr>
              <w:t>BT</w:t>
            </w:r>
          </w:p>
        </w:tc>
        <w:tc>
          <w:tcPr>
            <w:tcW w:w="8220" w:type="dxa"/>
            <w:shd w:val="clear" w:color="auto" w:fill="auto"/>
          </w:tcPr>
          <w:p w:rsidR="0045707C" w:rsidRPr="00614CC6"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5707C" w:rsidRPr="00036EE3" w:rsidTr="00DA0E34">
        <w:tc>
          <w:tcPr>
            <w:tcW w:w="1140" w:type="dxa"/>
            <w:shd w:val="clear" w:color="auto" w:fill="auto"/>
          </w:tcPr>
          <w:p w:rsidR="0045707C" w:rsidRPr="00614CC6" w:rsidRDefault="0045707C" w:rsidP="00DA0E34">
            <w:pPr>
              <w:spacing w:before="30" w:after="30"/>
              <w:ind w:left="57"/>
              <w:jc w:val="left"/>
              <w:rPr>
                <w:b/>
                <w:bCs/>
                <w:sz w:val="20"/>
                <w:lang w:val="fr-CH"/>
              </w:rPr>
            </w:pPr>
            <w:r w:rsidRPr="00614CC6">
              <w:rPr>
                <w:b/>
                <w:bCs/>
                <w:sz w:val="20"/>
                <w:lang w:val="fr-CH"/>
              </w:rPr>
              <w:t>F</w:t>
            </w:r>
          </w:p>
        </w:tc>
        <w:tc>
          <w:tcPr>
            <w:tcW w:w="8220" w:type="dxa"/>
            <w:shd w:val="clear" w:color="auto" w:fill="auto"/>
          </w:tcPr>
          <w:p w:rsidR="0045707C" w:rsidRPr="00614CC6" w:rsidRDefault="0045707C" w:rsidP="00DA0E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5707C" w:rsidRPr="00592F9F" w:rsidTr="00DA0E34">
        <w:tc>
          <w:tcPr>
            <w:tcW w:w="1140" w:type="dxa"/>
            <w:shd w:val="clear" w:color="auto" w:fill="F3F3F3"/>
          </w:tcPr>
          <w:p w:rsidR="0045707C" w:rsidRPr="00592F9F" w:rsidRDefault="0045707C" w:rsidP="00DA0E3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5707C" w:rsidRPr="00592F9F" w:rsidRDefault="0045707C" w:rsidP="00DA0E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5707C" w:rsidRPr="00036EE3" w:rsidTr="00DA0E34">
        <w:tc>
          <w:tcPr>
            <w:tcW w:w="1140" w:type="dxa"/>
          </w:tcPr>
          <w:p w:rsidR="0045707C" w:rsidRPr="00614CC6" w:rsidRDefault="0045707C" w:rsidP="00DA0E34">
            <w:pPr>
              <w:spacing w:before="30" w:after="30"/>
              <w:ind w:left="57"/>
              <w:jc w:val="left"/>
              <w:rPr>
                <w:b/>
                <w:bCs/>
                <w:sz w:val="20"/>
                <w:lang w:val="fr-CH"/>
              </w:rPr>
            </w:pPr>
            <w:r w:rsidRPr="00614CC6">
              <w:rPr>
                <w:b/>
                <w:bCs/>
                <w:sz w:val="20"/>
                <w:lang w:val="fr-CH"/>
              </w:rPr>
              <w:t>P</w:t>
            </w:r>
          </w:p>
        </w:tc>
        <w:tc>
          <w:tcPr>
            <w:tcW w:w="8220" w:type="dxa"/>
          </w:tcPr>
          <w:p w:rsidR="0045707C" w:rsidRPr="00614CC6" w:rsidRDefault="0045707C" w:rsidP="00DA0E34">
            <w:pPr>
              <w:spacing w:before="30" w:after="30"/>
              <w:jc w:val="left"/>
              <w:rPr>
                <w:sz w:val="20"/>
                <w:lang w:val="fr-CH"/>
              </w:rPr>
            </w:pPr>
            <w:r w:rsidRPr="00614CC6">
              <w:rPr>
                <w:sz w:val="20"/>
              </w:rPr>
              <w:t>Propagation des ondes radioélectriques</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RA</w:t>
            </w:r>
          </w:p>
        </w:tc>
        <w:tc>
          <w:tcPr>
            <w:tcW w:w="8220" w:type="dxa"/>
          </w:tcPr>
          <w:p w:rsidR="0045707C" w:rsidRPr="00614CC6" w:rsidRDefault="0045707C" w:rsidP="00DA0E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RS</w:t>
            </w:r>
          </w:p>
        </w:tc>
        <w:tc>
          <w:tcPr>
            <w:tcW w:w="8220" w:type="dxa"/>
          </w:tcPr>
          <w:p w:rsidR="0045707C" w:rsidRPr="00614CC6" w:rsidRDefault="0045707C" w:rsidP="00DA0E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S</w:t>
            </w:r>
          </w:p>
        </w:tc>
        <w:tc>
          <w:tcPr>
            <w:tcW w:w="8220" w:type="dxa"/>
          </w:tcPr>
          <w:p w:rsidR="0045707C" w:rsidRPr="00614CC6" w:rsidRDefault="0045707C" w:rsidP="00DA0E34">
            <w:pPr>
              <w:spacing w:before="30" w:after="30"/>
              <w:jc w:val="left"/>
              <w:rPr>
                <w:sz w:val="20"/>
                <w:lang w:val="en-US"/>
              </w:rPr>
            </w:pPr>
            <w:r w:rsidRPr="00614CC6">
              <w:rPr>
                <w:sz w:val="20"/>
              </w:rPr>
              <w:t>Service fixe par satellite</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SA</w:t>
            </w:r>
          </w:p>
        </w:tc>
        <w:tc>
          <w:tcPr>
            <w:tcW w:w="8220" w:type="dxa"/>
          </w:tcPr>
          <w:p w:rsidR="0045707C" w:rsidRPr="00614CC6" w:rsidRDefault="0045707C" w:rsidP="00DA0E34">
            <w:pPr>
              <w:spacing w:before="30" w:after="30"/>
              <w:jc w:val="left"/>
              <w:rPr>
                <w:sz w:val="20"/>
                <w:lang w:val="en-US"/>
              </w:rPr>
            </w:pPr>
            <w:r w:rsidRPr="00614CC6">
              <w:rPr>
                <w:sz w:val="20"/>
              </w:rPr>
              <w:t>Applications spatiales et météorologie</w:t>
            </w:r>
          </w:p>
        </w:tc>
      </w:tr>
      <w:tr w:rsidR="0045707C" w:rsidRPr="00614CC6"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SF</w:t>
            </w:r>
          </w:p>
        </w:tc>
        <w:tc>
          <w:tcPr>
            <w:tcW w:w="8220" w:type="dxa"/>
          </w:tcPr>
          <w:p w:rsidR="0045707C" w:rsidRPr="00614CC6" w:rsidRDefault="0045707C" w:rsidP="00DA0E34">
            <w:pPr>
              <w:spacing w:before="30" w:after="30"/>
              <w:jc w:val="left"/>
              <w:rPr>
                <w:sz w:val="20"/>
              </w:rPr>
            </w:pPr>
            <w:r w:rsidRPr="00614CC6">
              <w:rPr>
                <w:sz w:val="20"/>
              </w:rPr>
              <w:t>Partage des fréquences et coordination entre les systèmes du service fixe par satellite et du service fixe</w:t>
            </w:r>
          </w:p>
        </w:tc>
      </w:tr>
      <w:tr w:rsidR="0045707C" w:rsidRPr="00036EE3" w:rsidTr="00DA0E34">
        <w:tc>
          <w:tcPr>
            <w:tcW w:w="1140" w:type="dxa"/>
            <w:shd w:val="clear" w:color="auto" w:fill="auto"/>
          </w:tcPr>
          <w:p w:rsidR="0045707C" w:rsidRPr="00592F9F" w:rsidRDefault="0045707C" w:rsidP="00DA0E34">
            <w:pPr>
              <w:spacing w:before="30" w:after="30"/>
              <w:ind w:left="57"/>
              <w:jc w:val="left"/>
              <w:rPr>
                <w:b/>
                <w:bCs/>
                <w:sz w:val="20"/>
                <w:lang w:val="en-US"/>
              </w:rPr>
            </w:pPr>
            <w:r w:rsidRPr="00592F9F">
              <w:rPr>
                <w:b/>
                <w:bCs/>
                <w:sz w:val="20"/>
                <w:lang w:val="en-US"/>
              </w:rPr>
              <w:t>SM</w:t>
            </w:r>
          </w:p>
        </w:tc>
        <w:tc>
          <w:tcPr>
            <w:tcW w:w="8220" w:type="dxa"/>
            <w:shd w:val="clear" w:color="auto" w:fill="auto"/>
          </w:tcPr>
          <w:p w:rsidR="0045707C" w:rsidRPr="00592F9F" w:rsidRDefault="0045707C" w:rsidP="00DA0E34">
            <w:pPr>
              <w:spacing w:before="30" w:after="30"/>
              <w:jc w:val="left"/>
              <w:rPr>
                <w:sz w:val="20"/>
                <w:lang w:val="en-US"/>
              </w:rPr>
            </w:pPr>
            <w:r w:rsidRPr="00592F9F">
              <w:rPr>
                <w:sz w:val="20"/>
              </w:rPr>
              <w:t>Gestion du spectre</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SNG</w:t>
            </w:r>
          </w:p>
        </w:tc>
        <w:tc>
          <w:tcPr>
            <w:tcW w:w="8220" w:type="dxa"/>
          </w:tcPr>
          <w:p w:rsidR="0045707C" w:rsidRPr="00614CC6" w:rsidRDefault="0045707C" w:rsidP="00DA0E34">
            <w:pPr>
              <w:spacing w:before="30" w:after="30"/>
              <w:jc w:val="left"/>
              <w:rPr>
                <w:sz w:val="20"/>
                <w:lang w:val="en-US"/>
              </w:rPr>
            </w:pPr>
            <w:r w:rsidRPr="00614CC6">
              <w:rPr>
                <w:sz w:val="20"/>
              </w:rPr>
              <w:t>Reportage d'actualités par satellite</w:t>
            </w:r>
          </w:p>
        </w:tc>
      </w:tr>
      <w:tr w:rsidR="0045707C" w:rsidRPr="00614CC6"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TF</w:t>
            </w:r>
          </w:p>
        </w:tc>
        <w:tc>
          <w:tcPr>
            <w:tcW w:w="8220" w:type="dxa"/>
          </w:tcPr>
          <w:p w:rsidR="0045707C" w:rsidRPr="00614CC6" w:rsidRDefault="0045707C" w:rsidP="00DA0E34">
            <w:pPr>
              <w:spacing w:before="30" w:after="30"/>
              <w:jc w:val="left"/>
              <w:rPr>
                <w:sz w:val="20"/>
              </w:rPr>
            </w:pPr>
            <w:r w:rsidRPr="00614CC6">
              <w:rPr>
                <w:sz w:val="20"/>
              </w:rPr>
              <w:t>Emissions de fréquences étalon et de signaux horaires</w:t>
            </w:r>
          </w:p>
        </w:tc>
      </w:tr>
      <w:tr w:rsidR="0045707C" w:rsidRPr="00036EE3" w:rsidTr="00DA0E34">
        <w:tc>
          <w:tcPr>
            <w:tcW w:w="1140" w:type="dxa"/>
          </w:tcPr>
          <w:p w:rsidR="0045707C" w:rsidRPr="00614CC6" w:rsidRDefault="0045707C" w:rsidP="00DA0E34">
            <w:pPr>
              <w:spacing w:before="30" w:after="30"/>
              <w:ind w:left="57"/>
              <w:jc w:val="left"/>
              <w:rPr>
                <w:b/>
                <w:bCs/>
                <w:sz w:val="20"/>
                <w:lang w:val="en-US"/>
              </w:rPr>
            </w:pPr>
            <w:r w:rsidRPr="00614CC6">
              <w:rPr>
                <w:b/>
                <w:bCs/>
                <w:sz w:val="20"/>
                <w:lang w:val="en-US"/>
              </w:rPr>
              <w:t>V</w:t>
            </w:r>
          </w:p>
        </w:tc>
        <w:tc>
          <w:tcPr>
            <w:tcW w:w="8220" w:type="dxa"/>
          </w:tcPr>
          <w:p w:rsidR="0045707C" w:rsidRPr="00614CC6" w:rsidRDefault="0045707C" w:rsidP="00DA0E34">
            <w:pPr>
              <w:spacing w:before="30" w:after="140"/>
              <w:jc w:val="left"/>
              <w:rPr>
                <w:sz w:val="20"/>
                <w:lang w:val="en-US"/>
              </w:rPr>
            </w:pPr>
            <w:r w:rsidRPr="00614CC6">
              <w:rPr>
                <w:sz w:val="20"/>
              </w:rPr>
              <w:t>Vocabulaire et sujets associés</w:t>
            </w:r>
          </w:p>
        </w:tc>
      </w:tr>
    </w:tbl>
    <w:p w:rsidR="0045707C" w:rsidRPr="00036EE3" w:rsidRDefault="0045707C" w:rsidP="0045707C">
      <w:pPr>
        <w:spacing w:before="0"/>
        <w:jc w:val="center"/>
        <w:rPr>
          <w:sz w:val="20"/>
          <w:lang w:val="en-US"/>
        </w:rPr>
      </w:pPr>
    </w:p>
    <w:p w:rsidR="0045707C" w:rsidRPr="00036EE3" w:rsidRDefault="0045707C" w:rsidP="0045707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5707C" w:rsidRPr="00756B4D" w:rsidTr="00DA0E34">
        <w:tc>
          <w:tcPr>
            <w:tcW w:w="9360" w:type="dxa"/>
          </w:tcPr>
          <w:p w:rsidR="0045707C" w:rsidRPr="00756B4D" w:rsidRDefault="0045707C" w:rsidP="00DA0E3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5707C" w:rsidRPr="00756B4D" w:rsidRDefault="0045707C" w:rsidP="0045707C">
      <w:pPr>
        <w:spacing w:before="0"/>
        <w:jc w:val="center"/>
        <w:rPr>
          <w:sz w:val="22"/>
        </w:rPr>
      </w:pPr>
    </w:p>
    <w:p w:rsidR="0045707C" w:rsidRPr="00614CC6" w:rsidRDefault="0045707C" w:rsidP="0045707C">
      <w:pPr>
        <w:spacing w:before="100"/>
        <w:jc w:val="right"/>
        <w:rPr>
          <w:i/>
          <w:iCs/>
          <w:sz w:val="20"/>
        </w:rPr>
      </w:pPr>
      <w:r w:rsidRPr="00614CC6">
        <w:rPr>
          <w:i/>
          <w:iCs/>
          <w:sz w:val="20"/>
        </w:rPr>
        <w:t>Publication électronique</w:t>
      </w:r>
    </w:p>
    <w:p w:rsidR="0045707C" w:rsidRPr="00614CC6" w:rsidRDefault="0045707C" w:rsidP="0045707C">
      <w:pPr>
        <w:spacing w:before="0"/>
        <w:jc w:val="right"/>
        <w:rPr>
          <w:sz w:val="20"/>
        </w:rPr>
      </w:pPr>
      <w:r w:rsidRPr="00614CC6">
        <w:rPr>
          <w:sz w:val="20"/>
        </w:rPr>
        <w:t>Genève, 20</w:t>
      </w:r>
      <w:r>
        <w:rPr>
          <w:sz w:val="20"/>
        </w:rPr>
        <w:t>16</w:t>
      </w:r>
    </w:p>
    <w:p w:rsidR="0045707C" w:rsidRPr="00614CC6" w:rsidRDefault="0045707C" w:rsidP="0045707C">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45707C" w:rsidRPr="00614CC6" w:rsidRDefault="0045707C" w:rsidP="0045707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5707C" w:rsidRPr="00614CC6" w:rsidRDefault="0045707C" w:rsidP="0045707C">
      <w:pPr>
        <w:spacing w:before="160"/>
        <w:rPr>
          <w:i/>
          <w:sz w:val="20"/>
          <w:highlight w:val="yellow"/>
        </w:rPr>
        <w:sectPr w:rsidR="0045707C" w:rsidRPr="00614CC6" w:rsidSect="00DA0E34">
          <w:headerReference w:type="even" r:id="rId10"/>
          <w:headerReference w:type="default" r:id="rId11"/>
          <w:pgSz w:w="11907" w:h="16834" w:code="9"/>
          <w:pgMar w:top="1418" w:right="1134" w:bottom="1134" w:left="1134" w:header="720" w:footer="482" w:gutter="0"/>
          <w:pgNumType w:fmt="lowerRoman" w:start="2"/>
          <w:cols w:space="720"/>
        </w:sectPr>
      </w:pPr>
    </w:p>
    <w:p w:rsidR="0045707C" w:rsidRDefault="0045707C" w:rsidP="001D36AA">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1D36AA">
        <w:rPr>
          <w:rStyle w:val="href"/>
        </w:rPr>
        <w:t>2082-0</w:t>
      </w:r>
    </w:p>
    <w:p w:rsidR="0045707C" w:rsidRPr="007F2496" w:rsidRDefault="0045707C" w:rsidP="0045707C">
      <w:pPr>
        <w:pStyle w:val="Rectitle"/>
      </w:pPr>
      <w:r w:rsidRPr="007F2496">
        <w:rPr>
          <w:szCs w:val="28"/>
        </w:rPr>
        <w:t>Méthode et exemple technique pour faciliter la coordination du service mobile</w:t>
      </w:r>
      <w:r w:rsidR="001D36AA">
        <w:rPr>
          <w:szCs w:val="28"/>
        </w:rPr>
        <w:t xml:space="preserve"> </w:t>
      </w:r>
      <w:r w:rsidRPr="007F2496">
        <w:rPr>
          <w:szCs w:val="28"/>
        </w:rPr>
        <w:br/>
        <w:t xml:space="preserve">par satellite et du service de radiorepérage par satellite avec le service fixe </w:t>
      </w:r>
      <w:r w:rsidRPr="007F2496">
        <w:rPr>
          <w:szCs w:val="28"/>
        </w:rPr>
        <w:br/>
        <w:t xml:space="preserve">sur la base des niveaux de puissance surfacique déclenchant </w:t>
      </w:r>
      <w:r w:rsidRPr="007F2496">
        <w:rPr>
          <w:szCs w:val="28"/>
        </w:rPr>
        <w:br/>
        <w:t>la coordination dans la bande 2 483,5-2 500 MHz</w:t>
      </w:r>
    </w:p>
    <w:p w:rsidR="0045707C" w:rsidRPr="007F2496" w:rsidRDefault="0045707C" w:rsidP="0045707C">
      <w:pPr>
        <w:pStyle w:val="Recdate"/>
      </w:pPr>
      <w:r w:rsidRPr="007F2496">
        <w:t>(2015)</w:t>
      </w:r>
    </w:p>
    <w:p w:rsidR="0045707C" w:rsidRPr="007F2496" w:rsidRDefault="0045707C" w:rsidP="0045707C">
      <w:pPr>
        <w:pStyle w:val="HeadingSum"/>
        <w:rPr>
          <w:lang w:val="fr-FR"/>
        </w:rPr>
      </w:pPr>
      <w:r w:rsidRPr="007F2496">
        <w:rPr>
          <w:lang w:val="fr-FR"/>
        </w:rPr>
        <w:t>Domaine d'application</w:t>
      </w:r>
    </w:p>
    <w:p w:rsidR="0045707C" w:rsidRPr="006037FF" w:rsidRDefault="0045707C" w:rsidP="00997E26">
      <w:pPr>
        <w:pStyle w:val="Summary"/>
        <w:rPr>
          <w:lang w:val="fr-CH"/>
        </w:rPr>
      </w:pPr>
      <w:r w:rsidRPr="006037FF">
        <w:rPr>
          <w:lang w:val="fr-CH"/>
        </w:rPr>
        <w:t>La présente Recommandation fournit des informations concernant la coordination du service fixe avec les systèmes du service mobile par satellite et du service de radiorepérage par satellite fonctionnant dans la bande de fréquences 2 483,5-2 500 MHz. Elle comprend notamment une estimation du niveau de brouillage susceptible d'être causé par des systèmes du service mobile par satellite et du service de radiorepérage par satellite. La présente Recommandation étudie l'incidence de l'assouplissement du niveau de puissance surfacique déclenchant la coordination avec le service fixe, approuvé lors de la CMR-12 au titre du point 1.18 de l'ordre du jour.</w:t>
      </w:r>
    </w:p>
    <w:p w:rsidR="0045707C" w:rsidRPr="006037FF" w:rsidRDefault="0045707C" w:rsidP="00997E26">
      <w:pPr>
        <w:pStyle w:val="Summary"/>
        <w:rPr>
          <w:lang w:val="fr-CH"/>
        </w:rPr>
      </w:pPr>
      <w:r w:rsidRPr="006037FF">
        <w:rPr>
          <w:lang w:val="fr-CH"/>
        </w:rPr>
        <w:t>La présente Recommandation peut être utile pour la coordination au titre du numéro </w:t>
      </w:r>
      <w:r w:rsidRPr="006037FF">
        <w:rPr>
          <w:b/>
          <w:bCs/>
          <w:lang w:val="fr-CH"/>
        </w:rPr>
        <w:t>9.14</w:t>
      </w:r>
      <w:r w:rsidRPr="006037FF">
        <w:rPr>
          <w:lang w:val="fr-CH"/>
        </w:rPr>
        <w:t xml:space="preserve"> du Règlement des radiocommunications lorsque des administrations souhaitent exploiter leurs systèmes du SRRS ou du SMS avec des niveaux de puissance surfacique dépassant les seuils définis dans l'Appendice </w:t>
      </w:r>
      <w:r w:rsidRPr="006037FF">
        <w:rPr>
          <w:b/>
          <w:bCs/>
          <w:lang w:val="fr-CH"/>
        </w:rPr>
        <w:t>5</w:t>
      </w:r>
      <w:r w:rsidRPr="006037FF">
        <w:rPr>
          <w:lang w:val="fr-CH"/>
        </w:rPr>
        <w:t xml:space="preserve"> du RR.</w:t>
      </w:r>
    </w:p>
    <w:p w:rsidR="0045707C" w:rsidRPr="007F2496" w:rsidRDefault="0045707C" w:rsidP="0045707C">
      <w:pPr>
        <w:pStyle w:val="Headingb"/>
      </w:pPr>
      <w:r w:rsidRPr="007F2496">
        <w:t>Mots clés</w:t>
      </w:r>
    </w:p>
    <w:p w:rsidR="0045707C" w:rsidRPr="007F2496" w:rsidRDefault="0045707C" w:rsidP="0045707C">
      <w:r w:rsidRPr="007F2496">
        <w:t xml:space="preserve">SRRS, SMS, SF, SM, </w:t>
      </w:r>
      <w:r w:rsidRPr="007F2496">
        <w:rPr>
          <w:color w:val="000000"/>
        </w:rPr>
        <w:t>seuil déclenchant la coordination</w:t>
      </w:r>
    </w:p>
    <w:p w:rsidR="0045707C" w:rsidRPr="007F2496" w:rsidRDefault="0045707C" w:rsidP="0045707C">
      <w:pPr>
        <w:pStyle w:val="Headingb"/>
      </w:pPr>
      <w:r w:rsidRPr="007F2496">
        <w:t>Abréviations/Glossaire</w:t>
      </w:r>
    </w:p>
    <w:p w:rsidR="0045707C" w:rsidRPr="007F2496" w:rsidRDefault="0045707C" w:rsidP="0045707C">
      <w:pPr>
        <w:ind w:left="1134" w:hanging="1134"/>
      </w:pPr>
      <w:r w:rsidRPr="007F2496">
        <w:t xml:space="preserve">FDP </w:t>
      </w:r>
      <w:r w:rsidRPr="007F2496">
        <w:tab/>
        <w:t xml:space="preserve">dégradation relative de la qualité de fonctionnement </w:t>
      </w:r>
      <w:r w:rsidRPr="007F2496">
        <w:rPr>
          <w:i/>
        </w:rPr>
        <w:t>(fractional degradation of performance)</w:t>
      </w:r>
    </w:p>
    <w:p w:rsidR="0045707C" w:rsidRPr="007F2496" w:rsidRDefault="0045707C" w:rsidP="0045707C">
      <w:r w:rsidRPr="007F2496">
        <w:t xml:space="preserve">pfd </w:t>
      </w:r>
      <w:r w:rsidRPr="007F2496">
        <w:tab/>
        <w:t xml:space="preserve">puissance surfacique </w:t>
      </w:r>
      <w:r w:rsidRPr="007F2496">
        <w:rPr>
          <w:i/>
        </w:rPr>
        <w:t>(power flux-density)</w:t>
      </w:r>
    </w:p>
    <w:p w:rsidR="0045707C" w:rsidRPr="007F2496" w:rsidRDefault="0045707C" w:rsidP="00997E26">
      <w:pPr>
        <w:pStyle w:val="Headingb"/>
      </w:pPr>
      <w:r w:rsidRPr="007F2496">
        <w:t>Recommandations et Rapports UIT connexes</w:t>
      </w:r>
    </w:p>
    <w:p w:rsidR="0045707C" w:rsidRPr="007F2496" w:rsidRDefault="0045707C" w:rsidP="0045707C">
      <w:pPr>
        <w:tabs>
          <w:tab w:val="left" w:pos="3762"/>
        </w:tabs>
        <w:ind w:left="3762" w:hanging="3762"/>
        <w:textAlignment w:val="auto"/>
        <w:rPr>
          <w:sz w:val="22"/>
        </w:rPr>
      </w:pPr>
      <w:r w:rsidRPr="007F2496">
        <w:t>Recommandation UIT-R F.758-6</w:t>
      </w:r>
      <w:r w:rsidRPr="007F2496">
        <w:rPr>
          <w:rFonts w:eastAsia="SimSun"/>
        </w:rPr>
        <w:tab/>
      </w:r>
      <w:r w:rsidRPr="007F2496">
        <w:t>Paramètres des systèmes et considérations relatives à la mise au point de critères pour le partage ou la compatibilité entre les systèmes hertziens fixes numériques du service fixe et les systèmes d'autres services ainsi que d'autres sources de brouillage</w:t>
      </w:r>
    </w:p>
    <w:p w:rsidR="0045707C" w:rsidRPr="007F2496" w:rsidRDefault="0045707C" w:rsidP="0045707C">
      <w:pPr>
        <w:tabs>
          <w:tab w:val="left" w:pos="3762"/>
        </w:tabs>
        <w:ind w:left="3762" w:hanging="3762"/>
        <w:textAlignment w:val="auto"/>
        <w:rPr>
          <w:rFonts w:eastAsia="SimSun"/>
        </w:rPr>
      </w:pPr>
      <w:r w:rsidRPr="007F2496">
        <w:t>Recommandation UIT-R F.1108-4</w:t>
      </w:r>
      <w:r w:rsidRPr="007F2496">
        <w:rPr>
          <w:rFonts w:eastAsia="SimSun"/>
        </w:rPr>
        <w:tab/>
      </w:r>
      <w:r w:rsidRPr="007F2496">
        <w:t>Détermination des critères nécessaires à la protection des récepteurs du service fixe des émissions de stations spatiales opérant sur des orbites non géostationnaires dans des bandes de fréquences partagées</w:t>
      </w:r>
    </w:p>
    <w:p w:rsidR="0045707C" w:rsidRPr="007F2496" w:rsidRDefault="0045707C" w:rsidP="0045707C">
      <w:pPr>
        <w:tabs>
          <w:tab w:val="left" w:pos="3762"/>
        </w:tabs>
        <w:ind w:left="3762" w:hanging="3762"/>
        <w:textAlignment w:val="auto"/>
        <w:rPr>
          <w:rFonts w:eastAsia="SimSun"/>
          <w:sz w:val="22"/>
        </w:rPr>
      </w:pPr>
      <w:r w:rsidRPr="007F2496">
        <w:t>Recommandation UIT-R M.1143-3</w:t>
      </w:r>
      <w:r w:rsidRPr="007F2496">
        <w:rPr>
          <w:rFonts w:eastAsia="SimSun"/>
        </w:rPr>
        <w:tab/>
      </w:r>
      <w:r w:rsidRPr="007F2496">
        <w:t>Méthodologie spécifique au système pour la coordination des stations spatiales non géostationnaires (espace vers Terre) du service mobile par satellite avec les systèmes du service fixe</w:t>
      </w:r>
    </w:p>
    <w:p w:rsidR="0045707C" w:rsidRPr="007F2496" w:rsidRDefault="0045707C" w:rsidP="0045707C">
      <w:pPr>
        <w:tabs>
          <w:tab w:val="left" w:pos="3762"/>
        </w:tabs>
        <w:ind w:left="3762" w:hanging="3762"/>
        <w:textAlignment w:val="auto"/>
        <w:rPr>
          <w:rFonts w:eastAsia="SimSun"/>
          <w:sz w:val="22"/>
        </w:rPr>
      </w:pPr>
      <w:r w:rsidRPr="007F2496">
        <w:t>Recommandation UIT-R M.1787-2</w:t>
      </w:r>
      <w:r w:rsidRPr="007F2496">
        <w:rPr>
          <w:rFonts w:eastAsia="SimSun"/>
        </w:rPr>
        <w:tab/>
      </w:r>
      <w:r w:rsidRPr="007F2496">
        <w:t>Description des systèmes et réseaux du service de radionavigation par satellite (espace vers Terre et espace-espace) et caractéristiques techniques des stations spatiales d'émission fonctionnant dan</w:t>
      </w:r>
      <w:r>
        <w:t>s les bandes 1 164-1 215 MHz, 1 </w:t>
      </w:r>
      <w:r w:rsidRPr="007F2496">
        <w:t>215-1 300 MHz et 1 559-1 610 MHz</w:t>
      </w:r>
    </w:p>
    <w:p w:rsidR="0045707C" w:rsidRPr="007F2496" w:rsidRDefault="0045707C" w:rsidP="00997E26">
      <w:pPr>
        <w:pStyle w:val="Normalaftertitle"/>
        <w:keepNext/>
        <w:keepLines/>
      </w:pPr>
      <w:r w:rsidRPr="007F2496">
        <w:lastRenderedPageBreak/>
        <w:t>L'Assemblée des radiocommunications de l'UIT,</w:t>
      </w:r>
    </w:p>
    <w:p w:rsidR="0045707C" w:rsidRPr="007F2496" w:rsidRDefault="0045707C" w:rsidP="00997E26">
      <w:pPr>
        <w:pStyle w:val="Call"/>
      </w:pPr>
      <w:r w:rsidRPr="007F2496">
        <w:t>considérant</w:t>
      </w:r>
    </w:p>
    <w:p w:rsidR="0045707C" w:rsidRPr="007F2496" w:rsidRDefault="0045707C" w:rsidP="00997E26">
      <w:pPr>
        <w:keepNext/>
        <w:keepLines/>
      </w:pPr>
      <w:r w:rsidRPr="007F2496">
        <w:rPr>
          <w:i/>
          <w:iCs/>
        </w:rPr>
        <w:t>a)</w:t>
      </w:r>
      <w:r w:rsidRPr="007F2496">
        <w:tab/>
        <w:t>que la bande de fréquences 2 483,5-2 500 MHz est attribuée à l'échelle mondiale à titre primaire avec égalité de</w:t>
      </w:r>
      <w:r>
        <w:t>s</w:t>
      </w:r>
      <w:r w:rsidRPr="007F2496">
        <w:t xml:space="preserve"> droits au service mobile par satellite (SMS), au service de radiorepérage par satellite (SRRS), au service fixe (SF) et au service mobile (SM);</w:t>
      </w:r>
    </w:p>
    <w:p w:rsidR="0045707C" w:rsidRPr="007F2496" w:rsidRDefault="0045707C" w:rsidP="0045707C">
      <w:r w:rsidRPr="007F2496">
        <w:rPr>
          <w:i/>
          <w:iCs/>
        </w:rPr>
        <w:t>b)</w:t>
      </w:r>
      <w:r w:rsidRPr="007F2496">
        <w:tab/>
        <w:t xml:space="preserve">que le SMS utilise cette bande de fréquences pour les </w:t>
      </w:r>
      <w:r>
        <w:t>é</w:t>
      </w:r>
      <w:r w:rsidRPr="007F2496">
        <w:t>missions sur la liaison descendante (espace vers Terre) vers les terminaux d'utilisateurs;</w:t>
      </w:r>
    </w:p>
    <w:p w:rsidR="0045707C" w:rsidRPr="007F2496" w:rsidRDefault="0045707C" w:rsidP="0045707C">
      <w:r w:rsidRPr="007F2496">
        <w:rPr>
          <w:i/>
          <w:iCs/>
        </w:rPr>
        <w:t>c)</w:t>
      </w:r>
      <w:r w:rsidRPr="007F2496">
        <w:tab/>
        <w:t>que</w:t>
      </w:r>
      <w:r>
        <w:t>,</w:t>
      </w:r>
      <w:r w:rsidRPr="007F2496">
        <w:t xml:space="preserve"> pour déterminer si une coordination des systèmes spatiaux est nécessaire avec les administrations utilisant le service fixe, on utilise les valeurs de puissance surfacique appropriées données dans l'Appendice</w:t>
      </w:r>
      <w:r w:rsidRPr="007F2496">
        <w:rPr>
          <w:b/>
          <w:bCs/>
        </w:rPr>
        <w:t xml:space="preserve"> 5 </w:t>
      </w:r>
      <w:r w:rsidRPr="007F2496">
        <w:t>du RR;</w:t>
      </w:r>
    </w:p>
    <w:p w:rsidR="0045707C" w:rsidRPr="007F2496" w:rsidRDefault="0045707C" w:rsidP="0045707C">
      <w:r w:rsidRPr="007F2496">
        <w:rPr>
          <w:i/>
          <w:iCs/>
        </w:rPr>
        <w:t>d)</w:t>
      </w:r>
      <w:r w:rsidRPr="007F2496">
        <w:tab/>
        <w:t>que la puissance surfacique est un des paramètres techniques utilisés pour déterminer les critères qui facilitent le partage entre le SMS et les services de Terre;</w:t>
      </w:r>
    </w:p>
    <w:p w:rsidR="0045707C" w:rsidRPr="007F2496" w:rsidRDefault="0045707C" w:rsidP="0045707C">
      <w:r w:rsidRPr="007F2496">
        <w:rPr>
          <w:i/>
          <w:iCs/>
        </w:rPr>
        <w:t>e)</w:t>
      </w:r>
      <w:r w:rsidRPr="007F2496">
        <w:tab/>
        <w:t>que les réseaux du service fixe utilisent des techniques de modulation numérique,</w:t>
      </w:r>
    </w:p>
    <w:p w:rsidR="0045707C" w:rsidRPr="007F2496" w:rsidRDefault="0045707C" w:rsidP="0045707C">
      <w:pPr>
        <w:pStyle w:val="Call"/>
      </w:pPr>
      <w:r w:rsidRPr="007F2496">
        <w:t>notant</w:t>
      </w:r>
    </w:p>
    <w:p w:rsidR="0045707C" w:rsidRPr="007F2496" w:rsidRDefault="0045707C" w:rsidP="0045707C">
      <w:r w:rsidRPr="007F2496">
        <w:rPr>
          <w:i/>
          <w:iCs/>
        </w:rPr>
        <w:t>a)</w:t>
      </w:r>
      <w:r w:rsidRPr="007F2496">
        <w:tab/>
        <w:t xml:space="preserve">que, dans la bande de fréquences 2 483,5-2 500 MHz, utilisée en partage par les systèmes à satellites non géostationnaires du SMS et les systèmes du service fixe, le Tableau 5-2 de l'Appendice </w:t>
      </w:r>
      <w:r w:rsidRPr="007F2496">
        <w:rPr>
          <w:b/>
        </w:rPr>
        <w:t>5</w:t>
      </w:r>
      <w:r w:rsidRPr="007F2496">
        <w:t xml:space="preserve"> du RR définit les seuils de puissance surfacique suivants:</w:t>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126</w:t>
      </w:r>
      <w:r w:rsidRPr="007F2496">
        <w:tab/>
      </w:r>
      <w:r w:rsidRPr="007F2496">
        <w:tab/>
      </w:r>
      <w:r w:rsidRPr="007F2496">
        <w:tab/>
        <w:t>dB(W/(m</w:t>
      </w:r>
      <w:r w:rsidRPr="007F2496">
        <w:rPr>
          <w:position w:val="6"/>
          <w:sz w:val="20"/>
        </w:rPr>
        <w:t>2</w:t>
      </w:r>
      <w:r w:rsidRPr="007F2496">
        <w:t xml:space="preserve"> · MHz)) </w:t>
      </w:r>
      <w:r w:rsidRPr="007F2496">
        <w:tab/>
      </w:r>
      <w:r w:rsidRPr="007F2496">
        <w:tab/>
        <w:t>pour</w:t>
      </w:r>
      <w:r w:rsidRPr="007F2496">
        <w:tab/>
        <w:t xml:space="preserve"> 0</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5</w:t>
      </w:r>
      <w:r w:rsidRPr="007F2496">
        <w:rPr>
          <w:rFonts w:ascii="Symbol" w:hAnsi="Symbol"/>
        </w:rPr>
        <w:sym w:font="Symbol" w:char="F0B0"/>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126 + 0,65 (</w:t>
      </w:r>
      <w:r w:rsidRPr="007F2496">
        <w:rPr>
          <w:rFonts w:ascii="Symbol" w:hAnsi="Symbol"/>
        </w:rPr>
        <w:sym w:font="Symbol" w:char="F071"/>
      </w:r>
      <w:r w:rsidRPr="007F2496">
        <w:t xml:space="preserve"> – 5)</w:t>
      </w:r>
      <w:r w:rsidRPr="007F2496">
        <w:rPr>
          <w:sz w:val="10"/>
        </w:rPr>
        <w:tab/>
      </w:r>
      <w:r w:rsidRPr="007F2496">
        <w:t>dB(W/(m</w:t>
      </w:r>
      <w:r w:rsidRPr="007F2496">
        <w:rPr>
          <w:position w:val="6"/>
          <w:sz w:val="20"/>
        </w:rPr>
        <w:t>2</w:t>
      </w:r>
      <w:r w:rsidRPr="007F2496">
        <w:t xml:space="preserve"> · MHz))</w:t>
      </w:r>
      <w:r w:rsidRPr="007F2496">
        <w:tab/>
      </w:r>
      <w:r w:rsidRPr="007F2496">
        <w:tab/>
        <w:t xml:space="preserve">pour </w:t>
      </w:r>
      <w:r w:rsidRPr="007F2496">
        <w:tab/>
        <w:t>5</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25</w:t>
      </w:r>
      <w:r w:rsidRPr="007F2496">
        <w:rPr>
          <w:rFonts w:ascii="Symbol" w:hAnsi="Symbol"/>
        </w:rPr>
        <w:sym w:font="Symbol" w:char="F0B0"/>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113</w:t>
      </w:r>
      <w:r w:rsidRPr="007F2496">
        <w:tab/>
      </w:r>
      <w:r w:rsidRPr="007F2496">
        <w:tab/>
      </w:r>
      <w:r w:rsidRPr="007F2496">
        <w:tab/>
        <w:t>dB(W/(m</w:t>
      </w:r>
      <w:r w:rsidRPr="007F2496">
        <w:rPr>
          <w:position w:val="6"/>
          <w:sz w:val="20"/>
        </w:rPr>
        <w:t>2</w:t>
      </w:r>
      <w:r w:rsidRPr="007F2496">
        <w:t xml:space="preserve"> · MHz))</w:t>
      </w:r>
      <w:r w:rsidRPr="007F2496">
        <w:tab/>
      </w:r>
      <w:r w:rsidRPr="007F2496">
        <w:tab/>
        <w:t>pour</w:t>
      </w:r>
      <w:r w:rsidRPr="007F2496">
        <w:tab/>
      </w:r>
      <w:r w:rsidRPr="007F2496">
        <w:rPr>
          <w:rFonts w:ascii="Symbol" w:hAnsi="Symbol"/>
        </w:rPr>
        <w:sym w:font="Symbol" w:char="F071"/>
      </w:r>
      <w:r w:rsidRPr="007F2496">
        <w:t xml:space="preserve"> &gt; 25</w:t>
      </w:r>
      <w:r w:rsidRPr="007F2496">
        <w:rPr>
          <w:rFonts w:ascii="Symbol" w:hAnsi="Symbol"/>
        </w:rPr>
        <w:sym w:font="Symbol" w:char="F0B0"/>
      </w:r>
    </w:p>
    <w:p w:rsidR="0045707C" w:rsidRPr="007F2496" w:rsidRDefault="0045707C" w:rsidP="0045707C">
      <w:pPr>
        <w:pStyle w:val="enumlev1"/>
      </w:pPr>
      <w:r w:rsidRPr="007F2496">
        <w:t xml:space="preserve">où </w:t>
      </w:r>
      <w:r w:rsidRPr="007F2496">
        <w:rPr>
          <w:rFonts w:ascii="Symbol" w:hAnsi="Symbol"/>
        </w:rPr>
        <w:sym w:font="Symbol" w:char="F071"/>
      </w:r>
      <w:r w:rsidRPr="007F2496">
        <w:t xml:space="preserve"> est l'angle d'incidence à la surface de la Terre de l'onde radioélectrique (en degrés);</w:t>
      </w:r>
    </w:p>
    <w:p w:rsidR="0045707C" w:rsidRPr="007F2496" w:rsidRDefault="0045707C" w:rsidP="0045707C">
      <w:r w:rsidRPr="007F2496">
        <w:rPr>
          <w:i/>
          <w:iCs/>
        </w:rPr>
        <w:t>b)</w:t>
      </w:r>
      <w:r w:rsidRPr="007F2496">
        <w:tab/>
        <w:t>que, pour les pays de la Région 2, 43 pays de la Région 1, l'Australie et Israël, dans la bande de fréquences 2 483,5-2 500 MHz, utilisée en partage par les systèmes à satellites non géostationnaires du SMS et les systèmes du service fixe, la Note 9 du Tableau 5-2 de l'</w:t>
      </w:r>
      <w:r>
        <w:t>Appendice </w:t>
      </w:r>
      <w:r w:rsidRPr="007F2496">
        <w:rPr>
          <w:b/>
          <w:bCs/>
        </w:rPr>
        <w:t>5</w:t>
      </w:r>
      <w:r w:rsidRPr="007F2496">
        <w:t xml:space="preserve"> du RR définit les seuils de puissance surfacique suivants:</w:t>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124,5</w:t>
      </w:r>
      <w:r w:rsidRPr="007F2496">
        <w:tab/>
      </w:r>
      <w:r w:rsidRPr="007F2496">
        <w:tab/>
      </w:r>
      <w:r w:rsidRPr="007F2496">
        <w:tab/>
        <w:t>dB(W/(m</w:t>
      </w:r>
      <w:r w:rsidRPr="007F2496">
        <w:rPr>
          <w:position w:val="6"/>
          <w:sz w:val="20"/>
        </w:rPr>
        <w:t>2</w:t>
      </w:r>
      <w:r w:rsidRPr="007F2496">
        <w:t xml:space="preserve"> · MHz)) </w:t>
      </w:r>
      <w:r w:rsidRPr="007F2496">
        <w:tab/>
      </w:r>
      <w:r w:rsidRPr="007F2496">
        <w:tab/>
        <w:t>pour</w:t>
      </w:r>
      <w:r w:rsidRPr="007F2496">
        <w:tab/>
        <w:t>0</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5</w:t>
      </w:r>
      <w:r w:rsidRPr="007F2496">
        <w:rPr>
          <w:rFonts w:ascii="Symbol" w:hAnsi="Symbol"/>
        </w:rPr>
        <w:sym w:font="Symbol" w:char="F0B0"/>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124,5 + 0,65 (</w:t>
      </w:r>
      <w:r w:rsidRPr="007F2496">
        <w:rPr>
          <w:rFonts w:ascii="Symbol" w:hAnsi="Symbol"/>
        </w:rPr>
        <w:sym w:font="Symbol" w:char="F071"/>
      </w:r>
      <w:r w:rsidRPr="007F2496">
        <w:t xml:space="preserve"> – 5)</w:t>
      </w:r>
      <w:r w:rsidRPr="007F2496">
        <w:tab/>
        <w:t>dB(W/(m</w:t>
      </w:r>
      <w:r w:rsidRPr="007F2496">
        <w:rPr>
          <w:position w:val="6"/>
          <w:sz w:val="20"/>
        </w:rPr>
        <w:t>2</w:t>
      </w:r>
      <w:r w:rsidRPr="007F2496">
        <w:t xml:space="preserve"> · MHz))</w:t>
      </w:r>
      <w:r w:rsidRPr="007F2496">
        <w:tab/>
      </w:r>
      <w:r w:rsidRPr="007F2496">
        <w:tab/>
        <w:t>pour</w:t>
      </w:r>
      <w:r w:rsidRPr="007F2496">
        <w:tab/>
        <w:t>5</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25</w:t>
      </w:r>
      <w:r w:rsidRPr="007F2496">
        <w:rPr>
          <w:rFonts w:ascii="Symbol" w:hAnsi="Symbol"/>
        </w:rPr>
        <w:sym w:font="Symbol" w:char="F0B0"/>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111,5</w:t>
      </w:r>
      <w:r w:rsidRPr="007F2496">
        <w:tab/>
      </w:r>
      <w:r w:rsidRPr="007F2496">
        <w:tab/>
      </w:r>
      <w:r w:rsidRPr="007F2496">
        <w:tab/>
        <w:t>dB(W/(m</w:t>
      </w:r>
      <w:r w:rsidRPr="007F2496">
        <w:rPr>
          <w:position w:val="6"/>
          <w:sz w:val="20"/>
        </w:rPr>
        <w:t>2</w:t>
      </w:r>
      <w:r w:rsidRPr="007F2496">
        <w:t xml:space="preserve"> · MHz))</w:t>
      </w:r>
      <w:r w:rsidRPr="007F2496">
        <w:tab/>
      </w:r>
      <w:r w:rsidRPr="007F2496">
        <w:tab/>
        <w:t>pour</w:t>
      </w:r>
      <w:r w:rsidRPr="007F2496">
        <w:tab/>
      </w:r>
      <w:r w:rsidRPr="007F2496">
        <w:rPr>
          <w:rFonts w:ascii="Symbol" w:hAnsi="Symbol"/>
        </w:rPr>
        <w:sym w:font="Symbol" w:char="F071"/>
      </w:r>
      <w:r w:rsidRPr="007F2496">
        <w:t xml:space="preserve"> &gt; 25</w:t>
      </w:r>
      <w:r w:rsidRPr="007F2496">
        <w:rPr>
          <w:rFonts w:ascii="Symbol" w:hAnsi="Symbol"/>
        </w:rPr>
        <w:sym w:font="Symbol" w:char="F0B0"/>
      </w:r>
    </w:p>
    <w:p w:rsidR="0045707C" w:rsidRPr="007F2496" w:rsidRDefault="0045707C" w:rsidP="0045707C">
      <w:pPr>
        <w:pStyle w:val="enumlev1"/>
        <w:ind w:left="0" w:firstLine="0"/>
      </w:pPr>
      <w:r w:rsidRPr="007F2496">
        <w:rPr>
          <w:i/>
          <w:iCs/>
        </w:rPr>
        <w:t>c)</w:t>
      </w:r>
      <w:r w:rsidRPr="007F2496">
        <w:tab/>
        <w:t xml:space="preserve">que, dans la bande de fréquences 2 483,5-2 500 MHz, utilisée en partage par les systèmes à satellites non géostationnaires du SRRS et les systèmes du service fixe, le Tableau 5-2 de l'Appendice </w:t>
      </w:r>
      <w:r w:rsidRPr="007F2496">
        <w:rPr>
          <w:b/>
          <w:bCs/>
        </w:rPr>
        <w:t>5</w:t>
      </w:r>
      <w:r w:rsidRPr="007F2496">
        <w:t xml:space="preserve"> du RR définit le seuil de puissance surfacique suivant:</w:t>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129</w:t>
      </w:r>
      <w:r w:rsidRPr="007F2496">
        <w:tab/>
        <w:t>dB(W/(m</w:t>
      </w:r>
      <w:r w:rsidRPr="007F2496">
        <w:rPr>
          <w:position w:val="6"/>
          <w:sz w:val="20"/>
        </w:rPr>
        <w:t>2</w:t>
      </w:r>
      <w:r w:rsidRPr="007F2496">
        <w:t xml:space="preserve"> · MHz)) </w:t>
      </w:r>
      <w:r w:rsidRPr="007F2496">
        <w:tab/>
      </w:r>
      <w:r w:rsidRPr="007F2496">
        <w:tab/>
        <w:t>pour 0</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90</w:t>
      </w:r>
      <w:r w:rsidRPr="007F2496">
        <w:rPr>
          <w:rFonts w:ascii="Symbol" w:hAnsi="Symbol"/>
        </w:rPr>
        <w:sym w:font="Symbol" w:char="F0B0"/>
      </w:r>
    </w:p>
    <w:p w:rsidR="0045707C" w:rsidRPr="007F2496" w:rsidRDefault="0045707C" w:rsidP="0045707C">
      <w:r w:rsidRPr="007F2496">
        <w:rPr>
          <w:i/>
          <w:iCs/>
        </w:rPr>
        <w:t>d)</w:t>
      </w:r>
      <w:r w:rsidRPr="007F2496">
        <w:tab/>
        <w:t>que, pour les pays de la Région 2, 43 pays de la Région 1, l'Australie et Israël, dans la bande de fréquences 2 483,5-2 500 MHz, utilisée en partage par les systèmes à satellites non géostationnaires du SRRS et les systèmes du service fixe, la Note 9 du Tableau 5-2 de l'</w:t>
      </w:r>
      <w:r>
        <w:t>Appendice </w:t>
      </w:r>
      <w:r w:rsidRPr="007F2496">
        <w:rPr>
          <w:b/>
          <w:bCs/>
        </w:rPr>
        <w:t>5</w:t>
      </w:r>
      <w:r w:rsidRPr="007F2496">
        <w:t xml:space="preserve"> du RR définit le seuil de puissance surfacique suivant:</w:t>
      </w:r>
    </w:p>
    <w:p w:rsidR="0045707C" w:rsidRPr="007F2496" w:rsidRDefault="0045707C" w:rsidP="0045707C">
      <w:pPr>
        <w:pStyle w:val="enumlev3"/>
        <w:tabs>
          <w:tab w:val="left" w:pos="3969"/>
          <w:tab w:val="left" w:pos="6521"/>
        </w:tabs>
      </w:pPr>
      <w:r w:rsidRPr="007F2496">
        <w:rPr>
          <w:rFonts w:ascii="Symbol" w:hAnsi="Symbol"/>
        </w:rPr>
        <w:sym w:font="Symbol" w:char="F02D"/>
      </w:r>
      <w:r w:rsidRPr="007F2496">
        <w:t>128</w:t>
      </w:r>
      <w:r w:rsidRPr="007F2496">
        <w:tab/>
        <w:t>dB(W/(m</w:t>
      </w:r>
      <w:r w:rsidRPr="007F2496">
        <w:rPr>
          <w:position w:val="6"/>
          <w:sz w:val="20"/>
        </w:rPr>
        <w:t>2</w:t>
      </w:r>
      <w:r w:rsidRPr="007F2496">
        <w:t xml:space="preserve"> · MHz)) </w:t>
      </w:r>
      <w:r w:rsidRPr="007F2496">
        <w:tab/>
      </w:r>
      <w:r w:rsidRPr="007F2496">
        <w:tab/>
        <w:t>pour 0</w:t>
      </w:r>
      <w:r w:rsidRPr="007F2496">
        <w:rPr>
          <w:rFonts w:ascii="Symbol" w:hAnsi="Symbol"/>
        </w:rPr>
        <w:sym w:font="Symbol" w:char="F0B0"/>
      </w:r>
      <w:r w:rsidRPr="007F2496">
        <w:t xml:space="preserve"> </w:t>
      </w:r>
      <w:r w:rsidRPr="007F2496">
        <w:rPr>
          <w:rFonts w:ascii="Symbol" w:hAnsi="Symbol"/>
        </w:rPr>
        <w:sym w:font="Symbol" w:char="F0A3"/>
      </w:r>
      <w:r w:rsidRPr="007F2496">
        <w:t xml:space="preserve"> </w:t>
      </w:r>
      <w:r w:rsidRPr="007F2496">
        <w:rPr>
          <w:rFonts w:ascii="Symbol" w:hAnsi="Symbol"/>
        </w:rPr>
        <w:sym w:font="Symbol" w:char="F071"/>
      </w:r>
      <w:r w:rsidRPr="007F2496">
        <w:t xml:space="preserve"> </w:t>
      </w:r>
      <w:r w:rsidRPr="007F2496">
        <w:rPr>
          <w:rFonts w:ascii="Symbol" w:hAnsi="Symbol"/>
        </w:rPr>
        <w:sym w:font="Symbol" w:char="F0A3"/>
      </w:r>
      <w:r w:rsidRPr="007F2496">
        <w:t xml:space="preserve"> 90</w:t>
      </w:r>
      <w:r w:rsidRPr="007F2496">
        <w:rPr>
          <w:rFonts w:ascii="Symbol" w:hAnsi="Symbol"/>
        </w:rPr>
        <w:sym w:font="Symbol" w:char="F0B0"/>
      </w:r>
    </w:p>
    <w:p w:rsidR="0045707C" w:rsidRPr="007F2496" w:rsidRDefault="0045707C" w:rsidP="0045707C">
      <w:r w:rsidRPr="007F2496">
        <w:rPr>
          <w:i/>
          <w:iCs/>
        </w:rPr>
        <w:lastRenderedPageBreak/>
        <w:t>e)</w:t>
      </w:r>
      <w:r w:rsidRPr="007F2496">
        <w:tab/>
        <w:t>que les valeurs ci-dessus correspondent à des puissances surfaciques et à des angles d'incidence que l'on obtiendrait dans des conditions de propagation en espace libre;</w:t>
      </w:r>
    </w:p>
    <w:p w:rsidR="0045707C" w:rsidRPr="007F2496" w:rsidRDefault="0045707C" w:rsidP="0045707C">
      <w:r w:rsidRPr="007F2496">
        <w:rPr>
          <w:i/>
          <w:iCs/>
        </w:rPr>
        <w:t>f)</w:t>
      </w:r>
      <w:r w:rsidRPr="007F2496">
        <w:t xml:space="preserve"> </w:t>
      </w:r>
      <w:r w:rsidRPr="007F2496">
        <w:tab/>
        <w:t xml:space="preserve">que, dans la Région 1, les dispositions du numéro </w:t>
      </w:r>
      <w:r w:rsidRPr="007F2496">
        <w:rPr>
          <w:b/>
          <w:bCs/>
        </w:rPr>
        <w:t>5.398A</w:t>
      </w:r>
      <w:r w:rsidRPr="007F2496">
        <w:t xml:space="preserve"> du RR doivent être prises en considération,</w:t>
      </w:r>
    </w:p>
    <w:p w:rsidR="0045707C" w:rsidRPr="007F2496" w:rsidRDefault="0045707C" w:rsidP="0045707C">
      <w:pPr>
        <w:pStyle w:val="Call"/>
      </w:pPr>
      <w:r w:rsidRPr="007F2496">
        <w:t>recommande</w:t>
      </w:r>
    </w:p>
    <w:p w:rsidR="0045707C" w:rsidRPr="007F2496" w:rsidRDefault="0045707C" w:rsidP="0045707C">
      <w:pPr>
        <w:keepNext/>
        <w:keepLines/>
      </w:pPr>
      <w:r w:rsidRPr="007F2496">
        <w:rPr>
          <w:b/>
          <w:bCs/>
        </w:rPr>
        <w:t>1</w:t>
      </w:r>
      <w:r w:rsidRPr="007F2496">
        <w:tab/>
        <w:t xml:space="preserve">que, sous réserve d'un accord mutuel entre les administrations concernées, la méthode présentée dans l'Annexe 1 soit utilisée, dans le cadre de la coordination entre les systèmes du service fixe et ceux du SMS et du SRRS, pour déterminer l'incidence sur les systèmes du service fixe lorsque les seuils de puissance surfacique définis dans le Tableau 5-2 de l'Appendice </w:t>
      </w:r>
      <w:r w:rsidRPr="007F2496">
        <w:rPr>
          <w:b/>
        </w:rPr>
        <w:t>5</w:t>
      </w:r>
      <w:r w:rsidRPr="007F2496">
        <w:t xml:space="preserve"> du RR sont dépassés;</w:t>
      </w:r>
    </w:p>
    <w:p w:rsidR="0045707C" w:rsidRPr="007F2496" w:rsidRDefault="0045707C" w:rsidP="0045707C">
      <w:r w:rsidRPr="007F2496">
        <w:rPr>
          <w:b/>
          <w:bCs/>
        </w:rPr>
        <w:t>2</w:t>
      </w:r>
      <w:r w:rsidRPr="007F2496">
        <w:tab/>
        <w:t>que toute ambiguïté concernant certains paramètres utilisés dans la méthode décrite dans l'Annexe 1 soit levée sur la base d'un accord mutuel.</w:t>
      </w:r>
    </w:p>
    <w:p w:rsidR="0045707C" w:rsidRPr="007F2496" w:rsidRDefault="0045707C" w:rsidP="0045707C">
      <w:r w:rsidRPr="007F2496">
        <w:t xml:space="preserve">NOTE – L'Annexe 2 donne un exemple technique d'application de la méthode présentée dans l'Annexe 1. </w:t>
      </w:r>
    </w:p>
    <w:p w:rsidR="0045707C" w:rsidRPr="007F2496" w:rsidRDefault="0045707C" w:rsidP="0045707C"/>
    <w:p w:rsidR="0045707C" w:rsidRPr="007F2496" w:rsidRDefault="0045707C" w:rsidP="0045707C"/>
    <w:p w:rsidR="0045707C" w:rsidRPr="007F2496" w:rsidRDefault="0045707C" w:rsidP="00BA38F2">
      <w:pPr>
        <w:pStyle w:val="AnnexNoTitle"/>
      </w:pPr>
      <w:r w:rsidRPr="007F2496">
        <w:t>Annexe 1</w:t>
      </w:r>
      <w:r w:rsidRPr="007F2496">
        <w:br/>
      </w:r>
      <w:r w:rsidRPr="007F2496">
        <w:br/>
        <w:t>Détermination de la dégradation relative de la qualité de fonctionnement des systèmes du service fixe résultant des niveaux de puissance surfacique déclenchant la coordination dans la bande de fréquences 2 483,5-2 500 MHz</w:t>
      </w:r>
    </w:p>
    <w:p w:rsidR="0045707C" w:rsidRPr="007F2496" w:rsidRDefault="0045707C" w:rsidP="0045707C">
      <w:pPr>
        <w:pStyle w:val="Heading1"/>
        <w:spacing w:before="200"/>
        <w:ind w:left="0" w:firstLine="0"/>
      </w:pPr>
      <w:r w:rsidRPr="007F2496">
        <w:t>1</w:t>
      </w:r>
      <w:r w:rsidRPr="007F2496">
        <w:tab/>
        <w:t>Domaine d'application</w:t>
      </w:r>
    </w:p>
    <w:p w:rsidR="0045707C" w:rsidRPr="007F2496" w:rsidRDefault="0045707C" w:rsidP="0045707C">
      <w:r w:rsidRPr="007F2496">
        <w:t xml:space="preserve">On trouvera dans la présente Annexe la description d'une méthode générale, élaborée sur la base de Recommandations existantes de l'UIT-R, pour le calcul du brouillage cumulé causé par des engins spatiaux du SRRS et du SMS tel qu'il est vu par une station de Terre du service fixe. </w:t>
      </w:r>
    </w:p>
    <w:p w:rsidR="0045707C" w:rsidRPr="007F2496" w:rsidRDefault="0045707C" w:rsidP="0045707C">
      <w:r w:rsidRPr="007F2496">
        <w:t xml:space="preserve">Des exemples de niveau de brouillage cumulé causé par les constellations HIBLEO-X/HIBLEO-4 du SMS et Galileo du SRRS au service fixe sont donnés dans la Pièce jointe à l'Annexe 2. </w:t>
      </w:r>
    </w:p>
    <w:p w:rsidR="0045707C" w:rsidRPr="007F2496" w:rsidRDefault="0045707C" w:rsidP="0045707C">
      <w:pPr>
        <w:pStyle w:val="Heading1"/>
        <w:spacing w:before="200"/>
        <w:ind w:left="0" w:firstLine="0"/>
      </w:pPr>
      <w:r w:rsidRPr="007F2496">
        <w:t>2</w:t>
      </w:r>
      <w:r w:rsidRPr="007F2496">
        <w:tab/>
        <w:t>Méthode</w:t>
      </w:r>
      <w:r w:rsidRPr="007F2496">
        <w:rPr>
          <w:rStyle w:val="FootnoteReference"/>
        </w:rPr>
        <w:footnoteReference w:id="1"/>
      </w:r>
    </w:p>
    <w:p w:rsidR="0045707C" w:rsidRPr="007F2496" w:rsidRDefault="0045707C" w:rsidP="0045707C">
      <w:r w:rsidRPr="007F2496">
        <w:rPr>
          <w:szCs w:val="24"/>
        </w:rPr>
        <w:t xml:space="preserve">La méthode employée dans la Recommandation UIT-R F.1108, pour les faisceaux hertziens numériques, est utilisée conjointement avec la Recommandation UIT-R M.1143. </w:t>
      </w:r>
      <w:r w:rsidRPr="007F2496">
        <w:t xml:space="preserve">La Recommandation UIT-R F.1108 utilise le concept de dégradation relative de la qualité de fonctionnement (FDP) pour les stations numériques du service fixe. La dégradation FDP est l'augmentation relative du pourcentage de temps pendant lequel le critère de qualité de référence n'est pas satisfait en raison de la présence d'un brouillage. Dans la Recommandation UIT-R F.758-6, il a été proposé de considérer comme acceptable une dégradation FDP de 25% pour les systèmes fonctionnant dans la gamme de fréquences 2 483,5-2 500 MHz. </w:t>
      </w:r>
    </w:p>
    <w:p w:rsidR="0045707C" w:rsidRPr="007F2496" w:rsidRDefault="0045707C" w:rsidP="0045707C">
      <w:pPr>
        <w:rPr>
          <w:szCs w:val="24"/>
        </w:rPr>
      </w:pPr>
      <w:r w:rsidRPr="007F2496">
        <w:t>Le programme simule le brouillage causé au réseau du service fixe par la ou les constellations de satellites non géostationnaires de la manière indiquée ci-dessous</w:t>
      </w:r>
      <w:r w:rsidRPr="007F2496">
        <w:rPr>
          <w:szCs w:val="24"/>
        </w:rPr>
        <w:t>.</w:t>
      </w:r>
    </w:p>
    <w:p w:rsidR="0045707C" w:rsidRPr="007F2496" w:rsidRDefault="0045707C" w:rsidP="0045707C">
      <w:pPr>
        <w:pStyle w:val="Heading2"/>
        <w:rPr>
          <w:szCs w:val="24"/>
        </w:rPr>
      </w:pPr>
      <w:r w:rsidRPr="007F2496">
        <w:rPr>
          <w:szCs w:val="24"/>
        </w:rPr>
        <w:lastRenderedPageBreak/>
        <w:t>2.1</w:t>
      </w:r>
      <w:r w:rsidRPr="007F2496">
        <w:rPr>
          <w:szCs w:val="24"/>
        </w:rPr>
        <w:tab/>
      </w:r>
      <w:r w:rsidRPr="007F2496">
        <w:t>Boucle de calcul</w:t>
      </w:r>
    </w:p>
    <w:p w:rsidR="0045707C" w:rsidRPr="007F2496" w:rsidRDefault="0045707C" w:rsidP="0045707C">
      <w:pPr>
        <w:rPr>
          <w:szCs w:val="24"/>
        </w:rPr>
      </w:pPr>
      <w:r w:rsidRPr="007F2496">
        <w:t>Le programme calcule les vecteurs de position et de vitesse des satellites du système à satellites non OSG et des stations du système du service fixe à chaque instant considéré.</w:t>
      </w:r>
    </w:p>
    <w:p w:rsidR="0045707C" w:rsidRPr="007F2496" w:rsidRDefault="0045707C" w:rsidP="0045707C">
      <w:pPr>
        <w:keepLines/>
        <w:rPr>
          <w:szCs w:val="24"/>
        </w:rPr>
      </w:pPr>
      <w:r w:rsidRPr="007F2496">
        <w:rPr>
          <w:szCs w:val="24"/>
        </w:rPr>
        <w:t>Pour chaque intervalle de temps échantillonné, le programme calcule la puissance brouilleuse totale exercée sur chaque station du service fixe par tous les faisceaux ponctuels actifs de tous les satellites du SMS et du SRRS visibles ou de certains choisis de manière appropriée. Si la largeur de bande du récepteur de la station du service fixe ne couvre pas complètement celle du signal du SMS ou du SRRS, la puissance brouilleuse est réduite proportionnellement au facteur de largeur de bande. Dans le cas d'un système numérique, cette puissance brouilleuse est ramenée à 1 MHz.</w:t>
      </w:r>
    </w:p>
    <w:p w:rsidR="0045707C" w:rsidRPr="007F2496" w:rsidRDefault="0045707C" w:rsidP="0045707C">
      <w:pPr>
        <w:rPr>
          <w:szCs w:val="24"/>
        </w:rPr>
      </w:pPr>
      <w:r w:rsidRPr="007F2496">
        <w:t>La puissance de brouillage cumulée provenant de tous les faisceaux ponctuels actifs de tous les satellites visibles de la station du service fixe est déterminée par</w:t>
      </w:r>
      <w:r w:rsidRPr="007F2496">
        <w:rPr>
          <w:szCs w:val="24"/>
        </w:rPr>
        <w:t>:</w:t>
      </w:r>
    </w:p>
    <w:p w:rsidR="0045707C" w:rsidRPr="007F2496" w:rsidRDefault="0045707C" w:rsidP="0045707C">
      <w:pPr>
        <w:pStyle w:val="Equation"/>
      </w:pPr>
      <m:oMathPara>
        <m:oMath>
          <m:r>
            <w:rPr>
              <w:rFonts w:ascii="Cambria Math" w:hAnsi="Cambria Math"/>
            </w:rPr>
            <m:t>I</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S</m:t>
                  </m:r>
                </m:sup>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ij</m:t>
                          </m:r>
                        </m:sub>
                      </m:sSub>
                    </m:num>
                    <m:den>
                      <m:sSub>
                        <m:sSubPr>
                          <m:ctrlPr>
                            <w:rPr>
                              <w:rFonts w:ascii="Cambria Math" w:hAnsi="Cambria Math"/>
                            </w:rPr>
                          </m:ctrlPr>
                        </m:sSubPr>
                        <m:e>
                          <m:r>
                            <w:rPr>
                              <w:rFonts w:ascii="Cambria Math" w:hAnsi="Cambria Math"/>
                            </w:rPr>
                            <m:t>L</m:t>
                          </m:r>
                        </m:e>
                        <m:sub>
                          <m:r>
                            <w:rPr>
                              <w:rFonts w:ascii="Cambria Math" w:hAnsi="Cambria Math"/>
                            </w:rPr>
                            <m:t>i</m:t>
                          </m:r>
                        </m:sub>
                      </m:sSub>
                    </m:den>
                  </m:f>
                </m:e>
              </m:nary>
            </m:e>
          </m:nary>
          <m:r>
            <m:rPr>
              <m:sty m:val="p"/>
            </m:rPr>
            <w:rPr>
              <w:rFonts w:ascii="Cambria Math" w:hAnsi="Cambria Math"/>
            </w:rPr>
            <m:t xml:space="preserve">   </m:t>
          </m:r>
          <m:sSup>
            <m:sSupPr>
              <m:ctrlPr>
                <w:rPr>
                  <w:rFonts w:ascii="Cambria Math" w:hAnsi="Cambria Math"/>
                </w:rPr>
              </m:ctrlPr>
            </m:sSupPr>
            <m:e>
              <m:r>
                <w:rPr>
                  <w:rFonts w:ascii="Cambria Math" w:hAnsi="Cambria Math"/>
                </w:rPr>
                <m:t>G</m:t>
              </m:r>
            </m:e>
            <m:sup>
              <m:r>
                <m:rPr>
                  <m:sty m:val="p"/>
                </m:rPr>
                <w:rPr>
                  <w:rFonts w:ascii="Cambria Math" w:hAnsi="Cambria Math"/>
                </w:rPr>
                <m:t>3</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w:rPr>
                      <w:rFonts w:ascii="Cambria Math" w:hAnsi="Cambria Math"/>
                    </w:rPr>
                    <m:t>ij</m:t>
                  </m:r>
                </m:sub>
              </m:sSub>
            </m:e>
          </m:d>
          <m:sSup>
            <m:sSupPr>
              <m:ctrlPr>
                <w:rPr>
                  <w:rFonts w:ascii="Cambria Math" w:hAnsi="Cambria Math"/>
                </w:rPr>
              </m:ctrlPr>
            </m:sSupPr>
            <m:e>
              <m:r>
                <w:rPr>
                  <w:rFonts w:ascii="Cambria Math" w:hAnsi="Cambria Math"/>
                </w:rPr>
                <m:t>G</m:t>
              </m:r>
            </m:e>
            <m:sup>
              <m:r>
                <m:rPr>
                  <m:sty m:val="p"/>
                </m:rPr>
                <w:rPr>
                  <w:rFonts w:ascii="Cambria Math" w:hAnsi="Cambria Math"/>
                </w:rPr>
                <m:t>4</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w</m:t>
                  </m:r>
                </m:sub>
              </m:sSub>
            </m:num>
            <m:den>
              <m:sSub>
                <m:sSubPr>
                  <m:ctrlPr>
                    <w:rPr>
                      <w:rFonts w:ascii="Cambria Math" w:hAnsi="Cambria Math"/>
                    </w:rPr>
                  </m:ctrlPr>
                </m:sSubPr>
                <m:e>
                  <m:r>
                    <w:rPr>
                      <w:rFonts w:ascii="Cambria Math" w:hAnsi="Cambria Math"/>
                    </w:rPr>
                    <m:t>B</m:t>
                  </m:r>
                </m:e>
                <m:sub>
                  <m:r>
                    <w:rPr>
                      <w:rFonts w:ascii="Cambria Math" w:hAnsi="Cambria Math"/>
                    </w:rPr>
                    <m:t>ij</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F</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ij</m:t>
                  </m:r>
                </m:sub>
              </m:sSub>
            </m:den>
          </m:f>
        </m:oMath>
      </m:oMathPara>
    </w:p>
    <w:p w:rsidR="0045707C" w:rsidRPr="007F2496" w:rsidRDefault="0045707C" w:rsidP="0045707C">
      <w:pPr>
        <w:rPr>
          <w:szCs w:val="24"/>
        </w:rPr>
      </w:pPr>
      <w:r w:rsidRPr="007F2496">
        <w:rPr>
          <w:szCs w:val="24"/>
        </w:rPr>
        <w:t>où:</w:t>
      </w:r>
    </w:p>
    <w:p w:rsidR="0045707C" w:rsidRPr="0045707C" w:rsidRDefault="0045707C" w:rsidP="0045707C">
      <w:pPr>
        <w:pStyle w:val="Equationlegend"/>
        <w:rPr>
          <w:lang w:val="fr-CH"/>
        </w:rPr>
      </w:pPr>
      <w:r w:rsidRPr="0045707C">
        <w:rPr>
          <w:lang w:val="fr-CH"/>
        </w:rPr>
        <w:tab/>
      </w:r>
      <w:r w:rsidRPr="0045707C">
        <w:rPr>
          <w:i/>
          <w:lang w:val="fr-CH"/>
        </w:rPr>
        <w:t>I</w:t>
      </w:r>
      <w:r w:rsidRPr="0045707C">
        <w:rPr>
          <w:lang w:val="fr-CH"/>
        </w:rPr>
        <w:t> :</w:t>
      </w:r>
      <w:r w:rsidRPr="0045707C">
        <w:rPr>
          <w:lang w:val="fr-CH"/>
        </w:rPr>
        <w:tab/>
        <w:t>puissance de brouillage (W)</w:t>
      </w:r>
    </w:p>
    <w:p w:rsidR="0045707C" w:rsidRPr="0045707C" w:rsidRDefault="0045707C" w:rsidP="0045707C">
      <w:pPr>
        <w:pStyle w:val="Equationlegend"/>
        <w:rPr>
          <w:lang w:val="fr-CH"/>
        </w:rPr>
      </w:pPr>
      <w:r w:rsidRPr="0045707C">
        <w:rPr>
          <w:lang w:val="fr-CH"/>
        </w:rPr>
        <w:tab/>
      </w:r>
      <w:r w:rsidRPr="0045707C">
        <w:rPr>
          <w:i/>
          <w:lang w:val="fr-CH"/>
        </w:rPr>
        <w:t>i</w:t>
      </w:r>
      <w:r w:rsidRPr="0045707C">
        <w:rPr>
          <w:lang w:val="fr-CH"/>
        </w:rPr>
        <w:t> :</w:t>
      </w:r>
      <w:r w:rsidRPr="0045707C">
        <w:rPr>
          <w:lang w:val="fr-CH"/>
        </w:rPr>
        <w:tab/>
        <w:t xml:space="preserve">1 des </w:t>
      </w:r>
      <w:r w:rsidRPr="0045707C">
        <w:rPr>
          <w:i/>
          <w:lang w:val="fr-CH"/>
        </w:rPr>
        <w:t>N</w:t>
      </w:r>
      <w:r w:rsidRPr="0045707C">
        <w:rPr>
          <w:lang w:val="fr-CH"/>
        </w:rPr>
        <w:t xml:space="preserve"> satellites pris en compte dans le calcul de brouillage concernant la station du service fixe</w:t>
      </w:r>
    </w:p>
    <w:p w:rsidR="0045707C" w:rsidRPr="0045707C" w:rsidRDefault="0045707C" w:rsidP="0045707C">
      <w:pPr>
        <w:pStyle w:val="Equationlegend"/>
        <w:rPr>
          <w:lang w:val="fr-CH"/>
        </w:rPr>
      </w:pPr>
      <w:r w:rsidRPr="0045707C">
        <w:rPr>
          <w:lang w:val="fr-CH"/>
        </w:rPr>
        <w:tab/>
      </w:r>
      <w:r w:rsidRPr="0045707C">
        <w:rPr>
          <w:i/>
          <w:lang w:val="fr-CH"/>
        </w:rPr>
        <w:t>j</w:t>
      </w:r>
      <w:r w:rsidRPr="0045707C">
        <w:rPr>
          <w:lang w:val="fr-CH"/>
        </w:rPr>
        <w:t> :</w:t>
      </w:r>
      <w:r w:rsidRPr="0045707C">
        <w:rPr>
          <w:lang w:val="fr-CH"/>
        </w:rPr>
        <w:tab/>
        <w:t xml:space="preserve">1 des </w:t>
      </w:r>
      <w:r w:rsidRPr="0045707C">
        <w:rPr>
          <w:i/>
          <w:lang w:val="fr-CH"/>
        </w:rPr>
        <w:t>S</w:t>
      </w:r>
      <w:r w:rsidRPr="0045707C">
        <w:rPr>
          <w:lang w:val="fr-CH"/>
        </w:rPr>
        <w:t xml:space="preserve"> faisceaux ponctuels actifs du satellite du SMS (ou du SRRS) visible choisi dont des fréquences chevauchent celles du récepteur de la station du service fixe considérée, compte tenu du plan de réutilisation des fréquences par les faisceaux ponctuels du satellite</w:t>
      </w:r>
    </w:p>
    <w:p w:rsidR="0045707C" w:rsidRPr="0045707C" w:rsidRDefault="0045707C" w:rsidP="0045707C">
      <w:pPr>
        <w:pStyle w:val="Equationlegend"/>
        <w:rPr>
          <w:lang w:val="fr-CH"/>
        </w:rPr>
      </w:pPr>
      <w:r w:rsidRPr="0045707C">
        <w:rPr>
          <w:lang w:val="fr-CH"/>
        </w:rPr>
        <w:tab/>
      </w:r>
      <w:r w:rsidRPr="0045707C">
        <w:rPr>
          <w:i/>
          <w:lang w:val="fr-CH"/>
        </w:rPr>
        <w:t>E</w:t>
      </w:r>
      <w:r w:rsidRPr="0045707C">
        <w:rPr>
          <w:i/>
          <w:vertAlign w:val="subscript"/>
          <w:lang w:val="fr-CH"/>
        </w:rPr>
        <w:t>i</w:t>
      </w:r>
      <w:r w:rsidRPr="0045707C">
        <w:rPr>
          <w:i/>
          <w:position w:val="-4"/>
          <w:lang w:val="fr-CH"/>
        </w:rPr>
        <w:t>j</w:t>
      </w:r>
      <w:r w:rsidRPr="0045707C">
        <w:rPr>
          <w:lang w:val="fr-CH"/>
        </w:rPr>
        <w:t> :</w:t>
      </w:r>
      <w:r w:rsidRPr="0045707C">
        <w:rPr>
          <w:lang w:val="fr-CH"/>
        </w:rPr>
        <w:tab/>
        <w:t xml:space="preserve">densité maximale de p.i.r.e. par largeur de bande de référence à l'entrée de l'antenne pour le </w:t>
      </w:r>
      <w:r w:rsidRPr="0045707C">
        <w:rPr>
          <w:i/>
          <w:lang w:val="fr-CH"/>
        </w:rPr>
        <w:t>j</w:t>
      </w:r>
      <w:r w:rsidRPr="0045707C">
        <w:rPr>
          <w:vertAlign w:val="superscript"/>
          <w:lang w:val="fr-CH"/>
        </w:rPr>
        <w:t>e</w:t>
      </w:r>
      <w:r w:rsidRPr="0045707C">
        <w:rPr>
          <w:lang w:val="fr-CH"/>
        </w:rPr>
        <w:t xml:space="preserve"> faisceau ponctuel actif, dans sa direction de visée, du </w:t>
      </w:r>
      <w:r w:rsidRPr="0045707C">
        <w:rPr>
          <w:i/>
          <w:lang w:val="fr-CH"/>
        </w:rPr>
        <w:t>i</w:t>
      </w:r>
      <w:r w:rsidRPr="0045707C">
        <w:rPr>
          <w:vertAlign w:val="superscript"/>
          <w:lang w:val="fr-CH"/>
        </w:rPr>
        <w:t>e</w:t>
      </w:r>
      <w:r w:rsidRPr="0045707C">
        <w:rPr>
          <w:lang w:val="fr-CH"/>
        </w:rPr>
        <w:t xml:space="preserve"> satellite visible choisi (W/largeur de bande de référence)</w:t>
      </w:r>
    </w:p>
    <w:p w:rsidR="0045707C" w:rsidRPr="0045707C" w:rsidRDefault="0045707C" w:rsidP="0045707C">
      <w:pPr>
        <w:pStyle w:val="Equationlegend"/>
        <w:rPr>
          <w:lang w:val="fr-CH"/>
        </w:rPr>
      </w:pPr>
      <w:r w:rsidRPr="0045707C">
        <w:rPr>
          <w:lang w:val="fr-CH"/>
        </w:rPr>
        <w:tab/>
      </w:r>
      <w:r w:rsidRPr="0045707C">
        <w:rPr>
          <w:i/>
          <w:lang w:val="fr-CH"/>
        </w:rPr>
        <w:t>B</w:t>
      </w:r>
      <w:r w:rsidRPr="0045707C">
        <w:rPr>
          <w:i/>
          <w:position w:val="-4"/>
          <w:lang w:val="fr-CH"/>
        </w:rPr>
        <w:t>ij</w:t>
      </w:r>
      <w:r w:rsidRPr="0045707C">
        <w:rPr>
          <w:lang w:val="fr-CH"/>
        </w:rPr>
        <w:t> :</w:t>
      </w:r>
      <w:r w:rsidRPr="0045707C">
        <w:rPr>
          <w:lang w:val="fr-CH"/>
        </w:rPr>
        <w:tab/>
        <w:t xml:space="preserve">largeur de bande de référence correspondant au signal brouilleur émis par le </w:t>
      </w:r>
      <w:r w:rsidRPr="0045707C">
        <w:rPr>
          <w:i/>
          <w:lang w:val="fr-CH"/>
        </w:rPr>
        <w:t>j</w:t>
      </w:r>
      <w:r w:rsidRPr="0045707C">
        <w:rPr>
          <w:vertAlign w:val="superscript"/>
          <w:lang w:val="fr-CH"/>
        </w:rPr>
        <w:t>e</w:t>
      </w:r>
      <w:r w:rsidRPr="0045707C">
        <w:rPr>
          <w:lang w:val="fr-CH"/>
        </w:rPr>
        <w:t xml:space="preserve"> faisceau ponctuel actif du </w:t>
      </w:r>
      <w:r w:rsidRPr="0045707C">
        <w:rPr>
          <w:i/>
          <w:lang w:val="fr-CH"/>
        </w:rPr>
        <w:t>i</w:t>
      </w:r>
      <w:r w:rsidRPr="0045707C">
        <w:rPr>
          <w:vertAlign w:val="superscript"/>
          <w:lang w:val="fr-CH"/>
        </w:rPr>
        <w:t>e</w:t>
      </w:r>
      <w:r w:rsidRPr="0045707C">
        <w:rPr>
          <w:lang w:val="fr-CH"/>
        </w:rPr>
        <w:t> satellite visible choisi (kHz)</w:t>
      </w:r>
    </w:p>
    <w:p w:rsidR="0045707C" w:rsidRPr="0045707C" w:rsidRDefault="0045707C" w:rsidP="0045707C">
      <w:pPr>
        <w:pStyle w:val="Equationlegend"/>
        <w:rPr>
          <w:lang w:val="fr-CH"/>
        </w:rPr>
      </w:pPr>
      <w:r w:rsidRPr="0045707C">
        <w:rPr>
          <w:lang w:val="fr-CH"/>
        </w:rPr>
        <w:tab/>
      </w:r>
      <w:r w:rsidRPr="0045707C">
        <w:rPr>
          <w:i/>
          <w:lang w:val="fr-CH"/>
        </w:rPr>
        <w:t>G</w:t>
      </w:r>
      <w:r w:rsidRPr="0045707C">
        <w:rPr>
          <w:lang w:val="fr-CH"/>
        </w:rPr>
        <w:t> </w:t>
      </w:r>
      <w:r w:rsidRPr="0045707C">
        <w:rPr>
          <w:position w:val="6"/>
          <w:lang w:val="fr-CH"/>
        </w:rPr>
        <w:t>3</w:t>
      </w:r>
      <w:r w:rsidRPr="0045707C">
        <w:rPr>
          <w:lang w:val="fr-CH"/>
        </w:rPr>
        <w:t>(</w:t>
      </w:r>
      <w:r w:rsidRPr="007F2496">
        <w:rPr>
          <w:rFonts w:ascii="Symbol" w:hAnsi="Symbol"/>
        </w:rPr>
        <w:sym w:font="Symbol" w:char="F061"/>
      </w:r>
      <w:r w:rsidRPr="0045707C">
        <w:rPr>
          <w:i/>
          <w:position w:val="-4"/>
          <w:lang w:val="fr-CH"/>
        </w:rPr>
        <w:t>ij</w:t>
      </w:r>
      <w:r w:rsidRPr="0045707C">
        <w:rPr>
          <w:position w:val="-4"/>
          <w:lang w:val="fr-CH"/>
        </w:rPr>
        <w:t> </w:t>
      </w:r>
      <w:r w:rsidRPr="0045707C">
        <w:rPr>
          <w:lang w:val="fr-CH"/>
        </w:rPr>
        <w:t>) :</w:t>
      </w:r>
      <w:r w:rsidRPr="0045707C">
        <w:rPr>
          <w:lang w:val="fr-CH"/>
        </w:rPr>
        <w:tab/>
        <w:t xml:space="preserve">discrimination d'antenne du </w:t>
      </w:r>
      <w:r w:rsidRPr="0045707C">
        <w:rPr>
          <w:i/>
          <w:lang w:val="fr-CH"/>
        </w:rPr>
        <w:t>j</w:t>
      </w:r>
      <w:r w:rsidRPr="0045707C">
        <w:rPr>
          <w:vertAlign w:val="superscript"/>
          <w:lang w:val="fr-CH"/>
        </w:rPr>
        <w:t>e</w:t>
      </w:r>
      <w:r w:rsidRPr="0045707C">
        <w:rPr>
          <w:lang w:val="fr-CH"/>
        </w:rPr>
        <w:t xml:space="preserve"> faisceau ponctuel actif du </w:t>
      </w:r>
      <w:r w:rsidRPr="0045707C">
        <w:rPr>
          <w:i/>
          <w:lang w:val="fr-CH"/>
        </w:rPr>
        <w:t>i</w:t>
      </w:r>
      <w:r w:rsidRPr="0045707C">
        <w:rPr>
          <w:vertAlign w:val="superscript"/>
          <w:lang w:val="fr-CH"/>
        </w:rPr>
        <w:t>e</w:t>
      </w:r>
      <w:r w:rsidRPr="0045707C">
        <w:rPr>
          <w:lang w:val="fr-CH"/>
        </w:rPr>
        <w:t xml:space="preserve"> satellite visible choisi émettant en direction de la station du service fixe</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61"/>
      </w:r>
      <w:r w:rsidRPr="0045707C">
        <w:rPr>
          <w:i/>
          <w:position w:val="-4"/>
          <w:lang w:val="fr-CH"/>
        </w:rPr>
        <w:t>ij</w:t>
      </w:r>
      <w:r w:rsidRPr="0045707C">
        <w:rPr>
          <w:lang w:val="fr-CH"/>
        </w:rPr>
        <w:t> :</w:t>
      </w:r>
      <w:r w:rsidRPr="0045707C">
        <w:rPr>
          <w:lang w:val="fr-CH"/>
        </w:rPr>
        <w:tab/>
        <w:t xml:space="preserve">angle compris entre le vecteur de pointage de l'axe de visée du </w:t>
      </w:r>
      <w:r w:rsidRPr="0045707C">
        <w:rPr>
          <w:i/>
          <w:lang w:val="fr-CH"/>
        </w:rPr>
        <w:t>j</w:t>
      </w:r>
      <w:r w:rsidRPr="0045707C">
        <w:rPr>
          <w:vertAlign w:val="superscript"/>
          <w:lang w:val="fr-CH"/>
        </w:rPr>
        <w:t>e</w:t>
      </w:r>
      <w:r w:rsidRPr="0045707C">
        <w:rPr>
          <w:lang w:val="fr-CH"/>
        </w:rPr>
        <w:t xml:space="preserve"> faisceau ponctuel actif du </w:t>
      </w:r>
      <w:r w:rsidRPr="0045707C">
        <w:rPr>
          <w:i/>
          <w:lang w:val="fr-CH"/>
        </w:rPr>
        <w:t>i</w:t>
      </w:r>
      <w:r w:rsidRPr="0045707C">
        <w:rPr>
          <w:vertAlign w:val="superscript"/>
          <w:lang w:val="fr-CH"/>
        </w:rPr>
        <w:t>e</w:t>
      </w:r>
      <w:r w:rsidRPr="0045707C">
        <w:rPr>
          <w:lang w:val="fr-CH"/>
        </w:rPr>
        <w:t> satellite visible choisi et la station du service fixe (degrés)</w:t>
      </w:r>
    </w:p>
    <w:p w:rsidR="0045707C" w:rsidRPr="0045707C" w:rsidRDefault="0045707C" w:rsidP="0045707C">
      <w:pPr>
        <w:pStyle w:val="Equationlegend"/>
        <w:rPr>
          <w:lang w:val="fr-CH"/>
        </w:rPr>
      </w:pPr>
      <w:r w:rsidRPr="0045707C">
        <w:rPr>
          <w:lang w:val="fr-CH"/>
        </w:rPr>
        <w:tab/>
      </w:r>
      <w:r w:rsidRPr="0045707C">
        <w:rPr>
          <w:i/>
          <w:lang w:val="fr-CH"/>
        </w:rPr>
        <w:t>L</w:t>
      </w:r>
      <w:r w:rsidRPr="0045707C">
        <w:rPr>
          <w:i/>
          <w:position w:val="-4"/>
          <w:lang w:val="fr-CH"/>
        </w:rPr>
        <w:t>i</w:t>
      </w:r>
      <w:r w:rsidRPr="0045707C">
        <w:rPr>
          <w:lang w:val="fr-CH"/>
        </w:rPr>
        <w:t> :</w:t>
      </w:r>
      <w:r w:rsidRPr="0045707C">
        <w:rPr>
          <w:lang w:val="fr-CH"/>
        </w:rPr>
        <w:tab/>
        <w:t xml:space="preserve">affaiblissement en espace libre à la fréquence de référence donnée des signaux émis par le </w:t>
      </w:r>
      <w:r w:rsidRPr="0045707C">
        <w:rPr>
          <w:i/>
          <w:lang w:val="fr-CH"/>
        </w:rPr>
        <w:t>i</w:t>
      </w:r>
      <w:r w:rsidRPr="0045707C">
        <w:rPr>
          <w:vertAlign w:val="superscript"/>
          <w:lang w:val="fr-CH"/>
        </w:rPr>
        <w:t>e</w:t>
      </w:r>
      <w:r w:rsidRPr="0045707C">
        <w:rPr>
          <w:lang w:val="fr-CH"/>
        </w:rPr>
        <w:t xml:space="preserve"> satellite visible choisi en direction de la station du service fixe</w:t>
      </w:r>
    </w:p>
    <w:p w:rsidR="0045707C" w:rsidRPr="0045707C" w:rsidRDefault="0045707C" w:rsidP="0045707C">
      <w:pPr>
        <w:pStyle w:val="Equationlegend"/>
        <w:rPr>
          <w:lang w:val="fr-CH"/>
        </w:rPr>
      </w:pPr>
      <w:r w:rsidRPr="0045707C">
        <w:rPr>
          <w:lang w:val="fr-CH"/>
        </w:rPr>
        <w:tab/>
      </w:r>
      <w:r w:rsidRPr="0045707C">
        <w:rPr>
          <w:i/>
          <w:lang w:val="fr-CH"/>
        </w:rPr>
        <w:t>G</w:t>
      </w:r>
      <w:r w:rsidRPr="0045707C">
        <w:rPr>
          <w:lang w:val="fr-CH"/>
        </w:rPr>
        <w:t> </w:t>
      </w:r>
      <w:r w:rsidRPr="0045707C">
        <w:rPr>
          <w:position w:val="6"/>
          <w:lang w:val="fr-CH"/>
        </w:rPr>
        <w:t>4</w:t>
      </w:r>
      <w:r w:rsidRPr="0045707C">
        <w:rPr>
          <w:lang w:val="fr-CH"/>
        </w:rPr>
        <w:t>(</w:t>
      </w:r>
      <w:r w:rsidRPr="007F2496">
        <w:rPr>
          <w:rFonts w:ascii="Symbol" w:hAnsi="Symbol"/>
        </w:rPr>
        <w:sym w:font="Symbol" w:char="F071"/>
      </w:r>
      <w:r w:rsidRPr="0045707C">
        <w:rPr>
          <w:i/>
          <w:position w:val="-4"/>
          <w:lang w:val="fr-CH"/>
        </w:rPr>
        <w:t>i</w:t>
      </w:r>
      <w:r w:rsidRPr="0045707C">
        <w:rPr>
          <w:position w:val="-4"/>
          <w:lang w:val="fr-CH"/>
        </w:rPr>
        <w:t> </w:t>
      </w:r>
      <w:r w:rsidRPr="0045707C">
        <w:rPr>
          <w:lang w:val="fr-CH"/>
        </w:rPr>
        <w:t>) :</w:t>
      </w:r>
      <w:r w:rsidRPr="0045707C">
        <w:rPr>
          <w:lang w:val="fr-CH"/>
        </w:rPr>
        <w:tab/>
        <w:t xml:space="preserve">gain d'antenne de la station du service fixe dans la direction du </w:t>
      </w:r>
      <w:r w:rsidRPr="0045707C">
        <w:rPr>
          <w:i/>
          <w:lang w:val="fr-CH"/>
        </w:rPr>
        <w:t>i</w:t>
      </w:r>
      <w:r w:rsidRPr="0045707C">
        <w:rPr>
          <w:vertAlign w:val="superscript"/>
          <w:lang w:val="fr-CH"/>
        </w:rPr>
        <w:t>e</w:t>
      </w:r>
      <w:r w:rsidRPr="0045707C">
        <w:rPr>
          <w:lang w:val="fr-CH"/>
        </w:rPr>
        <w:t xml:space="preserve"> satellite visible choisi</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71"/>
      </w:r>
      <w:r w:rsidRPr="0045707C">
        <w:rPr>
          <w:i/>
          <w:position w:val="-4"/>
          <w:lang w:val="fr-CH"/>
        </w:rPr>
        <w:t>ik</w:t>
      </w:r>
      <w:r w:rsidRPr="0045707C">
        <w:rPr>
          <w:lang w:val="fr-CH"/>
        </w:rPr>
        <w:t> :</w:t>
      </w:r>
      <w:r w:rsidRPr="0045707C">
        <w:rPr>
          <w:lang w:val="fr-CH"/>
        </w:rPr>
        <w:tab/>
        <w:t xml:space="preserve">angle compris entre le vecteur de pointage de l'antenne de la station du service fixe et le vecteur de distance entre la station du service fixe et le </w:t>
      </w:r>
      <w:r w:rsidRPr="0045707C">
        <w:rPr>
          <w:i/>
          <w:lang w:val="fr-CH"/>
        </w:rPr>
        <w:t>i</w:t>
      </w:r>
      <w:r w:rsidRPr="0045707C">
        <w:rPr>
          <w:vertAlign w:val="superscript"/>
          <w:lang w:val="fr-CH"/>
        </w:rPr>
        <w:t>e</w:t>
      </w:r>
      <w:r w:rsidRPr="0045707C">
        <w:rPr>
          <w:lang w:val="fr-CH"/>
        </w:rPr>
        <w:t xml:space="preserve"> satellite visible choisi (degrés)</w:t>
      </w:r>
    </w:p>
    <w:p w:rsidR="0045707C" w:rsidRPr="0045707C" w:rsidRDefault="0045707C" w:rsidP="0045707C">
      <w:pPr>
        <w:pStyle w:val="Equationlegend"/>
        <w:rPr>
          <w:lang w:val="fr-CH"/>
        </w:rPr>
      </w:pPr>
      <w:r w:rsidRPr="0045707C">
        <w:rPr>
          <w:lang w:val="fr-CH"/>
        </w:rPr>
        <w:tab/>
      </w:r>
      <w:r w:rsidRPr="0045707C">
        <w:rPr>
          <w:i/>
          <w:lang w:val="fr-CH"/>
        </w:rPr>
        <w:t>B</w:t>
      </w:r>
      <w:r w:rsidRPr="0045707C">
        <w:rPr>
          <w:i/>
          <w:position w:val="-4"/>
          <w:lang w:val="fr-CH"/>
        </w:rPr>
        <w:t>w</w:t>
      </w:r>
      <w:r w:rsidRPr="0045707C">
        <w:rPr>
          <w:lang w:val="fr-CH"/>
        </w:rPr>
        <w:t> :</w:t>
      </w:r>
      <w:r w:rsidRPr="0045707C">
        <w:rPr>
          <w:lang w:val="fr-CH"/>
        </w:rPr>
        <w:tab/>
        <w:t>largeur de bande du récepteur de la station du service fixe affectée (1 MHz)</w:t>
      </w:r>
    </w:p>
    <w:p w:rsidR="0045707C" w:rsidRPr="0045707C" w:rsidRDefault="0045707C" w:rsidP="0045707C">
      <w:pPr>
        <w:pStyle w:val="Equationlegend"/>
        <w:rPr>
          <w:lang w:val="fr-CH"/>
        </w:rPr>
      </w:pPr>
      <w:r w:rsidRPr="0045707C">
        <w:rPr>
          <w:lang w:val="fr-CH"/>
        </w:rPr>
        <w:tab/>
      </w:r>
      <w:r w:rsidRPr="0045707C">
        <w:rPr>
          <w:i/>
          <w:lang w:val="fr-CH"/>
        </w:rPr>
        <w:t>F</w:t>
      </w:r>
      <w:r w:rsidRPr="0045707C">
        <w:rPr>
          <w:lang w:val="fr-CH"/>
        </w:rPr>
        <w:t> :</w:t>
      </w:r>
      <w:r w:rsidRPr="0045707C">
        <w:rPr>
          <w:lang w:val="fr-CH"/>
        </w:rPr>
        <w:tab/>
        <w:t>affaiblissement dans la ligne d'alimentation de la station du service fixe</w:t>
      </w:r>
    </w:p>
    <w:p w:rsidR="0045707C" w:rsidRPr="0045707C" w:rsidRDefault="0045707C" w:rsidP="0045707C">
      <w:pPr>
        <w:pStyle w:val="Equationlegend"/>
        <w:rPr>
          <w:lang w:val="fr-CH"/>
        </w:rPr>
      </w:pPr>
      <w:r w:rsidRPr="0045707C">
        <w:rPr>
          <w:lang w:val="fr-CH"/>
        </w:rPr>
        <w:tab/>
      </w:r>
      <w:r w:rsidRPr="0045707C">
        <w:rPr>
          <w:i/>
          <w:lang w:val="fr-CH"/>
        </w:rPr>
        <w:t>P</w:t>
      </w:r>
      <w:r w:rsidRPr="0045707C">
        <w:rPr>
          <w:i/>
          <w:position w:val="-4"/>
          <w:lang w:val="fr-CH"/>
        </w:rPr>
        <w:t>ij</w:t>
      </w:r>
      <w:r w:rsidRPr="0045707C">
        <w:rPr>
          <w:lang w:val="fr-CH"/>
        </w:rPr>
        <w:t> :</w:t>
      </w:r>
      <w:r w:rsidRPr="0045707C">
        <w:rPr>
          <w:lang w:val="fr-CH"/>
        </w:rPr>
        <w:tab/>
        <w:t xml:space="preserve">gain de polarisation entre le </w:t>
      </w:r>
      <w:r w:rsidRPr="0045707C">
        <w:rPr>
          <w:i/>
          <w:lang w:val="fr-CH"/>
        </w:rPr>
        <w:t>j</w:t>
      </w:r>
      <w:r w:rsidRPr="0045707C">
        <w:rPr>
          <w:vertAlign w:val="superscript"/>
          <w:lang w:val="fr-CH"/>
        </w:rPr>
        <w:t>e</w:t>
      </w:r>
      <w:r w:rsidRPr="0045707C">
        <w:rPr>
          <w:lang w:val="fr-CH"/>
        </w:rPr>
        <w:t xml:space="preserve"> faisceau ponctuel du </w:t>
      </w:r>
      <w:r w:rsidRPr="0045707C">
        <w:rPr>
          <w:i/>
          <w:lang w:val="fr-CH"/>
        </w:rPr>
        <w:t>i</w:t>
      </w:r>
      <w:r w:rsidRPr="0045707C">
        <w:rPr>
          <w:vertAlign w:val="superscript"/>
          <w:lang w:val="fr-CH"/>
        </w:rPr>
        <w:t>e</w:t>
      </w:r>
      <w:r w:rsidRPr="0045707C">
        <w:rPr>
          <w:lang w:val="fr-CH"/>
        </w:rPr>
        <w:t xml:space="preserve"> satellite du SMS (ou du SRRS) et la station du service fixe.</w:t>
      </w:r>
    </w:p>
    <w:p w:rsidR="0045707C" w:rsidRPr="007F2496" w:rsidRDefault="0045707C" w:rsidP="0045707C">
      <w:pPr>
        <w:rPr>
          <w:szCs w:val="24"/>
        </w:rPr>
      </w:pPr>
      <w:r w:rsidRPr="007F2496">
        <w:rPr>
          <w:szCs w:val="24"/>
        </w:rPr>
        <w:lastRenderedPageBreak/>
        <w:t xml:space="preserve">Le gain de polarisation </w:t>
      </w:r>
      <w:r w:rsidRPr="007F2496">
        <w:rPr>
          <w:i/>
        </w:rPr>
        <w:t>P</w:t>
      </w:r>
      <w:r w:rsidRPr="007F2496">
        <w:rPr>
          <w:i/>
          <w:position w:val="-4"/>
        </w:rPr>
        <w:t>ij</w:t>
      </w:r>
      <w:r w:rsidRPr="007F2496">
        <w:rPr>
          <w:szCs w:val="24"/>
        </w:rPr>
        <w:t xml:space="preserve"> doit être utilisé uniquement si le </w:t>
      </w:r>
      <w:r w:rsidRPr="007F2496">
        <w:rPr>
          <w:i/>
        </w:rPr>
        <w:t>i</w:t>
      </w:r>
      <w:r w:rsidRPr="007F2496">
        <w:rPr>
          <w:vertAlign w:val="superscript"/>
        </w:rPr>
        <w:t>e</w:t>
      </w:r>
      <w:r w:rsidRPr="007F2496">
        <w:rPr>
          <w:szCs w:val="24"/>
        </w:rPr>
        <w:t xml:space="preserve"> satellite du SMS (ou du SRRS) se situe à l'intérieur de l'ouverture de faisceau à 3 dB de l'antenne de la station du service fixe et si la station du service fixe se situe à l'intérieur de l'ouverture de faisceau à 3 dB du </w:t>
      </w:r>
      <w:r w:rsidRPr="007F2496">
        <w:rPr>
          <w:i/>
        </w:rPr>
        <w:t>j</w:t>
      </w:r>
      <w:r w:rsidRPr="007F2496">
        <w:rPr>
          <w:vertAlign w:val="superscript"/>
        </w:rPr>
        <w:t>e</w:t>
      </w:r>
      <w:r w:rsidRPr="007F2496">
        <w:rPr>
          <w:szCs w:val="24"/>
        </w:rPr>
        <w:t xml:space="preserve"> faisceau ponctuel du </w:t>
      </w:r>
      <w:r w:rsidRPr="007F2496">
        <w:rPr>
          <w:i/>
        </w:rPr>
        <w:t>i</w:t>
      </w:r>
      <w:r w:rsidRPr="007F2496">
        <w:rPr>
          <w:vertAlign w:val="superscript"/>
        </w:rPr>
        <w:t>e</w:t>
      </w:r>
      <w:r w:rsidRPr="007F2496">
        <w:rPr>
          <w:szCs w:val="24"/>
        </w:rPr>
        <w:t xml:space="preserve"> satellite du SMS (ou du SRRS).</w:t>
      </w:r>
      <w:r w:rsidRPr="007F2496">
        <w:rPr>
          <w:iCs/>
          <w:szCs w:val="24"/>
        </w:rPr>
        <w:t xml:space="preserve"> La formule de la Note 7 de la Recommandation UIT-R F.1245 permet de calculer </w:t>
      </w:r>
      <w:r w:rsidRPr="007F2496">
        <w:rPr>
          <w:i/>
        </w:rPr>
        <w:t>P</w:t>
      </w:r>
      <w:r w:rsidRPr="007F2496">
        <w:rPr>
          <w:i/>
          <w:position w:val="-4"/>
        </w:rPr>
        <w:t>ij</w:t>
      </w:r>
      <w:r w:rsidRPr="007F2496">
        <w:rPr>
          <w:iCs/>
          <w:szCs w:val="24"/>
        </w:rPr>
        <w:t>.</w:t>
      </w:r>
    </w:p>
    <w:p w:rsidR="0045707C" w:rsidRPr="007F2496" w:rsidRDefault="0045707C" w:rsidP="0045707C">
      <w:pPr>
        <w:pStyle w:val="Heading2"/>
      </w:pPr>
      <w:r w:rsidRPr="007F2496">
        <w:t>2.2</w:t>
      </w:r>
      <w:r w:rsidRPr="007F2496">
        <w:tab/>
        <w:t>Importance et nombre des étapes de la boucle de calcul</w:t>
      </w:r>
    </w:p>
    <w:p w:rsidR="0045707C" w:rsidRPr="007F2496" w:rsidRDefault="0045707C" w:rsidP="0045707C">
      <w:pPr>
        <w:rPr>
          <w:szCs w:val="24"/>
        </w:rPr>
      </w:pPr>
      <w:r w:rsidRPr="007F2496">
        <w:rPr>
          <w:szCs w:val="24"/>
        </w:rPr>
        <w:t xml:space="preserve">La précision escomptée des résultats exige l'utilisation d'un nombre suffisant d'échantillons prélevés à des moments convenablement choisis, compte tenu de tous les signaux brouilleurs affectant le récepteur de la station fixe. </w:t>
      </w:r>
    </w:p>
    <w:p w:rsidR="0045707C" w:rsidRPr="007F2496" w:rsidRDefault="0045707C" w:rsidP="0045707C">
      <w:pPr>
        <w:pStyle w:val="Heading3"/>
      </w:pPr>
      <w:r w:rsidRPr="007F2496">
        <w:t>2.2.1</w:t>
      </w:r>
      <w:r w:rsidRPr="007F2496">
        <w:tab/>
        <w:t>Incrément temporel</w:t>
      </w:r>
    </w:p>
    <w:p w:rsidR="0045707C" w:rsidRPr="007F2496" w:rsidRDefault="0045707C" w:rsidP="0045707C">
      <w:r w:rsidRPr="007F2496">
        <w:t xml:space="preserve">On utilise les formules ci-dessous, dont les étapes de leur calcul sont décrites en détail dans l'Appendice </w:t>
      </w:r>
      <w:r w:rsidRPr="007F2496">
        <w:rPr>
          <w:b/>
          <w:bCs/>
        </w:rPr>
        <w:t xml:space="preserve">4 </w:t>
      </w:r>
      <w:r w:rsidRPr="007F2496">
        <w:t xml:space="preserve">du RR. Puisque la vitesse du satellite est sensiblement la même au niveau de l'équateur et aux latitudes plus élevées, le calcul de l'incrément temporel de simulation </w:t>
      </w:r>
      <w:r w:rsidRPr="007F2496">
        <w:rPr>
          <w:rFonts w:ascii="Symbol" w:hAnsi="Symbol"/>
        </w:rPr>
        <w:sym w:font="Symbol" w:char="F044"/>
      </w:r>
      <w:r w:rsidRPr="007F2496">
        <w:rPr>
          <w:rFonts w:ascii="Tms Rmn" w:hAnsi="Tms Rmn"/>
          <w:sz w:val="8"/>
        </w:rPr>
        <w:t> </w:t>
      </w:r>
      <w:r w:rsidRPr="007F2496">
        <w:rPr>
          <w:i/>
        </w:rPr>
        <w:t>t</w:t>
      </w:r>
      <w:r w:rsidRPr="007F2496">
        <w:t xml:space="preserve"> est effectué pour un satellite au niveau de l'équateur, compte tenu de la rotation de la Terre, de l'inclinaison de l'orbite du satellite et de l'angle d'élévation de l'antenne de la station du service fixe. Le calcul de </w:t>
      </w:r>
      <w:r w:rsidRPr="007F2496">
        <w:rPr>
          <w:rFonts w:ascii="Symbol" w:hAnsi="Symbol"/>
        </w:rPr>
        <w:sym w:font="Symbol" w:char="F044"/>
      </w:r>
      <w:r w:rsidRPr="007F2496">
        <w:rPr>
          <w:rFonts w:ascii="Tms Rmn" w:hAnsi="Tms Rmn"/>
          <w:sz w:val="8"/>
        </w:rPr>
        <w:t> </w:t>
      </w:r>
      <w:r w:rsidRPr="007F2496">
        <w:rPr>
          <w:i/>
        </w:rPr>
        <w:t>t</w:t>
      </w:r>
      <w:r w:rsidRPr="007F2496">
        <w:t xml:space="preserve"> n'utilise pas le pire azimut du point de vue de la dégradation FDP, ni l'azimut du déplacement horizontal.</w:t>
      </w:r>
    </w:p>
    <w:p w:rsidR="0045707C" w:rsidRPr="007F2496" w:rsidRDefault="0045707C" w:rsidP="0045707C">
      <w:pPr>
        <w:pStyle w:val="Equation"/>
        <w:rPr>
          <w:szCs w:val="24"/>
        </w:rPr>
      </w:pPr>
      <w:r w:rsidRPr="007F2496">
        <w:rPr>
          <w:szCs w:val="24"/>
        </w:rPr>
        <w:tab/>
      </w:r>
      <w:r w:rsidRPr="007F2496">
        <w:rPr>
          <w:szCs w:val="24"/>
        </w:rPr>
        <w:tab/>
      </w:r>
      <w:r w:rsidRPr="007F2496">
        <w:rPr>
          <w:noProof/>
          <w:position w:val="-12"/>
          <w:szCs w:val="24"/>
          <w:lang w:val="en-US" w:eastAsia="zh-CN"/>
        </w:rPr>
        <w:drawing>
          <wp:inline distT="0" distB="0" distL="0" distR="0" wp14:anchorId="19988183" wp14:editId="0AAD2D20">
            <wp:extent cx="2546350" cy="285750"/>
            <wp:effectExtent l="0" t="0" r="6350" b="0"/>
            <wp:docPr id="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350" cy="285750"/>
                    </a:xfrm>
                    <a:prstGeom prst="rect">
                      <a:avLst/>
                    </a:prstGeom>
                    <a:noFill/>
                    <a:ln>
                      <a:noFill/>
                    </a:ln>
                  </pic:spPr>
                </pic:pic>
              </a:graphicData>
            </a:graphic>
          </wp:inline>
        </w:drawing>
      </w:r>
    </w:p>
    <w:p w:rsidR="0045707C" w:rsidRPr="007F2496" w:rsidRDefault="0045707C" w:rsidP="0045707C">
      <w:pPr>
        <w:pStyle w:val="Equation"/>
        <w:rPr>
          <w:szCs w:val="24"/>
        </w:rPr>
      </w:pPr>
      <w:r w:rsidRPr="007F2496">
        <w:rPr>
          <w:szCs w:val="24"/>
        </w:rPr>
        <w:tab/>
      </w:r>
      <w:r w:rsidRPr="007F2496">
        <w:rPr>
          <w:szCs w:val="24"/>
        </w:rPr>
        <w:tab/>
      </w:r>
      <w:r w:rsidRPr="007F2496">
        <w:rPr>
          <w:noProof/>
          <w:position w:val="-30"/>
          <w:szCs w:val="24"/>
          <w:lang w:val="en-US" w:eastAsia="zh-CN"/>
        </w:rPr>
        <w:drawing>
          <wp:inline distT="0" distB="0" distL="0" distR="0" wp14:anchorId="30A8D062" wp14:editId="574F1C70">
            <wp:extent cx="2070100" cy="457200"/>
            <wp:effectExtent l="0" t="0" r="6350" b="0"/>
            <wp:docPr id="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457200"/>
                    </a:xfrm>
                    <a:prstGeom prst="rect">
                      <a:avLst/>
                    </a:prstGeom>
                    <a:noFill/>
                    <a:ln>
                      <a:noFill/>
                    </a:ln>
                  </pic:spPr>
                </pic:pic>
              </a:graphicData>
            </a:graphic>
          </wp:inline>
        </w:drawing>
      </w:r>
    </w:p>
    <w:p w:rsidR="0045707C" w:rsidRPr="007F2496" w:rsidRDefault="0045707C" w:rsidP="0045707C">
      <w:pPr>
        <w:pStyle w:val="Equation"/>
        <w:rPr>
          <w:szCs w:val="24"/>
        </w:rPr>
      </w:pPr>
      <w:r w:rsidRPr="007F2496">
        <w:rPr>
          <w:szCs w:val="24"/>
        </w:rPr>
        <w:tab/>
      </w:r>
      <w:r w:rsidRPr="007F2496">
        <w:rPr>
          <w:szCs w:val="24"/>
        </w:rPr>
        <w:tab/>
      </w:r>
      <w:r w:rsidRPr="007F2496">
        <w:rPr>
          <w:noProof/>
          <w:position w:val="-28"/>
          <w:szCs w:val="24"/>
          <w:lang w:val="en-US" w:eastAsia="zh-CN"/>
        </w:rPr>
        <w:drawing>
          <wp:inline distT="0" distB="0" distL="0" distR="0" wp14:anchorId="1102D08E" wp14:editId="34077F39">
            <wp:extent cx="1365250" cy="412750"/>
            <wp:effectExtent l="0" t="0" r="6350" b="6350"/>
            <wp:docPr id="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5250" cy="412750"/>
                    </a:xfrm>
                    <a:prstGeom prst="rect">
                      <a:avLst/>
                    </a:prstGeom>
                    <a:noFill/>
                    <a:ln>
                      <a:noFill/>
                    </a:ln>
                  </pic:spPr>
                </pic:pic>
              </a:graphicData>
            </a:graphic>
          </wp:inline>
        </w:drawing>
      </w:r>
    </w:p>
    <w:p w:rsidR="0045707C" w:rsidRPr="007F2496" w:rsidRDefault="0045707C" w:rsidP="0045707C">
      <w:pPr>
        <w:rPr>
          <w:szCs w:val="24"/>
        </w:rPr>
      </w:pPr>
      <w:r w:rsidRPr="007F2496">
        <w:rPr>
          <w:szCs w:val="24"/>
        </w:rPr>
        <w:t>où:</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77"/>
      </w:r>
      <w:r w:rsidRPr="0045707C">
        <w:rPr>
          <w:rFonts w:ascii="Tms Rmn" w:hAnsi="Tms Rmn"/>
          <w:sz w:val="12"/>
          <w:lang w:val="fr-CH"/>
        </w:rPr>
        <w:t> </w:t>
      </w:r>
      <w:r w:rsidRPr="0045707C">
        <w:rPr>
          <w:lang w:val="fr-CH"/>
        </w:rPr>
        <w:t>:</w:t>
      </w:r>
      <w:r w:rsidRPr="0045707C">
        <w:rPr>
          <w:lang w:val="fr-CH"/>
        </w:rPr>
        <w:tab/>
        <w:t>vitesse angulaire du satellite dans un système de coordonnées terrestres fixe (système de coordonnées de référence géocentrique et géosynchrone)</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77"/>
      </w:r>
      <w:r w:rsidRPr="0045707C">
        <w:rPr>
          <w:i/>
          <w:vertAlign w:val="subscript"/>
          <w:lang w:val="fr-CH"/>
        </w:rPr>
        <w:t>s</w:t>
      </w:r>
      <w:r w:rsidRPr="0045707C">
        <w:rPr>
          <w:rFonts w:ascii="Tms Rmn" w:hAnsi="Tms Rmn"/>
          <w:sz w:val="12"/>
          <w:lang w:val="fr-CH"/>
        </w:rPr>
        <w:t> </w:t>
      </w:r>
      <w:r w:rsidRPr="0045707C">
        <w:rPr>
          <w:lang w:val="fr-CH"/>
        </w:rPr>
        <w:t>:</w:t>
      </w:r>
      <w:r w:rsidRPr="0045707C">
        <w:rPr>
          <w:lang w:val="fr-CH"/>
        </w:rPr>
        <w:tab/>
        <w:t xml:space="preserve">vitesse angulaire du satellite dans un système de coordonnées spatiales fixe (système de coordonnées de référence géocentrique et héliosynchrone) </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77"/>
      </w:r>
      <w:r w:rsidRPr="0045707C">
        <w:rPr>
          <w:i/>
          <w:vertAlign w:val="subscript"/>
          <w:lang w:val="fr-CH"/>
        </w:rPr>
        <w:t>e</w:t>
      </w:r>
      <w:r w:rsidRPr="0045707C">
        <w:rPr>
          <w:rFonts w:ascii="Tms Rmn" w:hAnsi="Tms Rmn"/>
          <w:sz w:val="12"/>
          <w:lang w:val="fr-CH"/>
        </w:rPr>
        <w:t> </w:t>
      </w:r>
      <w:r w:rsidRPr="0045707C">
        <w:rPr>
          <w:lang w:val="fr-CH"/>
        </w:rPr>
        <w:t>:</w:t>
      </w:r>
      <w:r w:rsidRPr="0045707C">
        <w:rPr>
          <w:lang w:val="fr-CH"/>
        </w:rPr>
        <w:tab/>
        <w:t>vitesse angulaire de rotation de la Terre à l'équateur</w:t>
      </w:r>
    </w:p>
    <w:p w:rsidR="0045707C" w:rsidRPr="0045707C" w:rsidRDefault="0045707C" w:rsidP="0045707C">
      <w:pPr>
        <w:pStyle w:val="Equationlegend"/>
        <w:rPr>
          <w:lang w:val="fr-CH"/>
        </w:rPr>
      </w:pPr>
      <w:r w:rsidRPr="0045707C">
        <w:rPr>
          <w:lang w:val="fr-CH"/>
        </w:rPr>
        <w:tab/>
      </w:r>
      <w:r w:rsidRPr="0045707C">
        <w:rPr>
          <w:i/>
          <w:lang w:val="fr-CH"/>
        </w:rPr>
        <w:t>I</w:t>
      </w:r>
      <w:r w:rsidRPr="0045707C">
        <w:rPr>
          <w:rFonts w:ascii="Tms Rmn" w:hAnsi="Tms Rmn"/>
          <w:sz w:val="12"/>
          <w:lang w:val="fr-CH"/>
        </w:rPr>
        <w:t> </w:t>
      </w:r>
      <w:r w:rsidRPr="0045707C">
        <w:rPr>
          <w:lang w:val="fr-CH"/>
        </w:rPr>
        <w:t>:</w:t>
      </w:r>
      <w:r w:rsidRPr="0045707C">
        <w:rPr>
          <w:lang w:val="fr-CH"/>
        </w:rPr>
        <w:tab/>
        <w:t xml:space="preserve">inclinaison de l'orbite du satellite </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71"/>
      </w:r>
      <w:r w:rsidRPr="007F2496">
        <w:rPr>
          <w:rFonts w:ascii="Symbol" w:hAnsi="Symbol"/>
          <w:vertAlign w:val="subscript"/>
        </w:rPr>
        <w:sym w:font="Symbol" w:char="F065"/>
      </w:r>
      <w:r w:rsidRPr="0045707C">
        <w:rPr>
          <w:rFonts w:ascii="Tms Rmn" w:hAnsi="Tms Rmn"/>
          <w:sz w:val="12"/>
          <w:lang w:val="fr-CH"/>
        </w:rPr>
        <w:t> </w:t>
      </w:r>
      <w:r w:rsidRPr="0045707C">
        <w:rPr>
          <w:lang w:val="fr-CH"/>
        </w:rPr>
        <w:t>:</w:t>
      </w:r>
      <w:r w:rsidRPr="0045707C">
        <w:rPr>
          <w:lang w:val="fr-CH"/>
        </w:rPr>
        <w:tab/>
        <w:t>angle géocentrique entre la direction de la station du service fixe et la direction du satellite</w:t>
      </w:r>
    </w:p>
    <w:p w:rsidR="0045707C" w:rsidRPr="0045707C" w:rsidRDefault="0045707C" w:rsidP="0045707C">
      <w:pPr>
        <w:pStyle w:val="Equationlegend"/>
        <w:rPr>
          <w:lang w:val="fr-CH"/>
        </w:rPr>
      </w:pPr>
      <w:r w:rsidRPr="0045707C">
        <w:rPr>
          <w:lang w:val="fr-CH"/>
        </w:rPr>
        <w:tab/>
      </w:r>
      <w:r w:rsidRPr="0045707C">
        <w:rPr>
          <w:i/>
          <w:lang w:val="fr-CH"/>
        </w:rPr>
        <w:t>R</w:t>
      </w:r>
      <w:r w:rsidRPr="0045707C">
        <w:rPr>
          <w:rFonts w:ascii="Tms Rmn" w:hAnsi="Tms Rmn"/>
          <w:sz w:val="12"/>
          <w:lang w:val="fr-CH"/>
        </w:rPr>
        <w:t> </w:t>
      </w:r>
      <w:r w:rsidRPr="0045707C">
        <w:rPr>
          <w:lang w:val="fr-CH"/>
        </w:rPr>
        <w:t>:</w:t>
      </w:r>
      <w:r w:rsidRPr="0045707C">
        <w:rPr>
          <w:lang w:val="fr-CH"/>
        </w:rPr>
        <w:tab/>
        <w:t>rayon de la Terre</w:t>
      </w:r>
    </w:p>
    <w:p w:rsidR="0045707C" w:rsidRPr="0045707C" w:rsidRDefault="0045707C" w:rsidP="0045707C">
      <w:pPr>
        <w:pStyle w:val="Equationlegend"/>
        <w:rPr>
          <w:lang w:val="fr-CH"/>
        </w:rPr>
      </w:pPr>
      <w:r w:rsidRPr="0045707C">
        <w:rPr>
          <w:lang w:val="fr-CH"/>
        </w:rPr>
        <w:tab/>
      </w:r>
      <w:r w:rsidRPr="0045707C">
        <w:rPr>
          <w:i/>
          <w:lang w:val="fr-CH"/>
        </w:rPr>
        <w:t>h</w:t>
      </w:r>
      <w:r w:rsidRPr="0045707C">
        <w:rPr>
          <w:rFonts w:ascii="Tms Rmn" w:hAnsi="Tms Rmn"/>
          <w:sz w:val="12"/>
          <w:lang w:val="fr-CH"/>
        </w:rPr>
        <w:t> </w:t>
      </w:r>
      <w:r w:rsidRPr="0045707C">
        <w:rPr>
          <w:lang w:val="fr-CH"/>
        </w:rPr>
        <w:t>:</w:t>
      </w:r>
      <w:r w:rsidRPr="0045707C">
        <w:rPr>
          <w:lang w:val="fr-CH"/>
        </w:rPr>
        <w:tab/>
        <w:t xml:space="preserve">altitude du satellite </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65"/>
      </w:r>
      <w:r w:rsidRPr="0045707C">
        <w:rPr>
          <w:rFonts w:ascii="Tms Rmn" w:hAnsi="Tms Rmn"/>
          <w:sz w:val="12"/>
          <w:lang w:val="fr-CH"/>
        </w:rPr>
        <w:t> </w:t>
      </w:r>
      <w:r w:rsidRPr="0045707C">
        <w:rPr>
          <w:lang w:val="fr-CH"/>
        </w:rPr>
        <w:t>:</w:t>
      </w:r>
      <w:r w:rsidRPr="0045707C">
        <w:rPr>
          <w:lang w:val="fr-CH"/>
        </w:rPr>
        <w:tab/>
        <w:t>angle d'élévation de l'antenne de la station du service fixe</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6A"/>
      </w:r>
      <w:r w:rsidRPr="0045707C">
        <w:rPr>
          <w:vertAlign w:val="subscript"/>
          <w:lang w:val="fr-CH"/>
        </w:rPr>
        <w:t>3dB</w:t>
      </w:r>
      <w:r w:rsidRPr="0045707C">
        <w:rPr>
          <w:rFonts w:ascii="Tms Rmn" w:hAnsi="Tms Rmn"/>
          <w:sz w:val="12"/>
          <w:lang w:val="fr-CH"/>
        </w:rPr>
        <w:t> </w:t>
      </w:r>
      <w:r w:rsidRPr="0045707C">
        <w:rPr>
          <w:lang w:val="fr-CH"/>
        </w:rPr>
        <w:t>:</w:t>
      </w:r>
      <w:r w:rsidRPr="0045707C">
        <w:rPr>
          <w:lang w:val="fr-CH"/>
        </w:rPr>
        <w:tab/>
        <w:t>ouverture de faisceau à 3 dB de la station du service fixe</w:t>
      </w:r>
    </w:p>
    <w:p w:rsidR="0045707C" w:rsidRPr="0045707C" w:rsidRDefault="0045707C" w:rsidP="0045707C">
      <w:pPr>
        <w:pStyle w:val="Equationlegend"/>
        <w:rPr>
          <w:lang w:val="fr-CH"/>
        </w:rPr>
      </w:pPr>
      <w:r w:rsidRPr="0045707C">
        <w:rPr>
          <w:lang w:val="fr-CH"/>
        </w:rPr>
        <w:tab/>
      </w:r>
      <w:r w:rsidRPr="0045707C">
        <w:rPr>
          <w:i/>
          <w:lang w:val="fr-CH"/>
        </w:rPr>
        <w:t>N</w:t>
      </w:r>
      <w:r w:rsidRPr="0045707C">
        <w:rPr>
          <w:i/>
          <w:vertAlign w:val="subscript"/>
          <w:lang w:val="fr-CH"/>
        </w:rPr>
        <w:t>hits</w:t>
      </w:r>
      <w:r w:rsidRPr="0045707C">
        <w:rPr>
          <w:rFonts w:ascii="Tms Rmn" w:hAnsi="Tms Rmn"/>
          <w:sz w:val="12"/>
          <w:lang w:val="fr-CH"/>
        </w:rPr>
        <w:t> </w:t>
      </w:r>
      <w:r w:rsidRPr="0045707C">
        <w:rPr>
          <w:lang w:val="fr-CH"/>
        </w:rPr>
        <w:t>:</w:t>
      </w:r>
      <w:r w:rsidRPr="0045707C">
        <w:rPr>
          <w:lang w:val="fr-CH"/>
        </w:rPr>
        <w:tab/>
        <w:t>nombre d'occurrences dans l'angle d'ouverture de faisceau à 3 dB de la station du service fixe</w:t>
      </w:r>
    </w:p>
    <w:p w:rsidR="0045707C" w:rsidRPr="0045707C" w:rsidRDefault="0045707C" w:rsidP="0045707C">
      <w:pPr>
        <w:pStyle w:val="Equationlegend"/>
        <w:rPr>
          <w:lang w:val="fr-CH"/>
        </w:rPr>
      </w:pPr>
      <w:r w:rsidRPr="0045707C">
        <w:rPr>
          <w:lang w:val="fr-CH"/>
        </w:rPr>
        <w:tab/>
      </w:r>
      <w:r w:rsidRPr="007F2496">
        <w:rPr>
          <w:rFonts w:ascii="Symbol" w:hAnsi="Symbol"/>
        </w:rPr>
        <w:sym w:font="Symbol" w:char="F044"/>
      </w:r>
      <w:r w:rsidRPr="0045707C">
        <w:rPr>
          <w:rFonts w:ascii="Tms Rmn" w:hAnsi="Tms Rmn"/>
          <w:sz w:val="6"/>
          <w:lang w:val="fr-CH"/>
        </w:rPr>
        <w:t> </w:t>
      </w:r>
      <w:r w:rsidRPr="0045707C">
        <w:rPr>
          <w:i/>
          <w:lang w:val="fr-CH"/>
        </w:rPr>
        <w:t>t</w:t>
      </w:r>
      <w:r w:rsidRPr="0045707C">
        <w:rPr>
          <w:rFonts w:ascii="Tms Rmn" w:hAnsi="Tms Rmn"/>
          <w:sz w:val="12"/>
          <w:lang w:val="fr-CH"/>
        </w:rPr>
        <w:t> </w:t>
      </w:r>
      <w:r w:rsidRPr="0045707C">
        <w:rPr>
          <w:lang w:val="fr-CH"/>
        </w:rPr>
        <w:t>:</w:t>
      </w:r>
      <w:r w:rsidRPr="0045707C">
        <w:rPr>
          <w:lang w:val="fr-CH"/>
        </w:rPr>
        <w:tab/>
        <w:t>incrément temporel de simulation.</w:t>
      </w:r>
    </w:p>
    <w:p w:rsidR="0045707C" w:rsidRPr="007F2496" w:rsidRDefault="0045707C" w:rsidP="0045707C">
      <w:pPr>
        <w:pStyle w:val="Heading2"/>
      </w:pPr>
      <w:r w:rsidRPr="007F2496">
        <w:lastRenderedPageBreak/>
        <w:t>2.3</w:t>
      </w:r>
      <w:r w:rsidRPr="007F2496">
        <w:tab/>
        <w:t>Critères de brouillage applicables – Système numérique du SF</w:t>
      </w:r>
    </w:p>
    <w:p w:rsidR="0045707C" w:rsidRPr="007F2496" w:rsidRDefault="0045707C" w:rsidP="0045707C">
      <w:pPr>
        <w:rPr>
          <w:szCs w:val="24"/>
        </w:rPr>
      </w:pPr>
      <w:r w:rsidRPr="007F2496">
        <w:t>Dans le cas d'un système numérique du service fixe, le programme calcule la dégradation FDP pour la station numérique conformément à l'Annexe 3 de la Recommandation UIT</w:t>
      </w:r>
      <w:r w:rsidRPr="007F2496">
        <w:noBreakHyphen/>
        <w:t>R F.1108</w:t>
      </w:r>
      <w:r w:rsidRPr="007F2496">
        <w:rPr>
          <w:szCs w:val="24"/>
        </w:rPr>
        <w:t>:</w:t>
      </w:r>
    </w:p>
    <w:p w:rsidR="0045707C" w:rsidRPr="007F2496" w:rsidRDefault="0045707C" w:rsidP="0045707C">
      <w:pPr>
        <w:pStyle w:val="Equation"/>
        <w:rPr>
          <w:szCs w:val="24"/>
        </w:rPr>
      </w:pPr>
      <w:r w:rsidRPr="007F2496">
        <w:rPr>
          <w:szCs w:val="24"/>
        </w:rPr>
        <w:tab/>
      </w:r>
      <w:r w:rsidRPr="007F2496">
        <w:rPr>
          <w:szCs w:val="24"/>
        </w:rPr>
        <w:tab/>
      </w:r>
      <w:r w:rsidRPr="007F2496">
        <w:rPr>
          <w:noProof/>
          <w:position w:val="-38"/>
          <w:szCs w:val="24"/>
          <w:lang w:val="en-US" w:eastAsia="zh-CN"/>
        </w:rPr>
        <w:drawing>
          <wp:inline distT="0" distB="0" distL="0" distR="0" wp14:anchorId="1EA88AEC" wp14:editId="42E631B6">
            <wp:extent cx="1250950" cy="508000"/>
            <wp:effectExtent l="0" t="0" r="0" b="6350"/>
            <wp:docPr id="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950" cy="508000"/>
                    </a:xfrm>
                    <a:prstGeom prst="rect">
                      <a:avLst/>
                    </a:prstGeom>
                    <a:noFill/>
                    <a:ln>
                      <a:noFill/>
                    </a:ln>
                  </pic:spPr>
                </pic:pic>
              </a:graphicData>
            </a:graphic>
          </wp:inline>
        </w:drawing>
      </w:r>
    </w:p>
    <w:p w:rsidR="0045707C" w:rsidRPr="007F2496" w:rsidRDefault="0045707C" w:rsidP="0045707C">
      <w:pPr>
        <w:keepNext/>
        <w:keepLines/>
        <w:rPr>
          <w:szCs w:val="24"/>
        </w:rPr>
      </w:pPr>
      <w:r w:rsidRPr="007F2496">
        <w:rPr>
          <w:szCs w:val="24"/>
        </w:rPr>
        <w:t>où:</w:t>
      </w:r>
    </w:p>
    <w:p w:rsidR="0045707C" w:rsidRPr="0045707C" w:rsidRDefault="0045707C" w:rsidP="0045707C">
      <w:pPr>
        <w:pStyle w:val="Equationlegend"/>
        <w:rPr>
          <w:i/>
          <w:lang w:val="fr-CH"/>
        </w:rPr>
      </w:pPr>
      <w:r w:rsidRPr="0045707C">
        <w:rPr>
          <w:lang w:val="fr-CH"/>
        </w:rPr>
        <w:tab/>
      </w:r>
      <w:r w:rsidRPr="0045707C">
        <w:rPr>
          <w:i/>
          <w:lang w:val="fr-CH"/>
        </w:rPr>
        <w:t>I</w:t>
      </w:r>
      <w:r w:rsidRPr="0045707C">
        <w:rPr>
          <w:lang w:val="fr-CH"/>
        </w:rPr>
        <w:t> :</w:t>
      </w:r>
      <w:r w:rsidRPr="0045707C">
        <w:rPr>
          <w:lang w:val="fr-CH"/>
        </w:rPr>
        <w:tab/>
        <w:t>puissance de brouillage dans la largeur de bande du récepteur du service fixe</w:t>
      </w:r>
      <w:r w:rsidRPr="0045707C">
        <w:rPr>
          <w:i/>
          <w:lang w:val="fr-CH"/>
        </w:rPr>
        <w:t xml:space="preserve"> B</w:t>
      </w:r>
      <w:r w:rsidRPr="0045707C">
        <w:rPr>
          <w:i/>
          <w:position w:val="-4"/>
          <w:lang w:val="fr-CH"/>
        </w:rPr>
        <w:t>w</w:t>
      </w:r>
    </w:p>
    <w:p w:rsidR="0045707C" w:rsidRPr="0045707C" w:rsidRDefault="0045707C" w:rsidP="0045707C">
      <w:pPr>
        <w:pStyle w:val="Equationlegend"/>
        <w:rPr>
          <w:i/>
          <w:lang w:val="fr-CH"/>
        </w:rPr>
      </w:pPr>
      <w:r w:rsidRPr="0045707C">
        <w:rPr>
          <w:lang w:val="fr-CH"/>
        </w:rPr>
        <w:tab/>
      </w:r>
      <w:r w:rsidRPr="0045707C">
        <w:rPr>
          <w:i/>
          <w:lang w:val="fr-CH"/>
        </w:rPr>
        <w:t>f</w:t>
      </w:r>
      <w:r w:rsidRPr="0045707C">
        <w:rPr>
          <w:i/>
          <w:position w:val="-4"/>
          <w:lang w:val="fr-CH"/>
        </w:rPr>
        <w:t>i</w:t>
      </w:r>
      <w:r w:rsidRPr="0045707C">
        <w:rPr>
          <w:lang w:val="fr-CH"/>
        </w:rPr>
        <w:t> :</w:t>
      </w:r>
      <w:r w:rsidRPr="0045707C">
        <w:rPr>
          <w:lang w:val="fr-CH"/>
        </w:rPr>
        <w:tab/>
        <w:t xml:space="preserve">fraction de temps pendant laquelle la puissance de brouillage est égale à </w:t>
      </w:r>
      <w:r w:rsidRPr="0045707C">
        <w:rPr>
          <w:i/>
          <w:lang w:val="fr-CH"/>
        </w:rPr>
        <w:t>I</w:t>
      </w:r>
    </w:p>
    <w:p w:rsidR="0045707C" w:rsidRPr="0045707C" w:rsidRDefault="0045707C" w:rsidP="0045707C">
      <w:pPr>
        <w:pStyle w:val="Equationlegend"/>
        <w:rPr>
          <w:i/>
          <w:lang w:val="fr-CH"/>
        </w:rPr>
      </w:pPr>
      <w:r w:rsidRPr="0045707C">
        <w:rPr>
          <w:lang w:val="fr-CH"/>
        </w:rPr>
        <w:tab/>
      </w:r>
      <w:r w:rsidRPr="0045707C">
        <w:rPr>
          <w:i/>
          <w:lang w:val="fr-CH"/>
        </w:rPr>
        <w:t>N</w:t>
      </w:r>
      <w:r w:rsidRPr="0045707C">
        <w:rPr>
          <w:i/>
          <w:position w:val="-4"/>
          <w:lang w:val="fr-CH"/>
        </w:rPr>
        <w:t>T</w:t>
      </w:r>
      <w:r w:rsidRPr="0045707C">
        <w:rPr>
          <w:lang w:val="fr-CH"/>
        </w:rPr>
        <w:t> :</w:t>
      </w:r>
      <w:r w:rsidRPr="0045707C">
        <w:rPr>
          <w:i/>
          <w:lang w:val="fr-CH"/>
        </w:rPr>
        <w:tab/>
      </w:r>
      <w:r w:rsidRPr="0045707C">
        <w:rPr>
          <w:iCs/>
          <w:lang w:val="fr-CH"/>
        </w:rPr>
        <w:t xml:space="preserve">niveau de </w:t>
      </w:r>
      <w:r w:rsidRPr="0045707C">
        <w:rPr>
          <w:lang w:val="fr-CH"/>
        </w:rPr>
        <w:t>puissance de bruit du système de réception de la station.</w:t>
      </w:r>
    </w:p>
    <w:p w:rsidR="0045707C" w:rsidRPr="007F2496" w:rsidRDefault="0045707C" w:rsidP="0045707C">
      <w:pPr>
        <w:pStyle w:val="Equation"/>
        <w:rPr>
          <w:i/>
        </w:rPr>
      </w:pPr>
      <w:r w:rsidRPr="007F2496">
        <w:tab/>
      </w:r>
      <w:r w:rsidRPr="007F2496">
        <w:tab/>
      </w:r>
      <w:r w:rsidRPr="007F2496">
        <w:rPr>
          <w:i/>
        </w:rPr>
        <w:t>N</w:t>
      </w:r>
      <w:r w:rsidRPr="007F2496">
        <w:rPr>
          <w:i/>
          <w:position w:val="-4"/>
        </w:rPr>
        <w:t>T</w:t>
      </w:r>
      <w:r w:rsidRPr="007F2496">
        <w:t xml:space="preserve">  =  </w:t>
      </w:r>
      <w:r w:rsidRPr="007F2496">
        <w:rPr>
          <w:i/>
        </w:rPr>
        <w:t>k</w:t>
      </w:r>
      <w:r w:rsidRPr="007F2496">
        <w:t xml:space="preserve"> </w:t>
      </w:r>
      <w:r w:rsidRPr="007F2496">
        <w:rPr>
          <w:i/>
        </w:rPr>
        <w:t>T</w:t>
      </w:r>
      <w:r w:rsidRPr="007F2496">
        <w:t xml:space="preserve"> </w:t>
      </w:r>
      <w:r w:rsidRPr="007F2496">
        <w:rPr>
          <w:i/>
        </w:rPr>
        <w:t>B</w:t>
      </w:r>
      <w:r w:rsidRPr="007F2496">
        <w:rPr>
          <w:i/>
          <w:position w:val="-4"/>
        </w:rPr>
        <w:t>w</w:t>
      </w:r>
    </w:p>
    <w:p w:rsidR="0045707C" w:rsidRPr="007F2496" w:rsidRDefault="0045707C" w:rsidP="0045707C">
      <w:pPr>
        <w:keepNext/>
        <w:keepLines/>
      </w:pPr>
      <w:r w:rsidRPr="007F2496">
        <w:rPr>
          <w:szCs w:val="24"/>
        </w:rPr>
        <w:t>où</w:t>
      </w:r>
      <w:r w:rsidRPr="007F2496">
        <w:t>:</w:t>
      </w:r>
    </w:p>
    <w:p w:rsidR="0045707C" w:rsidRPr="0045707C" w:rsidRDefault="0045707C" w:rsidP="0045707C">
      <w:pPr>
        <w:pStyle w:val="Equationlegend"/>
        <w:keepNext/>
        <w:keepLines/>
        <w:rPr>
          <w:lang w:val="fr-CH"/>
        </w:rPr>
      </w:pPr>
      <w:r w:rsidRPr="0045707C">
        <w:rPr>
          <w:lang w:val="fr-CH"/>
        </w:rPr>
        <w:tab/>
      </w:r>
      <w:r w:rsidRPr="0045707C">
        <w:rPr>
          <w:i/>
          <w:lang w:val="fr-CH"/>
        </w:rPr>
        <w:t>k</w:t>
      </w:r>
      <w:r w:rsidRPr="0045707C">
        <w:rPr>
          <w:lang w:val="fr-CH"/>
        </w:rPr>
        <w:t> :</w:t>
      </w:r>
      <w:r w:rsidRPr="0045707C">
        <w:rPr>
          <w:lang w:val="fr-CH"/>
        </w:rPr>
        <w:tab/>
        <w:t>constante de Boltzmann</w:t>
      </w:r>
    </w:p>
    <w:p w:rsidR="0045707C" w:rsidRPr="0045707C" w:rsidRDefault="0045707C" w:rsidP="0045707C">
      <w:pPr>
        <w:pStyle w:val="Equationlegend"/>
        <w:rPr>
          <w:lang w:val="fr-CH"/>
        </w:rPr>
      </w:pPr>
      <w:r w:rsidRPr="0045707C">
        <w:rPr>
          <w:lang w:val="fr-CH"/>
        </w:rPr>
        <w:tab/>
      </w:r>
      <w:r w:rsidRPr="0045707C">
        <w:rPr>
          <w:i/>
          <w:lang w:val="fr-CH"/>
        </w:rPr>
        <w:t>T</w:t>
      </w:r>
      <w:r w:rsidRPr="0045707C">
        <w:rPr>
          <w:lang w:val="fr-CH"/>
        </w:rPr>
        <w:t> :</w:t>
      </w:r>
      <w:r w:rsidRPr="0045707C">
        <w:rPr>
          <w:lang w:val="fr-CH"/>
        </w:rPr>
        <w:tab/>
        <w:t>température de bruit équivalente du système de réception de la station du service fixe (K)</w:t>
      </w:r>
    </w:p>
    <w:p w:rsidR="0045707C" w:rsidRPr="0045707C" w:rsidRDefault="0045707C" w:rsidP="0045707C">
      <w:pPr>
        <w:pStyle w:val="Equationlegend"/>
        <w:rPr>
          <w:lang w:val="fr-CH"/>
        </w:rPr>
      </w:pPr>
      <w:r w:rsidRPr="0045707C">
        <w:rPr>
          <w:lang w:val="fr-CH"/>
        </w:rPr>
        <w:tab/>
      </w:r>
      <w:r w:rsidRPr="0045707C">
        <w:rPr>
          <w:i/>
          <w:lang w:val="fr-CH"/>
        </w:rPr>
        <w:t>B</w:t>
      </w:r>
      <w:r w:rsidRPr="0045707C">
        <w:rPr>
          <w:i/>
          <w:position w:val="-4"/>
          <w:lang w:val="fr-CH"/>
        </w:rPr>
        <w:t>w</w:t>
      </w:r>
      <w:r w:rsidRPr="0045707C">
        <w:rPr>
          <w:lang w:val="fr-CH"/>
        </w:rPr>
        <w:t> :</w:t>
      </w:r>
      <w:r w:rsidRPr="0045707C">
        <w:rPr>
          <w:lang w:val="fr-CH"/>
        </w:rPr>
        <w:tab/>
        <w:t>largeur de bande du récepteur du service fixe (habituellement, la FDP est calculée dans une largeur de bande de référence de 1 MHz).</w:t>
      </w:r>
    </w:p>
    <w:p w:rsidR="0045707C" w:rsidRPr="007F2496" w:rsidRDefault="0045707C" w:rsidP="0045707C">
      <w:pPr>
        <w:rPr>
          <w:szCs w:val="24"/>
        </w:rPr>
      </w:pPr>
      <w:r w:rsidRPr="007F2496">
        <w:t>Pour déterminer si la coordination est nécessaire ou non en ce qui concerne les systèmes numériques du service fixe, il faut comparer la dégradation FDP ca</w:t>
      </w:r>
      <w:r>
        <w:t>lculée au critère applicable de </w:t>
      </w:r>
      <w:r w:rsidRPr="007F2496">
        <w:t>25%.</w:t>
      </w:r>
    </w:p>
    <w:p w:rsidR="0045707C" w:rsidRPr="007F2496" w:rsidRDefault="0045707C" w:rsidP="0045707C">
      <w:pPr>
        <w:rPr>
          <w:szCs w:val="24"/>
        </w:rPr>
      </w:pPr>
    </w:p>
    <w:p w:rsidR="0045707C" w:rsidRDefault="0045707C" w:rsidP="0045707C">
      <w:pPr>
        <w:rPr>
          <w:szCs w:val="24"/>
        </w:rPr>
      </w:pPr>
    </w:p>
    <w:p w:rsidR="00DA0E34" w:rsidRDefault="00DA0E34" w:rsidP="0045707C">
      <w:pPr>
        <w:rPr>
          <w:szCs w:val="24"/>
        </w:rPr>
      </w:pPr>
    </w:p>
    <w:p w:rsidR="00DA0E34" w:rsidRDefault="00DA0E34" w:rsidP="0045707C">
      <w:pPr>
        <w:rPr>
          <w:szCs w:val="24"/>
        </w:rPr>
      </w:pPr>
    </w:p>
    <w:p w:rsidR="00DA0E34" w:rsidRPr="007F2496" w:rsidRDefault="00DA0E34" w:rsidP="0045707C">
      <w:pPr>
        <w:rPr>
          <w:szCs w:val="24"/>
        </w:rPr>
      </w:pPr>
    </w:p>
    <w:p w:rsidR="0045707C" w:rsidRPr="007F2496" w:rsidRDefault="0045707C" w:rsidP="00BA38F2">
      <w:pPr>
        <w:pStyle w:val="AnnexNoTitle"/>
      </w:pPr>
      <w:r w:rsidRPr="007F2496">
        <w:t>Annexe 2</w:t>
      </w:r>
      <w:r w:rsidRPr="007F2496">
        <w:br/>
      </w:r>
      <w:r w:rsidRPr="007F2496">
        <w:br/>
        <w:t>Exemple technique d'analyses de brouillages</w:t>
      </w:r>
    </w:p>
    <w:p w:rsidR="0045707C" w:rsidRPr="007F2496" w:rsidRDefault="0045707C" w:rsidP="0045707C">
      <w:pPr>
        <w:pStyle w:val="Heading1"/>
      </w:pPr>
      <w:r w:rsidRPr="007F2496">
        <w:t>1</w:t>
      </w:r>
      <w:r w:rsidRPr="007F2496">
        <w:tab/>
        <w:t>Caractéristiques des systèmes du SMS, du SRRS et du service fixe</w:t>
      </w:r>
    </w:p>
    <w:p w:rsidR="0045707C" w:rsidRPr="007F2496" w:rsidRDefault="0045707C" w:rsidP="0045707C">
      <w:pPr>
        <w:pStyle w:val="Heading2"/>
      </w:pPr>
      <w:r w:rsidRPr="007F2496">
        <w:t>1.1</w:t>
      </w:r>
      <w:r w:rsidRPr="007F2496">
        <w:tab/>
        <w:t>Caractéristiques des systèmes du SMS dans la bande de fréquences 2 48</w:t>
      </w:r>
      <w:r>
        <w:t>3,5</w:t>
      </w:r>
      <w:r>
        <w:noBreakHyphen/>
      </w:r>
      <w:r w:rsidRPr="007F2496">
        <w:t>2 500 MHz</w:t>
      </w:r>
    </w:p>
    <w:p w:rsidR="0045707C" w:rsidRDefault="0045707C" w:rsidP="0045707C">
      <w:r w:rsidRPr="007F2496">
        <w:t>Les caractéristiques qui ont été utilisées pour le système non OSG du SMS considéré dans les analyses sont celles indiquées dans le Tableau 1.</w:t>
      </w:r>
    </w:p>
    <w:p w:rsidR="00DA0E34" w:rsidRDefault="00DA0E34">
      <w:pPr>
        <w:tabs>
          <w:tab w:val="clear" w:pos="794"/>
          <w:tab w:val="clear" w:pos="1191"/>
          <w:tab w:val="clear" w:pos="1588"/>
          <w:tab w:val="clear" w:pos="1985"/>
        </w:tabs>
        <w:overflowPunct/>
        <w:autoSpaceDE/>
        <w:autoSpaceDN/>
        <w:adjustRightInd/>
        <w:spacing w:before="0"/>
        <w:jc w:val="left"/>
        <w:textAlignment w:val="auto"/>
      </w:pPr>
      <w:r>
        <w:br w:type="page"/>
      </w:r>
    </w:p>
    <w:p w:rsidR="0045707C" w:rsidRPr="007F2496" w:rsidRDefault="0045707C" w:rsidP="0045707C">
      <w:pPr>
        <w:pStyle w:val="TableNo"/>
      </w:pPr>
      <w:bookmarkStart w:id="5" w:name="_Ref304323052"/>
      <w:r w:rsidRPr="007F2496">
        <w:lastRenderedPageBreak/>
        <w:t>TABLE</w:t>
      </w:r>
      <w:r w:rsidR="00DA0E34" w:rsidRPr="007F2496">
        <w:t>AU</w:t>
      </w:r>
      <w:r w:rsidRPr="007F2496">
        <w:t xml:space="preserve"> 1</w:t>
      </w:r>
      <w:bookmarkEnd w:id="5"/>
    </w:p>
    <w:p w:rsidR="0045707C" w:rsidRPr="007F2496" w:rsidRDefault="0045707C" w:rsidP="0045707C">
      <w:pPr>
        <w:pStyle w:val="Tabletitle"/>
      </w:pPr>
      <w:r w:rsidRPr="007F2496">
        <w:t>Paramètres types pour le système du service mobile par satellite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819"/>
        <w:gridCol w:w="4037"/>
        <w:gridCol w:w="783"/>
      </w:tblGrid>
      <w:tr w:rsidR="0045707C" w:rsidRPr="007F2496" w:rsidTr="00DA0E34">
        <w:trPr>
          <w:tblHeader/>
          <w:jc w:val="center"/>
        </w:trPr>
        <w:tc>
          <w:tcPr>
            <w:tcW w:w="4819" w:type="dxa"/>
          </w:tcPr>
          <w:p w:rsidR="0045707C" w:rsidRPr="007F2496" w:rsidRDefault="0045707C" w:rsidP="00DA0E34">
            <w:pPr>
              <w:pStyle w:val="Tablehead"/>
            </w:pPr>
            <w:r w:rsidRPr="007F2496">
              <w:t>Désignation du système</w:t>
            </w:r>
          </w:p>
        </w:tc>
        <w:tc>
          <w:tcPr>
            <w:tcW w:w="4820" w:type="dxa"/>
            <w:gridSpan w:val="2"/>
          </w:tcPr>
          <w:p w:rsidR="0045707C" w:rsidRPr="007F2496" w:rsidRDefault="0045707C" w:rsidP="00DA0E34">
            <w:pPr>
              <w:pStyle w:val="Tablehead"/>
            </w:pPr>
            <w:r w:rsidRPr="007F2496">
              <w:t>HIBLEO-4/HIBLEO-X</w:t>
            </w:r>
          </w:p>
        </w:tc>
      </w:tr>
      <w:tr w:rsidR="0045707C" w:rsidRPr="007F2496" w:rsidTr="00DA0E34">
        <w:trPr>
          <w:jc w:val="center"/>
        </w:trPr>
        <w:tc>
          <w:tcPr>
            <w:tcW w:w="4819" w:type="dxa"/>
          </w:tcPr>
          <w:p w:rsidR="0045707C" w:rsidRPr="007F2496" w:rsidRDefault="0045707C" w:rsidP="00DA0E34">
            <w:pPr>
              <w:pStyle w:val="Tabletext"/>
            </w:pPr>
            <w:r w:rsidRPr="007F2496">
              <w:t>Altitude</w:t>
            </w:r>
          </w:p>
        </w:tc>
        <w:tc>
          <w:tcPr>
            <w:tcW w:w="4820" w:type="dxa"/>
            <w:gridSpan w:val="2"/>
          </w:tcPr>
          <w:p w:rsidR="0045707C" w:rsidRPr="007F2496" w:rsidRDefault="0045707C" w:rsidP="00DA0E34">
            <w:pPr>
              <w:pStyle w:val="Tabletext"/>
            </w:pPr>
            <w:r w:rsidRPr="007F2496">
              <w:t>1 414 km</w:t>
            </w:r>
          </w:p>
        </w:tc>
      </w:tr>
      <w:tr w:rsidR="0045707C" w:rsidRPr="007F2496" w:rsidTr="00DA0E34">
        <w:trPr>
          <w:jc w:val="center"/>
        </w:trPr>
        <w:tc>
          <w:tcPr>
            <w:tcW w:w="4819" w:type="dxa"/>
          </w:tcPr>
          <w:p w:rsidR="0045707C" w:rsidRPr="007F2496" w:rsidRDefault="0045707C" w:rsidP="00DA0E34">
            <w:pPr>
              <w:pStyle w:val="Tabletext"/>
            </w:pPr>
            <w:r w:rsidRPr="007F2496">
              <w:t>Inclinaison</w:t>
            </w:r>
          </w:p>
        </w:tc>
        <w:tc>
          <w:tcPr>
            <w:tcW w:w="4820" w:type="dxa"/>
            <w:gridSpan w:val="2"/>
          </w:tcPr>
          <w:p w:rsidR="0045707C" w:rsidRPr="007F2496" w:rsidRDefault="0045707C" w:rsidP="00DA0E34">
            <w:pPr>
              <w:pStyle w:val="Tabletext"/>
            </w:pPr>
            <w:r w:rsidRPr="007F2496">
              <w:t>52 degrés</w:t>
            </w:r>
          </w:p>
        </w:tc>
      </w:tr>
      <w:tr w:rsidR="0045707C" w:rsidRPr="007F2496" w:rsidTr="00DA0E34">
        <w:trPr>
          <w:jc w:val="center"/>
        </w:trPr>
        <w:tc>
          <w:tcPr>
            <w:tcW w:w="4819" w:type="dxa"/>
          </w:tcPr>
          <w:p w:rsidR="0045707C" w:rsidRPr="007F2496" w:rsidRDefault="0045707C" w:rsidP="00DA0E34">
            <w:pPr>
              <w:pStyle w:val="Tabletext"/>
            </w:pPr>
            <w:r w:rsidRPr="007F2496">
              <w:t>Nombre de plans orbitaux</w:t>
            </w:r>
          </w:p>
        </w:tc>
        <w:tc>
          <w:tcPr>
            <w:tcW w:w="4820" w:type="dxa"/>
            <w:gridSpan w:val="2"/>
          </w:tcPr>
          <w:p w:rsidR="0045707C" w:rsidRPr="007F2496" w:rsidRDefault="0045707C" w:rsidP="00DA0E34">
            <w:pPr>
              <w:pStyle w:val="Tabletext"/>
            </w:pPr>
            <w:r w:rsidRPr="007F2496">
              <w:t>8</w:t>
            </w:r>
          </w:p>
        </w:tc>
      </w:tr>
      <w:tr w:rsidR="0045707C" w:rsidRPr="007F2496" w:rsidTr="00DA0E34">
        <w:trPr>
          <w:jc w:val="center"/>
        </w:trPr>
        <w:tc>
          <w:tcPr>
            <w:tcW w:w="4819" w:type="dxa"/>
          </w:tcPr>
          <w:p w:rsidR="0045707C" w:rsidRPr="007F2496" w:rsidRDefault="0045707C" w:rsidP="00DA0E34">
            <w:pPr>
              <w:pStyle w:val="Tabletext"/>
            </w:pPr>
            <w:r w:rsidRPr="007F2496">
              <w:t>Nombre de satellites par plan</w:t>
            </w:r>
          </w:p>
        </w:tc>
        <w:tc>
          <w:tcPr>
            <w:tcW w:w="4820" w:type="dxa"/>
            <w:gridSpan w:val="2"/>
          </w:tcPr>
          <w:p w:rsidR="0045707C" w:rsidRPr="007F2496" w:rsidRDefault="0045707C" w:rsidP="00DA0E34">
            <w:pPr>
              <w:pStyle w:val="Tabletext"/>
            </w:pPr>
            <w:r w:rsidRPr="007F2496">
              <w:t>6 espacés tous les 60 degrés</w:t>
            </w:r>
          </w:p>
        </w:tc>
      </w:tr>
      <w:tr w:rsidR="0045707C" w:rsidRPr="007F2496" w:rsidTr="00DA0E34">
        <w:trPr>
          <w:jc w:val="center"/>
        </w:trPr>
        <w:tc>
          <w:tcPr>
            <w:tcW w:w="4819" w:type="dxa"/>
          </w:tcPr>
          <w:p w:rsidR="0045707C" w:rsidRPr="007F2496" w:rsidRDefault="0045707C" w:rsidP="00DA0E34">
            <w:pPr>
              <w:pStyle w:val="Tabletext"/>
            </w:pPr>
            <w:r w:rsidRPr="007F2496">
              <w:t>Mise en phase*</w:t>
            </w:r>
          </w:p>
        </w:tc>
        <w:tc>
          <w:tcPr>
            <w:tcW w:w="4820" w:type="dxa"/>
            <w:gridSpan w:val="2"/>
          </w:tcPr>
          <w:p w:rsidR="0045707C" w:rsidRPr="007F2496" w:rsidRDefault="0045707C" w:rsidP="00DA0E34">
            <w:pPr>
              <w:pStyle w:val="Tabletext"/>
            </w:pPr>
            <w:r w:rsidRPr="007F2496">
              <w:t>7,5 degrés</w:t>
            </w:r>
          </w:p>
        </w:tc>
      </w:tr>
      <w:tr w:rsidR="0045707C" w:rsidRPr="007F2496" w:rsidTr="00DA0E34">
        <w:trPr>
          <w:jc w:val="center"/>
        </w:trPr>
        <w:tc>
          <w:tcPr>
            <w:tcW w:w="4819" w:type="dxa"/>
          </w:tcPr>
          <w:p w:rsidR="0045707C" w:rsidRPr="007F2496" w:rsidRDefault="0045707C" w:rsidP="00DA0E34">
            <w:pPr>
              <w:pStyle w:val="Tabletext"/>
            </w:pPr>
            <w:r w:rsidRPr="007F2496">
              <w:t>Type d'antenne</w:t>
            </w:r>
          </w:p>
        </w:tc>
        <w:tc>
          <w:tcPr>
            <w:tcW w:w="4820" w:type="dxa"/>
            <w:gridSpan w:val="2"/>
          </w:tcPr>
          <w:p w:rsidR="0045707C" w:rsidRPr="007F2496" w:rsidRDefault="0045707C" w:rsidP="00DA0E34">
            <w:pPr>
              <w:pStyle w:val="Tabletext"/>
            </w:pPr>
            <w:r w:rsidRPr="007F2496">
              <w:t>Multifaisceaux</w:t>
            </w:r>
          </w:p>
        </w:tc>
      </w:tr>
      <w:tr w:rsidR="0045707C" w:rsidRPr="007F2496" w:rsidTr="00DA0E34">
        <w:trPr>
          <w:jc w:val="center"/>
        </w:trPr>
        <w:tc>
          <w:tcPr>
            <w:tcW w:w="4819" w:type="dxa"/>
          </w:tcPr>
          <w:p w:rsidR="0045707C" w:rsidRPr="007F2496" w:rsidRDefault="0045707C" w:rsidP="00DA0E34">
            <w:pPr>
              <w:pStyle w:val="Tabletext"/>
            </w:pPr>
            <w:r w:rsidRPr="007F2496">
              <w:t>Gain moyen</w:t>
            </w:r>
          </w:p>
        </w:tc>
        <w:tc>
          <w:tcPr>
            <w:tcW w:w="4820" w:type="dxa"/>
            <w:gridSpan w:val="2"/>
          </w:tcPr>
          <w:p w:rsidR="0045707C" w:rsidRPr="007F2496" w:rsidRDefault="0045707C" w:rsidP="00DA0E34">
            <w:pPr>
              <w:pStyle w:val="Tabletext"/>
            </w:pPr>
            <w:r w:rsidRPr="007F2496">
              <w:t>15,0 dBi</w:t>
            </w:r>
          </w:p>
        </w:tc>
      </w:tr>
      <w:tr w:rsidR="0045707C" w:rsidRPr="007F2496" w:rsidTr="00DA0E34">
        <w:trPr>
          <w:jc w:val="center"/>
        </w:trPr>
        <w:tc>
          <w:tcPr>
            <w:tcW w:w="4819" w:type="dxa"/>
          </w:tcPr>
          <w:p w:rsidR="0045707C" w:rsidRPr="007F2496" w:rsidRDefault="0045707C" w:rsidP="00DA0E34">
            <w:pPr>
              <w:pStyle w:val="Tabletext"/>
            </w:pPr>
            <w:r w:rsidRPr="007F2496">
              <w:t>Ouverture angulaire moyenne du faisceau à 3 dB</w:t>
            </w:r>
          </w:p>
        </w:tc>
        <w:tc>
          <w:tcPr>
            <w:tcW w:w="4820" w:type="dxa"/>
            <w:gridSpan w:val="2"/>
          </w:tcPr>
          <w:p w:rsidR="0045707C" w:rsidRPr="007F2496" w:rsidRDefault="0045707C" w:rsidP="00DA0E34">
            <w:pPr>
              <w:pStyle w:val="Tabletext"/>
            </w:pPr>
            <w:r w:rsidRPr="007F2496">
              <w:t>25,3 degrés</w:t>
            </w:r>
          </w:p>
        </w:tc>
      </w:tr>
      <w:tr w:rsidR="0045707C" w:rsidRPr="007F2496" w:rsidTr="00DA0E34">
        <w:trPr>
          <w:jc w:val="center"/>
        </w:trPr>
        <w:tc>
          <w:tcPr>
            <w:tcW w:w="4819" w:type="dxa"/>
          </w:tcPr>
          <w:p w:rsidR="0045707C" w:rsidRPr="007F2496" w:rsidRDefault="0045707C" w:rsidP="00DA0E34">
            <w:pPr>
              <w:pStyle w:val="Tabletext"/>
            </w:pPr>
            <w:r w:rsidRPr="007F2496">
              <w:t>Polarisation</w:t>
            </w:r>
          </w:p>
        </w:tc>
        <w:tc>
          <w:tcPr>
            <w:tcW w:w="4820" w:type="dxa"/>
            <w:gridSpan w:val="2"/>
          </w:tcPr>
          <w:p w:rsidR="0045707C" w:rsidRPr="007F2496" w:rsidRDefault="0045707C" w:rsidP="00DA0E34">
            <w:pPr>
              <w:pStyle w:val="Tabletext"/>
            </w:pPr>
            <w:r w:rsidRPr="007F2496">
              <w:t>Circulaire lévogyre</w:t>
            </w:r>
          </w:p>
        </w:tc>
      </w:tr>
      <w:tr w:rsidR="0045707C" w:rsidRPr="007F2496" w:rsidTr="00DA0E34">
        <w:trPr>
          <w:jc w:val="center"/>
        </w:trPr>
        <w:tc>
          <w:tcPr>
            <w:tcW w:w="4819" w:type="dxa"/>
          </w:tcPr>
          <w:p w:rsidR="0045707C" w:rsidRPr="007F2496" w:rsidRDefault="0045707C" w:rsidP="00DA0E34">
            <w:pPr>
              <w:pStyle w:val="Tabletext"/>
            </w:pPr>
            <w:r w:rsidRPr="007F2496">
              <w:t>Largeur de bande du signal</w:t>
            </w:r>
          </w:p>
        </w:tc>
        <w:tc>
          <w:tcPr>
            <w:tcW w:w="4820" w:type="dxa"/>
            <w:gridSpan w:val="2"/>
          </w:tcPr>
          <w:p w:rsidR="0045707C" w:rsidRPr="007F2496" w:rsidRDefault="0045707C" w:rsidP="00DA0E34">
            <w:pPr>
              <w:pStyle w:val="Tabletext"/>
            </w:pPr>
            <w:r w:rsidRPr="007F2496">
              <w:t xml:space="preserve">13 </w:t>
            </w:r>
            <w:r w:rsidRPr="007F2496">
              <w:rPr>
                <w:rFonts w:ascii="Symbol" w:hAnsi="Symbol"/>
              </w:rPr>
              <w:sym w:font="Symbol" w:char="F0B4"/>
            </w:r>
            <w:r w:rsidRPr="007F2496">
              <w:t xml:space="preserve"> 1,23 MHz = 16,5 MHz</w:t>
            </w:r>
          </w:p>
        </w:tc>
      </w:tr>
      <w:tr w:rsidR="0045707C" w:rsidRPr="007F2496" w:rsidTr="00DA0E34">
        <w:trPr>
          <w:jc w:val="center"/>
        </w:trPr>
        <w:tc>
          <w:tcPr>
            <w:tcW w:w="4819" w:type="dxa"/>
          </w:tcPr>
          <w:p w:rsidR="0045707C" w:rsidRPr="007F2496" w:rsidRDefault="0045707C" w:rsidP="00DA0E34">
            <w:pPr>
              <w:pStyle w:val="Tabletext"/>
            </w:pPr>
            <w:r w:rsidRPr="007F2496">
              <w:t>Fréquence centrale du signal</w:t>
            </w:r>
          </w:p>
        </w:tc>
        <w:tc>
          <w:tcPr>
            <w:tcW w:w="4820" w:type="dxa"/>
            <w:gridSpan w:val="2"/>
          </w:tcPr>
          <w:p w:rsidR="0045707C" w:rsidRPr="007F2496" w:rsidRDefault="0045707C" w:rsidP="00DA0E34">
            <w:pPr>
              <w:pStyle w:val="Tabletext"/>
            </w:pPr>
            <w:r w:rsidRPr="007F2496">
              <w:t>2 491,75 MHz</w:t>
            </w:r>
          </w:p>
        </w:tc>
      </w:tr>
      <w:tr w:rsidR="0045707C" w:rsidRPr="007F2496" w:rsidTr="00DA0E34">
        <w:trPr>
          <w:jc w:val="center"/>
        </w:trPr>
        <w:tc>
          <w:tcPr>
            <w:tcW w:w="4819" w:type="dxa"/>
          </w:tcPr>
          <w:p w:rsidR="0045707C" w:rsidRPr="007F2496" w:rsidRDefault="0045707C" w:rsidP="00DA0E34">
            <w:pPr>
              <w:pStyle w:val="Tabletext"/>
            </w:pPr>
            <w:r w:rsidRPr="007F2496">
              <w:t>Température de bruit du récepteur du terminal d'utilisateur</w:t>
            </w:r>
          </w:p>
        </w:tc>
        <w:tc>
          <w:tcPr>
            <w:tcW w:w="4820" w:type="dxa"/>
            <w:gridSpan w:val="2"/>
          </w:tcPr>
          <w:p w:rsidR="0045707C" w:rsidRPr="007F2496" w:rsidRDefault="0045707C" w:rsidP="00DA0E34">
            <w:pPr>
              <w:pStyle w:val="Tabletext"/>
            </w:pPr>
            <w:r w:rsidRPr="007F2496">
              <w:t>300 K</w:t>
            </w:r>
          </w:p>
        </w:tc>
      </w:tr>
      <w:tr w:rsidR="0045707C" w:rsidRPr="007F2496" w:rsidTr="00DA0E34">
        <w:trPr>
          <w:jc w:val="center"/>
        </w:trPr>
        <w:tc>
          <w:tcPr>
            <w:tcW w:w="4819" w:type="dxa"/>
          </w:tcPr>
          <w:p w:rsidR="0045707C" w:rsidRPr="007F2496" w:rsidRDefault="0045707C" w:rsidP="00DA0E34">
            <w:pPr>
              <w:pStyle w:val="Tabletext"/>
            </w:pPr>
            <w:r w:rsidRPr="007F2496">
              <w:t>Gain d'antenne du récepteur du terminal d'utilisateur</w:t>
            </w:r>
          </w:p>
        </w:tc>
        <w:tc>
          <w:tcPr>
            <w:tcW w:w="4820" w:type="dxa"/>
            <w:gridSpan w:val="2"/>
          </w:tcPr>
          <w:p w:rsidR="0045707C" w:rsidRPr="007F2496" w:rsidRDefault="0045707C" w:rsidP="00DA0E34">
            <w:pPr>
              <w:pStyle w:val="Tabletext"/>
            </w:pPr>
            <w:r w:rsidRPr="007F2496">
              <w:t>2,7 dBi</w:t>
            </w:r>
          </w:p>
        </w:tc>
      </w:tr>
      <w:tr w:rsidR="0045707C" w:rsidRPr="007F2496" w:rsidTr="00DA0E34">
        <w:trPr>
          <w:jc w:val="center"/>
        </w:trPr>
        <w:tc>
          <w:tcPr>
            <w:tcW w:w="4819" w:type="dxa"/>
          </w:tcPr>
          <w:p w:rsidR="0045707C" w:rsidRPr="007F2496" w:rsidRDefault="0045707C" w:rsidP="00DA0E34">
            <w:pPr>
              <w:pStyle w:val="Tabletext"/>
            </w:pPr>
            <w:r w:rsidRPr="007F2496">
              <w:t>Ouverture du faisceau de l'antenne du récepteur du terminal d'utilisateur</w:t>
            </w:r>
          </w:p>
        </w:tc>
        <w:tc>
          <w:tcPr>
            <w:tcW w:w="4820" w:type="dxa"/>
            <w:gridSpan w:val="2"/>
          </w:tcPr>
          <w:p w:rsidR="0045707C" w:rsidRPr="007F2496" w:rsidRDefault="0045707C" w:rsidP="00DA0E34">
            <w:pPr>
              <w:pStyle w:val="Tabletext"/>
            </w:pPr>
            <w:r w:rsidRPr="007F2496">
              <w:t>126 degrés</w:t>
            </w:r>
          </w:p>
        </w:tc>
      </w:tr>
      <w:tr w:rsidR="0045707C" w:rsidRPr="007F2496" w:rsidTr="00DA0E34">
        <w:trPr>
          <w:gridAfter w:val="1"/>
          <w:wAfter w:w="783" w:type="dxa"/>
          <w:jc w:val="center"/>
        </w:trPr>
        <w:tc>
          <w:tcPr>
            <w:tcW w:w="8856" w:type="dxa"/>
            <w:gridSpan w:val="2"/>
            <w:tcBorders>
              <w:left w:val="nil"/>
              <w:bottom w:val="nil"/>
              <w:right w:val="nil"/>
            </w:tcBorders>
          </w:tcPr>
          <w:p w:rsidR="0045707C" w:rsidRPr="007F2496" w:rsidRDefault="0045707C" w:rsidP="00DA0E34">
            <w:pPr>
              <w:pStyle w:val="Tabletext"/>
              <w:ind w:left="284" w:hanging="284"/>
            </w:pPr>
            <w:r w:rsidRPr="007F2496">
              <w:t>*</w:t>
            </w:r>
            <w:r w:rsidRPr="007F2496">
              <w:tab/>
              <w:t>L'angle de phase initial (ω</w:t>
            </w:r>
            <w:r w:rsidRPr="007F2496">
              <w:rPr>
                <w:i/>
                <w:iCs/>
                <w:vertAlign w:val="subscript"/>
              </w:rPr>
              <w:t>i</w:t>
            </w:r>
            <w:r w:rsidRPr="007F2496">
              <w:t xml:space="preserve">) du </w:t>
            </w:r>
            <w:r w:rsidRPr="007F2496">
              <w:rPr>
                <w:i/>
                <w:iCs/>
              </w:rPr>
              <w:t>i</w:t>
            </w:r>
            <w:r w:rsidRPr="007F2496">
              <w:t>-ème satellite dans son plan orbital à l'instant de référence t = 0, mesuré à partir du point du nœud ascendant (0° ≤ ω</w:t>
            </w:r>
            <w:r w:rsidRPr="007F2496">
              <w:rPr>
                <w:i/>
                <w:iCs/>
                <w:vertAlign w:val="subscript"/>
              </w:rPr>
              <w:t>i</w:t>
            </w:r>
            <w:r w:rsidRPr="007F2496">
              <w:t xml:space="preserve"> &lt; 360°).</w:t>
            </w:r>
          </w:p>
        </w:tc>
      </w:tr>
    </w:tbl>
    <w:p w:rsidR="00DA0E34" w:rsidRPr="006037FF" w:rsidRDefault="00DA0E34" w:rsidP="00DA0E34">
      <w:pPr>
        <w:pStyle w:val="Tablefin"/>
        <w:rPr>
          <w:lang w:val="fr-CH"/>
        </w:rPr>
      </w:pPr>
    </w:p>
    <w:p w:rsidR="0045707C" w:rsidRPr="007F2496" w:rsidRDefault="0045707C" w:rsidP="0045707C">
      <w:pPr>
        <w:pStyle w:val="Heading2"/>
      </w:pPr>
      <w:r w:rsidRPr="007F2496">
        <w:t>1.2</w:t>
      </w:r>
      <w:r w:rsidRPr="007F2496">
        <w:tab/>
        <w:t>Caractéristiques retenues pour le système du SRRS</w:t>
      </w:r>
    </w:p>
    <w:p w:rsidR="0045707C" w:rsidRPr="007F2496" w:rsidRDefault="0045707C" w:rsidP="0045707C">
      <w:r w:rsidRPr="007F2496">
        <w:t xml:space="preserve">Il a été pris note du fait qu'il est prévu que le système Galileo fournisse une application du SRRS au moyen de sa constellation. Toutefois, aucune série de spécifications définies n'a encore été publiée pour cette application. </w:t>
      </w:r>
    </w:p>
    <w:p w:rsidR="0045707C" w:rsidRPr="007F2496" w:rsidRDefault="0045707C" w:rsidP="00DA4FA3">
      <w:r w:rsidRPr="007F2496">
        <w:t>Afin de pouvoir effectuer des simulations informatiques, on a supposé que les caractéristiques de l'application du SRRS de Galileo seraient similaires à celles utilisées pour son application du service de radionavigation par satellite (SRNS), telles qu'elles figurent dans la Recommandation UIT</w:t>
      </w:r>
      <w:r w:rsidR="00DA4FA3">
        <w:noBreakHyphen/>
      </w:r>
      <w:r w:rsidRPr="007F2496">
        <w:t>R</w:t>
      </w:r>
      <w:r w:rsidR="00DA4FA3">
        <w:t> </w:t>
      </w:r>
      <w:r w:rsidRPr="007F2496">
        <w:t xml:space="preserve">M.1787. </w:t>
      </w:r>
    </w:p>
    <w:p w:rsidR="0045707C" w:rsidRPr="007F2496" w:rsidRDefault="0045707C" w:rsidP="00060442">
      <w:r w:rsidRPr="007F2496">
        <w:t>On a en outre supposé que l'antenne d'engin spatial pour l'application du SRRS aurait aussi une caractéristique d'antenne isoflux. Le gain de crête de l'antenne e</w:t>
      </w:r>
      <w:r>
        <w:t>st considéré comme étant égal à </w:t>
      </w:r>
      <w:r w:rsidRPr="007F2496">
        <w:t>13,3</w:t>
      </w:r>
      <w:r w:rsidR="00060442">
        <w:t> </w:t>
      </w:r>
      <w:r w:rsidRPr="007F2496">
        <w:t xml:space="preserve">dBi. Le diagramme d'antenne utilisé dans la simulation informatique est présenté dans la </w:t>
      </w:r>
      <w:r w:rsidR="00060442">
        <w:t>Fig.</w:t>
      </w:r>
      <w:r w:rsidRPr="007F2496">
        <w:t> 1. D'après les résultats de la CMR-12, un niveau de puissance surfacique de −128 dBW/m² MHz doit être utilisé comme seuil de déclenchement de la coordination pour l'attribution au SRRS dans la bande de fréquences 2 483,5-2 500 MHz, pour tous les angles d'incidence à la surface de la Terre. Sur la base du niveau de puissance surfacique et de l'hypothèse selon laquelle l'antenne présente des valeurs maximales relatives du gain à ±9 degrés, ce qui correspond à une distance oblique de 25 239 km entre l'engin spatial du SRRS et la surface de la Terre, il a été fait l'hypothèse d'une p.i.r.e</w:t>
      </w:r>
      <w:r>
        <w:t>.</w:t>
      </w:r>
      <w:r w:rsidRPr="007F2496">
        <w:t xml:space="preserve"> de 40,46 dBW ou d'une densité de p.i.r.e</w:t>
      </w:r>
      <w:r>
        <w:t>. de 30,16 </w:t>
      </w:r>
      <w:r w:rsidRPr="007F2496">
        <w:t xml:space="preserve">dBW/MHz pour le SRRS. </w:t>
      </w:r>
    </w:p>
    <w:p w:rsidR="0045707C" w:rsidRPr="007F2496" w:rsidRDefault="0045707C" w:rsidP="0045707C">
      <w:pPr>
        <w:pStyle w:val="FigureNo"/>
      </w:pPr>
      <w:bookmarkStart w:id="6" w:name="_Ref304349929"/>
      <w:r w:rsidRPr="007F2496">
        <w:lastRenderedPageBreak/>
        <w:t xml:space="preserve">Figure </w:t>
      </w:r>
      <w:bookmarkEnd w:id="6"/>
      <w:r w:rsidRPr="007F2496">
        <w:t>1</w:t>
      </w:r>
    </w:p>
    <w:p w:rsidR="0045707C" w:rsidRPr="007F2496" w:rsidRDefault="0045707C" w:rsidP="0045707C">
      <w:pPr>
        <w:pStyle w:val="Figuretitle"/>
        <w:spacing w:after="240"/>
      </w:pPr>
      <w:r w:rsidRPr="007F2496">
        <w:t>Diagramme d'antenne en bande S de Galileo</w:t>
      </w:r>
    </w:p>
    <w:p w:rsidR="0045707C" w:rsidRPr="007F2496" w:rsidRDefault="0045707C" w:rsidP="0045707C">
      <w:pPr>
        <w:pStyle w:val="Figure"/>
        <w:keepLines w:val="0"/>
      </w:pPr>
      <w:r w:rsidRPr="007F2496">
        <w:object w:dxaOrig="4129" w:dyaOrig="2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5pt;height:207pt" o:ole="">
            <v:imagedata r:id="rId16" o:title=""/>
          </v:shape>
          <o:OLEObject Type="Embed" ProgID="CorelDRAW.Graphic.14" ShapeID="_x0000_i1025" DrawAspect="Content" ObjectID="_1542721496" r:id="rId17"/>
        </w:object>
      </w:r>
    </w:p>
    <w:p w:rsidR="0045707C" w:rsidRPr="007F2496" w:rsidRDefault="0045707C" w:rsidP="0045707C">
      <w:r w:rsidRPr="007F2496">
        <w:t>Les autres caractéristiques considérées pour l'application du SRRS de Galileo et utilisées pour la simulation informatique sont présentées dans le Tableau 2.</w:t>
      </w:r>
    </w:p>
    <w:p w:rsidR="0045707C" w:rsidRPr="007F2496" w:rsidRDefault="0045707C" w:rsidP="0045707C">
      <w:pPr>
        <w:pStyle w:val="TableNo"/>
        <w:keepLines/>
      </w:pPr>
      <w:r w:rsidRPr="007F2496">
        <w:t>TABLE</w:t>
      </w:r>
      <w:r w:rsidR="00DA0E34" w:rsidRPr="007F2496">
        <w:t>AU</w:t>
      </w:r>
      <w:r w:rsidRPr="007F2496">
        <w:t xml:space="preserve"> 2</w:t>
      </w:r>
    </w:p>
    <w:p w:rsidR="0045707C" w:rsidRPr="007F2496" w:rsidRDefault="0045707C" w:rsidP="0045707C">
      <w:pPr>
        <w:pStyle w:val="Tabletitle"/>
      </w:pPr>
      <w:r w:rsidRPr="007F2496">
        <w:t>Caractéristiques types proposées pour le système du SRRS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4819"/>
        <w:gridCol w:w="4037"/>
        <w:gridCol w:w="783"/>
      </w:tblGrid>
      <w:tr w:rsidR="0045707C" w:rsidRPr="007F2496" w:rsidTr="00DA0E34">
        <w:trPr>
          <w:tblHeader/>
          <w:jc w:val="center"/>
        </w:trPr>
        <w:tc>
          <w:tcPr>
            <w:tcW w:w="4819" w:type="dxa"/>
          </w:tcPr>
          <w:p w:rsidR="0045707C" w:rsidRPr="007F2496" w:rsidRDefault="0045707C" w:rsidP="00DA0E34">
            <w:pPr>
              <w:pStyle w:val="Tablehead"/>
              <w:keepLines/>
            </w:pPr>
            <w:r w:rsidRPr="007F2496">
              <w:t>Désignation du système</w:t>
            </w:r>
          </w:p>
        </w:tc>
        <w:tc>
          <w:tcPr>
            <w:tcW w:w="4820" w:type="dxa"/>
            <w:gridSpan w:val="2"/>
          </w:tcPr>
          <w:p w:rsidR="0045707C" w:rsidRPr="007F2496" w:rsidRDefault="0045707C" w:rsidP="00DA0E34">
            <w:pPr>
              <w:pStyle w:val="Tablehead"/>
              <w:keepLines/>
            </w:pPr>
            <w:r w:rsidRPr="007F2496">
              <w:t>Galileo SRRS</w:t>
            </w:r>
          </w:p>
        </w:tc>
      </w:tr>
      <w:tr w:rsidR="0045707C" w:rsidRPr="007F2496" w:rsidTr="00DA0E34">
        <w:trPr>
          <w:jc w:val="center"/>
        </w:trPr>
        <w:tc>
          <w:tcPr>
            <w:tcW w:w="4819" w:type="dxa"/>
          </w:tcPr>
          <w:p w:rsidR="0045707C" w:rsidRPr="007F2496" w:rsidRDefault="0045707C" w:rsidP="00DA0E34">
            <w:pPr>
              <w:pStyle w:val="Tabletext"/>
              <w:keepNext/>
              <w:keepLines/>
            </w:pPr>
            <w:r w:rsidRPr="007F2496">
              <w:t>Altitude</w:t>
            </w:r>
          </w:p>
        </w:tc>
        <w:tc>
          <w:tcPr>
            <w:tcW w:w="4820" w:type="dxa"/>
            <w:gridSpan w:val="2"/>
          </w:tcPr>
          <w:p w:rsidR="0045707C" w:rsidRPr="007F2496" w:rsidRDefault="0045707C" w:rsidP="00DA0E34">
            <w:pPr>
              <w:pStyle w:val="Tabletext"/>
              <w:keepNext/>
              <w:keepLines/>
            </w:pPr>
            <w:r w:rsidRPr="007F2496">
              <w:t>23 616 km</w:t>
            </w:r>
          </w:p>
        </w:tc>
      </w:tr>
      <w:tr w:rsidR="0045707C" w:rsidRPr="007F2496" w:rsidTr="00DA0E34">
        <w:trPr>
          <w:jc w:val="center"/>
        </w:trPr>
        <w:tc>
          <w:tcPr>
            <w:tcW w:w="4819" w:type="dxa"/>
          </w:tcPr>
          <w:p w:rsidR="0045707C" w:rsidRPr="007F2496" w:rsidRDefault="0045707C" w:rsidP="00DA0E34">
            <w:pPr>
              <w:pStyle w:val="Tabletext"/>
              <w:keepNext/>
              <w:keepLines/>
            </w:pPr>
            <w:r w:rsidRPr="007F2496">
              <w:t>Inclinaison</w:t>
            </w:r>
          </w:p>
        </w:tc>
        <w:tc>
          <w:tcPr>
            <w:tcW w:w="4820" w:type="dxa"/>
            <w:gridSpan w:val="2"/>
          </w:tcPr>
          <w:p w:rsidR="0045707C" w:rsidRPr="007F2496" w:rsidRDefault="0045707C" w:rsidP="00DA0E34">
            <w:pPr>
              <w:pStyle w:val="Tabletext"/>
              <w:keepNext/>
              <w:keepLines/>
            </w:pPr>
            <w:r w:rsidRPr="007F2496">
              <w:t>56 degrés</w:t>
            </w:r>
          </w:p>
        </w:tc>
      </w:tr>
      <w:tr w:rsidR="0045707C" w:rsidRPr="007F2496" w:rsidTr="00DA0E34">
        <w:trPr>
          <w:jc w:val="center"/>
        </w:trPr>
        <w:tc>
          <w:tcPr>
            <w:tcW w:w="4819" w:type="dxa"/>
          </w:tcPr>
          <w:p w:rsidR="0045707C" w:rsidRPr="007F2496" w:rsidRDefault="0045707C" w:rsidP="00DA0E34">
            <w:pPr>
              <w:pStyle w:val="Tabletext"/>
              <w:keepNext/>
              <w:keepLines/>
            </w:pPr>
            <w:r w:rsidRPr="007F2496">
              <w:t>Nombre de plans orbitaux</w:t>
            </w:r>
          </w:p>
        </w:tc>
        <w:tc>
          <w:tcPr>
            <w:tcW w:w="4820" w:type="dxa"/>
            <w:gridSpan w:val="2"/>
          </w:tcPr>
          <w:p w:rsidR="0045707C" w:rsidRPr="007F2496" w:rsidRDefault="0045707C" w:rsidP="00DA0E34">
            <w:pPr>
              <w:pStyle w:val="Tabletext"/>
              <w:keepNext/>
              <w:keepLines/>
            </w:pPr>
            <w:r w:rsidRPr="007F2496">
              <w:t>3</w:t>
            </w:r>
          </w:p>
        </w:tc>
      </w:tr>
      <w:tr w:rsidR="0045707C" w:rsidRPr="007F2496" w:rsidTr="00DA0E34">
        <w:trPr>
          <w:jc w:val="center"/>
        </w:trPr>
        <w:tc>
          <w:tcPr>
            <w:tcW w:w="4819" w:type="dxa"/>
          </w:tcPr>
          <w:p w:rsidR="0045707C" w:rsidRPr="007F2496" w:rsidRDefault="0045707C" w:rsidP="00DA0E34">
            <w:pPr>
              <w:pStyle w:val="Tabletext"/>
              <w:keepNext/>
              <w:keepLines/>
            </w:pPr>
            <w:r w:rsidRPr="007F2496">
              <w:t>Nombre de satellites par plan</w:t>
            </w:r>
          </w:p>
        </w:tc>
        <w:tc>
          <w:tcPr>
            <w:tcW w:w="4820" w:type="dxa"/>
            <w:gridSpan w:val="2"/>
          </w:tcPr>
          <w:p w:rsidR="0045707C" w:rsidRPr="007F2496" w:rsidRDefault="0045707C" w:rsidP="00DA0E34">
            <w:pPr>
              <w:pStyle w:val="Tabletext"/>
              <w:keepNext/>
              <w:keepLines/>
            </w:pPr>
            <w:r w:rsidRPr="007F2496">
              <w:t>9 au total, séparés les uns des autres de 40 degrés</w:t>
            </w:r>
          </w:p>
        </w:tc>
      </w:tr>
      <w:tr w:rsidR="0045707C" w:rsidRPr="007F2496" w:rsidTr="00DA0E34">
        <w:trPr>
          <w:jc w:val="center"/>
        </w:trPr>
        <w:tc>
          <w:tcPr>
            <w:tcW w:w="4819" w:type="dxa"/>
          </w:tcPr>
          <w:p w:rsidR="0045707C" w:rsidRPr="007F2496" w:rsidRDefault="0045707C" w:rsidP="00DA0E34">
            <w:pPr>
              <w:pStyle w:val="Tabletext"/>
              <w:keepNext/>
              <w:keepLines/>
            </w:pPr>
            <w:r w:rsidRPr="007F2496">
              <w:t>Mise en phase*</w:t>
            </w:r>
          </w:p>
        </w:tc>
        <w:tc>
          <w:tcPr>
            <w:tcW w:w="4820" w:type="dxa"/>
            <w:gridSpan w:val="2"/>
          </w:tcPr>
          <w:p w:rsidR="0045707C" w:rsidRPr="007F2496" w:rsidRDefault="0045707C" w:rsidP="00DA0E34">
            <w:pPr>
              <w:pStyle w:val="Tabletext"/>
              <w:keepNext/>
              <w:keepLines/>
            </w:pPr>
            <w:r w:rsidRPr="007F2496">
              <w:t>13 degrés 1/3</w:t>
            </w:r>
          </w:p>
        </w:tc>
      </w:tr>
      <w:tr w:rsidR="0045707C" w:rsidRPr="007F2496" w:rsidTr="00DA0E34">
        <w:trPr>
          <w:jc w:val="center"/>
        </w:trPr>
        <w:tc>
          <w:tcPr>
            <w:tcW w:w="4819" w:type="dxa"/>
          </w:tcPr>
          <w:p w:rsidR="0045707C" w:rsidRPr="007F2496" w:rsidRDefault="0045707C" w:rsidP="00DA0E34">
            <w:pPr>
              <w:pStyle w:val="Tabletext"/>
            </w:pPr>
            <w:r w:rsidRPr="007F2496">
              <w:t>Type d'antenne</w:t>
            </w:r>
          </w:p>
        </w:tc>
        <w:tc>
          <w:tcPr>
            <w:tcW w:w="4820" w:type="dxa"/>
            <w:gridSpan w:val="2"/>
          </w:tcPr>
          <w:p w:rsidR="0045707C" w:rsidRPr="007F2496" w:rsidRDefault="0045707C" w:rsidP="00DA0E34">
            <w:pPr>
              <w:pStyle w:val="Tabletext"/>
            </w:pPr>
            <w:r w:rsidRPr="007F2496">
              <w:t>Isoflux</w:t>
            </w:r>
          </w:p>
        </w:tc>
      </w:tr>
      <w:tr w:rsidR="0045707C" w:rsidRPr="007F2496" w:rsidTr="00DA0E34">
        <w:trPr>
          <w:jc w:val="center"/>
        </w:trPr>
        <w:tc>
          <w:tcPr>
            <w:tcW w:w="4819" w:type="dxa"/>
          </w:tcPr>
          <w:p w:rsidR="0045707C" w:rsidRPr="007F2496" w:rsidRDefault="0045707C" w:rsidP="00DA0E34">
            <w:pPr>
              <w:pStyle w:val="Tabletext"/>
            </w:pPr>
            <w:r w:rsidRPr="007F2496">
              <w:t>Gain de crête</w:t>
            </w:r>
          </w:p>
        </w:tc>
        <w:tc>
          <w:tcPr>
            <w:tcW w:w="4820" w:type="dxa"/>
            <w:gridSpan w:val="2"/>
          </w:tcPr>
          <w:p w:rsidR="0045707C" w:rsidRPr="007F2496" w:rsidRDefault="0045707C" w:rsidP="00DA0E34">
            <w:pPr>
              <w:pStyle w:val="Tabletext"/>
            </w:pPr>
            <w:r w:rsidRPr="007F2496">
              <w:t>13,3 dBi</w:t>
            </w:r>
          </w:p>
        </w:tc>
      </w:tr>
      <w:tr w:rsidR="0045707C" w:rsidRPr="007F2496" w:rsidTr="00DA0E34">
        <w:trPr>
          <w:jc w:val="center"/>
        </w:trPr>
        <w:tc>
          <w:tcPr>
            <w:tcW w:w="4819" w:type="dxa"/>
          </w:tcPr>
          <w:p w:rsidR="0045707C" w:rsidRPr="007F2496" w:rsidRDefault="0045707C" w:rsidP="00DA0E34">
            <w:pPr>
              <w:pStyle w:val="Tabletext"/>
            </w:pPr>
            <w:r w:rsidRPr="007F2496">
              <w:t>Ouverture de faisceau à 3 dB</w:t>
            </w:r>
          </w:p>
        </w:tc>
        <w:tc>
          <w:tcPr>
            <w:tcW w:w="4820" w:type="dxa"/>
            <w:gridSpan w:val="2"/>
          </w:tcPr>
          <w:p w:rsidR="0045707C" w:rsidRPr="007F2496" w:rsidRDefault="0045707C" w:rsidP="00DA0E34">
            <w:pPr>
              <w:pStyle w:val="Tabletext"/>
            </w:pPr>
            <w:r w:rsidRPr="007F2496">
              <w:t>40 degrés crête à crête</w:t>
            </w:r>
          </w:p>
        </w:tc>
      </w:tr>
      <w:tr w:rsidR="0045707C" w:rsidRPr="007F2496" w:rsidTr="00DA0E34">
        <w:trPr>
          <w:jc w:val="center"/>
        </w:trPr>
        <w:tc>
          <w:tcPr>
            <w:tcW w:w="4819" w:type="dxa"/>
          </w:tcPr>
          <w:p w:rsidR="0045707C" w:rsidRPr="007F2496" w:rsidRDefault="0045707C" w:rsidP="00DA0E34">
            <w:pPr>
              <w:pStyle w:val="Tabletext"/>
            </w:pPr>
            <w:r w:rsidRPr="007F2496">
              <w:t>Polarisation</w:t>
            </w:r>
          </w:p>
        </w:tc>
        <w:tc>
          <w:tcPr>
            <w:tcW w:w="4820" w:type="dxa"/>
            <w:gridSpan w:val="2"/>
          </w:tcPr>
          <w:p w:rsidR="0045707C" w:rsidRPr="007F2496" w:rsidRDefault="0045707C" w:rsidP="00DA0E34">
            <w:pPr>
              <w:pStyle w:val="Tabletext"/>
            </w:pPr>
            <w:r w:rsidRPr="007F2496">
              <w:t>Circulaire dextrogyre</w:t>
            </w:r>
          </w:p>
        </w:tc>
      </w:tr>
      <w:tr w:rsidR="0045707C" w:rsidRPr="007F2496" w:rsidTr="00DA0E34">
        <w:trPr>
          <w:jc w:val="center"/>
        </w:trPr>
        <w:tc>
          <w:tcPr>
            <w:tcW w:w="4819" w:type="dxa"/>
          </w:tcPr>
          <w:p w:rsidR="0045707C" w:rsidRPr="007F2496" w:rsidRDefault="0045707C" w:rsidP="00DA0E34">
            <w:pPr>
              <w:pStyle w:val="Tabletext"/>
            </w:pPr>
            <w:r w:rsidRPr="007F2496">
              <w:t>Largeur de bande du signal</w:t>
            </w:r>
          </w:p>
        </w:tc>
        <w:tc>
          <w:tcPr>
            <w:tcW w:w="4820" w:type="dxa"/>
            <w:gridSpan w:val="2"/>
          </w:tcPr>
          <w:p w:rsidR="0045707C" w:rsidRPr="007F2496" w:rsidRDefault="0045707C" w:rsidP="00DA0E34">
            <w:pPr>
              <w:pStyle w:val="Tabletext"/>
            </w:pPr>
            <w:r w:rsidRPr="007F2496">
              <w:t>16,5 MHz</w:t>
            </w:r>
          </w:p>
        </w:tc>
      </w:tr>
      <w:tr w:rsidR="0045707C" w:rsidRPr="007F2496" w:rsidTr="00DA0E34">
        <w:trPr>
          <w:jc w:val="center"/>
        </w:trPr>
        <w:tc>
          <w:tcPr>
            <w:tcW w:w="4819" w:type="dxa"/>
          </w:tcPr>
          <w:p w:rsidR="0045707C" w:rsidRPr="007F2496" w:rsidRDefault="0045707C" w:rsidP="00DA0E34">
            <w:pPr>
              <w:pStyle w:val="Tabletext"/>
            </w:pPr>
            <w:r w:rsidRPr="007F2496">
              <w:t>Fréquence centrale du signal</w:t>
            </w:r>
          </w:p>
        </w:tc>
        <w:tc>
          <w:tcPr>
            <w:tcW w:w="4820" w:type="dxa"/>
            <w:gridSpan w:val="2"/>
          </w:tcPr>
          <w:p w:rsidR="0045707C" w:rsidRPr="007F2496" w:rsidRDefault="0045707C" w:rsidP="00DA0E34">
            <w:pPr>
              <w:pStyle w:val="Tabletext"/>
            </w:pPr>
            <w:r w:rsidRPr="007F2496">
              <w:t>2 491,75 MHz</w:t>
            </w:r>
          </w:p>
        </w:tc>
      </w:tr>
      <w:tr w:rsidR="0045707C" w:rsidRPr="007F2496" w:rsidTr="00DA0E34">
        <w:trPr>
          <w:jc w:val="center"/>
        </w:trPr>
        <w:tc>
          <w:tcPr>
            <w:tcW w:w="4819" w:type="dxa"/>
          </w:tcPr>
          <w:p w:rsidR="0045707C" w:rsidRPr="007F2496" w:rsidRDefault="0045707C" w:rsidP="00DA0E34">
            <w:pPr>
              <w:pStyle w:val="Tabletext"/>
            </w:pPr>
            <w:r w:rsidRPr="007F2496">
              <w:t>Niveau de puissance surfacique</w:t>
            </w:r>
          </w:p>
        </w:tc>
        <w:tc>
          <w:tcPr>
            <w:tcW w:w="4820" w:type="dxa"/>
            <w:gridSpan w:val="2"/>
          </w:tcPr>
          <w:p w:rsidR="0045707C" w:rsidRPr="007F2496" w:rsidRDefault="0045707C" w:rsidP="00DA0E34">
            <w:pPr>
              <w:pStyle w:val="Tabletext"/>
            </w:pPr>
            <w:r w:rsidRPr="007F2496">
              <w:t>–128 dB (W/m². MHz)</w:t>
            </w:r>
          </w:p>
        </w:tc>
      </w:tr>
      <w:tr w:rsidR="0045707C" w:rsidRPr="007F2496" w:rsidTr="00DA0E34">
        <w:trPr>
          <w:jc w:val="center"/>
        </w:trPr>
        <w:tc>
          <w:tcPr>
            <w:tcW w:w="4819" w:type="dxa"/>
          </w:tcPr>
          <w:p w:rsidR="0045707C" w:rsidRPr="007F2496" w:rsidRDefault="0045707C" w:rsidP="00DA0E34">
            <w:pPr>
              <w:pStyle w:val="Tabletext"/>
            </w:pPr>
            <w:r w:rsidRPr="007F2496">
              <w:t>p.i.r.e. correspondante par engin spatial</w:t>
            </w:r>
          </w:p>
        </w:tc>
        <w:tc>
          <w:tcPr>
            <w:tcW w:w="4820" w:type="dxa"/>
            <w:gridSpan w:val="2"/>
          </w:tcPr>
          <w:p w:rsidR="0045707C" w:rsidRPr="007F2496" w:rsidRDefault="0045707C" w:rsidP="00DA0E34">
            <w:pPr>
              <w:pStyle w:val="Tabletext"/>
            </w:pPr>
            <w:r w:rsidRPr="007F2496">
              <w:t>40,5 dBW</w:t>
            </w:r>
          </w:p>
        </w:tc>
      </w:tr>
      <w:tr w:rsidR="0045707C" w:rsidRPr="007F2496" w:rsidTr="00DA0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3" w:type="dxa"/>
          <w:jc w:val="center"/>
        </w:trPr>
        <w:tc>
          <w:tcPr>
            <w:tcW w:w="8856" w:type="dxa"/>
            <w:gridSpan w:val="2"/>
            <w:tcBorders>
              <w:left w:val="nil"/>
              <w:bottom w:val="nil"/>
              <w:right w:val="nil"/>
            </w:tcBorders>
          </w:tcPr>
          <w:p w:rsidR="0045707C" w:rsidRPr="007F2496" w:rsidRDefault="0045707C" w:rsidP="00DA0E34">
            <w:pPr>
              <w:pStyle w:val="Tabletext"/>
              <w:ind w:left="284" w:hanging="284"/>
            </w:pPr>
            <w:r w:rsidRPr="007F2496">
              <w:t>*</w:t>
            </w:r>
            <w:r w:rsidRPr="007F2496">
              <w:tab/>
              <w:t>L'angle de phase initial (ω</w:t>
            </w:r>
            <w:r w:rsidRPr="007F2496">
              <w:rPr>
                <w:i/>
                <w:iCs/>
                <w:vertAlign w:val="subscript"/>
              </w:rPr>
              <w:t>i</w:t>
            </w:r>
            <w:r w:rsidRPr="007F2496">
              <w:t xml:space="preserve">) du </w:t>
            </w:r>
            <w:r w:rsidRPr="007F2496">
              <w:rPr>
                <w:i/>
                <w:iCs/>
              </w:rPr>
              <w:t>i</w:t>
            </w:r>
            <w:r w:rsidRPr="007F2496">
              <w:t>-ème satellite dans son plan orbital à l'instant de référence t = 0, mesuré à partir du point du nœud ascendant (0° ≤ ω</w:t>
            </w:r>
            <w:r w:rsidRPr="007F2496">
              <w:rPr>
                <w:i/>
                <w:iCs/>
                <w:vertAlign w:val="subscript"/>
              </w:rPr>
              <w:t>i</w:t>
            </w:r>
            <w:r w:rsidRPr="007F2496">
              <w:t xml:space="preserve"> &lt; 360°).</w:t>
            </w:r>
          </w:p>
        </w:tc>
      </w:tr>
    </w:tbl>
    <w:p w:rsidR="0045707C" w:rsidRPr="007F2496" w:rsidRDefault="0045707C" w:rsidP="0045707C">
      <w:pPr>
        <w:pStyle w:val="Tablefin"/>
        <w:rPr>
          <w:lang w:val="fr-FR"/>
        </w:rPr>
      </w:pPr>
    </w:p>
    <w:p w:rsidR="0045707C" w:rsidRPr="007F2496" w:rsidRDefault="0045707C" w:rsidP="0045707C">
      <w:pPr>
        <w:pStyle w:val="Heading2"/>
      </w:pPr>
      <w:r w:rsidRPr="007F2496">
        <w:t>1.3</w:t>
      </w:r>
      <w:r w:rsidRPr="007F2496">
        <w:tab/>
        <w:t>Caractéristiques des systèmes point à point du service fixe</w:t>
      </w:r>
    </w:p>
    <w:p w:rsidR="0045707C" w:rsidRPr="007F2496" w:rsidRDefault="0045707C" w:rsidP="0045707C">
      <w:r w:rsidRPr="007F2496">
        <w:t>Les paramètres pour les stations du service fixe ont été choisis de façon cohérente avec ceux qui figurent dans la Recommandation UIT-R F.758 et sont donnés dans le Tableau 3.</w:t>
      </w:r>
    </w:p>
    <w:p w:rsidR="0045707C" w:rsidRPr="007F2496" w:rsidRDefault="0045707C" w:rsidP="0045707C">
      <w:pPr>
        <w:pStyle w:val="TableNo"/>
      </w:pPr>
      <w:bookmarkStart w:id="7" w:name="_Ref304324723"/>
      <w:r w:rsidRPr="007F2496">
        <w:lastRenderedPageBreak/>
        <w:t>TABLE</w:t>
      </w:r>
      <w:r w:rsidR="00DA0E34" w:rsidRPr="007F2496">
        <w:t>AU</w:t>
      </w:r>
      <w:r w:rsidRPr="007F2496">
        <w:t xml:space="preserve"> </w:t>
      </w:r>
      <w:bookmarkEnd w:id="7"/>
      <w:r w:rsidRPr="007F2496">
        <w:t>3</w:t>
      </w:r>
    </w:p>
    <w:p w:rsidR="0045707C" w:rsidRPr="007F2496" w:rsidRDefault="0045707C" w:rsidP="0045707C">
      <w:pPr>
        <w:pStyle w:val="Tabletitle"/>
      </w:pPr>
      <w:r w:rsidRPr="007F2496">
        <w:t>Paramètres moyens des systèmes point à point numériques du service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tblGrid>
      <w:tr w:rsidR="0045707C" w:rsidRPr="007F2496" w:rsidTr="00DA0E34">
        <w:trPr>
          <w:jc w:val="center"/>
        </w:trPr>
        <w:tc>
          <w:tcPr>
            <w:tcW w:w="3227" w:type="dxa"/>
          </w:tcPr>
          <w:p w:rsidR="0045707C" w:rsidRPr="007F2496" w:rsidRDefault="0045707C" w:rsidP="00DA0E34">
            <w:pPr>
              <w:pStyle w:val="Tabletext"/>
            </w:pPr>
            <w:r w:rsidRPr="007F2496">
              <w:t>Longueur de trajet moyenne</w:t>
            </w:r>
          </w:p>
        </w:tc>
        <w:tc>
          <w:tcPr>
            <w:tcW w:w="4111" w:type="dxa"/>
          </w:tcPr>
          <w:p w:rsidR="0045707C" w:rsidRPr="007F2496" w:rsidRDefault="0045707C" w:rsidP="00DA0E34">
            <w:pPr>
              <w:pStyle w:val="Tabletext"/>
            </w:pPr>
            <w:r w:rsidRPr="007F2496">
              <w:t>29,45 kilomètres</w:t>
            </w:r>
          </w:p>
        </w:tc>
      </w:tr>
      <w:tr w:rsidR="0045707C" w:rsidRPr="007F2496" w:rsidTr="00DA0E34">
        <w:trPr>
          <w:jc w:val="center"/>
        </w:trPr>
        <w:tc>
          <w:tcPr>
            <w:tcW w:w="3227" w:type="dxa"/>
          </w:tcPr>
          <w:p w:rsidR="0045707C" w:rsidRPr="007F2496" w:rsidRDefault="0045707C" w:rsidP="00DA0E34">
            <w:pPr>
              <w:pStyle w:val="Tabletext"/>
            </w:pPr>
            <w:r w:rsidRPr="007F2496">
              <w:t>p.i.r.e moyenne</w:t>
            </w:r>
          </w:p>
        </w:tc>
        <w:tc>
          <w:tcPr>
            <w:tcW w:w="4111" w:type="dxa"/>
          </w:tcPr>
          <w:p w:rsidR="0045707C" w:rsidRPr="007F2496" w:rsidRDefault="0045707C" w:rsidP="00DA0E34">
            <w:pPr>
              <w:pStyle w:val="Tabletext"/>
            </w:pPr>
            <w:r w:rsidRPr="007F2496">
              <w:t>29,5 dBW</w:t>
            </w:r>
          </w:p>
        </w:tc>
      </w:tr>
      <w:tr w:rsidR="0045707C" w:rsidRPr="007F2496" w:rsidTr="00DA0E34">
        <w:trPr>
          <w:jc w:val="center"/>
        </w:trPr>
        <w:tc>
          <w:tcPr>
            <w:tcW w:w="3227" w:type="dxa"/>
          </w:tcPr>
          <w:p w:rsidR="0045707C" w:rsidRPr="007F2496" w:rsidRDefault="0045707C" w:rsidP="00DA0E34">
            <w:pPr>
              <w:pStyle w:val="Tabletext"/>
            </w:pPr>
            <w:r w:rsidRPr="007F2496">
              <w:t>Gain d'antenne moyen</w:t>
            </w:r>
          </w:p>
        </w:tc>
        <w:tc>
          <w:tcPr>
            <w:tcW w:w="4111" w:type="dxa"/>
          </w:tcPr>
          <w:p w:rsidR="0045707C" w:rsidRPr="007F2496" w:rsidRDefault="0045707C" w:rsidP="00DA0E34">
            <w:pPr>
              <w:pStyle w:val="Tabletext"/>
            </w:pPr>
            <w:r w:rsidRPr="007F2496">
              <w:t>25 dBi Rec. UIT-R F.1245-1</w:t>
            </w:r>
          </w:p>
        </w:tc>
      </w:tr>
      <w:tr w:rsidR="0045707C" w:rsidRPr="007F2496" w:rsidTr="00DA0E34">
        <w:trPr>
          <w:jc w:val="center"/>
        </w:trPr>
        <w:tc>
          <w:tcPr>
            <w:tcW w:w="3227" w:type="dxa"/>
          </w:tcPr>
          <w:p w:rsidR="0045707C" w:rsidRPr="007F2496" w:rsidRDefault="0045707C" w:rsidP="00DA0E34">
            <w:pPr>
              <w:pStyle w:val="Tabletext"/>
            </w:pPr>
            <w:r w:rsidRPr="007F2496">
              <w:t>Ouverture de faisceau à 3 dB</w:t>
            </w:r>
          </w:p>
        </w:tc>
        <w:tc>
          <w:tcPr>
            <w:tcW w:w="4111" w:type="dxa"/>
          </w:tcPr>
          <w:p w:rsidR="0045707C" w:rsidRPr="007F2496" w:rsidRDefault="0045707C" w:rsidP="00DA0E34">
            <w:pPr>
              <w:pStyle w:val="Tabletext"/>
            </w:pPr>
            <w:r w:rsidRPr="007F2496">
              <w:t>9,1 degrés</w:t>
            </w:r>
          </w:p>
        </w:tc>
      </w:tr>
      <w:tr w:rsidR="0045707C" w:rsidRPr="007F2496" w:rsidTr="00DA0E34">
        <w:trPr>
          <w:jc w:val="center"/>
        </w:trPr>
        <w:tc>
          <w:tcPr>
            <w:tcW w:w="3227" w:type="dxa"/>
          </w:tcPr>
          <w:p w:rsidR="0045707C" w:rsidRPr="007F2496" w:rsidRDefault="0045707C" w:rsidP="00DA0E34">
            <w:pPr>
              <w:pStyle w:val="Tabletext"/>
            </w:pPr>
            <w:r w:rsidRPr="007F2496">
              <w:t>Hauteur d'antenne moyenne</w:t>
            </w:r>
          </w:p>
        </w:tc>
        <w:tc>
          <w:tcPr>
            <w:tcW w:w="4111" w:type="dxa"/>
          </w:tcPr>
          <w:p w:rsidR="0045707C" w:rsidRPr="007F2496" w:rsidRDefault="0045707C" w:rsidP="00DA0E34">
            <w:pPr>
              <w:pStyle w:val="Tabletext"/>
            </w:pPr>
            <w:r w:rsidRPr="007F2496">
              <w:t>50,3 m</w:t>
            </w:r>
          </w:p>
        </w:tc>
      </w:tr>
      <w:tr w:rsidR="0045707C" w:rsidRPr="007F2496" w:rsidTr="00DA0E34">
        <w:trPr>
          <w:jc w:val="center"/>
        </w:trPr>
        <w:tc>
          <w:tcPr>
            <w:tcW w:w="3227" w:type="dxa"/>
          </w:tcPr>
          <w:p w:rsidR="0045707C" w:rsidRPr="007F2496" w:rsidRDefault="0045707C" w:rsidP="00DA0E34">
            <w:pPr>
              <w:pStyle w:val="Tabletext"/>
            </w:pPr>
            <w:r w:rsidRPr="007F2496">
              <w:t>Angle d'élévation</w:t>
            </w:r>
          </w:p>
        </w:tc>
        <w:tc>
          <w:tcPr>
            <w:tcW w:w="4111" w:type="dxa"/>
          </w:tcPr>
          <w:p w:rsidR="0045707C" w:rsidRPr="007F2496" w:rsidRDefault="0045707C" w:rsidP="00DA0E34">
            <w:pPr>
              <w:pStyle w:val="Tabletext"/>
            </w:pPr>
            <w:r w:rsidRPr="007F2496">
              <w:t>0 degré</w:t>
            </w:r>
          </w:p>
        </w:tc>
      </w:tr>
      <w:tr w:rsidR="0045707C" w:rsidRPr="007F2496" w:rsidTr="00DA0E34">
        <w:trPr>
          <w:jc w:val="center"/>
        </w:trPr>
        <w:tc>
          <w:tcPr>
            <w:tcW w:w="3227" w:type="dxa"/>
          </w:tcPr>
          <w:p w:rsidR="0045707C" w:rsidRPr="007F2496" w:rsidRDefault="0045707C" w:rsidP="00DA0E34">
            <w:pPr>
              <w:pStyle w:val="Tabletext"/>
            </w:pPr>
            <w:r w:rsidRPr="007F2496">
              <w:t>Fréquence centrale de la porteuse</w:t>
            </w:r>
          </w:p>
        </w:tc>
        <w:tc>
          <w:tcPr>
            <w:tcW w:w="4111" w:type="dxa"/>
          </w:tcPr>
          <w:p w:rsidR="0045707C" w:rsidRPr="007F2496" w:rsidRDefault="0045707C" w:rsidP="00DA0E34">
            <w:pPr>
              <w:pStyle w:val="Tabletext"/>
            </w:pPr>
            <w:r w:rsidRPr="007F2496">
              <w:t>2 491 MHz</w:t>
            </w:r>
          </w:p>
        </w:tc>
      </w:tr>
      <w:tr w:rsidR="0045707C" w:rsidRPr="007F2496" w:rsidTr="00DA0E34">
        <w:trPr>
          <w:jc w:val="center"/>
        </w:trPr>
        <w:tc>
          <w:tcPr>
            <w:tcW w:w="3227" w:type="dxa"/>
          </w:tcPr>
          <w:p w:rsidR="0045707C" w:rsidRPr="007F2496" w:rsidRDefault="0045707C" w:rsidP="00DA0E34">
            <w:pPr>
              <w:pStyle w:val="Tabletext"/>
            </w:pPr>
            <w:r w:rsidRPr="007F2496">
              <w:t>Largeur de bande de la porteuse</w:t>
            </w:r>
          </w:p>
        </w:tc>
        <w:tc>
          <w:tcPr>
            <w:tcW w:w="4111" w:type="dxa"/>
          </w:tcPr>
          <w:p w:rsidR="0045707C" w:rsidRPr="007F2496" w:rsidRDefault="0045707C" w:rsidP="00DA0E34">
            <w:pPr>
              <w:pStyle w:val="Tabletext"/>
            </w:pPr>
            <w:r w:rsidRPr="007F2496">
              <w:t>14 MHz</w:t>
            </w:r>
          </w:p>
        </w:tc>
      </w:tr>
      <w:tr w:rsidR="0045707C" w:rsidRPr="007F2496" w:rsidTr="00DA0E34">
        <w:trPr>
          <w:jc w:val="center"/>
        </w:trPr>
        <w:tc>
          <w:tcPr>
            <w:tcW w:w="3227" w:type="dxa"/>
          </w:tcPr>
          <w:p w:rsidR="0045707C" w:rsidRPr="007F2496" w:rsidRDefault="0045707C" w:rsidP="00DA0E34">
            <w:pPr>
              <w:pStyle w:val="Tabletext"/>
            </w:pPr>
            <w:r w:rsidRPr="007F2496">
              <w:t>Température de bruit du système</w:t>
            </w:r>
          </w:p>
        </w:tc>
        <w:tc>
          <w:tcPr>
            <w:tcW w:w="4111" w:type="dxa"/>
          </w:tcPr>
          <w:p w:rsidR="0045707C" w:rsidRPr="007F2496" w:rsidRDefault="0045707C" w:rsidP="00DA0E34">
            <w:pPr>
              <w:pStyle w:val="Tabletext"/>
            </w:pPr>
            <w:r w:rsidRPr="007F2496">
              <w:t>438 K</w:t>
            </w:r>
          </w:p>
        </w:tc>
      </w:tr>
      <w:tr w:rsidR="0045707C" w:rsidRPr="007F2496" w:rsidTr="00DA0E34">
        <w:trPr>
          <w:jc w:val="center"/>
        </w:trPr>
        <w:tc>
          <w:tcPr>
            <w:tcW w:w="3227" w:type="dxa"/>
          </w:tcPr>
          <w:p w:rsidR="0045707C" w:rsidRPr="007F2496" w:rsidRDefault="0045707C" w:rsidP="00DA0E34">
            <w:pPr>
              <w:pStyle w:val="Tabletext"/>
            </w:pPr>
            <w:r w:rsidRPr="007F2496">
              <w:t>Affaiblissement dans la ligne d'alimentation</w:t>
            </w:r>
          </w:p>
        </w:tc>
        <w:tc>
          <w:tcPr>
            <w:tcW w:w="4111" w:type="dxa"/>
          </w:tcPr>
          <w:p w:rsidR="0045707C" w:rsidRPr="007F2496" w:rsidRDefault="0045707C" w:rsidP="00DA0E34">
            <w:pPr>
              <w:pStyle w:val="Tabletext"/>
            </w:pPr>
            <w:r w:rsidRPr="007F2496">
              <w:t>4 dB</w:t>
            </w:r>
          </w:p>
        </w:tc>
      </w:tr>
    </w:tbl>
    <w:p w:rsidR="00DA4FA3" w:rsidRDefault="00DA4FA3" w:rsidP="00DA4FA3">
      <w:pPr>
        <w:pStyle w:val="Tablefin"/>
      </w:pPr>
    </w:p>
    <w:p w:rsidR="0045707C" w:rsidRPr="007F2496" w:rsidRDefault="0045707C" w:rsidP="0045707C">
      <w:pPr>
        <w:spacing w:before="240"/>
      </w:pPr>
      <w:r w:rsidRPr="007F2496">
        <w:t>On a supposé que le terrain situé sous le trajet point à point était plat et que la propagation le long du trajet du service fixe était conforme aux Recommandations UIT-R P.525 et P.530, avec une propagation du brouillage conforme à la Recommandation UIT-R P.452.</w:t>
      </w:r>
    </w:p>
    <w:p w:rsidR="0045707C" w:rsidRPr="007F2496" w:rsidRDefault="0045707C" w:rsidP="0045707C">
      <w:pPr>
        <w:pStyle w:val="Heading1"/>
      </w:pPr>
      <w:r w:rsidRPr="007F2496">
        <w:t>2</w:t>
      </w:r>
      <w:r w:rsidRPr="007F2496">
        <w:tab/>
        <w:t>Détermination des niveaux de brouillages causés aux systèmes du service fixe</w:t>
      </w:r>
    </w:p>
    <w:p w:rsidR="0045707C" w:rsidRPr="007F2496" w:rsidRDefault="0045707C" w:rsidP="0045707C">
      <w:pPr>
        <w:pStyle w:val="Heading2"/>
      </w:pPr>
      <w:r w:rsidRPr="007F2496">
        <w:t>2.1</w:t>
      </w:r>
      <w:r w:rsidRPr="007F2496">
        <w:tab/>
        <w:t>Simulation de brouillage des systèmes point à point du service fixe</w:t>
      </w:r>
    </w:p>
    <w:p w:rsidR="0045707C" w:rsidRPr="007F2496" w:rsidRDefault="0045707C" w:rsidP="0045707C">
      <w:pPr>
        <w:rPr>
          <w:szCs w:val="24"/>
        </w:rPr>
      </w:pPr>
      <w:r w:rsidRPr="007F2496">
        <w:rPr>
          <w:szCs w:val="24"/>
        </w:rPr>
        <w:t xml:space="preserve">Comme le montre la Pièce jointe suivante, des simulations informatiques ont été effectuées à l'aide d'un logiciel commercial en vue d'évaluer le brouillage éventuel causé aux liaisons du service fixe par les émissions composites sur les liaisons descendantes du SRRS et du SMS, en utilisant les paramètres figurant dans le Tableau 3 ci-dessus. Les paramètres </w:t>
      </w:r>
      <w:r>
        <w:rPr>
          <w:szCs w:val="24"/>
        </w:rPr>
        <w:t>utilisés pour le SMS et pour le </w:t>
      </w:r>
      <w:r w:rsidRPr="007F2496">
        <w:rPr>
          <w:szCs w:val="24"/>
        </w:rPr>
        <w:t xml:space="preserve">SRRS sont ceux figurant respectivement dans les Tableaux 1 et 2. Les antennes des engins spatiaux et les puissances de sortie ont été choisies de sorte que les puissances surfaciques résultantes à la surface de la Terre soient égales aux niveaux de puissance surfacique déclenchant la coordination, donnés dans l'Appendice </w:t>
      </w:r>
      <w:r w:rsidRPr="007F2496">
        <w:rPr>
          <w:b/>
          <w:szCs w:val="24"/>
        </w:rPr>
        <w:t>5</w:t>
      </w:r>
      <w:r w:rsidRPr="007F2496">
        <w:rPr>
          <w:szCs w:val="24"/>
        </w:rPr>
        <w:t xml:space="preserve"> du RR. Les stations du service fixe choisies pour les simulations étaient situées au Nigéria. Les effets du climat de la région et des évanouissements dus à la propagation par trajets multiples ont été pris en compte dans la simulation. </w:t>
      </w:r>
    </w:p>
    <w:p w:rsidR="0045707C" w:rsidRPr="007F2496" w:rsidRDefault="0045707C" w:rsidP="00DA4FA3">
      <w:r w:rsidRPr="007F2496">
        <w:t xml:space="preserve">La puissance de chaque engin spatial du SMS a été fixée de sorte que la puissance surfacique résultante sur </w:t>
      </w:r>
      <w:r>
        <w:t xml:space="preserve">la </w:t>
      </w:r>
      <w:r w:rsidRPr="007F2496">
        <w:t>liaison descendante dans la bande de fréquences 2 483,5-2 500 MHz soit égale à</w:t>
      </w:r>
      <w:r w:rsidR="00DA4FA3">
        <w:t> </w:t>
      </w:r>
      <w:r w:rsidRPr="007F2496">
        <w:t>−124,5 dBW/m² MHz. De même, la puissance de chaque engin spatial du SRRS a été fixée de sorte que la puissance surfacique résultante soit égale à −128 dBW/m² MHz.</w:t>
      </w:r>
    </w:p>
    <w:p w:rsidR="0045707C" w:rsidRPr="007F2496" w:rsidRDefault="0045707C" w:rsidP="0045707C">
      <w:r w:rsidRPr="007F2496">
        <w:t>Le brouillage a été calculé pour chaque incrément temporel de 20 secondes, sur une durée de 10 jours. Les intervalles de temps séparant la répétition des traces au sol des systèmes du SRRS de Galileo et de HIBLEO-4/HIBLEO-X sont respectivement de 10 et 2 jours. La durée retenue pour la simulation a donc comporté un nombre entier de répétitions des traces au sol pour les deux systèmes à satellites. L'analyse des brouillages a été effectuée sur la base de la dégradation FDP de la liaison du service fixe.</w:t>
      </w:r>
    </w:p>
    <w:p w:rsidR="0045707C" w:rsidRPr="007F2496" w:rsidRDefault="0045707C" w:rsidP="00BA38F2">
      <w:pPr>
        <w:pStyle w:val="AppendixNoTitle"/>
      </w:pPr>
      <w:r w:rsidRPr="007F2496">
        <w:lastRenderedPageBreak/>
        <w:t xml:space="preserve">Pièce jointe </w:t>
      </w:r>
      <w:r w:rsidRPr="007F2496">
        <w:br/>
        <w:t>à l'Annexe 2</w:t>
      </w:r>
      <w:r w:rsidRPr="007F2496">
        <w:br/>
      </w:r>
      <w:r w:rsidRPr="007F2496">
        <w:br/>
        <w:t>Résultats des simulations</w:t>
      </w:r>
    </w:p>
    <w:p w:rsidR="0045707C" w:rsidRPr="007F2496" w:rsidRDefault="0045707C" w:rsidP="0045707C">
      <w:pPr>
        <w:pStyle w:val="Normalaftertitle"/>
      </w:pPr>
      <w:r w:rsidRPr="007F2496">
        <w:t>Les Figures 2 à 5 montrent les résultats des simulations informatiques. Comme évoqué plus haut, la durée de la simulation a été suffisante pour permettre à la totalité des constellations de satellites des deux systèmes de causer des brouillages au système du service fixe. Les brouillages causés sur la liaison du service fixe ont été calculés pour des azimuts séparés par des intervalles de 5 degrés. La dégradation FDP a été calculée sur la base d'une moyenne arithmétique, par opposition à une moyenne de valeurs logarithmiques.</w:t>
      </w:r>
    </w:p>
    <w:p w:rsidR="0045707C" w:rsidRPr="007F2496" w:rsidRDefault="0045707C" w:rsidP="0045707C">
      <w:pPr>
        <w:pStyle w:val="FigureNo"/>
      </w:pPr>
      <w:r w:rsidRPr="007F2496">
        <w:t>Figure 2</w:t>
      </w:r>
    </w:p>
    <w:p w:rsidR="0045707C" w:rsidRPr="007F2496" w:rsidRDefault="0045707C" w:rsidP="0045707C">
      <w:pPr>
        <w:pStyle w:val="Figuretitle"/>
        <w:spacing w:after="240"/>
      </w:pPr>
      <w:r w:rsidRPr="007F2496">
        <w:t xml:space="preserve">Pourcentage de dégradation FDP sur des liaisons du service fixe simulées au Nigéria résultant </w:t>
      </w:r>
      <w:r w:rsidRPr="007F2496">
        <w:br/>
        <w:t xml:space="preserve">du brouillage causé par les émissions composites des systèmes du SRRS et du SMS </w:t>
      </w:r>
    </w:p>
    <w:p w:rsidR="0045707C" w:rsidRPr="007F2496" w:rsidRDefault="0045707C" w:rsidP="0045707C">
      <w:pPr>
        <w:pStyle w:val="Figure"/>
        <w:keepLines w:val="0"/>
      </w:pPr>
      <w:r w:rsidRPr="007F2496">
        <w:object w:dxaOrig="4188" w:dyaOrig="3000">
          <v:shape id="_x0000_i1026" type="#_x0000_t75" style="width:314.2pt;height:225pt;mso-position-vertical:absolute" o:ole="">
            <v:imagedata r:id="rId18" o:title=""/>
          </v:shape>
          <o:OLEObject Type="Embed" ProgID="CorelDRAW.Graphic.14" ShapeID="_x0000_i1026" DrawAspect="Content" ObjectID="_1542721497" r:id="rId19"/>
        </w:object>
      </w:r>
    </w:p>
    <w:p w:rsidR="0045707C" w:rsidRPr="007F2496" w:rsidRDefault="0045707C" w:rsidP="00DA4FA3">
      <w:r w:rsidRPr="007F2496">
        <w:t>La dégradation FDP pour cette liaison au Nigéria est toujours inférieure à 14%, ce qui est largement en-dessous de la valeur maximale acceptable de 25% pour les liaisons dans la bande de fréquences 2</w:t>
      </w:r>
      <w:r w:rsidR="00DA4FA3">
        <w:t> </w:t>
      </w:r>
      <w:r w:rsidRPr="007F2496">
        <w:t xml:space="preserve">483,5-2 500 MHz. </w:t>
      </w:r>
    </w:p>
    <w:p w:rsidR="0045707C" w:rsidRPr="007F2496" w:rsidRDefault="0045707C" w:rsidP="00DA05C7">
      <w:r w:rsidRPr="007F2496">
        <w:t>La Figure 3 reproduit les résultats de la simulation informatique pour une liaison au Sénégal. La dégradation FDP pour cette liaison est toujours inférieure à 22% dans la bande de fréquences 2 483,5</w:t>
      </w:r>
      <w:r w:rsidR="00DA05C7">
        <w:noBreakHyphen/>
      </w:r>
      <w:r w:rsidRPr="007F2496">
        <w:t>2</w:t>
      </w:r>
      <w:r w:rsidR="00DA05C7">
        <w:t> </w:t>
      </w:r>
      <w:r w:rsidRPr="007F2496">
        <w:t>500 MHz.</w:t>
      </w:r>
    </w:p>
    <w:p w:rsidR="0045707C" w:rsidRPr="007F2496" w:rsidRDefault="0045707C" w:rsidP="0045707C">
      <w:pPr>
        <w:pStyle w:val="FigureNo"/>
      </w:pPr>
      <w:r w:rsidRPr="007F2496">
        <w:lastRenderedPageBreak/>
        <w:t>Figure 3</w:t>
      </w:r>
    </w:p>
    <w:p w:rsidR="0045707C" w:rsidRPr="007F2496" w:rsidRDefault="0045707C" w:rsidP="00DA05C7">
      <w:pPr>
        <w:pStyle w:val="Figuretitle"/>
        <w:keepLines/>
        <w:spacing w:after="240"/>
      </w:pPr>
      <w:r w:rsidRPr="007F2496">
        <w:t xml:space="preserve">Pourcentage de dégradation FDP sur des liaisons du service fixe simulées au Sénégal résultant </w:t>
      </w:r>
      <w:r w:rsidRPr="007F2496">
        <w:br/>
        <w:t xml:space="preserve">du brouillage causé par les émissions composites des systèmes du SRRS et du SMS </w:t>
      </w:r>
    </w:p>
    <w:p w:rsidR="0045707C" w:rsidRPr="007F2496" w:rsidRDefault="0045707C" w:rsidP="00DA05C7">
      <w:pPr>
        <w:pStyle w:val="Figure"/>
        <w:keepNext/>
      </w:pPr>
      <w:r w:rsidRPr="007F2496">
        <w:object w:dxaOrig="4187" w:dyaOrig="3000">
          <v:shape id="_x0000_i1027" type="#_x0000_t75" style="width:314.2pt;height:225pt" o:ole="">
            <v:imagedata r:id="rId20" o:title=""/>
          </v:shape>
          <o:OLEObject Type="Embed" ProgID="CorelDRAW.Graphic.14" ShapeID="_x0000_i1027" DrawAspect="Content" ObjectID="_1542721498" r:id="rId21"/>
        </w:object>
      </w:r>
    </w:p>
    <w:p w:rsidR="0045707C" w:rsidRPr="007F2496" w:rsidRDefault="0045707C" w:rsidP="0045707C">
      <w:r w:rsidRPr="007F2496">
        <w:t>La Figure 4 reproduit les résultats de la simulation informatique pour une liaison au Kenya. La dégradation FDP pour cette liaison est toujours inférieure à 19% dans la bande de fréquences 2 483,5-2 500 MHz.</w:t>
      </w:r>
    </w:p>
    <w:p w:rsidR="0045707C" w:rsidRPr="007F2496" w:rsidRDefault="0045707C" w:rsidP="0045707C">
      <w:pPr>
        <w:pStyle w:val="FigureNo"/>
      </w:pPr>
      <w:r w:rsidRPr="007F2496">
        <w:t>Figure 4</w:t>
      </w:r>
    </w:p>
    <w:p w:rsidR="0045707C" w:rsidRPr="007F2496" w:rsidRDefault="0045707C" w:rsidP="0045707C">
      <w:pPr>
        <w:pStyle w:val="Figuretitle"/>
        <w:spacing w:after="240"/>
      </w:pPr>
      <w:r w:rsidRPr="007F2496">
        <w:t xml:space="preserve">Pourcentage de dégradation FDP sur des liaisons du service fixe simulées au Kenya résultant </w:t>
      </w:r>
      <w:r w:rsidRPr="007F2496">
        <w:br/>
        <w:t xml:space="preserve">du brouillage causé par les émissions composites des systèmes du SRRS et du SMS </w:t>
      </w:r>
    </w:p>
    <w:p w:rsidR="0045707C" w:rsidRPr="007F2496" w:rsidRDefault="0045707C" w:rsidP="0045707C">
      <w:pPr>
        <w:pStyle w:val="Figure"/>
        <w:keepLines w:val="0"/>
      </w:pPr>
      <w:r w:rsidRPr="007F2496">
        <w:object w:dxaOrig="4189" w:dyaOrig="3000">
          <v:shape id="_x0000_i1028" type="#_x0000_t75" style="width:315pt;height:225pt" o:ole="">
            <v:imagedata r:id="rId22" o:title=""/>
          </v:shape>
          <o:OLEObject Type="Embed" ProgID="CorelDRAW.Graphic.14" ShapeID="_x0000_i1028" DrawAspect="Content" ObjectID="_1542721499" r:id="rId23"/>
        </w:object>
      </w:r>
    </w:p>
    <w:p w:rsidR="0045707C" w:rsidRPr="007F2496" w:rsidRDefault="0045707C" w:rsidP="0045707C">
      <w:pPr>
        <w:keepLines/>
        <w:spacing w:before="360"/>
      </w:pPr>
      <w:r w:rsidRPr="007F2496">
        <w:t>La Figure 5 reproduit les résultats de la simulation informatique pour une liaison en République sudafricaine. La dégradation FDP pour cette liaison est toujours inférieure à 21% dans la bande de fréquences 2 483,5-2 500 MHz.</w:t>
      </w:r>
    </w:p>
    <w:p w:rsidR="0045707C" w:rsidRPr="007F2496" w:rsidRDefault="0045707C" w:rsidP="0045707C">
      <w:pPr>
        <w:pStyle w:val="FigureNo"/>
      </w:pPr>
      <w:r w:rsidRPr="007F2496">
        <w:lastRenderedPageBreak/>
        <w:t>Figure 5</w:t>
      </w:r>
    </w:p>
    <w:p w:rsidR="0045707C" w:rsidRPr="007F2496" w:rsidRDefault="0045707C" w:rsidP="0045707C">
      <w:pPr>
        <w:pStyle w:val="Figuretitle"/>
        <w:spacing w:after="240"/>
      </w:pPr>
      <w:r w:rsidRPr="007F2496">
        <w:t xml:space="preserve">Pourcentage de dégradation FDP </w:t>
      </w:r>
      <w:r>
        <w:t>sur d</w:t>
      </w:r>
      <w:r w:rsidRPr="007F2496">
        <w:t xml:space="preserve">es liaisons du service fixe simulées en République sudafricaine </w:t>
      </w:r>
      <w:r>
        <w:br/>
      </w:r>
      <w:r w:rsidRPr="007F2496">
        <w:t xml:space="preserve">résultant du brouillage causé par les émissions composites des </w:t>
      </w:r>
      <w:r>
        <w:t xml:space="preserve">systèmes du SRRS et du SMS </w:t>
      </w:r>
    </w:p>
    <w:p w:rsidR="0045707C" w:rsidRPr="007F2496" w:rsidRDefault="0045707C" w:rsidP="0045707C">
      <w:pPr>
        <w:pStyle w:val="Figure"/>
        <w:keepLines w:val="0"/>
      </w:pPr>
      <w:r w:rsidRPr="007F2496">
        <w:object w:dxaOrig="4187" w:dyaOrig="3000">
          <v:shape id="_x0000_i1029" type="#_x0000_t75" style="width:314.2pt;height:225pt" o:ole="">
            <v:imagedata r:id="rId24" o:title=""/>
          </v:shape>
          <o:OLEObject Type="Embed" ProgID="CorelDRAW.Graphic.14" ShapeID="_x0000_i1029" DrawAspect="Content" ObjectID="_1542721500" r:id="rId25"/>
        </w:object>
      </w:r>
    </w:p>
    <w:p w:rsidR="0045707C" w:rsidRPr="007F2496" w:rsidRDefault="0045707C" w:rsidP="0045707C">
      <w:pPr>
        <w:pStyle w:val="Headingb"/>
        <w:spacing w:before="480"/>
      </w:pPr>
      <w:r w:rsidRPr="007F2496">
        <w:t>Effet de l'élévation de l'antenne du service fixe</w:t>
      </w:r>
    </w:p>
    <w:p w:rsidR="0045707C" w:rsidRPr="007F2496" w:rsidRDefault="0045707C" w:rsidP="0045707C">
      <w:r w:rsidRPr="007F2496">
        <w:t>Une seconde série de simulations a été effectuée, tenant compte des effets d'un angle d'élévat</w:t>
      </w:r>
      <w:r>
        <w:t>ion de </w:t>
      </w:r>
      <w:r w:rsidRPr="007F2496">
        <w:t xml:space="preserve">0,5 degré pour l'antenne. Les simulations précédentes ont été répétées pour un angle d'élévation de 0,5 degré pour l'antenne de réception. Les </w:t>
      </w:r>
      <w:r w:rsidR="00060442">
        <w:t>Fig.</w:t>
      </w:r>
      <w:r w:rsidRPr="007F2496">
        <w:t xml:space="preserve"> 6 à 9 montrent les résultats de ces simulations.</w:t>
      </w:r>
    </w:p>
    <w:p w:rsidR="0045707C" w:rsidRPr="007F2496" w:rsidRDefault="0045707C" w:rsidP="0045707C">
      <w:pPr>
        <w:pStyle w:val="FigureNo"/>
      </w:pPr>
      <w:r w:rsidRPr="007F2496">
        <w:t>Figure 6</w:t>
      </w:r>
    </w:p>
    <w:p w:rsidR="0045707C" w:rsidRPr="007F2496" w:rsidRDefault="0045707C" w:rsidP="0045707C">
      <w:pPr>
        <w:pStyle w:val="Figuretitle"/>
        <w:spacing w:after="240"/>
      </w:pPr>
      <w:r w:rsidRPr="007F2496">
        <w:t xml:space="preserve">Pourcentage de dégradation FDP sur des liaisons du service fixe simulées au Nigéria résultant </w:t>
      </w:r>
      <w:r w:rsidRPr="007F2496">
        <w:br/>
        <w:t xml:space="preserve">du brouillage causé par les émissions composites des systèmes du SRRS et du SMS </w:t>
      </w:r>
      <w:r w:rsidRPr="007F2496">
        <w:br/>
        <w:t>Angle d'élévation de l'antenne de réception du service fixe = 0,5 degré</w:t>
      </w:r>
    </w:p>
    <w:p w:rsidR="0045707C" w:rsidRPr="007F2496" w:rsidRDefault="0045707C" w:rsidP="0045707C">
      <w:pPr>
        <w:pStyle w:val="Figure"/>
        <w:keepLines w:val="0"/>
      </w:pPr>
      <w:r w:rsidRPr="007F2496">
        <w:object w:dxaOrig="4189" w:dyaOrig="2641">
          <v:shape id="_x0000_i1030" type="#_x0000_t75" style="width:314.2pt;height:198.8pt" o:ole="">
            <v:imagedata r:id="rId26" o:title=""/>
          </v:shape>
          <o:OLEObject Type="Embed" ProgID="CorelDRAW.Graphic.14" ShapeID="_x0000_i1030" DrawAspect="Content" ObjectID="_1542721501" r:id="rId27"/>
        </w:object>
      </w:r>
    </w:p>
    <w:p w:rsidR="0045707C" w:rsidRPr="007F2496" w:rsidRDefault="0045707C" w:rsidP="0045707C">
      <w:pPr>
        <w:pStyle w:val="FigureNo"/>
      </w:pPr>
      <w:r w:rsidRPr="007F2496">
        <w:lastRenderedPageBreak/>
        <w:t>Figure 7</w:t>
      </w:r>
    </w:p>
    <w:p w:rsidR="0045707C" w:rsidRPr="007F2496" w:rsidRDefault="0045707C" w:rsidP="0045707C">
      <w:pPr>
        <w:pStyle w:val="Figuretitle"/>
        <w:spacing w:after="240"/>
      </w:pPr>
      <w:r w:rsidRPr="007F2496">
        <w:t xml:space="preserve">Pourcentage de dégradation FDP sur des liaisons du service fixe simulées au Sénégal résultant </w:t>
      </w:r>
      <w:r w:rsidRPr="007F2496">
        <w:br/>
        <w:t xml:space="preserve">du brouillage causé par les émissions composites des systèmes du SRRS et du SMS </w:t>
      </w:r>
      <w:r w:rsidRPr="007F2496">
        <w:br/>
        <w:t>Angle d'élévation de l'antenne de réception du service fixe = 0,5 degré</w:t>
      </w:r>
    </w:p>
    <w:p w:rsidR="0045707C" w:rsidRPr="007F2496" w:rsidRDefault="0045707C" w:rsidP="0045707C">
      <w:pPr>
        <w:pStyle w:val="Figure"/>
      </w:pPr>
      <w:r w:rsidRPr="007F2496">
        <w:object w:dxaOrig="4188" w:dyaOrig="2641">
          <v:shape id="_x0000_i1031" type="#_x0000_t75" style="width:314.2pt;height:198pt" o:ole="">
            <v:imagedata r:id="rId28" o:title=""/>
          </v:shape>
          <o:OLEObject Type="Embed" ProgID="CorelDRAW.Graphic.14" ShapeID="_x0000_i1031" DrawAspect="Content" ObjectID="_1542721502" r:id="rId29"/>
        </w:object>
      </w:r>
    </w:p>
    <w:p w:rsidR="0045707C" w:rsidRPr="007F2496" w:rsidRDefault="0045707C" w:rsidP="0045707C">
      <w:pPr>
        <w:pStyle w:val="FigureNo"/>
      </w:pPr>
      <w:r w:rsidRPr="007F2496">
        <w:t>Figure 8</w:t>
      </w:r>
    </w:p>
    <w:p w:rsidR="0045707C" w:rsidRPr="007F2496" w:rsidRDefault="0045707C" w:rsidP="0045707C">
      <w:pPr>
        <w:pStyle w:val="Figuretitle"/>
        <w:spacing w:after="240"/>
      </w:pPr>
      <w:r w:rsidRPr="007F2496">
        <w:t xml:space="preserve">Pourcentage de dégradation FDP sur des liaisons du service fixe simulées au Kenya résultant </w:t>
      </w:r>
      <w:r w:rsidRPr="007F2496">
        <w:br/>
        <w:t xml:space="preserve">du brouillage causé par les émissions composites des systèmes du SRRS et du SMS </w:t>
      </w:r>
      <w:r w:rsidRPr="007F2496">
        <w:br/>
        <w:t>Angle d'élévation de l'antenne de réception du service fixe = 0,5 degré</w:t>
      </w:r>
    </w:p>
    <w:p w:rsidR="0045707C" w:rsidRPr="007F2496" w:rsidRDefault="0045707C" w:rsidP="0045707C">
      <w:pPr>
        <w:pStyle w:val="Figure"/>
      </w:pPr>
      <w:r w:rsidRPr="007F2496">
        <w:object w:dxaOrig="4187" w:dyaOrig="2641">
          <v:shape id="_x0000_i1032" type="#_x0000_t75" style="width:314.2pt;height:198.8pt" o:ole="">
            <v:imagedata r:id="rId30" o:title=""/>
          </v:shape>
          <o:OLEObject Type="Embed" ProgID="CorelDRAW.Graphic.14" ShapeID="_x0000_i1032" DrawAspect="Content" ObjectID="_1542721503" r:id="rId31"/>
        </w:object>
      </w:r>
    </w:p>
    <w:p w:rsidR="0045707C" w:rsidRPr="007F2496" w:rsidRDefault="0045707C" w:rsidP="0045707C">
      <w:pPr>
        <w:pStyle w:val="FigureNo"/>
      </w:pPr>
      <w:r w:rsidRPr="007F2496">
        <w:lastRenderedPageBreak/>
        <w:t>Figure 9</w:t>
      </w:r>
    </w:p>
    <w:p w:rsidR="0045707C" w:rsidRPr="007F2496" w:rsidRDefault="0045707C" w:rsidP="0045707C">
      <w:pPr>
        <w:pStyle w:val="Figuretitle"/>
      </w:pPr>
      <w:r w:rsidRPr="007F2496">
        <w:t xml:space="preserve">Pourcentage de dégradation FDP sur des liaisons du service fixe simulées en République sudafricaine </w:t>
      </w:r>
      <w:r w:rsidRPr="007F2496">
        <w:br/>
        <w:t xml:space="preserve">résultant du brouillage causé par les émissions composites des systèmes du SRRS et du SMS </w:t>
      </w:r>
      <w:r w:rsidRPr="007F2496">
        <w:br/>
        <w:t>Angle d'élévation de l'antenne de réception du service fixe = 0,5 degré</w:t>
      </w:r>
    </w:p>
    <w:p w:rsidR="0045707C" w:rsidRPr="007F2496" w:rsidRDefault="0045707C" w:rsidP="0045707C">
      <w:pPr>
        <w:pStyle w:val="Figure"/>
      </w:pPr>
      <w:r w:rsidRPr="007F2496">
        <w:object w:dxaOrig="4188" w:dyaOrig="2732">
          <v:shape id="_x0000_i1033" type="#_x0000_t75" style="width:314.2pt;height:204.55pt" o:ole="">
            <v:imagedata r:id="rId32" o:title=""/>
          </v:shape>
          <o:OLEObject Type="Embed" ProgID="CorelDRAW.Graphic.14" ShapeID="_x0000_i1033" DrawAspect="Content" ObjectID="_1542721504" r:id="rId33"/>
        </w:object>
      </w:r>
    </w:p>
    <w:p w:rsidR="00A6617B" w:rsidRDefault="00A6617B" w:rsidP="00242AEE">
      <w:pPr>
        <w:pStyle w:val="HeadingSum"/>
      </w:pPr>
    </w:p>
    <w:p w:rsidR="001D36AA" w:rsidRPr="001D36AA" w:rsidRDefault="001D36AA" w:rsidP="001D36AA">
      <w:pPr>
        <w:rPr>
          <w:lang w:val="es-ES_tradnl"/>
        </w:rPr>
      </w:pPr>
    </w:p>
    <w:p w:rsidR="001D36AA" w:rsidRPr="001D36AA" w:rsidRDefault="001D36AA" w:rsidP="001D36AA">
      <w:pPr>
        <w:jc w:val="center"/>
        <w:rPr>
          <w:lang w:val="es-ES_tradnl"/>
        </w:rPr>
      </w:pPr>
      <w:r>
        <w:rPr>
          <w:lang w:val="es-ES_tradnl"/>
        </w:rPr>
        <w:t>___________________</w:t>
      </w:r>
    </w:p>
    <w:sectPr w:rsidR="001D36AA" w:rsidRPr="001D36AA" w:rsidSect="001D36AA">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34" w:rsidRDefault="00DA0E34">
      <w:r>
        <w:separator/>
      </w:r>
    </w:p>
  </w:endnote>
  <w:endnote w:type="continuationSeparator" w:id="0">
    <w:p w:rsidR="00DA0E34" w:rsidRDefault="00DA0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34" w:rsidRDefault="00DA0E34">
      <w:r>
        <w:separator/>
      </w:r>
    </w:p>
  </w:footnote>
  <w:footnote w:type="continuationSeparator" w:id="0">
    <w:p w:rsidR="00DA0E34" w:rsidRDefault="00DA0E34">
      <w:r>
        <w:continuationSeparator/>
      </w:r>
    </w:p>
  </w:footnote>
  <w:footnote w:id="1">
    <w:p w:rsidR="00DA0E34" w:rsidRPr="00A86049" w:rsidRDefault="00DA0E34" w:rsidP="0045707C">
      <w:pPr>
        <w:pStyle w:val="FootnoteText"/>
        <w:rPr>
          <w:lang w:val="fr-CH"/>
        </w:rPr>
      </w:pPr>
      <w:r>
        <w:rPr>
          <w:rStyle w:val="FootnoteReference"/>
        </w:rPr>
        <w:footnoteRef/>
      </w:r>
      <w:r w:rsidRPr="00A86049">
        <w:rPr>
          <w:lang w:val="fr-CH"/>
        </w:rPr>
        <w:tab/>
        <w:t>Ce texte s’inspire de la Recommandation UIT-R M.1143.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Default="00DA0E3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Default="00DA0E34" w:rsidP="00DA0E34">
    <w:pPr>
      <w:pStyle w:val="Header"/>
      <w:ind w:right="360" w:firstLine="360"/>
    </w:pPr>
    <w:r>
      <w:rPr>
        <w:noProof/>
        <w:lang w:val="en-US" w:eastAsia="zh-CN"/>
      </w:rPr>
      <w:drawing>
        <wp:anchor distT="0" distB="0" distL="114300" distR="114300" simplePos="0" relativeHeight="251659264" behindDoc="1" locked="0" layoutInCell="1" allowOverlap="1" wp14:anchorId="285D4DB0" wp14:editId="1E7A1B5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Pr="00837CB5" w:rsidRDefault="00DA0E34" w:rsidP="00DA0E3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715AC">
      <w:rPr>
        <w:rStyle w:val="PageNumber"/>
        <w:b/>
        <w:bCs/>
        <w:noProof/>
      </w:rPr>
      <w:t>ii</w:t>
    </w:r>
    <w:r>
      <w:rPr>
        <w:rStyle w:val="PageNumber"/>
        <w:b/>
        <w:bCs/>
      </w:rPr>
      <w:fldChar w:fldCharType="end"/>
    </w:r>
    <w:r w:rsidRPr="00837CB5">
      <w:tab/>
    </w:r>
    <w:r w:rsidR="009715AC">
      <w:fldChar w:fldCharType="begin"/>
    </w:r>
    <w:r w:rsidR="009715AC">
      <w:instrText xml:space="preserve"> DOCPROPERTY "Header" \* MERGEFORMAT </w:instrText>
    </w:r>
    <w:r w:rsidR="009715AC">
      <w:fldChar w:fldCharType="separate"/>
    </w:r>
    <w:r w:rsidR="009715AC" w:rsidRPr="009715AC">
      <w:rPr>
        <w:b/>
        <w:bCs/>
      </w:rPr>
      <w:t xml:space="preserve">Rec. </w:t>
    </w:r>
    <w:r w:rsidR="009715A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715AC">
      <w:rPr>
        <w:b/>
        <w:bCs/>
        <w:noProof/>
      </w:rPr>
      <w:t>UIT-R  M.2082-0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Default="00DA0E34" w:rsidP="00DA0E34">
    <w:pPr>
      <w:pStyle w:val="Header"/>
    </w:pPr>
    <w:r>
      <w:tab/>
    </w:r>
    <w:r w:rsidR="009715AC">
      <w:fldChar w:fldCharType="begin"/>
    </w:r>
    <w:r w:rsidR="009715AC">
      <w:instrText xml:space="preserve"> DOCPROPERTY "Header" \* MERGEFORMAT </w:instrText>
    </w:r>
    <w:r w:rsidR="009715AC">
      <w:fldChar w:fldCharType="separate"/>
    </w:r>
    <w:r w:rsidR="009715AC" w:rsidRPr="009715AC">
      <w:rPr>
        <w:b/>
        <w:bCs/>
      </w:rPr>
      <w:t xml:space="preserve">Rec. </w:t>
    </w:r>
    <w:r w:rsidR="009715AC">
      <w:rPr>
        <w:b/>
        <w:bCs/>
      </w:rPr>
      <w:fldChar w:fldCharType="end"/>
    </w:r>
    <w:r>
      <w:rPr>
        <w:b/>
        <w:bCs/>
      </w:rPr>
      <w:t xml:space="preserve"> </w:t>
    </w:r>
    <w:r>
      <w:rPr>
        <w:b/>
        <w:bCs/>
      </w:rPr>
      <w:fldChar w:fldCharType="begin"/>
    </w:r>
    <w:r>
      <w:rPr>
        <w:b/>
        <w:bCs/>
      </w:rPr>
      <w:instrText>styleref href</w:instrText>
    </w:r>
    <w:r>
      <w:rPr>
        <w:b/>
        <w:bCs/>
      </w:rPr>
      <w:fldChar w:fldCharType="separate"/>
    </w:r>
    <w:r w:rsidR="009715AC">
      <w:rPr>
        <w:b/>
        <w:bCs/>
        <w:noProof/>
      </w:rPr>
      <w:t>UIT-R  M.2082-0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Default="00DA0E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15AC">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715AC" w:rsidRPr="009715A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715AC">
      <w:rPr>
        <w:b/>
        <w:bCs/>
        <w:noProof/>
      </w:rPr>
      <w:t>UIT-R  M.2082-0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34" w:rsidRDefault="00DA0E34">
    <w:pPr>
      <w:pStyle w:val="Header"/>
    </w:pPr>
    <w:r>
      <w:tab/>
    </w:r>
    <w:r w:rsidR="009715AC">
      <w:fldChar w:fldCharType="begin"/>
    </w:r>
    <w:r w:rsidR="009715AC">
      <w:instrText xml:space="preserve"> DOCPROPERTY "Header" \* MERGEFORMAT </w:instrText>
    </w:r>
    <w:r w:rsidR="009715AC">
      <w:fldChar w:fldCharType="separate"/>
    </w:r>
    <w:r w:rsidR="009715AC" w:rsidRPr="009715AC">
      <w:rPr>
        <w:b/>
        <w:bCs/>
      </w:rPr>
      <w:t xml:space="preserve">Rec. </w:t>
    </w:r>
    <w:r w:rsidR="009715AC">
      <w:rPr>
        <w:b/>
        <w:bCs/>
      </w:rPr>
      <w:fldChar w:fldCharType="end"/>
    </w:r>
    <w:r>
      <w:rPr>
        <w:b/>
        <w:bCs/>
      </w:rPr>
      <w:t xml:space="preserve"> </w:t>
    </w:r>
    <w:r>
      <w:rPr>
        <w:b/>
        <w:bCs/>
      </w:rPr>
      <w:fldChar w:fldCharType="begin"/>
    </w:r>
    <w:r>
      <w:rPr>
        <w:b/>
        <w:bCs/>
      </w:rPr>
      <w:instrText>styleref href</w:instrText>
    </w:r>
    <w:r>
      <w:rPr>
        <w:b/>
        <w:bCs/>
      </w:rPr>
      <w:fldChar w:fldCharType="separate"/>
    </w:r>
    <w:r w:rsidR="009715AC">
      <w:rPr>
        <w:b/>
        <w:bCs/>
        <w:noProof/>
      </w:rPr>
      <w:t>UIT-R  M.2082-0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15A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07C"/>
    <w:rsid w:val="00060442"/>
    <w:rsid w:val="001D36AA"/>
    <w:rsid w:val="00217EBF"/>
    <w:rsid w:val="00240939"/>
    <w:rsid w:val="00242AEE"/>
    <w:rsid w:val="002D76C4"/>
    <w:rsid w:val="00391EC1"/>
    <w:rsid w:val="0045707C"/>
    <w:rsid w:val="0052529D"/>
    <w:rsid w:val="006037FF"/>
    <w:rsid w:val="00607D68"/>
    <w:rsid w:val="007468DA"/>
    <w:rsid w:val="009715AC"/>
    <w:rsid w:val="00997E26"/>
    <w:rsid w:val="009E00A8"/>
    <w:rsid w:val="00A6617B"/>
    <w:rsid w:val="00AB0DC8"/>
    <w:rsid w:val="00B44E24"/>
    <w:rsid w:val="00BA38F2"/>
    <w:rsid w:val="00DA05C7"/>
    <w:rsid w:val="00DA0E34"/>
    <w:rsid w:val="00DA4FA3"/>
    <w:rsid w:val="00DF4176"/>
    <w:rsid w:val="00E01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CB6C9374-CF34-40BB-A03F-AB52B684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0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BA38F2"/>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97E26"/>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5707C"/>
    <w:rPr>
      <w:color w:val="0000FF"/>
      <w:u w:val="single"/>
    </w:rPr>
  </w:style>
  <w:style w:type="character" w:customStyle="1" w:styleId="Heading1Char">
    <w:name w:val="Heading 1 Char"/>
    <w:basedOn w:val="DefaultParagraphFont"/>
    <w:link w:val="Heading1"/>
    <w:rsid w:val="0045707C"/>
    <w:rPr>
      <w:b/>
      <w:sz w:val="24"/>
      <w:lang w:val="fr-FR" w:eastAsia="en-US"/>
    </w:rPr>
  </w:style>
  <w:style w:type="character" w:customStyle="1" w:styleId="TableheadChar">
    <w:name w:val="Table_head Char"/>
    <w:basedOn w:val="DefaultParagraphFont"/>
    <w:link w:val="Tablehead"/>
    <w:locked/>
    <w:rsid w:val="0045707C"/>
    <w:rPr>
      <w:b/>
      <w:sz w:val="22"/>
      <w:lang w:val="fr-FR" w:eastAsia="en-US"/>
    </w:rPr>
  </w:style>
  <w:style w:type="character" w:customStyle="1" w:styleId="TabletextChar">
    <w:name w:val="Table_text Char"/>
    <w:basedOn w:val="DefaultParagraphFont"/>
    <w:link w:val="Tabletext"/>
    <w:locked/>
    <w:rsid w:val="0045707C"/>
    <w:rPr>
      <w:sz w:val="22"/>
      <w:lang w:val="fr-FR" w:eastAsia="en-US"/>
    </w:rPr>
  </w:style>
  <w:style w:type="paragraph" w:customStyle="1" w:styleId="Source">
    <w:name w:val="Source"/>
    <w:basedOn w:val="Normal"/>
    <w:next w:val="Normal"/>
    <w:rsid w:val="0045707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AnnexNo">
    <w:name w:val="Annex_No"/>
    <w:basedOn w:val="Normal"/>
    <w:next w:val="Normal"/>
    <w:rsid w:val="0045707C"/>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45707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45707C"/>
  </w:style>
  <w:style w:type="paragraph" w:customStyle="1" w:styleId="Appendixtitle">
    <w:name w:val="Appendix_title"/>
    <w:basedOn w:val="Annextitle"/>
    <w:next w:val="Normal"/>
    <w:rsid w:val="0045707C"/>
  </w:style>
  <w:style w:type="character" w:customStyle="1" w:styleId="FootnoteTextChar">
    <w:name w:val="Footnote Text Char"/>
    <w:basedOn w:val="DefaultParagraphFont"/>
    <w:link w:val="FootnoteText"/>
    <w:rsid w:val="0045707C"/>
    <w:rPr>
      <w:sz w:val="22"/>
      <w:lang w:val="fr-FR" w:eastAsia="en-US"/>
    </w:rPr>
  </w:style>
  <w:style w:type="character" w:customStyle="1" w:styleId="TableNo0">
    <w:name w:val="Table_No Знак"/>
    <w:link w:val="TableNo"/>
    <w:locked/>
    <w:rsid w:val="0045707C"/>
    <w:rPr>
      <w:sz w:val="24"/>
      <w:lang w:val="fr-FR" w:eastAsia="en-US"/>
    </w:rPr>
  </w:style>
  <w:style w:type="table" w:customStyle="1" w:styleId="TableGrid1">
    <w:name w:val="Table Grid1"/>
    <w:basedOn w:val="TableNormal"/>
    <w:uiPriority w:val="59"/>
    <w:rsid w:val="0045707C"/>
    <w:rPr>
      <w:rFonts w:ascii="CG Times" w:eastAsia="MS Mincho" w:hAnsi="CG Times"/>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sid w:val="0045707C"/>
    <w:rPr>
      <w:sz w:val="24"/>
      <w:lang w:val="fr-FR" w:eastAsia="en-US"/>
    </w:rPr>
  </w:style>
  <w:style w:type="paragraph" w:styleId="ListParagraph">
    <w:name w:val="List Paragraph"/>
    <w:basedOn w:val="Normal"/>
    <w:uiPriority w:val="34"/>
    <w:qFormat/>
    <w:rsid w:val="0045707C"/>
    <w:pPr>
      <w:tabs>
        <w:tab w:val="clear" w:pos="794"/>
        <w:tab w:val="clear" w:pos="1191"/>
        <w:tab w:val="clear" w:pos="1588"/>
        <w:tab w:val="clear" w:pos="1985"/>
        <w:tab w:val="left" w:pos="1134"/>
        <w:tab w:val="left" w:pos="1871"/>
        <w:tab w:val="left" w:pos="2268"/>
      </w:tabs>
      <w:ind w:left="720"/>
      <w:contextualSpacing/>
      <w:jc w:val="left"/>
    </w:pPr>
  </w:style>
  <w:style w:type="paragraph" w:customStyle="1" w:styleId="Artheading">
    <w:name w:val="Art_heading"/>
    <w:basedOn w:val="Normal"/>
    <w:next w:val="Normal"/>
    <w:rsid w:val="0045707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45707C"/>
    <w:rPr>
      <w:vertAlign w:val="superscript"/>
    </w:rPr>
  </w:style>
  <w:style w:type="paragraph" w:customStyle="1" w:styleId="Figurewithouttitle">
    <w:name w:val="Figure_without_title"/>
    <w:basedOn w:val="FigureNo"/>
    <w:next w:val="Normal"/>
    <w:rsid w:val="0045707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45707C"/>
    <w:pPr>
      <w:overflowPunct/>
      <w:autoSpaceDE/>
      <w:autoSpaceDN/>
      <w:adjustRightInd/>
      <w:spacing w:before="40"/>
      <w:jc w:val="left"/>
      <w:textAlignment w:val="auto"/>
    </w:pPr>
    <w:rPr>
      <w:noProof w:val="0"/>
      <w:sz w:val="16"/>
    </w:rPr>
  </w:style>
  <w:style w:type="paragraph" w:customStyle="1" w:styleId="SpecialFooter">
    <w:name w:val="Special Footer"/>
    <w:basedOn w:val="Footer"/>
    <w:rsid w:val="0045707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5707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45707C"/>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45707C"/>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45707C"/>
    <w:pPr>
      <w:spacing w:before="240"/>
    </w:pPr>
    <w:rPr>
      <w:caps w:val="0"/>
    </w:rPr>
  </w:style>
  <w:style w:type="paragraph" w:customStyle="1" w:styleId="Title4">
    <w:name w:val="Title 4"/>
    <w:basedOn w:val="Title3"/>
    <w:next w:val="Heading1"/>
    <w:rsid w:val="0045707C"/>
    <w:rPr>
      <w:b/>
    </w:rPr>
  </w:style>
  <w:style w:type="character" w:customStyle="1" w:styleId="Appdef">
    <w:name w:val="App_def"/>
    <w:rsid w:val="0045707C"/>
    <w:rPr>
      <w:rFonts w:ascii="Times New Roman" w:hAnsi="Times New Roman"/>
      <w:b/>
    </w:rPr>
  </w:style>
  <w:style w:type="character" w:customStyle="1" w:styleId="Appref">
    <w:name w:val="App_ref"/>
    <w:basedOn w:val="DefaultParagraphFont"/>
    <w:rsid w:val="0045707C"/>
  </w:style>
  <w:style w:type="character" w:customStyle="1" w:styleId="Artdef">
    <w:name w:val="Art_def"/>
    <w:rsid w:val="0045707C"/>
    <w:rPr>
      <w:rFonts w:ascii="Times New Roman" w:hAnsi="Times New Roman"/>
      <w:b/>
    </w:rPr>
  </w:style>
  <w:style w:type="character" w:customStyle="1" w:styleId="Artref">
    <w:name w:val="Art_ref"/>
    <w:basedOn w:val="DefaultParagraphFont"/>
    <w:rsid w:val="0045707C"/>
  </w:style>
  <w:style w:type="character" w:customStyle="1" w:styleId="Recdef">
    <w:name w:val="Rec_def"/>
    <w:rsid w:val="0045707C"/>
    <w:rPr>
      <w:b/>
    </w:rPr>
  </w:style>
  <w:style w:type="character" w:customStyle="1" w:styleId="Resdef">
    <w:name w:val="Res_def"/>
    <w:rsid w:val="0045707C"/>
    <w:rPr>
      <w:rFonts w:ascii="Times New Roman" w:hAnsi="Times New Roman"/>
      <w:b/>
    </w:rPr>
  </w:style>
  <w:style w:type="character" w:customStyle="1" w:styleId="Tablefreq">
    <w:name w:val="Table_freq"/>
    <w:rsid w:val="0045707C"/>
    <w:rPr>
      <w:b/>
      <w:color w:val="auto"/>
      <w:sz w:val="20"/>
    </w:rPr>
  </w:style>
  <w:style w:type="paragraph" w:customStyle="1" w:styleId="Formal">
    <w:name w:val="Formal"/>
    <w:basedOn w:val="ASN1"/>
    <w:rsid w:val="0045707C"/>
    <w:pPr>
      <w:tabs>
        <w:tab w:val="left" w:pos="1871"/>
      </w:tabs>
      <w:jc w:val="left"/>
    </w:pPr>
    <w:rPr>
      <w:rFonts w:ascii="Times New Roman Bold" w:hAnsi="Times New Roman Bold"/>
      <w:b w:val="0"/>
    </w:rPr>
  </w:style>
  <w:style w:type="paragraph" w:customStyle="1" w:styleId="Section1">
    <w:name w:val="Section_1"/>
    <w:basedOn w:val="Normal"/>
    <w:rsid w:val="0045707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45707C"/>
    <w:rPr>
      <w:b w:val="0"/>
      <w:i/>
    </w:rPr>
  </w:style>
  <w:style w:type="paragraph" w:customStyle="1" w:styleId="Agendaitem">
    <w:name w:val="Agenda_item"/>
    <w:basedOn w:val="Normal"/>
    <w:next w:val="Normal"/>
    <w:qFormat/>
    <w:rsid w:val="0045707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45707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45707C"/>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45707C"/>
  </w:style>
  <w:style w:type="paragraph" w:styleId="BalloonText">
    <w:name w:val="Balloon Text"/>
    <w:basedOn w:val="Normal"/>
    <w:link w:val="BalloonTextChar"/>
    <w:rsid w:val="0045707C"/>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45707C"/>
    <w:rPr>
      <w:rFonts w:ascii="Tahoma" w:hAnsi="Tahoma" w:cs="Tahoma"/>
      <w:sz w:val="16"/>
      <w:szCs w:val="16"/>
      <w:lang w:val="fr-FR" w:eastAsia="en-US"/>
    </w:rPr>
  </w:style>
  <w:style w:type="paragraph" w:styleId="BodyText">
    <w:name w:val="Body Text"/>
    <w:basedOn w:val="Normal"/>
    <w:link w:val="BodyTextChar"/>
    <w:rsid w:val="0045707C"/>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45707C"/>
    <w:rPr>
      <w:b/>
      <w:smallCaps/>
      <w:sz w:val="24"/>
      <w:lang w:val="fr-FR" w:eastAsia="en-US"/>
    </w:rPr>
  </w:style>
  <w:style w:type="paragraph" w:customStyle="1" w:styleId="Border">
    <w:name w:val="Border"/>
    <w:basedOn w:val="Normal"/>
    <w:rsid w:val="0045707C"/>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45707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45707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45707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45707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45707C"/>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45707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45707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45707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45707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45707C"/>
  </w:style>
  <w:style w:type="paragraph" w:customStyle="1" w:styleId="Normalaftertitle0">
    <w:name w:val="Normal after title"/>
    <w:basedOn w:val="Normal"/>
    <w:next w:val="Normal"/>
    <w:rsid w:val="0045707C"/>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45707C"/>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45707C"/>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45707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45707C"/>
    <w:pPr>
      <w:tabs>
        <w:tab w:val="clear" w:pos="794"/>
        <w:tab w:val="clear" w:pos="1191"/>
        <w:tab w:val="left" w:pos="1134"/>
      </w:tabs>
      <w:jc w:val="left"/>
    </w:pPr>
  </w:style>
  <w:style w:type="paragraph" w:customStyle="1" w:styleId="Section3">
    <w:name w:val="Section_3"/>
    <w:basedOn w:val="Section1"/>
    <w:rsid w:val="0045707C"/>
    <w:rPr>
      <w:b w:val="0"/>
    </w:rPr>
  </w:style>
  <w:style w:type="paragraph" w:customStyle="1" w:styleId="Subsection1">
    <w:name w:val="Subsection_1"/>
    <w:basedOn w:val="Section1"/>
    <w:next w:val="Normalaftertitle0"/>
    <w:qFormat/>
    <w:rsid w:val="0045707C"/>
  </w:style>
  <w:style w:type="table" w:styleId="TableGrid">
    <w:name w:val="Table Grid"/>
    <w:basedOn w:val="TableNormal"/>
    <w:rsid w:val="0045707C"/>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45707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45707C"/>
    <w:pPr>
      <w:tabs>
        <w:tab w:val="clear" w:pos="794"/>
        <w:tab w:val="clear" w:pos="1191"/>
        <w:tab w:val="clear" w:pos="1588"/>
        <w:tab w:val="clear" w:pos="1985"/>
        <w:tab w:val="left" w:pos="1134"/>
        <w:tab w:val="left" w:pos="1871"/>
        <w:tab w:val="left" w:pos="2268"/>
      </w:tabs>
    </w:pPr>
    <w:rPr>
      <w:caps/>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oleObject3.bin"/><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16</Pages>
  <Words>4298</Words>
  <Characters>23253</Characters>
  <Application>Microsoft Office Word</Application>
  <DocSecurity>0</DocSecurity>
  <Lines>553</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10</cp:revision>
  <cp:lastPrinted>2016-12-08T15:51:00Z</cp:lastPrinted>
  <dcterms:created xsi:type="dcterms:W3CDTF">2016-12-08T13:37:00Z</dcterms:created>
  <dcterms:modified xsi:type="dcterms:W3CDTF">2016-12-08T15:55:00Z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