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462" w:rsidRPr="00575CB8" w:rsidRDefault="00122462" w:rsidP="00122462">
      <w:pPr>
        <w:rPr>
          <w:lang w:val="en-US"/>
        </w:rPr>
      </w:pPr>
    </w:p>
    <w:p w:rsidR="00122462" w:rsidRDefault="00122462" w:rsidP="00122462"/>
    <w:p w:rsidR="00122462" w:rsidRDefault="00122462" w:rsidP="00122462"/>
    <w:p w:rsidR="00122462" w:rsidRDefault="00122462" w:rsidP="00122462"/>
    <w:p w:rsidR="00122462" w:rsidRDefault="00122462" w:rsidP="00122462"/>
    <w:p w:rsidR="00122462" w:rsidRDefault="00122462" w:rsidP="00122462"/>
    <w:p w:rsidR="00122462" w:rsidRDefault="00122462" w:rsidP="00122462"/>
    <w:p w:rsidR="00122462" w:rsidRDefault="00122462" w:rsidP="00122462"/>
    <w:p w:rsidR="00122462" w:rsidRDefault="00122462" w:rsidP="00122462"/>
    <w:tbl>
      <w:tblPr>
        <w:tblW w:w="10089" w:type="dxa"/>
        <w:tblLook w:val="01E0" w:firstRow="1" w:lastRow="1" w:firstColumn="1" w:lastColumn="1" w:noHBand="0" w:noVBand="0"/>
      </w:tblPr>
      <w:tblGrid>
        <w:gridCol w:w="10089"/>
      </w:tblGrid>
      <w:tr w:rsidR="00122462" w:rsidRPr="00122462" w:rsidTr="005064A9">
        <w:tc>
          <w:tcPr>
            <w:tcW w:w="10089" w:type="dxa"/>
          </w:tcPr>
          <w:p w:rsidR="00122462" w:rsidRPr="00A07AEB" w:rsidRDefault="00122462" w:rsidP="005064A9">
            <w:pPr>
              <w:spacing w:before="380" w:line="280" w:lineRule="exact"/>
              <w:jc w:val="right"/>
              <w:rPr>
                <w:rFonts w:ascii="Tahoma" w:hAnsi="Tahoma" w:cs="Tahoma"/>
                <w:b/>
                <w:bCs/>
                <w:iCs/>
                <w:color w:val="243285"/>
                <w:sz w:val="32"/>
                <w:szCs w:val="32"/>
                <w:lang w:val="en-US"/>
              </w:rPr>
            </w:pPr>
          </w:p>
          <w:p w:rsidR="00122462" w:rsidRPr="00A07AEB" w:rsidRDefault="00122462" w:rsidP="00122462">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M.2069-0</w:t>
            </w:r>
          </w:p>
          <w:p w:rsidR="00122462" w:rsidRPr="00A07AEB" w:rsidRDefault="00122462" w:rsidP="00122462">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981EC7">
              <w:rPr>
                <w:rFonts w:ascii="Tahoma" w:hAnsi="Tahoma" w:cs="Tahoma"/>
                <w:b/>
                <w:bCs/>
                <w:iCs/>
                <w:color w:val="243285"/>
                <w:szCs w:val="24"/>
                <w:lang w:val="es-ES_tradnl"/>
              </w:rPr>
              <w:t>1</w:t>
            </w:r>
            <w:r>
              <w:rPr>
                <w:rFonts w:ascii="Tahoma" w:hAnsi="Tahoma" w:cs="Tahoma"/>
                <w:b/>
                <w:bCs/>
                <w:iCs/>
                <w:color w:val="243285"/>
                <w:szCs w:val="24"/>
                <w:lang w:val="es-ES_tradnl"/>
              </w:rPr>
              <w:t>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122462" w:rsidRPr="00584A12" w:rsidTr="005064A9">
        <w:tc>
          <w:tcPr>
            <w:tcW w:w="10089" w:type="dxa"/>
          </w:tcPr>
          <w:p w:rsidR="00122462" w:rsidRPr="0010336F" w:rsidRDefault="00122462" w:rsidP="005064A9">
            <w:pPr>
              <w:spacing w:before="80" w:line="500" w:lineRule="exact"/>
              <w:jc w:val="right"/>
              <w:rPr>
                <w:rFonts w:ascii="Tahoma" w:hAnsi="Tahoma" w:cs="Tahoma"/>
                <w:b/>
                <w:bCs/>
                <w:iCs/>
                <w:color w:val="243285"/>
                <w:sz w:val="44"/>
                <w:szCs w:val="44"/>
                <w:lang w:val="es-ES_tradnl"/>
              </w:rPr>
            </w:pPr>
          </w:p>
          <w:p w:rsidR="00122462" w:rsidRPr="0010336F" w:rsidRDefault="00122462" w:rsidP="005064A9">
            <w:pPr>
              <w:spacing w:before="80" w:line="500" w:lineRule="exact"/>
              <w:jc w:val="right"/>
              <w:rPr>
                <w:rFonts w:ascii="Tahoma" w:hAnsi="Tahoma" w:cs="Tahoma"/>
                <w:b/>
                <w:bCs/>
                <w:iCs/>
                <w:color w:val="243285"/>
                <w:sz w:val="44"/>
                <w:szCs w:val="44"/>
                <w:lang w:val="es-ES_tradnl"/>
              </w:rPr>
            </w:pPr>
          </w:p>
          <w:p w:rsidR="00122462" w:rsidRPr="00A07AEB" w:rsidRDefault="00122462" w:rsidP="00122462">
            <w:pPr>
              <w:spacing w:before="80" w:line="500" w:lineRule="exact"/>
              <w:jc w:val="right"/>
              <w:rPr>
                <w:rFonts w:ascii="Tahoma" w:hAnsi="Tahoma" w:cs="Tahoma"/>
                <w:b/>
                <w:bCs/>
                <w:iCs/>
                <w:color w:val="243285"/>
                <w:sz w:val="44"/>
                <w:szCs w:val="44"/>
                <w:lang w:val="es-ES_tradnl"/>
              </w:rPr>
            </w:pPr>
            <w:r w:rsidRPr="00122462">
              <w:rPr>
                <w:rFonts w:ascii="Tahoma" w:hAnsi="Tahoma" w:cs="Tahoma"/>
                <w:b/>
                <w:bCs/>
                <w:color w:val="243285"/>
                <w:sz w:val="44"/>
                <w:szCs w:val="44"/>
                <w:lang w:val="es-ES_tradnl"/>
              </w:rPr>
              <w:t>Variabilidad de la rotación de las antenas</w:t>
            </w:r>
            <w:r>
              <w:rPr>
                <w:rFonts w:ascii="Tahoma" w:hAnsi="Tahoma" w:cs="Tahoma"/>
                <w:b/>
                <w:bCs/>
                <w:color w:val="243285"/>
                <w:sz w:val="44"/>
                <w:szCs w:val="44"/>
                <w:lang w:val="es-ES_tradnl"/>
              </w:rPr>
              <w:t xml:space="preserve"> </w:t>
            </w:r>
            <w:r w:rsidRPr="00122462">
              <w:rPr>
                <w:rFonts w:ascii="Tahoma" w:hAnsi="Tahoma" w:cs="Tahoma"/>
                <w:b/>
                <w:bCs/>
                <w:color w:val="243285"/>
                <w:sz w:val="44"/>
                <w:szCs w:val="44"/>
                <w:lang w:val="es-ES_tradnl"/>
              </w:rPr>
              <w:t>y efecto sobre el acoplamiento</w:t>
            </w:r>
            <w:r>
              <w:rPr>
                <w:rFonts w:ascii="Tahoma" w:hAnsi="Tahoma" w:cs="Tahoma"/>
                <w:b/>
                <w:bCs/>
                <w:color w:val="243285"/>
                <w:sz w:val="44"/>
                <w:szCs w:val="44"/>
                <w:lang w:val="es-ES_tradnl"/>
              </w:rPr>
              <w:t xml:space="preserve"> </w:t>
            </w:r>
            <w:r w:rsidRPr="00122462">
              <w:rPr>
                <w:rFonts w:ascii="Tahoma" w:hAnsi="Tahoma" w:cs="Tahoma"/>
                <w:b/>
                <w:bCs/>
                <w:color w:val="243285"/>
                <w:sz w:val="44"/>
                <w:szCs w:val="44"/>
                <w:lang w:val="es-ES_tradnl"/>
              </w:rPr>
              <w:t>de antenas</w:t>
            </w:r>
            <w:r>
              <w:rPr>
                <w:rFonts w:ascii="Tahoma" w:hAnsi="Tahoma" w:cs="Tahoma"/>
                <w:b/>
                <w:bCs/>
                <w:color w:val="243285"/>
                <w:sz w:val="44"/>
                <w:szCs w:val="44"/>
                <w:lang w:val="es-ES_tradnl"/>
              </w:rPr>
              <w:br/>
            </w:r>
            <w:r w:rsidRPr="00122462">
              <w:rPr>
                <w:rFonts w:ascii="Tahoma" w:hAnsi="Tahoma" w:cs="Tahoma"/>
                <w:b/>
                <w:bCs/>
                <w:color w:val="243285"/>
                <w:sz w:val="44"/>
                <w:szCs w:val="44"/>
                <w:lang w:val="es-ES_tradnl"/>
              </w:rPr>
              <w:t>en el análisis</w:t>
            </w:r>
            <w:r>
              <w:rPr>
                <w:rFonts w:ascii="Tahoma" w:hAnsi="Tahoma" w:cs="Tahoma"/>
                <w:b/>
                <w:bCs/>
                <w:color w:val="243285"/>
                <w:sz w:val="44"/>
                <w:szCs w:val="44"/>
                <w:lang w:val="es-ES_tradnl"/>
              </w:rPr>
              <w:t xml:space="preserve"> </w:t>
            </w:r>
            <w:r w:rsidRPr="00122462">
              <w:rPr>
                <w:rFonts w:ascii="Tahoma" w:hAnsi="Tahoma" w:cs="Tahoma"/>
                <w:b/>
                <w:bCs/>
                <w:color w:val="243285"/>
                <w:sz w:val="44"/>
                <w:szCs w:val="44"/>
                <w:lang w:val="es-ES_tradnl"/>
              </w:rPr>
              <w:t>de interferencia</w:t>
            </w:r>
            <w:r>
              <w:rPr>
                <w:rFonts w:ascii="Tahoma" w:hAnsi="Tahoma" w:cs="Tahoma"/>
                <w:b/>
                <w:bCs/>
                <w:color w:val="243285"/>
                <w:sz w:val="44"/>
                <w:szCs w:val="44"/>
                <w:lang w:val="es-ES_tradnl"/>
              </w:rPr>
              <w:br/>
            </w:r>
            <w:r w:rsidRPr="00122462">
              <w:rPr>
                <w:rFonts w:ascii="Tahoma" w:hAnsi="Tahoma" w:cs="Tahoma"/>
                <w:b/>
                <w:bCs/>
                <w:color w:val="243285"/>
                <w:sz w:val="44"/>
                <w:szCs w:val="44"/>
                <w:lang w:val="es-ES_tradnl"/>
              </w:rPr>
              <w:t>entre radares</w:t>
            </w:r>
          </w:p>
        </w:tc>
      </w:tr>
      <w:tr w:rsidR="00122462" w:rsidRPr="00584A12" w:rsidTr="005064A9">
        <w:tc>
          <w:tcPr>
            <w:tcW w:w="10089" w:type="dxa"/>
          </w:tcPr>
          <w:p w:rsidR="00122462" w:rsidRPr="00A07AEB" w:rsidRDefault="00122462" w:rsidP="005064A9">
            <w:pPr>
              <w:spacing w:before="80" w:line="280" w:lineRule="exact"/>
              <w:ind w:right="640"/>
              <w:rPr>
                <w:rFonts w:ascii="Tahoma" w:hAnsi="Tahoma" w:cs="Tahoma"/>
                <w:b/>
                <w:bCs/>
                <w:iCs/>
                <w:color w:val="243285"/>
                <w:sz w:val="32"/>
                <w:szCs w:val="32"/>
                <w:lang w:val="es-ES_tradnl"/>
              </w:rPr>
            </w:pPr>
          </w:p>
          <w:p w:rsidR="00122462" w:rsidRPr="00A07AEB" w:rsidRDefault="00122462" w:rsidP="005064A9">
            <w:pPr>
              <w:spacing w:before="80" w:line="280" w:lineRule="exact"/>
              <w:ind w:right="640"/>
              <w:rPr>
                <w:rFonts w:ascii="Tahoma" w:hAnsi="Tahoma" w:cs="Tahoma"/>
                <w:b/>
                <w:bCs/>
                <w:iCs/>
                <w:color w:val="243285"/>
                <w:sz w:val="32"/>
                <w:szCs w:val="32"/>
                <w:lang w:val="es-ES_tradnl"/>
              </w:rPr>
            </w:pPr>
          </w:p>
          <w:p w:rsidR="00122462" w:rsidRPr="00A07AEB" w:rsidRDefault="00122462" w:rsidP="005064A9">
            <w:pPr>
              <w:spacing w:before="80" w:after="180" w:line="360" w:lineRule="exact"/>
              <w:ind w:right="720"/>
              <w:rPr>
                <w:rFonts w:ascii="Tahoma" w:hAnsi="Tahoma" w:cs="Tahoma"/>
                <w:b/>
                <w:bCs/>
                <w:iCs/>
                <w:color w:val="243285"/>
                <w:sz w:val="36"/>
                <w:szCs w:val="36"/>
                <w:lang w:val="es-ES_tradnl"/>
              </w:rPr>
            </w:pPr>
          </w:p>
          <w:p w:rsidR="00122462" w:rsidRPr="00A07AEB" w:rsidRDefault="00122462" w:rsidP="005064A9">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122462" w:rsidRPr="00A07AEB" w:rsidRDefault="00122462" w:rsidP="005064A9">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122462" w:rsidRPr="0026666F" w:rsidRDefault="00122462" w:rsidP="00122462">
      <w:pPr>
        <w:spacing w:before="80"/>
        <w:rPr>
          <w:i/>
          <w:sz w:val="22"/>
          <w:lang w:val="es-ES_tradnl"/>
        </w:rPr>
      </w:pPr>
    </w:p>
    <w:p w:rsidR="00122462" w:rsidRPr="0026666F" w:rsidRDefault="00122462" w:rsidP="00122462">
      <w:pPr>
        <w:spacing w:before="80"/>
        <w:rPr>
          <w:i/>
          <w:sz w:val="22"/>
          <w:lang w:val="es-ES_tradnl"/>
        </w:rPr>
      </w:pPr>
    </w:p>
    <w:p w:rsidR="00122462" w:rsidRPr="0026666F" w:rsidRDefault="00122462" w:rsidP="00122462">
      <w:pPr>
        <w:spacing w:before="80"/>
        <w:rPr>
          <w:i/>
          <w:sz w:val="22"/>
          <w:lang w:val="es-ES_tradnl"/>
        </w:rPr>
      </w:pPr>
    </w:p>
    <w:p w:rsidR="00122462" w:rsidRPr="0026666F" w:rsidRDefault="00122462" w:rsidP="00122462">
      <w:pPr>
        <w:pStyle w:val="Equation"/>
        <w:tabs>
          <w:tab w:val="clear" w:pos="4820"/>
          <w:tab w:val="clear" w:pos="9639"/>
          <w:tab w:val="left" w:pos="1191"/>
          <w:tab w:val="left" w:pos="1588"/>
          <w:tab w:val="left" w:pos="1985"/>
        </w:tabs>
        <w:rPr>
          <w:rFonts w:ascii="Palatino Linotype" w:hAnsi="Palatino Linotype"/>
          <w:lang w:val="es-ES_tradnl"/>
        </w:rPr>
        <w:sectPr w:rsidR="00122462" w:rsidRPr="0026666F">
          <w:headerReference w:type="even" r:id="rId7"/>
          <w:headerReference w:type="default" r:id="rId8"/>
          <w:pgSz w:w="11907" w:h="16840" w:code="9"/>
          <w:pgMar w:top="1089" w:right="1089" w:bottom="284" w:left="1089" w:header="567" w:footer="284" w:gutter="0"/>
          <w:pgNumType w:start="1"/>
          <w:cols w:space="720"/>
        </w:sectPr>
      </w:pPr>
    </w:p>
    <w:p w:rsidR="00122462" w:rsidRPr="006C718C" w:rsidRDefault="00122462" w:rsidP="001224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122462" w:rsidRPr="006C718C" w:rsidRDefault="00122462" w:rsidP="0012246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22462" w:rsidRPr="006C718C" w:rsidRDefault="00122462" w:rsidP="0012246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22462" w:rsidRPr="00021E8A" w:rsidRDefault="00122462" w:rsidP="0012246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22462" w:rsidRPr="00021E8A" w:rsidRDefault="00122462" w:rsidP="0012246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22462" w:rsidRPr="007C36CA" w:rsidRDefault="00122462" w:rsidP="00122462">
      <w:pPr>
        <w:spacing w:before="0"/>
        <w:jc w:val="center"/>
        <w:rPr>
          <w:sz w:val="22"/>
          <w:lang w:val="es-ES_tradnl"/>
        </w:rPr>
      </w:pPr>
    </w:p>
    <w:p w:rsidR="00122462" w:rsidRPr="007C36CA" w:rsidRDefault="00122462" w:rsidP="0012246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22462" w:rsidRPr="00584A12" w:rsidTr="005064A9">
        <w:tc>
          <w:tcPr>
            <w:tcW w:w="9360" w:type="dxa"/>
            <w:gridSpan w:val="2"/>
          </w:tcPr>
          <w:p w:rsidR="00122462" w:rsidRPr="00021E8A" w:rsidRDefault="00122462" w:rsidP="005064A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22462" w:rsidRPr="00763D08"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122462" w:rsidRPr="00036EE3" w:rsidTr="005064A9">
        <w:tc>
          <w:tcPr>
            <w:tcW w:w="1140" w:type="dxa"/>
          </w:tcPr>
          <w:p w:rsidR="00122462" w:rsidRPr="00036EE3" w:rsidRDefault="00122462" w:rsidP="005064A9">
            <w:pPr>
              <w:spacing w:before="180" w:after="100"/>
              <w:ind w:left="57"/>
              <w:rPr>
                <w:b/>
                <w:bCs/>
                <w:sz w:val="20"/>
                <w:lang w:val="en-US"/>
              </w:rPr>
            </w:pPr>
            <w:r w:rsidRPr="00036EE3">
              <w:rPr>
                <w:b/>
                <w:bCs/>
                <w:sz w:val="20"/>
                <w:lang w:val="en-US"/>
              </w:rPr>
              <w:t>Series</w:t>
            </w:r>
          </w:p>
        </w:tc>
        <w:tc>
          <w:tcPr>
            <w:tcW w:w="8220" w:type="dxa"/>
          </w:tcPr>
          <w:p w:rsidR="00122462" w:rsidRPr="00036EE3"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22462" w:rsidRPr="00036EE3"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BO</w:t>
            </w:r>
          </w:p>
        </w:tc>
        <w:tc>
          <w:tcPr>
            <w:tcW w:w="8220" w:type="dxa"/>
          </w:tcPr>
          <w:p w:rsidR="00122462" w:rsidRPr="00021E8A"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122462" w:rsidRPr="00584A12"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BR</w:t>
            </w:r>
          </w:p>
        </w:tc>
        <w:tc>
          <w:tcPr>
            <w:tcW w:w="8220" w:type="dxa"/>
          </w:tcPr>
          <w:p w:rsidR="00122462" w:rsidRPr="00021E8A"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122462" w:rsidRPr="00036EE3"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BS</w:t>
            </w:r>
          </w:p>
        </w:tc>
        <w:tc>
          <w:tcPr>
            <w:tcW w:w="8220" w:type="dxa"/>
          </w:tcPr>
          <w:p w:rsidR="00122462" w:rsidRPr="00021E8A"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122462" w:rsidRPr="00ED2695" w:rsidTr="005064A9">
        <w:tc>
          <w:tcPr>
            <w:tcW w:w="1140" w:type="dxa"/>
            <w:shd w:val="clear" w:color="auto" w:fill="auto"/>
          </w:tcPr>
          <w:p w:rsidR="00122462" w:rsidRPr="00ED2695" w:rsidRDefault="00122462" w:rsidP="005064A9">
            <w:pPr>
              <w:spacing w:before="30" w:after="30"/>
              <w:ind w:left="57"/>
              <w:jc w:val="left"/>
              <w:rPr>
                <w:b/>
                <w:bCs/>
                <w:sz w:val="20"/>
                <w:lang w:val="en-US"/>
              </w:rPr>
            </w:pPr>
            <w:r w:rsidRPr="00ED2695">
              <w:rPr>
                <w:b/>
                <w:bCs/>
                <w:sz w:val="20"/>
                <w:lang w:val="en-US"/>
              </w:rPr>
              <w:t>BT</w:t>
            </w:r>
          </w:p>
        </w:tc>
        <w:tc>
          <w:tcPr>
            <w:tcW w:w="8220" w:type="dxa"/>
            <w:shd w:val="clear" w:color="auto" w:fill="auto"/>
          </w:tcPr>
          <w:p w:rsidR="00122462" w:rsidRPr="00021E8A"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22462" w:rsidRPr="00036EE3" w:rsidTr="005064A9">
        <w:tc>
          <w:tcPr>
            <w:tcW w:w="1140" w:type="dxa"/>
            <w:shd w:val="clear" w:color="auto" w:fill="auto"/>
          </w:tcPr>
          <w:p w:rsidR="00122462" w:rsidRPr="00036EE3" w:rsidRDefault="00122462" w:rsidP="005064A9">
            <w:pPr>
              <w:spacing w:before="30" w:after="30"/>
              <w:ind w:left="57"/>
              <w:jc w:val="left"/>
              <w:rPr>
                <w:b/>
                <w:bCs/>
                <w:sz w:val="20"/>
                <w:lang w:val="fr-CH"/>
              </w:rPr>
            </w:pPr>
            <w:r w:rsidRPr="00036EE3">
              <w:rPr>
                <w:b/>
                <w:bCs/>
                <w:sz w:val="20"/>
                <w:lang w:val="fr-CH"/>
              </w:rPr>
              <w:t>F</w:t>
            </w:r>
          </w:p>
        </w:tc>
        <w:tc>
          <w:tcPr>
            <w:tcW w:w="8220" w:type="dxa"/>
            <w:shd w:val="clear" w:color="auto" w:fill="auto"/>
          </w:tcPr>
          <w:p w:rsidR="00122462" w:rsidRPr="00021E8A"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122462" w:rsidRPr="00584A12" w:rsidTr="005064A9">
        <w:tc>
          <w:tcPr>
            <w:tcW w:w="1140" w:type="dxa"/>
            <w:shd w:val="clear" w:color="auto" w:fill="F3F3F3"/>
          </w:tcPr>
          <w:p w:rsidR="00122462" w:rsidRPr="001240BC" w:rsidRDefault="00122462" w:rsidP="005064A9">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122462" w:rsidRPr="001240BC"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122462" w:rsidRPr="00584A12" w:rsidTr="005064A9">
        <w:tc>
          <w:tcPr>
            <w:tcW w:w="1140" w:type="dxa"/>
          </w:tcPr>
          <w:p w:rsidR="00122462" w:rsidRPr="00036EE3" w:rsidRDefault="00122462" w:rsidP="005064A9">
            <w:pPr>
              <w:spacing w:before="30" w:after="30"/>
              <w:ind w:left="57"/>
              <w:jc w:val="left"/>
              <w:rPr>
                <w:b/>
                <w:bCs/>
                <w:sz w:val="20"/>
                <w:lang w:val="fr-CH"/>
              </w:rPr>
            </w:pPr>
            <w:r w:rsidRPr="00036EE3">
              <w:rPr>
                <w:b/>
                <w:bCs/>
                <w:sz w:val="20"/>
                <w:lang w:val="fr-CH"/>
              </w:rPr>
              <w:t>P</w:t>
            </w:r>
          </w:p>
        </w:tc>
        <w:tc>
          <w:tcPr>
            <w:tcW w:w="8220" w:type="dxa"/>
          </w:tcPr>
          <w:p w:rsidR="00122462" w:rsidRPr="00021E8A" w:rsidRDefault="00122462" w:rsidP="005064A9">
            <w:pPr>
              <w:spacing w:before="30" w:after="30"/>
              <w:jc w:val="left"/>
              <w:rPr>
                <w:bCs/>
                <w:sz w:val="20"/>
                <w:lang w:val="es-ES_tradnl"/>
              </w:rPr>
            </w:pPr>
            <w:r w:rsidRPr="00021E8A">
              <w:rPr>
                <w:bCs/>
                <w:sz w:val="20"/>
                <w:lang w:val="es-ES_tradnl"/>
              </w:rPr>
              <w:t>Propagación de las ondas radioeléctricas</w:t>
            </w:r>
          </w:p>
        </w:tc>
      </w:tr>
      <w:tr w:rsidR="00122462" w:rsidRPr="00036EE3"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RA</w:t>
            </w:r>
          </w:p>
        </w:tc>
        <w:tc>
          <w:tcPr>
            <w:tcW w:w="8220" w:type="dxa"/>
          </w:tcPr>
          <w:p w:rsidR="00122462" w:rsidRPr="00021E8A"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122462" w:rsidRPr="00584A12"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RS</w:t>
            </w:r>
          </w:p>
        </w:tc>
        <w:tc>
          <w:tcPr>
            <w:tcW w:w="8220" w:type="dxa"/>
          </w:tcPr>
          <w:p w:rsidR="00122462" w:rsidRPr="00021E8A"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22462" w:rsidRPr="00036EE3"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S</w:t>
            </w:r>
          </w:p>
        </w:tc>
        <w:tc>
          <w:tcPr>
            <w:tcW w:w="8220" w:type="dxa"/>
          </w:tcPr>
          <w:p w:rsidR="00122462" w:rsidRPr="00021E8A" w:rsidRDefault="00122462" w:rsidP="005064A9">
            <w:pPr>
              <w:spacing w:before="30" w:after="30"/>
              <w:jc w:val="left"/>
              <w:rPr>
                <w:bCs/>
                <w:sz w:val="20"/>
                <w:lang w:val="en-US"/>
              </w:rPr>
            </w:pPr>
            <w:r w:rsidRPr="00021E8A">
              <w:rPr>
                <w:bCs/>
                <w:sz w:val="20"/>
              </w:rPr>
              <w:t>Servicio fijo por satélite</w:t>
            </w:r>
          </w:p>
        </w:tc>
      </w:tr>
      <w:tr w:rsidR="00122462" w:rsidRPr="00036EE3"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SA</w:t>
            </w:r>
          </w:p>
        </w:tc>
        <w:tc>
          <w:tcPr>
            <w:tcW w:w="8220" w:type="dxa"/>
          </w:tcPr>
          <w:p w:rsidR="00122462" w:rsidRPr="00021E8A" w:rsidRDefault="00122462" w:rsidP="005064A9">
            <w:pPr>
              <w:spacing w:before="30" w:after="30"/>
              <w:jc w:val="left"/>
              <w:rPr>
                <w:bCs/>
                <w:sz w:val="20"/>
                <w:lang w:val="en-US"/>
              </w:rPr>
            </w:pPr>
            <w:r w:rsidRPr="00021E8A">
              <w:rPr>
                <w:bCs/>
                <w:sz w:val="20"/>
              </w:rPr>
              <w:t>Aplicaciones espaciales y meteorología</w:t>
            </w:r>
          </w:p>
        </w:tc>
      </w:tr>
      <w:tr w:rsidR="00122462" w:rsidRPr="00584A12"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SF</w:t>
            </w:r>
          </w:p>
        </w:tc>
        <w:tc>
          <w:tcPr>
            <w:tcW w:w="8220" w:type="dxa"/>
          </w:tcPr>
          <w:p w:rsidR="00122462" w:rsidRPr="00021E8A" w:rsidRDefault="00122462" w:rsidP="005064A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22462" w:rsidRPr="00036EE3" w:rsidTr="005064A9">
        <w:tc>
          <w:tcPr>
            <w:tcW w:w="1140" w:type="dxa"/>
            <w:shd w:val="clear" w:color="auto" w:fill="auto"/>
          </w:tcPr>
          <w:p w:rsidR="00122462" w:rsidRPr="001240BC" w:rsidRDefault="00122462" w:rsidP="005064A9">
            <w:pPr>
              <w:spacing w:before="30" w:after="30"/>
              <w:ind w:left="57"/>
              <w:jc w:val="left"/>
              <w:rPr>
                <w:b/>
                <w:bCs/>
                <w:sz w:val="20"/>
                <w:lang w:val="en-US"/>
              </w:rPr>
            </w:pPr>
            <w:r w:rsidRPr="001240BC">
              <w:rPr>
                <w:b/>
                <w:bCs/>
                <w:sz w:val="20"/>
                <w:lang w:val="en-US"/>
              </w:rPr>
              <w:t>SM</w:t>
            </w:r>
          </w:p>
        </w:tc>
        <w:tc>
          <w:tcPr>
            <w:tcW w:w="8220" w:type="dxa"/>
            <w:shd w:val="clear" w:color="auto" w:fill="auto"/>
          </w:tcPr>
          <w:p w:rsidR="00122462" w:rsidRPr="001240BC" w:rsidRDefault="00122462" w:rsidP="005064A9">
            <w:pPr>
              <w:spacing w:before="30" w:after="30"/>
              <w:jc w:val="left"/>
              <w:rPr>
                <w:sz w:val="20"/>
                <w:lang w:val="en-US"/>
              </w:rPr>
            </w:pPr>
            <w:r w:rsidRPr="001240BC">
              <w:rPr>
                <w:sz w:val="20"/>
              </w:rPr>
              <w:t>Gestión del espectro</w:t>
            </w:r>
          </w:p>
        </w:tc>
      </w:tr>
      <w:tr w:rsidR="00122462" w:rsidRPr="00036EE3"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SNG</w:t>
            </w:r>
          </w:p>
        </w:tc>
        <w:tc>
          <w:tcPr>
            <w:tcW w:w="8220" w:type="dxa"/>
          </w:tcPr>
          <w:p w:rsidR="00122462" w:rsidRPr="00021E8A" w:rsidRDefault="00122462" w:rsidP="005064A9">
            <w:pPr>
              <w:spacing w:before="30" w:after="30"/>
              <w:jc w:val="left"/>
              <w:rPr>
                <w:bCs/>
                <w:sz w:val="20"/>
                <w:lang w:val="en-US"/>
              </w:rPr>
            </w:pPr>
            <w:r w:rsidRPr="00021E8A">
              <w:rPr>
                <w:bCs/>
                <w:sz w:val="20"/>
              </w:rPr>
              <w:t>Periodismo electrónico por satélite</w:t>
            </w:r>
          </w:p>
        </w:tc>
      </w:tr>
      <w:tr w:rsidR="00122462" w:rsidRPr="00584A12"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TF</w:t>
            </w:r>
          </w:p>
        </w:tc>
        <w:tc>
          <w:tcPr>
            <w:tcW w:w="8220" w:type="dxa"/>
          </w:tcPr>
          <w:p w:rsidR="00122462" w:rsidRPr="00021E8A" w:rsidRDefault="00122462" w:rsidP="005064A9">
            <w:pPr>
              <w:spacing w:before="30" w:after="30"/>
              <w:jc w:val="left"/>
              <w:rPr>
                <w:bCs/>
                <w:sz w:val="20"/>
                <w:lang w:val="es-ES_tradnl"/>
              </w:rPr>
            </w:pPr>
            <w:r w:rsidRPr="00021E8A">
              <w:rPr>
                <w:bCs/>
                <w:sz w:val="20"/>
                <w:lang w:val="es-ES_tradnl"/>
              </w:rPr>
              <w:t>Emisiones de frecuencias patrón y señales horarias</w:t>
            </w:r>
          </w:p>
        </w:tc>
      </w:tr>
      <w:tr w:rsidR="00122462" w:rsidRPr="00036EE3" w:rsidTr="005064A9">
        <w:tc>
          <w:tcPr>
            <w:tcW w:w="1140" w:type="dxa"/>
          </w:tcPr>
          <w:p w:rsidR="00122462" w:rsidRPr="00036EE3" w:rsidRDefault="00122462" w:rsidP="005064A9">
            <w:pPr>
              <w:spacing w:before="30" w:after="30"/>
              <w:ind w:left="57"/>
              <w:jc w:val="left"/>
              <w:rPr>
                <w:b/>
                <w:bCs/>
                <w:sz w:val="20"/>
                <w:lang w:val="en-US"/>
              </w:rPr>
            </w:pPr>
            <w:r w:rsidRPr="00036EE3">
              <w:rPr>
                <w:b/>
                <w:bCs/>
                <w:sz w:val="20"/>
                <w:lang w:val="en-US"/>
              </w:rPr>
              <w:t>V</w:t>
            </w:r>
          </w:p>
        </w:tc>
        <w:tc>
          <w:tcPr>
            <w:tcW w:w="8220" w:type="dxa"/>
          </w:tcPr>
          <w:p w:rsidR="00122462" w:rsidRPr="00021E8A" w:rsidRDefault="00122462" w:rsidP="005064A9">
            <w:pPr>
              <w:spacing w:before="30" w:after="140"/>
              <w:jc w:val="left"/>
              <w:rPr>
                <w:bCs/>
                <w:sz w:val="20"/>
                <w:lang w:val="en-US"/>
              </w:rPr>
            </w:pPr>
            <w:r w:rsidRPr="00021E8A">
              <w:rPr>
                <w:bCs/>
                <w:sz w:val="20"/>
              </w:rPr>
              <w:t>Vocabulario y cuestiones afines</w:t>
            </w:r>
          </w:p>
        </w:tc>
      </w:tr>
    </w:tbl>
    <w:p w:rsidR="00122462" w:rsidRPr="00036EE3" w:rsidRDefault="00122462" w:rsidP="0012246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22462" w:rsidTr="005064A9">
        <w:tc>
          <w:tcPr>
            <w:tcW w:w="720" w:type="dxa"/>
          </w:tcPr>
          <w:p w:rsidR="00122462" w:rsidRDefault="00122462" w:rsidP="005064A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22462" w:rsidRPr="00584A12" w:rsidTr="005064A9">
        <w:tc>
          <w:tcPr>
            <w:tcW w:w="9360" w:type="dxa"/>
          </w:tcPr>
          <w:p w:rsidR="00122462" w:rsidRPr="00A07AEB" w:rsidRDefault="00122462" w:rsidP="005064A9">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122462" w:rsidRPr="00763D08" w:rsidRDefault="00122462" w:rsidP="00122462">
      <w:pPr>
        <w:spacing w:before="0"/>
        <w:jc w:val="center"/>
        <w:rPr>
          <w:sz w:val="22"/>
          <w:lang w:val="es-ES_tradnl"/>
        </w:rPr>
      </w:pPr>
    </w:p>
    <w:p w:rsidR="00122462" w:rsidRPr="00763D08" w:rsidRDefault="00122462" w:rsidP="00122462">
      <w:pPr>
        <w:spacing w:before="60"/>
        <w:jc w:val="right"/>
        <w:rPr>
          <w:i/>
          <w:iCs/>
          <w:sz w:val="20"/>
          <w:lang w:val="es-ES_tradnl"/>
        </w:rPr>
      </w:pPr>
      <w:r w:rsidRPr="00763D08">
        <w:rPr>
          <w:i/>
          <w:iCs/>
          <w:sz w:val="20"/>
          <w:lang w:val="es-ES_tradnl"/>
        </w:rPr>
        <w:t>Publicación electrónica</w:t>
      </w:r>
    </w:p>
    <w:p w:rsidR="00122462" w:rsidRPr="00763D08" w:rsidRDefault="00122462" w:rsidP="00122462">
      <w:pPr>
        <w:spacing w:before="0" w:after="40"/>
        <w:jc w:val="right"/>
        <w:rPr>
          <w:sz w:val="20"/>
          <w:lang w:val="es-ES_tradnl"/>
        </w:rPr>
      </w:pPr>
      <w:r w:rsidRPr="00763D08">
        <w:rPr>
          <w:sz w:val="20"/>
          <w:lang w:val="es-ES_tradnl"/>
        </w:rPr>
        <w:t>Ginebra, 20</w:t>
      </w:r>
      <w:r>
        <w:rPr>
          <w:sz w:val="20"/>
          <w:lang w:val="es-ES_tradnl"/>
        </w:rPr>
        <w:t>16</w:t>
      </w:r>
    </w:p>
    <w:p w:rsidR="00122462" w:rsidRPr="00763D08" w:rsidRDefault="00122462" w:rsidP="00122462">
      <w:pPr>
        <w:spacing w:before="0"/>
        <w:jc w:val="center"/>
        <w:rPr>
          <w:sz w:val="22"/>
          <w:lang w:val="es-ES_tradnl"/>
        </w:rPr>
      </w:pPr>
    </w:p>
    <w:p w:rsidR="00122462" w:rsidRPr="00763D08" w:rsidRDefault="00122462" w:rsidP="0012246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122462" w:rsidRPr="006C718C" w:rsidRDefault="00122462" w:rsidP="0012246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22462" w:rsidRPr="006C718C" w:rsidRDefault="00122462" w:rsidP="00122462">
      <w:pPr>
        <w:spacing w:before="160"/>
        <w:rPr>
          <w:i/>
          <w:sz w:val="20"/>
          <w:highlight w:val="yellow"/>
          <w:lang w:val="es-ES_tradnl"/>
        </w:rPr>
        <w:sectPr w:rsidR="0012246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122462" w:rsidRPr="0010336F" w:rsidRDefault="00122462" w:rsidP="00122462">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2069-0</w:t>
      </w:r>
    </w:p>
    <w:p w:rsidR="00122462" w:rsidRPr="00122462" w:rsidRDefault="00122462" w:rsidP="00122462">
      <w:pPr>
        <w:pStyle w:val="Rectitle"/>
        <w:rPr>
          <w:lang w:val="es-ES_tradnl"/>
        </w:rPr>
      </w:pPr>
      <w:r w:rsidRPr="00122462">
        <w:rPr>
          <w:lang w:val="es-ES_tradnl"/>
        </w:rPr>
        <w:t>Variabilidad de la rotación de las antenas y efecto sobre el acoplamiento</w:t>
      </w:r>
      <w:r w:rsidRPr="00122462">
        <w:rPr>
          <w:lang w:val="es-ES_tradnl"/>
        </w:rPr>
        <w:br/>
        <w:t>de antenas en el análisis de interferencia entre radares</w:t>
      </w:r>
    </w:p>
    <w:p w:rsidR="00122462" w:rsidRPr="00122462" w:rsidRDefault="00122462" w:rsidP="00122462">
      <w:pPr>
        <w:pStyle w:val="Recdate"/>
        <w:rPr>
          <w:lang w:val="es-ES_tradnl"/>
        </w:rPr>
      </w:pPr>
      <w:r w:rsidRPr="00122462">
        <w:rPr>
          <w:lang w:val="es-ES_tradnl"/>
        </w:rPr>
        <w:t>(2014)</w:t>
      </w:r>
    </w:p>
    <w:p w:rsidR="00122462" w:rsidRDefault="00122462" w:rsidP="00122462">
      <w:pPr>
        <w:pStyle w:val="HeadingSum"/>
        <w:rPr>
          <w:sz w:val="24"/>
          <w:szCs w:val="24"/>
        </w:rPr>
      </w:pPr>
      <w:r>
        <w:rPr>
          <w:sz w:val="24"/>
          <w:szCs w:val="24"/>
        </w:rPr>
        <w:t>Cometido</w:t>
      </w:r>
    </w:p>
    <w:p w:rsidR="00122462" w:rsidRPr="00122462" w:rsidRDefault="00122462" w:rsidP="00122462">
      <w:pPr>
        <w:pStyle w:val="Summary"/>
      </w:pPr>
      <w:r w:rsidRPr="009B1BF6">
        <w:t>En esta Recomendación se describen el efecto de la rotación de las antenas sobre el acoplamiento entre antenas en el análisis de interferencia y compatibilidad entre sistemas de radar.</w:t>
      </w:r>
    </w:p>
    <w:p w:rsidR="00122462" w:rsidRPr="00122462" w:rsidRDefault="00122462" w:rsidP="00122462">
      <w:pPr>
        <w:pStyle w:val="Headingb"/>
        <w:rPr>
          <w:lang w:val="es-ES_tradnl"/>
        </w:rPr>
      </w:pPr>
      <w:r w:rsidRPr="00122462">
        <w:rPr>
          <w:lang w:val="es-ES_tradnl"/>
        </w:rPr>
        <w:t>Palabras clave</w:t>
      </w:r>
    </w:p>
    <w:p w:rsidR="00122462" w:rsidRPr="00122462" w:rsidRDefault="00122462" w:rsidP="00122462">
      <w:pPr>
        <w:rPr>
          <w:lang w:val="es-ES_tradnl" w:eastAsia="zh-CN"/>
        </w:rPr>
      </w:pPr>
      <w:r w:rsidRPr="00122462">
        <w:rPr>
          <w:lang w:val="es-ES_tradnl"/>
        </w:rPr>
        <w:t>Acoplamiento de antenas, discordancia entre las velocidades de rotación de las antenas, radar</w:t>
      </w:r>
    </w:p>
    <w:p w:rsidR="00122462" w:rsidRPr="00122462" w:rsidRDefault="00122462" w:rsidP="00122462">
      <w:pPr>
        <w:pStyle w:val="Headingb"/>
        <w:rPr>
          <w:lang w:val="es-ES_tradnl"/>
        </w:rPr>
      </w:pPr>
      <w:r w:rsidRPr="00122462">
        <w:rPr>
          <w:lang w:val="es-ES_tradnl"/>
        </w:rPr>
        <w:t>Siglas y acrónimos/glosario</w:t>
      </w:r>
    </w:p>
    <w:p w:rsidR="00122462" w:rsidRDefault="00122462" w:rsidP="00122462">
      <w:pPr>
        <w:pStyle w:val="enumlev1"/>
        <w:tabs>
          <w:tab w:val="clear" w:pos="794"/>
        </w:tabs>
        <w:ind w:left="1276" w:hanging="1276"/>
        <w:rPr>
          <w:lang w:val="es-ES_tradnl"/>
        </w:rPr>
      </w:pPr>
      <w:r w:rsidRPr="00122462">
        <w:rPr>
          <w:lang w:val="es-ES_tradnl"/>
        </w:rPr>
        <w:t>CDF</w:t>
      </w:r>
      <w:r w:rsidRPr="00122462">
        <w:rPr>
          <w:lang w:val="es-ES_tradnl"/>
        </w:rPr>
        <w:tab/>
        <w:t>Función de distribución acumulativa (</w:t>
      </w:r>
      <w:r w:rsidRPr="00122462">
        <w:rPr>
          <w:i/>
          <w:iCs/>
          <w:lang w:val="es-ES_tradnl"/>
        </w:rPr>
        <w:t>cumulative distribution function</w:t>
      </w:r>
      <w:r w:rsidRPr="00122462">
        <w:rPr>
          <w:lang w:val="es-ES_tradnl"/>
        </w:rPr>
        <w:t>)</w:t>
      </w:r>
    </w:p>
    <w:p w:rsidR="00122462" w:rsidRPr="00584A12" w:rsidRDefault="00122462" w:rsidP="001401D1">
      <w:pPr>
        <w:pStyle w:val="Blanc"/>
        <w:rPr>
          <w:lang w:val="es-ES_tradnl"/>
        </w:rPr>
      </w:pPr>
    </w:p>
    <w:p w:rsidR="00122462" w:rsidRPr="00122462" w:rsidRDefault="00122462" w:rsidP="00122462">
      <w:pPr>
        <w:pStyle w:val="Normalaftertitle"/>
        <w:rPr>
          <w:lang w:val="es-ES_tradnl"/>
        </w:rPr>
      </w:pPr>
      <w:r w:rsidRPr="00122462">
        <w:rPr>
          <w:lang w:val="es-ES_tradnl"/>
        </w:rPr>
        <w:t>La Asamblea de Radiocomunicaciones de la UIT,</w:t>
      </w:r>
    </w:p>
    <w:p w:rsidR="00122462" w:rsidRPr="00122462" w:rsidRDefault="00122462" w:rsidP="00122462">
      <w:pPr>
        <w:pStyle w:val="Call"/>
        <w:rPr>
          <w:lang w:val="es-ES_tradnl"/>
        </w:rPr>
      </w:pPr>
      <w:r w:rsidRPr="00122462">
        <w:rPr>
          <w:lang w:val="es-ES_tradnl"/>
        </w:rPr>
        <w:t>considerando</w:t>
      </w:r>
    </w:p>
    <w:p w:rsidR="00122462" w:rsidRPr="00122462" w:rsidRDefault="00122462" w:rsidP="00122462">
      <w:pPr>
        <w:rPr>
          <w:lang w:val="es-ES_tradnl"/>
        </w:rPr>
      </w:pPr>
      <w:r w:rsidRPr="00122462">
        <w:rPr>
          <w:i/>
          <w:iCs/>
          <w:lang w:val="es-ES_tradnl"/>
        </w:rPr>
        <w:t>a)</w:t>
      </w:r>
      <w:r w:rsidRPr="00122462">
        <w:rPr>
          <w:lang w:val="es-ES_tradnl"/>
        </w:rPr>
        <w:tab/>
        <w:t>que existe la necesidad de estimar el acoplamiento de las antenas rotatorias para su aplicación en la evaluación de la interferencia;</w:t>
      </w:r>
    </w:p>
    <w:p w:rsidR="00122462" w:rsidRPr="00122462" w:rsidRDefault="00122462" w:rsidP="00122462">
      <w:pPr>
        <w:rPr>
          <w:lang w:val="es-ES_tradnl"/>
        </w:rPr>
      </w:pPr>
      <w:r w:rsidRPr="00122462">
        <w:rPr>
          <w:i/>
          <w:iCs/>
          <w:lang w:val="es-ES_tradnl"/>
        </w:rPr>
        <w:t>b)</w:t>
      </w:r>
      <w:r w:rsidRPr="00122462">
        <w:rPr>
          <w:lang w:val="es-ES_tradnl"/>
        </w:rPr>
        <w:tab/>
        <w:t>que la Recomendación UIT-R M.1851 – Modelos matemáticos de diagramas de antena de sistemas de radar del servicio de radiodeterminación para uso en los análisis de interferencia, puede utilizarse para obtener diagramas teóricos de antena aplicables en las estimaciones del acoplamiento entre antenas,</w:t>
      </w:r>
    </w:p>
    <w:p w:rsidR="00122462" w:rsidRPr="00122462" w:rsidRDefault="00122462" w:rsidP="00122462">
      <w:pPr>
        <w:pStyle w:val="Call"/>
        <w:rPr>
          <w:lang w:val="es-ES_tradnl"/>
        </w:rPr>
      </w:pPr>
      <w:r w:rsidRPr="00122462">
        <w:rPr>
          <w:lang w:val="es-ES_tradnl"/>
        </w:rPr>
        <w:t>recomienda</w:t>
      </w:r>
    </w:p>
    <w:p w:rsidR="00122462" w:rsidRDefault="00122462" w:rsidP="00122462">
      <w:pPr>
        <w:rPr>
          <w:lang w:val="es-ES_tradnl"/>
        </w:rPr>
      </w:pPr>
      <w:r w:rsidRPr="00122462">
        <w:rPr>
          <w:lang w:val="es-ES_tradnl"/>
        </w:rPr>
        <w:t>que para estimar los efectos del acoplamiento entre antenas se considere la información descrita en el Anexo 1.</w:t>
      </w:r>
    </w:p>
    <w:p w:rsidR="00122462" w:rsidRPr="00122462" w:rsidRDefault="00122462" w:rsidP="00122462">
      <w:pPr>
        <w:pStyle w:val="AnnexNoTitle"/>
        <w:keepNext w:val="0"/>
        <w:keepLines w:val="0"/>
        <w:rPr>
          <w:lang w:val="es-ES_tradnl"/>
        </w:rPr>
      </w:pPr>
      <w:r w:rsidRPr="00122462">
        <w:rPr>
          <w:lang w:val="es-ES_tradnl"/>
        </w:rPr>
        <w:t>Anexo 1</w:t>
      </w:r>
      <w:r w:rsidRPr="00122462">
        <w:rPr>
          <w:lang w:val="es-ES_tradnl"/>
        </w:rPr>
        <w:br/>
      </w:r>
      <w:r w:rsidRPr="00122462">
        <w:rPr>
          <w:lang w:val="es-ES_tradnl"/>
        </w:rPr>
        <w:br/>
        <w:t>Efectos del acoplamiento de las antenas</w:t>
      </w:r>
    </w:p>
    <w:p w:rsidR="00122462" w:rsidRPr="00122462" w:rsidRDefault="00122462" w:rsidP="00122462">
      <w:pPr>
        <w:spacing w:before="320"/>
        <w:rPr>
          <w:lang w:val="es-ES_tradnl"/>
        </w:rPr>
      </w:pPr>
      <w:r w:rsidRPr="00122462">
        <w:rPr>
          <w:lang w:val="es-ES_tradnl"/>
        </w:rPr>
        <w:t>En este Anexo se examinan los efectos de la variabilidad de la velocidad de rotación de las antenas sobre el acoplamiento de las antenas.</w:t>
      </w:r>
    </w:p>
    <w:p w:rsidR="00122462" w:rsidRPr="00122462" w:rsidRDefault="00122462" w:rsidP="00122462">
      <w:pPr>
        <w:pStyle w:val="Headingb"/>
        <w:rPr>
          <w:lang w:val="es-ES_tradnl"/>
        </w:rPr>
      </w:pPr>
      <w:r w:rsidRPr="00122462">
        <w:rPr>
          <w:lang w:val="es-ES_tradnl"/>
        </w:rPr>
        <w:t>Acoplamiento de antenas</w:t>
      </w:r>
    </w:p>
    <w:p w:rsidR="00122462" w:rsidRPr="00122462" w:rsidRDefault="00122462" w:rsidP="00122462">
      <w:pPr>
        <w:rPr>
          <w:lang w:val="es-ES_tradnl"/>
        </w:rPr>
      </w:pPr>
      <w:r w:rsidRPr="00122462">
        <w:rPr>
          <w:lang w:val="es-ES_tradnl"/>
        </w:rPr>
        <w:t>Cuando dos radares funcionan con visibilidad directa entre ellos o cuando se dan condiciones de propagación anómalas que lo permiten, la antena de un rada</w:t>
      </w:r>
      <w:r w:rsidR="00981EC7">
        <w:rPr>
          <w:lang w:val="es-ES_tradnl"/>
        </w:rPr>
        <w:t>r</w:t>
      </w:r>
      <w:r w:rsidRPr="00122462">
        <w:rPr>
          <w:lang w:val="es-ES_tradnl"/>
        </w:rPr>
        <w:t>, y el receptor asociado, recibe directamente la radiación del otro radar. Esta interacción puede dar lugar a una interferencia mutua que degrada la calidad de funcionamiento. Cuando eso ocurre, se dice que ambos sistemas están acoplados. Es necesario calcular la magnitud del acoplamiento entre los dos radares para prever los problemas que pueda causar el sistema interferente e implantar las medidas preventivas pertinentes. El acoplamiento de las antenas de dos radares es función de:</w:t>
      </w:r>
    </w:p>
    <w:p w:rsidR="00122462" w:rsidRPr="00122462" w:rsidRDefault="00122462" w:rsidP="00122462">
      <w:pPr>
        <w:pStyle w:val="enumlev1"/>
        <w:rPr>
          <w:lang w:val="es-ES_tradnl"/>
        </w:rPr>
      </w:pPr>
      <w:r w:rsidRPr="00122462">
        <w:rPr>
          <w:lang w:val="es-ES_tradnl"/>
        </w:rPr>
        <w:t>–</w:t>
      </w:r>
      <w:r w:rsidRPr="00122462">
        <w:rPr>
          <w:lang w:val="es-ES_tradnl"/>
        </w:rPr>
        <w:tab/>
        <w:t>las condiciones de propagación atmosférica;</w:t>
      </w:r>
    </w:p>
    <w:p w:rsidR="00122462" w:rsidRPr="00122462" w:rsidRDefault="00122462" w:rsidP="00122462">
      <w:pPr>
        <w:pStyle w:val="enumlev1"/>
        <w:rPr>
          <w:lang w:val="es-ES_tradnl"/>
        </w:rPr>
      </w:pPr>
      <w:r w:rsidRPr="00122462">
        <w:rPr>
          <w:lang w:val="es-ES_tradnl"/>
        </w:rPr>
        <w:t>–</w:t>
      </w:r>
      <w:r w:rsidRPr="00122462">
        <w:rPr>
          <w:lang w:val="es-ES_tradnl"/>
        </w:rPr>
        <w:tab/>
        <w:t>la potencia del transmisor;</w:t>
      </w:r>
    </w:p>
    <w:p w:rsidR="00122462" w:rsidRPr="00122462" w:rsidRDefault="00122462" w:rsidP="00122462">
      <w:pPr>
        <w:pStyle w:val="enumlev1"/>
        <w:rPr>
          <w:lang w:val="es-ES_tradnl"/>
        </w:rPr>
      </w:pPr>
      <w:r w:rsidRPr="00122462">
        <w:rPr>
          <w:lang w:val="es-ES_tradnl"/>
        </w:rPr>
        <w:lastRenderedPageBreak/>
        <w:t>–</w:t>
      </w:r>
      <w:r w:rsidRPr="00122462">
        <w:rPr>
          <w:lang w:val="es-ES_tradnl"/>
        </w:rPr>
        <w:tab/>
        <w:t>las pérdidas debidas a cables y a otras unidades de ambos sistemas;</w:t>
      </w:r>
    </w:p>
    <w:p w:rsidR="00122462" w:rsidRPr="00122462" w:rsidRDefault="00122462" w:rsidP="00122462">
      <w:pPr>
        <w:pStyle w:val="enumlev1"/>
        <w:rPr>
          <w:lang w:val="es-ES_tradnl"/>
        </w:rPr>
      </w:pPr>
      <w:r w:rsidRPr="00122462">
        <w:rPr>
          <w:lang w:val="es-ES_tradnl"/>
        </w:rPr>
        <w:t>–</w:t>
      </w:r>
      <w:r w:rsidRPr="00122462">
        <w:rPr>
          <w:lang w:val="es-ES_tradnl"/>
        </w:rPr>
        <w:tab/>
        <w:t>el acoplamiento entre las antenas debido a sus diagramas de radiación;</w:t>
      </w:r>
    </w:p>
    <w:p w:rsidR="00122462" w:rsidRPr="00122462" w:rsidRDefault="00122462" w:rsidP="00122462">
      <w:pPr>
        <w:pStyle w:val="enumlev1"/>
        <w:rPr>
          <w:lang w:val="es-ES_tradnl"/>
        </w:rPr>
      </w:pPr>
      <w:r w:rsidRPr="00122462">
        <w:rPr>
          <w:lang w:val="es-ES_tradnl"/>
        </w:rPr>
        <w:t>–</w:t>
      </w:r>
      <w:r w:rsidRPr="00122462">
        <w:rPr>
          <w:lang w:val="es-ES_tradnl"/>
        </w:rPr>
        <w:tab/>
        <w:t>la sensibilidad del receptor interferido;</w:t>
      </w:r>
    </w:p>
    <w:p w:rsidR="00122462" w:rsidRPr="00122462" w:rsidRDefault="00122462" w:rsidP="00122462">
      <w:pPr>
        <w:pStyle w:val="enumlev1"/>
        <w:rPr>
          <w:lang w:val="es-ES_tradnl"/>
        </w:rPr>
      </w:pPr>
      <w:r w:rsidRPr="00122462">
        <w:rPr>
          <w:lang w:val="es-ES_tradnl"/>
        </w:rPr>
        <w:t>–</w:t>
      </w:r>
      <w:r w:rsidRPr="00122462">
        <w:rPr>
          <w:lang w:val="es-ES_tradnl"/>
        </w:rPr>
        <w:tab/>
        <w:t>la separación espacial y las elevaciones del terreno entre los radares;</w:t>
      </w:r>
    </w:p>
    <w:p w:rsidR="00122462" w:rsidRPr="00122462" w:rsidRDefault="00122462" w:rsidP="00122462">
      <w:pPr>
        <w:pStyle w:val="enumlev1"/>
        <w:rPr>
          <w:lang w:val="es-ES_tradnl"/>
        </w:rPr>
      </w:pPr>
      <w:r w:rsidRPr="00122462">
        <w:rPr>
          <w:lang w:val="es-ES_tradnl"/>
        </w:rPr>
        <w:t>–</w:t>
      </w:r>
      <w:r w:rsidRPr="00122462">
        <w:rPr>
          <w:lang w:val="es-ES_tradnl"/>
        </w:rPr>
        <w:tab/>
        <w:t>la altura de las antenas sobre el nivel del suelo y el ángulo de elevación de la antena;</w:t>
      </w:r>
    </w:p>
    <w:p w:rsidR="00122462" w:rsidRPr="00122462" w:rsidRDefault="00122462" w:rsidP="00122462">
      <w:pPr>
        <w:pStyle w:val="enumlev1"/>
        <w:rPr>
          <w:lang w:val="es-ES_tradnl"/>
        </w:rPr>
      </w:pPr>
      <w:r w:rsidRPr="00122462">
        <w:rPr>
          <w:lang w:val="es-ES_tradnl"/>
        </w:rPr>
        <w:t>–</w:t>
      </w:r>
      <w:r w:rsidRPr="00122462">
        <w:rPr>
          <w:lang w:val="es-ES_tradnl"/>
        </w:rPr>
        <w:tab/>
        <w:t>las ganancias absolutas de las antenas y el ángulo de salida de la señal de la antena transmisora que incide en la antena receptora, y</w:t>
      </w:r>
    </w:p>
    <w:p w:rsidR="00122462" w:rsidRPr="00122462" w:rsidRDefault="00122462" w:rsidP="00122462">
      <w:pPr>
        <w:pStyle w:val="enumlev1"/>
        <w:rPr>
          <w:lang w:val="es-ES_tradnl"/>
        </w:rPr>
      </w:pPr>
      <w:r w:rsidRPr="00122462">
        <w:rPr>
          <w:lang w:val="es-ES_tradnl"/>
        </w:rPr>
        <w:t>–</w:t>
      </w:r>
      <w:r w:rsidRPr="00122462">
        <w:rPr>
          <w:lang w:val="es-ES_tradnl"/>
        </w:rPr>
        <w:tab/>
        <w:t>la discordancia entre las velocidades de rotación de las antenas.</w:t>
      </w:r>
    </w:p>
    <w:p w:rsidR="00122462" w:rsidRPr="00122462" w:rsidRDefault="00122462" w:rsidP="00122462">
      <w:pPr>
        <w:rPr>
          <w:lang w:val="es-ES_tradnl"/>
        </w:rPr>
      </w:pPr>
      <w:r w:rsidRPr="00122462">
        <w:rPr>
          <w:lang w:val="es-ES_tradnl"/>
        </w:rPr>
        <w:t>Los radares primarios tienen una elevada sensibilidad con el fin de detectar las señales reflejadas en las aeronaves en virtud de la pérdida de propagación en los trayectos de ida y vuelta, incluida en la ecuación radar mediante el factor 1/</w:t>
      </w:r>
      <w:r w:rsidRPr="00122462">
        <w:rPr>
          <w:i/>
          <w:iCs/>
          <w:lang w:val="es-ES_tradnl"/>
        </w:rPr>
        <w:t>R</w:t>
      </w:r>
      <w:r w:rsidRPr="00122462">
        <w:rPr>
          <w:vertAlign w:val="superscript"/>
          <w:lang w:val="es-ES_tradnl"/>
        </w:rPr>
        <w:t>4</w:t>
      </w:r>
      <w:r w:rsidRPr="00122462">
        <w:rPr>
          <w:lang w:val="es-ES_tradnl"/>
        </w:rPr>
        <w:t xml:space="preserve"> donde </w:t>
      </w:r>
      <w:r w:rsidRPr="00122462">
        <w:rPr>
          <w:i/>
          <w:iCs/>
          <w:lang w:val="es-ES_tradnl"/>
        </w:rPr>
        <w:t>R</w:t>
      </w:r>
      <w:r w:rsidRPr="00122462">
        <w:rPr>
          <w:lang w:val="es-ES_tradnl"/>
        </w:rPr>
        <w:t xml:space="preserve"> es la distancia a la aeronave.</w:t>
      </w:r>
    </w:p>
    <w:p w:rsidR="00122462" w:rsidRPr="00122462" w:rsidRDefault="00122462" w:rsidP="00981EC7">
      <w:pPr>
        <w:rPr>
          <w:lang w:val="es-ES_tradnl"/>
        </w:rPr>
      </w:pPr>
      <w:r w:rsidRPr="00122462">
        <w:rPr>
          <w:lang w:val="es-ES_tradnl"/>
        </w:rPr>
        <w:t>La interferencia de un radar sobre otro sigue un único trayecto (trayecto de propagación 1/</w:t>
      </w:r>
      <w:r w:rsidRPr="00122462">
        <w:rPr>
          <w:i/>
          <w:iCs/>
          <w:lang w:val="es-ES_tradnl"/>
        </w:rPr>
        <w:t>R</w:t>
      </w:r>
      <w:r w:rsidRPr="00122462">
        <w:rPr>
          <w:vertAlign w:val="superscript"/>
          <w:lang w:val="es-ES_tradnl"/>
        </w:rPr>
        <w:t>2</w:t>
      </w:r>
      <w:r w:rsidRPr="00122462">
        <w:rPr>
          <w:lang w:val="es-ES_tradnl"/>
        </w:rPr>
        <w:t>) que exige una distancia de separación superior entre radar interferente y radar interferido.</w:t>
      </w:r>
    </w:p>
    <w:p w:rsidR="00122462" w:rsidRPr="00122462" w:rsidRDefault="00122462" w:rsidP="00122462">
      <w:pPr>
        <w:rPr>
          <w:lang w:val="es-ES_tradnl"/>
        </w:rPr>
      </w:pPr>
      <w:r w:rsidRPr="00122462">
        <w:rPr>
          <w:lang w:val="es-ES_tradnl"/>
        </w:rPr>
        <w:t>Teniendo en cuenta lo anterior, puede concluirse que en una red de radares con una cobertura completa, los radares siempre estarán sometidos a interferencias de radares circundantes.</w:t>
      </w:r>
    </w:p>
    <w:p w:rsidR="00122462" w:rsidRPr="00122462" w:rsidRDefault="00122462" w:rsidP="00122462">
      <w:pPr>
        <w:rPr>
          <w:lang w:val="es-ES_tradnl"/>
        </w:rPr>
      </w:pPr>
      <w:r w:rsidRPr="00122462">
        <w:rPr>
          <w:lang w:val="es-ES_tradnl"/>
        </w:rPr>
        <w:t xml:space="preserve">El acoplamiento entre dos radares ocurre principalmente cuando ambos funcionan en la misma frecuencia o en frecuencias próximas, en cuyo caso el rechazo dependiente de la frecuencia (FDR, </w:t>
      </w:r>
      <w:r w:rsidRPr="00122462">
        <w:rPr>
          <w:i/>
          <w:iCs/>
          <w:lang w:val="es-ES_tradnl"/>
        </w:rPr>
        <w:t>frequency dependent rejection</w:t>
      </w:r>
      <w:r w:rsidRPr="00122462">
        <w:rPr>
          <w:lang w:val="es-ES_tradnl"/>
        </w:rPr>
        <w:t>) o el valor de cresta del FDR, es pequeño. En consecuencia, la técnica de mitigación actualmente utilizada para suprimir las interferencias entre sistemas de radar consiste en asignar frecuencias distintas a los radares que funcionan en una zona dada. Por tanto, es necesario disponer de un conjunto de frecuencias con separación suficiente entre ellas para reducir la interferencia y lograr la cobertura total de la región con un plan de frecuencias específico para dicho ámbito geográfico.</w:t>
      </w:r>
    </w:p>
    <w:p w:rsidR="00122462" w:rsidRPr="00122462" w:rsidRDefault="00122462" w:rsidP="00981EC7">
      <w:pPr>
        <w:rPr>
          <w:lang w:val="es-ES_tradnl"/>
        </w:rPr>
      </w:pPr>
      <w:r w:rsidRPr="00122462">
        <w:rPr>
          <w:lang w:val="es-ES_tradnl"/>
        </w:rPr>
        <w:t>La discordancia entre las velocidades de rotación de dos antenas puede causar elevados niveles de interferencia de forma reiterada y durante periodos prolongados. En las Figs</w:t>
      </w:r>
      <w:r w:rsidR="00981EC7">
        <w:rPr>
          <w:lang w:val="es-ES_tradnl"/>
        </w:rPr>
        <w:t>. </w:t>
      </w:r>
      <w:r w:rsidRPr="00122462">
        <w:rPr>
          <w:lang w:val="es-ES_tradnl"/>
        </w:rPr>
        <w:t>1 a 6 se muestran casos en los que existe discordancia entre las velocidades de rotación de las antenas (Rec. UIT</w:t>
      </w:r>
      <w:r w:rsidR="00981EC7">
        <w:rPr>
          <w:lang w:val="es-ES_tradnl"/>
        </w:rPr>
        <w:noBreakHyphen/>
      </w:r>
      <w:r w:rsidRPr="00122462">
        <w:rPr>
          <w:lang w:val="es-ES_tradnl"/>
        </w:rPr>
        <w:t>R</w:t>
      </w:r>
      <w:r w:rsidR="00981EC7">
        <w:rPr>
          <w:lang w:val="es-ES_tradnl"/>
        </w:rPr>
        <w:t> </w:t>
      </w:r>
      <w:r w:rsidRPr="00122462">
        <w:rPr>
          <w:lang w:val="es-ES_tradnl"/>
        </w:rPr>
        <w:t>M.1464</w:t>
      </w:r>
      <w:r w:rsidR="00981EC7">
        <w:rPr>
          <w:lang w:val="es-ES_tradnl"/>
        </w:rPr>
        <w:t>-1</w:t>
      </w:r>
      <w:r w:rsidRPr="00122462">
        <w:rPr>
          <w:lang w:val="es-ES_tradnl"/>
        </w:rPr>
        <w:t>, caso de Radar</w:t>
      </w:r>
      <w:r w:rsidR="0079516A">
        <w:rPr>
          <w:lang w:val="es-ES_tradnl"/>
        </w:rPr>
        <w:t> </w:t>
      </w:r>
      <w:r w:rsidRPr="00122462">
        <w:rPr>
          <w:lang w:val="es-ES_tradnl"/>
        </w:rPr>
        <w:t>C a Radar</w:t>
      </w:r>
      <w:r w:rsidR="0079516A">
        <w:rPr>
          <w:lang w:val="es-ES_tradnl"/>
        </w:rPr>
        <w:t> </w:t>
      </w:r>
      <w:r w:rsidRPr="00122462">
        <w:rPr>
          <w:lang w:val="es-ES_tradnl"/>
        </w:rPr>
        <w:t>C). La discordancia entre velocidades de rotación no es algo irrazonable. En este sentido, se recoge a continuación un extracto de las especificaciones de requisitos del sistema de control del movimiento en azimut del pedestal de un radar de vigilancia de un aeropuerto y de la velocidad de exploración de la antena:</w:t>
      </w:r>
    </w:p>
    <w:p w:rsidR="00122462" w:rsidRPr="00122462" w:rsidRDefault="00122462" w:rsidP="0079516A">
      <w:pPr>
        <w:spacing w:before="80"/>
        <w:ind w:left="794" w:hanging="794"/>
        <w:rPr>
          <w:i/>
          <w:iCs/>
          <w:lang w:val="es-ES_tradnl"/>
        </w:rPr>
      </w:pPr>
      <w:r w:rsidRPr="00122462">
        <w:rPr>
          <w:i/>
          <w:iCs/>
          <w:lang w:val="es-ES_tradnl"/>
        </w:rPr>
        <w:tab/>
        <w:t>«</w:t>
      </w:r>
      <w:r w:rsidRPr="00122462">
        <w:rPr>
          <w:i/>
          <w:iCs/>
          <w:u w:val="single"/>
          <w:lang w:val="es-ES_tradnl"/>
        </w:rPr>
        <w:t>Control del acimut del pedestal de la antena</w:t>
      </w:r>
      <w:r w:rsidRPr="00122462">
        <w:rPr>
          <w:i/>
          <w:iCs/>
          <w:lang w:val="es-ES_tradnl"/>
        </w:rPr>
        <w:t>. El control del acimut del pedestal deberá permitir una velocidad controlable de 0 a 30 grados por segundo en pasos no superiores a 1</w:t>
      </w:r>
      <w:r w:rsidR="0079516A">
        <w:rPr>
          <w:i/>
          <w:iCs/>
          <w:lang w:val="es-ES_tradnl"/>
        </w:rPr>
        <w:t> </w:t>
      </w:r>
      <w:r w:rsidRPr="00122462">
        <w:rPr>
          <w:i/>
          <w:iCs/>
          <w:lang w:val="es-ES_tradnl"/>
        </w:rPr>
        <w:t>grado por segundo, con una precisión de ±0,5</w:t>
      </w:r>
      <w:r w:rsidRPr="00091067">
        <w:rPr>
          <w:i/>
          <w:iCs/>
          <w:szCs w:val="24"/>
          <w:lang w:val="en-GB"/>
        </w:rPr>
        <w:sym w:font="Symbol" w:char="F0B0"/>
      </w:r>
      <w:r w:rsidRPr="00122462">
        <w:rPr>
          <w:i/>
          <w:iCs/>
          <w:lang w:val="es-ES_tradnl"/>
        </w:rPr>
        <w:t>/s. Mediante las instrucciones precisas, se podrá controlar el acimut y mantener la posición de la antena con un margen de ±0,05</w:t>
      </w:r>
      <w:r w:rsidR="0079516A">
        <w:rPr>
          <w:i/>
          <w:iCs/>
          <w:lang w:val="es-ES_tradnl"/>
        </w:rPr>
        <w:t> </w:t>
      </w:r>
      <w:r w:rsidRPr="00122462">
        <w:rPr>
          <w:i/>
          <w:iCs/>
          <w:lang w:val="es-ES_tradnl"/>
        </w:rPr>
        <w:t>grados en respecto al ángulo de acimut seleccionado. En funcionamiento normal, la rotación de la antena será en el sentido de las agujas del reloj.»</w:t>
      </w:r>
    </w:p>
    <w:p w:rsidR="00122462" w:rsidRPr="00122462" w:rsidRDefault="00122462" w:rsidP="00122462">
      <w:pPr>
        <w:rPr>
          <w:lang w:val="es-ES_tradnl"/>
        </w:rPr>
      </w:pPr>
      <w:r w:rsidRPr="00122462">
        <w:rPr>
          <w:lang w:val="es-ES_tradnl"/>
        </w:rPr>
        <w:t>Otra especificación de la velocidad de exploración de una antena, señala que «la velocidad de exploración de la antena es de una vuelta cada 4,8 segundos, con desviaciones de +0,53 o –0,44 segundos», lo que equivale a valores de rotación de la antena de entre 67,54</w:t>
      </w:r>
      <w:r w:rsidRPr="00091067">
        <w:rPr>
          <w:szCs w:val="24"/>
          <w:lang w:val="en-GB"/>
        </w:rPr>
        <w:sym w:font="Symbol" w:char="F0B0"/>
      </w:r>
      <w:r w:rsidRPr="00122462">
        <w:rPr>
          <w:lang w:val="es-ES_tradnl"/>
        </w:rPr>
        <w:t>/s y 82,57</w:t>
      </w:r>
      <w:r w:rsidRPr="00091067">
        <w:rPr>
          <w:szCs w:val="24"/>
          <w:lang w:val="en-GB"/>
        </w:rPr>
        <w:sym w:font="Symbol" w:char="F0B0"/>
      </w:r>
      <w:r w:rsidRPr="00122462">
        <w:rPr>
          <w:lang w:val="es-ES_tradnl"/>
        </w:rPr>
        <w:t>/s.</w:t>
      </w:r>
    </w:p>
    <w:p w:rsidR="00122462" w:rsidRPr="00122462" w:rsidRDefault="00122462" w:rsidP="00122462">
      <w:pPr>
        <w:rPr>
          <w:lang w:val="es-ES_tradnl"/>
        </w:rPr>
      </w:pPr>
      <w:r w:rsidRPr="00122462">
        <w:rPr>
          <w:lang w:val="es-ES_tradnl"/>
        </w:rPr>
        <w:t>La especificación anterior significa que aunque la rotación de las antenas esté sincronizada, pueden existir niveles elevados de acoplamiento entre ellas. En las figuras siguientes se muestran los resultados del acoplamiento entre antenas para tres valores de discordancia entre velocidades de rotación de las antenas de radares con máximos de 0,5</w:t>
      </w:r>
      <w:r w:rsidRPr="00091067">
        <w:rPr>
          <w:szCs w:val="24"/>
          <w:lang w:val="en-GB"/>
        </w:rPr>
        <w:sym w:font="Symbol" w:char="F0B0"/>
      </w:r>
      <w:r w:rsidRPr="00122462">
        <w:rPr>
          <w:lang w:val="es-ES_tradnl"/>
        </w:rPr>
        <w:t>/s, 0,25</w:t>
      </w:r>
      <w:r w:rsidRPr="00091067">
        <w:rPr>
          <w:szCs w:val="24"/>
          <w:lang w:val="en-GB"/>
        </w:rPr>
        <w:sym w:font="Symbol" w:char="F0B0"/>
      </w:r>
      <w:r w:rsidRPr="00122462">
        <w:rPr>
          <w:lang w:val="es-ES_tradnl"/>
        </w:rPr>
        <w:t>/s y 7,46</w:t>
      </w:r>
      <w:r w:rsidRPr="00091067">
        <w:rPr>
          <w:szCs w:val="24"/>
          <w:lang w:val="en-GB"/>
        </w:rPr>
        <w:sym w:font="Symbol" w:char="F0B0"/>
      </w:r>
      <w:r w:rsidRPr="00122462">
        <w:rPr>
          <w:lang w:val="es-ES_tradnl"/>
        </w:rPr>
        <w:t>/s. Las figuras muestran que conforme se reduce la discordancia entre las velocidades de rotación de las antenas, también se reduce la tasa de repetición del acoplamiento de alto nivel entre ellas.</w:t>
      </w:r>
    </w:p>
    <w:p w:rsidR="00122462" w:rsidRPr="00122462" w:rsidRDefault="00122462" w:rsidP="0079516A">
      <w:pPr>
        <w:pStyle w:val="FigureNo"/>
        <w:rPr>
          <w:lang w:val="es-ES_tradnl"/>
        </w:rPr>
      </w:pPr>
      <w:r w:rsidRPr="00122462">
        <w:rPr>
          <w:lang w:val="es-ES_tradnl"/>
        </w:rPr>
        <w:lastRenderedPageBreak/>
        <w:t xml:space="preserve">FigurA </w:t>
      </w:r>
      <w:r w:rsidR="0079516A">
        <w:rPr>
          <w:lang w:val="es-ES_tradnl"/>
        </w:rPr>
        <w:t>1</w:t>
      </w:r>
    </w:p>
    <w:p w:rsidR="00122462" w:rsidRPr="00122462" w:rsidRDefault="00122462" w:rsidP="001401D1">
      <w:pPr>
        <w:pStyle w:val="Figuretitle"/>
        <w:rPr>
          <w:lang w:val="es-ES_tradnl"/>
        </w:rPr>
      </w:pPr>
      <w:r w:rsidRPr="00122462">
        <w:rPr>
          <w:lang w:val="es-ES_tradnl"/>
        </w:rPr>
        <w:t>Acoplamiento de antenas con una diferencia de velocidad de rotación de 0,50</w:t>
      </w:r>
      <w:r w:rsidR="001401D1" w:rsidRPr="001401D1">
        <w:rPr>
          <w:lang w:val="es-ES_tradnl"/>
        </w:rPr>
        <w:t>°</w:t>
      </w:r>
      <w:r w:rsidRPr="00122462">
        <w:rPr>
          <w:lang w:val="es-ES_tradnl"/>
        </w:rPr>
        <w:t>/s</w:t>
      </w:r>
    </w:p>
    <w:p w:rsidR="005625D3" w:rsidRPr="00091067" w:rsidRDefault="0079516A" w:rsidP="005625D3">
      <w:pPr>
        <w:pStyle w:val="Figure"/>
        <w:rPr>
          <w:lang w:val="en-GB"/>
        </w:rPr>
      </w:pPr>
      <w:r>
        <w:object w:dxaOrig="3562"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65pt;height:244.35pt" o:ole="">
            <v:imagedata r:id="rId13" o:title=""/>
          </v:shape>
          <o:OLEObject Type="Embed" ProgID="CorelDraw.Graphic.16" ShapeID="_x0000_i1025" DrawAspect="Content" ObjectID="_1513672533" r:id="rId14"/>
        </w:object>
      </w:r>
    </w:p>
    <w:p w:rsidR="00584A12" w:rsidRDefault="00584A12" w:rsidP="00584A12">
      <w:pPr>
        <w:rPr>
          <w:lang w:val="es-ES_tradnl"/>
        </w:rPr>
      </w:pPr>
    </w:p>
    <w:p w:rsidR="00122462" w:rsidRPr="00122462" w:rsidRDefault="00122462" w:rsidP="00122462">
      <w:pPr>
        <w:pStyle w:val="FigureNo"/>
        <w:rPr>
          <w:lang w:val="es-ES_tradnl"/>
        </w:rPr>
      </w:pPr>
      <w:r w:rsidRPr="00122462">
        <w:rPr>
          <w:lang w:val="es-ES_tradnl"/>
        </w:rPr>
        <w:t>FigurA 2</w:t>
      </w:r>
    </w:p>
    <w:p w:rsidR="00122462" w:rsidRPr="00122462" w:rsidRDefault="00122462" w:rsidP="001401D1">
      <w:pPr>
        <w:pStyle w:val="Figuretitle"/>
        <w:rPr>
          <w:lang w:val="es-ES_tradnl"/>
        </w:rPr>
      </w:pPr>
      <w:r w:rsidRPr="00122462">
        <w:rPr>
          <w:lang w:val="es-ES_tradnl"/>
        </w:rPr>
        <w:t>Acoplamiento de antenas con una diferencia de velocidad de rotación de 0,50</w:t>
      </w:r>
      <w:r w:rsidR="001401D1" w:rsidRPr="001401D1">
        <w:rPr>
          <w:lang w:val="es-ES_tradnl"/>
        </w:rPr>
        <w:t>°</w:t>
      </w:r>
      <w:r w:rsidRPr="00122462">
        <w:rPr>
          <w:lang w:val="es-ES_tradnl"/>
        </w:rPr>
        <w:t>/s</w:t>
      </w:r>
      <w:r w:rsidRPr="00122462">
        <w:rPr>
          <w:lang w:val="es-ES_tradnl"/>
        </w:rPr>
        <w:br/>
        <w:t>(mayor detalle)</w:t>
      </w:r>
    </w:p>
    <w:p w:rsidR="005625D3" w:rsidRPr="00091067" w:rsidRDefault="0079516A" w:rsidP="005625D3">
      <w:pPr>
        <w:pStyle w:val="Figure"/>
        <w:rPr>
          <w:lang w:val="en-GB"/>
        </w:rPr>
      </w:pPr>
      <w:r>
        <w:object w:dxaOrig="3521" w:dyaOrig="2931">
          <v:shape id="_x0000_i1026" type="#_x0000_t75" style="width:297.65pt;height:247.65pt" o:ole="">
            <v:imagedata r:id="rId15" o:title=""/>
          </v:shape>
          <o:OLEObject Type="Embed" ProgID="CorelDraw.Graphic.16" ShapeID="_x0000_i1026" DrawAspect="Content" ObjectID="_1513672534" r:id="rId16"/>
        </w:object>
      </w:r>
    </w:p>
    <w:p w:rsidR="00122462" w:rsidRPr="00122462" w:rsidRDefault="00122462" w:rsidP="00122462">
      <w:pPr>
        <w:pStyle w:val="FigureNo"/>
        <w:rPr>
          <w:lang w:val="es-ES_tradnl"/>
        </w:rPr>
      </w:pPr>
      <w:r w:rsidRPr="00122462">
        <w:rPr>
          <w:lang w:val="es-ES_tradnl"/>
        </w:rPr>
        <w:lastRenderedPageBreak/>
        <w:t>FigurA 3</w:t>
      </w:r>
    </w:p>
    <w:p w:rsidR="00122462" w:rsidRPr="00122462" w:rsidRDefault="00122462" w:rsidP="001401D1">
      <w:pPr>
        <w:pStyle w:val="Figuretitle"/>
        <w:rPr>
          <w:lang w:val="es-ES_tradnl"/>
        </w:rPr>
      </w:pPr>
      <w:r w:rsidRPr="00122462">
        <w:rPr>
          <w:lang w:val="es-ES_tradnl"/>
        </w:rPr>
        <w:t>Acoplamiento de antenas con una diferencia de velocidad de rotación de 0,25</w:t>
      </w:r>
      <w:r w:rsidR="001401D1" w:rsidRPr="001401D1">
        <w:rPr>
          <w:lang w:val="es-ES_tradnl"/>
        </w:rPr>
        <w:t>°</w:t>
      </w:r>
      <w:r w:rsidRPr="00122462">
        <w:rPr>
          <w:lang w:val="es-ES_tradnl"/>
        </w:rPr>
        <w:t>/s</w:t>
      </w:r>
    </w:p>
    <w:p w:rsidR="005625D3" w:rsidRPr="00091067" w:rsidRDefault="00584A12" w:rsidP="005625D3">
      <w:pPr>
        <w:pStyle w:val="Figure"/>
        <w:rPr>
          <w:lang w:val="en-GB"/>
        </w:rPr>
      </w:pPr>
      <w:r>
        <w:object w:dxaOrig="3562" w:dyaOrig="2913">
          <v:shape id="_x0000_i1027" type="#_x0000_t75" style="width:297.65pt;height:243.65pt" o:ole="">
            <v:imagedata r:id="rId17" o:title=""/>
          </v:shape>
          <o:OLEObject Type="Embed" ProgID="CorelDraw.Graphic.16" ShapeID="_x0000_i1027" DrawAspect="Content" ObjectID="_1513672535" r:id="rId18"/>
        </w:object>
      </w:r>
    </w:p>
    <w:p w:rsidR="00584A12" w:rsidRDefault="00584A12" w:rsidP="00584A12">
      <w:pPr>
        <w:rPr>
          <w:lang w:val="es-ES_tradnl"/>
        </w:rPr>
      </w:pPr>
    </w:p>
    <w:p w:rsidR="00122462" w:rsidRPr="00122462" w:rsidRDefault="00122462" w:rsidP="00122462">
      <w:pPr>
        <w:pStyle w:val="FigureNo"/>
        <w:rPr>
          <w:lang w:val="es-ES_tradnl"/>
        </w:rPr>
      </w:pPr>
      <w:r w:rsidRPr="00122462">
        <w:rPr>
          <w:lang w:val="es-ES_tradnl"/>
        </w:rPr>
        <w:t>FigurA 4</w:t>
      </w:r>
    </w:p>
    <w:p w:rsidR="00122462" w:rsidRPr="00122462" w:rsidRDefault="00122462" w:rsidP="001401D1">
      <w:pPr>
        <w:pStyle w:val="Figuretitle"/>
        <w:rPr>
          <w:b w:val="0"/>
          <w:lang w:val="es-ES_tradnl"/>
        </w:rPr>
      </w:pPr>
      <w:r w:rsidRPr="00122462">
        <w:rPr>
          <w:lang w:val="es-ES_tradnl"/>
        </w:rPr>
        <w:t>Acoplamiento de antenas con una diferencia de velocidad de rotación de 0,25</w:t>
      </w:r>
      <w:r w:rsidR="001401D1" w:rsidRPr="001401D1">
        <w:rPr>
          <w:lang w:val="es-ES_tradnl"/>
        </w:rPr>
        <w:t>°</w:t>
      </w:r>
      <w:r w:rsidRPr="00122462">
        <w:rPr>
          <w:lang w:val="es-ES_tradnl"/>
        </w:rPr>
        <w:t>/s</w:t>
      </w:r>
      <w:r w:rsidRPr="00122462">
        <w:rPr>
          <w:lang w:val="es-ES_tradnl"/>
        </w:rPr>
        <w:br/>
        <w:t>(más detalle)</w:t>
      </w:r>
    </w:p>
    <w:p w:rsidR="005625D3" w:rsidRPr="00091067" w:rsidRDefault="00584A12" w:rsidP="005625D3">
      <w:pPr>
        <w:pStyle w:val="Figure"/>
        <w:rPr>
          <w:lang w:val="en-GB"/>
        </w:rPr>
      </w:pPr>
      <w:r>
        <w:object w:dxaOrig="3590" w:dyaOrig="2972">
          <v:shape id="_x0000_i1028" type="#_x0000_t75" style="width:297.65pt;height:247.35pt" o:ole="">
            <v:imagedata r:id="rId19" o:title=""/>
          </v:shape>
          <o:OLEObject Type="Embed" ProgID="CorelDraw.Graphic.16" ShapeID="_x0000_i1028" DrawAspect="Content" ObjectID="_1513672536" r:id="rId20"/>
        </w:object>
      </w:r>
    </w:p>
    <w:p w:rsidR="00122462" w:rsidRPr="00122462" w:rsidRDefault="00122462" w:rsidP="00122462">
      <w:pPr>
        <w:pStyle w:val="FigureNo"/>
        <w:rPr>
          <w:lang w:val="es-ES_tradnl"/>
        </w:rPr>
      </w:pPr>
      <w:r w:rsidRPr="00122462">
        <w:rPr>
          <w:lang w:val="es-ES_tradnl"/>
        </w:rPr>
        <w:lastRenderedPageBreak/>
        <w:t>Figura 5</w:t>
      </w:r>
    </w:p>
    <w:p w:rsidR="00122462" w:rsidRPr="00122462" w:rsidRDefault="00122462" w:rsidP="001401D1">
      <w:pPr>
        <w:pStyle w:val="Figuretitle"/>
        <w:rPr>
          <w:lang w:val="es-ES_tradnl"/>
        </w:rPr>
      </w:pPr>
      <w:r w:rsidRPr="00122462">
        <w:rPr>
          <w:lang w:val="es-ES_tradnl"/>
        </w:rPr>
        <w:t xml:space="preserve">Acoplamiento de antenas con una diferencia de velocidad de </w:t>
      </w:r>
      <w:r w:rsidRPr="00122462">
        <w:rPr>
          <w:b w:val="0"/>
          <w:lang w:val="es-ES_tradnl"/>
        </w:rPr>
        <w:t>rotación</w:t>
      </w:r>
      <w:r w:rsidRPr="00122462">
        <w:rPr>
          <w:lang w:val="es-ES_tradnl"/>
        </w:rPr>
        <w:t xml:space="preserve"> de 7,46</w:t>
      </w:r>
      <w:r w:rsidR="001401D1" w:rsidRPr="001401D1">
        <w:rPr>
          <w:lang w:val="es-ES_tradnl"/>
        </w:rPr>
        <w:t>°</w:t>
      </w:r>
      <w:r w:rsidRPr="00122462">
        <w:rPr>
          <w:lang w:val="es-ES_tradnl"/>
        </w:rPr>
        <w:t>/s</w:t>
      </w:r>
    </w:p>
    <w:p w:rsidR="00122462" w:rsidRPr="000D7152" w:rsidRDefault="00584A12" w:rsidP="00122462">
      <w:pPr>
        <w:pStyle w:val="Figuretitle"/>
        <w:rPr>
          <w:caps/>
        </w:rPr>
      </w:pPr>
      <w:r>
        <w:rPr>
          <w:rFonts w:ascii="Times New Roman" w:hAnsi="Times New Roman"/>
          <w:sz w:val="24"/>
        </w:rPr>
        <w:object w:dxaOrig="3562" w:dyaOrig="2972">
          <v:shape id="_x0000_i1029" type="#_x0000_t75" style="width:297.65pt;height:248.35pt" o:ole="">
            <v:imagedata r:id="rId21" o:title=""/>
          </v:shape>
          <o:OLEObject Type="Embed" ProgID="CorelDraw.Graphic.16" ShapeID="_x0000_i1029" DrawAspect="Content" ObjectID="_1513672537" r:id="rId22"/>
        </w:object>
      </w:r>
    </w:p>
    <w:p w:rsidR="00584A12" w:rsidRDefault="00584A12" w:rsidP="00584A12">
      <w:pPr>
        <w:rPr>
          <w:lang w:val="es-ES_tradnl"/>
        </w:rPr>
      </w:pPr>
    </w:p>
    <w:p w:rsidR="00122462" w:rsidRPr="00122462" w:rsidRDefault="00122462" w:rsidP="00122462">
      <w:pPr>
        <w:pStyle w:val="FigureNo"/>
        <w:rPr>
          <w:caps w:val="0"/>
          <w:lang w:val="es-ES_tradnl"/>
        </w:rPr>
      </w:pPr>
      <w:r w:rsidRPr="00122462">
        <w:rPr>
          <w:lang w:val="es-ES_tradnl"/>
        </w:rPr>
        <w:t>FigurA 6</w:t>
      </w:r>
    </w:p>
    <w:p w:rsidR="00122462" w:rsidRPr="00122462" w:rsidRDefault="00122462" w:rsidP="001401D1">
      <w:pPr>
        <w:pStyle w:val="Figuretitle"/>
        <w:rPr>
          <w:b w:val="0"/>
          <w:lang w:val="es-ES_tradnl"/>
        </w:rPr>
      </w:pPr>
      <w:r w:rsidRPr="00122462">
        <w:rPr>
          <w:lang w:val="es-ES_tradnl"/>
        </w:rPr>
        <w:t xml:space="preserve">Acoplamiento de antenas con una diferencia de velocidad de </w:t>
      </w:r>
      <w:r w:rsidRPr="00122462">
        <w:rPr>
          <w:b w:val="0"/>
          <w:lang w:val="es-ES_tradnl"/>
        </w:rPr>
        <w:t>rotación</w:t>
      </w:r>
      <w:r w:rsidRPr="00122462">
        <w:rPr>
          <w:lang w:val="es-ES_tradnl"/>
        </w:rPr>
        <w:t xml:space="preserve"> de 7,46</w:t>
      </w:r>
      <w:r w:rsidR="001401D1" w:rsidRPr="001401D1">
        <w:rPr>
          <w:lang w:val="es-ES_tradnl"/>
        </w:rPr>
        <w:t>°</w:t>
      </w:r>
      <w:r w:rsidRPr="00122462">
        <w:rPr>
          <w:lang w:val="es-ES_tradnl"/>
        </w:rPr>
        <w:t>/s</w:t>
      </w:r>
      <w:r w:rsidRPr="00122462">
        <w:rPr>
          <w:lang w:val="es-ES_tradnl"/>
        </w:rPr>
        <w:br/>
        <w:t>(más detalle)</w:t>
      </w:r>
    </w:p>
    <w:p w:rsidR="005625D3" w:rsidRPr="00091067" w:rsidRDefault="00584A12" w:rsidP="005625D3">
      <w:pPr>
        <w:pStyle w:val="Figure"/>
        <w:rPr>
          <w:lang w:val="en-GB"/>
        </w:rPr>
      </w:pPr>
      <w:r>
        <w:object w:dxaOrig="3562" w:dyaOrig="2972">
          <v:shape id="_x0000_i1030" type="#_x0000_t75" style="width:297.65pt;height:248.35pt" o:ole="">
            <v:imagedata r:id="rId23" o:title=""/>
          </v:shape>
          <o:OLEObject Type="Embed" ProgID="CorelDraw.Graphic.16" ShapeID="_x0000_i1030" DrawAspect="Content" ObjectID="_1513672538" r:id="rId24"/>
        </w:object>
      </w:r>
    </w:p>
    <w:p w:rsidR="00122462" w:rsidRPr="00122462" w:rsidRDefault="00122462" w:rsidP="00122462">
      <w:pPr>
        <w:pStyle w:val="FigureNo"/>
        <w:rPr>
          <w:caps w:val="0"/>
          <w:lang w:val="es-ES_tradnl"/>
        </w:rPr>
      </w:pPr>
      <w:r w:rsidRPr="00122462">
        <w:rPr>
          <w:lang w:val="es-ES_tradnl"/>
        </w:rPr>
        <w:lastRenderedPageBreak/>
        <w:t>FigurA 7</w:t>
      </w:r>
    </w:p>
    <w:p w:rsidR="00122462" w:rsidRPr="00122462" w:rsidRDefault="00122462" w:rsidP="001401D1">
      <w:pPr>
        <w:pStyle w:val="Figuretitle"/>
        <w:rPr>
          <w:lang w:val="es-ES_tradnl"/>
        </w:rPr>
      </w:pPr>
      <w:r w:rsidRPr="00122462">
        <w:rPr>
          <w:lang w:val="es-ES_tradnl"/>
        </w:rPr>
        <w:t>Acoplamiento de antenas con una diferencia de velocidad de rotación de 7,46</w:t>
      </w:r>
      <w:r w:rsidR="001401D1" w:rsidRPr="001401D1">
        <w:rPr>
          <w:lang w:val="es-ES_tradnl"/>
        </w:rPr>
        <w:t>°</w:t>
      </w:r>
      <w:r w:rsidRPr="00122462">
        <w:rPr>
          <w:lang w:val="es-ES_tradnl"/>
        </w:rPr>
        <w:t>/s</w:t>
      </w:r>
      <w:r w:rsidRPr="00122462">
        <w:rPr>
          <w:lang w:val="es-ES_tradnl"/>
        </w:rPr>
        <w:br/>
        <w:t>caso de varios radares</w:t>
      </w:r>
    </w:p>
    <w:p w:rsidR="005625D3" w:rsidRPr="00091067" w:rsidRDefault="00584A12" w:rsidP="005625D3">
      <w:pPr>
        <w:pStyle w:val="Figure"/>
        <w:rPr>
          <w:lang w:val="en-GB"/>
        </w:rPr>
      </w:pPr>
      <w:r>
        <w:rPr>
          <w:sz w:val="24"/>
        </w:rPr>
        <w:object w:dxaOrig="3562" w:dyaOrig="2972">
          <v:shape id="_x0000_i1031" type="#_x0000_t75" style="width:297.65pt;height:248.35pt" o:ole="">
            <v:imagedata r:id="rId25" o:title=""/>
          </v:shape>
          <o:OLEObject Type="Embed" ProgID="CorelDraw.Graphic.16" ShapeID="_x0000_i1031" DrawAspect="Content" ObjectID="_1513672539" r:id="rId26"/>
        </w:object>
      </w:r>
    </w:p>
    <w:p w:rsidR="00584A12" w:rsidRDefault="00584A12" w:rsidP="00584A12">
      <w:pPr>
        <w:rPr>
          <w:lang w:val="es-ES_tradnl"/>
        </w:rPr>
      </w:pPr>
    </w:p>
    <w:p w:rsidR="00122462" w:rsidRPr="00122462" w:rsidRDefault="00122462" w:rsidP="00122462">
      <w:pPr>
        <w:pStyle w:val="FigureNo"/>
        <w:rPr>
          <w:caps w:val="0"/>
          <w:lang w:val="es-ES_tradnl"/>
        </w:rPr>
      </w:pPr>
      <w:r w:rsidRPr="00122462">
        <w:rPr>
          <w:lang w:val="es-ES_tradnl"/>
        </w:rPr>
        <w:t>Figura 8</w:t>
      </w:r>
    </w:p>
    <w:p w:rsidR="00122462" w:rsidRPr="00122462" w:rsidRDefault="00122462" w:rsidP="001401D1">
      <w:pPr>
        <w:pStyle w:val="Figuretitle"/>
        <w:rPr>
          <w:b w:val="0"/>
          <w:lang w:val="es-ES_tradnl"/>
        </w:rPr>
      </w:pPr>
      <w:r w:rsidRPr="00122462">
        <w:rPr>
          <w:lang w:val="es-ES_tradnl"/>
        </w:rPr>
        <w:t>Acoplamiento de antenas con una diferencia de velocidad de rotación de 7,46</w:t>
      </w:r>
      <w:r w:rsidR="001401D1" w:rsidRPr="001401D1">
        <w:rPr>
          <w:lang w:val="es-ES_tradnl"/>
        </w:rPr>
        <w:t>°</w:t>
      </w:r>
      <w:r w:rsidRPr="00122462">
        <w:rPr>
          <w:lang w:val="es-ES_tradnl"/>
        </w:rPr>
        <w:t>/s</w:t>
      </w:r>
      <w:r w:rsidRPr="00122462">
        <w:rPr>
          <w:lang w:val="es-ES_tradnl"/>
        </w:rPr>
        <w:br/>
        <w:t>caso de varios radares (más detalle)</w:t>
      </w:r>
    </w:p>
    <w:p w:rsidR="00584A12" w:rsidRPr="00091067" w:rsidRDefault="00584A12" w:rsidP="00584A12">
      <w:pPr>
        <w:pStyle w:val="Figure"/>
        <w:rPr>
          <w:lang w:val="en-GB"/>
        </w:rPr>
      </w:pPr>
      <w:r>
        <w:object w:dxaOrig="3562" w:dyaOrig="2972">
          <v:shape id="_x0000_i1032" type="#_x0000_t75" style="width:297.65pt;height:248.35pt" o:ole="">
            <v:imagedata r:id="rId27" o:title=""/>
          </v:shape>
          <o:OLEObject Type="Embed" ProgID="CorelDraw.Graphic.16" ShapeID="_x0000_i1032" DrawAspect="Content" ObjectID="_1513672540" r:id="rId28"/>
        </w:object>
      </w:r>
    </w:p>
    <w:p w:rsidR="00122462" w:rsidRPr="00122462" w:rsidRDefault="00122462" w:rsidP="00584A12">
      <w:pPr>
        <w:keepNext/>
        <w:keepLines/>
        <w:rPr>
          <w:lang w:val="es-ES_tradnl"/>
        </w:rPr>
      </w:pPr>
      <w:r w:rsidRPr="00122462">
        <w:rPr>
          <w:lang w:val="es-ES_tradnl"/>
        </w:rPr>
        <w:lastRenderedPageBreak/>
        <w:t>Como puede observarse en las Figs.</w:t>
      </w:r>
      <w:r w:rsidR="001401D1">
        <w:rPr>
          <w:lang w:val="es-ES_tradnl"/>
        </w:rPr>
        <w:t> </w:t>
      </w:r>
      <w:r w:rsidRPr="00122462">
        <w:rPr>
          <w:lang w:val="es-ES_tradnl"/>
        </w:rPr>
        <w:t>1 a 8, puede existir un elevado nivel de acoplamiento entre las antenas durante un prolongado periodo de tiempo en función de la discordancia entre las velocidades de rotación de las antenas. La Fig.</w:t>
      </w:r>
      <w:r w:rsidR="001401D1">
        <w:rPr>
          <w:lang w:val="es-ES_tradnl"/>
        </w:rPr>
        <w:t> </w:t>
      </w:r>
      <w:r w:rsidRPr="00122462">
        <w:rPr>
          <w:lang w:val="es-ES_tradnl"/>
        </w:rPr>
        <w:t>10 muestra la función de distribución acumulativa (CDF) de la interacción entre sendos Radar-C (para el diagrama de radiación de la Fig.</w:t>
      </w:r>
      <w:r w:rsidR="001401D1">
        <w:rPr>
          <w:lang w:val="es-ES_tradnl"/>
        </w:rPr>
        <w:t> </w:t>
      </w:r>
      <w:r w:rsidRPr="00122462">
        <w:rPr>
          <w:lang w:val="es-ES_tradnl"/>
        </w:rPr>
        <w:t>11) calculada tomando 5 millones de muestras aleatorias de posiciones de apuntamiento azimutal de las antenas de dos radares (un Radar-C interferido por varios Radares-C) y evaluando la ganancia total de la antena interferida. Se asume que las velocidades de rotación no son idénticas. Los radares están situados de forma que pueden considerarse diagramas de radiación de campo lejano. Por ejemplo, durante el 0,05% del tiempo, se rebasan niveles de acoplamiento de las antenas de +30</w:t>
      </w:r>
      <w:r w:rsidR="001401D1">
        <w:rPr>
          <w:lang w:val="es-ES_tradnl"/>
        </w:rPr>
        <w:t> dB</w:t>
      </w:r>
      <w:r w:rsidRPr="00122462">
        <w:rPr>
          <w:lang w:val="es-ES_tradnl"/>
        </w:rPr>
        <w:t>. No obstante, en los gráficos se observa que casi siempre se excede el nivel de 30</w:t>
      </w:r>
      <w:r w:rsidR="001401D1">
        <w:rPr>
          <w:lang w:val="es-ES_tradnl"/>
        </w:rPr>
        <w:t> dB</w:t>
      </w:r>
      <w:r w:rsidRPr="00122462">
        <w:rPr>
          <w:lang w:val="es-ES_tradnl"/>
        </w:rPr>
        <w:t>. Por tanto, es necesario elegir un valor muy inferior al 0,05% para representar de forma realista los valores de acoplamiento de las antenas. Cuando se realizan estudios de compartición y compatibilidad, es recomendable que la ganancia de acoplamiento de la antena se elija de forma que no se supere durante más de un tiempo muy reducido. La magnitud de «muy reducido» se determinará caso a caso en función de la criticidad e importancia de la función del radar. Además, cabe hacer las observaciones siguientes:</w:t>
      </w:r>
    </w:p>
    <w:p w:rsidR="00122462" w:rsidRPr="00122462" w:rsidRDefault="00122462" w:rsidP="00122462">
      <w:pPr>
        <w:pStyle w:val="Headingb"/>
        <w:rPr>
          <w:lang w:val="es-ES_tradnl"/>
        </w:rPr>
      </w:pPr>
      <w:r w:rsidRPr="00122462">
        <w:rPr>
          <w:lang w:val="es-ES_tradnl"/>
        </w:rPr>
        <w:t>Efectos de varios radares</w:t>
      </w:r>
    </w:p>
    <w:p w:rsidR="00122462" w:rsidRPr="00122462" w:rsidRDefault="00122462" w:rsidP="00122462">
      <w:pPr>
        <w:rPr>
          <w:lang w:val="es-ES_tradnl"/>
        </w:rPr>
      </w:pPr>
      <w:r w:rsidRPr="00122462">
        <w:rPr>
          <w:lang w:val="es-ES_tradnl"/>
        </w:rPr>
        <w:t>Debe tenerse en cuenta que la cobertura de grandes zonas puede requerir una red de radares. Por ejemplo, para que exista cobertura completa sin ningún punto ciego, puede considerarse que un radar interferido está rodeado por otros 6 radares (véase la Fig. 9).</w:t>
      </w:r>
    </w:p>
    <w:p w:rsidR="00122462" w:rsidRPr="00091067" w:rsidRDefault="00122462" w:rsidP="00122462">
      <w:pPr>
        <w:pStyle w:val="FigureNo"/>
        <w:rPr>
          <w:caps w:val="0"/>
          <w:lang w:val="en-GB"/>
        </w:rPr>
      </w:pPr>
      <w:r w:rsidRPr="00F54BAB">
        <w:t>FigurA</w:t>
      </w:r>
      <w:r w:rsidRPr="00091067">
        <w:rPr>
          <w:lang w:val="en-GB"/>
        </w:rPr>
        <w:t xml:space="preserve"> 9</w:t>
      </w:r>
    </w:p>
    <w:p w:rsidR="00122462" w:rsidRPr="003D5143" w:rsidRDefault="00584A12" w:rsidP="00122462">
      <w:pPr>
        <w:pStyle w:val="Figure"/>
        <w:rPr>
          <w:lang w:val="en-GB"/>
        </w:rPr>
      </w:pPr>
      <w:r>
        <w:object w:dxaOrig="1802" w:dyaOrig="1881">
          <v:shape id="_x0000_i1033" type="#_x0000_t75" style="width:156pt;height:163pt" o:ole="">
            <v:imagedata r:id="rId29" o:title=""/>
          </v:shape>
          <o:OLEObject Type="Embed" ProgID="CorelDraw.Graphic.16" ShapeID="_x0000_i1033" DrawAspect="Content" ObjectID="_1513672541" r:id="rId30"/>
        </w:object>
      </w:r>
    </w:p>
    <w:p w:rsidR="00122462" w:rsidRPr="00122462" w:rsidRDefault="00122462" w:rsidP="00122462">
      <w:pPr>
        <w:rPr>
          <w:lang w:val="es-ES_tradnl"/>
        </w:rPr>
      </w:pPr>
      <w:r w:rsidRPr="00122462">
        <w:rPr>
          <w:lang w:val="es-ES_tradnl"/>
        </w:rPr>
        <w:t>En este caso, las interferencias puede ocurrir «seis veces más a menudo». Debido a las distintas posiciones angulares de los siete radares y a la diferencias en las posiciones durante la rotación, las ocurrencia de las interferencias tendrá un distribución escalonada con el tiempo.</w:t>
      </w:r>
    </w:p>
    <w:p w:rsidR="00122462" w:rsidRPr="00122462" w:rsidRDefault="00122462" w:rsidP="00C55BB0">
      <w:pPr>
        <w:rPr>
          <w:lang w:val="es-ES_tradnl"/>
        </w:rPr>
      </w:pPr>
      <w:r w:rsidRPr="00122462">
        <w:rPr>
          <w:lang w:val="es-ES_tradnl"/>
        </w:rPr>
        <w:t>Por ejemplo, con una diferencia de velocidad de rotación de las antenas de 0,1</w:t>
      </w:r>
      <w:r w:rsidR="00C55BB0">
        <w:rPr>
          <w:lang w:val="es-ES_tradnl"/>
        </w:rPr>
        <w:t>°</w:t>
      </w:r>
      <w:r w:rsidRPr="00122462">
        <w:rPr>
          <w:lang w:val="es-ES_tradnl"/>
        </w:rPr>
        <w:t>/s , en una hipótesis de repetición uniforme, puede estimarse que los eventos de acoplamiento máximo ocurren cada (360° ÷ 0</w:t>
      </w:r>
      <w:r w:rsidR="00981EC7">
        <w:rPr>
          <w:lang w:val="es-ES_tradnl"/>
        </w:rPr>
        <w:t>,</w:t>
      </w:r>
      <w:r w:rsidRPr="00122462">
        <w:rPr>
          <w:lang w:val="es-ES_tradnl"/>
        </w:rPr>
        <w:t>1°/s) ÷ 6 = 600</w:t>
      </w:r>
      <w:r w:rsidR="001401D1">
        <w:rPr>
          <w:lang w:val="es-ES_tradnl"/>
        </w:rPr>
        <w:t> </w:t>
      </w:r>
      <w:r w:rsidRPr="00122462">
        <w:rPr>
          <w:lang w:val="es-ES_tradnl"/>
        </w:rPr>
        <w:t>s. Sin embargo, en un caso extremo, los eventos de acoplamiento máximo entre el radar interferido y los seis radares que lo circundan, pueden ocurrir durante el mismo periodo de rotación de la antena del radar interferido. Si el periodo de rotación común de las antenas es de 12</w:t>
      </w:r>
      <w:r w:rsidR="001401D1">
        <w:rPr>
          <w:lang w:val="es-ES_tradnl"/>
        </w:rPr>
        <w:t> </w:t>
      </w:r>
      <w:r w:rsidRPr="00122462">
        <w:rPr>
          <w:lang w:val="es-ES_tradnl"/>
        </w:rPr>
        <w:t>s, el radar sufre interferencia cada 2 segundos. La Fig.</w:t>
      </w:r>
      <w:r w:rsidR="001401D1">
        <w:rPr>
          <w:lang w:val="es-ES_tradnl"/>
        </w:rPr>
        <w:t> </w:t>
      </w:r>
      <w:r w:rsidRPr="00122462">
        <w:rPr>
          <w:lang w:val="es-ES_tradnl"/>
        </w:rPr>
        <w:t>10 muestra la CDF del acoplamiento de la antena para dos casos. El primero es un caso de acoplamiento uno a uno (curva de color negro) y el segundo (curva de color rojo) es el caso de seis radares interferentes y un radar situado en el centro geográfico de los mismos, tal como se muestra en la Fig. 9.</w:t>
      </w:r>
    </w:p>
    <w:p w:rsidR="00122462" w:rsidRPr="00122462" w:rsidRDefault="00122462" w:rsidP="00122462">
      <w:pPr>
        <w:pStyle w:val="FigureNo"/>
        <w:rPr>
          <w:caps w:val="0"/>
          <w:lang w:val="es-ES_tradnl"/>
        </w:rPr>
      </w:pPr>
      <w:r w:rsidRPr="00122462">
        <w:rPr>
          <w:lang w:val="es-ES_tradnl"/>
        </w:rPr>
        <w:lastRenderedPageBreak/>
        <w:t>FigurA 10</w:t>
      </w:r>
    </w:p>
    <w:p w:rsidR="00122462" w:rsidRPr="00122462" w:rsidRDefault="00122462" w:rsidP="00122462">
      <w:pPr>
        <w:pStyle w:val="Figuretitle"/>
        <w:rPr>
          <w:b w:val="0"/>
          <w:lang w:val="es-ES_tradnl"/>
        </w:rPr>
      </w:pPr>
      <w:r w:rsidRPr="00122462">
        <w:rPr>
          <w:lang w:val="es-ES_tradnl"/>
        </w:rPr>
        <w:t>CDF del acoplamiento entre antenas para radares C</w:t>
      </w:r>
      <w:r w:rsidRPr="00122462">
        <w:rPr>
          <w:lang w:val="es-ES_tradnl"/>
        </w:rPr>
        <w:br/>
        <w:t xml:space="preserve">(con mediciones del </w:t>
      </w:r>
      <w:r w:rsidRPr="00122462">
        <w:rPr>
          <w:b w:val="0"/>
          <w:lang w:val="es-ES_tradnl"/>
        </w:rPr>
        <w:t>diagrama</w:t>
      </w:r>
      <w:r w:rsidRPr="00122462">
        <w:rPr>
          <w:lang w:val="es-ES_tradnl"/>
        </w:rPr>
        <w:t xml:space="preserve"> de radiación de la antena)</w:t>
      </w:r>
    </w:p>
    <w:p w:rsidR="00122462" w:rsidRPr="00091067" w:rsidRDefault="00584A12" w:rsidP="00584A12">
      <w:pPr>
        <w:pStyle w:val="Figure"/>
        <w:rPr>
          <w:lang w:val="en-GB"/>
        </w:rPr>
      </w:pPr>
      <w:r>
        <w:object w:dxaOrig="5205" w:dyaOrig="2710">
          <v:shape id="_x0000_i1034" type="#_x0000_t75" style="width:439.35pt;height:228.35pt" o:ole="">
            <v:imagedata r:id="rId31" o:title=""/>
          </v:shape>
          <o:OLEObject Type="Embed" ProgID="CorelDraw.Graphic.16" ShapeID="_x0000_i1034" DrawAspect="Content" ObjectID="_1513672542" r:id="rId32"/>
        </w:object>
      </w:r>
    </w:p>
    <w:p w:rsidR="00584A12" w:rsidRDefault="00584A12" w:rsidP="00122462">
      <w:pPr>
        <w:rPr>
          <w:lang w:val="es-ES_tradnl"/>
        </w:rPr>
      </w:pPr>
    </w:p>
    <w:p w:rsidR="00122462" w:rsidRPr="00122462" w:rsidRDefault="00122462" w:rsidP="00122462">
      <w:pPr>
        <w:rPr>
          <w:lang w:val="es-ES_tradnl"/>
        </w:rPr>
      </w:pPr>
      <w:r w:rsidRPr="00122462">
        <w:rPr>
          <w:lang w:val="es-ES_tradnl"/>
        </w:rPr>
        <w:t>El diagrama de radiación de las antenas utilizado para el análisis se muestra en la Fig. 11.</w:t>
      </w:r>
    </w:p>
    <w:p w:rsidR="00122462" w:rsidRPr="00122462" w:rsidRDefault="00122462" w:rsidP="00122462">
      <w:pPr>
        <w:pStyle w:val="FigureNo"/>
        <w:rPr>
          <w:caps w:val="0"/>
          <w:lang w:val="es-ES_tradnl"/>
        </w:rPr>
      </w:pPr>
      <w:r w:rsidRPr="00122462">
        <w:rPr>
          <w:lang w:val="es-ES_tradnl"/>
        </w:rPr>
        <w:t>FigurA 11</w:t>
      </w:r>
    </w:p>
    <w:p w:rsidR="00122462" w:rsidRPr="00091067" w:rsidRDefault="00122462" w:rsidP="00122462">
      <w:pPr>
        <w:pStyle w:val="Figuretitle"/>
        <w:rPr>
          <w:b w:val="0"/>
          <w:lang w:val="en-GB"/>
        </w:rPr>
      </w:pPr>
      <w:r w:rsidRPr="00122462">
        <w:rPr>
          <w:lang w:val="es-ES_tradnl"/>
        </w:rPr>
        <w:t xml:space="preserve">Diagrama de radiación de un Radar-C obtenido de mediciones (Rec. </w:t>
      </w:r>
      <w:r>
        <w:t>UIT</w:t>
      </w:r>
      <w:r w:rsidRPr="00091067">
        <w:rPr>
          <w:lang w:val="en-GB"/>
        </w:rPr>
        <w:t>-R M.1464)</w:t>
      </w:r>
    </w:p>
    <w:p w:rsidR="00122462" w:rsidRPr="00091067" w:rsidRDefault="00584A12" w:rsidP="00122462">
      <w:pPr>
        <w:keepLines/>
        <w:spacing w:before="0" w:after="240"/>
        <w:jc w:val="center"/>
        <w:rPr>
          <w:caps/>
          <w:sz w:val="18"/>
          <w:lang w:val="en-GB"/>
        </w:rPr>
      </w:pPr>
      <w:r>
        <w:object w:dxaOrig="4517" w:dyaOrig="1567">
          <v:shape id="_x0000_i1035" type="#_x0000_t75" style="width:378pt;height:130.65pt" o:ole="">
            <v:imagedata r:id="rId33" o:title=""/>
          </v:shape>
          <o:OLEObject Type="Embed" ProgID="CorelDraw.Graphic.16" ShapeID="_x0000_i1035" DrawAspect="Content" ObjectID="_1513672543" r:id="rId34"/>
        </w:object>
      </w:r>
    </w:p>
    <w:p w:rsidR="00122462" w:rsidRPr="00122462" w:rsidRDefault="00122462" w:rsidP="00584A12">
      <w:pPr>
        <w:keepNext/>
        <w:keepLines/>
        <w:rPr>
          <w:lang w:val="es-ES_tradnl"/>
        </w:rPr>
      </w:pPr>
      <w:r w:rsidRPr="00122462">
        <w:rPr>
          <w:lang w:val="es-ES_tradnl"/>
        </w:rPr>
        <w:lastRenderedPageBreak/>
        <w:t>La Fig. 12 muestra los diagramas medidos para radares equivalentes a los Radar-C.</w:t>
      </w:r>
    </w:p>
    <w:p w:rsidR="00122462" w:rsidRPr="00122462" w:rsidRDefault="00122462" w:rsidP="00122462">
      <w:pPr>
        <w:pStyle w:val="FigureNo"/>
        <w:rPr>
          <w:caps w:val="0"/>
          <w:lang w:val="es-ES_tradnl"/>
        </w:rPr>
      </w:pPr>
      <w:r w:rsidRPr="00122462">
        <w:rPr>
          <w:lang w:val="es-ES_tradnl"/>
        </w:rPr>
        <w:t>FigurA 12</w:t>
      </w:r>
    </w:p>
    <w:p w:rsidR="00122462" w:rsidRPr="00122462" w:rsidRDefault="00122462" w:rsidP="00122462">
      <w:pPr>
        <w:pStyle w:val="Figuretitle"/>
        <w:rPr>
          <w:b w:val="0"/>
          <w:lang w:val="es-ES_tradnl"/>
        </w:rPr>
      </w:pPr>
      <w:r w:rsidRPr="00122462">
        <w:rPr>
          <w:lang w:val="es-ES_tradnl"/>
        </w:rPr>
        <w:t xml:space="preserve">Mediciones del </w:t>
      </w:r>
      <w:r w:rsidRPr="00122462">
        <w:rPr>
          <w:b w:val="0"/>
          <w:lang w:val="es-ES_tradnl"/>
        </w:rPr>
        <w:t>diagrama</w:t>
      </w:r>
      <w:r w:rsidRPr="00122462">
        <w:rPr>
          <w:lang w:val="es-ES_tradnl"/>
        </w:rPr>
        <w:t xml:space="preserve"> de radiación de la antena de un Radar-C </w:t>
      </w:r>
    </w:p>
    <w:p w:rsidR="005625D3" w:rsidRPr="00091067" w:rsidRDefault="005625D3" w:rsidP="005625D3">
      <w:pPr>
        <w:pStyle w:val="Figure"/>
        <w:rPr>
          <w:lang w:val="en-GB"/>
        </w:rPr>
      </w:pPr>
      <w:r>
        <w:object w:dxaOrig="3484" w:dyaOrig="2464">
          <v:shape id="_x0000_i1036" type="#_x0000_t75" style="width:289.35pt;height:204.65pt" o:ole="">
            <v:imagedata r:id="rId35" o:title=""/>
          </v:shape>
          <o:OLEObject Type="Embed" ProgID="CorelDraw.Graphic.16" ShapeID="_x0000_i1036" DrawAspect="Content" ObjectID="_1513672544" r:id="rId36"/>
        </w:object>
      </w:r>
    </w:p>
    <w:p w:rsidR="00981EC7" w:rsidRDefault="00981EC7" w:rsidP="00981EC7">
      <w:pPr>
        <w:rPr>
          <w:lang w:val="es-ES_tradnl"/>
        </w:rPr>
      </w:pPr>
    </w:p>
    <w:p w:rsidR="00122462" w:rsidRPr="00122462" w:rsidRDefault="00122462" w:rsidP="00122462">
      <w:pPr>
        <w:pStyle w:val="Headingb"/>
        <w:rPr>
          <w:lang w:val="es-ES_tradnl"/>
        </w:rPr>
      </w:pPr>
      <w:r w:rsidRPr="00122462">
        <w:rPr>
          <w:lang w:val="es-ES_tradnl"/>
        </w:rPr>
        <w:t>Conclusiones</w:t>
      </w:r>
    </w:p>
    <w:p w:rsidR="00122462" w:rsidRPr="00122462" w:rsidRDefault="00122462" w:rsidP="00122462">
      <w:pPr>
        <w:rPr>
          <w:lang w:val="es-ES_tradnl"/>
        </w:rPr>
      </w:pPr>
      <w:r w:rsidRPr="00122462">
        <w:rPr>
          <w:lang w:val="es-ES_tradnl"/>
        </w:rPr>
        <w:t>Se ha mostrado que pueden producirse valores elevados de acoplamiento entre antenas de radares de forma repetitiva y consistente durante un prolongado periodo de tiempo. El efecto de este acoplamiento debe tenerse en cuenta aplicando el valor adecuado del cálculo de la CDF del acoplamiento de an</w:t>
      </w:r>
      <w:bookmarkStart w:id="3" w:name="_GoBack"/>
      <w:bookmarkEnd w:id="3"/>
      <w:r w:rsidRPr="00122462">
        <w:rPr>
          <w:lang w:val="es-ES_tradnl"/>
        </w:rPr>
        <w:t>tenas teniendo en cuenta la criticidad de la función del radar.</w:t>
      </w:r>
    </w:p>
    <w:p w:rsidR="00122462" w:rsidRDefault="00122462" w:rsidP="00701364">
      <w:pPr>
        <w:pStyle w:val="Reftitle"/>
        <w:rPr>
          <w:lang w:val="en-US"/>
        </w:rPr>
      </w:pPr>
      <w:r w:rsidRPr="00EF6A59">
        <w:rPr>
          <w:lang w:val="en-US"/>
        </w:rPr>
        <w:t>Referencias</w:t>
      </w:r>
    </w:p>
    <w:p w:rsidR="00701364" w:rsidRPr="00701364" w:rsidRDefault="00701364" w:rsidP="00701364">
      <w:pPr>
        <w:pStyle w:val="Blanc"/>
      </w:pPr>
    </w:p>
    <w:p w:rsidR="00122462" w:rsidRPr="00091067" w:rsidRDefault="00122462" w:rsidP="005625D3">
      <w:pPr>
        <w:pStyle w:val="Reftext"/>
        <w:rPr>
          <w:lang w:val="en-GB"/>
        </w:rPr>
      </w:pPr>
      <w:r w:rsidRPr="00091067">
        <w:rPr>
          <w:lang w:val="en-GB"/>
        </w:rPr>
        <w:t>[1]</w:t>
      </w:r>
      <w:r w:rsidRPr="00091067">
        <w:rPr>
          <w:lang w:val="en-GB"/>
        </w:rPr>
        <w:tab/>
        <w:t xml:space="preserve">ATDI Contract No. N68836-10-P-1705 </w:t>
      </w:r>
      <w:r>
        <w:rPr>
          <w:lang w:val="en-GB"/>
        </w:rPr>
        <w:t>«</w:t>
      </w:r>
      <w:r w:rsidRPr="00091067">
        <w:rPr>
          <w:lang w:val="en-GB"/>
        </w:rPr>
        <w:t>Rivira Wind Farm Effect on Kingsville Naval Air Station Radar</w:t>
      </w:r>
      <w:r>
        <w:rPr>
          <w:lang w:val="en-GB"/>
        </w:rPr>
        <w:t>»</w:t>
      </w:r>
      <w:r w:rsidRPr="00091067">
        <w:rPr>
          <w:lang w:val="en-GB"/>
        </w:rPr>
        <w:t xml:space="preserve"> Written by S. Yun, M. Rais.</w:t>
      </w:r>
    </w:p>
    <w:p w:rsidR="00122462" w:rsidRPr="00091067" w:rsidRDefault="00122462" w:rsidP="005625D3">
      <w:pPr>
        <w:pStyle w:val="Reftext"/>
        <w:rPr>
          <w:lang w:val="en-GB"/>
        </w:rPr>
      </w:pPr>
      <w:r w:rsidRPr="00091067">
        <w:rPr>
          <w:lang w:val="en-GB"/>
        </w:rPr>
        <w:t>[2]</w:t>
      </w:r>
      <w:r w:rsidRPr="00091067">
        <w:rPr>
          <w:lang w:val="en-GB"/>
        </w:rPr>
        <w:tab/>
        <w:t>faaco.faa.gov/attachments/TDWR_Antenna_Requirements.doc.</w:t>
      </w:r>
    </w:p>
    <w:p w:rsidR="00122462" w:rsidRDefault="00122462" w:rsidP="005625D3">
      <w:pPr>
        <w:pStyle w:val="Reftext"/>
        <w:rPr>
          <w:lang w:val="en-GB"/>
        </w:rPr>
      </w:pPr>
      <w:r w:rsidRPr="00091067">
        <w:rPr>
          <w:lang w:val="en-GB"/>
        </w:rPr>
        <w:t>[3]</w:t>
      </w:r>
      <w:r w:rsidRPr="00091067">
        <w:rPr>
          <w:lang w:val="en-GB"/>
        </w:rPr>
        <w:tab/>
        <w:t xml:space="preserve">Thereza M. Macnamara BSc, MSc (London) </w:t>
      </w:r>
      <w:r>
        <w:rPr>
          <w:lang w:val="en-GB"/>
        </w:rPr>
        <w:t>«</w:t>
      </w:r>
      <w:r w:rsidRPr="00091067">
        <w:rPr>
          <w:lang w:val="en-GB"/>
        </w:rPr>
        <w:t>Introduction to Antenna Placement and Installation</w:t>
      </w:r>
      <w:r>
        <w:rPr>
          <w:lang w:val="en-GB"/>
        </w:rPr>
        <w:t>»</w:t>
      </w:r>
      <w:r w:rsidRPr="00091067">
        <w:rPr>
          <w:lang w:val="en-GB"/>
        </w:rPr>
        <w:t xml:space="preserve"> A John Wiley and Sons, Ltd., Publication, 2010.</w:t>
      </w:r>
    </w:p>
    <w:p w:rsidR="005625D3" w:rsidRPr="00091067" w:rsidRDefault="005625D3" w:rsidP="005625D3">
      <w:pPr>
        <w:rPr>
          <w:lang w:val="en-GB"/>
        </w:rPr>
      </w:pPr>
    </w:p>
    <w:p w:rsidR="00122462" w:rsidRDefault="00122462">
      <w:pPr>
        <w:jc w:val="center"/>
      </w:pPr>
      <w:r>
        <w:t>______________</w:t>
      </w:r>
    </w:p>
    <w:sectPr w:rsidR="00122462" w:rsidSect="00122462">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62" w:rsidRDefault="00122462">
      <w:r>
        <w:separator/>
      </w:r>
    </w:p>
  </w:endnote>
  <w:endnote w:type="continuationSeparator" w:id="0">
    <w:p w:rsidR="00122462" w:rsidRDefault="0012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62" w:rsidRDefault="00122462">
      <w:r>
        <w:separator/>
      </w:r>
    </w:p>
  </w:footnote>
  <w:footnote w:type="continuationSeparator" w:id="0">
    <w:p w:rsidR="00122462" w:rsidRDefault="00122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CB1354">
    <w:pPr>
      <w:ind w:right="360" w:firstLine="360"/>
    </w:pPr>
    <w:r>
      <w:rPr>
        <w:noProof/>
        <w:lang w:val="es-ES_tradnl" w:eastAsia="zh-CN"/>
      </w:rPr>
      <w:drawing>
        <wp:anchor distT="0" distB="0" distL="114300" distR="114300" simplePos="0" relativeHeight="251657216" behindDoc="1" locked="0" layoutInCell="1" allowOverlap="1" wp14:anchorId="09E8FC85" wp14:editId="4A2C23D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936BF">
      <w:rPr>
        <w:rStyle w:val="PageNumber"/>
        <w:b/>
        <w:bCs/>
        <w:noProof/>
      </w:rPr>
      <w:t>ii</w:t>
    </w:r>
    <w:r>
      <w:rPr>
        <w:rStyle w:val="PageNumber"/>
        <w:b/>
        <w:bCs/>
      </w:rPr>
      <w:fldChar w:fldCharType="end"/>
    </w:r>
    <w:r>
      <w:tab/>
    </w:r>
    <w:fldSimple w:instr=" DOCPROPERTY &quot;Header&quot; \* MERGEFORMAT ">
      <w:r w:rsidR="001936BF" w:rsidRPr="001936B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936BF">
      <w:rPr>
        <w:b/>
        <w:bCs/>
        <w:noProof/>
      </w:rPr>
      <w:t>UIT-R  M.2069-0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
      <w:tab/>
    </w:r>
    <w:fldSimple w:instr=" DOCPROPERTY &quot;Header&quot; \* MERGEFORMAT ">
      <w:r w:rsidR="001936BF" w:rsidRPr="001936B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36BF">
      <w:rPr>
        <w:b/>
        <w:bCs/>
        <w:noProof/>
      </w:rPr>
      <w:t>UIT-R  M.2069-0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36BF">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936BF" w:rsidRPr="001936B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936BF">
      <w:rPr>
        <w:b/>
        <w:bCs/>
        <w:noProof/>
      </w:rPr>
      <w:t>UIT-R  M.2069-0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1936BF" w:rsidRPr="001936B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36BF">
      <w:rPr>
        <w:b/>
        <w:bCs/>
        <w:noProof/>
      </w:rPr>
      <w:t>UIT-R  M.2069-0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936BF">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641C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DC2F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7459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E4C0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A49F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C070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BAF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D481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9423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167A5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62"/>
    <w:rsid w:val="00122462"/>
    <w:rsid w:val="001401D1"/>
    <w:rsid w:val="001936BF"/>
    <w:rsid w:val="00217EBF"/>
    <w:rsid w:val="00242AEE"/>
    <w:rsid w:val="0028577F"/>
    <w:rsid w:val="002D76C4"/>
    <w:rsid w:val="0052529D"/>
    <w:rsid w:val="005625D3"/>
    <w:rsid w:val="00584A12"/>
    <w:rsid w:val="005E43F0"/>
    <w:rsid w:val="00607D68"/>
    <w:rsid w:val="00701364"/>
    <w:rsid w:val="007468DA"/>
    <w:rsid w:val="0079516A"/>
    <w:rsid w:val="00981EC7"/>
    <w:rsid w:val="009E00A8"/>
    <w:rsid w:val="00A6617B"/>
    <w:rsid w:val="00AB0DC8"/>
    <w:rsid w:val="00B44E24"/>
    <w:rsid w:val="00C55BB0"/>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CA093338-9AD7-4A83-AC07-4ADD66FD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4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2246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22462"/>
    <w:rPr>
      <w:color w:val="0000FF"/>
      <w:u w:val="single"/>
    </w:rPr>
  </w:style>
  <w:style w:type="character" w:customStyle="1" w:styleId="TableheadChar">
    <w:name w:val="Table_head Char"/>
    <w:basedOn w:val="DefaultParagraphFont"/>
    <w:link w:val="Tablehead"/>
    <w:locked/>
    <w:rsid w:val="00122462"/>
    <w:rPr>
      <w:b/>
      <w:sz w:val="22"/>
      <w:lang w:val="fr-FR" w:eastAsia="en-US"/>
    </w:rPr>
  </w:style>
  <w:style w:type="character" w:customStyle="1" w:styleId="TabletextChar">
    <w:name w:val="Table_text Char"/>
    <w:basedOn w:val="DefaultParagraphFont"/>
    <w:link w:val="Tabletext"/>
    <w:locked/>
    <w:rsid w:val="00122462"/>
    <w:rPr>
      <w:sz w:val="22"/>
      <w:lang w:val="fr-FR" w:eastAsia="en-US"/>
    </w:rPr>
  </w:style>
  <w:style w:type="character" w:customStyle="1" w:styleId="Heading1Char">
    <w:name w:val="Heading 1 Char"/>
    <w:basedOn w:val="DefaultParagraphFont"/>
    <w:link w:val="Heading1"/>
    <w:rsid w:val="00122462"/>
    <w:rPr>
      <w:b/>
      <w:sz w:val="24"/>
      <w:lang w:val="fr-FR" w:eastAsia="en-US"/>
    </w:rPr>
  </w:style>
  <w:style w:type="character" w:customStyle="1" w:styleId="HeaderChar">
    <w:name w:val="Header Char"/>
    <w:basedOn w:val="DefaultParagraphFont"/>
    <w:link w:val="Header"/>
    <w:rsid w:val="00122462"/>
    <w:rPr>
      <w:sz w:val="24"/>
      <w:lang w:val="fr-FR" w:eastAsia="en-US"/>
    </w:rPr>
  </w:style>
  <w:style w:type="character" w:customStyle="1" w:styleId="FigureNoChar">
    <w:name w:val="Figure_No Char"/>
    <w:basedOn w:val="DefaultParagraphFont"/>
    <w:link w:val="FigureNo"/>
    <w:locked/>
    <w:rsid w:val="00122462"/>
    <w:rPr>
      <w:caps/>
      <w:sz w:val="18"/>
      <w:lang w:val="fr-FR" w:eastAsia="en-US"/>
    </w:rPr>
  </w:style>
  <w:style w:type="character" w:customStyle="1" w:styleId="enumlev1Char">
    <w:name w:val="enumlev1 Char"/>
    <w:basedOn w:val="DefaultParagraphFont"/>
    <w:link w:val="enumlev1"/>
    <w:rsid w:val="00122462"/>
    <w:rPr>
      <w:sz w:val="24"/>
      <w:lang w:val="fr-FR" w:eastAsia="en-US"/>
    </w:rPr>
  </w:style>
  <w:style w:type="character" w:customStyle="1" w:styleId="AnnexNoTitleChar">
    <w:name w:val="Annex_NoTitle Char"/>
    <w:basedOn w:val="DefaultParagraphFont"/>
    <w:link w:val="AnnexNoTitle"/>
    <w:rsid w:val="00122462"/>
    <w:rPr>
      <w:b/>
      <w:sz w:val="28"/>
      <w:lang w:val="fr-FR" w:eastAsia="en-US"/>
    </w:rPr>
  </w:style>
  <w:style w:type="character" w:customStyle="1" w:styleId="FiguretitleChar">
    <w:name w:val="Figure_title Char"/>
    <w:basedOn w:val="DefaultParagraphFont"/>
    <w:link w:val="Figuretitle"/>
    <w:rsid w:val="00122462"/>
    <w:rPr>
      <w:rFonts w:ascii="Times New Roman Bold" w:hAnsi="Times New Roman Bold"/>
      <w:b/>
      <w:sz w:val="18"/>
      <w:lang w:val="fr-FR" w:eastAsia="en-US"/>
    </w:rPr>
  </w:style>
  <w:style w:type="character" w:customStyle="1" w:styleId="CallChar">
    <w:name w:val="Call Char"/>
    <w:link w:val="Call"/>
    <w:rsid w:val="00122462"/>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122</TotalTime>
  <Pages>11</Pages>
  <Words>2068</Words>
  <Characters>12144</Characters>
  <Application>Microsoft Office Word</Application>
  <DocSecurity>0</DocSecurity>
  <Lines>674</Lines>
  <Paragraphs>296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spanish</dc:creator>
  <cp:keywords/>
  <dc:description/>
  <cp:lastModifiedBy>spanish</cp:lastModifiedBy>
  <cp:revision>9</cp:revision>
  <cp:lastPrinted>2016-01-07T10:35:00Z</cp:lastPrinted>
  <dcterms:created xsi:type="dcterms:W3CDTF">2016-01-06T15:21:00Z</dcterms:created>
  <dcterms:modified xsi:type="dcterms:W3CDTF">2016-01-07T10:46:00Z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