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FE79FE" w:rsidRDefault="00FE79FE"/>
    <w:p w:rsidR="00397AD0" w:rsidRDefault="00397AD0"/>
    <w:p w:rsidR="00397AD0" w:rsidRDefault="00397AD0"/>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9C5289">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-R  M.</w:t>
            </w:r>
            <w:r w:rsidR="009C5289">
              <w:rPr>
                <w:rFonts w:ascii="Tahoma" w:hAnsi="Tahoma" w:cs="Tahoma"/>
                <w:b/>
                <w:bCs/>
                <w:iCs/>
                <w:color w:val="243285"/>
                <w:sz w:val="36"/>
                <w:szCs w:val="36"/>
              </w:rPr>
              <w:t>2067-0</w:t>
            </w:r>
          </w:p>
          <w:p w:rsidR="00FE79FE" w:rsidRPr="00A443C2" w:rsidRDefault="00FE79FE" w:rsidP="00601290">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601290">
              <w:rPr>
                <w:rFonts w:ascii="Tahoma" w:hAnsi="Tahoma" w:cs="Tahoma"/>
                <w:b/>
                <w:bCs/>
                <w:iCs/>
                <w:color w:val="243285"/>
                <w:szCs w:val="24"/>
              </w:rPr>
              <w:t>02</w:t>
            </w:r>
            <w:r w:rsidR="00397AD0">
              <w:rPr>
                <w:rFonts w:ascii="Tahoma" w:hAnsi="Tahoma" w:cs="Tahoma"/>
                <w:b/>
                <w:bCs/>
                <w:iCs/>
                <w:color w:val="243285"/>
                <w:szCs w:val="24"/>
              </w:rPr>
              <w:t>/</w:t>
            </w:r>
            <w:r w:rsidR="00601290">
              <w:rPr>
                <w:rFonts w:ascii="Tahoma" w:hAnsi="Tahoma" w:cs="Tahoma"/>
                <w:b/>
                <w:bCs/>
                <w:iCs/>
                <w:color w:val="243285"/>
                <w:szCs w:val="24"/>
              </w:rPr>
              <w:t>2015</w:t>
            </w:r>
            <w:r w:rsidRPr="00A443C2">
              <w:rPr>
                <w:rFonts w:ascii="Tahoma" w:hAnsi="Tahoma" w:cs="Tahoma"/>
                <w:b/>
                <w:bCs/>
                <w:iCs/>
                <w:color w:val="243285"/>
                <w:szCs w:val="24"/>
              </w:rPr>
              <w:t>)</w:t>
            </w:r>
          </w:p>
        </w:tc>
      </w:tr>
      <w:tr w:rsidR="00FE79FE" w:rsidRPr="00F54FBD" w:rsidTr="00397AD0">
        <w:trPr>
          <w:trHeight w:val="4629"/>
        </w:trPr>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E02402" w:rsidRDefault="00AA65AD" w:rsidP="00AA65AD">
            <w:pPr>
              <w:spacing w:before="80" w:line="500" w:lineRule="exact"/>
              <w:jc w:val="right"/>
              <w:rPr>
                <w:rFonts w:ascii="Tahoma" w:hAnsi="Tahoma" w:cs="Tahoma"/>
                <w:b/>
                <w:bCs/>
                <w:iCs/>
                <w:color w:val="243285"/>
                <w:sz w:val="44"/>
                <w:szCs w:val="44"/>
              </w:rPr>
            </w:pPr>
            <w:r w:rsidRPr="00AA65AD">
              <w:rPr>
                <w:rFonts w:ascii="Tahoma" w:hAnsi="Tahoma" w:cs="Tahoma"/>
                <w:b/>
                <w:bCs/>
                <w:iCs/>
                <w:color w:val="243285"/>
                <w:sz w:val="44"/>
                <w:szCs w:val="44"/>
                <w:lang w:val="fr-CH"/>
              </w:rPr>
              <w:t>Caractéristiques techniques et critères de protection applicables aux systèmes de communication hertzienne entre équipements d'avionique à bord d'un aéronef</w:t>
            </w:r>
          </w:p>
          <w:p w:rsidR="00A163D3" w:rsidRPr="00F54FBD" w:rsidRDefault="00A163D3" w:rsidP="00A163D3">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592F9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E02402">
              <w:rPr>
                <w:rFonts w:ascii="Tahoma" w:hAnsi="Tahoma" w:cs="Tahoma"/>
                <w:b/>
                <w:bCs/>
                <w:iCs/>
                <w:color w:val="243285"/>
                <w:sz w:val="36"/>
                <w:szCs w:val="36"/>
              </w:rPr>
              <w:t>M</w:t>
            </w:r>
          </w:p>
          <w:p w:rsidR="00FE79FE" w:rsidRPr="00F54FBD" w:rsidRDefault="004A4D65"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7"/>
          <w:headerReference w:type="default" r:id="rId8"/>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C95B6F"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0"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tc>
          <w:tcPr>
            <w:tcW w:w="1140" w:type="dxa"/>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BO</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F54FBD" w:rsidRPr="009454F8">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BS</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F54FBD" w:rsidRPr="00ED2695">
        <w:tc>
          <w:tcPr>
            <w:tcW w:w="1140" w:type="dxa"/>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036EE3">
        <w:tc>
          <w:tcPr>
            <w:tcW w:w="1140" w:type="dxa"/>
            <w:shd w:val="clear" w:color="auto" w:fill="auto"/>
          </w:tcPr>
          <w:p w:rsidR="00F54FBD" w:rsidRPr="00614CC6" w:rsidRDefault="00F54FBD" w:rsidP="00F336CC">
            <w:pPr>
              <w:spacing w:before="30" w:after="30"/>
              <w:ind w:left="57"/>
              <w:jc w:val="left"/>
              <w:rPr>
                <w:b/>
                <w:bCs/>
                <w:sz w:val="20"/>
                <w:lang w:val="fr-CH"/>
              </w:rPr>
            </w:pPr>
            <w:r w:rsidRPr="00614CC6">
              <w:rPr>
                <w:b/>
                <w:bCs/>
                <w:sz w:val="20"/>
                <w:lang w:val="fr-CH"/>
              </w:rPr>
              <w:t>F</w:t>
            </w:r>
          </w:p>
        </w:tc>
        <w:tc>
          <w:tcPr>
            <w:tcW w:w="8220" w:type="dxa"/>
            <w:shd w:val="clear" w:color="auto" w:fill="auto"/>
          </w:tcPr>
          <w:p w:rsidR="00F54FBD" w:rsidRPr="00614CC6"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F54FBD" w:rsidRPr="00592F9F">
        <w:tc>
          <w:tcPr>
            <w:tcW w:w="1140" w:type="dxa"/>
            <w:shd w:val="clear" w:color="auto" w:fill="F3F3F3"/>
          </w:tcPr>
          <w:p w:rsidR="00F54FBD" w:rsidRPr="00592F9F" w:rsidRDefault="00F54FBD" w:rsidP="00F336CC">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F54FBD" w:rsidRPr="00592F9F"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F54FBD" w:rsidRPr="00036EE3">
        <w:tc>
          <w:tcPr>
            <w:tcW w:w="1140" w:type="dxa"/>
          </w:tcPr>
          <w:p w:rsidR="00F54FBD" w:rsidRPr="00614CC6" w:rsidRDefault="00F54FBD" w:rsidP="00F336CC">
            <w:pPr>
              <w:spacing w:before="30" w:after="30"/>
              <w:ind w:left="57"/>
              <w:jc w:val="left"/>
              <w:rPr>
                <w:b/>
                <w:bCs/>
                <w:sz w:val="20"/>
                <w:lang w:val="fr-CH"/>
              </w:rPr>
            </w:pPr>
            <w:r w:rsidRPr="00614CC6">
              <w:rPr>
                <w:b/>
                <w:bCs/>
                <w:sz w:val="20"/>
                <w:lang w:val="fr-CH"/>
              </w:rPr>
              <w:t>P</w:t>
            </w:r>
          </w:p>
        </w:tc>
        <w:tc>
          <w:tcPr>
            <w:tcW w:w="8220" w:type="dxa"/>
          </w:tcPr>
          <w:p w:rsidR="00F54FBD" w:rsidRPr="00614CC6" w:rsidRDefault="00614CC6" w:rsidP="00F336CC">
            <w:pPr>
              <w:spacing w:before="30" w:after="30"/>
              <w:jc w:val="left"/>
              <w:rPr>
                <w:sz w:val="20"/>
                <w:lang w:val="fr-CH"/>
              </w:rPr>
            </w:pPr>
            <w:r w:rsidRPr="00614CC6">
              <w:rPr>
                <w:sz w:val="20"/>
              </w:rPr>
              <w:t>Propagation des ondes radioélectriques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54FBD" w:rsidRPr="00756B4D">
        <w:tc>
          <w:tcPr>
            <w:tcW w:w="9360" w:type="dxa"/>
          </w:tcPr>
          <w:p w:rsidR="00F54FBD" w:rsidRPr="00756B4D" w:rsidRDefault="00F54FBD" w:rsidP="00422AE4">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505840">
      <w:pPr>
        <w:spacing w:before="0"/>
        <w:jc w:val="right"/>
        <w:rPr>
          <w:sz w:val="20"/>
        </w:rPr>
      </w:pPr>
      <w:r w:rsidRPr="00614CC6">
        <w:rPr>
          <w:sz w:val="20"/>
        </w:rPr>
        <w:t>G</w:t>
      </w:r>
      <w:r w:rsidR="00614CC6" w:rsidRPr="00614CC6">
        <w:rPr>
          <w:sz w:val="20"/>
        </w:rPr>
        <w:t>enève</w:t>
      </w:r>
      <w:r w:rsidRPr="00614CC6">
        <w:rPr>
          <w:sz w:val="20"/>
        </w:rPr>
        <w:t>, 20</w:t>
      </w:r>
      <w:r w:rsidR="003E0582">
        <w:rPr>
          <w:sz w:val="20"/>
        </w:rPr>
        <w:t>1</w:t>
      </w:r>
      <w:r w:rsidR="00FA3A21">
        <w:rPr>
          <w:sz w:val="20"/>
        </w:rPr>
        <w:t>6</w:t>
      </w:r>
    </w:p>
    <w:p w:rsidR="00F54FBD" w:rsidRPr="00614CC6" w:rsidRDefault="00F54FBD" w:rsidP="009C5289">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2" w:name="iiannee"/>
      <w:bookmarkEnd w:id="2"/>
      <w:r w:rsidRPr="00614CC6">
        <w:rPr>
          <w:sz w:val="20"/>
        </w:rPr>
        <w:t>20</w:t>
      </w:r>
      <w:r w:rsidR="003E0582">
        <w:rPr>
          <w:sz w:val="20"/>
        </w:rPr>
        <w:t>1</w:t>
      </w:r>
      <w:r w:rsidR="009C5289">
        <w:rPr>
          <w:sz w:val="20"/>
        </w:rPr>
        <w:t>6</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0A0027" w:rsidRPr="00BF2555" w:rsidRDefault="00756B4D" w:rsidP="000A0027">
      <w:pPr>
        <w:pStyle w:val="RecNo"/>
        <w:spacing w:before="0"/>
      </w:pPr>
      <w:bookmarkStart w:id="3" w:name="irecnoe"/>
      <w:bookmarkEnd w:id="3"/>
      <w:r w:rsidRPr="00756B4D">
        <w:lastRenderedPageBreak/>
        <w:t>RECOMMA</w:t>
      </w:r>
      <w:r w:rsidR="00934ED7" w:rsidRPr="00756B4D">
        <w:t xml:space="preserve">NDATION  </w:t>
      </w:r>
      <w:r w:rsidR="00530208">
        <w:rPr>
          <w:rStyle w:val="href"/>
        </w:rPr>
        <w:t>UIT</w:t>
      </w:r>
      <w:r w:rsidR="00934ED7" w:rsidRPr="00756B4D">
        <w:rPr>
          <w:rStyle w:val="href"/>
        </w:rPr>
        <w:t>-R  M.</w:t>
      </w:r>
      <w:r w:rsidR="000A0027" w:rsidRPr="00BF2555">
        <w:rPr>
          <w:rStyle w:val="href"/>
        </w:rPr>
        <w:t>2067-0</w:t>
      </w:r>
    </w:p>
    <w:p w:rsidR="000A0027" w:rsidRPr="00743DE0" w:rsidRDefault="000A0027" w:rsidP="00A04A51">
      <w:pPr>
        <w:pStyle w:val="Rectitle"/>
        <w:rPr>
          <w:lang w:val="fr-CH"/>
        </w:rPr>
      </w:pPr>
      <w:r w:rsidRPr="00743DE0">
        <w:rPr>
          <w:lang w:val="fr-CH"/>
        </w:rPr>
        <w:t xml:space="preserve">Caractéristiques techniques et critères de protection applicables </w:t>
      </w:r>
      <w:r w:rsidR="00A04A51">
        <w:rPr>
          <w:lang w:val="fr-CH"/>
        </w:rPr>
        <w:t xml:space="preserve">aux </w:t>
      </w:r>
      <w:r w:rsidR="009C5289">
        <w:rPr>
          <w:lang w:val="fr-CH"/>
        </w:rPr>
        <w:br/>
      </w:r>
      <w:r w:rsidRPr="00743DE0">
        <w:rPr>
          <w:lang w:val="fr-CH"/>
        </w:rPr>
        <w:t xml:space="preserve">systèmes de communication hertzienne entre équipements d'avionique </w:t>
      </w:r>
      <w:r w:rsidR="009C5289">
        <w:rPr>
          <w:lang w:val="fr-CH"/>
        </w:rPr>
        <w:br/>
      </w:r>
      <w:r w:rsidRPr="00743DE0">
        <w:rPr>
          <w:lang w:val="fr-CH"/>
        </w:rPr>
        <w:t>à bord d'un aéronef</w:t>
      </w:r>
    </w:p>
    <w:p w:rsidR="000A0027" w:rsidRPr="00743DE0" w:rsidRDefault="000A0027" w:rsidP="000A0027">
      <w:pPr>
        <w:pStyle w:val="Recdate"/>
        <w:rPr>
          <w:lang w:val="fr-CH"/>
        </w:rPr>
      </w:pPr>
      <w:r w:rsidRPr="00743DE0">
        <w:rPr>
          <w:lang w:val="fr-CH"/>
        </w:rPr>
        <w:t>(2014)</w:t>
      </w:r>
    </w:p>
    <w:p w:rsidR="000A0027" w:rsidRPr="00743DE0" w:rsidRDefault="000A0027" w:rsidP="000A0027">
      <w:pPr>
        <w:pStyle w:val="HeadingSum"/>
        <w:rPr>
          <w:lang w:val="fr-CH"/>
        </w:rPr>
      </w:pPr>
      <w:r w:rsidRPr="00743DE0">
        <w:rPr>
          <w:lang w:val="fr-CH"/>
        </w:rPr>
        <w:t>Domaine d'application</w:t>
      </w:r>
    </w:p>
    <w:p w:rsidR="000A0027" w:rsidRPr="00601290" w:rsidRDefault="000A0027" w:rsidP="0027327C">
      <w:pPr>
        <w:pStyle w:val="Summary"/>
        <w:rPr>
          <w:lang w:val="fr-CH"/>
        </w:rPr>
      </w:pPr>
      <w:r w:rsidRPr="00601290">
        <w:rPr>
          <w:lang w:val="fr-CH"/>
        </w:rPr>
        <w:t>La présente Recommandation fournit les caractéristiques techniques et opérationnelles ainsi que les critères de protection applicables aux systèmes de communication hertzienne entre équipements d'avionique à bord d'un aéronef (WAIC). Ces caractéristiques sont destinées à être utilisées pour l'évaluation de la compatibilité des systèmes WAIC avec d'autres services.</w:t>
      </w:r>
    </w:p>
    <w:p w:rsidR="000A0027" w:rsidRPr="00743DE0" w:rsidRDefault="000A0027" w:rsidP="00DB5729">
      <w:pPr>
        <w:pStyle w:val="Headingb"/>
        <w:rPr>
          <w:lang w:val="fr-CH"/>
        </w:rPr>
      </w:pPr>
      <w:r w:rsidRPr="00DB5729">
        <w:t>Mots</w:t>
      </w:r>
      <w:r w:rsidRPr="00743DE0">
        <w:rPr>
          <w:lang w:val="fr-CH"/>
        </w:rPr>
        <w:t xml:space="preserve"> clés</w:t>
      </w:r>
    </w:p>
    <w:p w:rsidR="000A0027" w:rsidRPr="00743DE0" w:rsidRDefault="000A0027" w:rsidP="000A0027">
      <w:pPr>
        <w:rPr>
          <w:lang w:val="fr-CH"/>
        </w:rPr>
      </w:pPr>
      <w:r w:rsidRPr="00743DE0">
        <w:rPr>
          <w:lang w:val="fr-CH"/>
        </w:rPr>
        <w:t xml:space="preserve">Aéronautique, équipements d'avionique, </w:t>
      </w:r>
      <w:r w:rsidR="009C5289">
        <w:rPr>
          <w:lang w:val="fr-CH"/>
        </w:rPr>
        <w:t>aéronef, critères de protection</w:t>
      </w:r>
    </w:p>
    <w:p w:rsidR="000A0027" w:rsidRPr="00743DE0" w:rsidRDefault="000A0027" w:rsidP="00DB5729">
      <w:pPr>
        <w:pStyle w:val="Headingb"/>
        <w:rPr>
          <w:lang w:val="fr-CH"/>
        </w:rPr>
      </w:pPr>
      <w:r w:rsidRPr="00743DE0">
        <w:rPr>
          <w:lang w:val="fr-CH"/>
        </w:rPr>
        <w:t>Abréviations/Glossaire</w:t>
      </w:r>
    </w:p>
    <w:p w:rsidR="000A0027" w:rsidRPr="00743DE0" w:rsidRDefault="000A0027" w:rsidP="000A0027">
      <w:pPr>
        <w:tabs>
          <w:tab w:val="clear" w:pos="794"/>
          <w:tab w:val="clear" w:pos="1191"/>
          <w:tab w:val="left" w:pos="1276"/>
        </w:tabs>
        <w:rPr>
          <w:lang w:val="fr-CH"/>
        </w:rPr>
      </w:pPr>
      <w:r w:rsidRPr="00743DE0">
        <w:rPr>
          <w:lang w:val="fr-CH"/>
        </w:rPr>
        <w:t>SARP:</w:t>
      </w:r>
      <w:r w:rsidRPr="00743DE0">
        <w:rPr>
          <w:lang w:val="fr-CH"/>
        </w:rPr>
        <w:tab/>
        <w:t>normes et pratiques recommandées (</w:t>
      </w:r>
      <w:r w:rsidRPr="00743DE0">
        <w:rPr>
          <w:i/>
          <w:iCs/>
          <w:lang w:val="fr-CH"/>
        </w:rPr>
        <w:t>standards and recommended practices</w:t>
      </w:r>
      <w:r w:rsidRPr="00743DE0">
        <w:rPr>
          <w:lang w:val="fr-CH"/>
        </w:rPr>
        <w:t>)</w:t>
      </w:r>
    </w:p>
    <w:p w:rsidR="000A0027" w:rsidRPr="00743DE0" w:rsidRDefault="000A0027" w:rsidP="000A0027">
      <w:pPr>
        <w:tabs>
          <w:tab w:val="clear" w:pos="794"/>
          <w:tab w:val="clear" w:pos="1191"/>
          <w:tab w:val="left" w:pos="1276"/>
        </w:tabs>
        <w:ind w:left="1276" w:hanging="1276"/>
        <w:rPr>
          <w:lang w:val="fr-CH"/>
        </w:rPr>
      </w:pPr>
      <w:r>
        <w:rPr>
          <w:lang w:val="fr-CH"/>
        </w:rPr>
        <w:t>WAIC:</w:t>
      </w:r>
      <w:r>
        <w:rPr>
          <w:lang w:val="fr-CH"/>
        </w:rPr>
        <w:tab/>
      </w:r>
      <w:r w:rsidRPr="00743DE0">
        <w:rPr>
          <w:lang w:val="fr-CH"/>
        </w:rPr>
        <w:t>communications hertziennes entre équipements d'avionique à bord d'un aéronef (</w:t>
      </w:r>
      <w:r w:rsidRPr="00743DE0">
        <w:rPr>
          <w:i/>
          <w:iCs/>
          <w:lang w:val="fr-CH"/>
        </w:rPr>
        <w:t>wireless avionics intra-communication</w:t>
      </w:r>
      <w:r w:rsidRPr="00743DE0">
        <w:rPr>
          <w:lang w:val="fr-CH"/>
        </w:rPr>
        <w:t>); radiocommunications entre deux stations d'aéronef ou plus installées à bord d'un même aéronef pour assurer la sécurité d'exploitation de l'aéronef</w:t>
      </w:r>
      <w:r w:rsidRPr="00743DE0">
        <w:rPr>
          <w:lang w:val="fr-CH" w:eastAsia="ja-JP"/>
        </w:rPr>
        <w:t xml:space="preserve">. </w:t>
      </w:r>
    </w:p>
    <w:p w:rsidR="000A0027" w:rsidRPr="00743DE0" w:rsidRDefault="000A0027" w:rsidP="00DB5729">
      <w:pPr>
        <w:pStyle w:val="Headingb"/>
        <w:rPr>
          <w:lang w:val="fr-CH"/>
        </w:rPr>
      </w:pPr>
      <w:r w:rsidRPr="00743DE0">
        <w:rPr>
          <w:lang w:val="fr-CH"/>
        </w:rPr>
        <w:t>Recommandations et Rapports de l'UIT connexes</w:t>
      </w:r>
    </w:p>
    <w:p w:rsidR="000A0027" w:rsidRPr="00743DE0" w:rsidRDefault="000A0027" w:rsidP="000A0027">
      <w:pPr>
        <w:rPr>
          <w:lang w:val="fr-CH"/>
        </w:rPr>
      </w:pPr>
      <w:r w:rsidRPr="00743DE0">
        <w:rPr>
          <w:lang w:val="fr-CH"/>
        </w:rPr>
        <w:t>Rapport UIT-R M.2283</w:t>
      </w:r>
    </w:p>
    <w:p w:rsidR="000A0027" w:rsidRPr="00743DE0" w:rsidRDefault="000A0027" w:rsidP="000A0027">
      <w:pPr>
        <w:pStyle w:val="Normalaftertitle"/>
        <w:rPr>
          <w:lang w:val="fr-CH"/>
        </w:rPr>
      </w:pPr>
      <w:r w:rsidRPr="0074076C">
        <w:t>L'Assemblée</w:t>
      </w:r>
      <w:r w:rsidRPr="00743DE0">
        <w:rPr>
          <w:lang w:val="fr-CH"/>
        </w:rPr>
        <w:t xml:space="preserve"> des radiocommunications de l'UIT,</w:t>
      </w:r>
    </w:p>
    <w:p w:rsidR="000A0027" w:rsidRPr="00743DE0" w:rsidRDefault="000A0027" w:rsidP="000A0027">
      <w:pPr>
        <w:pStyle w:val="Call"/>
        <w:rPr>
          <w:lang w:val="fr-CH"/>
        </w:rPr>
      </w:pPr>
      <w:r w:rsidRPr="00743DE0">
        <w:rPr>
          <w:lang w:val="fr-CH"/>
        </w:rPr>
        <w:t>considérant</w:t>
      </w:r>
    </w:p>
    <w:p w:rsidR="000A0027" w:rsidRPr="00743DE0" w:rsidRDefault="000A0027" w:rsidP="000A0027">
      <w:pPr>
        <w:rPr>
          <w:lang w:val="fr-CH" w:eastAsia="zh-CN"/>
        </w:rPr>
      </w:pPr>
      <w:r w:rsidRPr="00743DE0">
        <w:rPr>
          <w:i/>
          <w:iCs/>
          <w:lang w:val="fr-CH" w:eastAsia="zh-CN"/>
        </w:rPr>
        <w:t>a)</w:t>
      </w:r>
      <w:r w:rsidRPr="00743DE0">
        <w:rPr>
          <w:i/>
          <w:iCs/>
          <w:lang w:val="fr-CH" w:eastAsia="zh-CN"/>
        </w:rPr>
        <w:tab/>
      </w:r>
      <w:r w:rsidRPr="00743DE0">
        <w:rPr>
          <w:lang w:val="fr-CH" w:eastAsia="zh-CN"/>
        </w:rPr>
        <w:t>que la génération future des aéronefs est conçue pour renforcer l'efficacité, la fiabilité et la sécurité et pour être plus respectueuse de l'environnement;</w:t>
      </w:r>
    </w:p>
    <w:p w:rsidR="000A0027" w:rsidRPr="00743DE0" w:rsidRDefault="000A0027" w:rsidP="000A0027">
      <w:pPr>
        <w:rPr>
          <w:lang w:val="fr-CH" w:eastAsia="zh-CN"/>
        </w:rPr>
      </w:pPr>
      <w:r w:rsidRPr="00743DE0">
        <w:rPr>
          <w:i/>
          <w:iCs/>
          <w:lang w:val="fr-CH" w:eastAsia="zh-CN"/>
        </w:rPr>
        <w:t>b)</w:t>
      </w:r>
      <w:r w:rsidRPr="00743DE0">
        <w:rPr>
          <w:i/>
          <w:iCs/>
          <w:lang w:val="fr-CH" w:eastAsia="zh-CN"/>
        </w:rPr>
        <w:tab/>
      </w:r>
      <w:r w:rsidRPr="00743DE0">
        <w:rPr>
          <w:lang w:val="fr-CH" w:eastAsia="zh-CN"/>
        </w:rPr>
        <w:t xml:space="preserve">que les systèmes de communication hertzienne entre équipements d'avionique à bord d'un aéronef (WAIC) assurent des radiocommunications entre deux points </w:t>
      </w:r>
      <w:r>
        <w:rPr>
          <w:lang w:val="fr-CH" w:eastAsia="zh-CN"/>
        </w:rPr>
        <w:t xml:space="preserve">ou plus </w:t>
      </w:r>
      <w:r w:rsidRPr="00743DE0">
        <w:rPr>
          <w:lang w:val="fr-CH" w:eastAsia="zh-CN"/>
        </w:rPr>
        <w:t>intégrés ou installés à bord d'un même aéronef;</w:t>
      </w:r>
    </w:p>
    <w:p w:rsidR="000A0027" w:rsidRPr="00743DE0" w:rsidRDefault="000A0027" w:rsidP="000A0027">
      <w:pPr>
        <w:rPr>
          <w:lang w:val="fr-CH" w:eastAsia="zh-CN"/>
        </w:rPr>
      </w:pPr>
      <w:r w:rsidRPr="00743DE0">
        <w:rPr>
          <w:i/>
          <w:iCs/>
          <w:lang w:val="fr-CH" w:eastAsia="zh-CN"/>
        </w:rPr>
        <w:t>c)</w:t>
      </w:r>
      <w:r w:rsidRPr="00743DE0">
        <w:rPr>
          <w:i/>
          <w:iCs/>
          <w:lang w:val="fr-CH" w:eastAsia="zh-CN"/>
        </w:rPr>
        <w:tab/>
      </w:r>
      <w:r w:rsidRPr="00743DE0">
        <w:rPr>
          <w:lang w:val="fr-CH" w:eastAsia="zh-CN"/>
        </w:rPr>
        <w:t>que les systèmes WAIC ne fournissent pas de radiocommunications entre un aéronef et le sol, un autre aéronef ou un satellite;</w:t>
      </w:r>
    </w:p>
    <w:p w:rsidR="000A0027" w:rsidRPr="00743DE0" w:rsidRDefault="000A0027" w:rsidP="000A0027">
      <w:pPr>
        <w:rPr>
          <w:lang w:val="fr-CH" w:eastAsia="zh-CN"/>
        </w:rPr>
      </w:pPr>
      <w:r w:rsidRPr="00743DE0">
        <w:rPr>
          <w:i/>
          <w:iCs/>
          <w:lang w:val="fr-CH" w:eastAsia="zh-CN"/>
        </w:rPr>
        <w:t>d)</w:t>
      </w:r>
      <w:r w:rsidRPr="00743DE0">
        <w:rPr>
          <w:i/>
          <w:iCs/>
          <w:lang w:val="fr-CH" w:eastAsia="zh-CN"/>
        </w:rPr>
        <w:tab/>
      </w:r>
      <w:r w:rsidRPr="00743DE0">
        <w:rPr>
          <w:lang w:val="fr-CH" w:eastAsia="zh-CN"/>
        </w:rPr>
        <w:t>que les systèmes WAIC doivent fonctionner de façon à assurer la sécurité d'exploitation d'un aéronef;</w:t>
      </w:r>
    </w:p>
    <w:p w:rsidR="000A0027" w:rsidRPr="00743DE0" w:rsidRDefault="000A0027" w:rsidP="000A0027">
      <w:pPr>
        <w:rPr>
          <w:lang w:val="fr-CH" w:eastAsia="zh-CN"/>
        </w:rPr>
      </w:pPr>
      <w:r w:rsidRPr="00743DE0">
        <w:rPr>
          <w:i/>
          <w:iCs/>
          <w:lang w:val="fr-CH" w:eastAsia="zh-CN"/>
        </w:rPr>
        <w:t>e)</w:t>
      </w:r>
      <w:r w:rsidRPr="00743DE0">
        <w:rPr>
          <w:i/>
          <w:iCs/>
          <w:lang w:val="fr-CH" w:eastAsia="zh-CN"/>
        </w:rPr>
        <w:tab/>
      </w:r>
      <w:r w:rsidRPr="00743DE0">
        <w:rPr>
          <w:lang w:val="fr-CH" w:eastAsia="zh-CN"/>
        </w:rPr>
        <w:t>que les systèmes WAIC sont exploités pendant toutes les phases d'un vol, y compris au sol;</w:t>
      </w:r>
    </w:p>
    <w:p w:rsidR="000A0027" w:rsidRPr="00743DE0" w:rsidRDefault="000A0027" w:rsidP="000A0027">
      <w:pPr>
        <w:rPr>
          <w:lang w:val="fr-CH" w:eastAsia="zh-CN"/>
        </w:rPr>
      </w:pPr>
      <w:r w:rsidRPr="00743DE0">
        <w:rPr>
          <w:i/>
          <w:iCs/>
          <w:lang w:val="fr-CH" w:eastAsia="zh-CN"/>
        </w:rPr>
        <w:t>f)</w:t>
      </w:r>
      <w:r w:rsidRPr="00743DE0">
        <w:rPr>
          <w:i/>
          <w:iCs/>
          <w:lang w:val="fr-CH" w:eastAsia="zh-CN"/>
        </w:rPr>
        <w:tab/>
      </w:r>
      <w:r w:rsidRPr="00743DE0">
        <w:rPr>
          <w:lang w:val="fr-CH" w:eastAsia="zh-CN"/>
        </w:rPr>
        <w:t>que les aéronefs équipés de systèmes WAIC sont exploités à l'échelle mondiale et au-delà des frontières nationales;</w:t>
      </w:r>
    </w:p>
    <w:p w:rsidR="000A0027" w:rsidRPr="00743DE0" w:rsidRDefault="000A0027" w:rsidP="000A0027">
      <w:pPr>
        <w:rPr>
          <w:i/>
          <w:lang w:val="fr-CH"/>
        </w:rPr>
      </w:pPr>
      <w:r w:rsidRPr="0080715C">
        <w:rPr>
          <w:bCs/>
          <w:i/>
          <w:lang w:val="fr-CH" w:eastAsia="ja-JP"/>
        </w:rPr>
        <w:t>g)</w:t>
      </w:r>
      <w:r w:rsidRPr="00743DE0">
        <w:rPr>
          <w:bCs/>
          <w:lang w:val="fr-CH" w:eastAsia="ja-JP"/>
        </w:rPr>
        <w:tab/>
        <w:t xml:space="preserve">que les signaux </w:t>
      </w:r>
      <w:r>
        <w:rPr>
          <w:bCs/>
          <w:lang w:val="fr-CH" w:eastAsia="ja-JP"/>
        </w:rPr>
        <w:t xml:space="preserve">des systèmes </w:t>
      </w:r>
      <w:r w:rsidRPr="00743DE0">
        <w:rPr>
          <w:bCs/>
          <w:lang w:val="fr-CH" w:eastAsia="ja-JP"/>
        </w:rPr>
        <w:t xml:space="preserve">WAIC </w:t>
      </w:r>
      <w:r w:rsidRPr="00743DE0">
        <w:rPr>
          <w:lang w:val="fr-CH"/>
        </w:rPr>
        <w:t xml:space="preserve">seront affaiblis par le </w:t>
      </w:r>
      <w:r w:rsidRPr="00743DE0">
        <w:rPr>
          <w:bCs/>
          <w:lang w:val="fr-CH" w:eastAsia="ja-JP"/>
        </w:rPr>
        <w:t>fuselage de l'aéronef,</w:t>
      </w:r>
    </w:p>
    <w:p w:rsidR="000A0027" w:rsidRPr="00743DE0" w:rsidRDefault="000A0027" w:rsidP="000A0027">
      <w:pPr>
        <w:pStyle w:val="Call"/>
        <w:rPr>
          <w:lang w:val="fr-CH"/>
        </w:rPr>
      </w:pPr>
      <w:r w:rsidRPr="00743DE0">
        <w:rPr>
          <w:lang w:val="fr-CH"/>
        </w:rPr>
        <w:t>reconnaissant</w:t>
      </w:r>
    </w:p>
    <w:p w:rsidR="000A0027" w:rsidRPr="00743DE0" w:rsidRDefault="000A0027" w:rsidP="000A0027">
      <w:pPr>
        <w:rPr>
          <w:lang w:val="fr-CH" w:eastAsia="ja-JP"/>
        </w:rPr>
      </w:pPr>
      <w:r w:rsidRPr="00743DE0">
        <w:rPr>
          <w:i/>
          <w:iCs/>
          <w:lang w:val="fr-CH" w:eastAsia="ja-JP"/>
        </w:rPr>
        <w:t>a)</w:t>
      </w:r>
      <w:r w:rsidRPr="00743DE0">
        <w:rPr>
          <w:lang w:val="fr-CH" w:eastAsia="ja-JP"/>
        </w:rPr>
        <w:tab/>
        <w:t>que l'Organisation de l'aviation civile internationale élabore des normes et pratiques recommandées (SARP) pour l'aviation civile;</w:t>
      </w:r>
    </w:p>
    <w:p w:rsidR="000A0027" w:rsidRPr="00743DE0" w:rsidRDefault="000A0027" w:rsidP="000A0027">
      <w:pPr>
        <w:rPr>
          <w:lang w:val="fr-CH" w:eastAsia="ja-JP"/>
        </w:rPr>
      </w:pPr>
      <w:r w:rsidRPr="00743DE0">
        <w:rPr>
          <w:i/>
          <w:iCs/>
          <w:lang w:val="fr-CH" w:eastAsia="ja-JP"/>
        </w:rPr>
        <w:lastRenderedPageBreak/>
        <w:t>b)</w:t>
      </w:r>
      <w:r w:rsidRPr="00743DE0">
        <w:rPr>
          <w:lang w:val="fr-CH" w:eastAsia="ja-JP"/>
        </w:rPr>
        <w:tab/>
        <w:t>que l'Annexe 10 de la Convention relative à l'aviation civile internationale contient des normes et pratiques recommandées (SARP) applicables aux systèmes de radionavigation aéronautique et de radiocommunication utilisés par l'aviation civile,</w:t>
      </w:r>
    </w:p>
    <w:p w:rsidR="000A0027" w:rsidRPr="00743DE0" w:rsidRDefault="000A0027" w:rsidP="000A0027">
      <w:pPr>
        <w:pStyle w:val="Call"/>
        <w:rPr>
          <w:lang w:val="fr-CH"/>
        </w:rPr>
      </w:pPr>
      <w:r w:rsidRPr="00743DE0">
        <w:rPr>
          <w:lang w:val="fr-CH"/>
        </w:rPr>
        <w:t>notant</w:t>
      </w:r>
    </w:p>
    <w:p w:rsidR="000A0027" w:rsidRPr="00743DE0" w:rsidRDefault="000A0027" w:rsidP="000A0027">
      <w:pPr>
        <w:rPr>
          <w:i/>
          <w:lang w:val="fr-CH"/>
        </w:rPr>
      </w:pPr>
      <w:r w:rsidRPr="00743DE0">
        <w:rPr>
          <w:lang w:val="fr-CH" w:eastAsia="ja-JP"/>
        </w:rPr>
        <w:t xml:space="preserve">que les communications WAIC sont définies comme étant des radiocommunications entre deux stations d'aéronef </w:t>
      </w:r>
      <w:r>
        <w:rPr>
          <w:lang w:val="fr-CH" w:eastAsia="ja-JP"/>
        </w:rPr>
        <w:t xml:space="preserve">ou plus </w:t>
      </w:r>
      <w:r w:rsidRPr="00743DE0">
        <w:rPr>
          <w:lang w:val="fr-CH" w:eastAsia="ja-JP"/>
        </w:rPr>
        <w:t>installées à bord d'un même aéronef pour assurer la sécurité d'exploitation de l'aéronef,</w:t>
      </w:r>
    </w:p>
    <w:p w:rsidR="000A0027" w:rsidRPr="00743DE0" w:rsidRDefault="000A0027" w:rsidP="000A0027">
      <w:pPr>
        <w:pStyle w:val="Call"/>
        <w:rPr>
          <w:lang w:val="fr-CH"/>
        </w:rPr>
      </w:pPr>
      <w:r w:rsidRPr="00743DE0">
        <w:rPr>
          <w:lang w:val="fr-CH"/>
        </w:rPr>
        <w:t>recommande</w:t>
      </w:r>
    </w:p>
    <w:p w:rsidR="000A0027" w:rsidRDefault="000A0027" w:rsidP="000A0027">
      <w:pPr>
        <w:rPr>
          <w:lang w:val="fr-CH"/>
        </w:rPr>
      </w:pPr>
      <w:r w:rsidRPr="00743DE0">
        <w:rPr>
          <w:lang w:val="fr-CH"/>
        </w:rPr>
        <w:t xml:space="preserve">d'utiliser, pour les études de partage et de compatibilité, les caractéristiques techniques et opérationnelles et </w:t>
      </w:r>
      <w:r>
        <w:rPr>
          <w:lang w:val="fr-CH"/>
        </w:rPr>
        <w:t xml:space="preserve">les </w:t>
      </w:r>
      <w:r w:rsidRPr="00743DE0">
        <w:rPr>
          <w:lang w:val="fr-CH"/>
        </w:rPr>
        <w:t xml:space="preserve">critères de protection </w:t>
      </w:r>
      <w:r>
        <w:rPr>
          <w:lang w:val="fr-CH"/>
        </w:rPr>
        <w:t>applicables aux</w:t>
      </w:r>
      <w:r w:rsidRPr="00743DE0">
        <w:rPr>
          <w:lang w:val="fr-CH"/>
        </w:rPr>
        <w:t xml:space="preserve"> systèmes WAIC décrits dans l'Annexe.</w:t>
      </w:r>
    </w:p>
    <w:p w:rsidR="000A0027" w:rsidRDefault="000A0027" w:rsidP="000A0027">
      <w:pPr>
        <w:rPr>
          <w:lang w:val="fr-CH"/>
        </w:rPr>
      </w:pPr>
    </w:p>
    <w:p w:rsidR="000A0027" w:rsidRPr="00743DE0" w:rsidRDefault="000A0027" w:rsidP="000A0027">
      <w:pPr>
        <w:rPr>
          <w:lang w:val="fr-CH"/>
        </w:rPr>
      </w:pPr>
    </w:p>
    <w:p w:rsidR="000A0027" w:rsidRPr="008037E1" w:rsidRDefault="000A0027" w:rsidP="00A04A51">
      <w:pPr>
        <w:pStyle w:val="AnnexNoTitle"/>
        <w:tabs>
          <w:tab w:val="clear" w:pos="794"/>
          <w:tab w:val="left" w:pos="851"/>
        </w:tabs>
        <w:ind w:left="0" w:firstLine="0"/>
      </w:pPr>
      <w:r w:rsidRPr="008037E1">
        <w:t>Annexe</w:t>
      </w:r>
      <w:r w:rsidRPr="008037E1">
        <w:br/>
      </w:r>
      <w:r w:rsidRPr="008037E1">
        <w:br/>
        <w:t xml:space="preserve">Caractéristiques techniques et critères de protection applicables </w:t>
      </w:r>
      <w:r w:rsidR="00A04A51">
        <w:t xml:space="preserve">aux </w:t>
      </w:r>
      <w:r w:rsidR="00A04A51">
        <w:br/>
      </w:r>
      <w:r w:rsidRPr="008037E1">
        <w:t xml:space="preserve">systèmes de communication hertzienne entre équipements d'avionique </w:t>
      </w:r>
      <w:r w:rsidR="00A04A51">
        <w:br/>
      </w:r>
      <w:r w:rsidRPr="008037E1">
        <w:t>à bord d'un aéronef</w:t>
      </w:r>
    </w:p>
    <w:p w:rsidR="000A0027" w:rsidRPr="00743DE0" w:rsidRDefault="000A0027" w:rsidP="00E84B6E">
      <w:pPr>
        <w:pStyle w:val="Heading1"/>
        <w:rPr>
          <w:lang w:val="fr-CH"/>
        </w:rPr>
      </w:pPr>
      <w:r w:rsidRPr="00743DE0">
        <w:rPr>
          <w:lang w:val="fr-CH"/>
        </w:rPr>
        <w:t>1</w:t>
      </w:r>
      <w:r w:rsidRPr="00743DE0">
        <w:rPr>
          <w:lang w:val="fr-CH"/>
        </w:rPr>
        <w:tab/>
        <w:t>Systèmes de communication hertzienne entre équipements d'avionique à bord d'un aéronef</w:t>
      </w:r>
    </w:p>
    <w:p w:rsidR="000A0027" w:rsidRPr="00743DE0" w:rsidRDefault="000A0027" w:rsidP="000A0027">
      <w:pPr>
        <w:rPr>
          <w:lang w:val="fr-CH"/>
        </w:rPr>
      </w:pPr>
      <w:r w:rsidRPr="00743DE0">
        <w:rPr>
          <w:lang w:val="fr-CH"/>
        </w:rPr>
        <w:t xml:space="preserve">Les systèmes de communication hertzienne entre équipements d'avionique à bord d'un aéronef (WAIC) permettront aux concepteurs et aux opérateurs d'aéronefs d'améliorer la sécurité en vol et l'efficacité opérationnelle tout en réduisant les coûts et en </w:t>
      </w:r>
      <w:r>
        <w:rPr>
          <w:lang w:val="fr-CH"/>
        </w:rPr>
        <w:t>renforçant</w:t>
      </w:r>
      <w:r w:rsidRPr="00743DE0">
        <w:rPr>
          <w:lang w:val="fr-CH"/>
        </w:rPr>
        <w:t xml:space="preserve"> l'efficacité et la fiabilité.</w:t>
      </w:r>
    </w:p>
    <w:p w:rsidR="000A0027" w:rsidRPr="00743DE0" w:rsidRDefault="000A0027" w:rsidP="000A0027">
      <w:pPr>
        <w:rPr>
          <w:lang w:val="fr-CH"/>
        </w:rPr>
      </w:pPr>
      <w:r w:rsidRPr="00743DE0">
        <w:rPr>
          <w:lang w:val="fr-CH"/>
        </w:rPr>
        <w:t>Les systèmes WAIC utilisent les radiocommunications entre deux stations ou plus à bord d'un même aéronef et comprennent les réseaux embarqués assurant la sécurité d'exploitation de l'aéronef. Les transmissions des systèmes WAIC ne sont pas nécessairement limitées à l'intérieur de la structure de l'aéronef; les systèmes WAIC n'assure</w:t>
      </w:r>
      <w:r>
        <w:rPr>
          <w:lang w:val="fr-CH"/>
        </w:rPr>
        <w:t>ro</w:t>
      </w:r>
      <w:r w:rsidRPr="00743DE0">
        <w:rPr>
          <w:lang w:val="fr-CH"/>
        </w:rPr>
        <w:t>nt pas de communications entre un aéronef et le sol, un autre aéronef ou un satellite.</w:t>
      </w:r>
    </w:p>
    <w:p w:rsidR="000A0027" w:rsidRPr="00743DE0" w:rsidRDefault="000A0027" w:rsidP="000A0027">
      <w:pPr>
        <w:rPr>
          <w:lang w:val="fr-CH"/>
        </w:rPr>
      </w:pPr>
      <w:r w:rsidRPr="00743DE0">
        <w:rPr>
          <w:lang w:val="fr-CH"/>
        </w:rPr>
        <w:t xml:space="preserve">Les systèmes WAIC </w:t>
      </w:r>
      <w:r>
        <w:rPr>
          <w:lang w:val="fr-CH"/>
        </w:rPr>
        <w:t>prennent en charge</w:t>
      </w:r>
      <w:r w:rsidRPr="00743DE0">
        <w:rPr>
          <w:lang w:val="fr-CH"/>
        </w:rPr>
        <w:t xml:space="preserve"> des communications de données et téléphoniques destinées uniquement à assurer la sécurité, la fiabilité et l'efficacité d'exploitation d'un aéronef. Les sy</w:t>
      </w:r>
      <w:r>
        <w:rPr>
          <w:lang w:val="fr-CH"/>
        </w:rPr>
        <w:t>stèmes de vidéosurveillance lié</w:t>
      </w:r>
      <w:r w:rsidRPr="00743DE0">
        <w:rPr>
          <w:lang w:val="fr-CH"/>
        </w:rPr>
        <w:t xml:space="preserve">s à la sécurité peuvent aussi comprendre des systèmes de communication utilisés par l'équipage pour assurer la sécurité d'exploitation de l'aéronef. Ils ne sont pas destinés à être utilisés pour des communications avec les appareils grand public embarqués à bord de l'aéronef par les passagers ou pour des applications de divertissement pendant le vol. </w:t>
      </w:r>
      <w:r>
        <w:rPr>
          <w:lang w:val="fr-CH"/>
        </w:rPr>
        <w:t>En revanche,</w:t>
      </w:r>
      <w:r w:rsidRPr="00743DE0">
        <w:rPr>
          <w:lang w:val="fr-CH"/>
        </w:rPr>
        <w:t xml:space="preserve"> ils sont supposés faire partie du réseau exclusif de l'aéronef.</w:t>
      </w:r>
    </w:p>
    <w:p w:rsidR="000A0027" w:rsidRPr="00743DE0" w:rsidRDefault="000A0027" w:rsidP="00E84B6E">
      <w:pPr>
        <w:pStyle w:val="Heading1"/>
        <w:rPr>
          <w:lang w:val="fr-CH"/>
        </w:rPr>
      </w:pPr>
      <w:bookmarkStart w:id="4" w:name="_Toc283735240"/>
      <w:r w:rsidRPr="00743DE0">
        <w:rPr>
          <w:lang w:val="fr-CH"/>
        </w:rPr>
        <w:t>2</w:t>
      </w:r>
      <w:r w:rsidRPr="00743DE0">
        <w:rPr>
          <w:lang w:val="fr-CH"/>
        </w:rPr>
        <w:tab/>
      </w:r>
      <w:bookmarkEnd w:id="4"/>
      <w:r w:rsidRPr="00743DE0">
        <w:rPr>
          <w:lang w:val="fr-CH"/>
        </w:rPr>
        <w:t xml:space="preserve">Classement des systèmes de communication hertzienne entre équipements d'avionique à bord d'un aéronef </w:t>
      </w:r>
    </w:p>
    <w:p w:rsidR="000A0027" w:rsidRPr="00743DE0" w:rsidRDefault="000A0027" w:rsidP="000A0027">
      <w:pPr>
        <w:rPr>
          <w:lang w:val="fr-CH"/>
        </w:rPr>
      </w:pPr>
      <w:r w:rsidRPr="00743DE0">
        <w:rPr>
          <w:lang w:val="fr-CH"/>
        </w:rPr>
        <w:t xml:space="preserve">Lors de l'examen des </w:t>
      </w:r>
      <w:r>
        <w:rPr>
          <w:lang w:val="fr-CH"/>
        </w:rPr>
        <w:t>exigenc</w:t>
      </w:r>
      <w:r w:rsidRPr="00743DE0">
        <w:rPr>
          <w:lang w:val="fr-CH"/>
        </w:rPr>
        <w:t>es et des performances des systèmes WAIC, il est utile de classer ces systèmes en fonction de deux caractéristiques: le débit de données (haut débit ou faible débit) et l'emplacement des antennes d'émission des systèmes WAIC (à l'intérieur ou à l'extérieur du fuselage).</w:t>
      </w:r>
    </w:p>
    <w:p w:rsidR="000A0027" w:rsidRPr="008037E1" w:rsidRDefault="000A0027" w:rsidP="000A0027">
      <w:pPr>
        <w:pStyle w:val="FigureNo"/>
      </w:pPr>
      <w:r w:rsidRPr="008037E1">
        <w:lastRenderedPageBreak/>
        <w:t>Figure 1</w:t>
      </w:r>
    </w:p>
    <w:p w:rsidR="000A0027" w:rsidRPr="00743DE0" w:rsidRDefault="000A0027" w:rsidP="000A0027">
      <w:pPr>
        <w:pStyle w:val="Figuretitle"/>
        <w:rPr>
          <w:lang w:val="fr-CH"/>
        </w:rPr>
      </w:pPr>
      <w:r w:rsidRPr="00743DE0">
        <w:rPr>
          <w:lang w:val="fr-CH"/>
        </w:rPr>
        <w:t xml:space="preserve">Classement des systèmes de communication hertzienne entre équipements d'avionique </w:t>
      </w:r>
      <w:r>
        <w:rPr>
          <w:lang w:val="fr-CH"/>
        </w:rPr>
        <w:br/>
      </w:r>
      <w:r w:rsidRPr="00743DE0">
        <w:rPr>
          <w:lang w:val="fr-CH"/>
        </w:rPr>
        <w:t>à bord d'un aéronef</w:t>
      </w:r>
    </w:p>
    <w:p w:rsidR="000A0027" w:rsidRPr="008037E1" w:rsidRDefault="000A0027" w:rsidP="000A0027">
      <w:pPr>
        <w:pStyle w:val="Figure"/>
      </w:pPr>
      <w:r w:rsidRPr="008037E1">
        <w:object w:dxaOrig="2462" w:dyaOrig="2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15pt;height:190.3pt;mso-position-vertical:absolute" o:ole="">
            <v:imagedata r:id="rId13" o:title=""/>
          </v:shape>
          <o:OLEObject Type="Embed" ProgID="CorelDraw.Graphic.16" ShapeID="_x0000_i1025" DrawAspect="Content" ObjectID="_1523883829" r:id="rId14"/>
        </w:object>
      </w:r>
    </w:p>
    <w:p w:rsidR="000A0027" w:rsidRPr="00743DE0" w:rsidRDefault="000A0027" w:rsidP="000A0027">
      <w:pPr>
        <w:pStyle w:val="Heading2"/>
        <w:rPr>
          <w:lang w:val="fr-CH"/>
        </w:rPr>
      </w:pPr>
      <w:bookmarkStart w:id="5" w:name="_Toc283735241"/>
      <w:r w:rsidRPr="00743DE0">
        <w:rPr>
          <w:lang w:val="fr-CH"/>
        </w:rPr>
        <w:t>2.1</w:t>
      </w:r>
      <w:r w:rsidRPr="00743DE0">
        <w:rPr>
          <w:lang w:val="fr-CH"/>
        </w:rPr>
        <w:tab/>
        <w:t>Description</w:t>
      </w:r>
      <w:bookmarkEnd w:id="5"/>
      <w:r w:rsidRPr="00743DE0">
        <w:rPr>
          <w:lang w:val="fr-CH"/>
        </w:rPr>
        <w:t xml:space="preserve"> d</w:t>
      </w:r>
      <w:r>
        <w:rPr>
          <w:lang w:val="fr-CH"/>
        </w:rPr>
        <w:t xml:space="preserve">e la procédure </w:t>
      </w:r>
      <w:r w:rsidRPr="00743DE0">
        <w:rPr>
          <w:lang w:val="fr-CH"/>
        </w:rPr>
        <w:t>de classement</w:t>
      </w:r>
    </w:p>
    <w:p w:rsidR="000A0027" w:rsidRPr="00743DE0" w:rsidRDefault="000A0027" w:rsidP="000A0027">
      <w:pPr>
        <w:pStyle w:val="Heading3"/>
        <w:rPr>
          <w:lang w:val="fr-CH"/>
        </w:rPr>
      </w:pPr>
      <w:bookmarkStart w:id="6" w:name="_Toc283735242"/>
      <w:r w:rsidRPr="00743DE0">
        <w:rPr>
          <w:lang w:val="fr-CH"/>
        </w:rPr>
        <w:t>2.1.1</w:t>
      </w:r>
      <w:r w:rsidRPr="00743DE0">
        <w:rPr>
          <w:lang w:val="fr-CH"/>
        </w:rPr>
        <w:tab/>
        <w:t>Classement en fonction du débit de données du système</w:t>
      </w:r>
      <w:bookmarkEnd w:id="6"/>
    </w:p>
    <w:p w:rsidR="000A0027" w:rsidRPr="00743DE0" w:rsidRDefault="000A0027" w:rsidP="000A0027">
      <w:pPr>
        <w:rPr>
          <w:lang w:val="fr-CH"/>
        </w:rPr>
      </w:pPr>
      <w:r w:rsidRPr="00743DE0">
        <w:rPr>
          <w:lang w:val="fr-CH"/>
        </w:rPr>
        <w:t xml:space="preserve">Les systèmes WAIC </w:t>
      </w:r>
      <w:r>
        <w:rPr>
          <w:lang w:val="fr-CH"/>
        </w:rPr>
        <w:t>peuvent être classé</w:t>
      </w:r>
      <w:r w:rsidRPr="00743DE0">
        <w:rPr>
          <w:lang w:val="fr-CH"/>
        </w:rPr>
        <w:t xml:space="preserve">s dans deux grandes catégories en fonction du débit de données requis. </w:t>
      </w:r>
      <w:r>
        <w:rPr>
          <w:lang w:val="fr-CH"/>
        </w:rPr>
        <w:t>A</w:t>
      </w:r>
      <w:r w:rsidRPr="00743DE0">
        <w:rPr>
          <w:lang w:val="fr-CH"/>
        </w:rPr>
        <w:t xml:space="preserve"> cette fin, on utilise les définitions suivantes: </w:t>
      </w:r>
      <w:r>
        <w:rPr>
          <w:lang w:val="fr-CH"/>
        </w:rPr>
        <w:t xml:space="preserve">on désigne par systèmes </w:t>
      </w:r>
      <w:r w:rsidRPr="00743DE0">
        <w:rPr>
          <w:lang w:val="fr-CH"/>
        </w:rPr>
        <w:t xml:space="preserve">à faible débit (L) </w:t>
      </w:r>
      <w:r>
        <w:rPr>
          <w:lang w:val="fr-CH"/>
        </w:rPr>
        <w:t xml:space="preserve">ceux ayant </w:t>
      </w:r>
      <w:r w:rsidRPr="00743DE0">
        <w:rPr>
          <w:lang w:val="fr-CH"/>
        </w:rPr>
        <w:t xml:space="preserve">un débit inférieur à 10 kbit/s et </w:t>
      </w:r>
      <w:r>
        <w:rPr>
          <w:lang w:val="fr-CH"/>
        </w:rPr>
        <w:t xml:space="preserve">par systèmes </w:t>
      </w:r>
      <w:r w:rsidRPr="00743DE0">
        <w:rPr>
          <w:lang w:val="fr-CH"/>
        </w:rPr>
        <w:t xml:space="preserve">à haut débit (H) </w:t>
      </w:r>
      <w:r>
        <w:rPr>
          <w:lang w:val="fr-CH"/>
        </w:rPr>
        <w:t xml:space="preserve">ceux ayant </w:t>
      </w:r>
      <w:r w:rsidRPr="00743DE0">
        <w:rPr>
          <w:lang w:val="fr-CH"/>
        </w:rPr>
        <w:t xml:space="preserve">un débit supérieur à 10 kbit/s. On définit ainsi respectivement les catégories </w:t>
      </w:r>
      <w:r>
        <w:rPr>
          <w:lang w:val="fr-CH"/>
        </w:rPr>
        <w:t>«</w:t>
      </w:r>
      <w:r w:rsidRPr="00743DE0">
        <w:rPr>
          <w:lang w:val="fr-CH"/>
        </w:rPr>
        <w:t>L</w:t>
      </w:r>
      <w:r>
        <w:rPr>
          <w:lang w:val="fr-CH"/>
        </w:rPr>
        <w:t>»</w:t>
      </w:r>
      <w:r w:rsidRPr="00743DE0">
        <w:rPr>
          <w:lang w:val="fr-CH"/>
        </w:rPr>
        <w:t xml:space="preserve"> et </w:t>
      </w:r>
      <w:r>
        <w:rPr>
          <w:lang w:val="fr-CH"/>
        </w:rPr>
        <w:t>«</w:t>
      </w:r>
      <w:r w:rsidRPr="00743DE0">
        <w:rPr>
          <w:lang w:val="fr-CH"/>
        </w:rPr>
        <w:t>H</w:t>
      </w:r>
      <w:r>
        <w:rPr>
          <w:lang w:val="fr-CH"/>
        </w:rPr>
        <w:t>»</w:t>
      </w:r>
      <w:r w:rsidRPr="00743DE0">
        <w:rPr>
          <w:lang w:val="fr-CH"/>
        </w:rPr>
        <w:t xml:space="preserve">. Les systèmes WAIC à faible débit et ceux à haut débit ont des caractéristiques </w:t>
      </w:r>
      <w:r>
        <w:rPr>
          <w:lang w:val="fr-CH"/>
        </w:rPr>
        <w:t xml:space="preserve">techniques </w:t>
      </w:r>
      <w:r w:rsidRPr="00743DE0">
        <w:rPr>
          <w:lang w:val="fr-CH"/>
        </w:rPr>
        <w:t>différentes (voir le § 3).</w:t>
      </w:r>
    </w:p>
    <w:p w:rsidR="000A0027" w:rsidRPr="00743DE0" w:rsidRDefault="000A0027" w:rsidP="000A0027">
      <w:pPr>
        <w:pStyle w:val="Heading3"/>
        <w:rPr>
          <w:lang w:val="fr-CH"/>
        </w:rPr>
      </w:pPr>
      <w:bookmarkStart w:id="7" w:name="_Toc283735243"/>
      <w:r w:rsidRPr="00743DE0">
        <w:rPr>
          <w:lang w:val="fr-CH"/>
        </w:rPr>
        <w:t>2.1.2</w:t>
      </w:r>
      <w:r w:rsidRPr="00743DE0">
        <w:rPr>
          <w:lang w:val="fr-CH"/>
        </w:rPr>
        <w:tab/>
        <w:t xml:space="preserve">Classement en fonction de l'emplacement </w:t>
      </w:r>
      <w:bookmarkEnd w:id="7"/>
      <w:r w:rsidRPr="00743DE0">
        <w:rPr>
          <w:lang w:val="fr-CH"/>
        </w:rPr>
        <w:t>du système</w:t>
      </w:r>
    </w:p>
    <w:p w:rsidR="000A0027" w:rsidRPr="00743DE0" w:rsidRDefault="000A0027" w:rsidP="000A0027">
      <w:pPr>
        <w:rPr>
          <w:lang w:val="fr-CH"/>
        </w:rPr>
      </w:pPr>
      <w:r w:rsidRPr="00743DE0">
        <w:rPr>
          <w:lang w:val="fr-CH"/>
        </w:rPr>
        <w:t xml:space="preserve">L'emplacement d'un émetteur WAIC a une incidence sur la quantité d'énergie RF rayonnée </w:t>
      </w:r>
      <w:r>
        <w:rPr>
          <w:lang w:val="fr-CH"/>
        </w:rPr>
        <w:t xml:space="preserve">par </w:t>
      </w:r>
      <w:r w:rsidRPr="00743DE0">
        <w:rPr>
          <w:lang w:val="fr-CH"/>
        </w:rPr>
        <w:t xml:space="preserve">l'aéronef. Cela étant, les systèmes WAIC qui sont intégrés dans la structure de l'aéronef, par exemple dans le fuselage ou une aile, sont classés </w:t>
      </w:r>
      <w:r>
        <w:rPr>
          <w:lang w:val="fr-CH"/>
        </w:rPr>
        <w:t xml:space="preserve">parmi les </w:t>
      </w:r>
      <w:r w:rsidRPr="00743DE0">
        <w:rPr>
          <w:lang w:val="fr-CH"/>
        </w:rPr>
        <w:t xml:space="preserve">systèmes situés à l'intérieur (I) et ceux qui ne </w:t>
      </w:r>
      <w:r>
        <w:rPr>
          <w:lang w:val="fr-CH"/>
        </w:rPr>
        <w:t xml:space="preserve">le </w:t>
      </w:r>
      <w:r w:rsidRPr="00743DE0">
        <w:rPr>
          <w:lang w:val="fr-CH"/>
        </w:rPr>
        <w:t xml:space="preserve">sont pas sont classés </w:t>
      </w:r>
      <w:r>
        <w:rPr>
          <w:lang w:val="fr-CH"/>
        </w:rPr>
        <w:t xml:space="preserve">parmi les </w:t>
      </w:r>
      <w:r w:rsidRPr="00743DE0">
        <w:rPr>
          <w:lang w:val="fr-CH"/>
        </w:rPr>
        <w:t>systèmes situés à l'extérieur (O).</w:t>
      </w:r>
    </w:p>
    <w:p w:rsidR="000A0027" w:rsidRPr="00743DE0" w:rsidRDefault="000A0027" w:rsidP="000A0027">
      <w:pPr>
        <w:pStyle w:val="Heading3"/>
        <w:rPr>
          <w:b w:val="0"/>
          <w:lang w:val="fr-CH"/>
        </w:rPr>
      </w:pPr>
      <w:bookmarkStart w:id="8" w:name="_Toc283735244"/>
      <w:r w:rsidRPr="00743DE0">
        <w:rPr>
          <w:lang w:val="fr-CH"/>
        </w:rPr>
        <w:t>2.1.3</w:t>
      </w:r>
      <w:r w:rsidRPr="00743DE0">
        <w:rPr>
          <w:lang w:val="fr-CH"/>
        </w:rPr>
        <w:tab/>
        <w:t xml:space="preserve">Catégories </w:t>
      </w:r>
      <w:bookmarkEnd w:id="8"/>
      <w:r w:rsidRPr="00743DE0">
        <w:rPr>
          <w:lang w:val="fr-CH"/>
        </w:rPr>
        <w:t>de systèmes</w:t>
      </w:r>
    </w:p>
    <w:p w:rsidR="000A0027" w:rsidRPr="00743DE0" w:rsidRDefault="000A0027" w:rsidP="00C551E5">
      <w:pPr>
        <w:rPr>
          <w:lang w:val="fr-CH"/>
        </w:rPr>
      </w:pPr>
      <w:r w:rsidRPr="00743DE0">
        <w:rPr>
          <w:lang w:val="fr-CH"/>
        </w:rPr>
        <w:t xml:space="preserve">Les </w:t>
      </w:r>
      <w:r>
        <w:rPr>
          <w:lang w:val="fr-CH"/>
        </w:rPr>
        <w:t xml:space="preserve">systèmes </w:t>
      </w:r>
      <w:r w:rsidRPr="00743DE0">
        <w:rPr>
          <w:lang w:val="fr-CH"/>
        </w:rPr>
        <w:t xml:space="preserve">WAIC peuvent </w:t>
      </w:r>
      <w:r>
        <w:rPr>
          <w:lang w:val="fr-CH"/>
        </w:rPr>
        <w:t>être caractérisé</w:t>
      </w:r>
      <w:r w:rsidRPr="00743DE0">
        <w:rPr>
          <w:lang w:val="fr-CH"/>
        </w:rPr>
        <w:t>s par XY conformément aux définitions précédentes. Le paramètre X représente le débit de données (H, L) et le paramètre Y représente l'emplacement (I,</w:t>
      </w:r>
      <w:r w:rsidR="00C551E5">
        <w:rPr>
          <w:lang w:val="fr-CH"/>
        </w:rPr>
        <w:t> </w:t>
      </w:r>
      <w:r w:rsidRPr="00743DE0">
        <w:rPr>
          <w:lang w:val="fr-CH"/>
        </w:rPr>
        <w:t>O). Par exemple, une catégorie type est la catégorie LI, regroupant les systèmes nécessitant un faible débit et situés à l'intérieur de la structure de l'aéronef.</w:t>
      </w:r>
    </w:p>
    <w:p w:rsidR="000A0027" w:rsidRPr="00743DE0" w:rsidRDefault="000A0027" w:rsidP="000A0027">
      <w:pPr>
        <w:pStyle w:val="Heading1"/>
        <w:rPr>
          <w:lang w:val="fr-CH"/>
        </w:rPr>
      </w:pPr>
      <w:bookmarkStart w:id="9" w:name="_Toc283735250"/>
      <w:r w:rsidRPr="00743DE0">
        <w:rPr>
          <w:lang w:val="fr-CH"/>
        </w:rPr>
        <w:t>3</w:t>
      </w:r>
      <w:r w:rsidRPr="00743DE0">
        <w:rPr>
          <w:lang w:val="fr-CH"/>
        </w:rPr>
        <w:tab/>
        <w:t xml:space="preserve">Caractéristiques des systèmes de communication hertzienne entre équipements d'avionique à bord d'un aéronef </w:t>
      </w:r>
      <w:bookmarkEnd w:id="9"/>
    </w:p>
    <w:p w:rsidR="000A0027" w:rsidRPr="00743DE0" w:rsidRDefault="000A0027" w:rsidP="000A0027">
      <w:pPr>
        <w:rPr>
          <w:lang w:val="fr-CH"/>
        </w:rPr>
      </w:pPr>
      <w:r w:rsidRPr="00743DE0">
        <w:rPr>
          <w:lang w:val="fr-CH"/>
        </w:rPr>
        <w:t xml:space="preserve">Le Tableau 1 récapitule les caractéristiques techniques types des systèmes WAIC. </w:t>
      </w:r>
      <w:r>
        <w:rPr>
          <w:lang w:val="fr-CH"/>
        </w:rPr>
        <w:t xml:space="preserve">D'une manière </w:t>
      </w:r>
      <w:r w:rsidRPr="00743DE0">
        <w:rPr>
          <w:lang w:val="fr-CH"/>
        </w:rPr>
        <w:t>général</w:t>
      </w:r>
      <w:r>
        <w:rPr>
          <w:lang w:val="fr-CH"/>
        </w:rPr>
        <w:t>e</w:t>
      </w:r>
      <w:r w:rsidRPr="00743DE0">
        <w:rPr>
          <w:lang w:val="fr-CH"/>
        </w:rPr>
        <w:t xml:space="preserve">, on envisage deux types de systèmes, </w:t>
      </w:r>
      <w:r>
        <w:rPr>
          <w:lang w:val="fr-CH"/>
        </w:rPr>
        <w:t xml:space="preserve">en fonction des </w:t>
      </w:r>
      <w:r w:rsidRPr="00743DE0">
        <w:rPr>
          <w:lang w:val="fr-CH"/>
        </w:rPr>
        <w:t>exigences</w:t>
      </w:r>
      <w:r>
        <w:rPr>
          <w:lang w:val="fr-CH"/>
        </w:rPr>
        <w:t>:</w:t>
      </w:r>
      <w:r w:rsidRPr="00743DE0">
        <w:rPr>
          <w:lang w:val="fr-CH"/>
        </w:rPr>
        <w:t xml:space="preserve"> (a) </w:t>
      </w:r>
      <w:r>
        <w:rPr>
          <w:lang w:val="fr-CH"/>
        </w:rPr>
        <w:t xml:space="preserve">les </w:t>
      </w:r>
      <w:r w:rsidRPr="00743DE0">
        <w:rPr>
          <w:lang w:val="fr-CH"/>
        </w:rPr>
        <w:t xml:space="preserve">systèmes WAIC à faible débit et souvent à puissance limitée, comme les capteurs autonomes, et (b) </w:t>
      </w:r>
      <w:r>
        <w:rPr>
          <w:lang w:val="fr-CH"/>
        </w:rPr>
        <w:t xml:space="preserve">les systèmes </w:t>
      </w:r>
      <w:r w:rsidRPr="00743DE0">
        <w:rPr>
          <w:lang w:val="fr-CH"/>
        </w:rPr>
        <w:t>à haut débit présentant moins de restrictions concernant la consommation d'énergie. Ces types de systèmes sont désignés respectivement par systèmes à faible débit (L) et systèmes à haut débit (H).</w:t>
      </w:r>
    </w:p>
    <w:p w:rsidR="000A0027" w:rsidRPr="00743DE0" w:rsidRDefault="000A0027" w:rsidP="000A0027">
      <w:pPr>
        <w:pStyle w:val="TableNo"/>
        <w:rPr>
          <w:lang w:val="fr-CH"/>
        </w:rPr>
      </w:pPr>
      <w:r w:rsidRPr="00743DE0">
        <w:rPr>
          <w:lang w:val="fr-CH"/>
        </w:rPr>
        <w:lastRenderedPageBreak/>
        <w:t>TABLEAU 1</w:t>
      </w:r>
    </w:p>
    <w:p w:rsidR="000A0027" w:rsidRPr="00743DE0" w:rsidRDefault="000A0027" w:rsidP="000A0027">
      <w:pPr>
        <w:pStyle w:val="Tabletitle"/>
        <w:rPr>
          <w:lang w:val="fr-CH"/>
        </w:rPr>
      </w:pPr>
      <w:r w:rsidRPr="00E12559">
        <w:t>Caractéristiques</w:t>
      </w:r>
      <w:r w:rsidRPr="00743DE0">
        <w:rPr>
          <w:lang w:val="fr-CH"/>
        </w:rPr>
        <w:t xml:space="preserve"> techniques des systèmes de communication hertzienne entre équipements d'avionique à bord d'un aéronef à faible débit et à haut débit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3"/>
        <w:gridCol w:w="1902"/>
        <w:gridCol w:w="1893"/>
        <w:gridCol w:w="1421"/>
      </w:tblGrid>
      <w:tr w:rsidR="000A0027" w:rsidRPr="00E12559" w:rsidTr="00FC2C9E">
        <w:trPr>
          <w:trHeight w:val="411"/>
          <w:tblHeader/>
          <w:jc w:val="center"/>
        </w:trPr>
        <w:tc>
          <w:tcPr>
            <w:tcW w:w="3557" w:type="dxa"/>
            <w:vAlign w:val="center"/>
          </w:tcPr>
          <w:p w:rsidR="000A0027" w:rsidRPr="00E12559" w:rsidRDefault="000A0027" w:rsidP="00FC2C9E">
            <w:pPr>
              <w:pStyle w:val="Tablehead"/>
            </w:pPr>
          </w:p>
        </w:tc>
        <w:tc>
          <w:tcPr>
            <w:tcW w:w="1530" w:type="dxa"/>
            <w:vAlign w:val="center"/>
          </w:tcPr>
          <w:p w:rsidR="000A0027" w:rsidRPr="00E12559" w:rsidRDefault="000A0027" w:rsidP="00FC2C9E">
            <w:pPr>
              <w:pStyle w:val="Tablehead"/>
            </w:pPr>
            <w:r w:rsidRPr="00E12559">
              <w:t>Système à faible débit</w:t>
            </w:r>
          </w:p>
        </w:tc>
        <w:tc>
          <w:tcPr>
            <w:tcW w:w="1523" w:type="dxa"/>
            <w:vAlign w:val="center"/>
          </w:tcPr>
          <w:p w:rsidR="000A0027" w:rsidRPr="00E12559" w:rsidRDefault="000A0027" w:rsidP="00FC2C9E">
            <w:pPr>
              <w:pStyle w:val="Tablehead"/>
            </w:pPr>
            <w:r w:rsidRPr="00E12559">
              <w:t>Système à haut débit</w:t>
            </w:r>
          </w:p>
        </w:tc>
        <w:tc>
          <w:tcPr>
            <w:tcW w:w="1143" w:type="dxa"/>
            <w:vAlign w:val="center"/>
          </w:tcPr>
          <w:p w:rsidR="000A0027" w:rsidRPr="00E12559" w:rsidRDefault="000A0027" w:rsidP="00FC2C9E">
            <w:pPr>
              <w:pStyle w:val="Tablehead"/>
            </w:pPr>
            <w:r w:rsidRPr="00E12559">
              <w:t>Unité</w:t>
            </w:r>
          </w:p>
        </w:tc>
      </w:tr>
      <w:tr w:rsidR="000A0027" w:rsidRPr="00E12559" w:rsidTr="00FC2C9E">
        <w:trPr>
          <w:trHeight w:val="197"/>
          <w:jc w:val="center"/>
        </w:trPr>
        <w:tc>
          <w:tcPr>
            <w:tcW w:w="3557" w:type="dxa"/>
            <w:vAlign w:val="center"/>
          </w:tcPr>
          <w:p w:rsidR="000A0027" w:rsidRPr="00E12559" w:rsidRDefault="000A0027" w:rsidP="00FC2C9E">
            <w:pPr>
              <w:pStyle w:val="Tabletext"/>
            </w:pPr>
            <w:r w:rsidRPr="00E12559">
              <w:t>Emetteur</w:t>
            </w:r>
          </w:p>
        </w:tc>
        <w:tc>
          <w:tcPr>
            <w:tcW w:w="1530" w:type="dxa"/>
            <w:vAlign w:val="center"/>
          </w:tcPr>
          <w:p w:rsidR="000A0027" w:rsidRPr="00E12559" w:rsidRDefault="000A0027" w:rsidP="00FC2C9E">
            <w:pPr>
              <w:pStyle w:val="Tabletext"/>
              <w:jc w:val="center"/>
            </w:pPr>
          </w:p>
        </w:tc>
        <w:tc>
          <w:tcPr>
            <w:tcW w:w="1523" w:type="dxa"/>
            <w:vAlign w:val="center"/>
          </w:tcPr>
          <w:p w:rsidR="000A0027" w:rsidRPr="00E12559" w:rsidRDefault="000A0027" w:rsidP="00FC2C9E">
            <w:pPr>
              <w:pStyle w:val="Tabletext"/>
              <w:jc w:val="center"/>
            </w:pPr>
          </w:p>
        </w:tc>
        <w:tc>
          <w:tcPr>
            <w:tcW w:w="1143" w:type="dxa"/>
            <w:vAlign w:val="center"/>
          </w:tcPr>
          <w:p w:rsidR="000A0027" w:rsidRPr="00E12559" w:rsidRDefault="000A0027" w:rsidP="00FC2C9E">
            <w:pPr>
              <w:pStyle w:val="Tabletext"/>
              <w:jc w:val="center"/>
            </w:pPr>
          </w:p>
        </w:tc>
      </w:tr>
      <w:tr w:rsidR="000A0027" w:rsidRPr="00E12559" w:rsidTr="00FC2C9E">
        <w:trPr>
          <w:trHeight w:val="197"/>
          <w:jc w:val="center"/>
        </w:trPr>
        <w:tc>
          <w:tcPr>
            <w:tcW w:w="3557" w:type="dxa"/>
            <w:vAlign w:val="center"/>
          </w:tcPr>
          <w:p w:rsidR="000A0027" w:rsidRPr="00E12559" w:rsidRDefault="000A0027" w:rsidP="00FC2C9E">
            <w:pPr>
              <w:pStyle w:val="Tabletext"/>
            </w:pPr>
            <w:r w:rsidRPr="00E12559">
              <w:t>Nombre et emplacement des émetteurs actifs simultanément par canal</w:t>
            </w:r>
          </w:p>
        </w:tc>
        <w:tc>
          <w:tcPr>
            <w:tcW w:w="1530" w:type="dxa"/>
            <w:vAlign w:val="center"/>
          </w:tcPr>
          <w:p w:rsidR="000A0027" w:rsidRPr="00E12559" w:rsidRDefault="000A0027" w:rsidP="00FC2C9E">
            <w:pPr>
              <w:pStyle w:val="Tabletext"/>
              <w:jc w:val="center"/>
            </w:pPr>
            <w:r w:rsidRPr="00E12559">
              <w:t>1</w:t>
            </w:r>
          </w:p>
        </w:tc>
        <w:tc>
          <w:tcPr>
            <w:tcW w:w="1523" w:type="dxa"/>
            <w:vAlign w:val="center"/>
          </w:tcPr>
          <w:p w:rsidR="000A0027" w:rsidRPr="00E12559" w:rsidRDefault="000A0027" w:rsidP="00FC2C9E">
            <w:pPr>
              <w:pStyle w:val="Tabletext"/>
              <w:jc w:val="center"/>
            </w:pPr>
            <w:r w:rsidRPr="00E12559">
              <w:t>1</w:t>
            </w:r>
          </w:p>
        </w:tc>
        <w:tc>
          <w:tcPr>
            <w:tcW w:w="1143" w:type="dxa"/>
            <w:vAlign w:val="center"/>
          </w:tcPr>
          <w:p w:rsidR="000A0027" w:rsidRPr="00E12559" w:rsidRDefault="000A0027" w:rsidP="00FC2C9E">
            <w:pPr>
              <w:pStyle w:val="Tabletext"/>
              <w:jc w:val="center"/>
            </w:pPr>
            <w:r w:rsidRPr="00E12559">
              <w:t>–</w:t>
            </w:r>
          </w:p>
        </w:tc>
      </w:tr>
      <w:tr w:rsidR="000A0027" w:rsidRPr="00E12559" w:rsidTr="00FC2C9E">
        <w:trPr>
          <w:trHeight w:val="197"/>
          <w:jc w:val="center"/>
        </w:trPr>
        <w:tc>
          <w:tcPr>
            <w:tcW w:w="3557" w:type="dxa"/>
            <w:vAlign w:val="center"/>
          </w:tcPr>
          <w:p w:rsidR="000A0027" w:rsidRPr="00E12559" w:rsidRDefault="000A0027" w:rsidP="00FC2C9E">
            <w:pPr>
              <w:pStyle w:val="Tabletext"/>
            </w:pPr>
            <w:r w:rsidRPr="00E12559">
              <w:t xml:space="preserve">Gain de l'antenne de l'émetteur </w:t>
            </w:r>
          </w:p>
        </w:tc>
        <w:tc>
          <w:tcPr>
            <w:tcW w:w="1530" w:type="dxa"/>
            <w:vAlign w:val="center"/>
          </w:tcPr>
          <w:p w:rsidR="000A0027" w:rsidRPr="00E12559" w:rsidRDefault="000A0027" w:rsidP="00FC2C9E">
            <w:pPr>
              <w:pStyle w:val="Tabletext"/>
              <w:jc w:val="center"/>
            </w:pPr>
            <w:r w:rsidRPr="00E12559">
              <w:t>0</w:t>
            </w:r>
          </w:p>
        </w:tc>
        <w:tc>
          <w:tcPr>
            <w:tcW w:w="1523" w:type="dxa"/>
            <w:vAlign w:val="center"/>
          </w:tcPr>
          <w:p w:rsidR="000A0027" w:rsidRPr="00E12559" w:rsidRDefault="000A0027" w:rsidP="00FC2C9E">
            <w:pPr>
              <w:pStyle w:val="Tabletext"/>
              <w:jc w:val="center"/>
            </w:pPr>
            <w:r w:rsidRPr="00E12559">
              <w:t>0</w:t>
            </w:r>
          </w:p>
        </w:tc>
        <w:tc>
          <w:tcPr>
            <w:tcW w:w="1143" w:type="dxa"/>
            <w:vAlign w:val="center"/>
          </w:tcPr>
          <w:p w:rsidR="000A0027" w:rsidRPr="00E12559" w:rsidRDefault="000A0027" w:rsidP="00FC2C9E">
            <w:pPr>
              <w:pStyle w:val="Tabletext"/>
              <w:jc w:val="center"/>
            </w:pPr>
            <w:r w:rsidRPr="00E12559">
              <w:t>dBi</w:t>
            </w:r>
          </w:p>
        </w:tc>
      </w:tr>
      <w:tr w:rsidR="000A0027" w:rsidRPr="00E12559" w:rsidTr="00FC2C9E">
        <w:trPr>
          <w:trHeight w:val="197"/>
          <w:jc w:val="center"/>
        </w:trPr>
        <w:tc>
          <w:tcPr>
            <w:tcW w:w="3557" w:type="dxa"/>
            <w:vAlign w:val="center"/>
          </w:tcPr>
          <w:p w:rsidR="000A0027" w:rsidRPr="00E12559" w:rsidRDefault="000A0027" w:rsidP="00FC2C9E">
            <w:pPr>
              <w:pStyle w:val="Tabletext"/>
              <w:rPr>
                <w:rFonts w:eastAsia="Batang"/>
              </w:rPr>
            </w:pPr>
            <w:r w:rsidRPr="00E12559">
              <w:t>Valeur max. de la puissance d'émission2</w:t>
            </w:r>
          </w:p>
        </w:tc>
        <w:tc>
          <w:tcPr>
            <w:tcW w:w="1530" w:type="dxa"/>
            <w:vAlign w:val="center"/>
          </w:tcPr>
          <w:p w:rsidR="000A0027" w:rsidRPr="00E12559" w:rsidRDefault="000A0027" w:rsidP="00FC2C9E">
            <w:pPr>
              <w:pStyle w:val="Tabletext"/>
              <w:jc w:val="center"/>
            </w:pPr>
            <w:r w:rsidRPr="00E12559">
              <w:t>10</w:t>
            </w:r>
          </w:p>
        </w:tc>
        <w:tc>
          <w:tcPr>
            <w:tcW w:w="1523" w:type="dxa"/>
            <w:vAlign w:val="center"/>
          </w:tcPr>
          <w:p w:rsidR="000A0027" w:rsidRPr="00E12559" w:rsidRDefault="000A0027" w:rsidP="00FC2C9E">
            <w:pPr>
              <w:pStyle w:val="Tabletext"/>
              <w:jc w:val="center"/>
            </w:pPr>
            <w:r w:rsidRPr="00E12559">
              <w:t>50</w:t>
            </w:r>
          </w:p>
        </w:tc>
        <w:tc>
          <w:tcPr>
            <w:tcW w:w="1143" w:type="dxa"/>
            <w:vAlign w:val="center"/>
          </w:tcPr>
          <w:p w:rsidR="000A0027" w:rsidRPr="00E12559" w:rsidRDefault="000A0027" w:rsidP="00FC2C9E">
            <w:pPr>
              <w:pStyle w:val="Tabletext"/>
              <w:jc w:val="center"/>
            </w:pPr>
            <w:r w:rsidRPr="00E12559">
              <w:t>mW</w:t>
            </w:r>
          </w:p>
        </w:tc>
      </w:tr>
      <w:tr w:rsidR="000A0027" w:rsidRPr="00E12559" w:rsidTr="00FC2C9E">
        <w:trPr>
          <w:trHeight w:val="197"/>
          <w:jc w:val="center"/>
        </w:trPr>
        <w:tc>
          <w:tcPr>
            <w:tcW w:w="3557" w:type="dxa"/>
            <w:vAlign w:val="center"/>
          </w:tcPr>
          <w:p w:rsidR="000A0027" w:rsidRPr="00E12559" w:rsidRDefault="000A0027" w:rsidP="00FC2C9E">
            <w:pPr>
              <w:pStyle w:val="Tabletext"/>
            </w:pPr>
            <w:r w:rsidRPr="00E12559">
              <w:t xml:space="preserve">Largeur de bande d'émission à 3 dB </w:t>
            </w:r>
          </w:p>
        </w:tc>
        <w:tc>
          <w:tcPr>
            <w:tcW w:w="1530" w:type="dxa"/>
            <w:vAlign w:val="center"/>
          </w:tcPr>
          <w:p w:rsidR="000A0027" w:rsidRPr="00E12559" w:rsidRDefault="000A0027" w:rsidP="00FC2C9E">
            <w:pPr>
              <w:pStyle w:val="Tabletext"/>
              <w:jc w:val="center"/>
              <w:rPr>
                <w:highlight w:val="yellow"/>
              </w:rPr>
            </w:pPr>
            <w:r w:rsidRPr="00E12559">
              <w:t>2,6</w:t>
            </w:r>
          </w:p>
        </w:tc>
        <w:tc>
          <w:tcPr>
            <w:tcW w:w="1523" w:type="dxa"/>
            <w:vAlign w:val="center"/>
          </w:tcPr>
          <w:p w:rsidR="000A0027" w:rsidRPr="00E12559" w:rsidRDefault="000A0027" w:rsidP="00FC2C9E">
            <w:pPr>
              <w:pStyle w:val="Tabletext"/>
              <w:jc w:val="center"/>
              <w:rPr>
                <w:highlight w:val="yellow"/>
              </w:rPr>
            </w:pPr>
            <w:r w:rsidRPr="00E12559">
              <w:t>16,6</w:t>
            </w:r>
          </w:p>
        </w:tc>
        <w:tc>
          <w:tcPr>
            <w:tcW w:w="1143" w:type="dxa"/>
            <w:vAlign w:val="center"/>
          </w:tcPr>
          <w:p w:rsidR="000A0027" w:rsidRPr="00E12559" w:rsidRDefault="000A0027" w:rsidP="00FC2C9E">
            <w:pPr>
              <w:pStyle w:val="Tabletext"/>
              <w:jc w:val="center"/>
            </w:pPr>
            <w:r w:rsidRPr="00E12559">
              <w:t>MHz</w:t>
            </w:r>
          </w:p>
        </w:tc>
      </w:tr>
      <w:tr w:rsidR="000A0027" w:rsidRPr="00E12559" w:rsidTr="00FC2C9E">
        <w:trPr>
          <w:trHeight w:val="197"/>
          <w:jc w:val="center"/>
        </w:trPr>
        <w:tc>
          <w:tcPr>
            <w:tcW w:w="3557" w:type="dxa"/>
            <w:vAlign w:val="center"/>
          </w:tcPr>
          <w:p w:rsidR="000A0027" w:rsidRPr="00E12559" w:rsidRDefault="000A0027" w:rsidP="00FC2C9E">
            <w:pPr>
              <w:pStyle w:val="Tabletext"/>
            </w:pPr>
            <w:r w:rsidRPr="00E12559">
              <w:t xml:space="preserve">Largeur de bande d'émission à 20 dB </w:t>
            </w:r>
          </w:p>
        </w:tc>
        <w:tc>
          <w:tcPr>
            <w:tcW w:w="1530" w:type="dxa"/>
            <w:vAlign w:val="center"/>
          </w:tcPr>
          <w:p w:rsidR="000A0027" w:rsidRPr="00E12559" w:rsidRDefault="000A0027" w:rsidP="00FC2C9E">
            <w:pPr>
              <w:pStyle w:val="Tabletext"/>
              <w:jc w:val="center"/>
            </w:pPr>
            <w:r w:rsidRPr="00E12559">
              <w:t>6</w:t>
            </w:r>
          </w:p>
        </w:tc>
        <w:tc>
          <w:tcPr>
            <w:tcW w:w="1523" w:type="dxa"/>
            <w:vAlign w:val="center"/>
          </w:tcPr>
          <w:p w:rsidR="000A0027" w:rsidRPr="00E12559" w:rsidRDefault="000A0027" w:rsidP="00FC2C9E">
            <w:pPr>
              <w:pStyle w:val="Tabletext"/>
              <w:jc w:val="center"/>
            </w:pPr>
            <w:r w:rsidRPr="00E12559">
              <w:t>22</w:t>
            </w:r>
          </w:p>
        </w:tc>
        <w:tc>
          <w:tcPr>
            <w:tcW w:w="1143" w:type="dxa"/>
            <w:vAlign w:val="center"/>
          </w:tcPr>
          <w:p w:rsidR="000A0027" w:rsidRPr="00E12559" w:rsidRDefault="000A0027" w:rsidP="00FC2C9E">
            <w:pPr>
              <w:pStyle w:val="Tabletext"/>
              <w:jc w:val="center"/>
            </w:pPr>
            <w:r w:rsidRPr="00E12559">
              <w:t>MHz</w:t>
            </w:r>
          </w:p>
        </w:tc>
      </w:tr>
      <w:tr w:rsidR="000A0027" w:rsidRPr="00E12559" w:rsidTr="00FC2C9E">
        <w:trPr>
          <w:trHeight w:val="197"/>
          <w:jc w:val="center"/>
        </w:trPr>
        <w:tc>
          <w:tcPr>
            <w:tcW w:w="3557" w:type="dxa"/>
            <w:vAlign w:val="center"/>
          </w:tcPr>
          <w:p w:rsidR="000A0027" w:rsidRPr="00E12559" w:rsidRDefault="000A0027" w:rsidP="00FC2C9E">
            <w:pPr>
              <w:pStyle w:val="Tabletext"/>
            </w:pPr>
            <w:r w:rsidRPr="00E12559">
              <w:t xml:space="preserve">Largeur de bande d'émission à 40 dB </w:t>
            </w:r>
          </w:p>
        </w:tc>
        <w:tc>
          <w:tcPr>
            <w:tcW w:w="1530" w:type="dxa"/>
            <w:vAlign w:val="center"/>
          </w:tcPr>
          <w:p w:rsidR="000A0027" w:rsidRPr="00E12559" w:rsidRDefault="000A0027" w:rsidP="00FC2C9E">
            <w:pPr>
              <w:pStyle w:val="Tabletext"/>
              <w:jc w:val="center"/>
            </w:pPr>
            <w:r w:rsidRPr="00E12559">
              <w:t>12</w:t>
            </w:r>
          </w:p>
        </w:tc>
        <w:tc>
          <w:tcPr>
            <w:tcW w:w="1523" w:type="dxa"/>
            <w:vAlign w:val="center"/>
          </w:tcPr>
          <w:p w:rsidR="000A0027" w:rsidRPr="00E12559" w:rsidRDefault="000A0027" w:rsidP="00FC2C9E">
            <w:pPr>
              <w:pStyle w:val="Tabletext"/>
              <w:jc w:val="center"/>
            </w:pPr>
            <w:r w:rsidRPr="00E12559">
              <w:t>60</w:t>
            </w:r>
          </w:p>
        </w:tc>
        <w:tc>
          <w:tcPr>
            <w:tcW w:w="1143" w:type="dxa"/>
            <w:vAlign w:val="center"/>
          </w:tcPr>
          <w:p w:rsidR="000A0027" w:rsidRPr="00E12559" w:rsidRDefault="000A0027" w:rsidP="00FC2C9E">
            <w:pPr>
              <w:pStyle w:val="Tabletext"/>
              <w:jc w:val="center"/>
            </w:pPr>
            <w:r w:rsidRPr="00E12559">
              <w:t>MHz</w:t>
            </w:r>
          </w:p>
        </w:tc>
      </w:tr>
      <w:tr w:rsidR="000A0027" w:rsidRPr="00E12559" w:rsidTr="00FC2C9E">
        <w:trPr>
          <w:trHeight w:val="197"/>
          <w:jc w:val="center"/>
        </w:trPr>
        <w:tc>
          <w:tcPr>
            <w:tcW w:w="3557" w:type="dxa"/>
            <w:vAlign w:val="center"/>
          </w:tcPr>
          <w:p w:rsidR="000A0027" w:rsidRPr="00E12559" w:rsidRDefault="000A0027" w:rsidP="00FC2C9E">
            <w:pPr>
              <w:pStyle w:val="Tabletext"/>
            </w:pPr>
            <w:r w:rsidRPr="00E12559">
              <w:t>Récepteur</w:t>
            </w:r>
          </w:p>
        </w:tc>
        <w:tc>
          <w:tcPr>
            <w:tcW w:w="1530" w:type="dxa"/>
            <w:vAlign w:val="center"/>
          </w:tcPr>
          <w:p w:rsidR="000A0027" w:rsidRPr="00E12559" w:rsidRDefault="000A0027" w:rsidP="00FC2C9E">
            <w:pPr>
              <w:pStyle w:val="Tabletext"/>
              <w:jc w:val="center"/>
            </w:pPr>
          </w:p>
        </w:tc>
        <w:tc>
          <w:tcPr>
            <w:tcW w:w="1523" w:type="dxa"/>
            <w:vAlign w:val="center"/>
          </w:tcPr>
          <w:p w:rsidR="000A0027" w:rsidRPr="00E12559" w:rsidRDefault="000A0027" w:rsidP="00FC2C9E">
            <w:pPr>
              <w:pStyle w:val="Tabletext"/>
              <w:jc w:val="center"/>
            </w:pPr>
          </w:p>
        </w:tc>
        <w:tc>
          <w:tcPr>
            <w:tcW w:w="1143" w:type="dxa"/>
            <w:vAlign w:val="center"/>
          </w:tcPr>
          <w:p w:rsidR="000A0027" w:rsidRPr="00E12559" w:rsidRDefault="000A0027" w:rsidP="00FC2C9E">
            <w:pPr>
              <w:pStyle w:val="Tabletext"/>
              <w:jc w:val="center"/>
            </w:pPr>
          </w:p>
        </w:tc>
      </w:tr>
      <w:tr w:rsidR="000A0027" w:rsidRPr="00E12559" w:rsidTr="00FC2C9E">
        <w:trPr>
          <w:trHeight w:val="197"/>
          <w:jc w:val="center"/>
        </w:trPr>
        <w:tc>
          <w:tcPr>
            <w:tcW w:w="3557" w:type="dxa"/>
            <w:vAlign w:val="center"/>
          </w:tcPr>
          <w:p w:rsidR="000A0027" w:rsidRPr="00E12559" w:rsidRDefault="000A0027" w:rsidP="00FC2C9E">
            <w:pPr>
              <w:pStyle w:val="Tabletext"/>
            </w:pPr>
            <w:r w:rsidRPr="00E12559">
              <w:t>Gain de l'antenne du récepteur</w:t>
            </w:r>
            <w:r w:rsidRPr="00A04A51">
              <w:rPr>
                <w:sz w:val="24"/>
                <w:szCs w:val="24"/>
                <w:vertAlign w:val="superscript"/>
              </w:rPr>
              <w:t>1</w:t>
            </w:r>
          </w:p>
        </w:tc>
        <w:tc>
          <w:tcPr>
            <w:tcW w:w="1530" w:type="dxa"/>
            <w:vAlign w:val="center"/>
          </w:tcPr>
          <w:p w:rsidR="000A0027" w:rsidRPr="00E12559" w:rsidRDefault="000A0027" w:rsidP="00FC2C9E">
            <w:pPr>
              <w:pStyle w:val="Tabletext"/>
              <w:jc w:val="center"/>
            </w:pPr>
            <w:r w:rsidRPr="00E12559">
              <w:t>0</w:t>
            </w:r>
          </w:p>
        </w:tc>
        <w:tc>
          <w:tcPr>
            <w:tcW w:w="1523" w:type="dxa"/>
            <w:vAlign w:val="center"/>
          </w:tcPr>
          <w:p w:rsidR="000A0027" w:rsidRPr="00E12559" w:rsidRDefault="000A0027" w:rsidP="00FC2C9E">
            <w:pPr>
              <w:pStyle w:val="Tabletext"/>
              <w:jc w:val="center"/>
            </w:pPr>
            <w:r w:rsidRPr="00E12559">
              <w:t>0</w:t>
            </w:r>
          </w:p>
        </w:tc>
        <w:tc>
          <w:tcPr>
            <w:tcW w:w="1143" w:type="dxa"/>
            <w:vAlign w:val="center"/>
          </w:tcPr>
          <w:p w:rsidR="000A0027" w:rsidRPr="00E12559" w:rsidRDefault="000A0027" w:rsidP="00FC2C9E">
            <w:pPr>
              <w:pStyle w:val="Tabletext"/>
              <w:jc w:val="center"/>
            </w:pPr>
            <w:r w:rsidRPr="00E12559">
              <w:t>dBi</w:t>
            </w:r>
          </w:p>
        </w:tc>
      </w:tr>
      <w:tr w:rsidR="000A0027" w:rsidRPr="00E12559" w:rsidTr="00FC2C9E">
        <w:trPr>
          <w:trHeight w:val="197"/>
          <w:jc w:val="center"/>
        </w:trPr>
        <w:tc>
          <w:tcPr>
            <w:tcW w:w="3557" w:type="dxa"/>
            <w:vAlign w:val="center"/>
          </w:tcPr>
          <w:p w:rsidR="000A0027" w:rsidRPr="00E12559" w:rsidRDefault="000A0027" w:rsidP="00FC2C9E">
            <w:pPr>
              <w:pStyle w:val="Tabletext"/>
            </w:pPr>
            <w:r w:rsidRPr="00E12559">
              <w:t>Largeur de bande FI du récepteur</w:t>
            </w:r>
          </w:p>
        </w:tc>
        <w:tc>
          <w:tcPr>
            <w:tcW w:w="1530" w:type="dxa"/>
            <w:vAlign w:val="center"/>
          </w:tcPr>
          <w:p w:rsidR="000A0027" w:rsidRPr="00E12559" w:rsidRDefault="000A0027" w:rsidP="00FC2C9E">
            <w:pPr>
              <w:pStyle w:val="Tabletext"/>
              <w:jc w:val="center"/>
            </w:pPr>
            <w:r w:rsidRPr="00E12559">
              <w:t>2,6</w:t>
            </w:r>
          </w:p>
        </w:tc>
        <w:tc>
          <w:tcPr>
            <w:tcW w:w="1523" w:type="dxa"/>
            <w:vAlign w:val="center"/>
          </w:tcPr>
          <w:p w:rsidR="000A0027" w:rsidRPr="00E12559" w:rsidRDefault="000A0027" w:rsidP="00FC2C9E">
            <w:pPr>
              <w:pStyle w:val="Tabletext"/>
              <w:jc w:val="center"/>
            </w:pPr>
            <w:r w:rsidRPr="00E12559">
              <w:t>20</w:t>
            </w:r>
          </w:p>
        </w:tc>
        <w:tc>
          <w:tcPr>
            <w:tcW w:w="1143" w:type="dxa"/>
            <w:vAlign w:val="center"/>
          </w:tcPr>
          <w:p w:rsidR="000A0027" w:rsidRPr="00E12559" w:rsidRDefault="000A0027" w:rsidP="00FC2C9E">
            <w:pPr>
              <w:pStyle w:val="Tabletext"/>
              <w:jc w:val="center"/>
            </w:pPr>
            <w:r w:rsidRPr="00E12559">
              <w:t>MHz</w:t>
            </w:r>
          </w:p>
        </w:tc>
      </w:tr>
      <w:tr w:rsidR="000A0027" w:rsidRPr="00E12559" w:rsidTr="00FC2C9E">
        <w:trPr>
          <w:trHeight w:val="197"/>
          <w:jc w:val="center"/>
        </w:trPr>
        <w:tc>
          <w:tcPr>
            <w:tcW w:w="3557" w:type="dxa"/>
            <w:vAlign w:val="center"/>
          </w:tcPr>
          <w:p w:rsidR="000A0027" w:rsidRPr="00E12559" w:rsidRDefault="000A0027" w:rsidP="00FC2C9E">
            <w:pPr>
              <w:pStyle w:val="Tabletext"/>
            </w:pPr>
            <w:r w:rsidRPr="00E12559">
              <w:t>Facteur de bruit du récepteur</w:t>
            </w:r>
          </w:p>
        </w:tc>
        <w:tc>
          <w:tcPr>
            <w:tcW w:w="1530" w:type="dxa"/>
            <w:vAlign w:val="center"/>
          </w:tcPr>
          <w:p w:rsidR="000A0027" w:rsidRPr="00E12559" w:rsidRDefault="000A0027" w:rsidP="00FC2C9E">
            <w:pPr>
              <w:pStyle w:val="Tabletext"/>
              <w:jc w:val="center"/>
            </w:pPr>
            <w:r w:rsidRPr="00E12559">
              <w:t>10</w:t>
            </w:r>
          </w:p>
        </w:tc>
        <w:tc>
          <w:tcPr>
            <w:tcW w:w="1523" w:type="dxa"/>
            <w:vAlign w:val="center"/>
          </w:tcPr>
          <w:p w:rsidR="000A0027" w:rsidRPr="00E12559" w:rsidRDefault="000A0027" w:rsidP="00FC2C9E">
            <w:pPr>
              <w:pStyle w:val="Tabletext"/>
              <w:jc w:val="center"/>
            </w:pPr>
            <w:r w:rsidRPr="00E12559">
              <w:t>10</w:t>
            </w:r>
          </w:p>
        </w:tc>
        <w:tc>
          <w:tcPr>
            <w:tcW w:w="1143" w:type="dxa"/>
            <w:vAlign w:val="center"/>
          </w:tcPr>
          <w:p w:rsidR="000A0027" w:rsidRPr="00E12559" w:rsidRDefault="000A0027" w:rsidP="00FC2C9E">
            <w:pPr>
              <w:pStyle w:val="Tabletext"/>
              <w:jc w:val="center"/>
            </w:pPr>
            <w:r w:rsidRPr="00E12559">
              <w:t>dB</w:t>
            </w:r>
          </w:p>
        </w:tc>
      </w:tr>
      <w:tr w:rsidR="000A0027" w:rsidRPr="00E12559" w:rsidTr="00FC2C9E">
        <w:trPr>
          <w:trHeight w:val="197"/>
          <w:jc w:val="center"/>
        </w:trPr>
        <w:tc>
          <w:tcPr>
            <w:tcW w:w="3557" w:type="dxa"/>
            <w:vAlign w:val="center"/>
          </w:tcPr>
          <w:p w:rsidR="000A0027" w:rsidRPr="00E12559" w:rsidRDefault="000A0027" w:rsidP="00FC2C9E">
            <w:pPr>
              <w:pStyle w:val="Tabletext"/>
              <w:rPr>
                <w:rFonts w:eastAsia="Batang"/>
              </w:rPr>
            </w:pPr>
            <w:r w:rsidRPr="00E12559">
              <w:t>Rapport signal/bruit requis</w:t>
            </w:r>
          </w:p>
        </w:tc>
        <w:tc>
          <w:tcPr>
            <w:tcW w:w="1530" w:type="dxa"/>
            <w:vAlign w:val="center"/>
          </w:tcPr>
          <w:p w:rsidR="000A0027" w:rsidRPr="00E12559" w:rsidRDefault="000A0027" w:rsidP="00FC2C9E">
            <w:pPr>
              <w:pStyle w:val="Tabletext"/>
              <w:jc w:val="center"/>
            </w:pPr>
            <w:r w:rsidRPr="00E12559">
              <w:t>9</w:t>
            </w:r>
          </w:p>
        </w:tc>
        <w:tc>
          <w:tcPr>
            <w:tcW w:w="1523" w:type="dxa"/>
            <w:vAlign w:val="center"/>
          </w:tcPr>
          <w:p w:rsidR="000A0027" w:rsidRPr="00E12559" w:rsidRDefault="000A0027" w:rsidP="00FC2C9E">
            <w:pPr>
              <w:pStyle w:val="Tabletext"/>
              <w:jc w:val="center"/>
            </w:pPr>
            <w:r w:rsidRPr="00E12559">
              <w:t>14</w:t>
            </w:r>
          </w:p>
        </w:tc>
        <w:tc>
          <w:tcPr>
            <w:tcW w:w="1143" w:type="dxa"/>
            <w:vAlign w:val="center"/>
          </w:tcPr>
          <w:p w:rsidR="000A0027" w:rsidRPr="00E12559" w:rsidRDefault="000A0027" w:rsidP="00FC2C9E">
            <w:pPr>
              <w:pStyle w:val="Tabletext"/>
              <w:jc w:val="center"/>
            </w:pPr>
            <w:r w:rsidRPr="00E12559">
              <w:t>dB</w:t>
            </w:r>
          </w:p>
        </w:tc>
      </w:tr>
      <w:tr w:rsidR="000A0027" w:rsidRPr="00E12559" w:rsidTr="00FC2C9E">
        <w:trPr>
          <w:trHeight w:val="197"/>
          <w:jc w:val="center"/>
        </w:trPr>
        <w:tc>
          <w:tcPr>
            <w:tcW w:w="3557" w:type="dxa"/>
            <w:vAlign w:val="center"/>
          </w:tcPr>
          <w:p w:rsidR="000A0027" w:rsidRPr="00E12559" w:rsidRDefault="000A0027" w:rsidP="00FC2C9E">
            <w:pPr>
              <w:pStyle w:val="Tabletext"/>
            </w:pPr>
            <w:r w:rsidRPr="00E12559">
              <w:t>Sensibilité du récepteur</w:t>
            </w:r>
          </w:p>
        </w:tc>
        <w:tc>
          <w:tcPr>
            <w:tcW w:w="1530" w:type="dxa"/>
            <w:vAlign w:val="center"/>
          </w:tcPr>
          <w:p w:rsidR="000A0027" w:rsidRPr="00E12559" w:rsidRDefault="000A0027" w:rsidP="00FC2C9E">
            <w:pPr>
              <w:pStyle w:val="Tabletext"/>
              <w:jc w:val="center"/>
            </w:pPr>
            <w:r w:rsidRPr="00E12559">
              <w:t>–91</w:t>
            </w:r>
          </w:p>
        </w:tc>
        <w:tc>
          <w:tcPr>
            <w:tcW w:w="1523" w:type="dxa"/>
            <w:vAlign w:val="center"/>
          </w:tcPr>
          <w:p w:rsidR="000A0027" w:rsidRPr="00E12559" w:rsidRDefault="000A0027" w:rsidP="00FC2C9E">
            <w:pPr>
              <w:pStyle w:val="Tabletext"/>
              <w:jc w:val="center"/>
            </w:pPr>
            <w:r w:rsidRPr="00E12559">
              <w:t>–77</w:t>
            </w:r>
          </w:p>
        </w:tc>
        <w:tc>
          <w:tcPr>
            <w:tcW w:w="1143" w:type="dxa"/>
            <w:vAlign w:val="center"/>
          </w:tcPr>
          <w:p w:rsidR="000A0027" w:rsidRPr="00E12559" w:rsidRDefault="000A0027" w:rsidP="00FC2C9E">
            <w:pPr>
              <w:pStyle w:val="Tabletext"/>
              <w:jc w:val="center"/>
            </w:pPr>
            <w:r w:rsidRPr="00E12559">
              <w:t>dBm</w:t>
            </w:r>
          </w:p>
        </w:tc>
      </w:tr>
      <w:tr w:rsidR="000A0027" w:rsidRPr="00E12559" w:rsidTr="00FC2C9E">
        <w:trPr>
          <w:trHeight w:val="197"/>
          <w:jc w:val="center"/>
        </w:trPr>
        <w:tc>
          <w:tcPr>
            <w:tcW w:w="3557" w:type="dxa"/>
            <w:vAlign w:val="center"/>
          </w:tcPr>
          <w:p w:rsidR="000A0027" w:rsidRPr="00E12559" w:rsidRDefault="000A0027" w:rsidP="00FC2C9E">
            <w:pPr>
              <w:pStyle w:val="Tabletext"/>
            </w:pPr>
            <w:r w:rsidRPr="00E12559">
              <w:t>Critère de protection (I/S)</w:t>
            </w:r>
          </w:p>
        </w:tc>
        <w:tc>
          <w:tcPr>
            <w:tcW w:w="1530" w:type="dxa"/>
            <w:vAlign w:val="center"/>
          </w:tcPr>
          <w:p w:rsidR="000A0027" w:rsidRPr="00E12559" w:rsidRDefault="000A0027" w:rsidP="00FC2C9E">
            <w:pPr>
              <w:pStyle w:val="Tabletext"/>
              <w:jc w:val="center"/>
            </w:pPr>
            <w:r w:rsidRPr="00E12559">
              <w:t>–9</w:t>
            </w:r>
          </w:p>
        </w:tc>
        <w:tc>
          <w:tcPr>
            <w:tcW w:w="1523" w:type="dxa"/>
            <w:vAlign w:val="center"/>
          </w:tcPr>
          <w:p w:rsidR="000A0027" w:rsidRPr="00E12559" w:rsidRDefault="000A0027" w:rsidP="00FC2C9E">
            <w:pPr>
              <w:pStyle w:val="Tabletext"/>
              <w:jc w:val="center"/>
            </w:pPr>
            <w:r w:rsidRPr="00E12559">
              <w:t>–14</w:t>
            </w:r>
          </w:p>
        </w:tc>
        <w:tc>
          <w:tcPr>
            <w:tcW w:w="1143" w:type="dxa"/>
            <w:vAlign w:val="center"/>
          </w:tcPr>
          <w:p w:rsidR="000A0027" w:rsidRPr="00E12559" w:rsidRDefault="000A0027" w:rsidP="00FC2C9E">
            <w:pPr>
              <w:pStyle w:val="Tabletext"/>
              <w:jc w:val="center"/>
            </w:pPr>
            <w:r w:rsidRPr="00E12559">
              <w:t>dB</w:t>
            </w:r>
          </w:p>
        </w:tc>
      </w:tr>
      <w:tr w:rsidR="000A0027" w:rsidRPr="00E12559" w:rsidTr="00FC2C9E">
        <w:trPr>
          <w:trHeight w:val="197"/>
          <w:jc w:val="center"/>
        </w:trPr>
        <w:tc>
          <w:tcPr>
            <w:tcW w:w="3557" w:type="dxa"/>
            <w:vAlign w:val="center"/>
          </w:tcPr>
          <w:p w:rsidR="000A0027" w:rsidRPr="00E12559" w:rsidRDefault="000A0027" w:rsidP="00FC2C9E">
            <w:pPr>
              <w:pStyle w:val="Tabletext"/>
            </w:pPr>
            <w:r w:rsidRPr="00E12559">
              <w:t>Valeur min. du rejet des brouillages hors bande</w:t>
            </w:r>
          </w:p>
        </w:tc>
        <w:tc>
          <w:tcPr>
            <w:tcW w:w="1530" w:type="dxa"/>
            <w:vAlign w:val="center"/>
          </w:tcPr>
          <w:p w:rsidR="000A0027" w:rsidRPr="00E12559" w:rsidRDefault="000A0027" w:rsidP="00FC2C9E">
            <w:pPr>
              <w:pStyle w:val="Tabletext"/>
              <w:jc w:val="center"/>
            </w:pPr>
            <w:r w:rsidRPr="00E12559">
              <w:t>–10</w:t>
            </w:r>
          </w:p>
        </w:tc>
        <w:tc>
          <w:tcPr>
            <w:tcW w:w="1523" w:type="dxa"/>
            <w:vAlign w:val="center"/>
          </w:tcPr>
          <w:p w:rsidR="000A0027" w:rsidRPr="00E12559" w:rsidRDefault="000A0027" w:rsidP="00FC2C9E">
            <w:pPr>
              <w:pStyle w:val="Tabletext"/>
              <w:jc w:val="center"/>
            </w:pPr>
            <w:r w:rsidRPr="00E12559">
              <w:t>–10</w:t>
            </w:r>
          </w:p>
        </w:tc>
        <w:tc>
          <w:tcPr>
            <w:tcW w:w="1143" w:type="dxa"/>
            <w:vAlign w:val="center"/>
          </w:tcPr>
          <w:p w:rsidR="000A0027" w:rsidRPr="00E12559" w:rsidRDefault="000A0027" w:rsidP="00FC2C9E">
            <w:pPr>
              <w:pStyle w:val="Tabletext"/>
              <w:jc w:val="center"/>
            </w:pPr>
            <w:r w:rsidRPr="00E12559">
              <w:t>dB</w:t>
            </w:r>
          </w:p>
        </w:tc>
      </w:tr>
      <w:tr w:rsidR="000A0027" w:rsidRPr="00E12559" w:rsidTr="00FC2C9E">
        <w:trPr>
          <w:trHeight w:val="197"/>
          <w:jc w:val="center"/>
        </w:trPr>
        <w:tc>
          <w:tcPr>
            <w:tcW w:w="3557" w:type="dxa"/>
            <w:vAlign w:val="center"/>
          </w:tcPr>
          <w:p w:rsidR="000A0027" w:rsidRPr="00E12559" w:rsidRDefault="000A0027" w:rsidP="00FC2C9E">
            <w:pPr>
              <w:pStyle w:val="Tabletext"/>
            </w:pPr>
            <w:r w:rsidRPr="00E12559">
              <w:t>Niveau de protection contre les surcharges à l'entrée</w:t>
            </w:r>
            <w:r w:rsidRPr="00A04A51">
              <w:rPr>
                <w:sz w:val="24"/>
                <w:szCs w:val="24"/>
                <w:vertAlign w:val="superscript"/>
              </w:rPr>
              <w:t>3</w:t>
            </w:r>
          </w:p>
        </w:tc>
        <w:tc>
          <w:tcPr>
            <w:tcW w:w="1530" w:type="dxa"/>
            <w:vAlign w:val="center"/>
          </w:tcPr>
          <w:p w:rsidR="000A0027" w:rsidRPr="00E12559" w:rsidRDefault="000A0027" w:rsidP="00FC2C9E">
            <w:pPr>
              <w:pStyle w:val="Tabletext"/>
              <w:jc w:val="center"/>
            </w:pPr>
            <w:r w:rsidRPr="00E12559">
              <w:t>–30</w:t>
            </w:r>
          </w:p>
        </w:tc>
        <w:tc>
          <w:tcPr>
            <w:tcW w:w="1523" w:type="dxa"/>
            <w:vAlign w:val="center"/>
          </w:tcPr>
          <w:p w:rsidR="000A0027" w:rsidRPr="00E12559" w:rsidRDefault="000A0027" w:rsidP="00FC2C9E">
            <w:pPr>
              <w:pStyle w:val="Tabletext"/>
              <w:jc w:val="center"/>
            </w:pPr>
            <w:r w:rsidRPr="00E12559">
              <w:t>–30</w:t>
            </w:r>
          </w:p>
        </w:tc>
        <w:tc>
          <w:tcPr>
            <w:tcW w:w="1143" w:type="dxa"/>
            <w:vAlign w:val="center"/>
          </w:tcPr>
          <w:p w:rsidR="000A0027" w:rsidRPr="00E12559" w:rsidRDefault="000A0027" w:rsidP="00FC2C9E">
            <w:pPr>
              <w:pStyle w:val="Tabletext"/>
              <w:jc w:val="center"/>
            </w:pPr>
            <w:r w:rsidRPr="00E12559">
              <w:t>dBm</w:t>
            </w:r>
          </w:p>
        </w:tc>
      </w:tr>
      <w:tr w:rsidR="000A0027" w:rsidRPr="00E12559" w:rsidTr="00FC2C9E">
        <w:trPr>
          <w:trHeight w:val="197"/>
          <w:jc w:val="center"/>
        </w:trPr>
        <w:tc>
          <w:tcPr>
            <w:tcW w:w="3557" w:type="dxa"/>
            <w:tcBorders>
              <w:bottom w:val="single" w:sz="4" w:space="0" w:color="auto"/>
            </w:tcBorders>
            <w:vAlign w:val="center"/>
          </w:tcPr>
          <w:p w:rsidR="000A0027" w:rsidRPr="00E12559" w:rsidRDefault="000A0027" w:rsidP="00FC2C9E">
            <w:pPr>
              <w:pStyle w:val="Tabletext"/>
              <w:rPr>
                <w:rFonts w:eastAsia="Batang"/>
              </w:rPr>
            </w:pPr>
            <w:r w:rsidRPr="00E12559">
              <w:t>Distance maximale entre un émetteur WAIC à l'extérieur et un récepteur</w:t>
            </w:r>
            <w:r w:rsidRPr="00A04A51">
              <w:rPr>
                <w:sz w:val="24"/>
                <w:szCs w:val="24"/>
                <w:vertAlign w:val="superscript"/>
              </w:rPr>
              <w:t>2</w:t>
            </w:r>
          </w:p>
        </w:tc>
        <w:tc>
          <w:tcPr>
            <w:tcW w:w="1530" w:type="dxa"/>
            <w:tcBorders>
              <w:bottom w:val="single" w:sz="4" w:space="0" w:color="auto"/>
            </w:tcBorders>
            <w:vAlign w:val="center"/>
          </w:tcPr>
          <w:p w:rsidR="000A0027" w:rsidRPr="00E12559" w:rsidRDefault="000A0027" w:rsidP="00FC2C9E">
            <w:pPr>
              <w:pStyle w:val="Tabletext"/>
              <w:jc w:val="center"/>
              <w:rPr>
                <w:rFonts w:eastAsia="Batang"/>
              </w:rPr>
            </w:pPr>
            <w:r w:rsidRPr="00E12559">
              <w:t>15</w:t>
            </w:r>
          </w:p>
        </w:tc>
        <w:tc>
          <w:tcPr>
            <w:tcW w:w="1523" w:type="dxa"/>
            <w:tcBorders>
              <w:bottom w:val="single" w:sz="4" w:space="0" w:color="auto"/>
            </w:tcBorders>
            <w:vAlign w:val="center"/>
          </w:tcPr>
          <w:p w:rsidR="000A0027" w:rsidRPr="00E12559" w:rsidRDefault="000A0027" w:rsidP="00FC2C9E">
            <w:pPr>
              <w:pStyle w:val="Tabletext"/>
              <w:jc w:val="center"/>
              <w:rPr>
                <w:rFonts w:eastAsia="Batang"/>
              </w:rPr>
            </w:pPr>
            <w:r w:rsidRPr="00E12559">
              <w:t>15</w:t>
            </w:r>
          </w:p>
        </w:tc>
        <w:tc>
          <w:tcPr>
            <w:tcW w:w="1143" w:type="dxa"/>
            <w:tcBorders>
              <w:bottom w:val="single" w:sz="4" w:space="0" w:color="auto"/>
            </w:tcBorders>
            <w:vAlign w:val="center"/>
          </w:tcPr>
          <w:p w:rsidR="000A0027" w:rsidRPr="00E12559" w:rsidRDefault="000A0027" w:rsidP="00FC2C9E">
            <w:pPr>
              <w:pStyle w:val="Tabletext"/>
              <w:jc w:val="center"/>
            </w:pPr>
            <w:r w:rsidRPr="00E12559">
              <w:t>mètres</w:t>
            </w:r>
          </w:p>
        </w:tc>
      </w:tr>
      <w:tr w:rsidR="000A0027" w:rsidRPr="005C2EBD" w:rsidTr="00FC2C9E">
        <w:trPr>
          <w:trHeight w:val="197"/>
          <w:jc w:val="center"/>
        </w:trPr>
        <w:tc>
          <w:tcPr>
            <w:tcW w:w="7753" w:type="dxa"/>
            <w:gridSpan w:val="4"/>
            <w:tcBorders>
              <w:left w:val="nil"/>
              <w:bottom w:val="nil"/>
              <w:right w:val="nil"/>
            </w:tcBorders>
            <w:vAlign w:val="center"/>
          </w:tcPr>
          <w:p w:rsidR="000A0027" w:rsidRPr="005C2EBD" w:rsidRDefault="000A0027" w:rsidP="00FC2C9E">
            <w:pPr>
              <w:pStyle w:val="Tablelegend"/>
            </w:pPr>
            <w:r w:rsidRPr="00A04A51">
              <w:rPr>
                <w:sz w:val="24"/>
                <w:szCs w:val="24"/>
                <w:vertAlign w:val="superscript"/>
              </w:rPr>
              <w:t>1</w:t>
            </w:r>
            <w:r w:rsidRPr="005C2EBD">
              <w:tab/>
              <w:t>On peut utiliser des antennes directives avec des gains supérieurs à 0 dBi dans la direction du faisceau principal et, par conséquent, des gains négatifs en dehors du faisceau principal. En pareils cas, le faisceau principal des antennes est pointé vers le centre de l'aéronef, ce qui permet de réduire le niveau global des émissions de l'aéronef.</w:t>
            </w:r>
          </w:p>
          <w:p w:rsidR="000A0027" w:rsidRPr="005C2EBD" w:rsidRDefault="000A0027" w:rsidP="00FC2C9E">
            <w:pPr>
              <w:pStyle w:val="Tablelegend"/>
            </w:pPr>
            <w:r w:rsidRPr="00A04A51">
              <w:rPr>
                <w:sz w:val="24"/>
                <w:szCs w:val="24"/>
                <w:vertAlign w:val="superscript"/>
              </w:rPr>
              <w:t>2</w:t>
            </w:r>
            <w:r w:rsidRPr="005C2EBD">
              <w:tab/>
              <w:t>Ces valeurs sont des limites supérieures techniques. Des valeurs inférieures sont généralement possibles au prix d'une modification de la taille des cellules et d'une augmentation du nombre de cellules nécessaires pour couvrir correctement l'aéronef.</w:t>
            </w:r>
          </w:p>
          <w:p w:rsidR="000A0027" w:rsidRPr="005C2EBD" w:rsidRDefault="000A0027" w:rsidP="00FC2C9E">
            <w:pPr>
              <w:pStyle w:val="Tablelegend"/>
            </w:pPr>
            <w:r w:rsidRPr="00A04A51">
              <w:rPr>
                <w:sz w:val="24"/>
                <w:szCs w:val="24"/>
                <w:vertAlign w:val="superscript"/>
              </w:rPr>
              <w:t>3</w:t>
            </w:r>
            <w:r w:rsidRPr="005C2EBD">
              <w:tab/>
              <w:t>La puissance du brouillage incident doit être inférieure à –30 dBm sur toute la plage de fréquences attribuée afin de maintenir un fonctionnement suffisamment linéaire.</w:t>
            </w:r>
          </w:p>
        </w:tc>
      </w:tr>
    </w:tbl>
    <w:p w:rsidR="00CF29BA" w:rsidRDefault="00CF29BA" w:rsidP="003E3EFF">
      <w:pPr>
        <w:pStyle w:val="Tablefin"/>
        <w:rPr>
          <w:lang w:val="fr-FR"/>
        </w:rPr>
      </w:pPr>
    </w:p>
    <w:p w:rsidR="00A3600A" w:rsidRPr="00A3600A" w:rsidRDefault="00A3600A" w:rsidP="00A3600A"/>
    <w:p w:rsidR="00CF29BA" w:rsidRPr="003E3EFF" w:rsidRDefault="00CF29BA" w:rsidP="003E3EFF">
      <w:pPr>
        <w:pStyle w:val="Line"/>
        <w:rPr>
          <w:lang w:val="fr-CH"/>
        </w:rPr>
      </w:pPr>
    </w:p>
    <w:sectPr w:rsidR="00CF29BA" w:rsidRPr="003E3EFF"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5A9E" w:rsidRDefault="00155A9E">
      <w:r>
        <w:separator/>
      </w:r>
    </w:p>
  </w:endnote>
  <w:endnote w:type="continuationSeparator" w:id="0">
    <w:p w:rsidR="00155A9E" w:rsidRDefault="00155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5A9E" w:rsidRDefault="00155A9E">
      <w:r>
        <w:separator/>
      </w:r>
    </w:p>
  </w:footnote>
  <w:footnote w:type="continuationSeparator" w:id="0">
    <w:p w:rsidR="00155A9E" w:rsidRDefault="00155A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A443C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AB2DA1" w:rsidP="00C668C8">
    <w:pPr>
      <w:pStyle w:val="Header"/>
      <w:ind w:right="360" w:firstLine="360"/>
    </w:pPr>
    <w:r>
      <w:rPr>
        <w:noProof/>
        <w:lang w:val="en-US" w:eastAsia="zh-CN"/>
      </w:rPr>
      <w:drawing>
        <wp:anchor distT="0" distB="0" distL="114300" distR="114300" simplePos="0" relativeHeight="251656704" behindDoc="1" locked="0" layoutInCell="1" allowOverlap="1" wp14:anchorId="5FA5FC15" wp14:editId="7DC495E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Pr="00837CB5" w:rsidRDefault="00A443C2" w:rsidP="00A163D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23065B">
      <w:rPr>
        <w:rStyle w:val="PageNumber"/>
        <w:b/>
        <w:bCs/>
        <w:noProof/>
      </w:rPr>
      <w:t>ii</w:t>
    </w:r>
    <w:r>
      <w:rPr>
        <w:rStyle w:val="PageNumber"/>
        <w:b/>
        <w:bCs/>
      </w:rPr>
      <w:fldChar w:fldCharType="end"/>
    </w:r>
    <w:r w:rsidRPr="00837CB5">
      <w:tab/>
    </w:r>
    <w:fldSimple w:instr=" DOCPROPERTY &quot;Header&quot; \* MERGEFORMAT ">
      <w:r w:rsidR="0023065B" w:rsidRPr="0023065B">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23065B">
      <w:rPr>
        <w:b/>
        <w:bCs/>
        <w:noProof/>
      </w:rPr>
      <w:t>UIT-R  M.2067-0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A443C2" w:rsidP="00A163D3">
    <w:pPr>
      <w:pStyle w:val="Header"/>
    </w:pPr>
    <w:r>
      <w:tab/>
    </w:r>
    <w:fldSimple w:instr=" DOCPROPERTY &quot;Header&quot; \* MERGEFORMAT ">
      <w:r w:rsidR="0023065B" w:rsidRPr="0023065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3065B">
      <w:rPr>
        <w:b/>
        <w:bCs/>
        <w:noProof/>
      </w:rPr>
      <w:t>UIT-R  M.2067-0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3065B">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174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257FB"/>
    <w:rsid w:val="00072484"/>
    <w:rsid w:val="00076BD8"/>
    <w:rsid w:val="00096612"/>
    <w:rsid w:val="000A0027"/>
    <w:rsid w:val="000A0A78"/>
    <w:rsid w:val="000B7683"/>
    <w:rsid w:val="00102934"/>
    <w:rsid w:val="00123FD5"/>
    <w:rsid w:val="00125B6D"/>
    <w:rsid w:val="00126AF2"/>
    <w:rsid w:val="00147110"/>
    <w:rsid w:val="00155A9E"/>
    <w:rsid w:val="001671C8"/>
    <w:rsid w:val="00176160"/>
    <w:rsid w:val="00202D10"/>
    <w:rsid w:val="002058CE"/>
    <w:rsid w:val="002165F1"/>
    <w:rsid w:val="00227626"/>
    <w:rsid w:val="0023065B"/>
    <w:rsid w:val="00261CA3"/>
    <w:rsid w:val="0027327C"/>
    <w:rsid w:val="00276D21"/>
    <w:rsid w:val="00296D7F"/>
    <w:rsid w:val="002B3CF6"/>
    <w:rsid w:val="002C768A"/>
    <w:rsid w:val="002D76C4"/>
    <w:rsid w:val="00363367"/>
    <w:rsid w:val="00397AD0"/>
    <w:rsid w:val="003C46BD"/>
    <w:rsid w:val="003E0582"/>
    <w:rsid w:val="003E3EFF"/>
    <w:rsid w:val="00420DFD"/>
    <w:rsid w:val="00422AE4"/>
    <w:rsid w:val="00470E28"/>
    <w:rsid w:val="004934C5"/>
    <w:rsid w:val="004A1A5B"/>
    <w:rsid w:val="004A4D65"/>
    <w:rsid w:val="00505840"/>
    <w:rsid w:val="005258F8"/>
    <w:rsid w:val="00530208"/>
    <w:rsid w:val="00556548"/>
    <w:rsid w:val="00567DC0"/>
    <w:rsid w:val="005847DC"/>
    <w:rsid w:val="00586EF8"/>
    <w:rsid w:val="00592F9F"/>
    <w:rsid w:val="00593B96"/>
    <w:rsid w:val="005B49AB"/>
    <w:rsid w:val="005B50E7"/>
    <w:rsid w:val="005B65B9"/>
    <w:rsid w:val="005E6DCC"/>
    <w:rsid w:val="005E7B4F"/>
    <w:rsid w:val="00601290"/>
    <w:rsid w:val="0060611D"/>
    <w:rsid w:val="00607D68"/>
    <w:rsid w:val="006149B1"/>
    <w:rsid w:val="00614CC6"/>
    <w:rsid w:val="00647E80"/>
    <w:rsid w:val="00654D8A"/>
    <w:rsid w:val="00680D2B"/>
    <w:rsid w:val="006812C4"/>
    <w:rsid w:val="00681B32"/>
    <w:rsid w:val="006C7827"/>
    <w:rsid w:val="006E2037"/>
    <w:rsid w:val="006F154D"/>
    <w:rsid w:val="00712870"/>
    <w:rsid w:val="00731BD8"/>
    <w:rsid w:val="00743D85"/>
    <w:rsid w:val="00753CF4"/>
    <w:rsid w:val="007565CC"/>
    <w:rsid w:val="00756B4D"/>
    <w:rsid w:val="00763B9A"/>
    <w:rsid w:val="00776E56"/>
    <w:rsid w:val="007A308E"/>
    <w:rsid w:val="007A6AA8"/>
    <w:rsid w:val="008310C9"/>
    <w:rsid w:val="00837CB5"/>
    <w:rsid w:val="00872472"/>
    <w:rsid w:val="008C7848"/>
    <w:rsid w:val="008F5522"/>
    <w:rsid w:val="00917AF2"/>
    <w:rsid w:val="0092418A"/>
    <w:rsid w:val="00934ED7"/>
    <w:rsid w:val="009454F8"/>
    <w:rsid w:val="009543C3"/>
    <w:rsid w:val="00966E1B"/>
    <w:rsid w:val="00987C75"/>
    <w:rsid w:val="009B5551"/>
    <w:rsid w:val="009C5289"/>
    <w:rsid w:val="009F2D2C"/>
    <w:rsid w:val="00A04A51"/>
    <w:rsid w:val="00A163D3"/>
    <w:rsid w:val="00A3600A"/>
    <w:rsid w:val="00A443C2"/>
    <w:rsid w:val="00A52DB0"/>
    <w:rsid w:val="00A6617B"/>
    <w:rsid w:val="00A71FE5"/>
    <w:rsid w:val="00AA3AD8"/>
    <w:rsid w:val="00AA65AD"/>
    <w:rsid w:val="00AB0DC8"/>
    <w:rsid w:val="00AB2DA1"/>
    <w:rsid w:val="00AB52D1"/>
    <w:rsid w:val="00AD267B"/>
    <w:rsid w:val="00B033C8"/>
    <w:rsid w:val="00B33425"/>
    <w:rsid w:val="00B44E24"/>
    <w:rsid w:val="00B54ECC"/>
    <w:rsid w:val="00B714F3"/>
    <w:rsid w:val="00BC0651"/>
    <w:rsid w:val="00BC5D77"/>
    <w:rsid w:val="00BF487A"/>
    <w:rsid w:val="00C362C3"/>
    <w:rsid w:val="00C37C23"/>
    <w:rsid w:val="00C448DA"/>
    <w:rsid w:val="00C46BD9"/>
    <w:rsid w:val="00C551E5"/>
    <w:rsid w:val="00C55258"/>
    <w:rsid w:val="00C668C8"/>
    <w:rsid w:val="00C73560"/>
    <w:rsid w:val="00C854EA"/>
    <w:rsid w:val="00C95B6F"/>
    <w:rsid w:val="00CB0F14"/>
    <w:rsid w:val="00CD659B"/>
    <w:rsid w:val="00CD7DC8"/>
    <w:rsid w:val="00CF29BA"/>
    <w:rsid w:val="00D017C0"/>
    <w:rsid w:val="00D31EB8"/>
    <w:rsid w:val="00D70C4E"/>
    <w:rsid w:val="00DB2AF0"/>
    <w:rsid w:val="00DB5729"/>
    <w:rsid w:val="00DF4176"/>
    <w:rsid w:val="00E02402"/>
    <w:rsid w:val="00E17240"/>
    <w:rsid w:val="00E44C45"/>
    <w:rsid w:val="00E44CBB"/>
    <w:rsid w:val="00E84B6E"/>
    <w:rsid w:val="00EA6E8E"/>
    <w:rsid w:val="00EE57AA"/>
    <w:rsid w:val="00F30C9B"/>
    <w:rsid w:val="00F316C4"/>
    <w:rsid w:val="00F336CC"/>
    <w:rsid w:val="00F354B1"/>
    <w:rsid w:val="00F54FBD"/>
    <w:rsid w:val="00FA3A21"/>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colormru v:ext="edit" colors="#d62a47"/>
      <o:colormenu v:ext="edit" strokecolor="#d62a47"/>
    </o:shapedefaults>
    <o:shapelayout v:ext="edit">
      <o:idmap v:ext="edit" data="1"/>
    </o:shapelayout>
  </w:shapeDefaults>
  <w:decimalSymbol w:val="."/>
  <w:listSeparator w:val=","/>
  <w15:docId w15:val="{2093194B-234D-445E-B111-13FFF91EB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2D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B2DA1"/>
    <w:pPr>
      <w:keepNext/>
      <w:keepLines/>
      <w:spacing w:before="480"/>
      <w:ind w:left="794" w:hanging="794"/>
      <w:outlineLvl w:val="0"/>
    </w:pPr>
    <w:rPr>
      <w:b/>
    </w:rPr>
  </w:style>
  <w:style w:type="paragraph" w:styleId="Heading2">
    <w:name w:val="heading 2"/>
    <w:basedOn w:val="Heading1"/>
    <w:next w:val="Normal"/>
    <w:qFormat/>
    <w:rsid w:val="00AB2DA1"/>
    <w:pPr>
      <w:spacing w:before="320"/>
      <w:outlineLvl w:val="1"/>
    </w:pPr>
  </w:style>
  <w:style w:type="paragraph" w:styleId="Heading3">
    <w:name w:val="heading 3"/>
    <w:basedOn w:val="Heading1"/>
    <w:next w:val="Normal"/>
    <w:qFormat/>
    <w:rsid w:val="00AB2DA1"/>
    <w:pPr>
      <w:spacing w:before="200"/>
      <w:outlineLvl w:val="2"/>
    </w:pPr>
  </w:style>
  <w:style w:type="paragraph" w:styleId="Heading4">
    <w:name w:val="heading 4"/>
    <w:basedOn w:val="Heading3"/>
    <w:next w:val="Normal"/>
    <w:qFormat/>
    <w:rsid w:val="00AB2DA1"/>
    <w:pPr>
      <w:tabs>
        <w:tab w:val="clear" w:pos="794"/>
        <w:tab w:val="left" w:pos="992"/>
      </w:tabs>
      <w:ind w:left="992" w:hanging="992"/>
      <w:outlineLvl w:val="3"/>
    </w:pPr>
  </w:style>
  <w:style w:type="paragraph" w:styleId="Heading5">
    <w:name w:val="heading 5"/>
    <w:basedOn w:val="Heading4"/>
    <w:next w:val="Normal"/>
    <w:qFormat/>
    <w:rsid w:val="00AB2DA1"/>
    <w:pPr>
      <w:outlineLvl w:val="4"/>
    </w:pPr>
  </w:style>
  <w:style w:type="paragraph" w:styleId="Heading6">
    <w:name w:val="heading 6"/>
    <w:basedOn w:val="Heading4"/>
    <w:next w:val="Normal"/>
    <w:qFormat/>
    <w:rsid w:val="00AB2DA1"/>
    <w:pPr>
      <w:tabs>
        <w:tab w:val="clear" w:pos="992"/>
        <w:tab w:val="clear" w:pos="1191"/>
      </w:tabs>
      <w:ind w:left="1588" w:hanging="1588"/>
      <w:outlineLvl w:val="5"/>
    </w:pPr>
  </w:style>
  <w:style w:type="paragraph" w:styleId="Heading7">
    <w:name w:val="heading 7"/>
    <w:basedOn w:val="Heading6"/>
    <w:next w:val="Normal"/>
    <w:qFormat/>
    <w:rsid w:val="00AB2DA1"/>
    <w:pPr>
      <w:outlineLvl w:val="6"/>
    </w:pPr>
  </w:style>
  <w:style w:type="paragraph" w:styleId="Heading8">
    <w:name w:val="heading 8"/>
    <w:basedOn w:val="Heading6"/>
    <w:next w:val="Normal"/>
    <w:qFormat/>
    <w:rsid w:val="00AB2DA1"/>
    <w:pPr>
      <w:outlineLvl w:val="7"/>
    </w:pPr>
  </w:style>
  <w:style w:type="paragraph" w:styleId="Heading9">
    <w:name w:val="heading 9"/>
    <w:basedOn w:val="Heading6"/>
    <w:next w:val="Normal"/>
    <w:qFormat/>
    <w:rsid w:val="00AB2DA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B2DA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B2DA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B2DA1"/>
  </w:style>
  <w:style w:type="paragraph" w:customStyle="1" w:styleId="Headingb">
    <w:name w:val="Heading_b"/>
    <w:basedOn w:val="Heading3"/>
    <w:next w:val="Normal"/>
    <w:rsid w:val="00AB2DA1"/>
    <w:pPr>
      <w:spacing w:before="160"/>
      <w:ind w:left="0" w:firstLine="0"/>
      <w:outlineLvl w:val="9"/>
    </w:pPr>
  </w:style>
  <w:style w:type="paragraph" w:customStyle="1" w:styleId="Headingi">
    <w:name w:val="Heading_i"/>
    <w:basedOn w:val="Heading3"/>
    <w:next w:val="Normal"/>
    <w:rsid w:val="00AB2DA1"/>
    <w:pPr>
      <w:spacing w:before="160"/>
      <w:ind w:left="0" w:firstLine="0"/>
    </w:pPr>
    <w:rPr>
      <w:b w:val="0"/>
      <w:i/>
    </w:rPr>
  </w:style>
  <w:style w:type="character" w:customStyle="1" w:styleId="href">
    <w:name w:val="href"/>
    <w:basedOn w:val="DefaultParagraphFont"/>
    <w:rsid w:val="00AB2DA1"/>
  </w:style>
  <w:style w:type="paragraph" w:customStyle="1" w:styleId="AnnexNoTitle">
    <w:name w:val="Annex_NoTitle"/>
    <w:basedOn w:val="Heading1"/>
    <w:next w:val="Normalaftertitle"/>
    <w:rsid w:val="00A04A51"/>
    <w:pPr>
      <w:spacing w:after="80"/>
      <w:jc w:val="center"/>
    </w:pPr>
    <w:rPr>
      <w:sz w:val="28"/>
    </w:rPr>
  </w:style>
  <w:style w:type="paragraph" w:customStyle="1" w:styleId="Normalaftertitle">
    <w:name w:val="Normal_after_title"/>
    <w:basedOn w:val="Normal"/>
    <w:next w:val="Normal"/>
    <w:rsid w:val="00AB2DA1"/>
    <w:pPr>
      <w:spacing w:before="320"/>
    </w:pPr>
  </w:style>
  <w:style w:type="paragraph" w:customStyle="1" w:styleId="enumlev2">
    <w:name w:val="enumlev2"/>
    <w:basedOn w:val="enumlev1"/>
    <w:rsid w:val="00AB2DA1"/>
    <w:pPr>
      <w:ind w:left="1191" w:hanging="397"/>
    </w:pPr>
  </w:style>
  <w:style w:type="paragraph" w:customStyle="1" w:styleId="enumlev1">
    <w:name w:val="enumlev1"/>
    <w:basedOn w:val="Normal"/>
    <w:rsid w:val="00AB2DA1"/>
    <w:pPr>
      <w:spacing w:before="80"/>
      <w:ind w:left="794" w:hanging="794"/>
    </w:pPr>
  </w:style>
  <w:style w:type="paragraph" w:customStyle="1" w:styleId="enumlev3">
    <w:name w:val="enumlev3"/>
    <w:basedOn w:val="enumlev2"/>
    <w:rsid w:val="00AB2DA1"/>
    <w:pPr>
      <w:ind w:left="1588"/>
    </w:pPr>
  </w:style>
  <w:style w:type="paragraph" w:customStyle="1" w:styleId="Note">
    <w:name w:val="Note"/>
    <w:basedOn w:val="Normal"/>
    <w:rsid w:val="00AB2DA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B2DA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B2DA1"/>
    <w:pPr>
      <w:keepNext/>
      <w:keepLines/>
      <w:spacing w:before="240"/>
      <w:jc w:val="center"/>
    </w:pPr>
    <w:rPr>
      <w:b/>
      <w:sz w:val="28"/>
    </w:rPr>
  </w:style>
  <w:style w:type="paragraph" w:customStyle="1" w:styleId="Recref">
    <w:name w:val="Rec_ref"/>
    <w:basedOn w:val="Normal"/>
    <w:next w:val="Recdate"/>
    <w:rsid w:val="00AB2DA1"/>
    <w:pPr>
      <w:jc w:val="center"/>
    </w:pPr>
  </w:style>
  <w:style w:type="paragraph" w:customStyle="1" w:styleId="Recdate">
    <w:name w:val="Rec_date"/>
    <w:basedOn w:val="Recref"/>
    <w:next w:val="Normalaftertitle"/>
    <w:rsid w:val="00AB2DA1"/>
    <w:pPr>
      <w:jc w:val="right"/>
    </w:pPr>
  </w:style>
  <w:style w:type="paragraph" w:customStyle="1" w:styleId="HeadingSum">
    <w:name w:val="Heading_Sum"/>
    <w:basedOn w:val="Headingb"/>
    <w:next w:val="Normal"/>
    <w:rsid w:val="00AB2DA1"/>
    <w:pPr>
      <w:spacing w:before="240"/>
    </w:pPr>
    <w:rPr>
      <w:sz w:val="22"/>
      <w:lang w:val="es-ES_tradnl"/>
    </w:rPr>
  </w:style>
  <w:style w:type="paragraph" w:customStyle="1" w:styleId="AppendixNoTitle">
    <w:name w:val="Appendix_NoTitle"/>
    <w:basedOn w:val="AnnexNoTitle"/>
    <w:next w:val="Normal"/>
    <w:rsid w:val="00AB2DA1"/>
  </w:style>
  <w:style w:type="paragraph" w:customStyle="1" w:styleId="Tablefin">
    <w:name w:val="Table_fin"/>
    <w:basedOn w:val="Normal"/>
    <w:next w:val="Normal"/>
    <w:rsid w:val="00AB2DA1"/>
    <w:pPr>
      <w:spacing w:before="0"/>
    </w:pPr>
    <w:rPr>
      <w:sz w:val="20"/>
      <w:lang w:val="en-GB"/>
    </w:rPr>
  </w:style>
  <w:style w:type="paragraph" w:customStyle="1" w:styleId="Tablehead">
    <w:name w:val="Table_head"/>
    <w:basedOn w:val="Normal"/>
    <w:next w:val="Normal"/>
    <w:link w:val="TableheadChar"/>
    <w:rsid w:val="00AB2DA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AB2DA1"/>
    <w:pPr>
      <w:keepNext/>
      <w:spacing w:before="360" w:after="120"/>
      <w:jc w:val="center"/>
    </w:pPr>
  </w:style>
  <w:style w:type="paragraph" w:customStyle="1" w:styleId="Tabletext">
    <w:name w:val="Table_text"/>
    <w:basedOn w:val="Normal"/>
    <w:link w:val="TabletextChar"/>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B2DA1"/>
    <w:pPr>
      <w:tabs>
        <w:tab w:val="clear" w:pos="1191"/>
        <w:tab w:val="clear" w:pos="1588"/>
        <w:tab w:val="clear" w:pos="1985"/>
        <w:tab w:val="center" w:pos="4820"/>
        <w:tab w:val="right" w:pos="9639"/>
      </w:tabs>
    </w:pPr>
  </w:style>
  <w:style w:type="paragraph" w:customStyle="1" w:styleId="Equationlegend">
    <w:name w:val="Equation_legend"/>
    <w:basedOn w:val="NormalIndent"/>
    <w:rsid w:val="00AB2DA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B2DA1"/>
    <w:pPr>
      <w:ind w:left="794"/>
    </w:pPr>
  </w:style>
  <w:style w:type="paragraph" w:customStyle="1" w:styleId="Figurelegend">
    <w:name w:val="Figure_legend"/>
    <w:basedOn w:val="Normal"/>
    <w:rsid w:val="00AB2DA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B2DA1"/>
    <w:pPr>
      <w:keepNext/>
      <w:keepLines/>
      <w:spacing w:before="480" w:after="80"/>
      <w:jc w:val="center"/>
    </w:pPr>
    <w:rPr>
      <w:caps/>
      <w:sz w:val="18"/>
    </w:rPr>
  </w:style>
  <w:style w:type="paragraph" w:customStyle="1" w:styleId="Figuretitle">
    <w:name w:val="Figure_title"/>
    <w:basedOn w:val="Normal"/>
    <w:next w:val="Figure"/>
    <w:link w:val="FiguretitleChar"/>
    <w:rsid w:val="00AB2DA1"/>
    <w:pPr>
      <w:keepNext/>
      <w:spacing w:before="0" w:after="120"/>
      <w:jc w:val="center"/>
    </w:pPr>
    <w:rPr>
      <w:rFonts w:ascii="Times New Roman Bold" w:hAnsi="Times New Roman Bold"/>
      <w:b/>
      <w:sz w:val="18"/>
    </w:rPr>
  </w:style>
  <w:style w:type="paragraph" w:customStyle="1" w:styleId="Figure">
    <w:name w:val="Figure"/>
    <w:basedOn w:val="FigureNo"/>
    <w:next w:val="Normal"/>
    <w:rsid w:val="00AB2DA1"/>
    <w:pPr>
      <w:keepNext w:val="0"/>
      <w:spacing w:before="0" w:after="240"/>
    </w:pPr>
  </w:style>
  <w:style w:type="paragraph" w:customStyle="1" w:styleId="tocpart">
    <w:name w:val="tocpart"/>
    <w:basedOn w:val="Normal"/>
    <w:rsid w:val="00AB2DA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B2DA1"/>
    <w:pPr>
      <w:keepNext/>
      <w:keepLines/>
      <w:spacing w:before="480"/>
      <w:jc w:val="center"/>
    </w:pPr>
    <w:rPr>
      <w:sz w:val="28"/>
    </w:rPr>
  </w:style>
  <w:style w:type="paragraph" w:customStyle="1" w:styleId="Arttitle">
    <w:name w:val="Art_title"/>
    <w:basedOn w:val="Normal"/>
    <w:next w:val="Normalaftertitle"/>
    <w:rsid w:val="00AB2DA1"/>
    <w:pPr>
      <w:keepNext/>
      <w:keepLines/>
      <w:spacing w:before="240"/>
      <w:jc w:val="center"/>
    </w:pPr>
    <w:rPr>
      <w:b/>
      <w:sz w:val="28"/>
    </w:rPr>
  </w:style>
  <w:style w:type="paragraph" w:customStyle="1" w:styleId="Blanc">
    <w:name w:val="Blanc"/>
    <w:basedOn w:val="Normal"/>
    <w:next w:val="Tabletext"/>
    <w:rsid w:val="00AB2DA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B2DA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B2DA1"/>
    <w:pPr>
      <w:keepNext/>
      <w:keepLines/>
      <w:spacing w:before="160"/>
      <w:ind w:left="794"/>
    </w:pPr>
    <w:rPr>
      <w:i/>
    </w:rPr>
  </w:style>
  <w:style w:type="paragraph" w:customStyle="1" w:styleId="ChapNo">
    <w:name w:val="Chap_No"/>
    <w:basedOn w:val="ArtNo"/>
    <w:next w:val="Chaptitle"/>
    <w:rsid w:val="00AB2DA1"/>
    <w:rPr>
      <w:b/>
    </w:rPr>
  </w:style>
  <w:style w:type="paragraph" w:customStyle="1" w:styleId="Chaptitle">
    <w:name w:val="Chap_title"/>
    <w:basedOn w:val="Arttitle"/>
    <w:next w:val="Normalaftertitle"/>
    <w:rsid w:val="00AB2DA1"/>
  </w:style>
  <w:style w:type="character" w:styleId="FootnoteReference">
    <w:name w:val="footnote reference"/>
    <w:basedOn w:val="DefaultParagraphFont"/>
    <w:semiHidden/>
    <w:rsid w:val="00AB2DA1"/>
    <w:rPr>
      <w:position w:val="6"/>
      <w:sz w:val="18"/>
    </w:rPr>
  </w:style>
  <w:style w:type="paragraph" w:styleId="FootnoteText">
    <w:name w:val="footnote text"/>
    <w:basedOn w:val="Normal"/>
    <w:semiHidden/>
    <w:rsid w:val="00AB2DA1"/>
    <w:pPr>
      <w:keepLines/>
      <w:tabs>
        <w:tab w:val="left" w:pos="255"/>
      </w:tabs>
      <w:ind w:left="255" w:hanging="255"/>
    </w:pPr>
    <w:rPr>
      <w:sz w:val="22"/>
    </w:rPr>
  </w:style>
  <w:style w:type="paragraph" w:styleId="Index1">
    <w:name w:val="index 1"/>
    <w:basedOn w:val="Normal"/>
    <w:next w:val="Normal"/>
    <w:semiHidden/>
    <w:rsid w:val="00AB2DA1"/>
  </w:style>
  <w:style w:type="paragraph" w:styleId="Index2">
    <w:name w:val="index 2"/>
    <w:basedOn w:val="Normal"/>
    <w:next w:val="Normal"/>
    <w:semiHidden/>
    <w:rsid w:val="00AB2DA1"/>
    <w:pPr>
      <w:ind w:left="283"/>
    </w:pPr>
  </w:style>
  <w:style w:type="paragraph" w:styleId="Index3">
    <w:name w:val="index 3"/>
    <w:basedOn w:val="Normal"/>
    <w:next w:val="Normal"/>
    <w:semiHidden/>
    <w:rsid w:val="00AB2DA1"/>
    <w:pPr>
      <w:ind w:left="566"/>
    </w:pPr>
  </w:style>
  <w:style w:type="paragraph" w:styleId="IndexHeading">
    <w:name w:val="index heading"/>
    <w:basedOn w:val="Normal"/>
    <w:next w:val="Index1"/>
    <w:semiHidden/>
    <w:rsid w:val="00AB2DA1"/>
  </w:style>
  <w:style w:type="paragraph" w:customStyle="1" w:styleId="Line">
    <w:name w:val="Line"/>
    <w:basedOn w:val="Normal"/>
    <w:next w:val="Normal"/>
    <w:rsid w:val="00AB2DA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B2DA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B2DA1"/>
  </w:style>
  <w:style w:type="paragraph" w:customStyle="1" w:styleId="Partref">
    <w:name w:val="Part_ref"/>
    <w:basedOn w:val="Normal"/>
    <w:next w:val="Normal"/>
    <w:rsid w:val="00AB2DA1"/>
    <w:pPr>
      <w:keepNext/>
      <w:keepLines/>
      <w:spacing w:after="280"/>
      <w:jc w:val="center"/>
    </w:pPr>
  </w:style>
  <w:style w:type="paragraph" w:customStyle="1" w:styleId="Parttitle">
    <w:name w:val="Part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B2DA1"/>
  </w:style>
  <w:style w:type="paragraph" w:customStyle="1" w:styleId="QuestionNo">
    <w:name w:val="Question_No"/>
    <w:basedOn w:val="RecNo"/>
    <w:next w:val="Normal"/>
    <w:rsid w:val="00AB2DA1"/>
  </w:style>
  <w:style w:type="paragraph" w:customStyle="1" w:styleId="Questionref">
    <w:name w:val="Question_ref"/>
    <w:basedOn w:val="Recref"/>
    <w:next w:val="Questiondate"/>
    <w:rsid w:val="00AB2DA1"/>
  </w:style>
  <w:style w:type="paragraph" w:customStyle="1" w:styleId="Questiontitle">
    <w:name w:val="Question_title"/>
    <w:basedOn w:val="Normal"/>
    <w:next w:val="Questionref"/>
    <w:rsid w:val="00AB2DA1"/>
  </w:style>
  <w:style w:type="paragraph" w:customStyle="1" w:styleId="Reftext">
    <w:name w:val="Ref_text"/>
    <w:basedOn w:val="Normal"/>
    <w:rsid w:val="00AB2DA1"/>
    <w:pPr>
      <w:ind w:left="794" w:hanging="794"/>
    </w:pPr>
    <w:rPr>
      <w:sz w:val="22"/>
    </w:rPr>
  </w:style>
  <w:style w:type="paragraph" w:customStyle="1" w:styleId="Reftitle">
    <w:name w:val="Ref_title"/>
    <w:basedOn w:val="Normal"/>
    <w:next w:val="Reftext"/>
    <w:rsid w:val="00AB2DA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B2DA1"/>
  </w:style>
  <w:style w:type="paragraph" w:customStyle="1" w:styleId="RepNo">
    <w:name w:val="Rep_No"/>
    <w:basedOn w:val="RecNo"/>
    <w:next w:val="Reptitle"/>
    <w:rsid w:val="00AB2DA1"/>
  </w:style>
  <w:style w:type="paragraph" w:customStyle="1" w:styleId="Reptitle">
    <w:name w:val="Rep_title"/>
    <w:basedOn w:val="Rectitle"/>
    <w:next w:val="Repref"/>
    <w:rsid w:val="00AB2DA1"/>
  </w:style>
  <w:style w:type="paragraph" w:customStyle="1" w:styleId="Repref">
    <w:name w:val="Rep_ref"/>
    <w:basedOn w:val="Recref"/>
    <w:next w:val="Repdate"/>
    <w:rsid w:val="00AB2DA1"/>
  </w:style>
  <w:style w:type="paragraph" w:customStyle="1" w:styleId="Resdate">
    <w:name w:val="Res_date"/>
    <w:basedOn w:val="Recdate"/>
    <w:next w:val="Normalaftertitle"/>
    <w:rsid w:val="00AB2DA1"/>
  </w:style>
  <w:style w:type="paragraph" w:customStyle="1" w:styleId="ResNo">
    <w:name w:val="Res_No"/>
    <w:basedOn w:val="RecNo"/>
    <w:next w:val="Restitle"/>
    <w:rsid w:val="00AB2DA1"/>
  </w:style>
  <w:style w:type="paragraph" w:customStyle="1" w:styleId="Restitle">
    <w:name w:val="Res_title"/>
    <w:basedOn w:val="Normal"/>
    <w:next w:val="Resref"/>
    <w:rsid w:val="00AB2DA1"/>
    <w:pPr>
      <w:spacing w:before="240"/>
      <w:jc w:val="center"/>
    </w:pPr>
    <w:rPr>
      <w:b/>
      <w:sz w:val="28"/>
    </w:rPr>
  </w:style>
  <w:style w:type="paragraph" w:customStyle="1" w:styleId="Resref">
    <w:name w:val="Res_ref"/>
    <w:basedOn w:val="Recref"/>
    <w:next w:val="Resdate"/>
    <w:rsid w:val="00AB2DA1"/>
  </w:style>
  <w:style w:type="paragraph" w:customStyle="1" w:styleId="SectionNo">
    <w:name w:val="Section_No"/>
    <w:basedOn w:val="Normal"/>
    <w:next w:val="Normal"/>
    <w:rsid w:val="00AB2DA1"/>
  </w:style>
  <w:style w:type="paragraph" w:customStyle="1" w:styleId="Sectiontitle">
    <w:name w:val="Section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B2DA1"/>
    <w:pPr>
      <w:tabs>
        <w:tab w:val="clear" w:pos="794"/>
        <w:tab w:val="clear" w:pos="1191"/>
        <w:tab w:val="clear" w:pos="1588"/>
        <w:tab w:val="clear" w:pos="1985"/>
        <w:tab w:val="right" w:pos="9611"/>
      </w:tabs>
    </w:pPr>
    <w:rPr>
      <w:i/>
    </w:rPr>
  </w:style>
  <w:style w:type="paragraph" w:styleId="TOC1">
    <w:name w:val="toc 1"/>
    <w:basedOn w:val="Normal"/>
    <w:semiHidden/>
    <w:rsid w:val="00AB2DA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B2DA1"/>
    <w:pPr>
      <w:tabs>
        <w:tab w:val="clear" w:pos="567"/>
        <w:tab w:val="left" w:pos="1276"/>
      </w:tabs>
      <w:spacing w:before="160"/>
      <w:ind w:left="1276" w:hanging="709"/>
    </w:pPr>
  </w:style>
  <w:style w:type="paragraph" w:styleId="TOC3">
    <w:name w:val="toc 3"/>
    <w:basedOn w:val="TOC2"/>
    <w:semiHidden/>
    <w:rsid w:val="00AB2DA1"/>
    <w:pPr>
      <w:tabs>
        <w:tab w:val="clear" w:pos="1276"/>
        <w:tab w:val="left" w:pos="2155"/>
      </w:tabs>
      <w:ind w:left="2155" w:hanging="879"/>
    </w:pPr>
  </w:style>
  <w:style w:type="paragraph" w:styleId="TOC4">
    <w:name w:val="toc 4"/>
    <w:basedOn w:val="TOC3"/>
    <w:semiHidden/>
    <w:rsid w:val="00AB2DA1"/>
    <w:pPr>
      <w:tabs>
        <w:tab w:val="left" w:pos="3261"/>
      </w:tabs>
      <w:spacing w:before="80"/>
      <w:ind w:left="3261" w:hanging="993"/>
    </w:pPr>
  </w:style>
  <w:style w:type="paragraph" w:styleId="TOC5">
    <w:name w:val="toc 5"/>
    <w:basedOn w:val="TOC4"/>
    <w:semiHidden/>
    <w:rsid w:val="00AB2DA1"/>
  </w:style>
  <w:style w:type="paragraph" w:styleId="TOC6">
    <w:name w:val="toc 6"/>
    <w:basedOn w:val="TOC4"/>
    <w:semiHidden/>
    <w:rsid w:val="00AB2DA1"/>
  </w:style>
  <w:style w:type="paragraph" w:styleId="TOC7">
    <w:name w:val="toc 7"/>
    <w:basedOn w:val="TOC4"/>
    <w:semiHidden/>
    <w:rsid w:val="00AB2DA1"/>
  </w:style>
  <w:style w:type="paragraph" w:styleId="TOC8">
    <w:name w:val="toc 8"/>
    <w:basedOn w:val="TOC4"/>
    <w:semiHidden/>
    <w:rsid w:val="00AB2DA1"/>
  </w:style>
  <w:style w:type="paragraph" w:customStyle="1" w:styleId="Annexref">
    <w:name w:val="Annex_ref"/>
    <w:basedOn w:val="Normal"/>
    <w:next w:val="Normalaftertitle"/>
    <w:rsid w:val="00AB2DA1"/>
    <w:pPr>
      <w:keepNext/>
      <w:keepLines/>
      <w:spacing w:after="280"/>
      <w:jc w:val="center"/>
    </w:pPr>
  </w:style>
  <w:style w:type="paragraph" w:customStyle="1" w:styleId="Appendixref">
    <w:name w:val="Appendix_ref"/>
    <w:basedOn w:val="Annexref"/>
    <w:next w:val="Normalaftertitle"/>
    <w:rsid w:val="00AB2DA1"/>
  </w:style>
  <w:style w:type="paragraph" w:customStyle="1" w:styleId="Tabletitle">
    <w:name w:val="Table_title"/>
    <w:basedOn w:val="Normal"/>
    <w:next w:val="Tablehead"/>
    <w:link w:val="Tabletitle0"/>
    <w:rsid w:val="00AB2DA1"/>
    <w:pPr>
      <w:keepNext/>
      <w:spacing w:before="0" w:after="120"/>
      <w:jc w:val="center"/>
    </w:pPr>
    <w:rPr>
      <w:b/>
    </w:rPr>
  </w:style>
  <w:style w:type="paragraph" w:customStyle="1" w:styleId="Summary">
    <w:name w:val="Summary"/>
    <w:basedOn w:val="Normal"/>
    <w:next w:val="Normalaftertitle"/>
    <w:rsid w:val="00AB2DA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AB2DA1"/>
    <w:pPr>
      <w:ind w:left="-85" w:firstLine="0"/>
    </w:pPr>
    <w:rPr>
      <w:lang w:val="en-US"/>
    </w:rPr>
  </w:style>
  <w:style w:type="character" w:customStyle="1" w:styleId="TableheadChar">
    <w:name w:val="Table_head Char"/>
    <w:basedOn w:val="DefaultParagraphFont"/>
    <w:link w:val="Tablehead"/>
    <w:locked/>
    <w:rsid w:val="000A0027"/>
    <w:rPr>
      <w:b/>
      <w:sz w:val="22"/>
      <w:lang w:val="fr-FR" w:eastAsia="en-US"/>
    </w:rPr>
  </w:style>
  <w:style w:type="character" w:customStyle="1" w:styleId="TabletextChar">
    <w:name w:val="Table_text Char"/>
    <w:basedOn w:val="DefaultParagraphFont"/>
    <w:link w:val="Tabletext"/>
    <w:locked/>
    <w:rsid w:val="000A0027"/>
    <w:rPr>
      <w:sz w:val="22"/>
      <w:lang w:val="fr-FR" w:eastAsia="en-US"/>
    </w:rPr>
  </w:style>
  <w:style w:type="character" w:customStyle="1" w:styleId="CallChar">
    <w:name w:val="Call Char"/>
    <w:basedOn w:val="DefaultParagraphFont"/>
    <w:link w:val="Call"/>
    <w:locked/>
    <w:rsid w:val="000A0027"/>
    <w:rPr>
      <w:i/>
      <w:sz w:val="24"/>
      <w:lang w:val="fr-FR" w:eastAsia="en-US"/>
    </w:rPr>
  </w:style>
  <w:style w:type="character" w:customStyle="1" w:styleId="Tabletitle0">
    <w:name w:val="Table_title Знак"/>
    <w:link w:val="Tabletitle"/>
    <w:locked/>
    <w:rsid w:val="000A0027"/>
    <w:rPr>
      <w:b/>
      <w:sz w:val="24"/>
      <w:lang w:val="fr-FR" w:eastAsia="en-US"/>
    </w:rPr>
  </w:style>
  <w:style w:type="character" w:customStyle="1" w:styleId="FiguretitleChar">
    <w:name w:val="Figure_title Char"/>
    <w:basedOn w:val="DefaultParagraphFont"/>
    <w:link w:val="Figuretitle"/>
    <w:locked/>
    <w:rsid w:val="000A0027"/>
    <w:rPr>
      <w:rFonts w:ascii="Times New Roman Bold" w:hAnsi="Times New Roman Bold"/>
      <w:b/>
      <w:sz w:val="18"/>
      <w:lang w:val="fr-FR" w:eastAsia="en-US"/>
    </w:rPr>
  </w:style>
  <w:style w:type="character" w:customStyle="1" w:styleId="FigureNoChar">
    <w:name w:val="Figure_No Char"/>
    <w:basedOn w:val="DefaultParagraphFont"/>
    <w:link w:val="FigureNo"/>
    <w:locked/>
    <w:rsid w:val="000A0027"/>
    <w:rPr>
      <w:caps/>
      <w:sz w:val="18"/>
      <w:lang w:val="fr-FR" w:eastAsia="en-US"/>
    </w:rPr>
  </w:style>
  <w:style w:type="character" w:customStyle="1" w:styleId="TableNo0">
    <w:name w:val="Table_No Знак"/>
    <w:link w:val="TableNo"/>
    <w:locked/>
    <w:rsid w:val="000A0027"/>
    <w:rPr>
      <w:sz w:val="24"/>
      <w:lang w:val="fr-FR" w:eastAsia="en-US"/>
    </w:rPr>
  </w:style>
  <w:style w:type="paragraph" w:customStyle="1" w:styleId="Reasons">
    <w:name w:val="Reasons"/>
    <w:basedOn w:val="Normal"/>
    <w:qFormat/>
    <w:rsid w:val="00CF29BA"/>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76</TotalTime>
  <Pages>6</Pages>
  <Words>1605</Words>
  <Characters>10198</Characters>
  <Application>Microsoft Office Word</Application>
  <DocSecurity>0</DocSecurity>
  <Lines>254</Lines>
  <Paragraphs>36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11767</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Brice, Corinne</cp:lastModifiedBy>
  <cp:revision>31</cp:revision>
  <cp:lastPrinted>2016-05-04T14:11:00Z</cp:lastPrinted>
  <dcterms:created xsi:type="dcterms:W3CDTF">2010-07-12T13:07:00Z</dcterms:created>
  <dcterms:modified xsi:type="dcterms:W3CDTF">2016-05-04T14:16:00Z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