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2B2" w:rsidRDefault="005762B2" w:rsidP="005762B2">
      <w:bookmarkStart w:id="0" w:name="_GoBack"/>
      <w:bookmarkEnd w:id="0"/>
    </w:p>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p w:rsidR="005762B2" w:rsidRDefault="005762B2" w:rsidP="005762B2"/>
    <w:tbl>
      <w:tblPr>
        <w:tblW w:w="10089" w:type="dxa"/>
        <w:tblLook w:val="01E0" w:firstRow="1" w:lastRow="1" w:firstColumn="1" w:lastColumn="1" w:noHBand="0" w:noVBand="0"/>
      </w:tblPr>
      <w:tblGrid>
        <w:gridCol w:w="10089"/>
      </w:tblGrid>
      <w:tr w:rsidR="005762B2" w:rsidRPr="004F65E4" w:rsidTr="00961719">
        <w:tc>
          <w:tcPr>
            <w:tcW w:w="10089" w:type="dxa"/>
          </w:tcPr>
          <w:p w:rsidR="005762B2" w:rsidRPr="001511A6" w:rsidRDefault="005762B2" w:rsidP="00961719">
            <w:pPr>
              <w:spacing w:before="380" w:line="280" w:lineRule="exact"/>
              <w:jc w:val="right"/>
              <w:rPr>
                <w:rFonts w:ascii="Tahoma" w:hAnsi="Tahoma" w:cs="Tahoma"/>
                <w:b/>
                <w:bCs/>
                <w:iCs/>
                <w:color w:val="243285"/>
                <w:sz w:val="32"/>
                <w:szCs w:val="32"/>
                <w:lang w:val="en-US"/>
              </w:rPr>
            </w:pPr>
          </w:p>
          <w:p w:rsidR="005762B2" w:rsidRPr="004F65E4" w:rsidRDefault="005762B2" w:rsidP="0096171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C8398E">
              <w:rPr>
                <w:rFonts w:ascii="Tahoma" w:hAnsi="Tahoma" w:cs="Tahoma"/>
                <w:b/>
                <w:bCs/>
                <w:iCs/>
                <w:color w:val="243285"/>
                <w:sz w:val="36"/>
                <w:szCs w:val="36"/>
              </w:rPr>
              <w:t>2057-1</w:t>
            </w:r>
          </w:p>
          <w:p w:rsidR="005762B2" w:rsidRPr="004F65E4" w:rsidRDefault="005762B2" w:rsidP="0027251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27251C">
              <w:rPr>
                <w:rFonts w:ascii="Tahoma" w:hAnsi="Tahoma" w:cs="Tahoma"/>
                <w:b/>
                <w:bCs/>
                <w:iCs/>
                <w:color w:val="243285"/>
                <w:szCs w:val="24"/>
              </w:rPr>
              <w:t>1</w:t>
            </w:r>
            <w:r w:rsidRPr="004F65E4">
              <w:rPr>
                <w:rFonts w:ascii="Tahoma" w:hAnsi="Tahoma" w:cs="Tahoma"/>
                <w:b/>
                <w:bCs/>
                <w:iCs/>
                <w:color w:val="243285"/>
                <w:szCs w:val="24"/>
              </w:rPr>
              <w:t>/</w:t>
            </w:r>
            <w:r>
              <w:rPr>
                <w:rFonts w:ascii="Tahoma" w:hAnsi="Tahoma" w:cs="Tahoma"/>
                <w:b/>
                <w:bCs/>
                <w:iCs/>
                <w:color w:val="243285"/>
                <w:szCs w:val="24"/>
              </w:rPr>
              <w:t>201</w:t>
            </w:r>
            <w:r w:rsidR="0027251C">
              <w:rPr>
                <w:rFonts w:ascii="Tahoma" w:hAnsi="Tahoma" w:cs="Tahoma"/>
                <w:b/>
                <w:bCs/>
                <w:iCs/>
                <w:color w:val="243285"/>
                <w:szCs w:val="24"/>
              </w:rPr>
              <w:t>8</w:t>
            </w:r>
            <w:r w:rsidRPr="004F65E4">
              <w:rPr>
                <w:rFonts w:ascii="Tahoma" w:hAnsi="Tahoma" w:cs="Tahoma"/>
                <w:b/>
                <w:bCs/>
                <w:iCs/>
                <w:color w:val="243285"/>
                <w:szCs w:val="24"/>
              </w:rPr>
              <w:t>)</w:t>
            </w:r>
          </w:p>
        </w:tc>
      </w:tr>
      <w:tr w:rsidR="005762B2" w:rsidRPr="00A5233D" w:rsidTr="00961719">
        <w:tc>
          <w:tcPr>
            <w:tcW w:w="10089" w:type="dxa"/>
          </w:tcPr>
          <w:p w:rsidR="005762B2" w:rsidRPr="003E1DED" w:rsidRDefault="005762B2" w:rsidP="00961719">
            <w:pPr>
              <w:spacing w:before="80" w:line="500" w:lineRule="exact"/>
              <w:jc w:val="right"/>
              <w:rPr>
                <w:rFonts w:ascii="Tahoma" w:hAnsi="Tahoma" w:cs="Tahoma"/>
                <w:b/>
                <w:bCs/>
                <w:iCs/>
                <w:color w:val="243285"/>
                <w:sz w:val="44"/>
                <w:szCs w:val="44"/>
                <w:lang w:val="en-US"/>
              </w:rPr>
            </w:pPr>
          </w:p>
          <w:p w:rsidR="005762B2" w:rsidRPr="0027251C" w:rsidRDefault="0027251C" w:rsidP="0027251C">
            <w:pPr>
              <w:spacing w:before="80" w:line="500" w:lineRule="exact"/>
              <w:jc w:val="right"/>
              <w:rPr>
                <w:rFonts w:ascii="Tahoma" w:hAnsi="Tahoma" w:cs="Tahoma"/>
                <w:b/>
                <w:bCs/>
                <w:iCs/>
                <w:color w:val="243285"/>
                <w:sz w:val="44"/>
                <w:szCs w:val="44"/>
                <w:lang w:val="en-GB"/>
              </w:rPr>
            </w:pPr>
            <w:r w:rsidRPr="0027251C">
              <w:rPr>
                <w:rFonts w:ascii="Tahoma" w:hAnsi="Tahoma" w:cs="Tahoma"/>
                <w:b/>
                <w:bCs/>
                <w:iCs/>
                <w:color w:val="243285"/>
                <w:sz w:val="44"/>
                <w:szCs w:val="44"/>
                <w:lang w:val="en-GB"/>
              </w:rPr>
              <w:t>Systems characteristics of automotive radars operating in the frequency band 76</w:t>
            </w:r>
            <w:r w:rsidRPr="0027251C">
              <w:rPr>
                <w:rFonts w:ascii="Tahoma" w:hAnsi="Tahoma" w:cs="Tahoma"/>
                <w:b/>
                <w:bCs/>
                <w:iCs/>
                <w:color w:val="243285"/>
                <w:sz w:val="44"/>
                <w:szCs w:val="44"/>
                <w:lang w:val="en-GB"/>
              </w:rPr>
              <w:noBreakHyphen/>
              <w:t xml:space="preserve">81 GHz for intelligent transport </w:t>
            </w:r>
            <w:r>
              <w:rPr>
                <w:rFonts w:ascii="Tahoma" w:hAnsi="Tahoma" w:cs="Tahoma"/>
                <w:b/>
                <w:bCs/>
                <w:iCs/>
                <w:color w:val="243285"/>
                <w:sz w:val="44"/>
                <w:szCs w:val="44"/>
                <w:lang w:val="en-GB"/>
              </w:rPr>
              <w:br/>
            </w:r>
            <w:r w:rsidRPr="0027251C">
              <w:rPr>
                <w:rFonts w:ascii="Tahoma" w:hAnsi="Tahoma" w:cs="Tahoma"/>
                <w:b/>
                <w:bCs/>
                <w:iCs/>
                <w:color w:val="243285"/>
                <w:sz w:val="44"/>
                <w:szCs w:val="44"/>
                <w:lang w:val="en-GB"/>
              </w:rPr>
              <w:t>systems applications</w:t>
            </w:r>
          </w:p>
        </w:tc>
      </w:tr>
      <w:tr w:rsidR="005762B2" w:rsidTr="00961719">
        <w:tc>
          <w:tcPr>
            <w:tcW w:w="10089" w:type="dxa"/>
          </w:tcPr>
          <w:p w:rsidR="005762B2" w:rsidRPr="00052F66" w:rsidRDefault="005762B2" w:rsidP="00961719">
            <w:pPr>
              <w:spacing w:before="80" w:line="280" w:lineRule="exact"/>
              <w:ind w:right="640"/>
              <w:rPr>
                <w:rFonts w:ascii="Tahoma" w:hAnsi="Tahoma" w:cs="Tahoma"/>
                <w:b/>
                <w:bCs/>
                <w:iCs/>
                <w:color w:val="243285"/>
                <w:sz w:val="32"/>
                <w:szCs w:val="32"/>
                <w:lang w:val="en-US"/>
              </w:rPr>
            </w:pPr>
          </w:p>
          <w:p w:rsidR="005762B2" w:rsidRPr="00052F66" w:rsidRDefault="005762B2" w:rsidP="00961719">
            <w:pPr>
              <w:spacing w:before="80" w:after="180" w:line="360" w:lineRule="exact"/>
              <w:ind w:right="720"/>
              <w:rPr>
                <w:rFonts w:ascii="Tahoma" w:hAnsi="Tahoma" w:cs="Tahoma"/>
                <w:b/>
                <w:bCs/>
                <w:iCs/>
                <w:color w:val="243285"/>
                <w:sz w:val="36"/>
                <w:szCs w:val="36"/>
                <w:lang w:val="en-US"/>
              </w:rPr>
            </w:pPr>
          </w:p>
          <w:p w:rsidR="005762B2" w:rsidRPr="001511A6" w:rsidRDefault="005762B2" w:rsidP="0096171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5762B2" w:rsidRDefault="005762B2" w:rsidP="0096171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5762B2" w:rsidRPr="0041667C" w:rsidRDefault="005762B2" w:rsidP="0096171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5762B2" w:rsidRDefault="005762B2" w:rsidP="005762B2">
      <w:pPr>
        <w:spacing w:before="80"/>
        <w:rPr>
          <w:i/>
          <w:sz w:val="22"/>
          <w:lang w:val="en-US"/>
        </w:rPr>
      </w:pPr>
    </w:p>
    <w:p w:rsidR="005762B2" w:rsidRDefault="005762B2" w:rsidP="005762B2">
      <w:pPr>
        <w:spacing w:before="80"/>
        <w:rPr>
          <w:i/>
          <w:sz w:val="22"/>
          <w:lang w:val="en-US"/>
        </w:rPr>
      </w:pPr>
    </w:p>
    <w:p w:rsidR="005762B2" w:rsidRDefault="005762B2" w:rsidP="005762B2">
      <w:pPr>
        <w:spacing w:before="80"/>
        <w:rPr>
          <w:i/>
          <w:sz w:val="22"/>
          <w:lang w:val="en-US"/>
        </w:rPr>
      </w:pPr>
    </w:p>
    <w:p w:rsidR="005762B2" w:rsidRDefault="005762B2" w:rsidP="005762B2">
      <w:pPr>
        <w:spacing w:before="80"/>
        <w:rPr>
          <w:i/>
          <w:sz w:val="22"/>
          <w:lang w:val="en-US"/>
        </w:rPr>
      </w:pPr>
    </w:p>
    <w:p w:rsidR="005762B2" w:rsidRDefault="005762B2" w:rsidP="005762B2">
      <w:pPr>
        <w:spacing w:before="80"/>
        <w:rPr>
          <w:i/>
          <w:sz w:val="22"/>
          <w:lang w:val="en-US"/>
        </w:rPr>
      </w:pPr>
    </w:p>
    <w:p w:rsidR="005762B2" w:rsidRDefault="005762B2" w:rsidP="005762B2">
      <w:pPr>
        <w:spacing w:before="80"/>
        <w:rPr>
          <w:i/>
          <w:sz w:val="22"/>
          <w:lang w:val="en-US"/>
        </w:rPr>
      </w:pPr>
    </w:p>
    <w:p w:rsidR="005762B2" w:rsidRDefault="005762B2" w:rsidP="005762B2">
      <w:pPr>
        <w:pStyle w:val="Equation"/>
        <w:tabs>
          <w:tab w:val="clear" w:pos="4820"/>
          <w:tab w:val="clear" w:pos="9639"/>
          <w:tab w:val="left" w:pos="1191"/>
          <w:tab w:val="left" w:pos="1588"/>
          <w:tab w:val="left" w:pos="1985"/>
        </w:tabs>
        <w:rPr>
          <w:rFonts w:ascii="Palatino Linotype" w:hAnsi="Palatino Linotype"/>
          <w:lang w:val="en-US"/>
        </w:rPr>
        <w:sectPr w:rsidR="005762B2">
          <w:headerReference w:type="even" r:id="rId6"/>
          <w:headerReference w:type="default" r:id="rId7"/>
          <w:headerReference w:type="first" r:id="rId8"/>
          <w:pgSz w:w="11907" w:h="16840" w:code="9"/>
          <w:pgMar w:top="1089" w:right="1089" w:bottom="284" w:left="1089" w:header="567" w:footer="284" w:gutter="0"/>
          <w:pgNumType w:start="1"/>
          <w:cols w:space="720"/>
        </w:sectPr>
      </w:pPr>
    </w:p>
    <w:p w:rsidR="005762B2" w:rsidRPr="00586EF8" w:rsidRDefault="005762B2" w:rsidP="005762B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762B2" w:rsidRDefault="005762B2" w:rsidP="005762B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762B2" w:rsidRDefault="005762B2" w:rsidP="005762B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762B2" w:rsidRPr="00B714F3" w:rsidRDefault="005762B2" w:rsidP="005762B2">
      <w:pPr>
        <w:pStyle w:val="Heading1"/>
        <w:spacing w:before="680"/>
        <w:jc w:val="center"/>
        <w:rPr>
          <w:szCs w:val="24"/>
          <w:lang w:val="en-US"/>
        </w:rPr>
      </w:pPr>
      <w:r w:rsidRPr="00B714F3">
        <w:rPr>
          <w:szCs w:val="24"/>
          <w:lang w:val="en-US"/>
        </w:rPr>
        <w:t>Policy on Intellectual Property Right (IPR)</w:t>
      </w:r>
    </w:p>
    <w:p w:rsidR="005762B2" w:rsidRPr="00B714F3" w:rsidRDefault="005762B2" w:rsidP="005762B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762B2" w:rsidRDefault="005762B2" w:rsidP="005762B2">
      <w:pPr>
        <w:jc w:val="center"/>
        <w:rPr>
          <w:sz w:val="22"/>
          <w:lang w:val="en-US"/>
        </w:rPr>
      </w:pPr>
    </w:p>
    <w:p w:rsidR="005762B2" w:rsidRDefault="005762B2" w:rsidP="005762B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762B2" w:rsidRPr="00A5233D" w:rsidTr="00961719">
        <w:tc>
          <w:tcPr>
            <w:tcW w:w="9360" w:type="dxa"/>
            <w:gridSpan w:val="2"/>
          </w:tcPr>
          <w:p w:rsidR="005762B2" w:rsidRPr="00036EE3" w:rsidRDefault="005762B2" w:rsidP="0096171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762B2" w:rsidRPr="00036EE3"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5762B2" w:rsidRPr="00036EE3" w:rsidTr="00961719">
        <w:tc>
          <w:tcPr>
            <w:tcW w:w="1140" w:type="dxa"/>
          </w:tcPr>
          <w:p w:rsidR="005762B2" w:rsidRPr="00036EE3" w:rsidRDefault="005762B2" w:rsidP="00961719">
            <w:pPr>
              <w:spacing w:before="200" w:after="100"/>
              <w:ind w:left="57"/>
              <w:rPr>
                <w:b/>
                <w:bCs/>
                <w:sz w:val="20"/>
                <w:lang w:val="en-US"/>
              </w:rPr>
            </w:pPr>
            <w:r w:rsidRPr="00036EE3">
              <w:rPr>
                <w:b/>
                <w:bCs/>
                <w:sz w:val="20"/>
                <w:lang w:val="en-US"/>
              </w:rPr>
              <w:t>Series</w:t>
            </w:r>
          </w:p>
        </w:tc>
        <w:tc>
          <w:tcPr>
            <w:tcW w:w="8220" w:type="dxa"/>
          </w:tcPr>
          <w:p w:rsidR="005762B2" w:rsidRPr="00036EE3"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BO</w:t>
            </w:r>
          </w:p>
        </w:tc>
        <w:tc>
          <w:tcPr>
            <w:tcW w:w="8220" w:type="dxa"/>
          </w:tcPr>
          <w:p w:rsidR="005762B2" w:rsidRPr="00036EE3"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762B2" w:rsidRPr="00A5233D" w:rsidTr="00961719">
        <w:tc>
          <w:tcPr>
            <w:tcW w:w="1140" w:type="dxa"/>
            <w:tcBorders>
              <w:bottom w:val="nil"/>
            </w:tcBorders>
          </w:tcPr>
          <w:p w:rsidR="005762B2" w:rsidRPr="00036EE3" w:rsidRDefault="005762B2" w:rsidP="00961719">
            <w:pPr>
              <w:spacing w:before="30" w:after="30"/>
              <w:ind w:left="57"/>
              <w:jc w:val="left"/>
              <w:rPr>
                <w:b/>
                <w:bCs/>
                <w:sz w:val="20"/>
                <w:lang w:val="en-US"/>
              </w:rPr>
            </w:pPr>
            <w:r w:rsidRPr="00036EE3">
              <w:rPr>
                <w:b/>
                <w:bCs/>
                <w:sz w:val="20"/>
                <w:lang w:val="en-US"/>
              </w:rPr>
              <w:t>BR</w:t>
            </w:r>
          </w:p>
        </w:tc>
        <w:tc>
          <w:tcPr>
            <w:tcW w:w="8220" w:type="dxa"/>
            <w:tcBorders>
              <w:bottom w:val="nil"/>
            </w:tcBorders>
          </w:tcPr>
          <w:p w:rsidR="005762B2" w:rsidRPr="00036EE3"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762B2" w:rsidRPr="00036EE3" w:rsidTr="00961719">
        <w:tc>
          <w:tcPr>
            <w:tcW w:w="1140" w:type="dxa"/>
            <w:tcBorders>
              <w:top w:val="nil"/>
              <w:bottom w:val="nil"/>
            </w:tcBorders>
            <w:shd w:val="clear" w:color="auto" w:fill="auto"/>
          </w:tcPr>
          <w:p w:rsidR="005762B2" w:rsidRPr="007D224F" w:rsidRDefault="005762B2" w:rsidP="0096171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762B2" w:rsidRPr="007D224F"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762B2" w:rsidRPr="00ED2695" w:rsidTr="00961719">
        <w:tc>
          <w:tcPr>
            <w:tcW w:w="1140" w:type="dxa"/>
            <w:tcBorders>
              <w:top w:val="nil"/>
              <w:bottom w:val="nil"/>
            </w:tcBorders>
            <w:shd w:val="clear" w:color="auto" w:fill="auto"/>
          </w:tcPr>
          <w:p w:rsidR="005762B2" w:rsidRPr="00ED2695" w:rsidRDefault="005762B2" w:rsidP="0096171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762B2" w:rsidRPr="00ED2695"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762B2" w:rsidRPr="007D224F" w:rsidTr="00961719">
        <w:tc>
          <w:tcPr>
            <w:tcW w:w="1140" w:type="dxa"/>
            <w:tcBorders>
              <w:top w:val="nil"/>
              <w:bottom w:val="nil"/>
            </w:tcBorders>
            <w:shd w:val="clear" w:color="auto" w:fill="auto"/>
          </w:tcPr>
          <w:p w:rsidR="005762B2" w:rsidRPr="0041667C" w:rsidRDefault="005762B2" w:rsidP="0096171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762B2" w:rsidRPr="0041667C" w:rsidRDefault="005762B2" w:rsidP="00961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762B2" w:rsidRPr="0041667C" w:rsidTr="00961719">
        <w:tc>
          <w:tcPr>
            <w:tcW w:w="1140" w:type="dxa"/>
            <w:tcBorders>
              <w:top w:val="nil"/>
              <w:bottom w:val="nil"/>
            </w:tcBorders>
            <w:shd w:val="clear" w:color="auto" w:fill="F3F3F3"/>
          </w:tcPr>
          <w:p w:rsidR="005762B2" w:rsidRPr="0041667C" w:rsidRDefault="005762B2" w:rsidP="0096171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5762B2" w:rsidRPr="0041667C" w:rsidRDefault="005762B2" w:rsidP="009617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5762B2" w:rsidRPr="00036EE3" w:rsidTr="00961719">
        <w:tc>
          <w:tcPr>
            <w:tcW w:w="1140" w:type="dxa"/>
            <w:tcBorders>
              <w:top w:val="nil"/>
            </w:tcBorders>
          </w:tcPr>
          <w:p w:rsidR="005762B2" w:rsidRPr="00036EE3" w:rsidRDefault="005762B2" w:rsidP="00961719">
            <w:pPr>
              <w:spacing w:before="30" w:after="30"/>
              <w:ind w:left="57"/>
              <w:jc w:val="left"/>
              <w:rPr>
                <w:b/>
                <w:bCs/>
                <w:sz w:val="20"/>
                <w:lang w:val="fr-CH"/>
              </w:rPr>
            </w:pPr>
            <w:r w:rsidRPr="00036EE3">
              <w:rPr>
                <w:b/>
                <w:bCs/>
                <w:sz w:val="20"/>
                <w:lang w:val="fr-CH"/>
              </w:rPr>
              <w:t>P</w:t>
            </w:r>
          </w:p>
        </w:tc>
        <w:tc>
          <w:tcPr>
            <w:tcW w:w="8220" w:type="dxa"/>
            <w:tcBorders>
              <w:top w:val="nil"/>
            </w:tcBorders>
          </w:tcPr>
          <w:p w:rsidR="005762B2" w:rsidRPr="00036EE3" w:rsidRDefault="005762B2" w:rsidP="00961719">
            <w:pPr>
              <w:spacing w:before="30" w:after="30"/>
              <w:jc w:val="left"/>
              <w:rPr>
                <w:sz w:val="20"/>
                <w:lang w:val="fr-CH"/>
              </w:rPr>
            </w:pPr>
            <w:r w:rsidRPr="00036EE3">
              <w:rPr>
                <w:sz w:val="20"/>
                <w:lang w:val="fr-CH"/>
              </w:rPr>
              <w:t>Radiowave propagation</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RA</w:t>
            </w:r>
          </w:p>
        </w:tc>
        <w:tc>
          <w:tcPr>
            <w:tcW w:w="8220" w:type="dxa"/>
          </w:tcPr>
          <w:p w:rsidR="005762B2" w:rsidRPr="00036EE3" w:rsidRDefault="005762B2" w:rsidP="00961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RS</w:t>
            </w:r>
          </w:p>
        </w:tc>
        <w:tc>
          <w:tcPr>
            <w:tcW w:w="8220" w:type="dxa"/>
          </w:tcPr>
          <w:p w:rsidR="005762B2" w:rsidRPr="00036EE3" w:rsidRDefault="005762B2" w:rsidP="009617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S</w:t>
            </w:r>
          </w:p>
        </w:tc>
        <w:tc>
          <w:tcPr>
            <w:tcW w:w="8220" w:type="dxa"/>
          </w:tcPr>
          <w:p w:rsidR="005762B2" w:rsidRPr="00036EE3" w:rsidRDefault="005762B2" w:rsidP="00961719">
            <w:pPr>
              <w:spacing w:before="30" w:after="30"/>
              <w:jc w:val="left"/>
              <w:rPr>
                <w:sz w:val="20"/>
                <w:lang w:val="en-US"/>
              </w:rPr>
            </w:pPr>
            <w:r w:rsidRPr="00036EE3">
              <w:rPr>
                <w:sz w:val="20"/>
                <w:lang w:val="en-US"/>
              </w:rPr>
              <w:t>Fixed-satellite service</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SA</w:t>
            </w:r>
          </w:p>
        </w:tc>
        <w:tc>
          <w:tcPr>
            <w:tcW w:w="8220" w:type="dxa"/>
          </w:tcPr>
          <w:p w:rsidR="005762B2" w:rsidRPr="00036EE3" w:rsidRDefault="005762B2" w:rsidP="00961719">
            <w:pPr>
              <w:spacing w:before="30" w:after="30"/>
              <w:jc w:val="left"/>
              <w:rPr>
                <w:sz w:val="20"/>
                <w:lang w:val="en-US"/>
              </w:rPr>
            </w:pPr>
            <w:r w:rsidRPr="00036EE3">
              <w:rPr>
                <w:sz w:val="20"/>
                <w:lang w:val="en-US"/>
              </w:rPr>
              <w:t>Space applications and meteorology</w:t>
            </w:r>
          </w:p>
        </w:tc>
      </w:tr>
      <w:tr w:rsidR="005762B2" w:rsidRPr="00A5233D" w:rsidTr="00961719">
        <w:tc>
          <w:tcPr>
            <w:tcW w:w="1140" w:type="dxa"/>
            <w:tcBorders>
              <w:bottom w:val="nil"/>
            </w:tcBorders>
          </w:tcPr>
          <w:p w:rsidR="005762B2" w:rsidRPr="00036EE3" w:rsidRDefault="005762B2" w:rsidP="00961719">
            <w:pPr>
              <w:spacing w:before="30" w:after="30"/>
              <w:ind w:left="57"/>
              <w:jc w:val="left"/>
              <w:rPr>
                <w:b/>
                <w:bCs/>
                <w:sz w:val="20"/>
                <w:lang w:val="en-US"/>
              </w:rPr>
            </w:pPr>
            <w:r w:rsidRPr="00036EE3">
              <w:rPr>
                <w:b/>
                <w:bCs/>
                <w:sz w:val="20"/>
                <w:lang w:val="en-US"/>
              </w:rPr>
              <w:t>SF</w:t>
            </w:r>
          </w:p>
        </w:tc>
        <w:tc>
          <w:tcPr>
            <w:tcW w:w="8220" w:type="dxa"/>
            <w:tcBorders>
              <w:bottom w:val="nil"/>
            </w:tcBorders>
          </w:tcPr>
          <w:p w:rsidR="005762B2" w:rsidRPr="00036EE3" w:rsidRDefault="005762B2" w:rsidP="00961719">
            <w:pPr>
              <w:spacing w:before="30" w:after="30"/>
              <w:jc w:val="left"/>
              <w:rPr>
                <w:sz w:val="20"/>
                <w:lang w:val="en-US"/>
              </w:rPr>
            </w:pPr>
            <w:r w:rsidRPr="00036EE3">
              <w:rPr>
                <w:sz w:val="20"/>
                <w:lang w:val="en-US"/>
              </w:rPr>
              <w:t>Frequency sharing and coordination between fixed-satellite and fixed service systems</w:t>
            </w:r>
          </w:p>
        </w:tc>
      </w:tr>
      <w:tr w:rsidR="005762B2" w:rsidRPr="00036EE3" w:rsidTr="00961719">
        <w:tc>
          <w:tcPr>
            <w:tcW w:w="1140" w:type="dxa"/>
            <w:tcBorders>
              <w:top w:val="nil"/>
              <w:bottom w:val="nil"/>
            </w:tcBorders>
            <w:shd w:val="clear" w:color="auto" w:fill="auto"/>
          </w:tcPr>
          <w:p w:rsidR="005762B2" w:rsidRPr="000A4386" w:rsidRDefault="005762B2" w:rsidP="0096171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762B2" w:rsidRPr="000A4386" w:rsidRDefault="005762B2" w:rsidP="00961719">
            <w:pPr>
              <w:spacing w:before="30" w:after="30"/>
              <w:jc w:val="left"/>
              <w:rPr>
                <w:sz w:val="20"/>
                <w:lang w:val="en-US"/>
              </w:rPr>
            </w:pPr>
            <w:r w:rsidRPr="000A4386">
              <w:rPr>
                <w:sz w:val="20"/>
                <w:lang w:val="en-US"/>
              </w:rPr>
              <w:t>Spectrum management</w:t>
            </w:r>
          </w:p>
        </w:tc>
      </w:tr>
      <w:tr w:rsidR="005762B2" w:rsidRPr="00036EE3" w:rsidTr="00961719">
        <w:tc>
          <w:tcPr>
            <w:tcW w:w="1140" w:type="dxa"/>
            <w:tcBorders>
              <w:top w:val="nil"/>
            </w:tcBorders>
          </w:tcPr>
          <w:p w:rsidR="005762B2" w:rsidRPr="00036EE3" w:rsidRDefault="005762B2" w:rsidP="00961719">
            <w:pPr>
              <w:spacing w:before="30" w:after="30"/>
              <w:ind w:left="57"/>
              <w:jc w:val="left"/>
              <w:rPr>
                <w:b/>
                <w:bCs/>
                <w:sz w:val="20"/>
                <w:lang w:val="en-US"/>
              </w:rPr>
            </w:pPr>
            <w:r w:rsidRPr="00036EE3">
              <w:rPr>
                <w:b/>
                <w:bCs/>
                <w:sz w:val="20"/>
                <w:lang w:val="en-US"/>
              </w:rPr>
              <w:t>SNG</w:t>
            </w:r>
          </w:p>
        </w:tc>
        <w:tc>
          <w:tcPr>
            <w:tcW w:w="8220" w:type="dxa"/>
            <w:tcBorders>
              <w:top w:val="nil"/>
            </w:tcBorders>
          </w:tcPr>
          <w:p w:rsidR="005762B2" w:rsidRPr="00036EE3" w:rsidRDefault="005762B2" w:rsidP="00961719">
            <w:pPr>
              <w:spacing w:before="30" w:after="30"/>
              <w:jc w:val="left"/>
              <w:rPr>
                <w:sz w:val="20"/>
                <w:lang w:val="en-US"/>
              </w:rPr>
            </w:pPr>
            <w:r w:rsidRPr="00036EE3">
              <w:rPr>
                <w:sz w:val="20"/>
                <w:lang w:val="en-US"/>
              </w:rPr>
              <w:t>Satellite news gathering</w:t>
            </w:r>
          </w:p>
        </w:tc>
      </w:tr>
      <w:tr w:rsidR="005762B2" w:rsidRPr="00A5233D"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TF</w:t>
            </w:r>
          </w:p>
        </w:tc>
        <w:tc>
          <w:tcPr>
            <w:tcW w:w="8220" w:type="dxa"/>
          </w:tcPr>
          <w:p w:rsidR="005762B2" w:rsidRPr="00036EE3" w:rsidRDefault="005762B2" w:rsidP="00961719">
            <w:pPr>
              <w:spacing w:before="30" w:after="30"/>
              <w:jc w:val="left"/>
              <w:rPr>
                <w:sz w:val="20"/>
                <w:lang w:val="en-US"/>
              </w:rPr>
            </w:pPr>
            <w:r w:rsidRPr="00036EE3">
              <w:rPr>
                <w:sz w:val="20"/>
                <w:lang w:val="en-US"/>
              </w:rPr>
              <w:t>Time signals and frequency standards emissions</w:t>
            </w:r>
          </w:p>
        </w:tc>
      </w:tr>
      <w:tr w:rsidR="005762B2" w:rsidRPr="00036EE3" w:rsidTr="00961719">
        <w:tc>
          <w:tcPr>
            <w:tcW w:w="1140" w:type="dxa"/>
          </w:tcPr>
          <w:p w:rsidR="005762B2" w:rsidRPr="00036EE3" w:rsidRDefault="005762B2" w:rsidP="00961719">
            <w:pPr>
              <w:spacing w:before="30" w:after="30"/>
              <w:ind w:left="57"/>
              <w:jc w:val="left"/>
              <w:rPr>
                <w:b/>
                <w:bCs/>
                <w:sz w:val="20"/>
                <w:lang w:val="en-US"/>
              </w:rPr>
            </w:pPr>
            <w:r w:rsidRPr="00036EE3">
              <w:rPr>
                <w:b/>
                <w:bCs/>
                <w:sz w:val="20"/>
                <w:lang w:val="en-US"/>
              </w:rPr>
              <w:t>V</w:t>
            </w:r>
          </w:p>
        </w:tc>
        <w:tc>
          <w:tcPr>
            <w:tcW w:w="8220" w:type="dxa"/>
          </w:tcPr>
          <w:p w:rsidR="005762B2" w:rsidRPr="00036EE3" w:rsidRDefault="005762B2" w:rsidP="00961719">
            <w:pPr>
              <w:spacing w:before="30" w:after="180"/>
              <w:jc w:val="left"/>
              <w:rPr>
                <w:sz w:val="20"/>
                <w:lang w:val="en-US"/>
              </w:rPr>
            </w:pPr>
            <w:r w:rsidRPr="00036EE3">
              <w:rPr>
                <w:sz w:val="20"/>
                <w:lang w:val="en-US"/>
              </w:rPr>
              <w:t>Vocabulary and related subjects</w:t>
            </w:r>
          </w:p>
        </w:tc>
      </w:tr>
    </w:tbl>
    <w:p w:rsidR="005762B2" w:rsidRPr="00036EE3" w:rsidRDefault="005762B2" w:rsidP="005762B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762B2" w:rsidTr="00961719">
        <w:tc>
          <w:tcPr>
            <w:tcW w:w="720" w:type="dxa"/>
          </w:tcPr>
          <w:p w:rsidR="005762B2" w:rsidRDefault="005762B2" w:rsidP="00961719">
            <w:pPr>
              <w:jc w:val="center"/>
              <w:rPr>
                <w:sz w:val="22"/>
                <w:lang w:val="en-US"/>
              </w:rPr>
            </w:pPr>
          </w:p>
        </w:tc>
      </w:tr>
    </w:tbl>
    <w:p w:rsidR="005762B2" w:rsidRPr="00036EE3" w:rsidRDefault="005762B2" w:rsidP="005762B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762B2" w:rsidRPr="00A5233D" w:rsidTr="00961719">
        <w:tc>
          <w:tcPr>
            <w:tcW w:w="9360" w:type="dxa"/>
          </w:tcPr>
          <w:p w:rsidR="005762B2" w:rsidRPr="002F5199" w:rsidRDefault="005762B2" w:rsidP="0096171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762B2" w:rsidRDefault="005762B2" w:rsidP="005762B2">
      <w:pPr>
        <w:spacing w:before="0"/>
        <w:jc w:val="center"/>
        <w:rPr>
          <w:sz w:val="22"/>
          <w:lang w:val="en-US"/>
        </w:rPr>
      </w:pPr>
    </w:p>
    <w:p w:rsidR="005762B2" w:rsidRDefault="005762B2" w:rsidP="005762B2">
      <w:pPr>
        <w:spacing w:before="0"/>
        <w:jc w:val="center"/>
        <w:rPr>
          <w:sz w:val="22"/>
          <w:lang w:val="en-US"/>
        </w:rPr>
      </w:pPr>
    </w:p>
    <w:p w:rsidR="005762B2" w:rsidRPr="002F5199" w:rsidRDefault="005762B2" w:rsidP="005762B2">
      <w:pPr>
        <w:spacing w:before="0"/>
        <w:jc w:val="right"/>
        <w:rPr>
          <w:i/>
          <w:iCs/>
          <w:sz w:val="20"/>
          <w:lang w:val="en-US"/>
        </w:rPr>
      </w:pPr>
      <w:r w:rsidRPr="002F5199">
        <w:rPr>
          <w:i/>
          <w:iCs/>
          <w:sz w:val="20"/>
          <w:lang w:val="en-US"/>
        </w:rPr>
        <w:t>Electronic Publication</w:t>
      </w:r>
    </w:p>
    <w:p w:rsidR="005762B2" w:rsidRPr="002F5199" w:rsidRDefault="005762B2" w:rsidP="0027251C">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27251C">
        <w:rPr>
          <w:sz w:val="20"/>
          <w:lang w:val="en-US"/>
        </w:rPr>
        <w:t>8</w:t>
      </w:r>
    </w:p>
    <w:p w:rsidR="005762B2" w:rsidRDefault="005762B2" w:rsidP="005762B2">
      <w:pPr>
        <w:jc w:val="center"/>
        <w:rPr>
          <w:sz w:val="22"/>
          <w:lang w:val="en-US"/>
        </w:rPr>
      </w:pPr>
    </w:p>
    <w:p w:rsidR="005762B2" w:rsidRPr="00470E28" w:rsidRDefault="005762B2" w:rsidP="0027251C">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27251C">
        <w:rPr>
          <w:sz w:val="20"/>
          <w:lang w:val="en-US"/>
        </w:rPr>
        <w:t>8</w:t>
      </w:r>
    </w:p>
    <w:p w:rsidR="005762B2" w:rsidRPr="00470E28" w:rsidRDefault="005762B2" w:rsidP="005762B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762B2" w:rsidRDefault="005762B2" w:rsidP="005762B2">
      <w:pPr>
        <w:spacing w:before="160"/>
        <w:rPr>
          <w:i/>
          <w:sz w:val="20"/>
          <w:lang w:val="en-US"/>
        </w:rPr>
        <w:sectPr w:rsidR="005762B2" w:rsidSect="0027251C">
          <w:headerReference w:type="even" r:id="rId11"/>
          <w:headerReference w:type="default" r:id="rId12"/>
          <w:pgSz w:w="11907" w:h="16834" w:code="9"/>
          <w:pgMar w:top="1418" w:right="1077" w:bottom="1134" w:left="1077" w:header="720" w:footer="482" w:gutter="0"/>
          <w:paperSrc w:first="15" w:other="15"/>
          <w:pgNumType w:fmt="lowerRoman" w:start="2"/>
          <w:cols w:space="720"/>
        </w:sectPr>
      </w:pPr>
    </w:p>
    <w:p w:rsidR="005762B2" w:rsidRPr="00052F66" w:rsidRDefault="005762B2" w:rsidP="005762B2">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7251C">
        <w:rPr>
          <w:rStyle w:val="href"/>
          <w:lang w:val="en-US"/>
        </w:rPr>
        <w:t>2057-1</w:t>
      </w:r>
    </w:p>
    <w:p w:rsidR="00C8398E" w:rsidRDefault="00C8398E" w:rsidP="00C8398E">
      <w:pPr>
        <w:pStyle w:val="Rectitle"/>
        <w:rPr>
          <w:lang w:val="en-GB"/>
        </w:rPr>
      </w:pPr>
      <w:r w:rsidRPr="00C8398E">
        <w:rPr>
          <w:lang w:val="en-GB"/>
        </w:rPr>
        <w:t>Systems characteristics of automotive radars operating in the frequency band 76</w:t>
      </w:r>
      <w:r w:rsidRPr="00C8398E">
        <w:rPr>
          <w:lang w:val="en-GB"/>
        </w:rPr>
        <w:noBreakHyphen/>
        <w:t>81 GHz for intelligent transport systems applications</w:t>
      </w:r>
    </w:p>
    <w:p w:rsidR="00C8398E" w:rsidRPr="00C8398E" w:rsidRDefault="00C8398E" w:rsidP="00FC61EC">
      <w:pPr>
        <w:pStyle w:val="Recdate"/>
        <w:rPr>
          <w:lang w:val="en-GB"/>
        </w:rPr>
      </w:pPr>
      <w:r w:rsidRPr="00C8398E">
        <w:rPr>
          <w:lang w:val="en-GB"/>
        </w:rPr>
        <w:t>(2014-201</w:t>
      </w:r>
      <w:r w:rsidR="00FC61EC">
        <w:rPr>
          <w:lang w:val="en-GB"/>
        </w:rPr>
        <w:t>8</w:t>
      </w:r>
      <w:r w:rsidRPr="00C8398E">
        <w:rPr>
          <w:lang w:val="en-GB"/>
        </w:rPr>
        <w:t>)</w:t>
      </w:r>
    </w:p>
    <w:p w:rsidR="00C8398E" w:rsidRPr="00C8398E" w:rsidRDefault="00C8398E" w:rsidP="00C8398E">
      <w:pPr>
        <w:rPr>
          <w:lang w:val="en-GB"/>
        </w:rPr>
      </w:pPr>
    </w:p>
    <w:p w:rsidR="00C8398E" w:rsidRDefault="00C8398E" w:rsidP="00C8398E">
      <w:pPr>
        <w:pStyle w:val="HeadingSum"/>
        <w:rPr>
          <w:lang w:val="en-GB"/>
        </w:rPr>
      </w:pPr>
      <w:r>
        <w:rPr>
          <w:lang w:val="en-GB"/>
        </w:rPr>
        <w:t>Scope</w:t>
      </w:r>
    </w:p>
    <w:p w:rsidR="00C8398E" w:rsidRDefault="00C8398E" w:rsidP="00C8398E">
      <w:pPr>
        <w:pStyle w:val="Summary"/>
        <w:rPr>
          <w:lang w:val="en-GB"/>
        </w:rPr>
      </w:pPr>
      <w:r>
        <w:rPr>
          <w:lang w:val="en-GB"/>
        </w:rPr>
        <w:t xml:space="preserve">This Recommendation specifies the </w:t>
      </w:r>
      <w:r>
        <w:rPr>
          <w:lang w:val="en-GB" w:eastAsia="ja-JP"/>
        </w:rPr>
        <w:t xml:space="preserve">system </w:t>
      </w:r>
      <w:r>
        <w:rPr>
          <w:lang w:val="en-GB"/>
        </w:rPr>
        <w:t xml:space="preserve">characteristics of automotive radars operating under the radiolocation service in the frequency band 76-81 GHz. These technical and operational characteristics should </w:t>
      </w:r>
      <w:r>
        <w:rPr>
          <w:lang w:val="en-GB" w:eastAsia="ja-JP"/>
        </w:rPr>
        <w:t xml:space="preserve">be </w:t>
      </w:r>
      <w:r>
        <w:rPr>
          <w:lang w:val="en-GB"/>
        </w:rPr>
        <w:t xml:space="preserve">used in compatibility studies between </w:t>
      </w:r>
      <w:r>
        <w:rPr>
          <w:lang w:val="en-GB" w:eastAsia="ja-JP"/>
        </w:rPr>
        <w:t xml:space="preserve">automotive </w:t>
      </w:r>
      <w:r>
        <w:rPr>
          <w:lang w:val="en-GB"/>
        </w:rPr>
        <w:t>radars operating in the radiolocation service and systems</w:t>
      </w:r>
      <w:r>
        <w:rPr>
          <w:lang w:val="en-GB" w:eastAsia="ja-JP"/>
        </w:rPr>
        <w:t xml:space="preserve"> operating in</w:t>
      </w:r>
      <w:r>
        <w:rPr>
          <w:lang w:val="en-GB"/>
        </w:rPr>
        <w:t xml:space="preserve"> other services.</w:t>
      </w:r>
    </w:p>
    <w:p w:rsidR="00C8398E" w:rsidRDefault="00C8398E" w:rsidP="00C8398E">
      <w:pPr>
        <w:pStyle w:val="Headingb"/>
        <w:rPr>
          <w:lang w:val="en-GB"/>
        </w:rPr>
      </w:pPr>
      <w:r>
        <w:rPr>
          <w:lang w:val="en-GB"/>
        </w:rPr>
        <w:t>Keywords</w:t>
      </w:r>
    </w:p>
    <w:p w:rsidR="00C8398E" w:rsidRDefault="00C8398E" w:rsidP="00FC61EC">
      <w:pPr>
        <w:rPr>
          <w:b/>
          <w:lang w:val="en-GB" w:eastAsia="zh-CN"/>
        </w:rPr>
      </w:pPr>
      <w:r w:rsidRPr="00C8398E">
        <w:rPr>
          <w:lang w:val="en-GB" w:eastAsia="zh-CN"/>
        </w:rPr>
        <w:t>Characteristics, protection criteria, automotive radar, intelligent transport systems</w:t>
      </w:r>
    </w:p>
    <w:p w:rsidR="00C8398E" w:rsidRDefault="00C8398E" w:rsidP="00C8398E">
      <w:pPr>
        <w:pStyle w:val="Headingb"/>
        <w:rPr>
          <w:lang w:val="en-GB" w:eastAsia="zh-CN"/>
        </w:rPr>
      </w:pPr>
      <w:r>
        <w:rPr>
          <w:lang w:val="en-GB"/>
        </w:rPr>
        <w:t>Abbreviations/Glossary</w:t>
      </w:r>
    </w:p>
    <w:p w:rsidR="00C8398E" w:rsidRPr="00260CFC" w:rsidRDefault="00C8398E" w:rsidP="00FC61EC">
      <w:pPr>
        <w:tabs>
          <w:tab w:val="clear" w:pos="794"/>
        </w:tabs>
        <w:rPr>
          <w:lang w:val="fr-CH"/>
        </w:rPr>
      </w:pPr>
      <w:r w:rsidRPr="00260CFC">
        <w:rPr>
          <w:lang w:val="fr-CH"/>
        </w:rPr>
        <w:t>ACC</w:t>
      </w:r>
      <w:r w:rsidRPr="00260CFC">
        <w:rPr>
          <w:lang w:val="fr-CH"/>
        </w:rPr>
        <w:tab/>
        <w:t>Adaptive cruise control</w:t>
      </w:r>
    </w:p>
    <w:p w:rsidR="00C8398E" w:rsidRPr="00260CFC" w:rsidRDefault="00C8398E" w:rsidP="00FC61EC">
      <w:pPr>
        <w:tabs>
          <w:tab w:val="clear" w:pos="794"/>
        </w:tabs>
        <w:rPr>
          <w:lang w:val="fr-CH"/>
        </w:rPr>
      </w:pPr>
      <w:r w:rsidRPr="00260CFC">
        <w:rPr>
          <w:lang w:val="fr-CH"/>
        </w:rPr>
        <w:t xml:space="preserve">CA </w:t>
      </w:r>
      <w:r w:rsidRPr="00260CFC">
        <w:rPr>
          <w:lang w:val="fr-CH"/>
        </w:rPr>
        <w:tab/>
        <w:t>Collision avoidance</w:t>
      </w:r>
    </w:p>
    <w:p w:rsidR="00C8398E" w:rsidRPr="00C8398E" w:rsidRDefault="00C8398E" w:rsidP="00FC61EC">
      <w:pPr>
        <w:tabs>
          <w:tab w:val="clear" w:pos="794"/>
        </w:tabs>
        <w:rPr>
          <w:lang w:val="en-GB"/>
        </w:rPr>
      </w:pPr>
      <w:r w:rsidRPr="00C8398E">
        <w:rPr>
          <w:lang w:val="en-GB"/>
        </w:rPr>
        <w:t>FMCW</w:t>
      </w:r>
      <w:r w:rsidRPr="00C8398E">
        <w:rPr>
          <w:lang w:val="en-GB"/>
        </w:rPr>
        <w:tab/>
        <w:t>Frequency modulated continuous wave</w:t>
      </w:r>
    </w:p>
    <w:p w:rsidR="00C8398E" w:rsidRPr="00C8398E" w:rsidRDefault="00C8398E" w:rsidP="00FC61EC">
      <w:pPr>
        <w:tabs>
          <w:tab w:val="clear" w:pos="794"/>
        </w:tabs>
        <w:rPr>
          <w:lang w:val="en-GB"/>
        </w:rPr>
      </w:pPr>
      <w:r w:rsidRPr="00C8398E">
        <w:rPr>
          <w:lang w:val="en-GB"/>
        </w:rPr>
        <w:t>ITS</w:t>
      </w:r>
      <w:r w:rsidRPr="00C8398E">
        <w:rPr>
          <w:lang w:val="en-GB"/>
        </w:rPr>
        <w:tab/>
        <w:t>Intelligent transport systems</w:t>
      </w:r>
    </w:p>
    <w:p w:rsidR="00C8398E" w:rsidRDefault="00C8398E" w:rsidP="00C8398E">
      <w:pPr>
        <w:pStyle w:val="Headingb"/>
        <w:rPr>
          <w:rFonts w:eastAsia="SimSun"/>
          <w:lang w:val="en-GB"/>
        </w:rPr>
      </w:pPr>
      <w:r>
        <w:rPr>
          <w:rFonts w:eastAsia="SimSun"/>
          <w:lang w:val="en-GB"/>
        </w:rPr>
        <w:t>Related ITU Recommendations and Reports</w:t>
      </w:r>
    </w:p>
    <w:p w:rsidR="00C8398E" w:rsidRDefault="00C8398E" w:rsidP="00FC61EC">
      <w:pPr>
        <w:pStyle w:val="Reftext"/>
        <w:rPr>
          <w:lang w:val="en-GB"/>
        </w:rPr>
      </w:pPr>
      <w:r w:rsidRPr="00C8398E">
        <w:rPr>
          <w:lang w:val="en-GB"/>
        </w:rPr>
        <w:t>Recommendation ITU-R M.1452 ‒ Millimetre wave vehicular collision avoidance radars and radiocommunication systems for intelligent transport system applications</w:t>
      </w:r>
    </w:p>
    <w:p w:rsidR="00C8398E" w:rsidRPr="00C8398E" w:rsidRDefault="00C8398E" w:rsidP="00C8398E">
      <w:pPr>
        <w:pStyle w:val="Normalaftertitle"/>
        <w:rPr>
          <w:lang w:val="en-GB"/>
        </w:rPr>
      </w:pPr>
      <w:r w:rsidRPr="00C8398E">
        <w:rPr>
          <w:lang w:val="en-GB"/>
        </w:rPr>
        <w:t>The ITU Radiocommunication Assembly,</w:t>
      </w:r>
    </w:p>
    <w:p w:rsidR="00C8398E" w:rsidRPr="00C8398E" w:rsidRDefault="00C8398E" w:rsidP="00C8398E">
      <w:pPr>
        <w:pStyle w:val="Call"/>
        <w:rPr>
          <w:lang w:val="en-GB"/>
        </w:rPr>
      </w:pPr>
      <w:r w:rsidRPr="00C8398E">
        <w:rPr>
          <w:lang w:val="en-GB"/>
        </w:rPr>
        <w:t>considering</w:t>
      </w:r>
    </w:p>
    <w:p w:rsidR="00C8398E" w:rsidRPr="00C8398E" w:rsidRDefault="00C8398E" w:rsidP="00FC61EC">
      <w:pPr>
        <w:rPr>
          <w:lang w:val="en-GB"/>
        </w:rPr>
      </w:pPr>
      <w:r w:rsidRPr="00C8398E">
        <w:rPr>
          <w:i/>
          <w:iCs/>
          <w:lang w:val="en-GB"/>
        </w:rPr>
        <w:t>a)</w:t>
      </w:r>
      <w:r w:rsidRPr="00C8398E">
        <w:rPr>
          <w:lang w:val="en-GB"/>
        </w:rPr>
        <w:tab/>
        <w:t>that antenna, signal propagation, target detection, and large bandwidth characteristics for automotive radars are needed to optimally achieve their functions in certain frequency bands;</w:t>
      </w:r>
    </w:p>
    <w:p w:rsidR="00C8398E" w:rsidRPr="00C8398E" w:rsidRDefault="00C8398E" w:rsidP="00C8398E">
      <w:pPr>
        <w:rPr>
          <w:lang w:val="en-GB"/>
        </w:rPr>
      </w:pPr>
      <w:r w:rsidRPr="00C8398E">
        <w:rPr>
          <w:i/>
          <w:iCs/>
          <w:lang w:val="en-GB"/>
        </w:rPr>
        <w:t>b)</w:t>
      </w:r>
      <w:r w:rsidRPr="00C8398E">
        <w:rPr>
          <w:lang w:val="en-GB"/>
        </w:rPr>
        <w:tab/>
        <w:t>that the technical characteristics of radars operating in the radiodetermination service are determined by the needs of the system and may vary widely from band to band;</w:t>
      </w:r>
    </w:p>
    <w:p w:rsidR="00C8398E" w:rsidRPr="00C8398E" w:rsidRDefault="00C8398E" w:rsidP="00C8398E">
      <w:pPr>
        <w:rPr>
          <w:lang w:val="en-GB"/>
        </w:rPr>
      </w:pPr>
      <w:r w:rsidRPr="00C8398E">
        <w:rPr>
          <w:i/>
          <w:iCs/>
          <w:lang w:val="en-GB"/>
        </w:rPr>
        <w:t>c)</w:t>
      </w:r>
      <w:r w:rsidRPr="00C8398E">
        <w:rPr>
          <w:lang w:val="en-GB"/>
        </w:rPr>
        <w:tab/>
        <w:t>that representative technical and operational characteristics of systems operating in frequency bands allocated to the radiodetermination service are necessary to determine the feasibility of introducing new types of systems;</w:t>
      </w:r>
    </w:p>
    <w:p w:rsidR="00C8398E" w:rsidRPr="00C8398E" w:rsidRDefault="00C8398E" w:rsidP="00C8398E">
      <w:pPr>
        <w:rPr>
          <w:lang w:val="en-GB"/>
        </w:rPr>
      </w:pPr>
      <w:r w:rsidRPr="00C8398E">
        <w:rPr>
          <w:i/>
          <w:iCs/>
          <w:lang w:val="en-GB"/>
        </w:rPr>
        <w:t>d)</w:t>
      </w:r>
      <w:r w:rsidRPr="00C8398E">
        <w:rPr>
          <w:lang w:val="en-GB"/>
        </w:rPr>
        <w:tab/>
        <w:t>that procedures and methodologies are needed to analyse compatibility between radars operating in the radiodetermination service and systems operating in other services,</w:t>
      </w:r>
    </w:p>
    <w:p w:rsidR="00C8398E" w:rsidRPr="00C8398E" w:rsidRDefault="00C8398E" w:rsidP="00C8398E">
      <w:pPr>
        <w:pStyle w:val="Call"/>
        <w:rPr>
          <w:lang w:val="en-GB"/>
        </w:rPr>
      </w:pPr>
      <w:r w:rsidRPr="00C8398E">
        <w:rPr>
          <w:lang w:val="en-GB"/>
        </w:rPr>
        <w:t>recommends</w:t>
      </w:r>
    </w:p>
    <w:p w:rsidR="00C8398E" w:rsidRPr="00C8398E" w:rsidRDefault="00C8398E" w:rsidP="00C8398E">
      <w:pPr>
        <w:rPr>
          <w:rFonts w:eastAsia="SimSun"/>
          <w:lang w:val="en-GB" w:eastAsia="ja-JP"/>
        </w:rPr>
      </w:pPr>
      <w:r w:rsidRPr="00C8398E">
        <w:rPr>
          <w:lang w:val="en-GB"/>
        </w:rPr>
        <w:t xml:space="preserve">that the </w:t>
      </w:r>
      <w:r w:rsidRPr="00C8398E">
        <w:rPr>
          <w:rFonts w:eastAsia="SimSun"/>
          <w:lang w:val="en-GB" w:eastAsia="ja-JP"/>
        </w:rPr>
        <w:t xml:space="preserve">systems </w:t>
      </w:r>
      <w:r w:rsidRPr="00C8398E">
        <w:rPr>
          <w:lang w:val="en-GB"/>
        </w:rPr>
        <w:t xml:space="preserve">characteristics for automotive radars operating in the frequency band 76-81 GHz </w:t>
      </w:r>
      <w:r w:rsidRPr="00C8398E">
        <w:rPr>
          <w:rFonts w:eastAsia="SimSun"/>
          <w:lang w:val="en-GB" w:eastAsia="ja-JP"/>
        </w:rPr>
        <w:t xml:space="preserve">for intelligent transport systems (ITS) applications </w:t>
      </w:r>
      <w:r w:rsidRPr="00C8398E">
        <w:rPr>
          <w:lang w:val="en-GB"/>
        </w:rPr>
        <w:t>as described in Annex 1 should be used for sharing/compatibility studies</w:t>
      </w:r>
      <w:r w:rsidRPr="00C8398E">
        <w:rPr>
          <w:rFonts w:eastAsia="SimSun"/>
          <w:lang w:val="en-GB" w:eastAsia="ja-JP"/>
        </w:rPr>
        <w:t>.</w:t>
      </w:r>
    </w:p>
    <w:p w:rsidR="00C8398E" w:rsidRPr="00C8398E" w:rsidRDefault="00C8398E" w:rsidP="00C8398E">
      <w:pPr>
        <w:rPr>
          <w:rFonts w:eastAsia="SimSun"/>
          <w:lang w:val="en-GB" w:eastAsia="ja-JP"/>
        </w:rPr>
      </w:pPr>
    </w:p>
    <w:p w:rsidR="00C8398E" w:rsidRDefault="00C8398E" w:rsidP="00C8398E">
      <w:pPr>
        <w:pStyle w:val="AnnexNoTitle"/>
        <w:rPr>
          <w:rFonts w:eastAsia="SimSun"/>
          <w:lang w:val="en-GB" w:eastAsia="ja-JP"/>
        </w:rPr>
      </w:pPr>
      <w:r>
        <w:rPr>
          <w:lang w:val="en-GB"/>
        </w:rPr>
        <w:lastRenderedPageBreak/>
        <w:t>Annex 1</w:t>
      </w:r>
      <w:r>
        <w:rPr>
          <w:lang w:val="en-GB"/>
        </w:rPr>
        <w:br/>
      </w:r>
      <w:r>
        <w:rPr>
          <w:lang w:val="en-GB"/>
        </w:rPr>
        <w:br/>
      </w:r>
      <w:r>
        <w:rPr>
          <w:lang w:val="en-GB" w:eastAsia="ja-JP"/>
        </w:rPr>
        <w:t>Systems</w:t>
      </w:r>
      <w:r>
        <w:rPr>
          <w:lang w:val="en-GB"/>
        </w:rPr>
        <w:t xml:space="preserve"> characteristics of automotive radar systems operating in </w:t>
      </w:r>
      <w:r>
        <w:rPr>
          <w:lang w:val="en-GB"/>
        </w:rPr>
        <w:br/>
        <w:t>the frequency band 76-81 GHz</w:t>
      </w:r>
      <w:r>
        <w:rPr>
          <w:rFonts w:eastAsia="SimSun"/>
          <w:lang w:val="en-GB" w:eastAsia="ja-JP"/>
        </w:rPr>
        <w:t xml:space="preserve"> for intelligent transport system applications</w:t>
      </w:r>
    </w:p>
    <w:p w:rsidR="00C8398E" w:rsidRDefault="00C8398E" w:rsidP="00C8398E">
      <w:pPr>
        <w:pStyle w:val="Heading1"/>
        <w:rPr>
          <w:lang w:val="en-GB"/>
        </w:rPr>
      </w:pPr>
      <w:r w:rsidRPr="00C8398E">
        <w:rPr>
          <w:lang w:val="en-GB"/>
        </w:rPr>
        <w:t>1</w:t>
      </w:r>
      <w:r w:rsidRPr="00C8398E">
        <w:rPr>
          <w:lang w:val="en-GB"/>
        </w:rPr>
        <w:tab/>
        <w:t>Introduction</w:t>
      </w:r>
    </w:p>
    <w:p w:rsidR="00C8398E" w:rsidRPr="00C8398E" w:rsidRDefault="00C8398E" w:rsidP="00C8398E">
      <w:pPr>
        <w:rPr>
          <w:lang w:val="en-GB" w:eastAsia="ja-JP"/>
        </w:rPr>
      </w:pPr>
      <w:r w:rsidRPr="00C8398E">
        <w:rPr>
          <w:lang w:val="en-GB"/>
        </w:rPr>
        <w:t xml:space="preserve">In the frequency band 76-81 GHz, radar systems in support of enhanced road safety are operated. </w:t>
      </w:r>
      <w:r w:rsidRPr="00C8398E">
        <w:rPr>
          <w:lang w:val="en-GB" w:eastAsia="ja-JP"/>
        </w:rPr>
        <w:t xml:space="preserve">Evolving demands related to automotive safety applications, including the reduction of traffic fatalities and accidents require a range resolution for automotive radar systems </w:t>
      </w:r>
      <w:r w:rsidRPr="00C8398E">
        <w:rPr>
          <w:lang w:val="en-GB"/>
        </w:rPr>
        <w:t>leading to a necessary bandwidth of up to 4 GHz.</w:t>
      </w:r>
    </w:p>
    <w:p w:rsidR="00C8398E" w:rsidRPr="00C8398E" w:rsidRDefault="00C8398E" w:rsidP="00C8398E">
      <w:pPr>
        <w:pStyle w:val="Heading1"/>
        <w:rPr>
          <w:lang w:val="en-GB"/>
        </w:rPr>
      </w:pPr>
      <w:r w:rsidRPr="00C8398E">
        <w:rPr>
          <w:lang w:val="en-GB"/>
        </w:rPr>
        <w:t>2</w:t>
      </w:r>
      <w:r w:rsidRPr="00C8398E">
        <w:rPr>
          <w:lang w:val="en-GB"/>
        </w:rPr>
        <w:tab/>
        <w:t xml:space="preserve">Technical characteristics of </w:t>
      </w:r>
      <w:r w:rsidRPr="00C8398E">
        <w:rPr>
          <w:rFonts w:eastAsia="SimSun"/>
          <w:lang w:val="en-GB" w:eastAsia="ja-JP"/>
        </w:rPr>
        <w:t>automotive radar</w:t>
      </w:r>
      <w:r w:rsidRPr="00C8398E">
        <w:rPr>
          <w:lang w:val="en-GB"/>
        </w:rPr>
        <w:t xml:space="preserve"> systems operating in the frequency band 76-81 GHz</w:t>
      </w:r>
    </w:p>
    <w:p w:rsidR="00C8398E" w:rsidRPr="00C8398E" w:rsidRDefault="00C8398E" w:rsidP="00C8398E">
      <w:pPr>
        <w:rPr>
          <w:lang w:val="en-GB"/>
        </w:rPr>
      </w:pPr>
      <w:r w:rsidRPr="00C8398E">
        <w:rPr>
          <w:lang w:val="en-GB"/>
        </w:rPr>
        <w:t xml:space="preserve">Regarding functional and safety requirements, the automotive </w:t>
      </w:r>
      <w:r w:rsidRPr="00C8398E">
        <w:rPr>
          <w:rFonts w:eastAsia="SimSun"/>
          <w:lang w:val="en-GB" w:eastAsia="ja-JP"/>
        </w:rPr>
        <w:t xml:space="preserve">radar </w:t>
      </w:r>
      <w:r w:rsidRPr="00C8398E">
        <w:rPr>
          <w:lang w:val="en-GB"/>
        </w:rPr>
        <w:t>systems operating in the 76</w:t>
      </w:r>
      <w:r w:rsidRPr="00C8398E">
        <w:rPr>
          <w:lang w:val="en-GB"/>
        </w:rPr>
        <w:noBreakHyphen/>
        <w:t>81</w:t>
      </w:r>
      <w:r w:rsidR="00FC61EC">
        <w:rPr>
          <w:lang w:val="en-GB"/>
        </w:rPr>
        <w:t> </w:t>
      </w:r>
      <w:r w:rsidRPr="00C8398E">
        <w:rPr>
          <w:lang w:val="en-GB"/>
        </w:rPr>
        <w:t>GHz range can be separated in two categories:</w:t>
      </w:r>
    </w:p>
    <w:p w:rsidR="00C8398E" w:rsidRPr="00C8398E" w:rsidRDefault="00C8398E" w:rsidP="00C8398E">
      <w:pPr>
        <w:pStyle w:val="enumlev1"/>
        <w:rPr>
          <w:lang w:val="en-GB"/>
        </w:rPr>
      </w:pPr>
      <w:r w:rsidRPr="00C8398E">
        <w:rPr>
          <w:lang w:val="en-GB"/>
        </w:rPr>
        <w:t>–</w:t>
      </w:r>
      <w:r w:rsidRPr="00C8398E">
        <w:rPr>
          <w:lang w:val="en-GB"/>
        </w:rPr>
        <w:tab/>
      </w:r>
      <w:r w:rsidRPr="00C8398E">
        <w:rPr>
          <w:b/>
          <w:bCs/>
          <w:lang w:val="en-GB"/>
        </w:rPr>
        <w:t>Category 1</w:t>
      </w:r>
      <w:r w:rsidRPr="00C8398E">
        <w:rPr>
          <w:lang w:val="en-GB"/>
        </w:rPr>
        <w:t xml:space="preserve">: adaptive cruise control (ACC) and </w:t>
      </w:r>
      <w:r w:rsidRPr="00C8398E">
        <w:rPr>
          <w:lang w:val="en-GB" w:eastAsia="ja-JP"/>
        </w:rPr>
        <w:t>c</w:t>
      </w:r>
      <w:r w:rsidRPr="00C8398E">
        <w:rPr>
          <w:lang w:val="en-GB"/>
        </w:rPr>
        <w:t xml:space="preserve">ollision </w:t>
      </w:r>
      <w:r w:rsidRPr="00C8398E">
        <w:rPr>
          <w:lang w:val="en-GB" w:eastAsia="ja-JP"/>
        </w:rPr>
        <w:t>a</w:t>
      </w:r>
      <w:r w:rsidRPr="00C8398E">
        <w:rPr>
          <w:lang w:val="en-GB"/>
        </w:rPr>
        <w:t xml:space="preserve">voidance (CA) radar, for measurement ranges up to </w:t>
      </w:r>
      <w:r w:rsidRPr="00C8398E">
        <w:rPr>
          <w:lang w:val="en-GB" w:eastAsia="ja-JP"/>
        </w:rPr>
        <w:t xml:space="preserve">250 </w:t>
      </w:r>
      <w:r w:rsidRPr="00C8398E">
        <w:rPr>
          <w:lang w:val="en-GB"/>
        </w:rPr>
        <w:t>metres the typical technical characteristics are listed in Table 1 as Radar A. For these applications, a maximum continuous bandwidth of 1 GHz is required. Such radars are considered to add additional comfort functions for the driver, giving support for more stress-free driving.</w:t>
      </w:r>
    </w:p>
    <w:p w:rsidR="00C8398E" w:rsidRPr="00C8398E" w:rsidRDefault="00C8398E" w:rsidP="00C8398E">
      <w:pPr>
        <w:pStyle w:val="enumlev1"/>
        <w:rPr>
          <w:lang w:val="en-GB" w:eastAsia="ja-JP"/>
        </w:rPr>
      </w:pPr>
      <w:r w:rsidRPr="00C8398E">
        <w:rPr>
          <w:lang w:val="en-GB"/>
        </w:rPr>
        <w:t>–</w:t>
      </w:r>
      <w:r w:rsidRPr="00C8398E">
        <w:rPr>
          <w:lang w:val="en-GB"/>
        </w:rPr>
        <w:tab/>
      </w:r>
      <w:r w:rsidRPr="00C8398E">
        <w:rPr>
          <w:b/>
          <w:bCs/>
          <w:lang w:val="en-GB"/>
        </w:rPr>
        <w:t>Category 2</w:t>
      </w:r>
      <w:r w:rsidRPr="00C8398E">
        <w:rPr>
          <w:lang w:val="en-GB"/>
        </w:rPr>
        <w:t xml:space="preserve">: Sensors for high resolution applications such as blind spot detection, lane-change assist and rear-traffic-crossing-alert, detection of pedestrians and bicycles in close proximity to a vehicle, for measurement ranges up to 100 metres the typical technical characteristics are listed in Table 1 as Radar B, </w:t>
      </w:r>
      <w:r w:rsidRPr="00C8398E">
        <w:rPr>
          <w:lang w:val="en-GB" w:eastAsia="ja-JP"/>
        </w:rPr>
        <w:t>Radar C and Radar D</w:t>
      </w:r>
      <w:r w:rsidRPr="00C8398E">
        <w:rPr>
          <w:lang w:val="en-GB"/>
        </w:rPr>
        <w:t>. For these high resolution applications, a necessary bandwidth of 4 GHz is required. Such radars directly add to the passive and active safety of a vehicle and are therefore an essential benefit towards improved traffic safety. The increased requirements for active and passive vehicle safety are already reflected in the requirements for vehicle testing. Radar E operates with a higher field of view to enable high-resolution applications such as pedestrian detection, parking-aid, and emergency braking at low speed (&lt; 30 k</w:t>
      </w:r>
      <w:r w:rsidRPr="00C8398E">
        <w:rPr>
          <w:lang w:val="en-GB" w:eastAsia="ja-JP"/>
        </w:rPr>
        <w:t>m/</w:t>
      </w:r>
      <w:r w:rsidRPr="00C8398E">
        <w:rPr>
          <w:lang w:val="en-GB"/>
        </w:rPr>
        <w:t>h)</w:t>
      </w:r>
      <w:r w:rsidRPr="00C8398E">
        <w:rPr>
          <w:lang w:val="en-GB" w:eastAsia="ja-JP"/>
        </w:rPr>
        <w:t>.</w:t>
      </w:r>
    </w:p>
    <w:p w:rsidR="00C8398E" w:rsidRPr="00C8398E" w:rsidRDefault="00C8398E" w:rsidP="00C8398E">
      <w:pPr>
        <w:rPr>
          <w:lang w:val="en-GB"/>
        </w:rPr>
      </w:pPr>
      <w:r w:rsidRPr="00C8398E">
        <w:rPr>
          <w:lang w:val="en-GB"/>
        </w:rPr>
        <w:t xml:space="preserve">The technical parameters of radiolocation radar systems operating in the </w:t>
      </w:r>
      <w:r w:rsidRPr="00C8398E">
        <w:rPr>
          <w:lang w:val="en-GB" w:eastAsia="ja-JP"/>
        </w:rPr>
        <w:t xml:space="preserve">frequency </w:t>
      </w:r>
      <w:r w:rsidRPr="00C8398E">
        <w:rPr>
          <w:lang w:val="en-GB"/>
        </w:rPr>
        <w:t>band</w:t>
      </w:r>
      <w:r w:rsidRPr="00C8398E">
        <w:rPr>
          <w:lang w:val="en-GB" w:eastAsia="ja-JP"/>
        </w:rPr>
        <w:t>s</w:t>
      </w:r>
      <w:r w:rsidRPr="00C8398E">
        <w:rPr>
          <w:lang w:val="en-GB"/>
        </w:rPr>
        <w:t xml:space="preserve"> 76</w:t>
      </w:r>
      <w:r w:rsidRPr="00C8398E">
        <w:rPr>
          <w:lang w:val="en-GB"/>
        </w:rPr>
        <w:noBreakHyphen/>
        <w:t>77</w:t>
      </w:r>
      <w:r w:rsidRPr="00C8398E">
        <w:rPr>
          <w:lang w:val="en-GB" w:eastAsia="ja-JP"/>
        </w:rPr>
        <w:t> </w:t>
      </w:r>
      <w:r w:rsidRPr="00C8398E">
        <w:rPr>
          <w:lang w:val="en-GB"/>
        </w:rPr>
        <w:t>GHz and 77-81</w:t>
      </w:r>
      <w:r w:rsidRPr="00C8398E">
        <w:rPr>
          <w:lang w:val="en-GB" w:eastAsia="ja-JP"/>
        </w:rPr>
        <w:t xml:space="preserve"> </w:t>
      </w:r>
      <w:r w:rsidRPr="00C8398E">
        <w:rPr>
          <w:lang w:val="en-GB"/>
        </w:rPr>
        <w:t>GHz are presented in Table 1.</w:t>
      </w:r>
    </w:p>
    <w:p w:rsidR="00C8398E" w:rsidRPr="00C8398E" w:rsidRDefault="00C8398E" w:rsidP="00C8398E">
      <w:pPr>
        <w:overflowPunct/>
        <w:autoSpaceDE/>
        <w:autoSpaceDN/>
        <w:adjustRightInd/>
        <w:spacing w:before="0"/>
        <w:rPr>
          <w:lang w:val="en-GB"/>
        </w:rPr>
        <w:sectPr w:rsidR="00C8398E" w:rsidRPr="00C8398E" w:rsidSect="005C0DE7">
          <w:pgSz w:w="11907" w:h="16834" w:code="9"/>
          <w:pgMar w:top="1418" w:right="1134" w:bottom="1134" w:left="1134" w:header="720" w:footer="482" w:gutter="0"/>
          <w:paperSrc w:first="15" w:other="15"/>
          <w:pgNumType w:start="1"/>
          <w:cols w:space="720"/>
        </w:sectPr>
      </w:pPr>
    </w:p>
    <w:p w:rsidR="00C8398E" w:rsidRPr="00C8398E" w:rsidRDefault="00C8398E" w:rsidP="00C8398E">
      <w:pPr>
        <w:pStyle w:val="TableNo"/>
        <w:rPr>
          <w:lang w:val="en-GB"/>
        </w:rPr>
      </w:pPr>
      <w:r w:rsidRPr="00C8398E">
        <w:rPr>
          <w:lang w:val="en-GB"/>
        </w:rPr>
        <w:lastRenderedPageBreak/>
        <w:t>TABLE 1</w:t>
      </w:r>
    </w:p>
    <w:p w:rsidR="00C8398E" w:rsidRPr="00C8398E" w:rsidRDefault="00C8398E" w:rsidP="00C8398E">
      <w:pPr>
        <w:pStyle w:val="Tabletitle"/>
        <w:rPr>
          <w:lang w:val="en-GB" w:eastAsia="zh-CN"/>
        </w:rPr>
      </w:pPr>
      <w:r w:rsidRPr="00C8398E">
        <w:rPr>
          <w:lang w:val="en-GB"/>
        </w:rPr>
        <w:t>Automotive radar characteristics in the frequency band 76-81 GHz</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92"/>
        <w:gridCol w:w="2160"/>
        <w:gridCol w:w="2510"/>
        <w:gridCol w:w="2500"/>
        <w:gridCol w:w="2127"/>
        <w:gridCol w:w="2379"/>
      </w:tblGrid>
      <w:tr w:rsidR="00C8398E" w:rsidRPr="00260CFC" w:rsidTr="00FC61EC">
        <w:trPr>
          <w:cantSplit/>
          <w:tblHeader/>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Parameter</w:t>
            </w:r>
          </w:p>
        </w:tc>
        <w:tc>
          <w:tcPr>
            <w:tcW w:w="992" w:type="dxa"/>
            <w:tcBorders>
              <w:top w:val="single" w:sz="6" w:space="0" w:color="auto"/>
              <w:left w:val="nil"/>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Units</w:t>
            </w:r>
          </w:p>
        </w:tc>
        <w:tc>
          <w:tcPr>
            <w:tcW w:w="216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Radar A</w:t>
            </w:r>
            <w:r>
              <w:rPr>
                <w:vertAlign w:val="superscript"/>
                <w:lang w:val="en-US" w:eastAsia="zh-CN"/>
              </w:rPr>
              <w:t xml:space="preserve">(1) </w:t>
            </w:r>
          </w:p>
          <w:p w:rsidR="00C8398E" w:rsidRDefault="00C8398E">
            <w:pPr>
              <w:pStyle w:val="Tablehead"/>
              <w:rPr>
                <w:lang w:val="en-US" w:eastAsia="zh-CN"/>
              </w:rPr>
            </w:pPr>
            <w:r>
              <w:rPr>
                <w:lang w:val="en-US" w:eastAsia="zh-CN"/>
              </w:rPr>
              <w:t>Automotive radar</w:t>
            </w:r>
          </w:p>
          <w:p w:rsidR="00C8398E" w:rsidRDefault="00C8398E">
            <w:pPr>
              <w:pStyle w:val="Tablehead"/>
              <w:rPr>
                <w:lang w:val="en-US" w:eastAsia="zh-CN"/>
              </w:rPr>
            </w:pPr>
            <w:r>
              <w:rPr>
                <w:lang w:val="en-US" w:eastAsia="zh-CN"/>
              </w:rPr>
              <w:t>For front applications for e.g. for ACC</w:t>
            </w:r>
          </w:p>
        </w:tc>
        <w:tc>
          <w:tcPr>
            <w:tcW w:w="251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Radar B</w:t>
            </w:r>
          </w:p>
          <w:p w:rsidR="00C8398E" w:rsidRDefault="00C8398E">
            <w:pPr>
              <w:pStyle w:val="Tablehead"/>
              <w:rPr>
                <w:lang w:val="en-US" w:eastAsia="zh-CN"/>
              </w:rPr>
            </w:pPr>
            <w:r>
              <w:rPr>
                <w:lang w:val="en-US" w:eastAsia="zh-CN"/>
              </w:rPr>
              <w:t>Automotive high-resolution radar</w:t>
            </w:r>
          </w:p>
          <w:p w:rsidR="00C8398E" w:rsidRDefault="00C8398E">
            <w:pPr>
              <w:pStyle w:val="Tablehead"/>
              <w:rPr>
                <w:lang w:val="en-US" w:eastAsia="zh-CN"/>
              </w:rPr>
            </w:pPr>
            <w:r>
              <w:rPr>
                <w:lang w:val="en-US"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Radar C</w:t>
            </w:r>
          </w:p>
          <w:p w:rsidR="00C8398E" w:rsidRDefault="00C8398E">
            <w:pPr>
              <w:pStyle w:val="Tablehead"/>
              <w:rPr>
                <w:lang w:val="en-US" w:eastAsia="zh-CN"/>
              </w:rPr>
            </w:pPr>
            <w:r>
              <w:rPr>
                <w:lang w:val="en-US" w:eastAsia="zh-CN"/>
              </w:rPr>
              <w:t>Automotive high-resolution radar</w:t>
            </w:r>
          </w:p>
          <w:p w:rsidR="00C8398E" w:rsidRDefault="00C8398E">
            <w:pPr>
              <w:pStyle w:val="Tablehead"/>
              <w:rPr>
                <w:lang w:val="en-US" w:eastAsia="zh-CN"/>
              </w:rPr>
            </w:pPr>
            <w:r>
              <w:rPr>
                <w:lang w:val="en-US" w:eastAsia="zh-CN"/>
              </w:rPr>
              <w:t>For corner applications</w:t>
            </w:r>
          </w:p>
        </w:tc>
        <w:tc>
          <w:tcPr>
            <w:tcW w:w="2127" w:type="dxa"/>
            <w:tcBorders>
              <w:top w:val="single" w:sz="6" w:space="0" w:color="auto"/>
              <w:left w:val="single" w:sz="6" w:space="0" w:color="auto"/>
              <w:bottom w:val="single" w:sz="6" w:space="0" w:color="auto"/>
              <w:right w:val="nil"/>
            </w:tcBorders>
            <w:vAlign w:val="center"/>
            <w:hideMark/>
          </w:tcPr>
          <w:p w:rsidR="00C8398E" w:rsidRDefault="00C8398E">
            <w:pPr>
              <w:pStyle w:val="Tablehead"/>
              <w:rPr>
                <w:rFonts w:eastAsia="SimSun"/>
                <w:lang w:val="en-US" w:eastAsia="ja-JP"/>
              </w:rPr>
            </w:pPr>
            <w:r>
              <w:rPr>
                <w:lang w:val="en-US" w:eastAsia="zh-CN"/>
              </w:rPr>
              <w:t>Radar D</w:t>
            </w:r>
          </w:p>
          <w:p w:rsidR="00C8398E" w:rsidRDefault="00C8398E">
            <w:pPr>
              <w:pStyle w:val="Tablehead"/>
              <w:rPr>
                <w:rFonts w:eastAsia="SimSun"/>
                <w:lang w:val="en-US" w:eastAsia="ja-JP"/>
              </w:rPr>
            </w:pPr>
            <w:r>
              <w:rPr>
                <w:lang w:val="en-US" w:eastAsia="zh-CN"/>
              </w:rPr>
              <w:t xml:space="preserve">Automotive </w:t>
            </w:r>
            <w:r>
              <w:rPr>
                <w:lang w:val="en-US" w:eastAsia="zh-CN"/>
              </w:rPr>
              <w:br/>
              <w:t>high</w:t>
            </w:r>
            <w:r>
              <w:rPr>
                <w:rFonts w:eastAsia="SimSun"/>
                <w:lang w:val="en-US" w:eastAsia="ja-JP"/>
              </w:rPr>
              <w:t>-</w:t>
            </w:r>
            <w:r>
              <w:rPr>
                <w:lang w:val="en-US" w:eastAsia="zh-CN"/>
              </w:rPr>
              <w:t>resolution radar</w:t>
            </w:r>
          </w:p>
        </w:tc>
        <w:tc>
          <w:tcPr>
            <w:tcW w:w="2379"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head"/>
              <w:rPr>
                <w:lang w:val="en-US" w:eastAsia="zh-CN"/>
              </w:rPr>
            </w:pPr>
            <w:r>
              <w:rPr>
                <w:lang w:val="en-US" w:eastAsia="zh-CN"/>
              </w:rPr>
              <w:t>Radar E</w:t>
            </w:r>
          </w:p>
          <w:p w:rsidR="00C8398E" w:rsidRDefault="00C8398E">
            <w:pPr>
              <w:pStyle w:val="Tablehead"/>
              <w:rPr>
                <w:lang w:val="en-US" w:eastAsia="zh-CN"/>
              </w:rPr>
            </w:pPr>
            <w:r>
              <w:rPr>
                <w:lang w:val="en-US" w:eastAsia="zh-CN"/>
              </w:rPr>
              <w:t xml:space="preserve">Automotive </w:t>
            </w:r>
            <w:r>
              <w:rPr>
                <w:lang w:val="en-US" w:eastAsia="zh-CN"/>
              </w:rPr>
              <w:br/>
              <w:t>high-resolution radar</w:t>
            </w:r>
          </w:p>
          <w:p w:rsidR="00C8398E" w:rsidRDefault="00C8398E">
            <w:pPr>
              <w:pStyle w:val="Tablehead"/>
              <w:rPr>
                <w:lang w:val="en-US" w:eastAsia="zh-CN"/>
              </w:rPr>
            </w:pPr>
            <w:r>
              <w:rPr>
                <w:lang w:val="en-US" w:eastAsia="zh-CN"/>
              </w:rPr>
              <w:t>Very short range applications (e.g. parking-aid, CA at very low speed)</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 xml:space="preserve">Sub-band used </w:t>
            </w:r>
          </w:p>
        </w:tc>
        <w:tc>
          <w:tcPr>
            <w:tcW w:w="992"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GHz</w:t>
            </w:r>
          </w:p>
        </w:tc>
        <w:tc>
          <w:tcPr>
            <w:tcW w:w="216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76-77</w:t>
            </w:r>
          </w:p>
        </w:tc>
        <w:tc>
          <w:tcPr>
            <w:tcW w:w="251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77-81</w:t>
            </w:r>
          </w:p>
        </w:tc>
        <w:tc>
          <w:tcPr>
            <w:tcW w:w="250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rFonts w:eastAsia="SimSun"/>
                <w:lang w:val="en-US" w:eastAsia="ja-JP"/>
              </w:rPr>
            </w:pPr>
            <w:r>
              <w:rPr>
                <w:lang w:val="en-US" w:eastAsia="zh-CN"/>
              </w:rPr>
              <w:t>77-81</w:t>
            </w:r>
          </w:p>
        </w:tc>
        <w:tc>
          <w:tcPr>
            <w:tcW w:w="2127" w:type="dxa"/>
            <w:tcBorders>
              <w:top w:val="single" w:sz="6" w:space="0" w:color="auto"/>
              <w:left w:val="single" w:sz="6" w:space="0" w:color="auto"/>
              <w:bottom w:val="single" w:sz="6" w:space="0" w:color="auto"/>
              <w:right w:val="nil"/>
            </w:tcBorders>
            <w:vAlign w:val="center"/>
            <w:hideMark/>
          </w:tcPr>
          <w:p w:rsidR="00C8398E" w:rsidRDefault="00C8398E">
            <w:pPr>
              <w:pStyle w:val="Tabletext"/>
              <w:jc w:val="center"/>
              <w:rPr>
                <w:rFonts w:eastAsia="SimSun"/>
                <w:lang w:val="en-US" w:eastAsia="ja-JP"/>
              </w:rPr>
            </w:pPr>
            <w:r>
              <w:rPr>
                <w:rFonts w:eastAsia="SimSun"/>
                <w:lang w:val="en-US" w:eastAsia="ja-JP"/>
              </w:rPr>
              <w:t>77-81</w:t>
            </w:r>
          </w:p>
        </w:tc>
        <w:tc>
          <w:tcPr>
            <w:tcW w:w="2379"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77-81</w:t>
            </w:r>
          </w:p>
        </w:tc>
      </w:tr>
      <w:tr w:rsidR="00C8398E" w:rsidTr="00FC61EC">
        <w:trPr>
          <w:cantSplit/>
          <w:jc w:val="center"/>
        </w:trPr>
        <w:tc>
          <w:tcPr>
            <w:tcW w:w="1791"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rPr>
                <w:lang w:val="en-US" w:eastAsia="zh-CN"/>
              </w:rPr>
            </w:pPr>
            <w:r>
              <w:rPr>
                <w:lang w:val="en-US" w:eastAsia="zh-CN"/>
              </w:rPr>
              <w:t>Typical operating range</w:t>
            </w:r>
          </w:p>
        </w:tc>
        <w:tc>
          <w:tcPr>
            <w:tcW w:w="992" w:type="dxa"/>
            <w:tcBorders>
              <w:top w:val="single" w:sz="6" w:space="0" w:color="auto"/>
              <w:left w:val="nil"/>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m</w:t>
            </w:r>
          </w:p>
        </w:tc>
        <w:tc>
          <w:tcPr>
            <w:tcW w:w="216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Up to 250</w:t>
            </w:r>
          </w:p>
        </w:tc>
        <w:tc>
          <w:tcPr>
            <w:tcW w:w="251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Up to 100</w:t>
            </w:r>
          </w:p>
        </w:tc>
        <w:tc>
          <w:tcPr>
            <w:tcW w:w="250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lang w:val="en-US" w:eastAsia="zh-CN"/>
              </w:rPr>
              <w:t>Up to 100</w:t>
            </w:r>
          </w:p>
        </w:tc>
        <w:tc>
          <w:tcPr>
            <w:tcW w:w="2127" w:type="dxa"/>
            <w:tcBorders>
              <w:top w:val="single" w:sz="6" w:space="0" w:color="auto"/>
              <w:left w:val="single" w:sz="6" w:space="0" w:color="auto"/>
              <w:bottom w:val="single" w:sz="4" w:space="0" w:color="auto"/>
              <w:right w:val="nil"/>
            </w:tcBorders>
            <w:vAlign w:val="center"/>
            <w:hideMark/>
          </w:tcPr>
          <w:p w:rsidR="00C8398E" w:rsidRDefault="00C8398E">
            <w:pPr>
              <w:pStyle w:val="Tabletext"/>
              <w:jc w:val="center"/>
              <w:rPr>
                <w:rFonts w:eastAsia="SimSun"/>
                <w:highlight w:val="yellow"/>
                <w:lang w:val="en-US" w:eastAsia="ja-JP"/>
              </w:rPr>
            </w:pPr>
            <w:r>
              <w:rPr>
                <w:rFonts w:eastAsia="SimSun"/>
                <w:lang w:val="en-US" w:eastAsia="ja-JP"/>
              </w:rPr>
              <w:t xml:space="preserve">Up to </w:t>
            </w:r>
            <w:r>
              <w:rPr>
                <w:lang w:val="en-US" w:eastAsia="ja-JP"/>
              </w:rPr>
              <w:t>100</w:t>
            </w:r>
          </w:p>
        </w:tc>
        <w:tc>
          <w:tcPr>
            <w:tcW w:w="2379"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Up to 50</w:t>
            </w:r>
          </w:p>
        </w:tc>
      </w:tr>
      <w:tr w:rsidR="00C8398E" w:rsidTr="00FC61EC">
        <w:trPr>
          <w:cantSplit/>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rPr>
                <w:lang w:val="en-US" w:eastAsia="zh-CN"/>
              </w:rPr>
            </w:pPr>
            <w:r>
              <w:rPr>
                <w:lang w:val="en-US" w:eastAsia="zh-CN"/>
              </w:rPr>
              <w:t>Range resolution</w:t>
            </w:r>
          </w:p>
        </w:tc>
        <w:tc>
          <w:tcPr>
            <w:tcW w:w="992"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cm</w:t>
            </w:r>
          </w:p>
        </w:tc>
        <w:tc>
          <w:tcPr>
            <w:tcW w:w="216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75</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7</w:t>
            </w:r>
            <w:r>
              <w:rPr>
                <w:lang w:val="en-US" w:eastAsia="ja-JP"/>
              </w:rPr>
              <w:t>.</w:t>
            </w:r>
            <w:r>
              <w:rPr>
                <w:lang w:val="en-US" w:eastAsia="zh-CN"/>
              </w:rPr>
              <w:t>5</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lang w:val="en-US" w:eastAsia="zh-CN"/>
              </w:rPr>
              <w:t>7</w:t>
            </w:r>
            <w:r>
              <w:rPr>
                <w:lang w:val="en-US" w:eastAsia="ja-JP"/>
              </w:rPr>
              <w:t>.</w:t>
            </w:r>
            <w:r>
              <w:rPr>
                <w:lang w:val="en-US" w:eastAsia="zh-CN"/>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7.5</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7.5</w:t>
            </w:r>
          </w:p>
        </w:tc>
      </w:tr>
      <w:tr w:rsidR="00C8398E" w:rsidTr="00FC61EC">
        <w:trPr>
          <w:cantSplit/>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rPr>
                <w:lang w:val="en-US" w:eastAsia="zh-CN"/>
              </w:rPr>
            </w:pPr>
            <w:r>
              <w:rPr>
                <w:lang w:val="en-US" w:eastAsia="zh-CN"/>
              </w:rPr>
              <w:t>Typical emission type</w:t>
            </w:r>
          </w:p>
        </w:tc>
        <w:tc>
          <w:tcPr>
            <w:tcW w:w="992" w:type="dxa"/>
            <w:tcBorders>
              <w:top w:val="single" w:sz="4" w:space="0" w:color="auto"/>
              <w:left w:val="single" w:sz="4" w:space="0" w:color="auto"/>
              <w:bottom w:val="single" w:sz="4" w:space="0" w:color="auto"/>
              <w:right w:val="single" w:sz="4" w:space="0" w:color="auto"/>
            </w:tcBorders>
            <w:vAlign w:val="center"/>
          </w:tcPr>
          <w:p w:rsidR="00C8398E" w:rsidRDefault="00C8398E">
            <w:pPr>
              <w:pStyle w:val="Tabletext"/>
              <w:jc w:val="center"/>
              <w:rPr>
                <w:lang w:val="en-US" w:eastAsia="zh-CN"/>
              </w:rPr>
            </w:pPr>
          </w:p>
        </w:tc>
        <w:tc>
          <w:tcPr>
            <w:tcW w:w="216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FMCW, Fast-FMCW</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highlight w:val="red"/>
                <w:lang w:val="en-US" w:eastAsia="zh-CN"/>
              </w:rPr>
            </w:pPr>
            <w:r>
              <w:rPr>
                <w:lang w:val="en-US" w:eastAsia="zh-CN"/>
              </w:rPr>
              <w:t>FMCW, Fast-FMCW</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highlight w:val="red"/>
                <w:lang w:val="en-US" w:eastAsia="ja-JP"/>
              </w:rPr>
            </w:pPr>
            <w:r>
              <w:rPr>
                <w:rFonts w:eastAsia="SimSun"/>
                <w:lang w:val="en-US" w:eastAsia="ja-JP"/>
              </w:rPr>
              <w:t>FMCW, Fast-FMCW</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rFonts w:eastAsia="SimSun"/>
                <w:highlight w:val="red"/>
                <w:lang w:val="en-US" w:eastAsia="ja-JP"/>
              </w:rPr>
            </w:pPr>
            <w:r>
              <w:rPr>
                <w:rFonts w:eastAsia="SimSun"/>
                <w:lang w:val="en-US" w:eastAsia="ja-JP"/>
              </w:rPr>
              <w:t>FMCW</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rFonts w:eastAsia="SimSun"/>
                <w:lang w:val="en-US" w:eastAsia="ja-JP"/>
              </w:rPr>
            </w:pPr>
            <w:r>
              <w:rPr>
                <w:rFonts w:eastAsia="SimSun"/>
                <w:lang w:val="en-US" w:eastAsia="ja-JP"/>
              </w:rPr>
              <w:t>FMCW, Fast-FMCW</w:t>
            </w:r>
          </w:p>
        </w:tc>
      </w:tr>
      <w:tr w:rsidR="00C8398E" w:rsidTr="00FC61EC">
        <w:trPr>
          <w:cantSplit/>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rPr>
                <w:lang w:val="en-US" w:eastAsia="zh-CN"/>
              </w:rPr>
            </w:pPr>
            <w:r>
              <w:rPr>
                <w:lang w:val="en-US" w:eastAsia="zh-CN"/>
              </w:rPr>
              <w:t>Max necessary bandwidth</w:t>
            </w:r>
          </w:p>
        </w:tc>
        <w:tc>
          <w:tcPr>
            <w:tcW w:w="992"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GHz</w:t>
            </w:r>
          </w:p>
        </w:tc>
        <w:tc>
          <w:tcPr>
            <w:tcW w:w="216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1</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4</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4</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4</w:t>
            </w:r>
          </w:p>
        </w:tc>
      </w:tr>
      <w:tr w:rsidR="00C8398E" w:rsidTr="00FC61EC">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rPr>
                <w:lang w:val="en-US"/>
              </w:rPr>
            </w:pPr>
            <w:r>
              <w:rPr>
                <w:lang w:val="en-US"/>
              </w:rPr>
              <w:t xml:space="preserve">Chirp bandwidth </w:t>
            </w:r>
          </w:p>
        </w:tc>
        <w:tc>
          <w:tcPr>
            <w:tcW w:w="992"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jc w:val="center"/>
              <w:rPr>
                <w:lang w:val="en-US"/>
              </w:rPr>
            </w:pPr>
            <w:r>
              <w:rPr>
                <w:lang w:val="en-US"/>
              </w:rPr>
              <w:t>GHz</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398E" w:rsidRDefault="00C8398E">
            <w:pPr>
              <w:pStyle w:val="Tabletext"/>
              <w:jc w:val="center"/>
              <w:rPr>
                <w:lang w:val="en-US" w:eastAsia="ja-JP"/>
              </w:rPr>
            </w:pPr>
            <w:r>
              <w:rPr>
                <w:lang w:val="en-US" w:eastAsia="ja-JP"/>
              </w:rPr>
              <w:t>1</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398E" w:rsidRDefault="00C8398E">
            <w:pPr>
              <w:pStyle w:val="Tabletext"/>
              <w:jc w:val="center"/>
              <w:rPr>
                <w:lang w:val="en-US" w:eastAsia="ja-JP"/>
              </w:rPr>
            </w:pPr>
            <w:r>
              <w:rPr>
                <w:lang w:val="en-US" w:eastAsia="ja-JP"/>
              </w:rPr>
              <w:t>2-4</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398E" w:rsidRDefault="00C8398E">
            <w:pPr>
              <w:pStyle w:val="Tabletext"/>
              <w:jc w:val="center"/>
              <w:rPr>
                <w:lang w:val="en-US"/>
              </w:rPr>
            </w:pPr>
            <w:r>
              <w:rPr>
                <w:lang w:val="en-US"/>
              </w:rPr>
              <w:t>2-4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398E" w:rsidRDefault="00C8398E">
            <w:pPr>
              <w:pStyle w:val="Tabletext"/>
              <w:jc w:val="center"/>
              <w:rPr>
                <w:rFonts w:eastAsia="SimSun"/>
                <w:lang w:val="en-US" w:eastAsia="ja-JP"/>
              </w:rPr>
            </w:pPr>
            <w:r>
              <w:rPr>
                <w:rFonts w:eastAsia="SimSun"/>
                <w:lang w:val="en-US" w:eastAsia="ja-JP"/>
              </w:rPr>
              <w:t>2-4</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rFonts w:eastAsia="SimSun"/>
                <w:lang w:val="en-US" w:eastAsia="ja-JP"/>
              </w:rPr>
            </w:pPr>
            <w:r>
              <w:rPr>
                <w:rFonts w:eastAsia="SimSun"/>
                <w:lang w:val="en-US" w:eastAsia="ja-JP"/>
              </w:rPr>
              <w:t>2</w:t>
            </w:r>
          </w:p>
        </w:tc>
      </w:tr>
      <w:tr w:rsidR="00C8398E" w:rsidRPr="00260CFC" w:rsidTr="00FC61EC">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rPr>
                <w:lang w:val="en-US"/>
              </w:rPr>
            </w:pPr>
            <w:r>
              <w:rPr>
                <w:lang w:val="en-US"/>
              </w:rPr>
              <w:t xml:space="preserve">Typical sweep time </w:t>
            </w:r>
          </w:p>
        </w:tc>
        <w:tc>
          <w:tcPr>
            <w:tcW w:w="992"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jc w:val="center"/>
              <w:rPr>
                <w:lang w:val="en-US"/>
              </w:rPr>
            </w:pPr>
            <w:r>
              <w:rPr>
                <w:lang w:val="en-US"/>
              </w:rPr>
              <w:sym w:font="Symbol" w:char="F06D"/>
            </w:r>
            <w:r>
              <w:rPr>
                <w:lang w:val="en-US"/>
              </w:rPr>
              <w:t>s</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lang w:val="en-US"/>
              </w:rPr>
            </w:pPr>
            <w:r>
              <w:rPr>
                <w:lang w:val="en-US"/>
              </w:rPr>
              <w:t>10 000-40 000 for FMCW</w:t>
            </w:r>
          </w:p>
          <w:p w:rsidR="00C8398E" w:rsidRDefault="00C8398E">
            <w:pPr>
              <w:pStyle w:val="Tabletext"/>
              <w:jc w:val="center"/>
              <w:rPr>
                <w:lang w:val="en-US"/>
              </w:rPr>
            </w:pPr>
            <w:r>
              <w:rPr>
                <w:lang w:val="en-US"/>
              </w:rPr>
              <w:t>10-40 for fast-FMCW</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lang w:val="en-US"/>
              </w:rPr>
            </w:pPr>
            <w:r>
              <w:rPr>
                <w:lang w:val="en-US"/>
              </w:rPr>
              <w:t>10 000-40 000 for FMCW</w:t>
            </w:r>
          </w:p>
          <w:p w:rsidR="00C8398E" w:rsidRDefault="00C8398E">
            <w:pPr>
              <w:pStyle w:val="Tabletext"/>
              <w:jc w:val="center"/>
              <w:rPr>
                <w:lang w:val="en-US"/>
              </w:rPr>
            </w:pPr>
            <w:r>
              <w:rPr>
                <w:lang w:val="en-US"/>
              </w:rPr>
              <w:t>10-40 for fast-FMCW</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lang w:val="en-US"/>
              </w:rPr>
            </w:pPr>
            <w:r>
              <w:rPr>
                <w:lang w:val="en-US"/>
              </w:rPr>
              <w:t>10 000-40 000 for FMCW</w:t>
            </w:r>
          </w:p>
          <w:p w:rsidR="00C8398E" w:rsidRDefault="00C8398E">
            <w:pPr>
              <w:pStyle w:val="Tabletext"/>
              <w:jc w:val="center"/>
              <w:rPr>
                <w:rFonts w:eastAsia="SimSun"/>
                <w:lang w:val="en-US" w:eastAsia="ja-JP"/>
              </w:rPr>
            </w:pPr>
            <w:r>
              <w:rPr>
                <w:lang w:val="en-US"/>
              </w:rPr>
              <w:t>10-40 for fast-FMCW</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rFonts w:eastAsia="SimSun"/>
                <w:lang w:val="en-US" w:eastAsia="ja-JP"/>
              </w:rPr>
            </w:pPr>
            <w:r>
              <w:rPr>
                <w:rFonts w:eastAsia="SimSun"/>
                <w:lang w:val="en-US" w:eastAsia="ja-JP"/>
              </w:rPr>
              <w:t>2 000-20 000 for FMCW</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8398E" w:rsidRDefault="00C8398E">
            <w:pPr>
              <w:pStyle w:val="Tabletext"/>
              <w:jc w:val="center"/>
              <w:rPr>
                <w:lang w:val="en-US"/>
              </w:rPr>
            </w:pPr>
            <w:r>
              <w:rPr>
                <w:lang w:val="en-US"/>
              </w:rPr>
              <w:t>10 000-40 000 for FMCW</w:t>
            </w:r>
          </w:p>
          <w:p w:rsidR="00C8398E" w:rsidRDefault="00C8398E">
            <w:pPr>
              <w:pStyle w:val="Tabletext"/>
              <w:jc w:val="center"/>
              <w:rPr>
                <w:lang w:val="en-US"/>
              </w:rPr>
            </w:pPr>
            <w:r>
              <w:rPr>
                <w:lang w:val="en-US"/>
              </w:rPr>
              <w:t>10-40 for fast-FMCW</w:t>
            </w:r>
          </w:p>
        </w:tc>
      </w:tr>
      <w:tr w:rsidR="00C8398E" w:rsidTr="00FC61EC">
        <w:trPr>
          <w:cantSplit/>
          <w:jc w:val="center"/>
        </w:trPr>
        <w:tc>
          <w:tcPr>
            <w:tcW w:w="1791"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rPr>
                <w:lang w:val="en-US" w:eastAsia="zh-CN"/>
              </w:rPr>
            </w:pPr>
            <w:r>
              <w:rPr>
                <w:lang w:val="en-US"/>
              </w:rPr>
              <w:t xml:space="preserve">Maximum e.i.r.p. </w:t>
            </w:r>
          </w:p>
        </w:tc>
        <w:tc>
          <w:tcPr>
            <w:tcW w:w="992"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dBm</w:t>
            </w:r>
          </w:p>
        </w:tc>
        <w:tc>
          <w:tcPr>
            <w:tcW w:w="216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lang w:val="en-US" w:eastAsia="zh-CN"/>
              </w:rPr>
            </w:pPr>
            <w:r>
              <w:rPr>
                <w:lang w:val="en-US" w:eastAsia="zh-CN"/>
              </w:rPr>
              <w:t>55</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33</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33</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45</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33</w:t>
            </w:r>
          </w:p>
        </w:tc>
      </w:tr>
      <w:tr w:rsidR="00C8398E" w:rsidTr="00FC61EC">
        <w:trPr>
          <w:cantSplit/>
          <w:jc w:val="center"/>
        </w:trPr>
        <w:tc>
          <w:tcPr>
            <w:tcW w:w="1791"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ja-JP"/>
              </w:rPr>
            </w:pPr>
            <w:r>
              <w:rPr>
                <w:lang w:val="en-US" w:eastAsia="ja-JP"/>
              </w:rPr>
              <w:t xml:space="preserve">Maximum transmit power to antenna </w:t>
            </w:r>
          </w:p>
        </w:tc>
        <w:tc>
          <w:tcPr>
            <w:tcW w:w="992" w:type="dxa"/>
            <w:tcBorders>
              <w:top w:val="single" w:sz="4" w:space="0" w:color="auto"/>
              <w:left w:val="nil"/>
              <w:bottom w:val="single" w:sz="6" w:space="0" w:color="auto"/>
              <w:right w:val="single" w:sz="6" w:space="0" w:color="auto"/>
            </w:tcBorders>
            <w:vAlign w:val="center"/>
            <w:hideMark/>
          </w:tcPr>
          <w:p w:rsidR="00C8398E" w:rsidRDefault="00C8398E">
            <w:pPr>
              <w:pStyle w:val="Tabletext"/>
              <w:jc w:val="center"/>
              <w:rPr>
                <w:lang w:val="en-US" w:eastAsia="ja-JP"/>
              </w:rPr>
            </w:pPr>
            <w:r>
              <w:rPr>
                <w:lang w:val="en-US" w:eastAsia="ja-JP"/>
              </w:rPr>
              <w:t>dBm</w:t>
            </w:r>
          </w:p>
        </w:tc>
        <w:tc>
          <w:tcPr>
            <w:tcW w:w="2160"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10</w:t>
            </w:r>
          </w:p>
        </w:tc>
        <w:tc>
          <w:tcPr>
            <w:tcW w:w="2510"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10</w:t>
            </w:r>
          </w:p>
        </w:tc>
        <w:tc>
          <w:tcPr>
            <w:tcW w:w="2500"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10</w:t>
            </w:r>
          </w:p>
        </w:tc>
        <w:tc>
          <w:tcPr>
            <w:tcW w:w="2127" w:type="dxa"/>
            <w:tcBorders>
              <w:top w:val="single" w:sz="4" w:space="0" w:color="auto"/>
              <w:left w:val="single" w:sz="6" w:space="0" w:color="auto"/>
              <w:bottom w:val="single" w:sz="6" w:space="0" w:color="auto"/>
              <w:right w:val="nil"/>
            </w:tcBorders>
            <w:vAlign w:val="center"/>
            <w:hideMark/>
          </w:tcPr>
          <w:p w:rsidR="00C8398E" w:rsidRDefault="00C8398E">
            <w:pPr>
              <w:pStyle w:val="Tabletext"/>
              <w:jc w:val="center"/>
              <w:rPr>
                <w:rFonts w:eastAsia="SimSun"/>
                <w:lang w:val="en-US" w:eastAsia="ja-JP"/>
              </w:rPr>
            </w:pPr>
            <w:r>
              <w:rPr>
                <w:lang w:val="en-US" w:eastAsia="zh-CN"/>
              </w:rPr>
              <w:t>10</w:t>
            </w:r>
          </w:p>
        </w:tc>
        <w:tc>
          <w:tcPr>
            <w:tcW w:w="2379"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10</w:t>
            </w:r>
          </w:p>
        </w:tc>
      </w:tr>
    </w:tbl>
    <w:p w:rsidR="00FC61EC" w:rsidRDefault="00FC61EC">
      <w:r>
        <w:br w:type="page"/>
      </w:r>
    </w:p>
    <w:p w:rsidR="00FC61EC" w:rsidRPr="00C8398E" w:rsidRDefault="00FC61EC" w:rsidP="005C0DE7">
      <w:pPr>
        <w:pStyle w:val="TableNo"/>
        <w:spacing w:before="480"/>
        <w:rPr>
          <w:lang w:val="en-GB"/>
        </w:rPr>
      </w:pPr>
      <w:r w:rsidRPr="00C8398E">
        <w:rPr>
          <w:lang w:val="en-GB"/>
        </w:rPr>
        <w:lastRenderedPageBreak/>
        <w:t>TABLE 1</w:t>
      </w:r>
      <w:r>
        <w:rPr>
          <w:lang w:val="en-GB"/>
        </w:rPr>
        <w:t xml:space="preserve"> (</w:t>
      </w:r>
      <w:r w:rsidRPr="00FC61EC">
        <w:rPr>
          <w:i/>
          <w:iCs/>
          <w:lang w:val="en-GB"/>
        </w:rPr>
        <w:t>continued</w:t>
      </w:r>
      <w:r>
        <w:rPr>
          <w:lang w:val="en-GB"/>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73"/>
        <w:gridCol w:w="19"/>
        <w:gridCol w:w="2160"/>
        <w:gridCol w:w="2510"/>
        <w:gridCol w:w="2500"/>
        <w:gridCol w:w="2127"/>
        <w:gridCol w:w="2379"/>
      </w:tblGrid>
      <w:tr w:rsidR="00FC61EC" w:rsidRPr="00260CFC" w:rsidTr="00FC61EC">
        <w:trPr>
          <w:cantSplit/>
          <w:tblHeader/>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Parameter</w:t>
            </w:r>
          </w:p>
        </w:tc>
        <w:tc>
          <w:tcPr>
            <w:tcW w:w="992" w:type="dxa"/>
            <w:gridSpan w:val="2"/>
            <w:tcBorders>
              <w:top w:val="single" w:sz="6" w:space="0" w:color="auto"/>
              <w:left w:val="nil"/>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Units</w:t>
            </w:r>
          </w:p>
        </w:tc>
        <w:tc>
          <w:tcPr>
            <w:tcW w:w="216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A</w:t>
            </w:r>
            <w:r>
              <w:rPr>
                <w:vertAlign w:val="superscript"/>
                <w:lang w:val="en-US" w:eastAsia="zh-CN"/>
              </w:rPr>
              <w:t xml:space="preserve">(1) </w:t>
            </w:r>
          </w:p>
          <w:p w:rsidR="00FC61EC" w:rsidRDefault="00FC61EC" w:rsidP="00961719">
            <w:pPr>
              <w:pStyle w:val="Tablehead"/>
              <w:rPr>
                <w:lang w:val="en-US" w:eastAsia="zh-CN"/>
              </w:rPr>
            </w:pPr>
            <w:r>
              <w:rPr>
                <w:lang w:val="en-US" w:eastAsia="zh-CN"/>
              </w:rPr>
              <w:t>Automotive radar</w:t>
            </w:r>
          </w:p>
          <w:p w:rsidR="00FC61EC" w:rsidRDefault="00FC61EC" w:rsidP="00961719">
            <w:pPr>
              <w:pStyle w:val="Tablehead"/>
              <w:rPr>
                <w:lang w:val="en-US" w:eastAsia="zh-CN"/>
              </w:rPr>
            </w:pPr>
            <w:r>
              <w:rPr>
                <w:lang w:val="en-US" w:eastAsia="zh-CN"/>
              </w:rPr>
              <w:t>For front applications for e.g. for ACC</w:t>
            </w:r>
          </w:p>
        </w:tc>
        <w:tc>
          <w:tcPr>
            <w:tcW w:w="251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B</w:t>
            </w:r>
          </w:p>
          <w:p w:rsidR="00FC61EC" w:rsidRDefault="00FC61EC" w:rsidP="00961719">
            <w:pPr>
              <w:pStyle w:val="Tablehead"/>
              <w:rPr>
                <w:lang w:val="en-US" w:eastAsia="zh-CN"/>
              </w:rPr>
            </w:pPr>
            <w:r>
              <w:rPr>
                <w:lang w:val="en-US" w:eastAsia="zh-CN"/>
              </w:rPr>
              <w:t>Automotive high-resolution radar</w:t>
            </w:r>
          </w:p>
          <w:p w:rsidR="00FC61EC" w:rsidRDefault="00FC61EC" w:rsidP="00961719">
            <w:pPr>
              <w:pStyle w:val="Tablehead"/>
              <w:rPr>
                <w:lang w:val="en-US" w:eastAsia="zh-CN"/>
              </w:rPr>
            </w:pPr>
            <w:r>
              <w:rPr>
                <w:lang w:val="en-US"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C</w:t>
            </w:r>
          </w:p>
          <w:p w:rsidR="00FC61EC" w:rsidRDefault="00FC61EC" w:rsidP="00961719">
            <w:pPr>
              <w:pStyle w:val="Tablehead"/>
              <w:rPr>
                <w:lang w:val="en-US" w:eastAsia="zh-CN"/>
              </w:rPr>
            </w:pPr>
            <w:r>
              <w:rPr>
                <w:lang w:val="en-US" w:eastAsia="zh-CN"/>
              </w:rPr>
              <w:t>Automotive high-resolution radar</w:t>
            </w:r>
          </w:p>
          <w:p w:rsidR="00FC61EC" w:rsidRDefault="00FC61EC" w:rsidP="00961719">
            <w:pPr>
              <w:pStyle w:val="Tablehead"/>
              <w:rPr>
                <w:lang w:val="en-US" w:eastAsia="zh-CN"/>
              </w:rPr>
            </w:pPr>
            <w:r>
              <w:rPr>
                <w:lang w:val="en-US" w:eastAsia="zh-CN"/>
              </w:rPr>
              <w:t>For corner applications</w:t>
            </w:r>
          </w:p>
        </w:tc>
        <w:tc>
          <w:tcPr>
            <w:tcW w:w="2127" w:type="dxa"/>
            <w:tcBorders>
              <w:top w:val="single" w:sz="6" w:space="0" w:color="auto"/>
              <w:left w:val="single" w:sz="6" w:space="0" w:color="auto"/>
              <w:bottom w:val="single" w:sz="6" w:space="0" w:color="auto"/>
              <w:right w:val="nil"/>
            </w:tcBorders>
            <w:vAlign w:val="center"/>
            <w:hideMark/>
          </w:tcPr>
          <w:p w:rsidR="00FC61EC" w:rsidRDefault="00FC61EC" w:rsidP="00961719">
            <w:pPr>
              <w:pStyle w:val="Tablehead"/>
              <w:rPr>
                <w:rFonts w:eastAsia="SimSun"/>
                <w:lang w:val="en-US" w:eastAsia="ja-JP"/>
              </w:rPr>
            </w:pPr>
            <w:r>
              <w:rPr>
                <w:lang w:val="en-US" w:eastAsia="zh-CN"/>
              </w:rPr>
              <w:t>Radar D</w:t>
            </w:r>
          </w:p>
          <w:p w:rsidR="00FC61EC" w:rsidRDefault="00FC61EC" w:rsidP="00961719">
            <w:pPr>
              <w:pStyle w:val="Tablehead"/>
              <w:rPr>
                <w:rFonts w:eastAsia="SimSun"/>
                <w:lang w:val="en-US" w:eastAsia="ja-JP"/>
              </w:rPr>
            </w:pPr>
            <w:r>
              <w:rPr>
                <w:lang w:val="en-US" w:eastAsia="zh-CN"/>
              </w:rPr>
              <w:t xml:space="preserve">Automotive </w:t>
            </w:r>
            <w:r>
              <w:rPr>
                <w:lang w:val="en-US" w:eastAsia="zh-CN"/>
              </w:rPr>
              <w:br/>
              <w:t>high</w:t>
            </w:r>
            <w:r>
              <w:rPr>
                <w:rFonts w:eastAsia="SimSun"/>
                <w:lang w:val="en-US" w:eastAsia="ja-JP"/>
              </w:rPr>
              <w:t>-</w:t>
            </w:r>
            <w:r>
              <w:rPr>
                <w:lang w:val="en-US" w:eastAsia="zh-CN"/>
              </w:rPr>
              <w:t>resolution radar</w:t>
            </w:r>
          </w:p>
        </w:tc>
        <w:tc>
          <w:tcPr>
            <w:tcW w:w="2379"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E</w:t>
            </w:r>
          </w:p>
          <w:p w:rsidR="00FC61EC" w:rsidRDefault="00FC61EC" w:rsidP="00961719">
            <w:pPr>
              <w:pStyle w:val="Tablehead"/>
              <w:rPr>
                <w:lang w:val="en-US" w:eastAsia="zh-CN"/>
              </w:rPr>
            </w:pPr>
            <w:r>
              <w:rPr>
                <w:lang w:val="en-US" w:eastAsia="zh-CN"/>
              </w:rPr>
              <w:t xml:space="preserve">Automotive </w:t>
            </w:r>
            <w:r>
              <w:rPr>
                <w:lang w:val="en-US" w:eastAsia="zh-CN"/>
              </w:rPr>
              <w:br/>
              <w:t>high-resolution radar</w:t>
            </w:r>
          </w:p>
          <w:p w:rsidR="00FC61EC" w:rsidRDefault="00FC61EC" w:rsidP="00961719">
            <w:pPr>
              <w:pStyle w:val="Tablehead"/>
              <w:rPr>
                <w:lang w:val="en-US" w:eastAsia="zh-CN"/>
              </w:rPr>
            </w:pPr>
            <w:r>
              <w:rPr>
                <w:lang w:val="en-US" w:eastAsia="zh-CN"/>
              </w:rPr>
              <w:t>Very short range applications (e.g. parking-aid, CA at very low speed)</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rPr>
            </w:pPr>
            <w:r>
              <w:rPr>
                <w:lang w:val="en-US"/>
              </w:rPr>
              <w:t>Max power density of unwanted emissions</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tabs>
                <w:tab w:val="clear" w:pos="851"/>
                <w:tab w:val="left" w:pos="754"/>
              </w:tabs>
              <w:ind w:leftChars="-35" w:left="-84"/>
              <w:jc w:val="center"/>
              <w:rPr>
                <w:lang w:val="en-US"/>
              </w:rPr>
            </w:pPr>
            <w:r>
              <w:rPr>
                <w:lang w:val="en-US"/>
              </w:rPr>
              <w:t>dBm/MHz</w:t>
            </w:r>
          </w:p>
        </w:tc>
        <w:tc>
          <w:tcPr>
            <w:tcW w:w="2179" w:type="dxa"/>
            <w:gridSpan w:val="2"/>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0 (73.5-76 GHz and</w:t>
            </w:r>
            <w:r>
              <w:rPr>
                <w:lang w:val="en-US" w:eastAsia="zh-CN"/>
              </w:rPr>
              <w:br/>
              <w:t>77-79.5 GHz)</w:t>
            </w:r>
          </w:p>
          <w:p w:rsidR="00C8398E" w:rsidRDefault="00C8398E">
            <w:pPr>
              <w:pStyle w:val="Tabletext"/>
              <w:jc w:val="center"/>
              <w:rPr>
                <w:lang w:val="en-US" w:eastAsia="zh-CN"/>
              </w:rPr>
            </w:pPr>
            <w:r>
              <w:rPr>
                <w:lang w:val="en-US" w:eastAsia="zh-CN"/>
              </w:rPr>
              <w:t>–30 otherwise</w:t>
            </w:r>
          </w:p>
        </w:tc>
        <w:tc>
          <w:tcPr>
            <w:tcW w:w="251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–30</w:t>
            </w:r>
          </w:p>
        </w:tc>
        <w:tc>
          <w:tcPr>
            <w:tcW w:w="2500"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rPr>
            </w:pPr>
            <w:r>
              <w:rPr>
                <w:lang w:val="en-US" w:eastAsia="zh-CN"/>
              </w:rPr>
              <w:t>–</w:t>
            </w:r>
            <w:r>
              <w:rPr>
                <w:lang w:val="en-US"/>
              </w:rPr>
              <w:t>30</w:t>
            </w:r>
          </w:p>
        </w:tc>
        <w:tc>
          <w:tcPr>
            <w:tcW w:w="2127" w:type="dxa"/>
            <w:tcBorders>
              <w:top w:val="single" w:sz="6" w:space="0" w:color="auto"/>
              <w:left w:val="single" w:sz="6" w:space="0" w:color="auto"/>
              <w:bottom w:val="single" w:sz="6" w:space="0" w:color="auto"/>
              <w:right w:val="nil"/>
            </w:tcBorders>
            <w:vAlign w:val="center"/>
            <w:hideMark/>
          </w:tcPr>
          <w:p w:rsidR="00C8398E" w:rsidRDefault="00C8398E">
            <w:pPr>
              <w:pStyle w:val="Tabletext"/>
              <w:jc w:val="center"/>
              <w:rPr>
                <w:lang w:val="en-US"/>
              </w:rPr>
            </w:pPr>
            <w:r>
              <w:rPr>
                <w:lang w:val="en-US"/>
              </w:rPr>
              <w:t>–13</w:t>
            </w:r>
            <w:r>
              <w:rPr>
                <w:vertAlign w:val="superscript"/>
                <w:lang w:val="en-US"/>
              </w:rPr>
              <w:t>(2)</w:t>
            </w:r>
          </w:p>
        </w:tc>
        <w:tc>
          <w:tcPr>
            <w:tcW w:w="2379"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rPr>
            </w:pPr>
            <w:r>
              <w:rPr>
                <w:lang w:val="en-US" w:eastAsia="zh-CN"/>
              </w:rPr>
              <w:t>–</w:t>
            </w:r>
            <w:r>
              <w:rPr>
                <w:lang w:val="en-US"/>
              </w:rPr>
              <w:t>30</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 xml:space="preserve">Receiver IF bandwidth </w:t>
            </w:r>
            <w:r>
              <w:rPr>
                <w:lang w:val="en-US" w:eastAsia="zh-CN"/>
              </w:rPr>
              <w:br/>
              <w:t>(–3 dB)</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b/>
                <w:lang w:val="en-US" w:eastAsia="zh-CN"/>
              </w:rPr>
            </w:pPr>
            <w:r>
              <w:rPr>
                <w:lang w:val="en-US" w:eastAsia="zh-CN"/>
              </w:rPr>
              <w:t>MHz</w:t>
            </w:r>
          </w:p>
        </w:tc>
        <w:tc>
          <w:tcPr>
            <w:tcW w:w="2179" w:type="dxa"/>
            <w:gridSpan w:val="2"/>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0.5-1</w:t>
            </w:r>
          </w:p>
        </w:tc>
        <w:tc>
          <w:tcPr>
            <w:tcW w:w="251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10</w:t>
            </w:r>
          </w:p>
        </w:tc>
        <w:tc>
          <w:tcPr>
            <w:tcW w:w="250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10</w:t>
            </w:r>
          </w:p>
        </w:tc>
        <w:tc>
          <w:tcPr>
            <w:tcW w:w="2127" w:type="dxa"/>
            <w:tcBorders>
              <w:top w:val="single" w:sz="6" w:space="0" w:color="auto"/>
              <w:left w:val="single" w:sz="6" w:space="0" w:color="auto"/>
              <w:bottom w:val="single" w:sz="4" w:space="0" w:color="auto"/>
              <w:right w:val="nil"/>
            </w:tcBorders>
            <w:vAlign w:val="center"/>
            <w:hideMark/>
          </w:tcPr>
          <w:p w:rsidR="00C8398E" w:rsidRDefault="00C8398E">
            <w:pPr>
              <w:pStyle w:val="Tabletext"/>
              <w:jc w:val="center"/>
              <w:rPr>
                <w:rFonts w:eastAsia="SimSun"/>
                <w:lang w:val="en-US" w:eastAsia="ja-JP"/>
              </w:rPr>
            </w:pPr>
            <w:r>
              <w:rPr>
                <w:rFonts w:eastAsia="SimSun"/>
                <w:lang w:val="en-US" w:eastAsia="ja-JP"/>
              </w:rPr>
              <w:t>10</w:t>
            </w:r>
          </w:p>
        </w:tc>
        <w:tc>
          <w:tcPr>
            <w:tcW w:w="2379"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10</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 xml:space="preserve">Receiver IF bandwidth </w:t>
            </w:r>
            <w:r>
              <w:rPr>
                <w:lang w:val="en-US" w:eastAsia="zh-CN"/>
              </w:rPr>
              <w:br/>
              <w:t>(–20 dB)</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MHz</w:t>
            </w:r>
          </w:p>
        </w:tc>
        <w:tc>
          <w:tcPr>
            <w:tcW w:w="2179" w:type="dxa"/>
            <w:gridSpan w:val="2"/>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0.5-20</w:t>
            </w:r>
          </w:p>
        </w:tc>
        <w:tc>
          <w:tcPr>
            <w:tcW w:w="251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keepLines/>
              <w:tabs>
                <w:tab w:val="left" w:leader="dot" w:pos="7938"/>
                <w:tab w:val="center" w:pos="9526"/>
              </w:tabs>
              <w:ind w:left="567" w:hanging="567"/>
              <w:jc w:val="center"/>
              <w:rPr>
                <w:highlight w:val="red"/>
                <w:lang w:val="en-US" w:eastAsia="zh-CN"/>
              </w:rPr>
            </w:pPr>
            <w:r>
              <w:rPr>
                <w:lang w:val="en-US" w:eastAsia="zh-CN"/>
              </w:rPr>
              <w:t>15</w:t>
            </w:r>
          </w:p>
        </w:tc>
        <w:tc>
          <w:tcPr>
            <w:tcW w:w="2500"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keepLines/>
              <w:tabs>
                <w:tab w:val="left" w:leader="dot" w:pos="7938"/>
                <w:tab w:val="center" w:pos="9526"/>
              </w:tabs>
              <w:ind w:left="567" w:hanging="567"/>
              <w:jc w:val="center"/>
              <w:rPr>
                <w:rFonts w:eastAsia="SimSun"/>
                <w:lang w:val="en-US" w:eastAsia="ja-JP"/>
              </w:rPr>
            </w:pPr>
            <w:r>
              <w:rPr>
                <w:rFonts w:eastAsia="SimSun"/>
                <w:lang w:val="en-US" w:eastAsia="ja-JP"/>
              </w:rPr>
              <w:t>15</w:t>
            </w:r>
          </w:p>
        </w:tc>
        <w:tc>
          <w:tcPr>
            <w:tcW w:w="2127" w:type="dxa"/>
            <w:tcBorders>
              <w:top w:val="single" w:sz="6" w:space="0" w:color="auto"/>
              <w:left w:val="single" w:sz="6" w:space="0" w:color="auto"/>
              <w:bottom w:val="single" w:sz="4" w:space="0" w:color="auto"/>
              <w:right w:val="nil"/>
            </w:tcBorders>
            <w:vAlign w:val="center"/>
            <w:hideMark/>
          </w:tcPr>
          <w:p w:rsidR="00C8398E" w:rsidRDefault="00C8398E">
            <w:pPr>
              <w:pStyle w:val="Tabletext"/>
              <w:jc w:val="center"/>
              <w:rPr>
                <w:rFonts w:eastAsia="SimSun"/>
                <w:lang w:val="en-US" w:eastAsia="ja-JP"/>
              </w:rPr>
            </w:pPr>
            <w:r>
              <w:rPr>
                <w:lang w:val="en-US" w:eastAsia="ja-JP"/>
              </w:rPr>
              <w:t>15</w:t>
            </w:r>
          </w:p>
        </w:tc>
        <w:tc>
          <w:tcPr>
            <w:tcW w:w="2379" w:type="dxa"/>
            <w:tcBorders>
              <w:top w:val="single" w:sz="6"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15</w:t>
            </w:r>
          </w:p>
        </w:tc>
      </w:tr>
      <w:tr w:rsidR="00C8398E" w:rsidTr="00FC61EC">
        <w:trPr>
          <w:cantSplit/>
          <w:jc w:val="center"/>
        </w:trPr>
        <w:tc>
          <w:tcPr>
            <w:tcW w:w="1791" w:type="dxa"/>
            <w:tcBorders>
              <w:top w:val="single" w:sz="6" w:space="0" w:color="auto"/>
              <w:left w:val="single" w:sz="6" w:space="0" w:color="auto"/>
              <w:bottom w:val="single" w:sz="6" w:space="0" w:color="auto"/>
              <w:right w:val="single" w:sz="4" w:space="0" w:color="auto"/>
            </w:tcBorders>
            <w:vAlign w:val="center"/>
            <w:hideMark/>
          </w:tcPr>
          <w:p w:rsidR="00C8398E" w:rsidRDefault="00C8398E">
            <w:pPr>
              <w:pStyle w:val="Tabletext"/>
              <w:rPr>
                <w:lang w:val="en-US" w:eastAsia="zh-CN"/>
              </w:rPr>
            </w:pPr>
            <w:r>
              <w:rPr>
                <w:lang w:val="en-US" w:eastAsia="zh-CN"/>
              </w:rPr>
              <w:t>Receiver sensitivity</w:t>
            </w:r>
            <w:r>
              <w:rPr>
                <w:vertAlign w:val="superscript"/>
                <w:lang w:val="en-US" w:eastAsia="zh-CN"/>
              </w:rPr>
              <w:t>(3)</w:t>
            </w:r>
          </w:p>
        </w:tc>
        <w:tc>
          <w:tcPr>
            <w:tcW w:w="973" w:type="dxa"/>
            <w:tcBorders>
              <w:top w:val="single" w:sz="6" w:space="0" w:color="auto"/>
              <w:left w:val="nil"/>
              <w:bottom w:val="single" w:sz="6" w:space="0" w:color="auto"/>
              <w:right w:val="single" w:sz="4" w:space="0" w:color="auto"/>
            </w:tcBorders>
            <w:vAlign w:val="center"/>
            <w:hideMark/>
          </w:tcPr>
          <w:p w:rsidR="00C8398E" w:rsidRDefault="00C8398E">
            <w:pPr>
              <w:pStyle w:val="Tabletext"/>
              <w:jc w:val="center"/>
              <w:rPr>
                <w:lang w:val="en-US" w:eastAsia="zh-CN"/>
              </w:rPr>
            </w:pPr>
            <w:r>
              <w:rPr>
                <w:lang w:val="en-US" w:eastAsia="zh-CN"/>
              </w:rPr>
              <w:t>dBm</w:t>
            </w:r>
          </w:p>
        </w:tc>
        <w:tc>
          <w:tcPr>
            <w:tcW w:w="2179" w:type="dxa"/>
            <w:gridSpan w:val="2"/>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–115</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highlight w:val="red"/>
                <w:lang w:val="en-US" w:eastAsia="zh-CN"/>
              </w:rPr>
            </w:pPr>
            <w:r>
              <w:rPr>
                <w:lang w:val="en-US" w:eastAsia="zh-CN"/>
              </w:rPr>
              <w:t>–120</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rFonts w:eastAsia="SimSun"/>
                <w:lang w:val="en-US" w:eastAsia="ja-JP"/>
              </w:rPr>
            </w:pPr>
            <w:r>
              <w:rPr>
                <w:lang w:val="en-US" w:eastAsia="zh-CN"/>
              </w:rPr>
              <w:t>–120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–120</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lang w:val="en-US" w:eastAsia="zh-CN"/>
              </w:rPr>
              <w:t>–120</w:t>
            </w:r>
          </w:p>
        </w:tc>
      </w:tr>
      <w:tr w:rsidR="00C8398E" w:rsidTr="00FC61EC">
        <w:trPr>
          <w:cantSplit/>
          <w:jc w:val="center"/>
        </w:trPr>
        <w:tc>
          <w:tcPr>
            <w:tcW w:w="1791" w:type="dxa"/>
            <w:tcBorders>
              <w:top w:val="single" w:sz="6" w:space="0" w:color="auto"/>
              <w:left w:val="single" w:sz="6" w:space="0" w:color="auto"/>
              <w:bottom w:val="single" w:sz="6" w:space="0" w:color="auto"/>
              <w:right w:val="single" w:sz="4" w:space="0" w:color="auto"/>
            </w:tcBorders>
            <w:vAlign w:val="center"/>
            <w:hideMark/>
          </w:tcPr>
          <w:p w:rsidR="00C8398E" w:rsidRDefault="00C8398E">
            <w:pPr>
              <w:pStyle w:val="Tabletext"/>
              <w:rPr>
                <w:lang w:val="en-US" w:eastAsia="zh-CN"/>
              </w:rPr>
            </w:pPr>
            <w:r>
              <w:rPr>
                <w:lang w:val="en-US" w:eastAsia="zh-CN"/>
              </w:rPr>
              <w:t>Receiver noise figure</w:t>
            </w:r>
          </w:p>
        </w:tc>
        <w:tc>
          <w:tcPr>
            <w:tcW w:w="973" w:type="dxa"/>
            <w:tcBorders>
              <w:top w:val="single" w:sz="6" w:space="0" w:color="auto"/>
              <w:left w:val="nil"/>
              <w:bottom w:val="single" w:sz="6" w:space="0" w:color="auto"/>
              <w:right w:val="single" w:sz="4" w:space="0" w:color="auto"/>
            </w:tcBorders>
            <w:vAlign w:val="center"/>
            <w:hideMark/>
          </w:tcPr>
          <w:p w:rsidR="00C8398E" w:rsidRDefault="00C8398E">
            <w:pPr>
              <w:pStyle w:val="Tabletext"/>
              <w:jc w:val="center"/>
              <w:rPr>
                <w:lang w:val="en-US" w:eastAsia="zh-CN"/>
              </w:rPr>
            </w:pPr>
            <w:r>
              <w:rPr>
                <w:lang w:val="en-US" w:eastAsia="zh-CN"/>
              </w:rPr>
              <w:t>dB</w:t>
            </w:r>
          </w:p>
        </w:tc>
        <w:tc>
          <w:tcPr>
            <w:tcW w:w="2179" w:type="dxa"/>
            <w:gridSpan w:val="2"/>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15</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keepLines/>
              <w:tabs>
                <w:tab w:val="left" w:leader="dot" w:pos="7938"/>
                <w:tab w:val="center" w:pos="9526"/>
              </w:tabs>
              <w:ind w:left="567" w:hanging="567"/>
              <w:jc w:val="center"/>
              <w:rPr>
                <w:highlight w:val="red"/>
                <w:lang w:val="en-US" w:eastAsia="zh-CN"/>
              </w:rPr>
            </w:pPr>
            <w:r>
              <w:rPr>
                <w:lang w:val="en-US" w:eastAsia="zh-CN"/>
              </w:rPr>
              <w:t>12</w:t>
            </w:r>
          </w:p>
        </w:tc>
        <w:tc>
          <w:tcPr>
            <w:tcW w:w="2500"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keepLines/>
              <w:tabs>
                <w:tab w:val="left" w:leader="dot" w:pos="7938"/>
                <w:tab w:val="center" w:pos="9526"/>
              </w:tabs>
              <w:ind w:left="567" w:hanging="567"/>
              <w:jc w:val="center"/>
              <w:rPr>
                <w:rFonts w:eastAsia="SimSun"/>
                <w:lang w:val="en-US" w:eastAsia="ja-JP"/>
              </w:rPr>
            </w:pPr>
            <w:r>
              <w:rPr>
                <w:rFonts w:eastAsia="SimSun"/>
                <w:lang w:val="en-US" w:eastAsia="ja-JP"/>
              </w:rPr>
              <w:t>12</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lang w:val="en-US" w:eastAsia="ja-JP"/>
              </w:rPr>
              <w:t>12</w:t>
            </w:r>
          </w:p>
        </w:tc>
        <w:tc>
          <w:tcPr>
            <w:tcW w:w="2379" w:type="dxa"/>
            <w:tcBorders>
              <w:top w:val="single" w:sz="4" w:space="0" w:color="auto"/>
              <w:left w:val="single" w:sz="4" w:space="0" w:color="auto"/>
              <w:bottom w:val="single" w:sz="4" w:space="0" w:color="auto"/>
              <w:right w:val="single" w:sz="4" w:space="0" w:color="auto"/>
            </w:tcBorders>
            <w:hideMark/>
          </w:tcPr>
          <w:p w:rsidR="00C8398E" w:rsidRDefault="00C8398E">
            <w:pPr>
              <w:pStyle w:val="Tabletext"/>
              <w:jc w:val="center"/>
              <w:rPr>
                <w:rFonts w:eastAsia="SimSun"/>
                <w:lang w:val="en-US" w:eastAsia="ja-JP"/>
              </w:rPr>
            </w:pPr>
            <w:r>
              <w:rPr>
                <w:rFonts w:eastAsia="SimSun"/>
                <w:lang w:val="en-US" w:eastAsia="ja-JP"/>
              </w:rPr>
              <w:t>12</w:t>
            </w:r>
          </w:p>
        </w:tc>
      </w:tr>
      <w:tr w:rsidR="00C8398E" w:rsidTr="00FC61EC">
        <w:trPr>
          <w:cantSplit/>
          <w:jc w:val="center"/>
        </w:trPr>
        <w:tc>
          <w:tcPr>
            <w:tcW w:w="1791" w:type="dxa"/>
            <w:tcBorders>
              <w:top w:val="single" w:sz="6" w:space="0" w:color="auto"/>
              <w:left w:val="single" w:sz="6" w:space="0" w:color="auto"/>
              <w:bottom w:val="single" w:sz="6" w:space="0" w:color="auto"/>
              <w:right w:val="single" w:sz="4" w:space="0" w:color="auto"/>
            </w:tcBorders>
            <w:vAlign w:val="center"/>
            <w:hideMark/>
          </w:tcPr>
          <w:p w:rsidR="00C8398E" w:rsidRDefault="00C8398E">
            <w:pPr>
              <w:pStyle w:val="Tabletext"/>
              <w:rPr>
                <w:lang w:val="en-US" w:eastAsia="zh-CN"/>
              </w:rPr>
            </w:pPr>
            <w:r>
              <w:rPr>
                <w:lang w:val="en-US" w:eastAsia="zh-CN"/>
              </w:rPr>
              <w:t>Equivalent noise bandwidth (kHz)</w:t>
            </w:r>
          </w:p>
        </w:tc>
        <w:tc>
          <w:tcPr>
            <w:tcW w:w="973" w:type="dxa"/>
            <w:tcBorders>
              <w:top w:val="single" w:sz="6" w:space="0" w:color="auto"/>
              <w:left w:val="nil"/>
              <w:bottom w:val="single" w:sz="6" w:space="0" w:color="auto"/>
              <w:right w:val="single" w:sz="4" w:space="0" w:color="auto"/>
            </w:tcBorders>
            <w:vAlign w:val="center"/>
            <w:hideMark/>
          </w:tcPr>
          <w:p w:rsidR="00C8398E" w:rsidRDefault="00C8398E">
            <w:pPr>
              <w:pStyle w:val="Tabletext"/>
              <w:jc w:val="center"/>
              <w:rPr>
                <w:lang w:val="en-US" w:eastAsia="zh-CN"/>
              </w:rPr>
            </w:pPr>
            <w:r>
              <w:rPr>
                <w:lang w:val="en-US" w:eastAsia="zh-CN"/>
              </w:rPr>
              <w:t>kHz</w:t>
            </w:r>
          </w:p>
        </w:tc>
        <w:tc>
          <w:tcPr>
            <w:tcW w:w="2179" w:type="dxa"/>
            <w:gridSpan w:val="2"/>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25</w:t>
            </w:r>
          </w:p>
        </w:tc>
        <w:tc>
          <w:tcPr>
            <w:tcW w:w="251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lang w:val="en-US" w:eastAsia="zh-CN"/>
              </w:rPr>
            </w:pPr>
            <w:r>
              <w:rPr>
                <w:lang w:val="en-US" w:eastAsia="zh-CN"/>
              </w:rPr>
              <w:t>16</w:t>
            </w:r>
          </w:p>
        </w:tc>
        <w:tc>
          <w:tcPr>
            <w:tcW w:w="2500"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16</w:t>
            </w:r>
          </w:p>
        </w:tc>
        <w:tc>
          <w:tcPr>
            <w:tcW w:w="2379" w:type="dxa"/>
            <w:tcBorders>
              <w:top w:val="single" w:sz="4" w:space="0" w:color="auto"/>
              <w:left w:val="single" w:sz="4" w:space="0" w:color="auto"/>
              <w:bottom w:val="single" w:sz="4" w:space="0" w:color="auto"/>
              <w:right w:val="single" w:sz="4"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16</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Antenna main beam gain</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dBi</w:t>
            </w:r>
          </w:p>
        </w:tc>
        <w:tc>
          <w:tcPr>
            <w:tcW w:w="2179" w:type="dxa"/>
            <w:gridSpan w:val="2"/>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Typical 30, Maximum 45</w:t>
            </w:r>
          </w:p>
        </w:tc>
        <w:tc>
          <w:tcPr>
            <w:tcW w:w="251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 23</w:t>
            </w:r>
          </w:p>
          <w:p w:rsidR="00C8398E" w:rsidRDefault="00C8398E">
            <w:pPr>
              <w:pStyle w:val="Tabletext"/>
              <w:jc w:val="center"/>
              <w:rPr>
                <w:lang w:val="en-US" w:eastAsia="zh-CN"/>
              </w:rPr>
            </w:pPr>
            <w:r>
              <w:rPr>
                <w:lang w:val="en-US" w:eastAsia="zh-CN"/>
              </w:rPr>
              <w:t>RX: 16</w:t>
            </w:r>
          </w:p>
        </w:tc>
        <w:tc>
          <w:tcPr>
            <w:tcW w:w="2500" w:type="dxa"/>
            <w:tcBorders>
              <w:top w:val="single" w:sz="4" w:space="0" w:color="auto"/>
              <w:left w:val="single" w:sz="6" w:space="0" w:color="auto"/>
              <w:bottom w:val="single" w:sz="4" w:space="0" w:color="auto"/>
              <w:right w:val="single" w:sz="6" w:space="0" w:color="auto"/>
            </w:tcBorders>
            <w:hideMark/>
          </w:tcPr>
          <w:p w:rsidR="00C8398E" w:rsidRDefault="00C8398E">
            <w:pPr>
              <w:pStyle w:val="Tabletext"/>
              <w:jc w:val="center"/>
              <w:rPr>
                <w:rFonts w:eastAsia="SimSun"/>
                <w:lang w:val="en-US" w:eastAsia="ja-JP"/>
              </w:rPr>
            </w:pPr>
            <w:r>
              <w:rPr>
                <w:rFonts w:eastAsia="SimSun"/>
                <w:lang w:val="en-US" w:eastAsia="ja-JP"/>
              </w:rPr>
              <w:t>TX: 23</w:t>
            </w:r>
          </w:p>
          <w:p w:rsidR="00C8398E" w:rsidRDefault="00C8398E">
            <w:pPr>
              <w:pStyle w:val="Tabletext"/>
              <w:jc w:val="center"/>
              <w:rPr>
                <w:rFonts w:eastAsia="SimSun"/>
                <w:lang w:val="en-US" w:eastAsia="ja-JP"/>
              </w:rPr>
            </w:pPr>
            <w:r>
              <w:rPr>
                <w:rFonts w:eastAsia="SimSun"/>
                <w:lang w:val="en-US" w:eastAsia="ja-JP"/>
              </w:rPr>
              <w:t>RX: 13</w:t>
            </w:r>
          </w:p>
        </w:tc>
        <w:tc>
          <w:tcPr>
            <w:tcW w:w="2127" w:type="dxa"/>
            <w:tcBorders>
              <w:top w:val="single" w:sz="4" w:space="0" w:color="auto"/>
              <w:left w:val="single" w:sz="6" w:space="0" w:color="auto"/>
              <w:bottom w:val="single" w:sz="4" w:space="0" w:color="auto"/>
              <w:right w:val="nil"/>
            </w:tcBorders>
            <w:vAlign w:val="center"/>
            <w:hideMark/>
          </w:tcPr>
          <w:p w:rsidR="00C8398E" w:rsidRDefault="00C8398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val="en-US" w:eastAsia="ja-JP"/>
              </w:rPr>
            </w:pPr>
            <w:r>
              <w:rPr>
                <w:sz w:val="20"/>
                <w:lang w:val="en-US" w:eastAsia="ja-JP"/>
              </w:rPr>
              <w:t xml:space="preserve">TX: </w:t>
            </w:r>
            <w:r>
              <w:rPr>
                <w:rFonts w:eastAsia="SimSun"/>
                <w:sz w:val="20"/>
                <w:lang w:val="en-US" w:eastAsia="ja-JP"/>
              </w:rPr>
              <w:t>35</w:t>
            </w:r>
            <w:r>
              <w:rPr>
                <w:sz w:val="20"/>
                <w:lang w:val="en-US" w:eastAsia="ja-JP"/>
              </w:rPr>
              <w:t xml:space="preserve"> max.</w:t>
            </w:r>
          </w:p>
          <w:p w:rsidR="00C8398E" w:rsidRDefault="00C8398E">
            <w:pPr>
              <w:pStyle w:val="Tabletext"/>
              <w:jc w:val="center"/>
              <w:rPr>
                <w:rFonts w:eastAsia="SimSun"/>
                <w:sz w:val="20"/>
                <w:lang w:val="en-US" w:eastAsia="ja-JP"/>
              </w:rPr>
            </w:pPr>
            <w:r>
              <w:rPr>
                <w:lang w:val="en-US" w:eastAsia="ja-JP"/>
              </w:rPr>
              <w:t xml:space="preserve">RX: </w:t>
            </w:r>
            <w:r>
              <w:rPr>
                <w:rFonts w:eastAsia="SimSun"/>
                <w:lang w:val="en-US" w:eastAsia="ja-JP"/>
              </w:rPr>
              <w:t>35 max</w:t>
            </w:r>
          </w:p>
        </w:tc>
        <w:tc>
          <w:tcPr>
            <w:tcW w:w="2379" w:type="dxa"/>
            <w:tcBorders>
              <w:top w:val="single" w:sz="4" w:space="0" w:color="auto"/>
              <w:left w:val="single" w:sz="6" w:space="0" w:color="auto"/>
              <w:bottom w:val="single" w:sz="4" w:space="0" w:color="auto"/>
              <w:right w:val="single" w:sz="6" w:space="0" w:color="auto"/>
            </w:tcBorders>
            <w:hideMark/>
          </w:tcPr>
          <w:p w:rsidR="00C8398E" w:rsidRDefault="00C8398E">
            <w:pPr>
              <w:pStyle w:val="Tabletext"/>
              <w:jc w:val="center"/>
              <w:rPr>
                <w:rFonts w:eastAsia="SimSun"/>
                <w:lang w:val="en-US" w:eastAsia="ja-JP"/>
              </w:rPr>
            </w:pPr>
            <w:r>
              <w:rPr>
                <w:rFonts w:eastAsia="SimSun"/>
                <w:lang w:val="en-US" w:eastAsia="ja-JP"/>
              </w:rPr>
              <w:t>TX: 23</w:t>
            </w:r>
          </w:p>
          <w:p w:rsidR="00C8398E" w:rsidRDefault="00C8398E">
            <w:pPr>
              <w:pStyle w:val="Tabletext"/>
              <w:jc w:val="center"/>
              <w:rPr>
                <w:rFonts w:eastAsia="SimSun"/>
                <w:lang w:val="en-US" w:eastAsia="ja-JP"/>
              </w:rPr>
            </w:pPr>
            <w:r>
              <w:rPr>
                <w:rFonts w:eastAsia="SimSun"/>
                <w:lang w:val="en-US" w:eastAsia="ja-JP"/>
              </w:rPr>
              <w:t>RX: 13</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Antenna height</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m</w:t>
            </w:r>
          </w:p>
        </w:tc>
        <w:tc>
          <w:tcPr>
            <w:tcW w:w="2179" w:type="dxa"/>
            <w:gridSpan w:val="2"/>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0.3-1 above road</w:t>
            </w:r>
          </w:p>
        </w:tc>
        <w:tc>
          <w:tcPr>
            <w:tcW w:w="251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0.3-1 above road</w:t>
            </w:r>
          </w:p>
        </w:tc>
        <w:tc>
          <w:tcPr>
            <w:tcW w:w="2500" w:type="dxa"/>
            <w:tcBorders>
              <w:top w:val="single" w:sz="4" w:space="0" w:color="auto"/>
              <w:left w:val="single" w:sz="6" w:space="0" w:color="auto"/>
              <w:bottom w:val="single" w:sz="4" w:space="0" w:color="auto"/>
              <w:right w:val="single" w:sz="6" w:space="0" w:color="auto"/>
            </w:tcBorders>
            <w:hideMark/>
          </w:tcPr>
          <w:p w:rsidR="00C8398E" w:rsidRDefault="00C8398E">
            <w:pPr>
              <w:pStyle w:val="Tabletext"/>
              <w:jc w:val="center"/>
              <w:rPr>
                <w:rFonts w:eastAsia="SimSun"/>
                <w:lang w:val="en-US" w:eastAsia="ja-JP"/>
              </w:rPr>
            </w:pPr>
            <w:r>
              <w:rPr>
                <w:lang w:val="en-US" w:eastAsia="zh-CN"/>
              </w:rPr>
              <w:t>0.3-1 above road</w:t>
            </w:r>
          </w:p>
        </w:tc>
        <w:tc>
          <w:tcPr>
            <w:tcW w:w="2127" w:type="dxa"/>
            <w:tcBorders>
              <w:top w:val="single" w:sz="4" w:space="0" w:color="auto"/>
              <w:left w:val="single" w:sz="6" w:space="0" w:color="auto"/>
              <w:bottom w:val="single" w:sz="4" w:space="0" w:color="auto"/>
              <w:right w:val="nil"/>
            </w:tcBorders>
            <w:vAlign w:val="center"/>
            <w:hideMark/>
          </w:tcPr>
          <w:p w:rsidR="00C8398E" w:rsidRDefault="00C8398E">
            <w:pPr>
              <w:pStyle w:val="Tabletext"/>
              <w:jc w:val="center"/>
              <w:rPr>
                <w:rFonts w:eastAsia="SimSun"/>
                <w:lang w:val="en-US" w:eastAsia="ja-JP"/>
              </w:rPr>
            </w:pPr>
            <w:r>
              <w:rPr>
                <w:lang w:val="en-US" w:eastAsia="zh-CN"/>
              </w:rPr>
              <w:t>0.3-1 above road</w:t>
            </w:r>
          </w:p>
        </w:tc>
        <w:tc>
          <w:tcPr>
            <w:tcW w:w="2379" w:type="dxa"/>
            <w:tcBorders>
              <w:top w:val="single" w:sz="4" w:space="0" w:color="auto"/>
              <w:left w:val="single" w:sz="6" w:space="0" w:color="auto"/>
              <w:bottom w:val="single" w:sz="4" w:space="0" w:color="auto"/>
              <w:right w:val="single" w:sz="6" w:space="0" w:color="auto"/>
            </w:tcBorders>
            <w:hideMark/>
          </w:tcPr>
          <w:p w:rsidR="00C8398E" w:rsidRDefault="00C8398E">
            <w:pPr>
              <w:pStyle w:val="Tabletext"/>
              <w:jc w:val="center"/>
              <w:rPr>
                <w:lang w:val="en-US" w:eastAsia="zh-CN"/>
              </w:rPr>
            </w:pPr>
            <w:r>
              <w:rPr>
                <w:lang w:val="en-US" w:eastAsia="zh-CN"/>
              </w:rPr>
              <w:t>0.3-1 above road</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 xml:space="preserve">Antenna azimuth 10 dB beamwidth </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degrees</w:t>
            </w:r>
          </w:p>
        </w:tc>
        <w:tc>
          <w:tcPr>
            <w:tcW w:w="2179" w:type="dxa"/>
            <w:gridSpan w:val="2"/>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TX/RX: ±10</w:t>
            </w:r>
          </w:p>
        </w:tc>
        <w:tc>
          <w:tcPr>
            <w:tcW w:w="251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 ±22.5</w:t>
            </w:r>
          </w:p>
          <w:p w:rsidR="00C8398E" w:rsidRDefault="00C8398E">
            <w:pPr>
              <w:pStyle w:val="Tabletext"/>
              <w:jc w:val="center"/>
              <w:rPr>
                <w:lang w:val="en-US" w:eastAsia="zh-CN"/>
              </w:rPr>
            </w:pPr>
            <w:r>
              <w:rPr>
                <w:lang w:val="en-US" w:eastAsia="zh-CN"/>
              </w:rPr>
              <w:t xml:space="preserve">RX: ±25 </w:t>
            </w:r>
          </w:p>
        </w:tc>
        <w:tc>
          <w:tcPr>
            <w:tcW w:w="250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TX: ±23</w:t>
            </w:r>
          </w:p>
          <w:p w:rsidR="00C8398E" w:rsidRDefault="00C8398E">
            <w:pPr>
              <w:pStyle w:val="Tabletext"/>
              <w:jc w:val="center"/>
              <w:rPr>
                <w:rFonts w:eastAsia="SimSun"/>
                <w:lang w:val="en-US" w:eastAsia="ja-JP"/>
              </w:rPr>
            </w:pPr>
            <w:r>
              <w:rPr>
                <w:rFonts w:eastAsia="SimSun"/>
                <w:lang w:val="en-US" w:eastAsia="ja-JP"/>
              </w:rPr>
              <w:t>RX: ±30</w:t>
            </w:r>
          </w:p>
        </w:tc>
        <w:tc>
          <w:tcPr>
            <w:tcW w:w="2127" w:type="dxa"/>
            <w:tcBorders>
              <w:top w:val="single" w:sz="4" w:space="0" w:color="auto"/>
              <w:left w:val="single" w:sz="6" w:space="0" w:color="auto"/>
              <w:bottom w:val="single" w:sz="4" w:space="0" w:color="auto"/>
              <w:right w:val="nil"/>
            </w:tcBorders>
            <w:vAlign w:val="center"/>
            <w:hideMark/>
          </w:tcPr>
          <w:p w:rsidR="00C8398E" w:rsidRDefault="00C8398E">
            <w:pPr>
              <w:pStyle w:val="Tabletext"/>
              <w:jc w:val="center"/>
              <w:rPr>
                <w:rFonts w:eastAsia="SimSun"/>
                <w:lang w:val="en-US" w:eastAsia="ja-JP"/>
              </w:rPr>
            </w:pPr>
            <w:r>
              <w:rPr>
                <w:rFonts w:eastAsia="SimSun"/>
                <w:lang w:val="en-US" w:eastAsia="ja-JP"/>
              </w:rPr>
              <w:t>TX: ±30</w:t>
            </w:r>
          </w:p>
          <w:p w:rsidR="00C8398E" w:rsidRDefault="00C8398E">
            <w:pPr>
              <w:pStyle w:val="Tabletext"/>
              <w:jc w:val="center"/>
              <w:rPr>
                <w:rFonts w:eastAsia="SimSun"/>
                <w:lang w:val="en-US" w:eastAsia="ja-JP"/>
              </w:rPr>
            </w:pPr>
            <w:r>
              <w:rPr>
                <w:rFonts w:eastAsia="SimSun"/>
                <w:lang w:val="en-US" w:eastAsia="ja-JP"/>
              </w:rPr>
              <w:t>RX: ±30</w:t>
            </w:r>
          </w:p>
        </w:tc>
        <w:tc>
          <w:tcPr>
            <w:tcW w:w="2379" w:type="dxa"/>
            <w:tcBorders>
              <w:top w:val="single" w:sz="4" w:space="0" w:color="auto"/>
              <w:left w:val="single" w:sz="6" w:space="0" w:color="auto"/>
              <w:bottom w:val="single" w:sz="4" w:space="0" w:color="auto"/>
              <w:right w:val="single" w:sz="6" w:space="0" w:color="auto"/>
            </w:tcBorders>
            <w:hideMark/>
          </w:tcPr>
          <w:p w:rsidR="00C8398E" w:rsidRDefault="00C8398E">
            <w:pPr>
              <w:pStyle w:val="Tabletext"/>
              <w:jc w:val="center"/>
              <w:rPr>
                <w:rFonts w:eastAsia="SimSun"/>
                <w:lang w:val="en-US" w:eastAsia="ja-JP"/>
              </w:rPr>
            </w:pPr>
            <w:r>
              <w:rPr>
                <w:rFonts w:eastAsia="SimSun"/>
                <w:lang w:val="en-US" w:eastAsia="ja-JP"/>
              </w:rPr>
              <w:t>TX: ±50</w:t>
            </w:r>
          </w:p>
          <w:p w:rsidR="00C8398E" w:rsidRDefault="00C8398E">
            <w:pPr>
              <w:pStyle w:val="Tabletext"/>
              <w:jc w:val="center"/>
              <w:rPr>
                <w:rFonts w:eastAsia="SimSun"/>
                <w:lang w:val="en-US" w:eastAsia="ja-JP"/>
              </w:rPr>
            </w:pPr>
            <w:r>
              <w:rPr>
                <w:rFonts w:eastAsia="SimSun"/>
                <w:lang w:val="en-US" w:eastAsia="ja-JP"/>
              </w:rPr>
              <w:t>RX: ±50</w:t>
            </w:r>
          </w:p>
        </w:tc>
      </w:tr>
    </w:tbl>
    <w:p w:rsidR="00FC61EC" w:rsidRDefault="00FC61EC">
      <w:r>
        <w:br w:type="page"/>
      </w:r>
    </w:p>
    <w:p w:rsidR="00FC61EC" w:rsidRPr="00C8398E" w:rsidRDefault="00FC61EC" w:rsidP="00FC61EC">
      <w:pPr>
        <w:pStyle w:val="TableNo"/>
        <w:rPr>
          <w:lang w:val="en-GB"/>
        </w:rPr>
      </w:pPr>
      <w:r w:rsidRPr="00C8398E">
        <w:rPr>
          <w:lang w:val="en-GB"/>
        </w:rPr>
        <w:lastRenderedPageBreak/>
        <w:t>TABLE 1</w:t>
      </w:r>
      <w:r>
        <w:rPr>
          <w:lang w:val="en-GB"/>
        </w:rPr>
        <w:t xml:space="preserve"> (</w:t>
      </w:r>
      <w:r w:rsidRPr="00FC61EC">
        <w:rPr>
          <w:i/>
          <w:iCs/>
          <w:lang w:val="en-GB"/>
        </w:rPr>
        <w:t>end</w:t>
      </w:r>
      <w:r>
        <w:rPr>
          <w:lang w:val="en-GB"/>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73"/>
        <w:gridCol w:w="19"/>
        <w:gridCol w:w="2160"/>
        <w:gridCol w:w="2510"/>
        <w:gridCol w:w="2500"/>
        <w:gridCol w:w="2127"/>
        <w:gridCol w:w="2379"/>
      </w:tblGrid>
      <w:tr w:rsidR="00FC61EC" w:rsidRPr="00260CFC" w:rsidTr="00FC61EC">
        <w:trPr>
          <w:cantSplit/>
          <w:tblHeader/>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Parameter</w:t>
            </w:r>
          </w:p>
        </w:tc>
        <w:tc>
          <w:tcPr>
            <w:tcW w:w="992" w:type="dxa"/>
            <w:gridSpan w:val="2"/>
            <w:tcBorders>
              <w:top w:val="single" w:sz="6" w:space="0" w:color="auto"/>
              <w:left w:val="nil"/>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Units</w:t>
            </w:r>
          </w:p>
        </w:tc>
        <w:tc>
          <w:tcPr>
            <w:tcW w:w="216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A</w:t>
            </w:r>
            <w:r>
              <w:rPr>
                <w:vertAlign w:val="superscript"/>
                <w:lang w:val="en-US" w:eastAsia="zh-CN"/>
              </w:rPr>
              <w:t xml:space="preserve">(1) </w:t>
            </w:r>
          </w:p>
          <w:p w:rsidR="00FC61EC" w:rsidRDefault="00FC61EC" w:rsidP="00961719">
            <w:pPr>
              <w:pStyle w:val="Tablehead"/>
              <w:rPr>
                <w:lang w:val="en-US" w:eastAsia="zh-CN"/>
              </w:rPr>
            </w:pPr>
            <w:r>
              <w:rPr>
                <w:lang w:val="en-US" w:eastAsia="zh-CN"/>
              </w:rPr>
              <w:t>Automotive radar</w:t>
            </w:r>
          </w:p>
          <w:p w:rsidR="00FC61EC" w:rsidRDefault="00FC61EC" w:rsidP="00961719">
            <w:pPr>
              <w:pStyle w:val="Tablehead"/>
              <w:rPr>
                <w:lang w:val="en-US" w:eastAsia="zh-CN"/>
              </w:rPr>
            </w:pPr>
            <w:r>
              <w:rPr>
                <w:lang w:val="en-US" w:eastAsia="zh-CN"/>
              </w:rPr>
              <w:t>For front applications for e.g. for ACC</w:t>
            </w:r>
          </w:p>
        </w:tc>
        <w:tc>
          <w:tcPr>
            <w:tcW w:w="251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B</w:t>
            </w:r>
          </w:p>
          <w:p w:rsidR="00FC61EC" w:rsidRDefault="00FC61EC" w:rsidP="00961719">
            <w:pPr>
              <w:pStyle w:val="Tablehead"/>
              <w:rPr>
                <w:lang w:val="en-US" w:eastAsia="zh-CN"/>
              </w:rPr>
            </w:pPr>
            <w:r>
              <w:rPr>
                <w:lang w:val="en-US" w:eastAsia="zh-CN"/>
              </w:rPr>
              <w:t>Automotive high-resolution radar</w:t>
            </w:r>
          </w:p>
          <w:p w:rsidR="00FC61EC" w:rsidRDefault="00FC61EC" w:rsidP="00961719">
            <w:pPr>
              <w:pStyle w:val="Tablehead"/>
              <w:rPr>
                <w:lang w:val="en-US" w:eastAsia="zh-CN"/>
              </w:rPr>
            </w:pPr>
            <w:r>
              <w:rPr>
                <w:lang w:val="en-US" w:eastAsia="zh-CN"/>
              </w:rPr>
              <w:t>For front applications</w:t>
            </w:r>
          </w:p>
        </w:tc>
        <w:tc>
          <w:tcPr>
            <w:tcW w:w="2500"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C</w:t>
            </w:r>
          </w:p>
          <w:p w:rsidR="00FC61EC" w:rsidRDefault="00FC61EC" w:rsidP="00961719">
            <w:pPr>
              <w:pStyle w:val="Tablehead"/>
              <w:rPr>
                <w:lang w:val="en-US" w:eastAsia="zh-CN"/>
              </w:rPr>
            </w:pPr>
            <w:r>
              <w:rPr>
                <w:lang w:val="en-US" w:eastAsia="zh-CN"/>
              </w:rPr>
              <w:t>Automotive high-resolution radar</w:t>
            </w:r>
          </w:p>
          <w:p w:rsidR="00FC61EC" w:rsidRDefault="00FC61EC" w:rsidP="00961719">
            <w:pPr>
              <w:pStyle w:val="Tablehead"/>
              <w:rPr>
                <w:lang w:val="en-US" w:eastAsia="zh-CN"/>
              </w:rPr>
            </w:pPr>
            <w:r>
              <w:rPr>
                <w:lang w:val="en-US" w:eastAsia="zh-CN"/>
              </w:rPr>
              <w:t>For corner applications</w:t>
            </w:r>
          </w:p>
        </w:tc>
        <w:tc>
          <w:tcPr>
            <w:tcW w:w="2127" w:type="dxa"/>
            <w:tcBorders>
              <w:top w:val="single" w:sz="6" w:space="0" w:color="auto"/>
              <w:left w:val="single" w:sz="6" w:space="0" w:color="auto"/>
              <w:bottom w:val="single" w:sz="6" w:space="0" w:color="auto"/>
              <w:right w:val="nil"/>
            </w:tcBorders>
            <w:vAlign w:val="center"/>
            <w:hideMark/>
          </w:tcPr>
          <w:p w:rsidR="00FC61EC" w:rsidRDefault="00FC61EC" w:rsidP="00961719">
            <w:pPr>
              <w:pStyle w:val="Tablehead"/>
              <w:rPr>
                <w:rFonts w:eastAsia="SimSun"/>
                <w:lang w:val="en-US" w:eastAsia="ja-JP"/>
              </w:rPr>
            </w:pPr>
            <w:r>
              <w:rPr>
                <w:lang w:val="en-US" w:eastAsia="zh-CN"/>
              </w:rPr>
              <w:t>Radar D</w:t>
            </w:r>
          </w:p>
          <w:p w:rsidR="00FC61EC" w:rsidRDefault="00FC61EC" w:rsidP="00961719">
            <w:pPr>
              <w:pStyle w:val="Tablehead"/>
              <w:rPr>
                <w:rFonts w:eastAsia="SimSun"/>
                <w:lang w:val="en-US" w:eastAsia="ja-JP"/>
              </w:rPr>
            </w:pPr>
            <w:r>
              <w:rPr>
                <w:lang w:val="en-US" w:eastAsia="zh-CN"/>
              </w:rPr>
              <w:t xml:space="preserve">Automotive </w:t>
            </w:r>
            <w:r>
              <w:rPr>
                <w:lang w:val="en-US" w:eastAsia="zh-CN"/>
              </w:rPr>
              <w:br/>
              <w:t>high</w:t>
            </w:r>
            <w:r>
              <w:rPr>
                <w:rFonts w:eastAsia="SimSun"/>
                <w:lang w:val="en-US" w:eastAsia="ja-JP"/>
              </w:rPr>
              <w:t>-</w:t>
            </w:r>
            <w:r>
              <w:rPr>
                <w:lang w:val="en-US" w:eastAsia="zh-CN"/>
              </w:rPr>
              <w:t>resolution radar</w:t>
            </w:r>
          </w:p>
        </w:tc>
        <w:tc>
          <w:tcPr>
            <w:tcW w:w="2379" w:type="dxa"/>
            <w:tcBorders>
              <w:top w:val="single" w:sz="6" w:space="0" w:color="auto"/>
              <w:left w:val="single" w:sz="6" w:space="0" w:color="auto"/>
              <w:bottom w:val="single" w:sz="6" w:space="0" w:color="auto"/>
              <w:right w:val="single" w:sz="6" w:space="0" w:color="auto"/>
            </w:tcBorders>
            <w:vAlign w:val="center"/>
            <w:hideMark/>
          </w:tcPr>
          <w:p w:rsidR="00FC61EC" w:rsidRDefault="00FC61EC" w:rsidP="00961719">
            <w:pPr>
              <w:pStyle w:val="Tablehead"/>
              <w:rPr>
                <w:lang w:val="en-US" w:eastAsia="zh-CN"/>
              </w:rPr>
            </w:pPr>
            <w:r>
              <w:rPr>
                <w:lang w:val="en-US" w:eastAsia="zh-CN"/>
              </w:rPr>
              <w:t>Radar E</w:t>
            </w:r>
          </w:p>
          <w:p w:rsidR="00FC61EC" w:rsidRDefault="00FC61EC" w:rsidP="00961719">
            <w:pPr>
              <w:pStyle w:val="Tablehead"/>
              <w:rPr>
                <w:lang w:val="en-US" w:eastAsia="zh-CN"/>
              </w:rPr>
            </w:pPr>
            <w:r>
              <w:rPr>
                <w:lang w:val="en-US" w:eastAsia="zh-CN"/>
              </w:rPr>
              <w:t xml:space="preserve">Automotive </w:t>
            </w:r>
            <w:r>
              <w:rPr>
                <w:lang w:val="en-US" w:eastAsia="zh-CN"/>
              </w:rPr>
              <w:br/>
              <w:t>high-resolution radar</w:t>
            </w:r>
          </w:p>
          <w:p w:rsidR="00FC61EC" w:rsidRDefault="00FC61EC" w:rsidP="00961719">
            <w:pPr>
              <w:pStyle w:val="Tablehead"/>
              <w:rPr>
                <w:lang w:val="en-US" w:eastAsia="zh-CN"/>
              </w:rPr>
            </w:pPr>
            <w:r>
              <w:rPr>
                <w:lang w:val="en-US" w:eastAsia="zh-CN"/>
              </w:rPr>
              <w:t>Very short range applications (e.g. parking-aid, CA at very low speed)</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Antenna azimuth 3 dB beamwidth</w:t>
            </w:r>
            <w:r>
              <w:rPr>
                <w:vertAlign w:val="superscript"/>
                <w:lang w:val="en-US" w:eastAsia="zh-CN"/>
              </w:rPr>
              <w:t>(4)</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degrees</w:t>
            </w:r>
          </w:p>
        </w:tc>
        <w:tc>
          <w:tcPr>
            <w:tcW w:w="2179" w:type="dxa"/>
            <w:gridSpan w:val="2"/>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 xml:space="preserve">TX/RX: ±5 </w:t>
            </w:r>
          </w:p>
        </w:tc>
        <w:tc>
          <w:tcPr>
            <w:tcW w:w="251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 ±12.5</w:t>
            </w:r>
          </w:p>
          <w:p w:rsidR="00C8398E" w:rsidRDefault="00C8398E">
            <w:pPr>
              <w:pStyle w:val="Tabletext"/>
              <w:jc w:val="center"/>
              <w:rPr>
                <w:lang w:val="en-US" w:eastAsia="zh-CN"/>
              </w:rPr>
            </w:pPr>
            <w:r>
              <w:rPr>
                <w:lang w:val="en-US" w:eastAsia="zh-CN"/>
              </w:rPr>
              <w:t>RX: ±13.5</w:t>
            </w:r>
          </w:p>
        </w:tc>
        <w:tc>
          <w:tcPr>
            <w:tcW w:w="2500"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TX: ±12.5</w:t>
            </w:r>
          </w:p>
          <w:p w:rsidR="00C8398E" w:rsidRDefault="00C8398E">
            <w:pPr>
              <w:pStyle w:val="Tabletext"/>
              <w:jc w:val="center"/>
              <w:rPr>
                <w:rFonts w:eastAsia="SimSun"/>
                <w:lang w:val="en-US" w:eastAsia="ja-JP"/>
              </w:rPr>
            </w:pPr>
            <w:r>
              <w:rPr>
                <w:rFonts w:eastAsia="SimSun"/>
                <w:lang w:val="en-US" w:eastAsia="ja-JP"/>
              </w:rPr>
              <w:t>RX: ±16</w:t>
            </w:r>
          </w:p>
        </w:tc>
        <w:tc>
          <w:tcPr>
            <w:tcW w:w="2127" w:type="dxa"/>
            <w:tcBorders>
              <w:top w:val="single" w:sz="4" w:space="0" w:color="auto"/>
              <w:left w:val="single" w:sz="6" w:space="0" w:color="auto"/>
              <w:bottom w:val="single" w:sz="4" w:space="0" w:color="auto"/>
              <w:right w:val="nil"/>
            </w:tcBorders>
            <w:vAlign w:val="center"/>
            <w:hideMark/>
          </w:tcPr>
          <w:p w:rsidR="00C8398E" w:rsidRDefault="00C8398E">
            <w:pPr>
              <w:pStyle w:val="Tabletext"/>
              <w:jc w:val="center"/>
              <w:rPr>
                <w:rFonts w:eastAsia="SimSun"/>
                <w:lang w:val="en-US" w:eastAsia="ja-JP"/>
              </w:rPr>
            </w:pPr>
            <w:r>
              <w:rPr>
                <w:rFonts w:eastAsia="SimSun"/>
                <w:lang w:val="en-US" w:eastAsia="ja-JP"/>
              </w:rPr>
              <w:t>TX: ±16</w:t>
            </w:r>
          </w:p>
          <w:p w:rsidR="00C8398E" w:rsidRDefault="00C8398E">
            <w:pPr>
              <w:pStyle w:val="Tabletext"/>
              <w:jc w:val="center"/>
              <w:rPr>
                <w:rFonts w:eastAsia="SimSun"/>
                <w:lang w:val="en-US" w:eastAsia="ja-JP"/>
              </w:rPr>
            </w:pPr>
            <w:r>
              <w:rPr>
                <w:rFonts w:eastAsia="SimSun"/>
                <w:lang w:val="en-US" w:eastAsia="ja-JP"/>
              </w:rPr>
              <w:t>RX: ±16</w:t>
            </w:r>
          </w:p>
        </w:tc>
        <w:tc>
          <w:tcPr>
            <w:tcW w:w="2379" w:type="dxa"/>
            <w:tcBorders>
              <w:top w:val="single" w:sz="4" w:space="0" w:color="auto"/>
              <w:left w:val="single" w:sz="6" w:space="0" w:color="auto"/>
              <w:bottom w:val="single" w:sz="4"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TX: ±27</w:t>
            </w:r>
          </w:p>
          <w:p w:rsidR="00C8398E" w:rsidRDefault="00C8398E">
            <w:pPr>
              <w:pStyle w:val="Tabletext"/>
              <w:jc w:val="center"/>
              <w:rPr>
                <w:rFonts w:eastAsia="SimSun"/>
                <w:lang w:val="en-US" w:eastAsia="ja-JP"/>
              </w:rPr>
            </w:pPr>
            <w:r>
              <w:rPr>
                <w:rFonts w:eastAsia="SimSun"/>
                <w:lang w:val="en-US" w:eastAsia="ja-JP"/>
              </w:rPr>
              <w:t>RX: ±27</w:t>
            </w:r>
          </w:p>
        </w:tc>
      </w:tr>
      <w:tr w:rsidR="00C8398E" w:rsidTr="00FC61EC">
        <w:trPr>
          <w:cantSplit/>
          <w:jc w:val="center"/>
        </w:trPr>
        <w:tc>
          <w:tcPr>
            <w:tcW w:w="1791" w:type="dxa"/>
            <w:tcBorders>
              <w:top w:val="single" w:sz="6" w:space="0" w:color="auto"/>
              <w:left w:val="single" w:sz="6" w:space="0" w:color="auto"/>
              <w:bottom w:val="single" w:sz="6" w:space="0" w:color="auto"/>
              <w:right w:val="single" w:sz="6" w:space="0" w:color="auto"/>
            </w:tcBorders>
            <w:vAlign w:val="center"/>
            <w:hideMark/>
          </w:tcPr>
          <w:p w:rsidR="00C8398E" w:rsidRDefault="00C8398E">
            <w:pPr>
              <w:pStyle w:val="Tabletext"/>
              <w:rPr>
                <w:lang w:val="en-US" w:eastAsia="zh-CN"/>
              </w:rPr>
            </w:pPr>
            <w:r>
              <w:rPr>
                <w:lang w:val="en-US" w:eastAsia="zh-CN"/>
              </w:rPr>
              <w:t>Antenna elevation -3 dB beamwidth</w:t>
            </w:r>
          </w:p>
        </w:tc>
        <w:tc>
          <w:tcPr>
            <w:tcW w:w="973" w:type="dxa"/>
            <w:tcBorders>
              <w:top w:val="single" w:sz="6" w:space="0" w:color="auto"/>
              <w:left w:val="nil"/>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degrees</w:t>
            </w:r>
          </w:p>
        </w:tc>
        <w:tc>
          <w:tcPr>
            <w:tcW w:w="2179" w:type="dxa"/>
            <w:gridSpan w:val="2"/>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TX/RX: ±3</w:t>
            </w:r>
          </w:p>
        </w:tc>
        <w:tc>
          <w:tcPr>
            <w:tcW w:w="2510"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TX/RX: ±5.5</w:t>
            </w:r>
          </w:p>
        </w:tc>
        <w:tc>
          <w:tcPr>
            <w:tcW w:w="2500"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rFonts w:eastAsia="SimSun"/>
                <w:lang w:val="en-US" w:eastAsia="ja-JP"/>
              </w:rPr>
            </w:pPr>
            <w:r>
              <w:rPr>
                <w:rFonts w:eastAsia="SimSun"/>
                <w:lang w:val="en-US" w:eastAsia="ja-JP"/>
              </w:rPr>
              <w:t>TX/RX: ± 5.5</w:t>
            </w:r>
          </w:p>
        </w:tc>
        <w:tc>
          <w:tcPr>
            <w:tcW w:w="2127" w:type="dxa"/>
            <w:tcBorders>
              <w:top w:val="single" w:sz="4" w:space="0" w:color="auto"/>
              <w:left w:val="single" w:sz="6" w:space="0" w:color="auto"/>
              <w:bottom w:val="single" w:sz="6" w:space="0" w:color="auto"/>
              <w:right w:val="nil"/>
            </w:tcBorders>
            <w:vAlign w:val="center"/>
            <w:hideMark/>
          </w:tcPr>
          <w:p w:rsidR="00C8398E" w:rsidRDefault="00C8398E">
            <w:pPr>
              <w:pStyle w:val="Tabletext"/>
              <w:jc w:val="center"/>
              <w:rPr>
                <w:rFonts w:eastAsia="SimSun"/>
                <w:lang w:val="en-US" w:eastAsia="ja-JP"/>
              </w:rPr>
            </w:pPr>
            <w:r>
              <w:rPr>
                <w:rFonts w:eastAsia="SimSun"/>
                <w:lang w:val="en-US" w:eastAsia="ja-JP"/>
              </w:rPr>
              <w:t>TX/RX: ± 5.5</w:t>
            </w:r>
          </w:p>
        </w:tc>
        <w:tc>
          <w:tcPr>
            <w:tcW w:w="2379" w:type="dxa"/>
            <w:tcBorders>
              <w:top w:val="single" w:sz="4" w:space="0" w:color="auto"/>
              <w:left w:val="single" w:sz="6" w:space="0" w:color="auto"/>
              <w:bottom w:val="single" w:sz="6" w:space="0" w:color="auto"/>
              <w:right w:val="single" w:sz="6" w:space="0" w:color="auto"/>
            </w:tcBorders>
            <w:vAlign w:val="center"/>
            <w:hideMark/>
          </w:tcPr>
          <w:p w:rsidR="00C8398E" w:rsidRDefault="00C8398E">
            <w:pPr>
              <w:pStyle w:val="Tabletext"/>
              <w:jc w:val="center"/>
              <w:rPr>
                <w:lang w:val="en-US" w:eastAsia="zh-CN"/>
              </w:rPr>
            </w:pPr>
            <w:r>
              <w:rPr>
                <w:lang w:val="en-US" w:eastAsia="zh-CN"/>
              </w:rPr>
              <w:t>TX/RX: ± 5.5</w:t>
            </w:r>
          </w:p>
        </w:tc>
      </w:tr>
    </w:tbl>
    <w:p w:rsidR="00C8398E" w:rsidRDefault="00C8398E" w:rsidP="00C8398E">
      <w:pPr>
        <w:pStyle w:val="Tablelegend"/>
        <w:tabs>
          <w:tab w:val="left" w:pos="353"/>
        </w:tabs>
        <w:spacing w:before="0"/>
        <w:rPr>
          <w:sz w:val="2"/>
          <w:szCs w:val="2"/>
          <w:lang w:val="en-GB"/>
        </w:rPr>
      </w:pPr>
    </w:p>
    <w:tbl>
      <w:tblPr>
        <w:tblW w:w="0" w:type="dxa"/>
        <w:jc w:val="center"/>
        <w:tblLayout w:type="fixed"/>
        <w:tblCellMar>
          <w:left w:w="57" w:type="dxa"/>
          <w:right w:w="57" w:type="dxa"/>
        </w:tblCellMar>
        <w:tblLook w:val="00A0" w:firstRow="1" w:lastRow="0" w:firstColumn="1" w:lastColumn="0" w:noHBand="0" w:noVBand="0"/>
      </w:tblPr>
      <w:tblGrid>
        <w:gridCol w:w="14459"/>
      </w:tblGrid>
      <w:tr w:rsidR="00C8398E" w:rsidRPr="00260CFC" w:rsidTr="00C8398E">
        <w:trPr>
          <w:cantSplit/>
          <w:jc w:val="center"/>
        </w:trPr>
        <w:tc>
          <w:tcPr>
            <w:tcW w:w="14459" w:type="dxa"/>
            <w:vAlign w:val="center"/>
            <w:hideMark/>
          </w:tcPr>
          <w:p w:rsidR="00C8398E" w:rsidRDefault="00C8398E" w:rsidP="00FC61EC">
            <w:pPr>
              <w:pStyle w:val="Tabletext"/>
              <w:rPr>
                <w:sz w:val="18"/>
                <w:lang w:val="en-US"/>
              </w:rPr>
            </w:pPr>
            <w:r>
              <w:rPr>
                <w:vertAlign w:val="superscript"/>
                <w:lang w:val="en-US"/>
              </w:rPr>
              <w:t>(1)</w:t>
            </w:r>
            <w:r>
              <w:rPr>
                <w:lang w:val="en-US"/>
              </w:rPr>
              <w:tab/>
              <w:t xml:space="preserve">Radar type A is related to Recommendation </w:t>
            </w:r>
            <w:hyperlink r:id="rId13" w:history="1">
              <w:r w:rsidRPr="00961719">
                <w:rPr>
                  <w:rStyle w:val="Hyperlink"/>
                  <w:color w:val="auto"/>
                  <w:u w:val="none"/>
                  <w:lang w:val="en-US"/>
                </w:rPr>
                <w:t>ITU-R M.1452</w:t>
              </w:r>
            </w:hyperlink>
            <w:r>
              <w:rPr>
                <w:lang w:val="en-US"/>
              </w:rPr>
              <w:t>.</w:t>
            </w:r>
          </w:p>
          <w:p w:rsidR="00C8398E" w:rsidRDefault="00C8398E" w:rsidP="00FC61EC">
            <w:pPr>
              <w:pStyle w:val="Tabletext"/>
              <w:rPr>
                <w:lang w:val="en-US"/>
              </w:rPr>
            </w:pPr>
            <w:r>
              <w:rPr>
                <w:vertAlign w:val="superscript"/>
                <w:lang w:val="en-US"/>
              </w:rPr>
              <w:t>(2)</w:t>
            </w:r>
            <w:r>
              <w:rPr>
                <w:vertAlign w:val="superscript"/>
                <w:lang w:val="en-US"/>
              </w:rPr>
              <w:tab/>
            </w:r>
            <w:r>
              <w:rPr>
                <w:lang w:val="en-US"/>
              </w:rPr>
              <w:t>Maximum power density of unwanted emission is specified at antenna input terminal.</w:t>
            </w:r>
          </w:p>
          <w:p w:rsidR="00C8398E" w:rsidRDefault="00C8398E" w:rsidP="00FC61EC">
            <w:pPr>
              <w:pStyle w:val="Tabletext"/>
              <w:rPr>
                <w:lang w:val="en-US"/>
              </w:rPr>
            </w:pPr>
            <w:r>
              <w:rPr>
                <w:vertAlign w:val="superscript"/>
                <w:lang w:val="en-US"/>
              </w:rPr>
              <w:t>(3)</w:t>
            </w:r>
            <w:r>
              <w:rPr>
                <w:vertAlign w:val="superscript"/>
                <w:lang w:val="en-US"/>
              </w:rPr>
              <w:tab/>
            </w:r>
            <w:r>
              <w:rPr>
                <w:lang w:val="en-US"/>
              </w:rPr>
              <w:t>The receiver sensitivity is determined using the equivalent noise bandwidth.</w:t>
            </w:r>
          </w:p>
          <w:p w:rsidR="00C8398E" w:rsidRDefault="00C8398E" w:rsidP="00FC61EC">
            <w:pPr>
              <w:pStyle w:val="Tabletext"/>
              <w:rPr>
                <w:szCs w:val="18"/>
                <w:lang w:val="en-US"/>
              </w:rPr>
            </w:pPr>
            <w:r>
              <w:rPr>
                <w:vertAlign w:val="superscript"/>
                <w:lang w:val="en-US"/>
              </w:rPr>
              <w:t>(4)</w:t>
            </w:r>
            <w:r>
              <w:rPr>
                <w:vertAlign w:val="superscript"/>
                <w:lang w:val="en-US"/>
              </w:rPr>
              <w:tab/>
            </w:r>
            <w:r>
              <w:rPr>
                <w:lang w:val="en-US"/>
              </w:rPr>
              <w:t>This parameter is used by the antenna pattern defined in § 3 below (</w:t>
            </w:r>
            <w:r>
              <w:rPr>
                <w:lang w:val="en-US"/>
              </w:rPr>
              <w:sym w:font="Symbol" w:char="F06A"/>
            </w:r>
            <w:r>
              <w:rPr>
                <w:sz w:val="24"/>
                <w:vertAlign w:val="subscript"/>
                <w:lang w:val="en-US"/>
              </w:rPr>
              <w:t>3</w:t>
            </w:r>
            <w:r>
              <w:rPr>
                <w:lang w:val="en-US"/>
              </w:rPr>
              <w:t>).</w:t>
            </w:r>
          </w:p>
        </w:tc>
      </w:tr>
    </w:tbl>
    <w:p w:rsidR="00C8398E" w:rsidRPr="00C8398E" w:rsidRDefault="00C8398E" w:rsidP="00C8398E">
      <w:pPr>
        <w:overflowPunct/>
        <w:autoSpaceDE/>
        <w:autoSpaceDN/>
        <w:adjustRightInd/>
        <w:spacing w:before="0"/>
        <w:rPr>
          <w:b/>
          <w:sz w:val="28"/>
          <w:lang w:val="en-GB"/>
        </w:rPr>
        <w:sectPr w:rsidR="00C8398E" w:rsidRPr="00C8398E" w:rsidSect="005C0DE7">
          <w:headerReference w:type="even" r:id="rId14"/>
          <w:headerReference w:type="default" r:id="rId15"/>
          <w:pgSz w:w="16834" w:h="11907" w:orient="landscape" w:code="9"/>
          <w:pgMar w:top="1134" w:right="1418" w:bottom="1134" w:left="1134" w:header="720" w:footer="482" w:gutter="0"/>
          <w:paperSrc w:first="15" w:other="15"/>
          <w:cols w:space="720"/>
        </w:sectPr>
      </w:pPr>
    </w:p>
    <w:p w:rsidR="00C8398E" w:rsidRDefault="00C8398E" w:rsidP="00C8398E">
      <w:pPr>
        <w:pStyle w:val="Heading1"/>
        <w:rPr>
          <w:lang w:val="en-GB"/>
        </w:rPr>
      </w:pPr>
      <w:r w:rsidRPr="00C8398E">
        <w:rPr>
          <w:lang w:val="en-GB"/>
        </w:rPr>
        <w:lastRenderedPageBreak/>
        <w:t>3</w:t>
      </w:r>
      <w:r w:rsidRPr="00C8398E">
        <w:rPr>
          <w:lang w:val="en-GB"/>
        </w:rPr>
        <w:tab/>
        <w:t>Antenna pattern</w:t>
      </w:r>
    </w:p>
    <w:p w:rsidR="00C8398E" w:rsidRPr="00C8398E" w:rsidRDefault="00C8398E" w:rsidP="00C8398E">
      <w:pPr>
        <w:rPr>
          <w:b/>
          <w:lang w:val="en-GB"/>
        </w:rPr>
      </w:pPr>
      <w:r w:rsidRPr="00C8398E">
        <w:rPr>
          <w:lang w:val="en-GB"/>
        </w:rPr>
        <w:t>The following equations provide the antenna radiation pattern that could be used in the analysis of interference:</w:t>
      </w:r>
    </w:p>
    <w:p w:rsidR="00C8398E" w:rsidRDefault="00C8398E" w:rsidP="00C8398E">
      <w:pPr>
        <w:pStyle w:val="Equation"/>
      </w:pPr>
      <w:r w:rsidRPr="00C8398E">
        <w:rPr>
          <w:iCs/>
          <w:lang w:val="en-GB"/>
        </w:rPr>
        <w:tab/>
      </w:r>
      <w:r w:rsidRPr="00C8398E">
        <w:rPr>
          <w:iCs/>
          <w:lang w:val="en-GB"/>
        </w:rPr>
        <w:tab/>
      </w:r>
      <m:oMath>
        <m:r>
          <w:rPr>
            <w:rFonts w:ascii="Cambria Math" w:hAnsi="Cambria Math"/>
          </w:rPr>
          <m:t>G</m:t>
        </m:r>
        <m:d>
          <m:dPr>
            <m:ctrlPr>
              <w:rPr>
                <w:rFonts w:ascii="Cambria Math" w:hAnsi="Cambria Math"/>
              </w:rPr>
            </m:ctrlPr>
          </m:dPr>
          <m:e>
            <m:r>
              <m:rPr>
                <m:sty m:val="p"/>
              </m:rPr>
              <w:rPr>
                <w:rFonts w:ascii="Cambria Math" w:hAnsi="Cambria Math"/>
              </w:rPr>
              <m:t>φ,θ</m:t>
            </m:r>
          </m:e>
        </m:d>
        <m:r>
          <m:rPr>
            <m:sty m:val="p"/>
          </m:rPr>
          <w:rPr>
            <w:rFonts w:ascii="Cambria Math" w:hAnsi="Cambria Math"/>
          </w:rPr>
          <m:t xml:space="preserve">= </m:t>
        </m:r>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oMath>
    </w:p>
    <w:p w:rsidR="00C8398E" w:rsidRPr="00C8398E" w:rsidRDefault="00C8398E" w:rsidP="001514F5">
      <w:pPr>
        <w:pStyle w:val="Equation"/>
        <w:rPr>
          <w:lang w:val="en-GB"/>
        </w:rPr>
      </w:pPr>
      <w:r>
        <w:tab/>
      </w:r>
      <w: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m:rPr>
                <m:sty m:val="p"/>
              </m:rPr>
              <w:rPr>
                <w:rFonts w:ascii="Cambria Math" w:hAnsi="Cambria Math"/>
                <w:lang w:val="en-GB"/>
              </w:rPr>
              <m:t>0</m:t>
            </m:r>
          </m:sub>
        </m:sSub>
        <m:r>
          <m:rPr>
            <m:sty m:val="p"/>
          </m:rPr>
          <w:rPr>
            <w:rFonts w:ascii="Cambria Math" w:hAnsi="Cambria Math"/>
            <w:lang w:val="en-GB"/>
          </w:rPr>
          <m:t>-12</m:t>
        </m:r>
        <m:r>
          <w:rPr>
            <w:rFonts w:ascii="Cambria Math" w:hAnsi="Cambria Math"/>
          </w:rPr>
          <m:t>x</m:t>
        </m:r>
        <m:r>
          <m:rPr>
            <m:sty m:val="p"/>
          </m:rPr>
          <w:rPr>
            <w:rFonts w:ascii="Cambria Math" w:hAnsi="Cambria Math"/>
            <w:lang w:val="en-GB"/>
          </w:rPr>
          <m:t>²</m:t>
        </m:r>
      </m:oMath>
      <w:r w:rsidRPr="00C8398E">
        <w:rPr>
          <w:lang w:val="en-GB"/>
        </w:rPr>
        <w:t>                       for      </w:t>
      </w:r>
      <m:oMath>
        <m:r>
          <m:rPr>
            <m:sty m:val="p"/>
          </m:rPr>
          <w:rPr>
            <w:rFonts w:ascii="Cambria Math" w:hAnsi="Cambria Math"/>
            <w:lang w:val="en-GB"/>
          </w:rPr>
          <m:t>0≤</m:t>
        </m:r>
        <m:r>
          <w:rPr>
            <w:rFonts w:ascii="Cambria Math" w:hAnsi="Cambria Math"/>
          </w:rPr>
          <m:t>x</m:t>
        </m:r>
        <m:r>
          <m:rPr>
            <m:sty m:val="p"/>
          </m:rPr>
          <w:rPr>
            <w:rFonts w:ascii="Cambria Math" w:hAnsi="Cambria Math"/>
            <w:lang w:val="en-GB"/>
          </w:rPr>
          <m:t>&lt;1.152</m:t>
        </m:r>
      </m:oMath>
    </w:p>
    <w:p w:rsidR="00C8398E" w:rsidRPr="0027251C" w:rsidRDefault="00C8398E" w:rsidP="001514F5">
      <w:pPr>
        <w:pStyle w:val="Equation"/>
        <w:rPr>
          <w:lang w:val="en-GB"/>
        </w:rPr>
      </w:pPr>
      <w:r w:rsidRPr="00C8398E">
        <w:rPr>
          <w:lang w:val="en-GB"/>
        </w:rPr>
        <w:tab/>
      </w:r>
      <w:r w:rsidRPr="00C8398E">
        <w:rPr>
          <w:lang w:val="en-GB"/>
        </w:rPr>
        <w:tab/>
      </w:r>
      <m:oMath>
        <m:sSub>
          <m:sSubPr>
            <m:ctrlPr>
              <w:rPr>
                <w:rFonts w:ascii="Cambria Math" w:hAnsi="Cambria Math"/>
              </w:rPr>
            </m:ctrlPr>
          </m:sSubPr>
          <m:e>
            <m:r>
              <w:rPr>
                <w:rFonts w:ascii="Cambria Math" w:hAnsi="Cambria Math"/>
              </w:rPr>
              <m:t>G</m:t>
            </m:r>
          </m:e>
          <m:sub>
            <m:r>
              <w:rPr>
                <w:rFonts w:ascii="Cambria Math" w:hAnsi="Cambria Math"/>
              </w:rPr>
              <m:t>ref</m:t>
            </m:r>
          </m:sub>
        </m:sSub>
        <m:d>
          <m:dPr>
            <m:ctrlPr>
              <w:rPr>
                <w:rFonts w:ascii="Cambria Math" w:hAnsi="Cambria Math"/>
              </w:rPr>
            </m:ctrlPr>
          </m:dPr>
          <m:e>
            <m:r>
              <w:rPr>
                <w:rFonts w:ascii="Cambria Math" w:hAnsi="Cambria Math"/>
              </w:rPr>
              <m:t>x</m:t>
            </m:r>
          </m:e>
        </m:d>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m:rPr>
                <m:sty m:val="p"/>
              </m:rPr>
              <w:rPr>
                <w:rFonts w:ascii="Cambria Math" w:hAnsi="Cambria Math"/>
                <w:lang w:val="en-GB"/>
              </w:rPr>
              <m:t>0</m:t>
            </m:r>
          </m:sub>
        </m:sSub>
        <m:r>
          <m:rPr>
            <m:sty m:val="p"/>
          </m:rPr>
          <w:rPr>
            <w:rFonts w:ascii="Cambria Math" w:hAnsi="Cambria Math"/>
            <w:lang w:val="en-GB"/>
          </w:rPr>
          <m:t>-15-15</m:t>
        </m:r>
        <m:func>
          <m:funcPr>
            <m:ctrlPr>
              <w:rPr>
                <w:rFonts w:ascii="Cambria Math" w:hAnsi="Cambria Math"/>
              </w:rPr>
            </m:ctrlPr>
          </m:funcPr>
          <m:fName>
            <m:r>
              <m:rPr>
                <m:sty m:val="p"/>
              </m:rPr>
              <w:rPr>
                <w:rFonts w:ascii="Cambria Math" w:hAnsi="Cambria Math"/>
                <w:lang w:val="en-GB"/>
              </w:rPr>
              <m:t>log</m:t>
            </m:r>
          </m:fName>
          <m:e>
            <m:r>
              <m:rPr>
                <m:sty m:val="p"/>
              </m:rPr>
              <w:rPr>
                <w:rFonts w:ascii="Cambria Math" w:hAnsi="Cambria Math"/>
                <w:lang w:val="en-GB"/>
              </w:rPr>
              <m:t>(</m:t>
            </m:r>
            <m:r>
              <w:rPr>
                <w:rFonts w:ascii="Cambria Math" w:hAnsi="Cambria Math"/>
              </w:rPr>
              <m:t>x</m:t>
            </m:r>
            <m:r>
              <m:rPr>
                <m:sty m:val="p"/>
              </m:rPr>
              <w:rPr>
                <w:rFonts w:ascii="Cambria Math" w:hAnsi="Cambria Math"/>
                <w:lang w:val="en-GB"/>
              </w:rPr>
              <m:t>)</m:t>
            </m:r>
          </m:e>
        </m:func>
      </m:oMath>
      <w:r w:rsidRPr="0027251C">
        <w:rPr>
          <w:lang w:val="en-GB"/>
        </w:rPr>
        <w:t>      for      </w:t>
      </w:r>
      <m:oMath>
        <m:r>
          <m:rPr>
            <m:sty m:val="p"/>
          </m:rPr>
          <w:rPr>
            <w:rFonts w:ascii="Cambria Math" w:hAnsi="Cambria Math"/>
            <w:lang w:val="en-GB"/>
          </w:rPr>
          <m:t>1.152≤</m:t>
        </m:r>
        <m:r>
          <w:rPr>
            <w:rFonts w:ascii="Cambria Math" w:hAnsi="Cambria Math"/>
          </w:rPr>
          <m:t>x</m:t>
        </m:r>
      </m:oMath>
    </w:p>
    <w:p w:rsidR="00C8398E" w:rsidRDefault="00C8398E" w:rsidP="00C8398E">
      <w:r>
        <w:t>with:</w:t>
      </w:r>
    </w:p>
    <w:p w:rsidR="00C8398E" w:rsidRDefault="00C8398E" w:rsidP="00C8398E">
      <w:pPr>
        <w:pStyle w:val="Equation"/>
      </w:pPr>
      <w:r>
        <w:tab/>
      </w:r>
      <w:r>
        <w:tab/>
      </w:r>
      <m:oMath>
        <m:r>
          <m:rPr>
            <m:sty m:val="p"/>
          </m:rPr>
          <w:rPr>
            <w:rFonts w:ascii="Cambria Math" w:hAnsi="Cambria Math"/>
          </w:rPr>
          <m:t>α=arctan⁡</m:t>
        </m:r>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θ</m:t>
                    </m:r>
                  </m:e>
                </m:func>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φ</m:t>
                    </m:r>
                  </m:e>
                </m:func>
              </m:den>
            </m:f>
          </m:e>
        </m:d>
      </m:oMath>
    </w:p>
    <w:p w:rsidR="00C8398E" w:rsidRDefault="00C8398E" w:rsidP="00C8398E">
      <w:pPr>
        <w:pStyle w:val="Equation"/>
      </w:pPr>
      <w:r>
        <w:tab/>
      </w:r>
      <w:r>
        <w:tab/>
      </w:r>
      <m:oMath>
        <m:sSub>
          <m:sSubPr>
            <m:ctrlPr>
              <w:rPr>
                <w:rFonts w:ascii="Cambria Math" w:hAnsi="Cambria Math"/>
              </w:rPr>
            </m:ctrlPr>
          </m:sSubPr>
          <m:e>
            <m:r>
              <m:rPr>
                <m:sty m:val="p"/>
              </m:rPr>
              <w:rPr>
                <w:rFonts w:ascii="Cambria Math" w:hAnsi="Cambria Math"/>
              </w:rPr>
              <m:t>Ψ</m:t>
            </m:r>
          </m:e>
          <m:sub>
            <m:r>
              <w:rPr>
                <w:rFonts w:ascii="Cambria Math" w:hAnsi="Cambria Math"/>
              </w:rPr>
              <m:t>α</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α</m:t>
                                </m:r>
                              </m:e>
                            </m:func>
                          </m:num>
                          <m:den>
                            <m:sSub>
                              <m:sSubPr>
                                <m:ctrlPr>
                                  <w:rPr>
                                    <w:rFonts w:ascii="Cambria Math" w:hAnsi="Cambria Math"/>
                                    <w:iCs/>
                                  </w:rPr>
                                </m:ctrlPr>
                              </m:sSubPr>
                              <m:e>
                                <m:r>
                                  <m:rPr>
                                    <m:sty m:val="p"/>
                                  </m:rPr>
                                  <w:rPr>
                                    <w:rFonts w:ascii="Cambria Math" w:hAnsi="Cambria Math"/>
                                  </w:rPr>
                                  <m:t>φ</m:t>
                                </m:r>
                              </m:e>
                              <m:sub>
                                <m:r>
                                  <m:rPr>
                                    <m:sty m:val="p"/>
                                  </m:rPr>
                                  <w:rPr>
                                    <w:rFonts w:ascii="Cambria Math" w:hAnsi="Cambria Math"/>
                                  </w:rPr>
                                  <m:t>3</m:t>
                                </m:r>
                              </m:sub>
                            </m:sSub>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um>
                          <m:den>
                            <m:sSub>
                              <m:sSubPr>
                                <m:ctrlPr>
                                  <w:rPr>
                                    <w:rFonts w:ascii="Cambria Math" w:hAnsi="Cambria Math"/>
                                    <w:iCs/>
                                  </w:rPr>
                                </m:ctrlPr>
                              </m:sSubPr>
                              <m:e>
                                <m:r>
                                  <m:rPr>
                                    <m:sty m:val="p"/>
                                  </m:rPr>
                                  <w:rPr>
                                    <w:rFonts w:ascii="Cambria Math" w:hAnsi="Cambria Math"/>
                                  </w:rPr>
                                  <m:t>θ</m:t>
                                </m:r>
                              </m:e>
                              <m:sub>
                                <m:r>
                                  <m:rPr>
                                    <m:sty m:val="p"/>
                                  </m:rPr>
                                  <w:rPr>
                                    <w:rFonts w:ascii="Cambria Math" w:hAnsi="Cambria Math"/>
                                  </w:rPr>
                                  <m:t>3</m:t>
                                </m:r>
                              </m:sub>
                            </m:sSub>
                          </m:den>
                        </m:f>
                      </m:e>
                    </m:d>
                  </m:e>
                  <m:sup>
                    <m:r>
                      <m:rPr>
                        <m:sty m:val="p"/>
                      </m:rPr>
                      <w:rPr>
                        <w:rFonts w:ascii="Cambria Math" w:hAnsi="Cambria Math"/>
                      </w:rPr>
                      <m:t>2</m:t>
                    </m:r>
                  </m:sup>
                </m:sSup>
              </m:e>
            </m:rad>
          </m:den>
        </m:f>
      </m:oMath>
    </w:p>
    <w:p w:rsidR="00C8398E" w:rsidRDefault="00C8398E" w:rsidP="00C8398E">
      <w:pPr>
        <w:pStyle w:val="Equation"/>
      </w:pPr>
      <w:r>
        <w:tab/>
      </w:r>
      <w:r>
        <w:tab/>
      </w:r>
      <m:oMath>
        <m:r>
          <m:rPr>
            <m:sty m:val="p"/>
          </m:rPr>
          <w:rPr>
            <w:rFonts w:ascii="Cambria Math" w:hAnsi="Cambria Math"/>
          </w:rPr>
          <m:t>Ψ</m:t>
        </m:r>
        <m:r>
          <w:rPr>
            <w:rFonts w:ascii="Cambria Math" w:hAnsi="Cambria Math"/>
          </w:rPr>
          <m:t>=</m:t>
        </m:r>
        <m:r>
          <m:rPr>
            <m:sty m:val="p"/>
          </m:rPr>
          <w:rPr>
            <w:rFonts w:ascii="Cambria Math" w:hAnsi="Cambria Math"/>
          </w:rPr>
          <m:t>arccos⁡</m:t>
        </m:r>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m:t>
            </m:r>
          </m:e>
        </m:func>
      </m:oMath>
    </w:p>
    <w:p w:rsidR="00C8398E" w:rsidRDefault="00C8398E" w:rsidP="00C8398E">
      <w:pPr>
        <w:pStyle w:val="Equation"/>
      </w:pPr>
      <w:r>
        <w:tab/>
      </w:r>
      <w:r>
        <w:tab/>
      </w:r>
      <m:oMath>
        <m:r>
          <w:rPr>
            <w:rFonts w:ascii="Cambria Math" w:hAnsi="Cambria Math"/>
          </w:rPr>
          <m:t>x=</m:t>
        </m:r>
        <m:f>
          <m:fPr>
            <m:ctrlPr>
              <w:rPr>
                <w:rFonts w:ascii="Cambria Math" w:hAnsi="Cambria Math"/>
              </w:rPr>
            </m:ctrlPr>
          </m:fPr>
          <m:num>
            <m:r>
              <m:rPr>
                <m:sty m:val="p"/>
              </m:rPr>
              <w:rPr>
                <w:rFonts w:ascii="Cambria Math" w:hAnsi="Cambria Math"/>
              </w:rPr>
              <m:t>Ψ</m:t>
            </m:r>
          </m:num>
          <m:den>
            <m:sSub>
              <m:sSubPr>
                <m:ctrlPr>
                  <w:rPr>
                    <w:rFonts w:ascii="Cambria Math" w:hAnsi="Cambria Math"/>
                  </w:rPr>
                </m:ctrlPr>
              </m:sSubPr>
              <m:e>
                <m:r>
                  <m:rPr>
                    <m:sty m:val="p"/>
                  </m:rPr>
                  <w:rPr>
                    <w:rFonts w:ascii="Cambria Math" w:hAnsi="Cambria Math"/>
                  </w:rPr>
                  <m:t>Ψ</m:t>
                </m:r>
              </m:e>
              <m:sub>
                <m:r>
                  <m:rPr>
                    <m:sty m:val="p"/>
                  </m:rPr>
                  <w:rPr>
                    <w:rFonts w:ascii="Cambria Math" w:hAnsi="Cambria Math"/>
                  </w:rPr>
                  <m:t>α</m:t>
                </m:r>
              </m:sub>
            </m:sSub>
          </m:den>
        </m:f>
      </m:oMath>
    </w:p>
    <w:p w:rsidR="00C8398E" w:rsidRPr="0027251C" w:rsidRDefault="00C8398E" w:rsidP="00C8398E">
      <w:pPr>
        <w:rPr>
          <w:lang w:val="en-GB"/>
        </w:rPr>
      </w:pPr>
      <w:r w:rsidRPr="0027251C">
        <w:rPr>
          <w:lang w:val="en-GB"/>
        </w:rPr>
        <w:t>where:</w:t>
      </w:r>
    </w:p>
    <w:p w:rsidR="00C8398E" w:rsidRDefault="00C8398E" w:rsidP="00C8398E">
      <w:pPr>
        <w:pStyle w:val="Equationlegend"/>
      </w:pPr>
      <w:r>
        <w:tab/>
      </w:r>
      <w:r>
        <w:rPr>
          <w:i/>
          <w:iCs/>
        </w:rPr>
        <w:t>G</w:t>
      </w:r>
      <w:r>
        <w:t>(</w:t>
      </w:r>
      <w:r>
        <w:sym w:font="Symbol" w:char="F06A"/>
      </w:r>
      <w:r>
        <w:t>,</w:t>
      </w:r>
      <w:r>
        <w:sym w:font="Symbol" w:char="F071"/>
      </w:r>
      <w:r>
        <w:t>):</w:t>
      </w:r>
      <w:r>
        <w:tab/>
        <w:t>gain relative to an isotropic antenna (dBi)</w:t>
      </w:r>
    </w:p>
    <w:p w:rsidR="00C8398E" w:rsidRDefault="00C8398E" w:rsidP="00C8398E">
      <w:pPr>
        <w:pStyle w:val="Equationlegend"/>
      </w:pPr>
      <w:r>
        <w:tab/>
      </w:r>
      <w:r>
        <w:rPr>
          <w:i/>
          <w:iCs/>
        </w:rPr>
        <w:t>G</w:t>
      </w:r>
      <w:r>
        <w:rPr>
          <w:vertAlign w:val="subscript"/>
        </w:rPr>
        <w:t>0</w:t>
      </w:r>
      <w:r>
        <w:t>:</w:t>
      </w:r>
      <w:r>
        <w:tab/>
        <w:t>Maximum gain in or near the horizontal plane (dBi)</w:t>
      </w:r>
    </w:p>
    <w:p w:rsidR="00C8398E" w:rsidRDefault="00C8398E" w:rsidP="00C8398E">
      <w:pPr>
        <w:pStyle w:val="Equationlegend"/>
      </w:pPr>
      <w:r>
        <w:tab/>
      </w:r>
      <w:r>
        <w:sym w:font="Symbol" w:char="F071"/>
      </w:r>
      <w:r>
        <w:t>:</w:t>
      </w:r>
      <w:r>
        <w:tab/>
        <w:t>Absolute value of the elevation angle relative to the angle of maximum gain (degrees)</w:t>
      </w:r>
    </w:p>
    <w:p w:rsidR="00C8398E" w:rsidRDefault="00C8398E" w:rsidP="00C8398E">
      <w:pPr>
        <w:pStyle w:val="Equationlegend"/>
      </w:pPr>
      <w:r>
        <w:tab/>
      </w:r>
      <w:r>
        <w:sym w:font="Symbol" w:char="F071"/>
      </w:r>
      <w:r>
        <w:rPr>
          <w:vertAlign w:val="subscript"/>
        </w:rPr>
        <w:t>3</w:t>
      </w:r>
      <w:r>
        <w:t>:</w:t>
      </w:r>
      <w:r>
        <w:tab/>
        <w:t>3 dB beamwidth in the vertical plane (degrees)</w:t>
      </w:r>
    </w:p>
    <w:p w:rsidR="00C8398E" w:rsidRDefault="00C8398E" w:rsidP="00C8398E">
      <w:pPr>
        <w:pStyle w:val="Equationlegend"/>
      </w:pPr>
      <w:r>
        <w:tab/>
      </w:r>
      <w:r>
        <w:sym w:font="Symbol" w:char="F06A"/>
      </w:r>
      <w:r>
        <w:t>:</w:t>
      </w:r>
      <w:r>
        <w:tab/>
        <w:t>Azimuth angle relative to the angle of maximum gain (degrees)</w:t>
      </w:r>
    </w:p>
    <w:p w:rsidR="00C8398E" w:rsidRDefault="00C8398E" w:rsidP="00C8398E">
      <w:pPr>
        <w:pStyle w:val="Equationlegend"/>
      </w:pPr>
      <w:r>
        <w:tab/>
      </w:r>
      <w:r>
        <w:sym w:font="Symbol" w:char="F06A"/>
      </w:r>
      <w:r>
        <w:rPr>
          <w:vertAlign w:val="subscript"/>
        </w:rPr>
        <w:t>3</w:t>
      </w:r>
      <w:r>
        <w:t>:</w:t>
      </w:r>
      <w:r>
        <w:tab/>
        <w:t>3 dB beamwidth in the azimuth plane (degrees).</w:t>
      </w:r>
    </w:p>
    <w:p w:rsidR="00C8398E" w:rsidRPr="0027251C" w:rsidRDefault="00C8398E" w:rsidP="00C8398E">
      <w:pPr>
        <w:rPr>
          <w:lang w:val="en-GB"/>
        </w:rPr>
      </w:pPr>
      <w:r w:rsidRPr="0027251C">
        <w:rPr>
          <w:lang w:val="en-GB"/>
        </w:rPr>
        <w:t>Antenna patterns using these formulas for the five radar types defined in Table 1 are presented in Annex 2.</w:t>
      </w:r>
    </w:p>
    <w:p w:rsidR="00C8398E" w:rsidRPr="0027251C" w:rsidRDefault="00C8398E" w:rsidP="00C8398E">
      <w:pPr>
        <w:pStyle w:val="Heading1"/>
        <w:rPr>
          <w:lang w:val="en-GB"/>
        </w:rPr>
      </w:pPr>
      <w:r w:rsidRPr="0027251C">
        <w:rPr>
          <w:lang w:val="en-GB"/>
        </w:rPr>
        <w:t>4</w:t>
      </w:r>
      <w:r w:rsidRPr="0027251C">
        <w:rPr>
          <w:lang w:val="en-GB"/>
        </w:rPr>
        <w:tab/>
        <w:t xml:space="preserve">Operational characteristics of automotive radar systems operating in the frequency bands 76-77 GHz and 77-81 GHz </w:t>
      </w:r>
    </w:p>
    <w:p w:rsidR="00C8398E" w:rsidRPr="0027251C" w:rsidRDefault="00C8398E" w:rsidP="00C8398E">
      <w:pPr>
        <w:rPr>
          <w:lang w:val="en-GB"/>
        </w:rPr>
      </w:pPr>
      <w:r w:rsidRPr="0027251C">
        <w:rPr>
          <w:lang w:val="en-GB"/>
        </w:rPr>
        <w:t>Automotive radar applications are evolving from providing additional comfort functions, such as ACC and CA radar</w:t>
      </w:r>
      <w:r w:rsidRPr="0027251C">
        <w:rPr>
          <w:lang w:val="en-GB" w:eastAsia="ja-JP"/>
        </w:rPr>
        <w:t>,</w:t>
      </w:r>
      <w:r w:rsidRPr="0027251C">
        <w:rPr>
          <w:lang w:val="en-GB"/>
        </w:rPr>
        <w:t xml:space="preserve"> to functions that significantly add to the passive and active vehicle safety. This requires systems that can detect objects in the close proximity (in the order of 15 metres) of the vehicle, such as pedestrians or bicycles. Such applications require radar sensors that have a target separation capability of less than 10 centimetres. Radar sensors that provide this resolution require an operating bandwidth of 4 GHz.</w:t>
      </w:r>
    </w:p>
    <w:p w:rsidR="00C8398E" w:rsidRPr="0027251C" w:rsidRDefault="00C8398E" w:rsidP="00C8398E">
      <w:pPr>
        <w:rPr>
          <w:lang w:val="en-GB"/>
        </w:rPr>
      </w:pPr>
      <w:r w:rsidRPr="0027251C">
        <w:rPr>
          <w:lang w:val="en-GB"/>
        </w:rPr>
        <w:t>Radar A type sensors detect the relevant road traffic in order to adapt the speed of the vehicle to that of other vehicles ahead. To satisfy the demands for increased car safety, and depending on the application, one or more radar A type systems may be combined with additional radar B, C, D</w:t>
      </w:r>
      <w:r w:rsidRPr="0027251C">
        <w:rPr>
          <w:lang w:val="en-GB" w:eastAsia="ja-JP"/>
        </w:rPr>
        <w:t xml:space="preserve"> and E</w:t>
      </w:r>
      <w:r w:rsidRPr="0027251C">
        <w:rPr>
          <w:lang w:val="en-GB"/>
        </w:rPr>
        <w:t xml:space="preserve"> type sensors in one vehicle. Based on the sensor information, the data processing system in the vehicle will trigger the appropriate radar.</w:t>
      </w:r>
    </w:p>
    <w:p w:rsidR="00C8398E" w:rsidRPr="0027251C" w:rsidRDefault="00C8398E" w:rsidP="00C8398E">
      <w:pPr>
        <w:rPr>
          <w:lang w:val="en-GB"/>
        </w:rPr>
      </w:pPr>
      <w:r w:rsidRPr="0027251C">
        <w:rPr>
          <w:lang w:val="en-GB"/>
        </w:rPr>
        <w:lastRenderedPageBreak/>
        <w:t>Radar B, C, D</w:t>
      </w:r>
      <w:r w:rsidRPr="0027251C">
        <w:rPr>
          <w:lang w:val="en-GB" w:eastAsia="ja-JP"/>
        </w:rPr>
        <w:t xml:space="preserve"> and E</w:t>
      </w:r>
      <w:r w:rsidRPr="0027251C">
        <w:rPr>
          <w:lang w:val="en-GB"/>
        </w:rPr>
        <w:t xml:space="preserve"> type sensors cover the close proximity of a vehicle and will add additional active and passive safety functions, e.g. autonomous emergency braking, active blind spot assistance and lane change assistance.</w:t>
      </w:r>
    </w:p>
    <w:p w:rsidR="00C8398E" w:rsidRPr="0027251C" w:rsidRDefault="00C8398E" w:rsidP="00C8398E">
      <w:pPr>
        <w:pStyle w:val="Heading1"/>
        <w:rPr>
          <w:lang w:val="en-GB"/>
        </w:rPr>
      </w:pPr>
      <w:r w:rsidRPr="0027251C">
        <w:rPr>
          <w:lang w:val="en-GB"/>
        </w:rPr>
        <w:t>5</w:t>
      </w:r>
      <w:r w:rsidRPr="0027251C">
        <w:rPr>
          <w:lang w:val="en-GB"/>
        </w:rPr>
        <w:tab/>
        <w:t>Protection criteria</w:t>
      </w:r>
    </w:p>
    <w:p w:rsidR="00C8398E" w:rsidRPr="0027251C" w:rsidRDefault="00C8398E" w:rsidP="00C8398E">
      <w:pPr>
        <w:rPr>
          <w:lang w:val="en-GB"/>
        </w:rPr>
      </w:pPr>
      <w:r w:rsidRPr="0027251C">
        <w:rPr>
          <w:lang w:val="en-GB"/>
        </w:rPr>
        <w:t xml:space="preserve">The desensitizing effect on radars operated in this frequency band from other services of a continuous wave, frequency modulated continuous wave (FMCW) or noise-like type modulation is predictably related to its intensity. In any azimuth sectors in which such interference arrives, its power spectral density can simply be added to the power spectral density of the radar receiver thermal noise, to within a reasonable approximation. If the power spectral density of the radar-receiver noise in the absence of interference is denoted by </w:t>
      </w:r>
      <w:r w:rsidRPr="0027251C">
        <w:rPr>
          <w:i/>
          <w:lang w:val="en-GB"/>
        </w:rPr>
        <w:t>N</w:t>
      </w:r>
      <w:r w:rsidRPr="0027251C">
        <w:rPr>
          <w:vertAlign w:val="subscript"/>
          <w:lang w:val="en-GB"/>
        </w:rPr>
        <w:t>0</w:t>
      </w:r>
      <w:r w:rsidRPr="0027251C">
        <w:rPr>
          <w:lang w:val="en-GB"/>
        </w:rPr>
        <w:t xml:space="preserve"> and that of noise-like interference by </w:t>
      </w:r>
      <w:r w:rsidRPr="0027251C">
        <w:rPr>
          <w:i/>
          <w:lang w:val="en-GB"/>
        </w:rPr>
        <w:t>I</w:t>
      </w:r>
      <w:r w:rsidRPr="0027251C">
        <w:rPr>
          <w:vertAlign w:val="subscript"/>
          <w:lang w:val="en-GB"/>
        </w:rPr>
        <w:t>0</w:t>
      </w:r>
      <w:r w:rsidRPr="0027251C">
        <w:rPr>
          <w:lang w:val="en-GB"/>
        </w:rPr>
        <w:t xml:space="preserve">, the resultant effective noise power spectral density becomes simply </w:t>
      </w:r>
      <w:r w:rsidRPr="0027251C">
        <w:rPr>
          <w:i/>
          <w:lang w:val="en-GB"/>
        </w:rPr>
        <w:t>I</w:t>
      </w:r>
      <w:r w:rsidRPr="0027251C">
        <w:rPr>
          <w:vertAlign w:val="subscript"/>
          <w:lang w:val="en-GB"/>
        </w:rPr>
        <w:t>0</w:t>
      </w:r>
      <w:r w:rsidRPr="0027251C">
        <w:rPr>
          <w:lang w:val="en-GB"/>
        </w:rPr>
        <w:t> + </w:t>
      </w:r>
      <w:r w:rsidRPr="0027251C">
        <w:rPr>
          <w:i/>
          <w:lang w:val="en-GB"/>
        </w:rPr>
        <w:t>N</w:t>
      </w:r>
      <w:r w:rsidRPr="0027251C">
        <w:rPr>
          <w:vertAlign w:val="subscript"/>
          <w:lang w:val="en-GB"/>
        </w:rPr>
        <w:t>0</w:t>
      </w:r>
      <w:r w:rsidRPr="0027251C">
        <w:rPr>
          <w:lang w:val="en-GB"/>
        </w:rPr>
        <w:t>. An increase of about 1 dB for the automotive radars would constitute significant degradation. Such an increase corresponds to an (</w:t>
      </w:r>
      <w:r w:rsidRPr="0027251C">
        <w:rPr>
          <w:i/>
          <w:lang w:val="en-GB"/>
        </w:rPr>
        <w:t>I</w:t>
      </w:r>
      <w:r w:rsidRPr="0027251C">
        <w:rPr>
          <w:lang w:val="en-GB"/>
        </w:rPr>
        <w:t> + </w:t>
      </w:r>
      <w:r w:rsidRPr="0027251C">
        <w:rPr>
          <w:i/>
          <w:lang w:val="en-GB"/>
        </w:rPr>
        <w:t>N</w:t>
      </w:r>
      <w:r w:rsidRPr="0027251C">
        <w:rPr>
          <w:rFonts w:ascii="Tms Rmn" w:hAnsi="Tms Rmn"/>
          <w:iCs/>
          <w:sz w:val="12"/>
          <w:lang w:val="en-GB"/>
        </w:rPr>
        <w:t> </w:t>
      </w:r>
      <w:r w:rsidRPr="0027251C">
        <w:rPr>
          <w:lang w:val="en-GB"/>
        </w:rPr>
        <w:t>)/</w:t>
      </w:r>
      <w:r w:rsidRPr="0027251C">
        <w:rPr>
          <w:i/>
          <w:lang w:val="en-GB"/>
        </w:rPr>
        <w:t>N</w:t>
      </w:r>
      <w:r w:rsidRPr="0027251C">
        <w:rPr>
          <w:lang w:val="en-GB"/>
        </w:rPr>
        <w:t xml:space="preserve"> ratio of 1.26, or a protection criterion </w:t>
      </w:r>
      <w:r w:rsidRPr="0027251C">
        <w:rPr>
          <w:i/>
          <w:lang w:val="en-GB"/>
        </w:rPr>
        <w:t>I</w:t>
      </w:r>
      <w:r w:rsidRPr="0027251C">
        <w:rPr>
          <w:lang w:val="en-GB"/>
        </w:rPr>
        <w:t>/</w:t>
      </w:r>
      <w:r w:rsidRPr="0027251C">
        <w:rPr>
          <w:i/>
          <w:lang w:val="en-GB"/>
        </w:rPr>
        <w:t>N</w:t>
      </w:r>
      <w:r w:rsidRPr="0027251C">
        <w:rPr>
          <w:lang w:val="en-GB"/>
        </w:rPr>
        <w:t xml:space="preserve"> of about </w:t>
      </w:r>
      <w:r>
        <w:sym w:font="Symbol" w:char="F02D"/>
      </w:r>
      <w:r w:rsidRPr="0027251C">
        <w:rPr>
          <w:lang w:val="en-GB"/>
        </w:rPr>
        <w:t>6 dB.</w:t>
      </w:r>
    </w:p>
    <w:p w:rsidR="00C8398E" w:rsidRDefault="00C8398E" w:rsidP="00C8398E">
      <w:pPr>
        <w:rPr>
          <w:lang w:val="en-GB"/>
        </w:rPr>
      </w:pPr>
      <w:r w:rsidRPr="0027251C">
        <w:rPr>
          <w:lang w:val="en-GB"/>
        </w:rPr>
        <w:t>The aggregation factor can be very substantial in the case of certain communication systems, in which a great number of stations can be deployed. 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w:t>
      </w:r>
    </w:p>
    <w:p w:rsidR="00685146" w:rsidRPr="0027251C" w:rsidRDefault="00685146" w:rsidP="00685146">
      <w:pPr>
        <w:rPr>
          <w:lang w:val="en-GB"/>
        </w:rPr>
      </w:pPr>
    </w:p>
    <w:p w:rsidR="00C8398E" w:rsidRDefault="00C8398E" w:rsidP="00685146">
      <w:pPr>
        <w:pStyle w:val="AnnexNoTitle"/>
        <w:rPr>
          <w:rFonts w:eastAsia="SimSun"/>
          <w:lang w:val="en-GB" w:eastAsia="ja-JP"/>
        </w:rPr>
      </w:pPr>
      <w:r>
        <w:rPr>
          <w:lang w:val="en-GB"/>
        </w:rPr>
        <w:lastRenderedPageBreak/>
        <w:t>Annex 2</w:t>
      </w:r>
      <w:r>
        <w:rPr>
          <w:lang w:val="en-GB"/>
        </w:rPr>
        <w:br/>
      </w:r>
      <w:r>
        <w:rPr>
          <w:lang w:val="en-GB"/>
        </w:rPr>
        <w:br/>
      </w:r>
      <w:r>
        <w:rPr>
          <w:lang w:val="en-GB" w:eastAsia="ja-JP"/>
        </w:rPr>
        <w:t>Antenna pattern examples in transmission for radar types</w:t>
      </w:r>
      <w:r>
        <w:rPr>
          <w:lang w:val="en-GB" w:eastAsia="ja-JP"/>
        </w:rPr>
        <w:br/>
        <w:t xml:space="preserve">defined in Table 1 </w:t>
      </w:r>
    </w:p>
    <w:p w:rsidR="00C8398E" w:rsidRDefault="00A5233D" w:rsidP="00685146">
      <w:pPr>
        <w:pStyle w:val="Figure"/>
        <w:rPr>
          <w:lang w:val="en-GB"/>
        </w:rPr>
      </w:pPr>
      <w:r>
        <w:object w:dxaOrig="5250" w:dyaOrig="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326.25pt;mso-position-vertical:absolute" o:ole="">
            <v:imagedata r:id="rId16" o:title=""/>
          </v:shape>
          <o:OLEObject Type="Embed" ProgID="CorelDraw.Graphic.16" ShapeID="_x0000_i1025" DrawAspect="Content" ObjectID="_1579581386" r:id="rId17"/>
        </w:object>
      </w:r>
    </w:p>
    <w:p w:rsidR="00C8398E" w:rsidRDefault="00A5233D" w:rsidP="00260CFC">
      <w:pPr>
        <w:jc w:val="center"/>
      </w:pPr>
      <w:r>
        <w:object w:dxaOrig="5250" w:dyaOrig="4599">
          <v:shape id="_x0000_i1026" type="#_x0000_t75" style="width:356.25pt;height:311.25pt" o:ole="">
            <v:imagedata r:id="rId18" o:title=""/>
          </v:shape>
          <o:OLEObject Type="Embed" ProgID="CorelDraw.Graphic.16" ShapeID="_x0000_i1026" DrawAspect="Content" ObjectID="_1579581387" r:id="rId19"/>
        </w:object>
      </w:r>
    </w:p>
    <w:p w:rsidR="00C8398E" w:rsidRDefault="00A5233D" w:rsidP="00685146">
      <w:pPr>
        <w:pStyle w:val="Figure"/>
      </w:pPr>
      <w:r>
        <w:object w:dxaOrig="5250" w:dyaOrig="4599">
          <v:shape id="_x0000_i1027" type="#_x0000_t75" style="width:356.25pt;height:311.25pt" o:ole="">
            <v:imagedata r:id="rId20" o:title=""/>
          </v:shape>
          <o:OLEObject Type="Embed" ProgID="CorelDraw.Graphic.16" ShapeID="_x0000_i1027" DrawAspect="Content" ObjectID="_1579581388" r:id="rId21"/>
        </w:object>
      </w:r>
    </w:p>
    <w:p w:rsidR="00C8398E" w:rsidRDefault="00C8398E" w:rsidP="00C8398E"/>
    <w:p w:rsidR="00C8398E" w:rsidRDefault="00A5233D" w:rsidP="00A5233D">
      <w:pPr>
        <w:pStyle w:val="Figure"/>
        <w:rPr>
          <w:lang w:eastAsia="zh-CN"/>
        </w:rPr>
      </w:pPr>
      <w:r>
        <w:object w:dxaOrig="5250" w:dyaOrig="4599">
          <v:shape id="_x0000_i1028" type="#_x0000_t75" style="width:356.25pt;height:311.25pt" o:ole="">
            <v:imagedata r:id="rId22" o:title=""/>
          </v:shape>
          <o:OLEObject Type="Embed" ProgID="CorelDraw.Graphic.16" ShapeID="_x0000_i1028" DrawAspect="Content" ObjectID="_1579581389" r:id="rId23"/>
        </w:object>
      </w:r>
    </w:p>
    <w:p w:rsidR="005762B2" w:rsidRPr="00563597" w:rsidRDefault="005762B2" w:rsidP="0027251C">
      <w:pPr>
        <w:rPr>
          <w:lang w:val="en-US"/>
        </w:rPr>
      </w:pPr>
    </w:p>
    <w:p w:rsidR="00A6617B" w:rsidRPr="00A6617B" w:rsidRDefault="00A6617B" w:rsidP="0027251C">
      <w:pPr>
        <w:pStyle w:val="Line"/>
      </w:pPr>
    </w:p>
    <w:sectPr w:rsidR="00A6617B" w:rsidRPr="00A6617B" w:rsidSect="00FC61EC">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719" w:rsidRDefault="00961719">
      <w:r>
        <w:separator/>
      </w:r>
    </w:p>
  </w:endnote>
  <w:endnote w:type="continuationSeparator" w:id="0">
    <w:p w:rsidR="00961719" w:rsidRDefault="0096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719" w:rsidRDefault="00961719">
      <w:r>
        <w:separator/>
      </w:r>
    </w:p>
  </w:footnote>
  <w:footnote w:type="continuationSeparator" w:id="0">
    <w:p w:rsidR="00961719" w:rsidRDefault="00961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Default="00961719">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Default="00961719" w:rsidP="00961719">
    <w:pPr>
      <w:ind w:right="360" w:firstLine="360"/>
    </w:pPr>
    <w:r>
      <w:rPr>
        <w:noProof/>
        <w:lang w:val="en-GB" w:eastAsia="en-GB"/>
      </w:rPr>
      <w:drawing>
        <wp:anchor distT="0" distB="0" distL="114300" distR="114300" simplePos="0" relativeHeight="251659264" behindDoc="1" locked="0" layoutInCell="1" allowOverlap="1" wp14:anchorId="17B3854F" wp14:editId="5D0DDA6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Pr="00FC42AF" w:rsidRDefault="00961719" w:rsidP="00961719">
    <w:pPr>
      <w:tabs>
        <w:tab w:val="clear" w:pos="794"/>
        <w:tab w:val="clear" w:pos="1191"/>
        <w:tab w:val="clear" w:pos="1588"/>
        <w:tab w:val="clear" w:pos="1985"/>
        <w:tab w:val="center" w:pos="4848"/>
        <w:tab w:val="center" w:pos="9696"/>
      </w:tabs>
      <w:jc w:val="left"/>
    </w:pPr>
    <w:r w:rsidRPr="00FC42AF">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6BD5">
      <w:rPr>
        <w:b/>
        <w:bCs/>
        <w:noProof/>
      </w:rPr>
      <w:t>ITU-R  M.2057-1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Pr="00FC42AF" w:rsidRDefault="00961719" w:rsidP="0096171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F6BD5">
      <w:rPr>
        <w:rStyle w:val="PageNumber"/>
        <w:b/>
        <w:bCs/>
        <w:noProof/>
      </w:rPr>
      <w:t>2</w:t>
    </w:r>
    <w:r>
      <w:rPr>
        <w:rStyle w:val="PageNumber"/>
        <w:b/>
        <w:bCs/>
      </w:rPr>
      <w:fldChar w:fldCharType="end"/>
    </w:r>
    <w:r w:rsidRPr="00FC42AF">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6BD5">
      <w:rPr>
        <w:b/>
        <w:bCs/>
        <w:noProof/>
      </w:rPr>
      <w:t>ITU-R  M.2057-1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Pr="008813CB" w:rsidRDefault="00961719" w:rsidP="008813CB">
    <w:pPr>
      <w:tabs>
        <w:tab w:val="clear" w:pos="794"/>
        <w:tab w:val="clear" w:pos="1191"/>
        <w:tab w:val="clear" w:pos="1588"/>
        <w:tab w:val="clear" w:pos="1985"/>
        <w:tab w:val="center" w:pos="4848"/>
        <w:tab w:val="center" w:pos="9696"/>
      </w:tabs>
      <w:jc w:val="left"/>
    </w:pPr>
    <w:r w:rsidRPr="00FC42AF">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6BD5">
      <w:rPr>
        <w:b/>
        <w:bCs/>
        <w:noProof/>
      </w:rPr>
      <w:t>ITU-R  M.2057-1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F6B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Pr="00FC42AF" w:rsidRDefault="00961719" w:rsidP="008813CB">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F6BD5">
      <w:rPr>
        <w:rStyle w:val="PageNumber"/>
        <w:b/>
        <w:bCs/>
        <w:noProof/>
      </w:rPr>
      <w:t>4</w:t>
    </w:r>
    <w:r>
      <w:rPr>
        <w:rStyle w:val="PageNumber"/>
        <w:b/>
        <w:bCs/>
      </w:rPr>
      <w:fldChar w:fldCharType="end"/>
    </w:r>
    <w:r w:rsidRPr="00FC42AF">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6BD5">
      <w:rPr>
        <w:b/>
        <w:bCs/>
        <w:noProof/>
      </w:rPr>
      <w:t>ITU-R  M.2057-1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Pr="008813CB" w:rsidRDefault="00961719" w:rsidP="008813CB">
    <w:pPr>
      <w:tabs>
        <w:tab w:val="clear" w:pos="794"/>
        <w:tab w:val="clear" w:pos="1191"/>
        <w:tab w:val="clear" w:pos="1588"/>
        <w:tab w:val="clear" w:pos="1985"/>
        <w:tab w:val="center" w:pos="7088"/>
        <w:tab w:val="center" w:pos="14034"/>
      </w:tabs>
      <w:jc w:val="left"/>
    </w:pPr>
    <w:r w:rsidRPr="00FC42AF">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F6BD5">
      <w:rPr>
        <w:b/>
        <w:bCs/>
        <w:noProof/>
      </w:rPr>
      <w:t>ITU-R  M.2057-1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F6BD5">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Default="0096171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F6BD5">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F6BD5" w:rsidRPr="00EF6BD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F6BD5">
      <w:rPr>
        <w:b/>
        <w:bCs/>
        <w:noProof/>
      </w:rPr>
      <w:t>ITU-R  M.2057-1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719" w:rsidRDefault="00961719">
    <w:pPr>
      <w:pStyle w:val="Header"/>
    </w:pPr>
    <w:r>
      <w:tab/>
    </w:r>
    <w:r w:rsidR="00EF6BD5">
      <w:fldChar w:fldCharType="begin"/>
    </w:r>
    <w:r w:rsidR="00EF6BD5">
      <w:instrText xml:space="preserve"> DOCPROPERTY "Header" \* MERGEFORMAT </w:instrText>
    </w:r>
    <w:r w:rsidR="00EF6BD5">
      <w:fldChar w:fldCharType="separate"/>
    </w:r>
    <w:r w:rsidR="00EF6BD5" w:rsidRPr="00EF6BD5">
      <w:rPr>
        <w:b/>
        <w:bCs/>
      </w:rPr>
      <w:t xml:space="preserve">Rec. </w:t>
    </w:r>
    <w:r w:rsidR="00EF6BD5">
      <w:rPr>
        <w:b/>
        <w:bCs/>
      </w:rPr>
      <w:fldChar w:fldCharType="end"/>
    </w:r>
    <w:r>
      <w:rPr>
        <w:b/>
        <w:bCs/>
      </w:rPr>
      <w:t xml:space="preserve"> </w:t>
    </w:r>
    <w:r>
      <w:rPr>
        <w:b/>
        <w:bCs/>
      </w:rPr>
      <w:fldChar w:fldCharType="begin"/>
    </w:r>
    <w:r>
      <w:rPr>
        <w:b/>
        <w:bCs/>
      </w:rPr>
      <w:instrText>styleref href</w:instrText>
    </w:r>
    <w:r>
      <w:rPr>
        <w:b/>
        <w:bCs/>
      </w:rPr>
      <w:fldChar w:fldCharType="separate"/>
    </w:r>
    <w:r w:rsidR="00EF6BD5">
      <w:rPr>
        <w:b/>
        <w:bCs/>
        <w:noProof/>
      </w:rPr>
      <w:t>ITU-R  M.2057-1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F6BD5">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2B2"/>
    <w:rsid w:val="001514F5"/>
    <w:rsid w:val="00217EBF"/>
    <w:rsid w:val="00242AEE"/>
    <w:rsid w:val="00260CFC"/>
    <w:rsid w:val="0027251C"/>
    <w:rsid w:val="002D76C4"/>
    <w:rsid w:val="00330A79"/>
    <w:rsid w:val="0052529D"/>
    <w:rsid w:val="005762B2"/>
    <w:rsid w:val="005C0DE7"/>
    <w:rsid w:val="005F3D66"/>
    <w:rsid w:val="00607D68"/>
    <w:rsid w:val="00685146"/>
    <w:rsid w:val="00731A38"/>
    <w:rsid w:val="007468DA"/>
    <w:rsid w:val="008813CB"/>
    <w:rsid w:val="00961719"/>
    <w:rsid w:val="009E00A8"/>
    <w:rsid w:val="00A5233D"/>
    <w:rsid w:val="00A6617B"/>
    <w:rsid w:val="00AB0DC8"/>
    <w:rsid w:val="00B44E24"/>
    <w:rsid w:val="00BC2F50"/>
    <w:rsid w:val="00C8398E"/>
    <w:rsid w:val="00DF4176"/>
    <w:rsid w:val="00EF6BD5"/>
    <w:rsid w:val="00FC61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15:docId w15:val="{9D4ED582-4DC8-4723-B45F-46575AC17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1E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C61E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uiPriority w:val="99"/>
    <w:rsid w:val="00FC61E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5762B2"/>
    <w:rPr>
      <w:b/>
      <w:sz w:val="22"/>
      <w:lang w:val="fr-FR" w:eastAsia="en-US"/>
    </w:rPr>
  </w:style>
  <w:style w:type="character" w:customStyle="1" w:styleId="TabletextChar">
    <w:name w:val="Table_text Char"/>
    <w:basedOn w:val="DefaultParagraphFont"/>
    <w:link w:val="Tabletext"/>
    <w:uiPriority w:val="99"/>
    <w:locked/>
    <w:rsid w:val="00FC61EC"/>
    <w:rPr>
      <w:sz w:val="22"/>
      <w:lang w:val="fr-FR" w:eastAsia="en-US"/>
    </w:rPr>
  </w:style>
  <w:style w:type="character" w:styleId="Hyperlink">
    <w:name w:val="Hyperlink"/>
    <w:basedOn w:val="DefaultParagraphFont"/>
    <w:rsid w:val="005762B2"/>
    <w:rPr>
      <w:color w:val="0000FF"/>
      <w:u w:val="single"/>
    </w:rPr>
  </w:style>
  <w:style w:type="character" w:customStyle="1" w:styleId="NormalaftertitleChar">
    <w:name w:val="Normal_after_title Char"/>
    <w:basedOn w:val="DefaultParagraphFont"/>
    <w:link w:val="Normalaftertitle"/>
    <w:locked/>
    <w:rsid w:val="00C8398E"/>
    <w:rPr>
      <w:sz w:val="24"/>
      <w:lang w:val="fr-FR" w:eastAsia="en-US"/>
    </w:rPr>
  </w:style>
  <w:style w:type="character" w:customStyle="1" w:styleId="CallChar">
    <w:name w:val="Call Char"/>
    <w:basedOn w:val="DefaultParagraphFont"/>
    <w:link w:val="Call"/>
    <w:uiPriority w:val="99"/>
    <w:locked/>
    <w:rsid w:val="00C8398E"/>
    <w:rPr>
      <w:i/>
      <w:sz w:val="24"/>
      <w:lang w:val="fr-FR" w:eastAsia="en-US"/>
    </w:rPr>
  </w:style>
  <w:style w:type="character" w:customStyle="1" w:styleId="EquationlegendChar">
    <w:name w:val="Equation_legend Char"/>
    <w:link w:val="Equationlegend"/>
    <w:locked/>
    <w:rsid w:val="00C8398E"/>
    <w:rPr>
      <w:sz w:val="24"/>
      <w:lang w:eastAsia="en-US"/>
    </w:rPr>
  </w:style>
  <w:style w:type="character" w:customStyle="1" w:styleId="TableNo0">
    <w:name w:val="Table_No Знак"/>
    <w:link w:val="TableNo"/>
    <w:locked/>
    <w:rsid w:val="00C8398E"/>
    <w:rPr>
      <w:sz w:val="24"/>
      <w:lang w:val="fr-FR" w:eastAsia="en-US"/>
    </w:rPr>
  </w:style>
  <w:style w:type="character" w:customStyle="1" w:styleId="Tabletitle0">
    <w:name w:val="Table_title Знак"/>
    <w:link w:val="Tabletitle"/>
    <w:locked/>
    <w:rsid w:val="00C8398E"/>
    <w:rPr>
      <w:b/>
      <w:sz w:val="24"/>
      <w:lang w:val="fr-FR" w:eastAsia="en-US"/>
    </w:rPr>
  </w:style>
  <w:style w:type="character" w:customStyle="1" w:styleId="HeadingbChar">
    <w:name w:val="Heading_b Char"/>
    <w:basedOn w:val="DefaultParagraphFont"/>
    <w:link w:val="Headingb"/>
    <w:locked/>
    <w:rsid w:val="00C8398E"/>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04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http://www.itu.int/rec/R-REC-M.1452/en"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3.bin"/><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oleObject" Target="embeddings/oleObject1.bin"/><Relationship Id="rId25" Type="http://schemas.openxmlformats.org/officeDocument/2006/relationships/header" Target="header9.xml"/><Relationship Id="rId2" Type="http://schemas.openxmlformats.org/officeDocument/2006/relationships/settings" Target="settings.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8.xml"/><Relationship Id="rId5"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oleObject" Target="embeddings/oleObject4.bin"/><Relationship Id="rId10" Type="http://schemas.openxmlformats.org/officeDocument/2006/relationships/hyperlink" Target="http://www.itu.int/publ/R-REC/en" TargetMode="External"/><Relationship Id="rId19"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image" Target="media/image5.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1252</TotalTime>
  <Pages>1</Pages>
  <Words>1989</Words>
  <Characters>11809</Characters>
  <Application>Microsoft Office Word</Application>
  <DocSecurity>0</DocSecurity>
  <Lines>357</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2018-02-08T06:48:00Z</cp:lastPrinted>
  <dcterms:created xsi:type="dcterms:W3CDTF">2018-01-23T09:59:00Z</dcterms:created>
  <dcterms:modified xsi:type="dcterms:W3CDTF">2018-02-08T06:48:00Z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