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292" w:rsidRPr="00575CB8" w:rsidRDefault="00042292" w:rsidP="00042292">
      <w:pPr>
        <w:rPr>
          <w:lang w:val="en-US"/>
        </w:rPr>
      </w:pPr>
    </w:p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42292" w:rsidRPr="0021735B" w:rsidTr="00A07AEB">
        <w:tc>
          <w:tcPr>
            <w:tcW w:w="10089" w:type="dxa"/>
          </w:tcPr>
          <w:p w:rsidR="00042292" w:rsidRPr="00A07AEB" w:rsidRDefault="00042292" w:rsidP="00A07A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42292" w:rsidRPr="00A07AEB" w:rsidRDefault="00042292" w:rsidP="000E0AC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56762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 w:rsidR="000E0AC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2057-0</w:t>
            </w:r>
          </w:p>
          <w:p w:rsidR="00042292" w:rsidRPr="00A07AEB" w:rsidRDefault="00042292" w:rsidP="0021735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57474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02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0E0AC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2014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42292" w:rsidRPr="0021735B" w:rsidTr="00A07AEB">
        <w:tc>
          <w:tcPr>
            <w:tcW w:w="10089" w:type="dxa"/>
          </w:tcPr>
          <w:p w:rsidR="00567624" w:rsidRPr="0010336F" w:rsidRDefault="00567624" w:rsidP="0056762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Pr="0010336F" w:rsidRDefault="0021735B" w:rsidP="002173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Default="00F46AC6" w:rsidP="00F46AC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F46AC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Características del sistema de radares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F46AC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en automóviles que funcionan </w:t>
            </w:r>
            <w:r w:rsidRPr="00F46AC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 xml:space="preserve">en la banda de frecuencias 76-81 GHz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F46AC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para </w:t>
            </w:r>
            <w:proofErr w:type="spellStart"/>
            <w:r w:rsidRPr="00F46AC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aplicacionesde</w:t>
            </w:r>
            <w:proofErr w:type="spellEnd"/>
            <w:r w:rsidRPr="00F46AC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sistemas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F46AC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transporte inteligentes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:rsidR="00042292" w:rsidRPr="00A07AEB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42292" w:rsidRPr="0021735B" w:rsidTr="00A07AEB">
        <w:tc>
          <w:tcPr>
            <w:tcW w:w="10089" w:type="dxa"/>
          </w:tcPr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042292" w:rsidRPr="00A07AEB" w:rsidRDefault="00042292" w:rsidP="00A07A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Servicios móviles, de </w:t>
            </w:r>
            <w:proofErr w:type="spellStart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radiodeterminación</w:t>
            </w:r>
            <w:proofErr w:type="spellEnd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,</w:t>
            </w:r>
            <w:r w:rsidR="00410F5B"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42292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2292" w:rsidRPr="006C718C" w:rsidRDefault="00042292" w:rsidP="0004229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42292" w:rsidRPr="006C718C" w:rsidRDefault="00042292" w:rsidP="00042292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42292" w:rsidRPr="006C718C" w:rsidRDefault="00042292" w:rsidP="00042292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42292" w:rsidRPr="00021E8A" w:rsidRDefault="00042292" w:rsidP="00042292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042292" w:rsidRPr="00021E8A" w:rsidRDefault="00042292" w:rsidP="00042292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42292" w:rsidRPr="0021735B" w:rsidTr="00CB1354">
        <w:tc>
          <w:tcPr>
            <w:tcW w:w="9360" w:type="dxa"/>
            <w:gridSpan w:val="2"/>
          </w:tcPr>
          <w:p w:rsidR="00042292" w:rsidRPr="00021E8A" w:rsidRDefault="00042292" w:rsidP="00CB135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42292" w:rsidRPr="00763D08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42292" w:rsidRPr="00036EE3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042292" w:rsidRPr="0021735B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042292" w:rsidRPr="00021E8A" w:rsidRDefault="00D131B8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042292" w:rsidRPr="00ED2695" w:rsidTr="00CB1354">
        <w:tc>
          <w:tcPr>
            <w:tcW w:w="1140" w:type="dxa"/>
            <w:shd w:val="clear" w:color="auto" w:fill="auto"/>
          </w:tcPr>
          <w:p w:rsidR="00042292" w:rsidRPr="00ED2695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042292" w:rsidRPr="0021735B" w:rsidTr="00CB1354">
        <w:tc>
          <w:tcPr>
            <w:tcW w:w="1140" w:type="dxa"/>
            <w:shd w:val="clear" w:color="auto" w:fill="F3F3F3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42292" w:rsidRPr="001240BC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 xml:space="preserve">Servicios móviles, de </w:t>
            </w:r>
            <w:proofErr w:type="spellStart"/>
            <w:r w:rsidRPr="001240BC">
              <w:rPr>
                <w:bCs/>
                <w:color w:val="000080"/>
                <w:sz w:val="20"/>
                <w:lang w:val="es-ES_tradnl"/>
              </w:rPr>
              <w:t>radiodeterminación</w:t>
            </w:r>
            <w:proofErr w:type="spellEnd"/>
            <w:r w:rsidRPr="001240BC">
              <w:rPr>
                <w:bCs/>
                <w:color w:val="000080"/>
                <w:sz w:val="20"/>
                <w:lang w:val="es-ES_tradnl"/>
              </w:rPr>
              <w:t>, de aficionados y otros servicios por satélite conexos</w:t>
            </w:r>
          </w:p>
        </w:tc>
      </w:tr>
      <w:tr w:rsidR="00042292" w:rsidRPr="0021735B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42292" w:rsidRPr="00021E8A" w:rsidRDefault="00042292" w:rsidP="00C411A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Radioastronomía</w:t>
            </w:r>
            <w:proofErr w:type="spellEnd"/>
          </w:p>
        </w:tc>
      </w:tr>
      <w:tr w:rsidR="00042292" w:rsidRPr="0021735B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042292" w:rsidRPr="0021735B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21735B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042292" w:rsidRPr="00036EE3" w:rsidRDefault="00042292" w:rsidP="00042292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42292" w:rsidTr="00CB1354">
        <w:tc>
          <w:tcPr>
            <w:tcW w:w="720" w:type="dxa"/>
          </w:tcPr>
          <w:p w:rsidR="00042292" w:rsidRDefault="00042292" w:rsidP="00CB135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42292" w:rsidRPr="0021735B" w:rsidTr="00A07AEB">
        <w:tc>
          <w:tcPr>
            <w:tcW w:w="9360" w:type="dxa"/>
          </w:tcPr>
          <w:p w:rsidR="00042292" w:rsidRPr="00A07AEB" w:rsidRDefault="00042292" w:rsidP="00F90A3D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042292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42292" w:rsidRPr="00763D08" w:rsidRDefault="00042292" w:rsidP="00CF7F63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1B26B3">
        <w:rPr>
          <w:sz w:val="20"/>
          <w:lang w:val="es-ES_tradnl"/>
        </w:rPr>
        <w:t>1</w:t>
      </w:r>
      <w:r w:rsidR="00CF7F63">
        <w:rPr>
          <w:sz w:val="20"/>
          <w:lang w:val="es-ES_tradnl"/>
        </w:rPr>
        <w:t>5</w:t>
      </w:r>
    </w:p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6F3D6E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1B26B3">
        <w:rPr>
          <w:sz w:val="20"/>
          <w:lang w:val="es-ES_tradnl"/>
        </w:rPr>
        <w:t>1</w:t>
      </w:r>
      <w:r w:rsidR="00CF7F63">
        <w:rPr>
          <w:sz w:val="20"/>
          <w:lang w:val="es-ES_tradnl"/>
        </w:rPr>
        <w:t>5</w:t>
      </w:r>
    </w:p>
    <w:p w:rsidR="00042292" w:rsidRPr="006C718C" w:rsidRDefault="00042292" w:rsidP="00042292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042292" w:rsidRPr="006C718C" w:rsidRDefault="00042292" w:rsidP="00042292">
      <w:pPr>
        <w:spacing w:before="160"/>
        <w:rPr>
          <w:i/>
          <w:sz w:val="20"/>
          <w:highlight w:val="yellow"/>
          <w:lang w:val="es-ES_tradnl"/>
        </w:rPr>
        <w:sectPr w:rsidR="00042292" w:rsidRPr="006C718C" w:rsidSect="00CB135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C301B" w:rsidRPr="00D45373" w:rsidRDefault="00574749" w:rsidP="000E0AC9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M</w:t>
      </w:r>
      <w:r w:rsidRPr="0010336F">
        <w:rPr>
          <w:rStyle w:val="href"/>
          <w:lang w:val="es-ES_tradnl"/>
        </w:rPr>
        <w:t>.</w:t>
      </w:r>
      <w:r w:rsidR="000E0AC9">
        <w:rPr>
          <w:rStyle w:val="href"/>
          <w:lang w:val="es-ES_tradnl"/>
        </w:rPr>
        <w:t>2057</w:t>
      </w:r>
      <w:r w:rsidR="006D443F">
        <w:rPr>
          <w:rStyle w:val="href"/>
          <w:lang w:val="es-ES_tradnl"/>
        </w:rPr>
        <w:t>-0</w:t>
      </w:r>
    </w:p>
    <w:p w:rsidR="00EC301B" w:rsidRPr="00D45373" w:rsidRDefault="00EC301B" w:rsidP="00EC301B">
      <w:pPr>
        <w:pStyle w:val="Rectitle"/>
        <w:rPr>
          <w:lang w:val="es-ES_tradnl"/>
        </w:rPr>
      </w:pPr>
      <w:r w:rsidRPr="00D45373">
        <w:rPr>
          <w:lang w:val="es-ES_tradnl"/>
        </w:rPr>
        <w:t xml:space="preserve">Características del sistema de radares en automóviles que funcionan </w:t>
      </w:r>
      <w:r w:rsidR="000E0AC9">
        <w:rPr>
          <w:lang w:val="es-ES_tradnl"/>
        </w:rPr>
        <w:br/>
      </w:r>
      <w:r w:rsidRPr="00D45373">
        <w:rPr>
          <w:lang w:val="es-ES_tradnl"/>
        </w:rPr>
        <w:t xml:space="preserve">en la banda de frecuencias 76-81 GHz para aplicaciones </w:t>
      </w:r>
      <w:r w:rsidR="000E0AC9">
        <w:rPr>
          <w:lang w:val="es-ES_tradnl"/>
        </w:rPr>
        <w:br/>
      </w:r>
      <w:r w:rsidRPr="00D45373">
        <w:rPr>
          <w:lang w:val="es-ES_tradnl"/>
        </w:rPr>
        <w:t>de sistemas de transporte inteligentes</w:t>
      </w:r>
    </w:p>
    <w:p w:rsidR="00EC301B" w:rsidRPr="00D45373" w:rsidRDefault="00EC301B" w:rsidP="00EC301B">
      <w:pPr>
        <w:pStyle w:val="Recdate"/>
        <w:rPr>
          <w:lang w:val="es-ES_tradnl"/>
        </w:rPr>
      </w:pPr>
      <w:r w:rsidRPr="00D45373">
        <w:rPr>
          <w:lang w:val="es-ES_tradnl"/>
        </w:rPr>
        <w:t>(2014)</w:t>
      </w:r>
    </w:p>
    <w:p w:rsidR="00EC301B" w:rsidRPr="004234C8" w:rsidRDefault="00EC301B" w:rsidP="004234C8">
      <w:pPr>
        <w:pStyle w:val="HeadingSum"/>
      </w:pPr>
      <w:r w:rsidRPr="00D45373">
        <w:t>Cometido</w:t>
      </w:r>
    </w:p>
    <w:p w:rsidR="00EC301B" w:rsidRPr="004234C8" w:rsidRDefault="00EC301B" w:rsidP="004234C8">
      <w:pPr>
        <w:pStyle w:val="Summary"/>
      </w:pPr>
      <w:r w:rsidRPr="004234C8">
        <w:t>Esta Recomendación describe las características del sistema de radares en automóviles que funcionan en la banda de frecuencias 76-81 GHz del servicio de radiolocalización. Estas características técnicas y de funcionamiento deberían ser utilizadas en estudios de compatibilidad entre radares en automóviles que funcionan en el servicio de radiolocalización y sistemas que funcionan en otros servicios.</w:t>
      </w:r>
    </w:p>
    <w:p w:rsidR="00EC301B" w:rsidRPr="00D45373" w:rsidRDefault="00EC301B" w:rsidP="00EC301B">
      <w:pPr>
        <w:pStyle w:val="Normalaftertitle"/>
        <w:rPr>
          <w:lang w:val="es-ES_tradnl"/>
        </w:rPr>
      </w:pPr>
      <w:r w:rsidRPr="00D45373">
        <w:rPr>
          <w:lang w:val="es-ES_tradnl"/>
        </w:rPr>
        <w:t>La Asamblea de Radiocomunicaciones de la UIT,</w:t>
      </w:r>
    </w:p>
    <w:p w:rsidR="00EC301B" w:rsidRPr="00D45373" w:rsidRDefault="00EC301B" w:rsidP="00EC301B">
      <w:pPr>
        <w:pStyle w:val="Call"/>
        <w:rPr>
          <w:lang w:val="es-ES_tradnl"/>
        </w:rPr>
      </w:pPr>
      <w:r w:rsidRPr="00D45373">
        <w:rPr>
          <w:szCs w:val="24"/>
          <w:lang w:val="es-ES_tradnl"/>
        </w:rPr>
        <w:t>considerando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i/>
          <w:iCs/>
          <w:lang w:val="es-ES_tradnl"/>
        </w:rPr>
        <w:t>a)</w:t>
      </w:r>
      <w:r w:rsidRPr="00D45373">
        <w:rPr>
          <w:lang w:val="es-ES_tradnl"/>
        </w:rPr>
        <w:tab/>
        <w:t>que las características en cuanto a antena, propagación de la señal, detección del objetivo y gran anchura de banda de los radares en automóviles son necesarias para que desempeñen sus funciones de manera óptima en ciertas bandas de frecuencia;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i/>
          <w:iCs/>
          <w:lang w:val="es-ES_tradnl"/>
        </w:rPr>
        <w:t>b)</w:t>
      </w:r>
      <w:r w:rsidRPr="00D45373">
        <w:rPr>
          <w:lang w:val="es-ES_tradnl"/>
        </w:rPr>
        <w:tab/>
        <w:t>que las</w:t>
      </w:r>
      <w:bookmarkStart w:id="3" w:name="_GoBack"/>
      <w:bookmarkEnd w:id="3"/>
      <w:r w:rsidRPr="00D45373">
        <w:rPr>
          <w:lang w:val="es-ES_tradnl"/>
        </w:rPr>
        <w:t xml:space="preserve"> características técnicas de los radares de </w:t>
      </w:r>
      <w:proofErr w:type="spellStart"/>
      <w:r w:rsidRPr="00D45373">
        <w:rPr>
          <w:lang w:val="es-ES_tradnl"/>
        </w:rPr>
        <w:t>radiodeterminación</w:t>
      </w:r>
      <w:proofErr w:type="spellEnd"/>
      <w:r w:rsidRPr="00D45373">
        <w:rPr>
          <w:lang w:val="es-ES_tradnl"/>
        </w:rPr>
        <w:t xml:space="preserve"> vienen determinadas por las necesidades del sistema y pueden variar considerablemente de una banda a otra;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i/>
          <w:iCs/>
          <w:lang w:val="es-ES_tradnl"/>
        </w:rPr>
        <w:t>c)</w:t>
      </w:r>
      <w:r w:rsidRPr="00D45373">
        <w:rPr>
          <w:lang w:val="es-ES_tradnl"/>
        </w:rPr>
        <w:tab/>
        <w:t xml:space="preserve">que las características técnicas y operacionales representativas de los radares que funcionan en las bandas de frecuencias atribuidas al servicio de </w:t>
      </w:r>
      <w:proofErr w:type="spellStart"/>
      <w:r w:rsidRPr="00D45373">
        <w:rPr>
          <w:lang w:val="es-ES_tradnl"/>
        </w:rPr>
        <w:t>radiodeterminación</w:t>
      </w:r>
      <w:proofErr w:type="spellEnd"/>
      <w:r w:rsidRPr="00D45373">
        <w:rPr>
          <w:lang w:val="es-ES_tradnl"/>
        </w:rPr>
        <w:t xml:space="preserve"> son necesarias para determinar la viabilidad de introducir nuevos tipos de sistemas;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i/>
          <w:iCs/>
          <w:lang w:val="es-ES_tradnl"/>
        </w:rPr>
        <w:t>d)</w:t>
      </w:r>
      <w:r w:rsidRPr="00D45373">
        <w:rPr>
          <w:lang w:val="es-ES_tradnl"/>
        </w:rPr>
        <w:tab/>
        <w:t xml:space="preserve">que se necesitan procedimientos y metodologías para analizar la compatibilidad entre los radares que funcionan en el servicio de </w:t>
      </w:r>
      <w:proofErr w:type="spellStart"/>
      <w:r w:rsidRPr="00D45373">
        <w:rPr>
          <w:lang w:val="es-ES_tradnl"/>
        </w:rPr>
        <w:t>radiodeterminación</w:t>
      </w:r>
      <w:proofErr w:type="spellEnd"/>
      <w:r w:rsidRPr="00D45373">
        <w:rPr>
          <w:lang w:val="es-ES_tradnl"/>
        </w:rPr>
        <w:t xml:space="preserve"> y los sistemas de otros servicios,</w:t>
      </w:r>
    </w:p>
    <w:p w:rsidR="00EC301B" w:rsidRPr="00D45373" w:rsidRDefault="00EC301B" w:rsidP="00EC301B">
      <w:pPr>
        <w:pStyle w:val="Call"/>
        <w:rPr>
          <w:lang w:val="es-ES_tradnl"/>
        </w:rPr>
      </w:pPr>
      <w:r w:rsidRPr="00D45373">
        <w:rPr>
          <w:lang w:val="es-ES_tradnl"/>
        </w:rPr>
        <w:t>recomienda</w:t>
      </w:r>
    </w:p>
    <w:p w:rsidR="00EC301B" w:rsidRPr="00D45373" w:rsidRDefault="00EC301B" w:rsidP="00EC301B">
      <w:pPr>
        <w:rPr>
          <w:rFonts w:eastAsia="SimSun"/>
          <w:lang w:val="es-ES_tradnl" w:eastAsia="ja-JP"/>
        </w:rPr>
      </w:pPr>
      <w:r w:rsidRPr="00D45373">
        <w:rPr>
          <w:lang w:val="es-ES_tradnl"/>
        </w:rPr>
        <w:t>que las características de los sistemas para los radares en automóviles que funcionan en la banda de frecuencias 76-81 GHz para aplicaciones de sistemas de transporte inteligentes que se describen en el Anexo se utilicen para realizar estudios de compartición/compatibilidad</w:t>
      </w:r>
      <w:r w:rsidRPr="00D45373">
        <w:rPr>
          <w:rFonts w:eastAsia="SimSun"/>
          <w:lang w:val="es-ES_tradnl" w:eastAsia="ja-JP"/>
        </w:rPr>
        <w:t>.</w:t>
      </w:r>
    </w:p>
    <w:p w:rsidR="00EC301B" w:rsidRPr="00D45373" w:rsidRDefault="00EC301B" w:rsidP="00EC301B">
      <w:pPr>
        <w:rPr>
          <w:rFonts w:eastAsia="SimSun"/>
          <w:lang w:val="es-ES_tradnl" w:eastAsia="ja-JP"/>
        </w:rPr>
      </w:pPr>
    </w:p>
    <w:p w:rsidR="00EC301B" w:rsidRPr="00D45373" w:rsidRDefault="00EC301B" w:rsidP="006D443F">
      <w:pPr>
        <w:pStyle w:val="AnnexNoTitle"/>
        <w:pageBreakBefore/>
        <w:rPr>
          <w:rFonts w:eastAsia="SimSun"/>
          <w:lang w:val="es-ES_tradnl" w:eastAsia="ja-JP"/>
        </w:rPr>
      </w:pPr>
      <w:r w:rsidRPr="00D45373">
        <w:rPr>
          <w:lang w:val="es-ES_tradnl"/>
        </w:rPr>
        <w:lastRenderedPageBreak/>
        <w:t>Anexo</w:t>
      </w:r>
      <w:r w:rsidRPr="00D45373">
        <w:rPr>
          <w:lang w:val="es-ES_tradnl"/>
        </w:rPr>
        <w:br/>
      </w:r>
      <w:r w:rsidRPr="00D45373">
        <w:rPr>
          <w:lang w:val="es-ES_tradnl"/>
        </w:rPr>
        <w:br/>
        <w:t xml:space="preserve">Características del sistema de radares en automóviles que funcionan </w:t>
      </w:r>
      <w:r w:rsidR="007A6B3E">
        <w:rPr>
          <w:lang w:val="es-ES_tradnl"/>
        </w:rPr>
        <w:br/>
      </w:r>
      <w:r w:rsidRPr="00D45373">
        <w:rPr>
          <w:lang w:val="es-ES_tradnl"/>
        </w:rPr>
        <w:t xml:space="preserve">en la banda de frecuencias 76-81 GHz para aplicaciones </w:t>
      </w:r>
      <w:r w:rsidR="007A6B3E">
        <w:rPr>
          <w:lang w:val="es-ES_tradnl"/>
        </w:rPr>
        <w:br/>
      </w:r>
      <w:r w:rsidRPr="00D45373">
        <w:rPr>
          <w:lang w:val="es-ES_tradnl"/>
        </w:rPr>
        <w:t>de sistemas de transporte inteligentes</w:t>
      </w:r>
    </w:p>
    <w:p w:rsidR="00EC301B" w:rsidRPr="00D45373" w:rsidRDefault="00EC301B" w:rsidP="00EC301B">
      <w:pPr>
        <w:pStyle w:val="Heading1"/>
        <w:rPr>
          <w:lang w:val="es-ES_tradnl"/>
        </w:rPr>
      </w:pPr>
      <w:r w:rsidRPr="00D45373">
        <w:rPr>
          <w:lang w:val="es-ES_tradnl"/>
        </w:rPr>
        <w:t>1</w:t>
      </w:r>
      <w:r w:rsidRPr="00D45373">
        <w:rPr>
          <w:lang w:val="es-ES_tradnl"/>
        </w:rPr>
        <w:tab/>
        <w:t>Introducción</w:t>
      </w:r>
    </w:p>
    <w:p w:rsidR="00EC301B" w:rsidRPr="00D45373" w:rsidRDefault="00EC301B" w:rsidP="006D443F">
      <w:pPr>
        <w:rPr>
          <w:szCs w:val="24"/>
          <w:lang w:val="es-ES_tradnl" w:eastAsia="ja-JP"/>
        </w:rPr>
      </w:pPr>
      <w:r w:rsidRPr="00D45373">
        <w:rPr>
          <w:lang w:val="es-ES_tradnl"/>
        </w:rPr>
        <w:t>Los sistemas de radares que contribuyen a mejorar la seguridad vial funcionan en la banda de frecuencias 76-81 GHz. La evolución de las exigencias relativas a aplicaciones relacionadas con la seguridad de la automoción, en particular para reducir los accidentes y las víctimas de los accidentes de tráfico, requieren una resolución de alcance para los sistemas de radar en automóviles que conduzcan a un ancho de banda necesario de hasta 4 GHz.</w:t>
      </w:r>
    </w:p>
    <w:p w:rsidR="00EC301B" w:rsidRPr="00D45373" w:rsidRDefault="00EC301B" w:rsidP="003423DD">
      <w:pPr>
        <w:pStyle w:val="Heading2"/>
        <w:rPr>
          <w:lang w:val="es-ES_tradnl"/>
        </w:rPr>
      </w:pPr>
      <w:r w:rsidRPr="00D45373">
        <w:rPr>
          <w:lang w:val="es-ES_tradnl"/>
        </w:rPr>
        <w:t>2</w:t>
      </w:r>
      <w:r w:rsidRPr="00D45373">
        <w:rPr>
          <w:lang w:val="es-ES_tradnl"/>
        </w:rPr>
        <w:tab/>
      </w:r>
      <w:proofErr w:type="spellStart"/>
      <w:r w:rsidRPr="003423DD">
        <w:t>Características</w:t>
      </w:r>
      <w:proofErr w:type="spellEnd"/>
      <w:r w:rsidRPr="00D45373">
        <w:rPr>
          <w:lang w:val="es-ES_tradnl"/>
        </w:rPr>
        <w:t xml:space="preserve"> técnicas de los sistemas de radares en automóviles que funcionan en la banda de frecuencias 76-81 GHz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lang w:val="es-ES_tradnl"/>
        </w:rPr>
        <w:t>En términos de requisitos de seguridad y de funcionamiento, los sistemas de radares en automóviles que funcionan en la banda de frecuencias 76</w:t>
      </w:r>
      <w:r w:rsidRPr="00D45373">
        <w:rPr>
          <w:lang w:val="es-ES_tradnl"/>
        </w:rPr>
        <w:noBreakHyphen/>
        <w:t>81GHz pueden dividirse en dos categorías:</w:t>
      </w:r>
    </w:p>
    <w:p w:rsidR="00EC301B" w:rsidRPr="00D45373" w:rsidRDefault="00EC301B" w:rsidP="00EC301B">
      <w:pPr>
        <w:pStyle w:val="enumlev1"/>
        <w:rPr>
          <w:lang w:val="es-ES_tradnl"/>
        </w:rPr>
      </w:pPr>
      <w:r w:rsidRPr="00D45373">
        <w:rPr>
          <w:lang w:val="es-ES_tradnl"/>
        </w:rPr>
        <w:t>–</w:t>
      </w:r>
      <w:r w:rsidRPr="00D45373">
        <w:rPr>
          <w:lang w:val="es-ES_tradnl"/>
        </w:rPr>
        <w:tab/>
      </w:r>
      <w:r w:rsidRPr="00D45373">
        <w:rPr>
          <w:b/>
          <w:bCs/>
          <w:lang w:val="es-ES_tradnl"/>
        </w:rPr>
        <w:t>Categoría 1</w:t>
      </w:r>
      <w:r w:rsidRPr="00D45373">
        <w:rPr>
          <w:lang w:val="es-ES_tradnl"/>
        </w:rPr>
        <w:t xml:space="preserve">: Radar de control de trayectoria adaptable (ACC) y para evitar colisiones (CA); las características técnicas típicas para alcances de medición de hasta </w:t>
      </w:r>
      <w:r w:rsidRPr="00D45373">
        <w:rPr>
          <w:lang w:val="es-ES_tradnl" w:eastAsia="ja-JP"/>
        </w:rPr>
        <w:t xml:space="preserve">250 </w:t>
      </w:r>
      <w:r w:rsidRPr="00D45373">
        <w:rPr>
          <w:lang w:val="es-ES_tradnl"/>
        </w:rPr>
        <w:t>metros se enumeran en el Cuadro 1, bajo el epígrafe Radar A. Estas aplicaciones requieren una anchura de banda continua máxima de 1 GHz. Estos radares ofrecen al conductor funciones de confort adicionales y fomentan una conducción mucho menos estresante.</w:t>
      </w:r>
    </w:p>
    <w:p w:rsidR="00EC301B" w:rsidRPr="00D45373" w:rsidRDefault="00EC301B" w:rsidP="00EC301B">
      <w:pPr>
        <w:pStyle w:val="enumlev1"/>
        <w:rPr>
          <w:lang w:val="es-ES_tradnl" w:eastAsia="ja-JP"/>
        </w:rPr>
      </w:pPr>
      <w:r w:rsidRPr="00D45373">
        <w:rPr>
          <w:lang w:val="es-ES_tradnl"/>
        </w:rPr>
        <w:t>–</w:t>
      </w:r>
      <w:r w:rsidRPr="00D45373">
        <w:rPr>
          <w:lang w:val="es-ES_tradnl"/>
        </w:rPr>
        <w:tab/>
      </w:r>
      <w:r w:rsidRPr="00D45373">
        <w:rPr>
          <w:b/>
          <w:bCs/>
          <w:lang w:val="es-ES_tradnl"/>
        </w:rPr>
        <w:t>Categoría 2</w:t>
      </w:r>
      <w:r w:rsidRPr="00D45373">
        <w:rPr>
          <w:lang w:val="es-ES_tradnl"/>
        </w:rPr>
        <w:t xml:space="preserve">: Sensores para aplicaciones de alta resolución como la </w:t>
      </w:r>
      <w:r w:rsidRPr="00D45373">
        <w:rPr>
          <w:color w:val="000000"/>
          <w:lang w:val="es-ES_tradnl"/>
        </w:rPr>
        <w:t>detección en ángulos muertos</w:t>
      </w:r>
      <w:r w:rsidRPr="00D45373">
        <w:rPr>
          <w:lang w:val="es-ES_tradnl"/>
        </w:rPr>
        <w:t xml:space="preserve"> (BSD), la ayuda para el cambio de carril (LCA) y la alerta por rebasamiento de tráfico posterior (RTCA), detección de peatones y bicicletas en las inmediaciones de un vehículo; las características técnicas típicas para alcances de medición de hasta 100 metros se enumeran en el Cuadro 1, bajo los epígrafes Radar B, </w:t>
      </w:r>
      <w:r w:rsidRPr="00D45373">
        <w:rPr>
          <w:lang w:val="es-ES_tradnl" w:eastAsia="ja-JP"/>
        </w:rPr>
        <w:t>Radar C y Radar D</w:t>
      </w:r>
      <w:r w:rsidRPr="00D45373">
        <w:rPr>
          <w:lang w:val="es-ES_tradnl"/>
        </w:rPr>
        <w:t>. Para estas aplicaciones de alta resolución, se necesita una anchura de banda de 4 GHz. Estos radares son una ayuda directa para la seguridad activa y pasiva del vehículo y, en consecuencia, son fundamentales para mejorar la seguridad vial. Los requisitos ampliados para la seguridad activa y pasiva del vehículo ya se recogen en los requisitos para las pruebas de los vehículos. El radar E funciona con un campo de visión mayor a fin de permitir aplicaciones de alta resolución como la detección de peatones, las ayudas para el estacionamiento o el freno de emergencia a baja velocidad (&lt; 30 k</w:t>
      </w:r>
      <w:r w:rsidRPr="00D45373">
        <w:rPr>
          <w:lang w:val="es-ES_tradnl" w:eastAsia="ja-JP"/>
        </w:rPr>
        <w:t>m/</w:t>
      </w:r>
      <w:r w:rsidRPr="00D45373">
        <w:rPr>
          <w:lang w:val="es-ES_tradnl"/>
        </w:rPr>
        <w:t>h)</w:t>
      </w:r>
      <w:r w:rsidRPr="00D45373">
        <w:rPr>
          <w:lang w:val="es-ES_tradnl" w:eastAsia="ja-JP"/>
        </w:rPr>
        <w:t>.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lang w:val="es-ES_tradnl"/>
        </w:rPr>
        <w:t>En el Cuadro 1 se presentan los parámetros técnicos de los sistemas de radares del servicio de radiolocalización que funcionan en las bandas de frecuencias 76</w:t>
      </w:r>
      <w:r w:rsidRPr="00D45373">
        <w:rPr>
          <w:lang w:val="es-ES_tradnl"/>
        </w:rPr>
        <w:noBreakHyphen/>
        <w:t>77</w:t>
      </w:r>
      <w:r w:rsidRPr="00D45373">
        <w:rPr>
          <w:lang w:val="es-ES_tradnl" w:eastAsia="ja-JP"/>
        </w:rPr>
        <w:t> </w:t>
      </w:r>
      <w:r w:rsidRPr="00D45373">
        <w:rPr>
          <w:lang w:val="es-ES_tradnl"/>
        </w:rPr>
        <w:t>GHz y 77-81</w:t>
      </w:r>
      <w:r w:rsidRPr="00D45373">
        <w:rPr>
          <w:lang w:val="es-ES_tradnl" w:eastAsia="ja-JP"/>
        </w:rPr>
        <w:t xml:space="preserve"> </w:t>
      </w:r>
      <w:r w:rsidRPr="00D45373">
        <w:rPr>
          <w:lang w:val="es-ES_tradnl"/>
        </w:rPr>
        <w:t>GHz.</w:t>
      </w:r>
    </w:p>
    <w:p w:rsidR="00EC301B" w:rsidRPr="00D45373" w:rsidRDefault="00EC301B" w:rsidP="00EC301B">
      <w:pPr>
        <w:ind w:left="720"/>
        <w:rPr>
          <w:lang w:val="es-ES_tradnl"/>
        </w:rPr>
      </w:pPr>
    </w:p>
    <w:p w:rsidR="00EC301B" w:rsidRPr="00D45373" w:rsidRDefault="00EC301B" w:rsidP="00EC301B">
      <w:pPr>
        <w:overflowPunct/>
        <w:autoSpaceDE/>
        <w:autoSpaceDN/>
        <w:adjustRightInd/>
        <w:spacing w:before="0"/>
        <w:rPr>
          <w:lang w:val="es-ES_tradnl"/>
        </w:rPr>
        <w:sectPr w:rsidR="00EC301B" w:rsidRPr="00D45373" w:rsidSect="00643B9D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pgSz w:w="11907" w:h="16834"/>
          <w:pgMar w:top="1418" w:right="1134" w:bottom="1418" w:left="1134" w:header="720" w:footer="720" w:gutter="0"/>
          <w:paperSrc w:first="15" w:other="15"/>
          <w:pgNumType w:start="1"/>
          <w:cols w:space="720"/>
          <w:titlePg/>
        </w:sectPr>
      </w:pPr>
    </w:p>
    <w:p w:rsidR="007C422B" w:rsidRPr="00D45373" w:rsidRDefault="007C422B" w:rsidP="007C422B">
      <w:pPr>
        <w:pStyle w:val="TableNo"/>
        <w:rPr>
          <w:lang w:val="es-ES_tradnl"/>
        </w:rPr>
      </w:pPr>
      <w:r w:rsidRPr="00D45373">
        <w:rPr>
          <w:lang w:val="es-ES_tradnl"/>
        </w:rPr>
        <w:lastRenderedPageBreak/>
        <w:t>CUADRO 1</w:t>
      </w:r>
    </w:p>
    <w:p w:rsidR="007C422B" w:rsidRDefault="007C422B" w:rsidP="007C422B">
      <w:pPr>
        <w:pStyle w:val="Tabletitle"/>
      </w:pPr>
      <w:r w:rsidRPr="00D45373">
        <w:rPr>
          <w:lang w:val="es-ES_tradnl"/>
        </w:rPr>
        <w:t>Características de los radares en automóviles que funcionan en la banda de frecuencias 76-81 GHz</w:t>
      </w:r>
    </w:p>
    <w:tbl>
      <w:tblPr>
        <w:tblW w:w="1417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727"/>
        <w:gridCol w:w="2267"/>
        <w:gridCol w:w="2312"/>
        <w:gridCol w:w="2451"/>
        <w:gridCol w:w="1909"/>
        <w:gridCol w:w="2509"/>
      </w:tblGrid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Parámetro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A</w:t>
            </w:r>
            <w:r w:rsidRPr="00D45373">
              <w:rPr>
                <w:rFonts w:ascii="Times New Roman Bold" w:hAnsi="Times New Roman Bold" w:cs="Times New Roman Bold"/>
                <w:vertAlign w:val="superscript"/>
                <w:lang w:val="es-ES_tradnl" w:eastAsia="zh-CN"/>
              </w:rPr>
              <w:t>(1)</w:t>
            </w:r>
          </w:p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</w:t>
            </w:r>
          </w:p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Para aplicaciones delanteras, por ejemplo los reguladores de velocidad adaptativos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B</w:t>
            </w:r>
          </w:p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Para aplicaciones delanteras</w:t>
            </w:r>
          </w:p>
        </w:tc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C</w:t>
            </w:r>
          </w:p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Para aplicaciones en ángulos muertos</w:t>
            </w:r>
          </w:p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head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Radar D</w:t>
            </w:r>
          </w:p>
          <w:p w:rsidR="00EC301B" w:rsidRPr="00D45373" w:rsidRDefault="00EC301B" w:rsidP="004C7933">
            <w:pPr>
              <w:pStyle w:val="Tablehead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</w:t>
            </w:r>
          </w:p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  <w:p w:rsidR="00EC301B" w:rsidRPr="00D45373" w:rsidRDefault="00EC301B" w:rsidP="004C7933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Aplicacion</w:t>
            </w:r>
            <w:r w:rsidR="005B0DD2">
              <w:rPr>
                <w:lang w:val="es-ES_tradnl" w:eastAsia="zh-CN"/>
              </w:rPr>
              <w:t>es de muy corto alcance (p.ej.: </w:t>
            </w:r>
            <w:r w:rsidRPr="00D45373">
              <w:rPr>
                <w:lang w:val="es-ES_tradnl" w:eastAsia="zh-CN"/>
              </w:rPr>
              <w:t>ayudas para el estacionamiento, dispositivos para evitar colisiones a muy baja velocidad)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Sub</w:t>
            </w:r>
            <w:r>
              <w:rPr>
                <w:lang w:val="es-ES_tradnl" w:eastAsia="zh-CN"/>
              </w:rPr>
              <w:t>-</w:t>
            </w:r>
            <w:r w:rsidRPr="00D45373">
              <w:rPr>
                <w:lang w:val="es-ES_tradnl" w:eastAsia="zh-CN"/>
              </w:rPr>
              <w:t>banda utilizada (GHz)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76-77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77-81</w:t>
            </w:r>
          </w:p>
        </w:tc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77-81</w:t>
            </w:r>
          </w:p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77-81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77-81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Alcance de funcionamiento típico (m)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Hasta 250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Hasta 100</w:t>
            </w:r>
          </w:p>
        </w:tc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Hasta 100</w:t>
            </w:r>
          </w:p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highlight w:val="yellow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 xml:space="preserve">Hasta </w:t>
            </w:r>
            <w:r w:rsidRPr="00D45373">
              <w:rPr>
                <w:lang w:val="es-ES_tradnl" w:eastAsia="ja-JP"/>
              </w:rPr>
              <w:t>100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 xml:space="preserve">Hasta </w:t>
            </w:r>
            <w:r w:rsidRPr="00D45373">
              <w:rPr>
                <w:rFonts w:eastAsia="SimSun"/>
                <w:lang w:val="es-ES_tradnl" w:eastAsia="ja-JP"/>
              </w:rPr>
              <w:t>50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Resolución del alcance (cm)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75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7</w:t>
            </w:r>
            <w:r w:rsidRPr="00D45373">
              <w:rPr>
                <w:lang w:val="es-ES_tradnl" w:eastAsia="ja-JP"/>
              </w:rPr>
              <w:t>.</w:t>
            </w:r>
            <w:r w:rsidRPr="00D45373">
              <w:rPr>
                <w:lang w:val="es-ES_tradnl" w:eastAsia="zh-CN"/>
              </w:rPr>
              <w:t>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7</w:t>
            </w:r>
            <w:r w:rsidRPr="00D45373">
              <w:rPr>
                <w:lang w:val="es-ES_tradnl" w:eastAsia="ja-JP"/>
              </w:rPr>
              <w:t>.</w:t>
            </w:r>
            <w:r w:rsidRPr="00D45373">
              <w:rPr>
                <w:lang w:val="es-ES_tradnl" w:eastAsia="zh-CN"/>
              </w:rPr>
              <w:t>5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7.5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7.5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Tipo de emisiones típico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FMCW, FMCW rápida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highlight w:val="red"/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FMCW, FMCW rápida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highlight w:val="red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 xml:space="preserve">FMCW, </w:t>
            </w:r>
            <w:r w:rsidRPr="00D45373">
              <w:rPr>
                <w:lang w:val="es-ES_tradnl" w:eastAsia="zh-CN"/>
              </w:rPr>
              <w:t>FMCW rápida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eastAsia="SimSun"/>
                <w:highlight w:val="red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FMCW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 xml:space="preserve">FMCW, </w:t>
            </w:r>
            <w:r w:rsidRPr="00D45373">
              <w:rPr>
                <w:lang w:val="es-ES_tradnl" w:eastAsia="zh-CN"/>
              </w:rPr>
              <w:t>FMCW rápida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Anchura de banda necesaria máxima (GHz)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4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4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/>
              </w:rPr>
            </w:pPr>
            <w:r w:rsidRPr="00D45373">
              <w:rPr>
                <w:lang w:val="es-ES_tradnl"/>
              </w:rPr>
              <w:t>Anchura de banda del impulso modulado (GHz)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ja-JP"/>
              </w:rPr>
            </w:pPr>
            <w:r w:rsidRPr="00D45373">
              <w:rPr>
                <w:lang w:val="es-ES_tradnl" w:eastAsia="ja-JP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ja-JP"/>
              </w:rPr>
            </w:pPr>
            <w:r w:rsidRPr="00D45373">
              <w:rPr>
                <w:lang w:val="es-ES_tradnl" w:eastAsia="ja-JP"/>
              </w:rPr>
              <w:t>2-4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/>
              </w:rPr>
              <w:t>2-4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2-4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2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/>
              </w:rPr>
            </w:pPr>
            <w:r w:rsidRPr="00D45373">
              <w:rPr>
                <w:lang w:val="es-ES_tradnl"/>
              </w:rPr>
              <w:t>Tiempo de  barrido típico (</w:t>
            </w:r>
            <w:r w:rsidRPr="00D45373">
              <w:rPr>
                <w:lang w:val="es-ES_tradnl"/>
              </w:rPr>
              <w:sym w:font="Symbol" w:char="F06D"/>
            </w:r>
            <w:r w:rsidRPr="00D45373">
              <w:rPr>
                <w:lang w:val="es-ES_tradnl"/>
              </w:rPr>
              <w:t>s)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/>
              </w:rPr>
              <w:t>10 000-40 000 para</w:t>
            </w:r>
            <w:r w:rsidR="009951A3">
              <w:rPr>
                <w:lang w:val="es-ES_tradnl"/>
              </w:rPr>
              <w:t> </w:t>
            </w:r>
            <w:r w:rsidRPr="00D45373">
              <w:rPr>
                <w:lang w:val="es-ES_tradnl"/>
              </w:rPr>
              <w:t>FMCW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/>
              </w:rPr>
              <w:t xml:space="preserve">10-40 para </w:t>
            </w:r>
            <w:r w:rsidRPr="00D45373">
              <w:rPr>
                <w:lang w:val="es-ES_tradnl" w:eastAsia="zh-CN"/>
              </w:rPr>
              <w:t>FMCW rápida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/>
              </w:rPr>
              <w:t>10 000-40 000 para FMCW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/>
              </w:rPr>
              <w:t xml:space="preserve">10-40 para </w:t>
            </w:r>
            <w:r w:rsidRPr="00D45373">
              <w:rPr>
                <w:lang w:val="es-ES_tradnl" w:eastAsia="zh-CN"/>
              </w:rPr>
              <w:t>FMCW rápida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/>
              </w:rPr>
              <w:t>10 000-40 000 para FMCW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/>
              </w:rPr>
              <w:t xml:space="preserve">10-40 para </w:t>
            </w:r>
            <w:r w:rsidRPr="00D45373">
              <w:rPr>
                <w:lang w:val="es-ES_tradnl" w:eastAsia="zh-CN"/>
              </w:rPr>
              <w:t>FMCW rápida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 xml:space="preserve">2 000-20 000 </w:t>
            </w:r>
            <w:r w:rsidRPr="00D45373">
              <w:rPr>
                <w:lang w:val="es-ES_tradnl"/>
              </w:rPr>
              <w:t xml:space="preserve">para </w:t>
            </w:r>
            <w:r w:rsidRPr="00D45373">
              <w:rPr>
                <w:rFonts w:eastAsia="SimSun"/>
                <w:lang w:val="es-ES_tradnl" w:eastAsia="ja-JP"/>
              </w:rPr>
              <w:t>FMCW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/>
              </w:rPr>
              <w:t>10 000-40 000 para FMCW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/>
              </w:rPr>
              <w:t xml:space="preserve">10-40 para </w:t>
            </w:r>
            <w:r w:rsidRPr="00D45373">
              <w:rPr>
                <w:lang w:val="es-ES_tradnl" w:eastAsia="zh-CN"/>
              </w:rPr>
              <w:t>FMCW rápida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proofErr w:type="spellStart"/>
            <w:r w:rsidRPr="00D45373">
              <w:rPr>
                <w:color w:val="000000"/>
                <w:lang w:val="es-ES_tradnl"/>
              </w:rPr>
              <w:t>p.i.r.e</w:t>
            </w:r>
            <w:proofErr w:type="spellEnd"/>
            <w:r w:rsidRPr="00D45373">
              <w:rPr>
                <w:color w:val="000000"/>
                <w:lang w:val="es-ES_tradnl"/>
              </w:rPr>
              <w:t>. máxima</w:t>
            </w:r>
            <w:r w:rsidRPr="00D45373">
              <w:rPr>
                <w:lang w:val="es-ES_tradnl"/>
              </w:rPr>
              <w:t xml:space="preserve"> (</w:t>
            </w:r>
            <w:proofErr w:type="spellStart"/>
            <w:r w:rsidRPr="00D45373">
              <w:rPr>
                <w:lang w:val="es-ES_tradnl"/>
              </w:rPr>
              <w:t>dBm</w:t>
            </w:r>
            <w:proofErr w:type="spellEnd"/>
            <w:r w:rsidRPr="00D45373">
              <w:rPr>
                <w:lang w:val="es-ES_tradnl"/>
              </w:rPr>
              <w:t>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55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33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33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45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33</w:t>
            </w:r>
          </w:p>
        </w:tc>
      </w:tr>
    </w:tbl>
    <w:p w:rsidR="00AF131D" w:rsidRPr="00BD31D7" w:rsidRDefault="00AF131D" w:rsidP="00AF131D">
      <w:pPr>
        <w:pStyle w:val="TableNo"/>
        <w:rPr>
          <w:lang w:val="es-ES_tradnl"/>
        </w:rPr>
      </w:pPr>
      <w:r w:rsidRPr="00D45373">
        <w:rPr>
          <w:lang w:val="es-ES_tradnl"/>
        </w:rPr>
        <w:lastRenderedPageBreak/>
        <w:t>CUADRO 1</w:t>
      </w:r>
      <w:r>
        <w:rPr>
          <w:lang w:val="es-ES_tradnl"/>
        </w:rPr>
        <w:t xml:space="preserve"> (</w:t>
      </w:r>
      <w:r w:rsidRPr="00AF131D">
        <w:rPr>
          <w:i/>
          <w:iCs/>
          <w:lang w:val="es-ES_tradnl"/>
        </w:rPr>
        <w:t>cont.</w:t>
      </w:r>
      <w:r>
        <w:rPr>
          <w:lang w:val="es-ES_tradnl"/>
        </w:rPr>
        <w:t>)</w:t>
      </w:r>
    </w:p>
    <w:tbl>
      <w:tblPr>
        <w:tblW w:w="1417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727"/>
        <w:gridCol w:w="2267"/>
        <w:gridCol w:w="2312"/>
        <w:gridCol w:w="2451"/>
        <w:gridCol w:w="1909"/>
        <w:gridCol w:w="2509"/>
      </w:tblGrid>
      <w:tr w:rsidR="00AF131D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Parámetro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A</w:t>
            </w:r>
            <w:r w:rsidRPr="00D45373">
              <w:rPr>
                <w:rFonts w:ascii="Times New Roman Bold" w:hAnsi="Times New Roman Bold" w:cs="Times New Roman Bold"/>
                <w:vertAlign w:val="superscript"/>
                <w:lang w:val="es-ES_tradnl" w:eastAsia="zh-CN"/>
              </w:rPr>
              <w:t>(1)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Para aplicaciones delanteras, por ejemplo los reguladores de velocidad adaptativos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B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Para aplicaciones delanteras</w:t>
            </w:r>
          </w:p>
        </w:tc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C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Para aplicaciones en ángulos muertos</w:t>
            </w:r>
          </w:p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Radar D</w:t>
            </w:r>
          </w:p>
          <w:p w:rsidR="00AF131D" w:rsidRPr="00D45373" w:rsidRDefault="00AF131D" w:rsidP="005C1479">
            <w:pPr>
              <w:pStyle w:val="Tablehead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Aplicacion</w:t>
            </w:r>
            <w:r>
              <w:rPr>
                <w:lang w:val="es-ES_tradnl" w:eastAsia="zh-CN"/>
              </w:rPr>
              <w:t>es de muy corto alcance (p.ej.: </w:t>
            </w:r>
            <w:r w:rsidRPr="00D45373">
              <w:rPr>
                <w:lang w:val="es-ES_tradnl" w:eastAsia="zh-CN"/>
              </w:rPr>
              <w:t>ayudas para el estacionamiento, dispositivos para evitar colisiones a muy baja velocidad)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ja-JP"/>
              </w:rPr>
            </w:pPr>
            <w:r w:rsidRPr="00D45373">
              <w:rPr>
                <w:lang w:val="es-ES_tradnl" w:eastAsia="ja-JP"/>
              </w:rPr>
              <w:t>Potencia máxima de transmisión a la antena (</w:t>
            </w:r>
            <w:proofErr w:type="spellStart"/>
            <w:r w:rsidRPr="00D45373">
              <w:rPr>
                <w:lang w:val="es-ES_tradnl"/>
              </w:rPr>
              <w:t>dBm</w:t>
            </w:r>
            <w:proofErr w:type="spellEnd"/>
            <w:r w:rsidRPr="00D45373">
              <w:rPr>
                <w:lang w:val="es-ES_tradnl" w:eastAsia="ja-JP"/>
              </w:rPr>
              <w:t>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10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10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10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10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10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/>
              </w:rPr>
            </w:pPr>
            <w:r w:rsidRPr="00D45373">
              <w:rPr>
                <w:lang w:val="es-ES_tradnl"/>
              </w:rPr>
              <w:t>Densidad máxima de potencia para emisiones no deseadas (</w:t>
            </w:r>
            <w:proofErr w:type="spellStart"/>
            <w:r w:rsidRPr="00D45373">
              <w:rPr>
                <w:lang w:val="es-ES_tradnl"/>
              </w:rPr>
              <w:t>dBm</w:t>
            </w:r>
            <w:proofErr w:type="spellEnd"/>
            <w:r w:rsidRPr="00D45373">
              <w:rPr>
                <w:lang w:val="es-ES_tradnl"/>
              </w:rPr>
              <w:t>/MHz)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0 (73.5-76 GHz y</w:t>
            </w:r>
            <w:r w:rsidRPr="00D45373">
              <w:rPr>
                <w:lang w:val="es-ES_tradnl" w:eastAsia="zh-CN"/>
              </w:rPr>
              <w:br/>
              <w:t>77-79.5 GHz)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–30 en el resto de casos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–30</w:t>
            </w:r>
          </w:p>
        </w:tc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 w:eastAsia="zh-CN"/>
              </w:rPr>
              <w:t>–</w:t>
            </w:r>
            <w:r w:rsidRPr="00D45373">
              <w:rPr>
                <w:lang w:val="es-ES_tradnl"/>
              </w:rPr>
              <w:t>30</w:t>
            </w:r>
          </w:p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/>
              </w:rPr>
              <w:t>–13</w:t>
            </w:r>
            <w:r w:rsidRPr="00D45373">
              <w:rPr>
                <w:vertAlign w:val="superscript"/>
                <w:lang w:val="es-ES_tradnl"/>
              </w:rPr>
              <w:t>(2)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/>
              </w:rPr>
            </w:pPr>
            <w:r w:rsidRPr="00D45373">
              <w:rPr>
                <w:lang w:val="es-ES_tradnl" w:eastAsia="zh-CN"/>
              </w:rPr>
              <w:t>–</w:t>
            </w:r>
            <w:r w:rsidRPr="00D45373">
              <w:rPr>
                <w:lang w:val="es-ES_tradnl"/>
              </w:rPr>
              <w:t>30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color w:val="000000"/>
                <w:lang w:val="es-ES_tradnl"/>
              </w:rPr>
              <w:t>Anchura de banda en FI del receptor</w:t>
            </w:r>
            <w:r w:rsidRPr="00D45373">
              <w:rPr>
                <w:lang w:val="es-ES_tradnl" w:eastAsia="zh-CN"/>
              </w:rPr>
              <w:br/>
              <w:t>(–3 dB) (MHz)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0,5-1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10</w:t>
            </w:r>
          </w:p>
        </w:tc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10</w:t>
            </w:r>
          </w:p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10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10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color w:val="000000"/>
                <w:lang w:val="es-ES_tradnl"/>
              </w:rPr>
              <w:t>Anchura de banda en FI del receptor</w:t>
            </w:r>
            <w:r w:rsidRPr="00D45373">
              <w:rPr>
                <w:lang w:val="es-ES_tradnl" w:eastAsia="zh-CN"/>
              </w:rPr>
              <w:br/>
              <w:t>(–20 dB) (MHz)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0,5-20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highlight w:val="red"/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15</w:t>
            </w:r>
          </w:p>
        </w:tc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15</w:t>
            </w:r>
          </w:p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ja-JP"/>
              </w:rPr>
              <w:t>15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15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Sensibilidad del receptor (</w:t>
            </w:r>
            <w:proofErr w:type="spellStart"/>
            <w:r w:rsidRPr="00D45373">
              <w:rPr>
                <w:lang w:val="es-ES_tradnl" w:eastAsia="zh-CN"/>
              </w:rPr>
              <w:t>dBm</w:t>
            </w:r>
            <w:proofErr w:type="spellEnd"/>
            <w:r w:rsidRPr="00D45373">
              <w:rPr>
                <w:lang w:val="es-ES_tradnl" w:eastAsia="zh-CN"/>
              </w:rPr>
              <w:t>)</w:t>
            </w:r>
            <w:r w:rsidRPr="00D45373">
              <w:rPr>
                <w:vertAlign w:val="superscript"/>
                <w:lang w:val="es-ES_tradnl" w:eastAsia="zh-CN"/>
              </w:rPr>
              <w:t>(3)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–115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highlight w:val="red"/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–120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–120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–120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–120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color w:val="000000"/>
                <w:lang w:val="es-ES_tradnl"/>
              </w:rPr>
              <w:t xml:space="preserve">Factor de ruido del receptor </w:t>
            </w:r>
            <w:r w:rsidRPr="00D45373">
              <w:rPr>
                <w:lang w:val="es-ES_tradnl" w:eastAsia="zh-CN"/>
              </w:rPr>
              <w:t>(dB)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15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highlight w:val="red"/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12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1B" w:rsidRPr="00D45373" w:rsidRDefault="00EC301B" w:rsidP="004C7933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12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ja-JP"/>
              </w:rPr>
              <w:t>12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12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color w:val="000000"/>
                <w:lang w:val="es-ES_tradnl"/>
              </w:rPr>
              <w:t xml:space="preserve">Anchura de banda de ruido equivalente </w:t>
            </w:r>
            <w:r w:rsidRPr="00D45373">
              <w:rPr>
                <w:lang w:val="es-ES_tradnl" w:eastAsia="zh-CN"/>
              </w:rPr>
              <w:t>(kHz)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25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16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16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16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16</w:t>
            </w:r>
          </w:p>
        </w:tc>
      </w:tr>
    </w:tbl>
    <w:p w:rsidR="00AF131D" w:rsidRPr="00BD31D7" w:rsidRDefault="00AF131D" w:rsidP="00AF131D">
      <w:pPr>
        <w:pStyle w:val="TableNo"/>
        <w:rPr>
          <w:lang w:val="es-ES_tradnl"/>
        </w:rPr>
      </w:pPr>
      <w:r w:rsidRPr="00D45373">
        <w:rPr>
          <w:lang w:val="es-ES_tradnl"/>
        </w:rPr>
        <w:lastRenderedPageBreak/>
        <w:t>CUADRO 1</w:t>
      </w:r>
      <w:r>
        <w:rPr>
          <w:lang w:val="es-ES_tradnl"/>
        </w:rPr>
        <w:t xml:space="preserve"> (</w:t>
      </w:r>
      <w:r>
        <w:rPr>
          <w:i/>
          <w:iCs/>
          <w:lang w:val="es-ES_tradnl"/>
        </w:rPr>
        <w:t>fin</w:t>
      </w:r>
      <w:r>
        <w:rPr>
          <w:lang w:val="es-ES_tradnl"/>
        </w:rPr>
        <w:t>)</w:t>
      </w:r>
    </w:p>
    <w:tbl>
      <w:tblPr>
        <w:tblW w:w="1417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727"/>
        <w:gridCol w:w="2267"/>
        <w:gridCol w:w="2312"/>
        <w:gridCol w:w="2451"/>
        <w:gridCol w:w="1909"/>
        <w:gridCol w:w="2509"/>
      </w:tblGrid>
      <w:tr w:rsidR="00AF131D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Parámetro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A</w:t>
            </w:r>
            <w:r w:rsidRPr="00D45373">
              <w:rPr>
                <w:rFonts w:ascii="Times New Roman Bold" w:hAnsi="Times New Roman Bold" w:cs="Times New Roman Bold"/>
                <w:vertAlign w:val="superscript"/>
                <w:lang w:val="es-ES_tradnl" w:eastAsia="zh-CN"/>
              </w:rPr>
              <w:t>(1)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Para aplicaciones delanteras, por ejemplo los reguladores de velocidad adaptativos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B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Para aplicaciones delanteras</w:t>
            </w:r>
          </w:p>
        </w:tc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C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Para aplicaciones en ángulos muertos</w:t>
            </w:r>
          </w:p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Radar D</w:t>
            </w:r>
          </w:p>
          <w:p w:rsidR="00AF131D" w:rsidRPr="00D45373" w:rsidRDefault="00AF131D" w:rsidP="005C1479">
            <w:pPr>
              <w:pStyle w:val="Tablehead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Radar en automóvil de alta resolución</w:t>
            </w:r>
          </w:p>
          <w:p w:rsidR="00AF131D" w:rsidRPr="00D45373" w:rsidRDefault="00AF131D" w:rsidP="005C1479">
            <w:pPr>
              <w:pStyle w:val="Tablehead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Aplicacion</w:t>
            </w:r>
            <w:r>
              <w:rPr>
                <w:lang w:val="es-ES_tradnl" w:eastAsia="zh-CN"/>
              </w:rPr>
              <w:t>es de muy corto alcance (p.ej.: </w:t>
            </w:r>
            <w:r w:rsidRPr="00D45373">
              <w:rPr>
                <w:lang w:val="es-ES_tradnl" w:eastAsia="zh-CN"/>
              </w:rPr>
              <w:t>ayudas para el estacionamiento, dispositivos para evitar colisiones a muy baja velocidad)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color w:val="000000"/>
                <w:lang w:val="es-ES_tradnl"/>
              </w:rPr>
              <w:t xml:space="preserve">Ganancia del haz principal de la antena </w:t>
            </w:r>
            <w:r w:rsidRPr="00D45373">
              <w:rPr>
                <w:lang w:val="es-ES_tradnl" w:eastAsia="zh-CN"/>
              </w:rPr>
              <w:t>(</w:t>
            </w:r>
            <w:proofErr w:type="spellStart"/>
            <w:r w:rsidRPr="00D45373">
              <w:rPr>
                <w:lang w:val="es-ES_tradnl" w:eastAsia="zh-CN"/>
              </w:rPr>
              <w:t>dBi</w:t>
            </w:r>
            <w:proofErr w:type="spellEnd"/>
            <w:r w:rsidRPr="00D45373">
              <w:rPr>
                <w:lang w:val="es-ES_tradnl" w:eastAsia="zh-CN"/>
              </w:rPr>
              <w:t>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Típica 30, máxima 45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TX: 23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RX: 16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TX: 23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RX: 13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C301B" w:rsidRPr="00D45373" w:rsidRDefault="00EC301B" w:rsidP="004C7933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lang w:val="es-ES_tradnl" w:eastAsia="ja-JP"/>
              </w:rPr>
            </w:pPr>
            <w:r w:rsidRPr="00D45373">
              <w:rPr>
                <w:sz w:val="20"/>
                <w:lang w:val="es-ES_tradnl" w:eastAsia="ja-JP"/>
              </w:rPr>
              <w:t xml:space="preserve">TX: </w:t>
            </w:r>
            <w:r w:rsidRPr="00D45373">
              <w:rPr>
                <w:rFonts w:eastAsia="SimSun"/>
                <w:sz w:val="20"/>
                <w:lang w:val="es-ES_tradnl" w:eastAsia="ja-JP"/>
              </w:rPr>
              <w:t>35</w:t>
            </w:r>
            <w:r w:rsidRPr="00D45373">
              <w:rPr>
                <w:sz w:val="20"/>
                <w:lang w:val="es-ES_tradnl" w:eastAsia="ja-JP"/>
              </w:rPr>
              <w:t xml:space="preserve"> máx.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ja-JP"/>
              </w:rPr>
              <w:t xml:space="preserve">RX: </w:t>
            </w:r>
            <w:r w:rsidRPr="00D45373">
              <w:rPr>
                <w:rFonts w:eastAsia="SimSun"/>
                <w:lang w:val="es-ES_tradnl" w:eastAsia="ja-JP"/>
              </w:rPr>
              <w:t>35 máx.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TX: 23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RX: 13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Altura de la antena (m)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0,3-1 por encima de la carretera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0,3-1 por encima de la carretera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0,3-1 por encima de la carretera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lang w:val="es-ES_tradnl" w:eastAsia="zh-CN"/>
              </w:rPr>
              <w:t>0,3-1 por encima de la carretera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0,3-1 por encima de la carretera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Ángulo de exploración del acimut de la antena (grados)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TX/RX: ±15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TX: ±22.5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 xml:space="preserve">RX: ±25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TX: ±23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RX: ±30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TX: ±30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RX: ±30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TX: ±50</w:t>
            </w:r>
          </w:p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RX: ±50</w:t>
            </w:r>
          </w:p>
        </w:tc>
      </w:tr>
      <w:tr w:rsidR="00EC301B" w:rsidRPr="00D45373" w:rsidTr="005B0DD2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left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Anchura de haz a potencia mitad de la elevación de la antena (grados)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TX/RX: ±3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TX/RX: ±5,5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TX/RX: ± 5,5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rFonts w:eastAsia="SimSun"/>
                <w:lang w:val="es-ES_tradnl" w:eastAsia="ja-JP"/>
              </w:rPr>
            </w:pPr>
            <w:r w:rsidRPr="00D45373">
              <w:rPr>
                <w:rFonts w:eastAsia="SimSun"/>
                <w:lang w:val="es-ES_tradnl" w:eastAsia="ja-JP"/>
              </w:rPr>
              <w:t>TX/RX: ± 5,5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301B" w:rsidRPr="00D45373" w:rsidRDefault="00EC301B" w:rsidP="004C7933">
            <w:pPr>
              <w:pStyle w:val="Tabletext"/>
              <w:jc w:val="center"/>
              <w:rPr>
                <w:lang w:val="es-ES_tradnl" w:eastAsia="zh-CN"/>
              </w:rPr>
            </w:pPr>
            <w:r w:rsidRPr="00D45373">
              <w:rPr>
                <w:lang w:val="es-ES_tradnl" w:eastAsia="zh-CN"/>
              </w:rPr>
              <w:t>TX/RX: ± 5,5</w:t>
            </w:r>
          </w:p>
        </w:tc>
      </w:tr>
      <w:tr w:rsidR="00EC301B" w:rsidRPr="00D45373" w:rsidTr="005B0DD2">
        <w:trPr>
          <w:jc w:val="center"/>
        </w:trPr>
        <w:tc>
          <w:tcPr>
            <w:tcW w:w="14459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C301B" w:rsidRPr="00D45373" w:rsidRDefault="00EC301B" w:rsidP="004C52F0">
            <w:pPr>
              <w:pStyle w:val="Tablelegend"/>
              <w:rPr>
                <w:lang w:val="es-ES_tradnl"/>
              </w:rPr>
            </w:pPr>
            <w:r w:rsidRPr="00D45373">
              <w:rPr>
                <w:vertAlign w:val="superscript"/>
                <w:lang w:val="es-ES_tradnl"/>
              </w:rPr>
              <w:t>(1)</w:t>
            </w:r>
            <w:r w:rsidRPr="00D45373">
              <w:rPr>
                <w:lang w:val="es-ES_tradnl"/>
              </w:rPr>
              <w:tab/>
              <w:t>El radar de tipo A está relacionado con la Recomendación UIT-R M.1452.</w:t>
            </w:r>
          </w:p>
          <w:p w:rsidR="00EC301B" w:rsidRPr="00D45373" w:rsidRDefault="00EC301B" w:rsidP="004C52F0">
            <w:pPr>
              <w:pStyle w:val="Tablelegend"/>
              <w:rPr>
                <w:lang w:val="es-ES_tradnl"/>
              </w:rPr>
            </w:pPr>
            <w:r w:rsidRPr="00D45373">
              <w:rPr>
                <w:vertAlign w:val="superscript"/>
                <w:lang w:val="es-ES_tradnl"/>
              </w:rPr>
              <w:t>(2)</w:t>
            </w:r>
            <w:r w:rsidRPr="00D45373">
              <w:rPr>
                <w:vertAlign w:val="superscript"/>
                <w:lang w:val="es-ES_tradnl"/>
              </w:rPr>
              <w:tab/>
            </w:r>
            <w:r w:rsidRPr="00D45373">
              <w:rPr>
                <w:lang w:val="es-ES_tradnl"/>
              </w:rPr>
              <w:t>La densidad de potencia máxima de las emisiones no deseadas se especifica en el</w:t>
            </w:r>
            <w:r w:rsidRPr="00D45373">
              <w:rPr>
                <w:color w:val="000000"/>
                <w:lang w:val="es-ES_tradnl"/>
              </w:rPr>
              <w:t xml:space="preserve"> terminal de entrada de la antena</w:t>
            </w:r>
            <w:r w:rsidRPr="00D45373">
              <w:rPr>
                <w:lang w:val="es-ES_tradnl"/>
              </w:rPr>
              <w:t>.</w:t>
            </w:r>
          </w:p>
          <w:p w:rsidR="00EC301B" w:rsidRPr="00D45373" w:rsidRDefault="00EC301B" w:rsidP="004C52F0">
            <w:pPr>
              <w:pStyle w:val="Tablelegend"/>
              <w:rPr>
                <w:vertAlign w:val="superscript"/>
                <w:lang w:val="es-ES_tradnl"/>
              </w:rPr>
            </w:pPr>
            <w:r w:rsidRPr="00D45373">
              <w:rPr>
                <w:vertAlign w:val="superscript"/>
                <w:lang w:val="es-ES_tradnl"/>
              </w:rPr>
              <w:t>(3)</w:t>
            </w:r>
            <w:r w:rsidRPr="00D45373">
              <w:rPr>
                <w:vertAlign w:val="superscript"/>
                <w:lang w:val="es-ES_tradnl"/>
              </w:rPr>
              <w:tab/>
            </w:r>
            <w:r w:rsidRPr="00D45373">
              <w:rPr>
                <w:lang w:val="es-ES_tradnl"/>
              </w:rPr>
              <w:t>La sensibilidad del receptor se determina utilizando la anchura de banda del ruido equivalente.</w:t>
            </w:r>
          </w:p>
        </w:tc>
      </w:tr>
    </w:tbl>
    <w:p w:rsidR="00EC301B" w:rsidRPr="00D45373" w:rsidRDefault="00EC301B" w:rsidP="00EC301B">
      <w:pPr>
        <w:pStyle w:val="Tablefin"/>
        <w:rPr>
          <w:lang w:val="es-ES_tradnl"/>
        </w:rPr>
      </w:pPr>
    </w:p>
    <w:p w:rsidR="00EC301B" w:rsidRPr="00D45373" w:rsidRDefault="00EC301B" w:rsidP="00EC301B">
      <w:pPr>
        <w:overflowPunct/>
        <w:autoSpaceDE/>
        <w:autoSpaceDN/>
        <w:adjustRightInd/>
        <w:spacing w:before="0"/>
        <w:rPr>
          <w:b/>
          <w:sz w:val="28"/>
          <w:lang w:val="es-ES_tradnl"/>
        </w:rPr>
      </w:pPr>
    </w:p>
    <w:p w:rsidR="00EC301B" w:rsidRPr="00D45373" w:rsidRDefault="00EC301B" w:rsidP="00EC301B">
      <w:pPr>
        <w:overflowPunct/>
        <w:autoSpaceDE/>
        <w:autoSpaceDN/>
        <w:adjustRightInd/>
        <w:spacing w:before="0"/>
        <w:rPr>
          <w:b/>
          <w:sz w:val="28"/>
          <w:lang w:val="es-ES_tradnl"/>
        </w:rPr>
        <w:sectPr w:rsidR="00EC301B" w:rsidRPr="00D45373" w:rsidSect="005A61B3">
          <w:headerReference w:type="even" r:id="rId18"/>
          <w:headerReference w:type="default" r:id="rId19"/>
          <w:footerReference w:type="default" r:id="rId20"/>
          <w:headerReference w:type="first" r:id="rId21"/>
          <w:footerReference w:type="first" r:id="rId22"/>
          <w:pgSz w:w="16834" w:h="11907" w:orient="landscape"/>
          <w:pgMar w:top="1440" w:right="1418" w:bottom="1418" w:left="1418" w:header="720" w:footer="720" w:gutter="0"/>
          <w:paperSrc w:first="15" w:other="15"/>
          <w:cols w:space="720"/>
          <w:titlePg/>
          <w:docGrid w:linePitch="326"/>
        </w:sectPr>
      </w:pPr>
    </w:p>
    <w:p w:rsidR="00EC301B" w:rsidRPr="00D45373" w:rsidRDefault="00EC301B" w:rsidP="00EC301B">
      <w:pPr>
        <w:pStyle w:val="Heading1"/>
        <w:rPr>
          <w:lang w:val="es-ES_tradnl"/>
        </w:rPr>
      </w:pPr>
      <w:r w:rsidRPr="00D45373">
        <w:rPr>
          <w:lang w:val="es-ES_tradnl"/>
        </w:rPr>
        <w:lastRenderedPageBreak/>
        <w:t>3</w:t>
      </w:r>
      <w:r w:rsidRPr="00D45373">
        <w:rPr>
          <w:lang w:val="es-ES_tradnl"/>
        </w:rPr>
        <w:tab/>
        <w:t xml:space="preserve">Características de funcionamiento de los sistemas de radares en automóviles que funcionan en las bandas de frecuencias 76-77 GHz y 77-81 GHz 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lang w:val="es-ES_tradnl"/>
        </w:rPr>
        <w:t>Las aplicaciones de radares en automóviles han pasado de ofrecer funciones adicionales para ampliar el confort, como el radar de control de trayectoria adaptable (ACC) y para evitar colisiones (CA)</w:t>
      </w:r>
      <w:r w:rsidRPr="00D45373">
        <w:rPr>
          <w:lang w:val="es-ES_tradnl" w:eastAsia="ja-JP"/>
        </w:rPr>
        <w:t>,</w:t>
      </w:r>
      <w:r w:rsidRPr="00D45373">
        <w:rPr>
          <w:lang w:val="es-ES_tradnl"/>
        </w:rPr>
        <w:t xml:space="preserve"> a ofrecer funciones que mejoran notablemente la seguridad activa y pasiva del vehículo. Estas evoluciones requieren sistemas capaces de detectar objetos situados en las proximidades (alrededor de 15 metros) del vehículo, como peatones o bicicletas. Estas aplicaciones precisan de sensores de radar capaces de detectar que el objetivo se encuentra a una distancia de menos de 10 centímetros. Los sensores de radar que ofrecen esta resolución necesitan una anchura de banda de funcionamiento de 4 GHz.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lang w:val="es-ES_tradnl"/>
        </w:rPr>
        <w:t>Los sensores de los radares del tipo A detectan el tráfico viario pertinente a fin de adaptar la velocidad del vehículo a la de los vehículos que circulan por delante de él. En función de la aplicación, y a fin de mejorar la seguridad, un vehículo puede combinar uno o más tipos de radar del tipo A con sensores de radares de los tipos B, C, D o E. El sistema de tratamiento de datos del vehículo pondrá en marcha el radar adecuado en función de la información que reciba del sensor.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lang w:val="es-ES_tradnl"/>
        </w:rPr>
        <w:t>Los sensores de los radares de los tipos B, C, D</w:t>
      </w:r>
      <w:r w:rsidRPr="00D45373">
        <w:rPr>
          <w:lang w:val="es-ES_tradnl" w:eastAsia="ja-JP"/>
        </w:rPr>
        <w:t xml:space="preserve"> o E</w:t>
      </w:r>
      <w:r w:rsidRPr="00D45373">
        <w:rPr>
          <w:lang w:val="es-ES_tradnl"/>
        </w:rPr>
        <w:t xml:space="preserve"> cubren las inmediaciones del vehículo y ofrecen funciones adicionales de seguridad activa y pasiva, por ejemplo el frenado de emergencia autónomo, medidas de asistencia activa para los ángulos muertos o la ayuda para el cambio de carril.</w:t>
      </w:r>
    </w:p>
    <w:p w:rsidR="00EC301B" w:rsidRPr="00D45373" w:rsidRDefault="00EC301B" w:rsidP="00EC301B">
      <w:pPr>
        <w:pStyle w:val="Heading1"/>
        <w:rPr>
          <w:lang w:val="es-ES_tradnl"/>
        </w:rPr>
      </w:pPr>
      <w:r w:rsidRPr="00D45373">
        <w:rPr>
          <w:lang w:val="es-ES_tradnl"/>
        </w:rPr>
        <w:t>4</w:t>
      </w:r>
      <w:r w:rsidRPr="00D45373">
        <w:rPr>
          <w:lang w:val="es-ES_tradnl"/>
        </w:rPr>
        <w:tab/>
        <w:t>Criterios de protección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lang w:val="es-ES_tradnl"/>
        </w:rPr>
        <w:t xml:space="preserve">El efecto de desensibilización en los radares que funcionan en esta banda de frecuencias procedente de otros servicios con onda continua, </w:t>
      </w:r>
      <w:r w:rsidRPr="00D45373">
        <w:rPr>
          <w:color w:val="000000"/>
          <w:lang w:val="es-ES_tradnl"/>
        </w:rPr>
        <w:t xml:space="preserve">onda continua con modulación en frecuencia </w:t>
      </w:r>
      <w:r w:rsidRPr="00D45373">
        <w:rPr>
          <w:lang w:val="es-ES_tradnl"/>
        </w:rPr>
        <w:t xml:space="preserve">o modulación de tipo ruido guarda posiblemente relación con su intensidad. </w:t>
      </w:r>
      <w:r w:rsidRPr="00D45373">
        <w:rPr>
          <w:color w:val="000000"/>
          <w:lang w:val="es-ES_tradnl"/>
        </w:rPr>
        <w:t>En cualquiera de los sectores de acimut de los que proviene este tipo de interferencia, su densidad espectral de potencia puede, con una aproximación razonable, simplemente sumarse a la densidad espectral de potencia del ruido térmico del receptor de radar</w:t>
      </w:r>
      <w:r w:rsidRPr="00D45373">
        <w:rPr>
          <w:lang w:val="es-ES_tradnl"/>
        </w:rPr>
        <w:t xml:space="preserve">. </w:t>
      </w:r>
      <w:r w:rsidRPr="00D45373">
        <w:rPr>
          <w:color w:val="000000"/>
          <w:lang w:val="es-ES_tradnl"/>
        </w:rPr>
        <w:t>Si se denomina N0 a la densidad espectral de potencia del ruido en el receptor radar en ausencia de interferencia e I0 a la interferencia de tipo ruido, la densidad espectral de potencia de ruido efectiva resultante es simplemente la suma I0 + N0. Un aumento de 1 dB aproximadamente en los radares de automóviles constituye una degradación significativa</w:t>
      </w:r>
      <w:r w:rsidRPr="00D45373">
        <w:rPr>
          <w:lang w:val="es-ES_tradnl"/>
        </w:rPr>
        <w:t xml:space="preserve">. </w:t>
      </w:r>
      <w:r w:rsidRPr="00D45373">
        <w:rPr>
          <w:color w:val="000000"/>
          <w:lang w:val="es-ES_tradnl"/>
        </w:rPr>
        <w:t>Un aumento de este tipo corresponde a una relación (I + N)/N de 1,26 o a una relación I/N de –6 dB, aproximadamente</w:t>
      </w:r>
      <w:r w:rsidRPr="00D45373">
        <w:rPr>
          <w:lang w:val="es-ES_tradnl"/>
        </w:rPr>
        <w:t>.</w:t>
      </w:r>
    </w:p>
    <w:p w:rsidR="00EC301B" w:rsidRPr="00D45373" w:rsidRDefault="00EC301B" w:rsidP="00EC301B">
      <w:pPr>
        <w:rPr>
          <w:lang w:val="es-ES_tradnl"/>
        </w:rPr>
      </w:pPr>
      <w:r w:rsidRPr="00D45373">
        <w:rPr>
          <w:color w:val="000000"/>
          <w:lang w:val="es-ES_tradnl"/>
        </w:rPr>
        <w:t>El factor de acumulación puede ser muy sustancial en el caso de ciertos sistemas de comunicaciones en los que puede instalarse un gran número de estaciones</w:t>
      </w:r>
      <w:r w:rsidRPr="00D45373">
        <w:rPr>
          <w:lang w:val="es-ES_tradnl"/>
        </w:rPr>
        <w:t xml:space="preserve">. </w:t>
      </w:r>
      <w:r w:rsidRPr="00D45373">
        <w:rPr>
          <w:color w:val="000000"/>
          <w:lang w:val="es-ES_tradnl"/>
        </w:rPr>
        <w:t>El efecto de la interferencia impulsiva es más difícil de cuantificar y depende fuertemente del diseño de los receptores y el procesador, así como del modo de funcionamiento. En particular, las ganancias del procesamiento diferenciales para retornos de blanco válidos que son síncronos con los impulsos, y los impulsos de interferencia que generalmente son asíncronos, suelen tener efectos importantes en la repercusión de los niveles determinados de interferencia impulsiva. Este tipo de desensibilización puede dar lugar a diversas formas distintas de degradación de la calidad. La evaluación de éstas será un objetivo de los análisis de interacciones entre tipos específicos de radares</w:t>
      </w:r>
      <w:r w:rsidRPr="00D45373">
        <w:rPr>
          <w:lang w:val="es-ES_tradnl"/>
        </w:rPr>
        <w:t>.</w:t>
      </w:r>
    </w:p>
    <w:p w:rsidR="00EC301B" w:rsidRDefault="00EC301B" w:rsidP="00EC301B">
      <w:pPr>
        <w:rPr>
          <w:lang w:val="es-ES_tradnl" w:eastAsia="zh-CN"/>
        </w:rPr>
      </w:pPr>
    </w:p>
    <w:p w:rsidR="00230DA0" w:rsidRPr="00D45373" w:rsidRDefault="00230DA0" w:rsidP="00EC301B">
      <w:pPr>
        <w:rPr>
          <w:lang w:val="es-ES_tradnl" w:eastAsia="zh-CN"/>
        </w:rPr>
      </w:pPr>
    </w:p>
    <w:p w:rsidR="00EC301B" w:rsidRPr="00D45373" w:rsidRDefault="00EC301B" w:rsidP="00230DA0">
      <w:pPr>
        <w:pStyle w:val="Line"/>
      </w:pPr>
    </w:p>
    <w:sectPr w:rsidR="00EC301B" w:rsidRPr="00D45373" w:rsidSect="00AF131D">
      <w:headerReference w:type="even" r:id="rId23"/>
      <w:headerReference w:type="default" r:id="rId24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AEB" w:rsidRDefault="00A07AEB">
      <w:r>
        <w:separator/>
      </w:r>
    </w:p>
  </w:endnote>
  <w:endnote w:type="continuationSeparator" w:id="0">
    <w:p w:rsidR="00A07AEB" w:rsidRDefault="00A0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1B" w:rsidRPr="00DA7B76" w:rsidRDefault="00EC301B" w:rsidP="0023301C">
    <w:pPr>
      <w:rPr>
        <w:lang w:val="en-US"/>
      </w:rPr>
    </w:pPr>
    <w:r>
      <w:fldChar w:fldCharType="begin"/>
    </w:r>
    <w:r w:rsidRPr="001E68F4">
      <w:rPr>
        <w:lang w:val="en-US"/>
      </w:rPr>
      <w:instrText xml:space="preserve"> FILENAME  \p  \* MERGEFORMAT </w:instrText>
    </w:r>
    <w:r>
      <w:fldChar w:fldCharType="separate"/>
    </w:r>
    <w:r w:rsidR="003423DD">
      <w:rPr>
        <w:noProof/>
        <w:lang w:val="en-US"/>
      </w:rPr>
      <w:t>P:\QPUB\BR\REC\M\2057-0\M2057-0S.docx</w:t>
    </w:r>
    <w:r>
      <w:fldChar w:fldCharType="end"/>
    </w:r>
    <w:r w:rsidRPr="001E68F4">
      <w:rPr>
        <w:lang w:val="en-US"/>
      </w:rPr>
      <w:tab/>
    </w:r>
    <w:r w:rsidRPr="00DA7B76">
      <w:rPr>
        <w:lang w:val="en-US"/>
      </w:rPr>
      <w:t>12.12.13</w:t>
    </w:r>
    <w:r>
      <w:rPr>
        <w:lang w:val="en-US"/>
      </w:rPr>
      <w:tab/>
    </w:r>
    <w:r w:rsidRPr="00DA7B76">
      <w:rPr>
        <w:lang w:val="en-US"/>
      </w:rPr>
      <w:t>12.12.13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1B" w:rsidRPr="000C7A42" w:rsidRDefault="00EC301B" w:rsidP="000C7A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1B" w:rsidRPr="00AF131D" w:rsidRDefault="00EC301B" w:rsidP="00AF131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1B" w:rsidRPr="000C7A42" w:rsidRDefault="00EC301B" w:rsidP="000C7A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AEB" w:rsidRDefault="00A07AEB">
      <w:r>
        <w:separator/>
      </w:r>
    </w:p>
  </w:footnote>
  <w:footnote w:type="continuationSeparator" w:id="0">
    <w:p w:rsidR="00A07AEB" w:rsidRDefault="00A07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042292">
    <w:pPr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1B" w:rsidRPr="00751A61" w:rsidRDefault="00EC301B" w:rsidP="00751A61">
    <w:pPr>
      <w:tabs>
        <w:tab w:val="clear" w:pos="794"/>
        <w:tab w:val="clear" w:pos="1191"/>
        <w:tab w:val="clear" w:pos="1588"/>
        <w:tab w:val="clear" w:pos="1985"/>
        <w:tab w:val="center" w:pos="7088"/>
        <w:tab w:val="center" w:pos="13892"/>
      </w:tabs>
      <w:jc w:val="left"/>
      <w:rPr>
        <w:rStyle w:val="PageNumber"/>
      </w:rPr>
    </w:pPr>
    <w:r w:rsidRPr="00FC42AF">
      <w:tab/>
    </w:r>
    <w:fldSimple w:instr=" DOCPROPERTY &quot;Header&quot; \* MERGEFORMAT ">
      <w:r w:rsidR="003423DD" w:rsidRPr="003423D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3423DD">
      <w:rPr>
        <w:b/>
        <w:bCs/>
        <w:noProof/>
      </w:rPr>
      <w:t>UIT-R  M.2057-0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423DD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F32" w:rsidRPr="00AF131D" w:rsidRDefault="006870AA" w:rsidP="00AF131D">
    <w:pPr>
      <w:tabs>
        <w:tab w:val="clear" w:pos="794"/>
        <w:tab w:val="clear" w:pos="1191"/>
        <w:tab w:val="clear" w:pos="1588"/>
        <w:tab w:val="clear" w:pos="1985"/>
        <w:tab w:val="center" w:pos="482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07D6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423DD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 w:rsidR="00607D68">
      <w:rPr>
        <w:lang w:val="en-US"/>
      </w:rPr>
      <w:tab/>
    </w:r>
    <w:fldSimple w:instr=" DOCPROPERTY &quot;Header&quot; \* MERGEFORMAT ">
      <w:r w:rsidR="003423DD" w:rsidRPr="003423DD">
        <w:rPr>
          <w:b/>
          <w:bCs/>
          <w:lang w:val="en-US"/>
        </w:rPr>
        <w:t xml:space="preserve">Rec. </w:t>
      </w:r>
    </w:fldSimple>
    <w:r w:rsidR="00607D68">
      <w:rPr>
        <w:b/>
        <w:bCs/>
      </w:rPr>
      <w:t xml:space="preserve"> </w:t>
    </w:r>
    <w:r>
      <w:rPr>
        <w:b/>
        <w:bCs/>
      </w:rPr>
      <w:fldChar w:fldCharType="begin"/>
    </w:r>
    <w:r w:rsidR="00607D6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423DD">
      <w:rPr>
        <w:b/>
        <w:bCs/>
        <w:noProof/>
      </w:rPr>
      <w:t>UIT-R  M.2057-0</w:t>
    </w:r>
    <w:r>
      <w:rPr>
        <w:b/>
        <w:bCs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1B395D" w:rsidRDefault="00F32218" w:rsidP="00F32218">
    <w:pPr>
      <w:pStyle w:val="Header"/>
      <w:jc w:val="left"/>
      <w:rPr>
        <w:b/>
        <w:bCs/>
      </w:rPr>
    </w:pPr>
    <w:r>
      <w:tab/>
    </w:r>
    <w:fldSimple w:instr=" DOCPROPERTY &quot;Header&quot; \* MERGEFORMAT ">
      <w:r w:rsidR="003423DD" w:rsidRPr="003423DD">
        <w:rPr>
          <w:b/>
          <w:bCs/>
        </w:rPr>
        <w:t xml:space="preserve">Rec. </w:t>
      </w:r>
    </w:fldSimple>
    <w:r w:rsidR="00607D68" w:rsidRPr="001B395D">
      <w:rPr>
        <w:b/>
        <w:bCs/>
      </w:rPr>
      <w:t xml:space="preserve"> </w:t>
    </w:r>
    <w:r w:rsidR="006870AA" w:rsidRPr="001B395D">
      <w:rPr>
        <w:b/>
        <w:bCs/>
      </w:rPr>
      <w:fldChar w:fldCharType="begin"/>
    </w:r>
    <w:r w:rsidR="00607D68" w:rsidRPr="001B395D">
      <w:rPr>
        <w:b/>
        <w:bCs/>
      </w:rPr>
      <w:instrText>styleref href</w:instrText>
    </w:r>
    <w:r w:rsidR="006870AA" w:rsidRPr="001B395D">
      <w:rPr>
        <w:b/>
        <w:bCs/>
      </w:rPr>
      <w:fldChar w:fldCharType="separate"/>
    </w:r>
    <w:r w:rsidR="003423DD">
      <w:rPr>
        <w:b/>
        <w:bCs/>
        <w:noProof/>
      </w:rPr>
      <w:t>UIT-R  M.2057-0</w:t>
    </w:r>
    <w:r w:rsidR="006870AA" w:rsidRPr="001B395D">
      <w:rPr>
        <w:b/>
        <w:bCs/>
      </w:rPr>
      <w:fldChar w:fldCharType="end"/>
    </w:r>
    <w:r>
      <w:rPr>
        <w:b/>
        <w:bCs/>
      </w:rPr>
      <w:tab/>
    </w:r>
    <w:r w:rsidRPr="00F32218">
      <w:rPr>
        <w:rStyle w:val="PageNumber"/>
        <w:b/>
        <w:bCs/>
      </w:rPr>
      <w:fldChar w:fldCharType="begin"/>
    </w:r>
    <w:r w:rsidRPr="00F32218">
      <w:rPr>
        <w:rStyle w:val="PageNumber"/>
        <w:b/>
        <w:bCs/>
      </w:rPr>
      <w:instrText xml:space="preserve"> PAGE   \* MERGEFORMAT </w:instrText>
    </w:r>
    <w:r w:rsidRPr="00F32218">
      <w:rPr>
        <w:rStyle w:val="PageNumber"/>
        <w:b/>
        <w:bCs/>
      </w:rPr>
      <w:fldChar w:fldCharType="separate"/>
    </w:r>
    <w:r w:rsidR="00AF131D">
      <w:rPr>
        <w:rStyle w:val="PageNumber"/>
        <w:b/>
        <w:bCs/>
        <w:noProof/>
      </w:rPr>
      <w:t>1</w:t>
    </w:r>
    <w:r w:rsidRPr="00F32218">
      <w:rPr>
        <w:rStyle w:val="PageNumber"/>
        <w:b/>
        <w:bCs/>
        <w:noProof/>
      </w:rPr>
      <w:fldChar w:fldCharType="end"/>
    </w:r>
  </w:p>
  <w:p w:rsidR="00677F32" w:rsidRDefault="00677F3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CF7F63" w:rsidP="00CB1354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178A6927" wp14:editId="33F0ADF3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4D65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8DDEA23" wp14:editId="546C2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6870AA" w:rsidP="001B395D">
    <w:pPr>
      <w:pStyle w:val="Header"/>
      <w:jc w:val="left"/>
    </w:pPr>
    <w:r>
      <w:rPr>
        <w:rStyle w:val="PageNumber"/>
        <w:b/>
        <w:bCs/>
      </w:rPr>
      <w:fldChar w:fldCharType="begin"/>
    </w:r>
    <w:r w:rsidR="00042292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423D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42292">
      <w:tab/>
    </w:r>
    <w:r w:rsidR="003423DD">
      <w:fldChar w:fldCharType="begin"/>
    </w:r>
    <w:r w:rsidR="003423DD">
      <w:instrText xml:space="preserve"> DOCPROPERTY "Header" \* MERGEFORMAT </w:instrText>
    </w:r>
    <w:r w:rsidR="003423DD">
      <w:fldChar w:fldCharType="separate"/>
    </w:r>
    <w:r w:rsidR="003423DD" w:rsidRPr="003423DD">
      <w:rPr>
        <w:b/>
        <w:bCs/>
      </w:rPr>
      <w:t xml:space="preserve">Rec. </w:t>
    </w:r>
    <w:r w:rsidR="003423DD">
      <w:rPr>
        <w:b/>
        <w:bCs/>
      </w:rPr>
      <w:fldChar w:fldCharType="end"/>
    </w:r>
    <w:r w:rsidR="00042292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42292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3423DD">
      <w:rPr>
        <w:b/>
        <w:bCs/>
        <w:noProof/>
      </w:rPr>
      <w:t>UIT-R  M.2057-0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042292">
    <w:r>
      <w:tab/>
    </w:r>
    <w:r w:rsidR="003423DD">
      <w:fldChar w:fldCharType="begin"/>
    </w:r>
    <w:r w:rsidR="003423DD">
      <w:instrText xml:space="preserve"> DOCPROPERTY "Header" \* MERGEFORMAT </w:instrText>
    </w:r>
    <w:r w:rsidR="003423DD">
      <w:fldChar w:fldCharType="separate"/>
    </w:r>
    <w:r w:rsidR="003423DD" w:rsidRPr="003423DD">
      <w:rPr>
        <w:b/>
        <w:bCs/>
      </w:rPr>
      <w:t xml:space="preserve">Rec. </w:t>
    </w:r>
    <w:r w:rsidR="003423DD">
      <w:rPr>
        <w:b/>
        <w:bCs/>
      </w:rPr>
      <w:fldChar w:fldCharType="end"/>
    </w:r>
    <w:r>
      <w:rPr>
        <w:b/>
        <w:bCs/>
      </w:rPr>
      <w:t xml:space="preserve"> </w:t>
    </w:r>
    <w:r w:rsidR="006870AA">
      <w:rPr>
        <w:b/>
        <w:bCs/>
      </w:rPr>
      <w:fldChar w:fldCharType="begin"/>
    </w:r>
    <w:r>
      <w:rPr>
        <w:b/>
        <w:bCs/>
      </w:rPr>
      <w:instrText>styleref href</w:instrText>
    </w:r>
    <w:r w:rsidR="006870AA">
      <w:rPr>
        <w:b/>
        <w:bCs/>
      </w:rPr>
      <w:fldChar w:fldCharType="separate"/>
    </w:r>
    <w:r w:rsidR="003423DD">
      <w:rPr>
        <w:b/>
        <w:bCs/>
        <w:noProof/>
      </w:rPr>
      <w:t>UIT-R  M.2057-0</w:t>
    </w:r>
    <w:r w:rsidR="006870AA">
      <w:rPr>
        <w:b/>
        <w:bCs/>
      </w:rPr>
      <w:fldChar w:fldCharType="end"/>
    </w:r>
    <w:r>
      <w:tab/>
    </w:r>
    <w:r w:rsidR="006870AA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870A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6870AA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1B" w:rsidRPr="00FC42AF" w:rsidRDefault="00EC301B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423DD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3423DD" w:rsidRPr="003423D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3423DD">
      <w:rPr>
        <w:b/>
        <w:bCs/>
        <w:noProof/>
      </w:rPr>
      <w:t>UIT-R  M.2057-0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1B" w:rsidRDefault="00EC301B">
    <w:r>
      <w:t xml:space="preserve">- </w:t>
    </w:r>
    <w:sdt>
      <w:sdtPr>
        <w:id w:val="-26539231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-</w:t>
        </w:r>
      </w:sdtContent>
    </w:sdt>
  </w:p>
  <w:p w:rsidR="00EC301B" w:rsidRDefault="00EC301B" w:rsidP="0023301C">
    <w:r>
      <w:rPr>
        <w:lang w:val="en-US"/>
      </w:rPr>
      <w:t>5/73(Rev.1)-E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1B" w:rsidRPr="00FC42AF" w:rsidRDefault="00EC301B" w:rsidP="00751A61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fldSimple w:instr=" DOCPROPERTY &quot;Header&quot; \* MERGEFORMAT ">
      <w:r w:rsidR="003423DD" w:rsidRPr="003423D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3423DD">
      <w:rPr>
        <w:b/>
        <w:bCs/>
        <w:noProof/>
      </w:rPr>
      <w:t>UIT-R  M.2057-0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423DD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1B" w:rsidRPr="00FC42AF" w:rsidRDefault="00EC301B" w:rsidP="00BD31D7">
    <w:pPr>
      <w:tabs>
        <w:tab w:val="clear" w:pos="794"/>
        <w:tab w:val="clear" w:pos="1191"/>
        <w:tab w:val="clear" w:pos="1588"/>
        <w:tab w:val="clear" w:pos="1985"/>
        <w:tab w:val="center" w:pos="7088"/>
        <w:tab w:val="center" w:pos="9696"/>
      </w:tabs>
      <w:spacing w:before="0" w:after="120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423DD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3423DD" w:rsidRPr="003423D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3423DD">
      <w:rPr>
        <w:b/>
        <w:bCs/>
        <w:noProof/>
      </w:rPr>
      <w:t>UIT-R  M.2057-0</w:t>
    </w:r>
    <w:r>
      <w:rPr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01B" w:rsidRPr="00AF131D" w:rsidRDefault="00AF131D" w:rsidP="00AF131D">
    <w:pPr>
      <w:tabs>
        <w:tab w:val="clear" w:pos="794"/>
        <w:tab w:val="clear" w:pos="1191"/>
        <w:tab w:val="clear" w:pos="1588"/>
        <w:tab w:val="clear" w:pos="1985"/>
        <w:tab w:val="center" w:pos="7088"/>
        <w:tab w:val="center" w:pos="13892"/>
      </w:tabs>
      <w:jc w:val="left"/>
    </w:pPr>
    <w:r w:rsidRPr="00FC42AF"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3423DD" w:rsidRPr="003423DD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3423DD">
      <w:rPr>
        <w:b/>
        <w:bCs/>
        <w:noProof/>
      </w:rPr>
      <w:t>UIT-R  M.2057-0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423DD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7334C"/>
    <w:multiLevelType w:val="hybridMultilevel"/>
    <w:tmpl w:val="3C2012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54540"/>
    <w:multiLevelType w:val="hybridMultilevel"/>
    <w:tmpl w:val="615A21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hideSpellingErrors/>
  <w:hideGrammaticalErrors/>
  <w:activeWritingStyle w:appName="MSWord" w:lang="en-US" w:vendorID="64" w:dllVersion="131077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292"/>
    <w:rsid w:val="000014FC"/>
    <w:rsid w:val="00042292"/>
    <w:rsid w:val="00044D65"/>
    <w:rsid w:val="00053EDF"/>
    <w:rsid w:val="000E0AC9"/>
    <w:rsid w:val="001B26B3"/>
    <w:rsid w:val="001B2F46"/>
    <w:rsid w:val="001B395D"/>
    <w:rsid w:val="0021735B"/>
    <w:rsid w:val="00230DA0"/>
    <w:rsid w:val="002D76C4"/>
    <w:rsid w:val="003423DD"/>
    <w:rsid w:val="00383195"/>
    <w:rsid w:val="00410F5B"/>
    <w:rsid w:val="004234C8"/>
    <w:rsid w:val="004C52F0"/>
    <w:rsid w:val="004E4FBE"/>
    <w:rsid w:val="00567624"/>
    <w:rsid w:val="00574749"/>
    <w:rsid w:val="005A61B3"/>
    <w:rsid w:val="005B0DD2"/>
    <w:rsid w:val="005E4940"/>
    <w:rsid w:val="00607D68"/>
    <w:rsid w:val="00677F32"/>
    <w:rsid w:val="006870AA"/>
    <w:rsid w:val="006D443F"/>
    <w:rsid w:val="006F3D6E"/>
    <w:rsid w:val="007525B2"/>
    <w:rsid w:val="0076082A"/>
    <w:rsid w:val="007A6B3E"/>
    <w:rsid w:val="007C422B"/>
    <w:rsid w:val="008C67E6"/>
    <w:rsid w:val="00906075"/>
    <w:rsid w:val="009351D3"/>
    <w:rsid w:val="00982F3A"/>
    <w:rsid w:val="009951A3"/>
    <w:rsid w:val="00A07AEB"/>
    <w:rsid w:val="00A6617B"/>
    <w:rsid w:val="00A80825"/>
    <w:rsid w:val="00AB0DC8"/>
    <w:rsid w:val="00AF131D"/>
    <w:rsid w:val="00B42F17"/>
    <w:rsid w:val="00B44E24"/>
    <w:rsid w:val="00B721BE"/>
    <w:rsid w:val="00BD31D7"/>
    <w:rsid w:val="00C36A75"/>
    <w:rsid w:val="00C411AF"/>
    <w:rsid w:val="00CB1354"/>
    <w:rsid w:val="00CF7F63"/>
    <w:rsid w:val="00D131B8"/>
    <w:rsid w:val="00D33FA3"/>
    <w:rsid w:val="00DF4176"/>
    <w:rsid w:val="00DF4734"/>
    <w:rsid w:val="00E704B6"/>
    <w:rsid w:val="00E9174C"/>
    <w:rsid w:val="00EC301B"/>
    <w:rsid w:val="00ED6A57"/>
    <w:rsid w:val="00EE743D"/>
    <w:rsid w:val="00F32218"/>
    <w:rsid w:val="00F46AC6"/>
    <w:rsid w:val="00F90A3D"/>
    <w:rsid w:val="00F91385"/>
    <w:rsid w:val="00FD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0C6FE78C-558C-4FE6-BBCE-9031B662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FB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E4FB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4E4FB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E4FB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E4FB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E4FBE"/>
    <w:pPr>
      <w:outlineLvl w:val="4"/>
    </w:pPr>
  </w:style>
  <w:style w:type="paragraph" w:styleId="Heading6">
    <w:name w:val="heading 6"/>
    <w:basedOn w:val="Heading4"/>
    <w:next w:val="Normal"/>
    <w:qFormat/>
    <w:rsid w:val="004E4FB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E4FBE"/>
    <w:pPr>
      <w:outlineLvl w:val="6"/>
    </w:pPr>
  </w:style>
  <w:style w:type="paragraph" w:styleId="Heading8">
    <w:name w:val="heading 8"/>
    <w:basedOn w:val="Heading6"/>
    <w:next w:val="Normal"/>
    <w:qFormat/>
    <w:rsid w:val="004E4FBE"/>
    <w:pPr>
      <w:outlineLvl w:val="7"/>
    </w:pPr>
  </w:style>
  <w:style w:type="paragraph" w:styleId="Heading9">
    <w:name w:val="heading 9"/>
    <w:basedOn w:val="Heading6"/>
    <w:next w:val="Normal"/>
    <w:qFormat/>
    <w:rsid w:val="004E4FB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E4FB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4E4FB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E4FBE"/>
  </w:style>
  <w:style w:type="paragraph" w:customStyle="1" w:styleId="Headingb">
    <w:name w:val="Heading_b"/>
    <w:basedOn w:val="Heading3"/>
    <w:next w:val="Normal"/>
    <w:rsid w:val="004E4FB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E4FB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E4FBE"/>
  </w:style>
  <w:style w:type="paragraph" w:customStyle="1" w:styleId="enumlev1">
    <w:name w:val="enumlev1"/>
    <w:basedOn w:val="Normal"/>
    <w:rsid w:val="004E4FBE"/>
    <w:pPr>
      <w:spacing w:before="80"/>
      <w:ind w:left="794" w:hanging="794"/>
    </w:pPr>
  </w:style>
  <w:style w:type="paragraph" w:customStyle="1" w:styleId="enumlev2">
    <w:name w:val="enumlev2"/>
    <w:basedOn w:val="enumlev1"/>
    <w:rsid w:val="004E4FBE"/>
    <w:pPr>
      <w:ind w:left="1191" w:hanging="397"/>
    </w:pPr>
  </w:style>
  <w:style w:type="paragraph" w:customStyle="1" w:styleId="enumlev3">
    <w:name w:val="enumlev3"/>
    <w:basedOn w:val="enumlev2"/>
    <w:rsid w:val="004E4FBE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4E4FBE"/>
    <w:pPr>
      <w:spacing w:before="320"/>
    </w:pPr>
  </w:style>
  <w:style w:type="paragraph" w:customStyle="1" w:styleId="Note">
    <w:name w:val="Note"/>
    <w:basedOn w:val="Normal"/>
    <w:rsid w:val="004E4FB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4E4FB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4234C8"/>
    <w:pPr>
      <w:spacing w:before="240"/>
    </w:pPr>
    <w:rPr>
      <w:sz w:val="22"/>
      <w:lang w:val="es-ES_tradnl" w:eastAsia="zh-CN"/>
    </w:rPr>
  </w:style>
  <w:style w:type="paragraph" w:customStyle="1" w:styleId="Recref">
    <w:name w:val="Rec_ref"/>
    <w:basedOn w:val="Normal"/>
    <w:next w:val="Recdate"/>
    <w:rsid w:val="004E4FBE"/>
    <w:pPr>
      <w:jc w:val="center"/>
    </w:pPr>
  </w:style>
  <w:style w:type="paragraph" w:customStyle="1" w:styleId="Recdate">
    <w:name w:val="Rec_date"/>
    <w:basedOn w:val="Recref"/>
    <w:next w:val="Normalaftertitle"/>
    <w:rsid w:val="004E4FBE"/>
    <w:pPr>
      <w:jc w:val="right"/>
    </w:pPr>
  </w:style>
  <w:style w:type="paragraph" w:customStyle="1" w:styleId="AnnexNoTitle">
    <w:name w:val="Annex_NoTitle"/>
    <w:basedOn w:val="Normal"/>
    <w:next w:val="Normalaftertitle"/>
    <w:rsid w:val="004E4FB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4E4FBE"/>
  </w:style>
  <w:style w:type="paragraph" w:customStyle="1" w:styleId="Tablefin">
    <w:name w:val="Table_fin"/>
    <w:basedOn w:val="Normal"/>
    <w:next w:val="Normal"/>
    <w:rsid w:val="004E4FB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4E4FB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4E4FB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4E4FB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4E4FB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4E4FB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E4FB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E4FBE"/>
    <w:pPr>
      <w:ind w:left="794"/>
    </w:pPr>
  </w:style>
  <w:style w:type="paragraph" w:customStyle="1" w:styleId="Figurelegend">
    <w:name w:val="Figure_legend"/>
    <w:basedOn w:val="Normal"/>
    <w:rsid w:val="004E4FB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4E4FB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4E4FB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E4FB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E4FB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E4FB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E4FB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4E4FB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E4FBE"/>
    <w:rPr>
      <w:b/>
    </w:rPr>
  </w:style>
  <w:style w:type="paragraph" w:customStyle="1" w:styleId="Chaptitle">
    <w:name w:val="Chap_title"/>
    <w:basedOn w:val="Arttitle"/>
    <w:next w:val="Normalaftertitle"/>
    <w:rsid w:val="004E4FBE"/>
  </w:style>
  <w:style w:type="character" w:styleId="FootnoteReference">
    <w:name w:val="footnote reference"/>
    <w:basedOn w:val="DefaultParagraphFont"/>
    <w:semiHidden/>
    <w:rsid w:val="004E4FBE"/>
    <w:rPr>
      <w:position w:val="6"/>
      <w:sz w:val="18"/>
    </w:rPr>
  </w:style>
  <w:style w:type="paragraph" w:styleId="FootnoteText">
    <w:name w:val="footnote text"/>
    <w:basedOn w:val="Normal"/>
    <w:semiHidden/>
    <w:rsid w:val="004E4FB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4E4FBE"/>
  </w:style>
  <w:style w:type="paragraph" w:styleId="Index2">
    <w:name w:val="index 2"/>
    <w:basedOn w:val="Normal"/>
    <w:next w:val="Normal"/>
    <w:semiHidden/>
    <w:rsid w:val="004E4FBE"/>
    <w:pPr>
      <w:ind w:left="283"/>
    </w:pPr>
  </w:style>
  <w:style w:type="paragraph" w:styleId="Index3">
    <w:name w:val="index 3"/>
    <w:basedOn w:val="Normal"/>
    <w:next w:val="Normal"/>
    <w:semiHidden/>
    <w:rsid w:val="004E4FBE"/>
    <w:pPr>
      <w:ind w:left="566"/>
    </w:pPr>
  </w:style>
  <w:style w:type="paragraph" w:styleId="IndexHeading">
    <w:name w:val="index heading"/>
    <w:basedOn w:val="Normal"/>
    <w:next w:val="Index1"/>
    <w:semiHidden/>
    <w:rsid w:val="004E4FBE"/>
  </w:style>
  <w:style w:type="paragraph" w:customStyle="1" w:styleId="Line">
    <w:name w:val="Line"/>
    <w:basedOn w:val="Normal"/>
    <w:next w:val="Normal"/>
    <w:rsid w:val="004E4FB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E4FB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E4FBE"/>
  </w:style>
  <w:style w:type="paragraph" w:customStyle="1" w:styleId="Partref">
    <w:name w:val="Part_ref"/>
    <w:basedOn w:val="Normal"/>
    <w:next w:val="Normal"/>
    <w:rsid w:val="004E4FB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E4FB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E4FBE"/>
  </w:style>
  <w:style w:type="paragraph" w:customStyle="1" w:styleId="QuestionNo">
    <w:name w:val="Question_No"/>
    <w:basedOn w:val="RecNo"/>
    <w:next w:val="Normal"/>
    <w:rsid w:val="004E4FBE"/>
  </w:style>
  <w:style w:type="paragraph" w:customStyle="1" w:styleId="Questionref">
    <w:name w:val="Question_ref"/>
    <w:basedOn w:val="Recref"/>
    <w:next w:val="Questiondate"/>
    <w:rsid w:val="004E4FBE"/>
  </w:style>
  <w:style w:type="paragraph" w:customStyle="1" w:styleId="Questiontitle">
    <w:name w:val="Question_title"/>
    <w:basedOn w:val="Normal"/>
    <w:next w:val="Questionref"/>
    <w:rsid w:val="004E4FBE"/>
  </w:style>
  <w:style w:type="paragraph" w:customStyle="1" w:styleId="Reftext">
    <w:name w:val="Ref_text"/>
    <w:basedOn w:val="Normal"/>
    <w:rsid w:val="004E4FB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4E4FB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E4FBE"/>
  </w:style>
  <w:style w:type="paragraph" w:customStyle="1" w:styleId="RepNo">
    <w:name w:val="Rep_No"/>
    <w:basedOn w:val="RecNo"/>
    <w:next w:val="Reptitle"/>
    <w:rsid w:val="004E4FBE"/>
  </w:style>
  <w:style w:type="paragraph" w:customStyle="1" w:styleId="Repref">
    <w:name w:val="Rep_ref"/>
    <w:basedOn w:val="Recref"/>
    <w:next w:val="Repdate"/>
    <w:rsid w:val="004E4FBE"/>
  </w:style>
  <w:style w:type="paragraph" w:customStyle="1" w:styleId="Reptitle">
    <w:name w:val="Rep_title"/>
    <w:basedOn w:val="Rectitle"/>
    <w:next w:val="Repref"/>
    <w:rsid w:val="004E4FBE"/>
  </w:style>
  <w:style w:type="paragraph" w:customStyle="1" w:styleId="Resdate">
    <w:name w:val="Res_date"/>
    <w:basedOn w:val="Recdate"/>
    <w:next w:val="Normalaftertitle"/>
    <w:rsid w:val="004E4FBE"/>
  </w:style>
  <w:style w:type="paragraph" w:customStyle="1" w:styleId="ResNo">
    <w:name w:val="Res_No"/>
    <w:basedOn w:val="RecNo"/>
    <w:next w:val="Restitle"/>
    <w:rsid w:val="004E4FBE"/>
  </w:style>
  <w:style w:type="paragraph" w:customStyle="1" w:styleId="Resref">
    <w:name w:val="Res_ref"/>
    <w:basedOn w:val="Recref"/>
    <w:next w:val="Resdate"/>
    <w:rsid w:val="004E4FBE"/>
  </w:style>
  <w:style w:type="paragraph" w:customStyle="1" w:styleId="Restitle">
    <w:name w:val="Res_title"/>
    <w:basedOn w:val="Normal"/>
    <w:next w:val="Resref"/>
    <w:rsid w:val="004E4FB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4E4FBE"/>
  </w:style>
  <w:style w:type="paragraph" w:customStyle="1" w:styleId="Sectiontitle">
    <w:name w:val="Section_title"/>
    <w:basedOn w:val="Normal"/>
    <w:next w:val="Normalaftertitle"/>
    <w:rsid w:val="004E4FB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E4FB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4E4FB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E4FB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E4FB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E4FB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E4FBE"/>
  </w:style>
  <w:style w:type="paragraph" w:styleId="TOC6">
    <w:name w:val="toc 6"/>
    <w:basedOn w:val="TOC4"/>
    <w:semiHidden/>
    <w:rsid w:val="004E4FBE"/>
  </w:style>
  <w:style w:type="paragraph" w:styleId="TOC7">
    <w:name w:val="toc 7"/>
    <w:basedOn w:val="TOC4"/>
    <w:semiHidden/>
    <w:rsid w:val="004E4FBE"/>
  </w:style>
  <w:style w:type="paragraph" w:styleId="TOC8">
    <w:name w:val="toc 8"/>
    <w:basedOn w:val="TOC4"/>
    <w:semiHidden/>
    <w:rsid w:val="004E4FBE"/>
  </w:style>
  <w:style w:type="paragraph" w:customStyle="1" w:styleId="Rectitle">
    <w:name w:val="Rec_title"/>
    <w:basedOn w:val="Normal"/>
    <w:next w:val="Recref"/>
    <w:rsid w:val="004E4FB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4E4FB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E4FBE"/>
  </w:style>
  <w:style w:type="paragraph" w:customStyle="1" w:styleId="Figuretitle">
    <w:name w:val="Figure_title"/>
    <w:basedOn w:val="Normal"/>
    <w:next w:val="Figure"/>
    <w:rsid w:val="004E4FB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rsid w:val="004E4FB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4234C8"/>
    <w:rPr>
      <w:sz w:val="22"/>
      <w:szCs w:val="24"/>
      <w:lang w:val="es-ES_tradnl"/>
    </w:rPr>
  </w:style>
  <w:style w:type="character" w:styleId="Hyperlink">
    <w:name w:val="Hyperlink"/>
    <w:basedOn w:val="DefaultParagraphFont"/>
    <w:uiPriority w:val="99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4E4FBE"/>
    <w:pPr>
      <w:keepNext w:val="0"/>
      <w:spacing w:before="0" w:after="240"/>
    </w:pPr>
  </w:style>
  <w:style w:type="table" w:styleId="TableGrid">
    <w:name w:val="Table Grid"/>
    <w:basedOn w:val="TableNormal"/>
    <w:rsid w:val="000422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4E4FBE"/>
    <w:pPr>
      <w:ind w:left="-85" w:firstLine="0"/>
    </w:pPr>
    <w:rPr>
      <w:lang w:val="en-US"/>
    </w:rPr>
  </w:style>
  <w:style w:type="paragraph" w:customStyle="1" w:styleId="TableText0">
    <w:name w:val="Table_Text"/>
    <w:basedOn w:val="Normal"/>
    <w:rsid w:val="00C411AF"/>
    <w:pPr>
      <w:keepNext/>
      <w:spacing w:before="100" w:after="100" w:line="190" w:lineRule="exact"/>
    </w:pPr>
    <w:rPr>
      <w:sz w:val="18"/>
      <w:szCs w:val="18"/>
      <w:lang w:val="en-GB" w:eastAsia="zh-CN"/>
    </w:rPr>
  </w:style>
  <w:style w:type="paragraph" w:customStyle="1" w:styleId="Annex">
    <w:name w:val="Annex_#"/>
    <w:basedOn w:val="Normal"/>
    <w:next w:val="Normal"/>
    <w:rsid w:val="00C411A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 w:eastAsia="zh-CN"/>
    </w:rPr>
  </w:style>
  <w:style w:type="paragraph" w:customStyle="1" w:styleId="AnnexTitle">
    <w:name w:val="Annex_Title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</w:pPr>
    <w:rPr>
      <w:b/>
      <w:bCs/>
      <w:szCs w:val="24"/>
      <w:lang w:val="en-GB" w:eastAsia="zh-CN"/>
    </w:rPr>
  </w:style>
  <w:style w:type="paragraph" w:customStyle="1" w:styleId="Normalaftertitle0">
    <w:name w:val="Normal after title"/>
    <w:basedOn w:val="Normal"/>
    <w:next w:val="Normal"/>
    <w:rsid w:val="00C411AF"/>
    <w:pPr>
      <w:spacing w:before="480"/>
    </w:pPr>
    <w:rPr>
      <w:sz w:val="20"/>
      <w:lang w:val="en-GB" w:eastAsia="zh-CN"/>
    </w:rPr>
  </w:style>
  <w:style w:type="paragraph" w:customStyle="1" w:styleId="call0">
    <w:name w:val="call"/>
    <w:basedOn w:val="Normal"/>
    <w:next w:val="Normal"/>
    <w:rsid w:val="00C411A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cTitleRef">
    <w:name w:val="Rec_Title/Ref"/>
    <w:basedOn w:val="Normal"/>
    <w:next w:val="RecTitleDate"/>
    <w:rsid w:val="00C411AF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  <w:jc w:val="center"/>
    </w:pPr>
    <w:rPr>
      <w:sz w:val="20"/>
      <w:lang w:val="en-GB" w:eastAsia="zh-CN"/>
    </w:rPr>
  </w:style>
  <w:style w:type="paragraph" w:customStyle="1" w:styleId="RecTitleDate">
    <w:name w:val="Rec_Title/Date"/>
    <w:basedOn w:val="RecTitleRef"/>
    <w:next w:val="headfoot"/>
    <w:rsid w:val="00C411AF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  <w:lang w:val="en-GB" w:eastAsia="zh-CN"/>
    </w:rPr>
  </w:style>
  <w:style w:type="character" w:customStyle="1" w:styleId="TableheadChar">
    <w:name w:val="Table_head Char"/>
    <w:basedOn w:val="DefaultParagraphFont"/>
    <w:link w:val="Tablehead"/>
    <w:locked/>
    <w:rsid w:val="00D33FA3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33FA3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B2F4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B2F46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B2F46"/>
    <w:rPr>
      <w:caps/>
      <w:sz w:val="18"/>
      <w:lang w:val="fr-FR" w:eastAsia="en-US"/>
    </w:rPr>
  </w:style>
  <w:style w:type="character" w:styleId="CommentReference">
    <w:name w:val="annotation reference"/>
    <w:semiHidden/>
    <w:rsid w:val="0057474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74749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74749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747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74749"/>
    <w:rPr>
      <w:b/>
      <w:bCs/>
      <w:lang w:val="fr-FR" w:eastAsia="en-US"/>
    </w:rPr>
  </w:style>
  <w:style w:type="character" w:customStyle="1" w:styleId="Tablefreq">
    <w:name w:val="Table_freq"/>
    <w:rsid w:val="00574749"/>
    <w:rPr>
      <w:b/>
      <w:color w:val="auto"/>
    </w:rPr>
  </w:style>
  <w:style w:type="paragraph" w:customStyle="1" w:styleId="Table">
    <w:name w:val="Table_#"/>
    <w:basedOn w:val="Normal"/>
    <w:next w:val="Normal"/>
    <w:rsid w:val="00574749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</w:rPr>
  </w:style>
  <w:style w:type="character" w:customStyle="1" w:styleId="FooterChar">
    <w:name w:val="Footer Char"/>
    <w:link w:val="Footer"/>
    <w:rsid w:val="00574749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57474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574749"/>
    <w:rPr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EC301B"/>
    <w:rPr>
      <w:sz w:val="24"/>
      <w:lang w:val="fr-FR" w:eastAsia="en-US"/>
    </w:rPr>
  </w:style>
  <w:style w:type="character" w:customStyle="1" w:styleId="TableNo0">
    <w:name w:val="Table_No Знак"/>
    <w:link w:val="TableNo"/>
    <w:locked/>
    <w:rsid w:val="00EC301B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EC301B"/>
    <w:rPr>
      <w:i/>
      <w:sz w:val="24"/>
      <w:lang w:val="fr-FR" w:eastAsia="en-US"/>
    </w:rPr>
  </w:style>
  <w:style w:type="character" w:customStyle="1" w:styleId="Tabletitle0">
    <w:name w:val="Table_title Знак"/>
    <w:link w:val="Tabletitle"/>
    <w:locked/>
    <w:rsid w:val="00EC301B"/>
    <w:rPr>
      <w:b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0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11.xml"/><Relationship Id="rId10" Type="http://schemas.openxmlformats.org/officeDocument/2006/relationships/hyperlink" Target="http://www.itu.int/publ/R-REC/es" TargetMode="Externa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32</TotalTime>
  <Pages>8</Pages>
  <Words>2256</Words>
  <Characters>12282</Characters>
  <Application>Microsoft Office Word</Application>
  <DocSecurity>0</DocSecurity>
  <Lines>102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14509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Catalano Moreira, Rossana</cp:lastModifiedBy>
  <cp:revision>22</cp:revision>
  <cp:lastPrinted>2015-02-11T09:30:00Z</cp:lastPrinted>
  <dcterms:created xsi:type="dcterms:W3CDTF">2015-02-10T14:44:00Z</dcterms:created>
  <dcterms:modified xsi:type="dcterms:W3CDTF">2015-02-11T09:31:00Z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