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5295C" w:rsidRDefault="00FE79FE">
      <w:pPr>
        <w:rPr>
          <w:lang w:val="ru-RU"/>
        </w:rPr>
      </w:pPr>
    </w:p>
    <w:p w:rsidR="00FE79FE" w:rsidRPr="0075295C" w:rsidRDefault="00FE79FE">
      <w:pPr>
        <w:rPr>
          <w:lang w:val="ru-RU"/>
        </w:rPr>
      </w:pPr>
    </w:p>
    <w:p w:rsidR="00FE79FE" w:rsidRPr="0075295C" w:rsidRDefault="00FE79FE">
      <w:pPr>
        <w:rPr>
          <w:lang w:val="ru-RU"/>
        </w:rPr>
      </w:pPr>
    </w:p>
    <w:p w:rsidR="00FE79FE" w:rsidRPr="0075295C" w:rsidRDefault="00FE79FE">
      <w:pPr>
        <w:rPr>
          <w:lang w:val="ru-RU"/>
        </w:rPr>
      </w:pPr>
    </w:p>
    <w:p w:rsidR="00FE79FE" w:rsidRPr="0075295C" w:rsidRDefault="00FE79FE">
      <w:pPr>
        <w:rPr>
          <w:lang w:val="ru-RU"/>
        </w:rPr>
      </w:pPr>
    </w:p>
    <w:p w:rsidR="00013002" w:rsidRPr="0075295C" w:rsidRDefault="00013002">
      <w:pPr>
        <w:rPr>
          <w:lang w:val="ru-RU"/>
        </w:rPr>
      </w:pPr>
    </w:p>
    <w:p w:rsidR="00013002" w:rsidRPr="0075295C" w:rsidRDefault="00013002">
      <w:pPr>
        <w:rPr>
          <w:lang w:val="ru-RU"/>
        </w:rPr>
      </w:pPr>
    </w:p>
    <w:p w:rsidR="00013002" w:rsidRPr="0075295C" w:rsidRDefault="00013002">
      <w:pPr>
        <w:rPr>
          <w:lang w:val="ru-RU"/>
        </w:rPr>
      </w:pPr>
    </w:p>
    <w:p w:rsidR="00FE79FE" w:rsidRPr="0075295C" w:rsidRDefault="00FE79FE">
      <w:pPr>
        <w:rPr>
          <w:lang w:val="ru-RU"/>
        </w:rPr>
      </w:pPr>
    </w:p>
    <w:p w:rsidR="00FE79FE" w:rsidRPr="0075295C" w:rsidRDefault="00FE79FE">
      <w:pPr>
        <w:rPr>
          <w:lang w:val="ru-RU"/>
        </w:rPr>
      </w:pPr>
    </w:p>
    <w:p w:rsidR="00FE79FE" w:rsidRPr="0075295C" w:rsidRDefault="00FE79FE">
      <w:pPr>
        <w:rPr>
          <w:lang w:val="ru-RU"/>
        </w:rPr>
      </w:pPr>
    </w:p>
    <w:p w:rsidR="00FE79FE" w:rsidRPr="0075295C" w:rsidRDefault="00FE79FE">
      <w:pPr>
        <w:rPr>
          <w:lang w:val="ru-RU"/>
        </w:rPr>
      </w:pPr>
    </w:p>
    <w:tbl>
      <w:tblPr>
        <w:tblW w:w="10089" w:type="dxa"/>
        <w:tblLook w:val="01E0" w:firstRow="1" w:lastRow="1" w:firstColumn="1" w:lastColumn="1" w:noHBand="0" w:noVBand="0"/>
      </w:tblPr>
      <w:tblGrid>
        <w:gridCol w:w="10089"/>
      </w:tblGrid>
      <w:tr w:rsidR="00FE79FE" w:rsidRPr="0075295C">
        <w:tc>
          <w:tcPr>
            <w:tcW w:w="10089" w:type="dxa"/>
          </w:tcPr>
          <w:p w:rsidR="00276D21" w:rsidRPr="0075295C" w:rsidRDefault="00276D21" w:rsidP="00013002">
            <w:pPr>
              <w:spacing w:before="380" w:line="280" w:lineRule="exact"/>
              <w:jc w:val="right"/>
              <w:rPr>
                <w:rFonts w:ascii="Tahoma" w:hAnsi="Tahoma" w:cs="Tahoma"/>
                <w:b/>
                <w:bCs/>
                <w:iCs/>
                <w:color w:val="243285"/>
                <w:sz w:val="32"/>
                <w:szCs w:val="32"/>
                <w:lang w:val="ru-RU"/>
              </w:rPr>
            </w:pPr>
          </w:p>
          <w:p w:rsidR="00FE79FE" w:rsidRPr="0075295C" w:rsidRDefault="00131900" w:rsidP="000A5788">
            <w:pPr>
              <w:spacing w:before="380" w:line="280" w:lineRule="exact"/>
              <w:jc w:val="right"/>
              <w:rPr>
                <w:rFonts w:ascii="Tahoma" w:hAnsi="Tahoma" w:cs="Tahoma"/>
                <w:b/>
                <w:bCs/>
                <w:iCs/>
                <w:color w:val="243285"/>
                <w:sz w:val="36"/>
                <w:szCs w:val="36"/>
                <w:lang w:val="ru-RU"/>
              </w:rPr>
            </w:pPr>
            <w:r w:rsidRPr="0075295C">
              <w:rPr>
                <w:rFonts w:ascii="Tahoma" w:hAnsi="Tahoma" w:cs="Tahoma"/>
                <w:b/>
                <w:bCs/>
                <w:iCs/>
                <w:color w:val="243285"/>
                <w:sz w:val="36"/>
                <w:szCs w:val="36"/>
                <w:lang w:val="ru-RU"/>
              </w:rPr>
              <w:t>Рекомендация  МСЭ</w:t>
            </w:r>
            <w:r w:rsidR="00FE79FE" w:rsidRPr="0075295C">
              <w:rPr>
                <w:rFonts w:ascii="Tahoma" w:hAnsi="Tahoma" w:cs="Tahoma"/>
                <w:b/>
                <w:bCs/>
                <w:iCs/>
                <w:color w:val="243285"/>
                <w:sz w:val="36"/>
                <w:szCs w:val="36"/>
                <w:lang w:val="ru-RU"/>
              </w:rPr>
              <w:t>-R  M.</w:t>
            </w:r>
            <w:r w:rsidR="000A5788" w:rsidRPr="0075295C">
              <w:rPr>
                <w:rFonts w:ascii="Tahoma" w:hAnsi="Tahoma" w:cs="Tahoma"/>
                <w:b/>
                <w:bCs/>
                <w:iCs/>
                <w:color w:val="243285"/>
                <w:sz w:val="36"/>
                <w:szCs w:val="36"/>
                <w:lang w:val="ru-RU"/>
              </w:rPr>
              <w:t>2046</w:t>
            </w:r>
          </w:p>
          <w:p w:rsidR="00FE79FE" w:rsidRPr="0075295C" w:rsidRDefault="00FE79FE" w:rsidP="000A5788">
            <w:pPr>
              <w:spacing w:before="80" w:line="280" w:lineRule="exact"/>
              <w:jc w:val="right"/>
              <w:rPr>
                <w:rFonts w:ascii="Tahoma" w:hAnsi="Tahoma" w:cs="Tahoma"/>
                <w:b/>
                <w:bCs/>
                <w:iCs/>
                <w:color w:val="243285"/>
                <w:sz w:val="24"/>
                <w:szCs w:val="24"/>
                <w:lang w:val="ru-RU"/>
              </w:rPr>
            </w:pPr>
            <w:bookmarkStart w:id="0" w:name="_GoBack"/>
            <w:bookmarkEnd w:id="0"/>
            <w:r w:rsidRPr="0075295C">
              <w:rPr>
                <w:rFonts w:ascii="Tahoma" w:hAnsi="Tahoma" w:cs="Tahoma"/>
                <w:b/>
                <w:bCs/>
                <w:iCs/>
                <w:color w:val="243285"/>
                <w:sz w:val="24"/>
                <w:szCs w:val="24"/>
                <w:lang w:val="ru-RU"/>
              </w:rPr>
              <w:t>(</w:t>
            </w:r>
            <w:r w:rsidR="00A83C2A" w:rsidRPr="0075295C">
              <w:rPr>
                <w:rFonts w:ascii="Tahoma" w:hAnsi="Tahoma" w:cs="Tahoma"/>
                <w:b/>
                <w:bCs/>
                <w:iCs/>
                <w:color w:val="243285"/>
                <w:sz w:val="24"/>
                <w:szCs w:val="24"/>
                <w:lang w:val="ru-RU"/>
              </w:rPr>
              <w:t>1</w:t>
            </w:r>
            <w:r w:rsidR="000A5788" w:rsidRPr="0075295C">
              <w:rPr>
                <w:rFonts w:ascii="Tahoma" w:hAnsi="Tahoma" w:cs="Tahoma"/>
                <w:b/>
                <w:bCs/>
                <w:iCs/>
                <w:color w:val="243285"/>
                <w:sz w:val="24"/>
                <w:szCs w:val="24"/>
                <w:lang w:val="ru-RU"/>
              </w:rPr>
              <w:t>2</w:t>
            </w:r>
            <w:r w:rsidRPr="0075295C">
              <w:rPr>
                <w:rFonts w:ascii="Tahoma" w:hAnsi="Tahoma" w:cs="Tahoma"/>
                <w:b/>
                <w:bCs/>
                <w:iCs/>
                <w:color w:val="243285"/>
                <w:sz w:val="24"/>
                <w:szCs w:val="24"/>
                <w:lang w:val="ru-RU"/>
              </w:rPr>
              <w:t>/</w:t>
            </w:r>
            <w:r w:rsidR="00A83C2A" w:rsidRPr="0075295C">
              <w:rPr>
                <w:rFonts w:ascii="Tahoma" w:hAnsi="Tahoma" w:cs="Tahoma"/>
                <w:b/>
                <w:bCs/>
                <w:iCs/>
                <w:color w:val="243285"/>
                <w:sz w:val="24"/>
                <w:szCs w:val="24"/>
                <w:lang w:val="ru-RU"/>
              </w:rPr>
              <w:t>20</w:t>
            </w:r>
            <w:r w:rsidR="000A5788" w:rsidRPr="0075295C">
              <w:rPr>
                <w:rFonts w:ascii="Tahoma" w:hAnsi="Tahoma" w:cs="Tahoma"/>
                <w:b/>
                <w:bCs/>
                <w:iCs/>
                <w:color w:val="243285"/>
                <w:sz w:val="24"/>
                <w:szCs w:val="24"/>
                <w:lang w:val="ru-RU"/>
              </w:rPr>
              <w:t>13</w:t>
            </w:r>
            <w:r w:rsidRPr="0075295C">
              <w:rPr>
                <w:rFonts w:ascii="Tahoma" w:hAnsi="Tahoma" w:cs="Tahoma"/>
                <w:b/>
                <w:bCs/>
                <w:iCs/>
                <w:color w:val="243285"/>
                <w:sz w:val="24"/>
                <w:szCs w:val="24"/>
                <w:lang w:val="ru-RU"/>
              </w:rPr>
              <w:t>)</w:t>
            </w:r>
          </w:p>
        </w:tc>
      </w:tr>
      <w:tr w:rsidR="00FE79FE" w:rsidRPr="009826AF">
        <w:tc>
          <w:tcPr>
            <w:tcW w:w="10089" w:type="dxa"/>
          </w:tcPr>
          <w:p w:rsidR="00013002" w:rsidRPr="0075295C" w:rsidRDefault="00013002" w:rsidP="00FE79FE">
            <w:pPr>
              <w:spacing w:before="80" w:line="500" w:lineRule="exact"/>
              <w:jc w:val="right"/>
              <w:rPr>
                <w:rFonts w:ascii="Tahoma" w:hAnsi="Tahoma" w:cs="Tahoma"/>
                <w:b/>
                <w:bCs/>
                <w:iCs/>
                <w:color w:val="243285"/>
                <w:sz w:val="44"/>
                <w:szCs w:val="44"/>
                <w:lang w:val="ru-RU"/>
              </w:rPr>
            </w:pPr>
          </w:p>
          <w:p w:rsidR="00A83C2A" w:rsidRPr="0075295C" w:rsidRDefault="000A5788" w:rsidP="000A5788">
            <w:pPr>
              <w:spacing w:before="80" w:line="500" w:lineRule="exact"/>
              <w:jc w:val="right"/>
              <w:rPr>
                <w:rFonts w:ascii="Tahoma" w:hAnsi="Tahoma" w:cs="Tahoma"/>
                <w:b/>
                <w:bCs/>
                <w:iCs/>
                <w:color w:val="243285"/>
                <w:sz w:val="44"/>
                <w:szCs w:val="44"/>
                <w:lang w:val="ru-RU"/>
              </w:rPr>
            </w:pPr>
            <w:r w:rsidRPr="0075295C">
              <w:rPr>
                <w:rFonts w:ascii="Tahoma" w:hAnsi="Tahoma" w:cs="Tahoma"/>
                <w:b/>
                <w:bCs/>
                <w:iCs/>
                <w:color w:val="243285"/>
                <w:sz w:val="44"/>
                <w:szCs w:val="44"/>
                <w:lang w:val="ru-RU"/>
              </w:rPr>
              <w:t xml:space="preserve">Характеристики и критерии защиты негеостационарных систем подвижной спутниковой службы, работающих </w:t>
            </w:r>
            <w:r w:rsidR="009826AF">
              <w:rPr>
                <w:rFonts w:ascii="Tahoma" w:hAnsi="Tahoma" w:cs="Tahoma"/>
                <w:b/>
                <w:bCs/>
                <w:iCs/>
                <w:color w:val="243285"/>
                <w:sz w:val="44"/>
                <w:szCs w:val="44"/>
                <w:lang w:val="ru-RU"/>
              </w:rPr>
              <w:br/>
            </w:r>
            <w:r w:rsidRPr="0075295C">
              <w:rPr>
                <w:rFonts w:ascii="Tahoma" w:hAnsi="Tahoma" w:cs="Tahoma"/>
                <w:b/>
                <w:bCs/>
                <w:iCs/>
                <w:color w:val="243285"/>
                <w:sz w:val="44"/>
                <w:szCs w:val="44"/>
                <w:lang w:val="ru-RU"/>
              </w:rPr>
              <w:t>в полосе 399,9–400,05 МГц</w:t>
            </w:r>
          </w:p>
          <w:p w:rsidR="00A62A14" w:rsidRPr="0075295C" w:rsidRDefault="00A62A14" w:rsidP="00FE79FE">
            <w:pPr>
              <w:spacing w:before="80" w:line="500" w:lineRule="exact"/>
              <w:jc w:val="right"/>
              <w:rPr>
                <w:rFonts w:ascii="Tahoma" w:hAnsi="Tahoma" w:cs="Tahoma"/>
                <w:b/>
                <w:bCs/>
                <w:iCs/>
                <w:color w:val="243285"/>
                <w:sz w:val="40"/>
                <w:szCs w:val="40"/>
                <w:lang w:val="ru-RU"/>
              </w:rPr>
            </w:pPr>
          </w:p>
        </w:tc>
      </w:tr>
      <w:tr w:rsidR="00FE79FE" w:rsidRPr="009826AF">
        <w:tc>
          <w:tcPr>
            <w:tcW w:w="10089" w:type="dxa"/>
          </w:tcPr>
          <w:p w:rsidR="00276D21" w:rsidRPr="0075295C" w:rsidRDefault="00276D21" w:rsidP="00013002">
            <w:pPr>
              <w:spacing w:before="80" w:after="180" w:line="360" w:lineRule="exact"/>
              <w:jc w:val="right"/>
              <w:rPr>
                <w:rFonts w:ascii="Tahoma" w:hAnsi="Tahoma" w:cs="Tahoma"/>
                <w:b/>
                <w:bCs/>
                <w:iCs/>
                <w:color w:val="243285"/>
                <w:sz w:val="36"/>
                <w:szCs w:val="36"/>
                <w:lang w:val="ru-RU"/>
              </w:rPr>
            </w:pPr>
          </w:p>
          <w:p w:rsidR="00013002" w:rsidRPr="0075295C" w:rsidRDefault="00131900" w:rsidP="00A83C2A">
            <w:pPr>
              <w:spacing w:before="80" w:after="180" w:line="360" w:lineRule="exact"/>
              <w:jc w:val="right"/>
              <w:rPr>
                <w:rFonts w:ascii="Tahoma" w:hAnsi="Tahoma" w:cs="Tahoma"/>
                <w:b/>
                <w:bCs/>
                <w:iCs/>
                <w:color w:val="243285"/>
                <w:sz w:val="36"/>
                <w:szCs w:val="36"/>
                <w:lang w:val="ru-RU"/>
              </w:rPr>
            </w:pPr>
            <w:r w:rsidRPr="0075295C">
              <w:rPr>
                <w:rFonts w:ascii="Tahoma" w:hAnsi="Tahoma" w:cs="Tahoma"/>
                <w:b/>
                <w:bCs/>
                <w:iCs/>
                <w:color w:val="243285"/>
                <w:sz w:val="36"/>
                <w:szCs w:val="36"/>
                <w:lang w:val="ru-RU"/>
              </w:rPr>
              <w:t>Серия M</w:t>
            </w:r>
          </w:p>
          <w:p w:rsidR="00A83C2A" w:rsidRPr="0075295C" w:rsidRDefault="00A83C2A" w:rsidP="00131900">
            <w:pPr>
              <w:spacing w:before="80" w:after="180" w:line="360" w:lineRule="exact"/>
              <w:jc w:val="right"/>
              <w:rPr>
                <w:rFonts w:ascii="Tahoma" w:hAnsi="Tahoma" w:cs="Tahoma"/>
                <w:b/>
                <w:bCs/>
                <w:iCs/>
                <w:color w:val="243285"/>
                <w:sz w:val="36"/>
                <w:szCs w:val="36"/>
                <w:lang w:val="ru-RU"/>
              </w:rPr>
            </w:pPr>
            <w:r w:rsidRPr="0075295C">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75295C" w:rsidRDefault="00FE79FE" w:rsidP="00FE79FE">
            <w:pPr>
              <w:spacing w:before="80" w:line="360" w:lineRule="exact"/>
              <w:jc w:val="right"/>
              <w:rPr>
                <w:rFonts w:ascii="Tahoma" w:hAnsi="Tahoma" w:cs="Tahoma"/>
                <w:b/>
                <w:bCs/>
                <w:iCs/>
                <w:color w:val="243285"/>
                <w:sz w:val="32"/>
                <w:szCs w:val="32"/>
                <w:lang w:val="ru-RU"/>
              </w:rPr>
            </w:pPr>
          </w:p>
        </w:tc>
      </w:tr>
    </w:tbl>
    <w:p w:rsidR="00FE79FE" w:rsidRPr="0075295C" w:rsidRDefault="00FE79FE" w:rsidP="00CD659B">
      <w:pPr>
        <w:spacing w:before="80"/>
        <w:rPr>
          <w:i/>
          <w:lang w:val="ru-RU"/>
        </w:rPr>
      </w:pPr>
    </w:p>
    <w:p w:rsidR="00FE79FE" w:rsidRPr="0075295C" w:rsidRDefault="00FE79FE" w:rsidP="00CD659B">
      <w:pPr>
        <w:spacing w:before="80"/>
        <w:rPr>
          <w:i/>
          <w:lang w:val="ru-RU"/>
        </w:rPr>
      </w:pPr>
    </w:p>
    <w:p w:rsidR="00FE79FE" w:rsidRPr="0075295C" w:rsidRDefault="00FE79FE" w:rsidP="00CD659B">
      <w:pPr>
        <w:spacing w:before="80"/>
        <w:rPr>
          <w:i/>
          <w:lang w:val="ru-RU"/>
        </w:rPr>
      </w:pPr>
    </w:p>
    <w:p w:rsidR="00A71FE5" w:rsidRPr="0075295C" w:rsidRDefault="00A71FE5" w:rsidP="00CD659B">
      <w:pPr>
        <w:spacing w:before="80"/>
        <w:rPr>
          <w:i/>
          <w:lang w:val="ru-RU"/>
        </w:rPr>
      </w:pPr>
    </w:p>
    <w:p w:rsidR="00CD659B" w:rsidRPr="0075295C"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75295C">
          <w:headerReference w:type="even" r:id="rId8"/>
          <w:headerReference w:type="default" r:id="rId9"/>
          <w:pgSz w:w="11907" w:h="16840" w:code="9"/>
          <w:pgMar w:top="1089" w:right="1089" w:bottom="284" w:left="1089" w:header="567" w:footer="284" w:gutter="0"/>
          <w:pgNumType w:start="1"/>
          <w:cols w:space="720"/>
        </w:sectPr>
      </w:pPr>
    </w:p>
    <w:p w:rsidR="006E56A2" w:rsidRPr="0075295C" w:rsidRDefault="006E56A2" w:rsidP="006E56A2">
      <w:pPr>
        <w:spacing w:before="0"/>
        <w:jc w:val="center"/>
        <w:rPr>
          <w:b/>
          <w:bCs/>
          <w:szCs w:val="22"/>
          <w:lang w:val="ru-RU"/>
        </w:rPr>
      </w:pPr>
      <w:bookmarkStart w:id="1" w:name="c2tope"/>
      <w:bookmarkEnd w:id="1"/>
      <w:r w:rsidRPr="0075295C">
        <w:rPr>
          <w:b/>
          <w:bCs/>
          <w:szCs w:val="22"/>
          <w:lang w:val="ru-RU"/>
        </w:rPr>
        <w:lastRenderedPageBreak/>
        <w:t>Предисловие</w:t>
      </w:r>
    </w:p>
    <w:p w:rsidR="006E56A2" w:rsidRPr="0075295C" w:rsidRDefault="006E56A2" w:rsidP="006E56A2">
      <w:pPr>
        <w:rPr>
          <w:sz w:val="20"/>
          <w:lang w:val="ru-RU"/>
        </w:rPr>
      </w:pPr>
      <w:r w:rsidRPr="0075295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75295C" w:rsidRDefault="006E56A2" w:rsidP="006E56A2">
      <w:pPr>
        <w:rPr>
          <w:sz w:val="20"/>
          <w:lang w:val="ru-RU"/>
        </w:rPr>
      </w:pPr>
      <w:r w:rsidRPr="0075295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75295C" w:rsidRDefault="006E56A2" w:rsidP="006E56A2">
      <w:pPr>
        <w:spacing w:before="360"/>
        <w:jc w:val="center"/>
        <w:rPr>
          <w:b/>
          <w:bCs/>
          <w:szCs w:val="22"/>
          <w:lang w:val="ru-RU"/>
        </w:rPr>
      </w:pPr>
      <w:r w:rsidRPr="0075295C">
        <w:rPr>
          <w:b/>
          <w:bCs/>
          <w:szCs w:val="22"/>
          <w:lang w:val="ru-RU"/>
        </w:rPr>
        <w:t>Политика в области прав интеллектуальной собственности (ПИС)</w:t>
      </w:r>
    </w:p>
    <w:p w:rsidR="006E56A2" w:rsidRPr="0075295C" w:rsidRDefault="006E56A2" w:rsidP="001A5DF7">
      <w:pPr>
        <w:rPr>
          <w:sz w:val="20"/>
          <w:lang w:val="ru-RU"/>
        </w:rPr>
      </w:pPr>
      <w:r w:rsidRPr="0075295C">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75295C">
        <w:rPr>
          <w:sz w:val="20"/>
          <w:lang w:val="ru-RU"/>
        </w:rPr>
        <w:t xml:space="preserve"> 1</w:t>
      </w:r>
      <w:r w:rsidRPr="0075295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5295C">
          <w:rPr>
            <w:rStyle w:val="Hyperlink"/>
            <w:rFonts w:eastAsia="SimSun"/>
            <w:sz w:val="20"/>
            <w:lang w:val="ru-RU"/>
          </w:rPr>
          <w:t>http://www.itu.int/ITU-R/go/patents/en</w:t>
        </w:r>
      </w:hyperlink>
      <w:r w:rsidRPr="0075295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75295C"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9826AF" w:rsidTr="00D40BEE">
        <w:trPr>
          <w:jc w:val="center"/>
        </w:trPr>
        <w:tc>
          <w:tcPr>
            <w:tcW w:w="8856" w:type="dxa"/>
            <w:gridSpan w:val="2"/>
          </w:tcPr>
          <w:p w:rsidR="006E56A2" w:rsidRPr="0075295C" w:rsidRDefault="006E56A2" w:rsidP="00D40BEE">
            <w:pPr>
              <w:spacing w:before="180"/>
              <w:jc w:val="center"/>
              <w:rPr>
                <w:b/>
                <w:bCs/>
                <w:szCs w:val="22"/>
                <w:lang w:val="ru-RU"/>
              </w:rPr>
            </w:pPr>
            <w:r w:rsidRPr="0075295C">
              <w:rPr>
                <w:b/>
                <w:bCs/>
                <w:szCs w:val="22"/>
                <w:lang w:val="ru-RU"/>
              </w:rPr>
              <w:t>Серии Рекомендаций МСЭ-R</w:t>
            </w:r>
          </w:p>
          <w:p w:rsidR="006E56A2" w:rsidRPr="0075295C" w:rsidRDefault="006E56A2" w:rsidP="00D40BEE">
            <w:pPr>
              <w:spacing w:after="240"/>
              <w:jc w:val="center"/>
              <w:rPr>
                <w:rFonts w:eastAsia="SimSun"/>
                <w:sz w:val="18"/>
                <w:szCs w:val="18"/>
                <w:lang w:val="ru-RU" w:eastAsia="zh-CN"/>
              </w:rPr>
            </w:pPr>
            <w:r w:rsidRPr="0075295C">
              <w:rPr>
                <w:sz w:val="18"/>
                <w:szCs w:val="18"/>
                <w:lang w:val="ru-RU"/>
              </w:rPr>
              <w:t xml:space="preserve">(Представлены также в онлайновой форме по адресу: </w:t>
            </w:r>
            <w:hyperlink r:id="rId11" w:history="1">
              <w:r w:rsidRPr="0075295C">
                <w:rPr>
                  <w:rStyle w:val="Hyperlink"/>
                  <w:sz w:val="18"/>
                  <w:lang w:val="ru-RU"/>
                </w:rPr>
                <w:t>http://www.itu.int/publ/R-REC/en</w:t>
              </w:r>
            </w:hyperlink>
            <w:r w:rsidRPr="0075295C">
              <w:rPr>
                <w:sz w:val="18"/>
                <w:szCs w:val="18"/>
                <w:lang w:val="ru-RU"/>
              </w:rPr>
              <w:t>.)</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Серия</w:t>
            </w:r>
          </w:p>
        </w:tc>
        <w:tc>
          <w:tcPr>
            <w:tcW w:w="7668" w:type="dxa"/>
          </w:tcPr>
          <w:p w:rsidR="006E56A2" w:rsidRPr="0075295C" w:rsidRDefault="006E56A2" w:rsidP="00D40BEE">
            <w:pPr>
              <w:spacing w:before="40" w:after="40"/>
              <w:jc w:val="center"/>
              <w:rPr>
                <w:b/>
                <w:bCs/>
                <w:sz w:val="20"/>
                <w:lang w:val="ru-RU"/>
              </w:rPr>
            </w:pPr>
            <w:r w:rsidRPr="0075295C">
              <w:rPr>
                <w:b/>
                <w:bCs/>
                <w:sz w:val="20"/>
                <w:lang w:val="ru-RU"/>
              </w:rPr>
              <w:t>Название</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BO</w:t>
            </w:r>
          </w:p>
        </w:tc>
        <w:tc>
          <w:tcPr>
            <w:tcW w:w="7668" w:type="dxa"/>
          </w:tcPr>
          <w:p w:rsidR="006E56A2" w:rsidRPr="0075295C" w:rsidRDefault="006E56A2" w:rsidP="00225DDD">
            <w:pPr>
              <w:spacing w:before="40" w:after="40"/>
              <w:jc w:val="left"/>
              <w:rPr>
                <w:sz w:val="20"/>
                <w:lang w:val="ru-RU"/>
              </w:rPr>
            </w:pPr>
            <w:r w:rsidRPr="0075295C">
              <w:rPr>
                <w:sz w:val="20"/>
                <w:lang w:val="ru-RU"/>
              </w:rPr>
              <w:t>Спутниковое радиовещание</w:t>
            </w:r>
          </w:p>
        </w:tc>
      </w:tr>
      <w:tr w:rsidR="006E56A2" w:rsidRPr="009826AF" w:rsidTr="00475345">
        <w:trPr>
          <w:jc w:val="center"/>
        </w:trPr>
        <w:tc>
          <w:tcPr>
            <w:tcW w:w="1188" w:type="dxa"/>
            <w:tcBorders>
              <w:bottom w:val="nil"/>
            </w:tcBorders>
          </w:tcPr>
          <w:p w:rsidR="006E56A2" w:rsidRPr="0075295C" w:rsidRDefault="006E56A2" w:rsidP="00D40BEE">
            <w:pPr>
              <w:spacing w:before="40" w:after="40"/>
              <w:rPr>
                <w:b/>
                <w:bCs/>
                <w:sz w:val="20"/>
                <w:lang w:val="ru-RU"/>
              </w:rPr>
            </w:pPr>
            <w:r w:rsidRPr="0075295C">
              <w:rPr>
                <w:b/>
                <w:bCs/>
                <w:sz w:val="20"/>
                <w:lang w:val="ru-RU"/>
              </w:rPr>
              <w:t>BR</w:t>
            </w:r>
          </w:p>
        </w:tc>
        <w:tc>
          <w:tcPr>
            <w:tcW w:w="7668" w:type="dxa"/>
            <w:tcBorders>
              <w:bottom w:val="nil"/>
            </w:tcBorders>
          </w:tcPr>
          <w:p w:rsidR="006E56A2" w:rsidRPr="0075295C" w:rsidRDefault="006E56A2" w:rsidP="00225DDD">
            <w:pPr>
              <w:spacing w:before="40" w:after="40"/>
              <w:jc w:val="left"/>
              <w:rPr>
                <w:sz w:val="20"/>
                <w:lang w:val="ru-RU"/>
              </w:rPr>
            </w:pPr>
            <w:r w:rsidRPr="0075295C">
              <w:rPr>
                <w:sz w:val="20"/>
                <w:lang w:val="ru-RU"/>
              </w:rPr>
              <w:t>Запись для производства, архивирования и воспроизведения; пленки для телевидения</w:t>
            </w:r>
          </w:p>
        </w:tc>
      </w:tr>
      <w:tr w:rsidR="006E56A2" w:rsidRPr="0075295C" w:rsidTr="00475345">
        <w:trPr>
          <w:jc w:val="center"/>
        </w:trPr>
        <w:tc>
          <w:tcPr>
            <w:tcW w:w="1188" w:type="dxa"/>
            <w:tcBorders>
              <w:top w:val="nil"/>
              <w:bottom w:val="nil"/>
            </w:tcBorders>
            <w:shd w:val="clear" w:color="auto" w:fill="FFFFFF" w:themeFill="background1"/>
          </w:tcPr>
          <w:p w:rsidR="006E56A2" w:rsidRPr="0075295C" w:rsidRDefault="006E56A2" w:rsidP="00D40BEE">
            <w:pPr>
              <w:spacing w:before="40" w:after="40"/>
              <w:rPr>
                <w:rFonts w:ascii="Times New Roman Bold" w:hAnsi="Times New Roman Bold" w:cs="Times New Roman Bold"/>
                <w:b/>
                <w:bCs/>
                <w:color w:val="000080"/>
                <w:sz w:val="20"/>
                <w:lang w:val="ru-RU"/>
              </w:rPr>
            </w:pPr>
            <w:r w:rsidRPr="0075295C">
              <w:rPr>
                <w:b/>
                <w:bCs/>
                <w:sz w:val="20"/>
                <w:lang w:val="ru-RU"/>
              </w:rPr>
              <w:t>BS</w:t>
            </w:r>
          </w:p>
        </w:tc>
        <w:tc>
          <w:tcPr>
            <w:tcW w:w="7668" w:type="dxa"/>
            <w:tcBorders>
              <w:top w:val="nil"/>
              <w:bottom w:val="nil"/>
            </w:tcBorders>
            <w:shd w:val="clear" w:color="auto" w:fill="FFFFFF" w:themeFill="background1"/>
          </w:tcPr>
          <w:p w:rsidR="006E56A2" w:rsidRPr="0075295C" w:rsidRDefault="006E56A2" w:rsidP="00225DDD">
            <w:pPr>
              <w:spacing w:before="40" w:after="40"/>
              <w:jc w:val="left"/>
              <w:rPr>
                <w:sz w:val="20"/>
                <w:lang w:val="ru-RU"/>
              </w:rPr>
            </w:pPr>
            <w:r w:rsidRPr="0075295C">
              <w:rPr>
                <w:sz w:val="20"/>
                <w:lang w:val="ru-RU"/>
              </w:rPr>
              <w:t>Радиовещательная служба (звуковая)</w:t>
            </w:r>
          </w:p>
        </w:tc>
      </w:tr>
      <w:tr w:rsidR="006E56A2" w:rsidRPr="0075295C" w:rsidTr="00475345">
        <w:trPr>
          <w:jc w:val="center"/>
        </w:trPr>
        <w:tc>
          <w:tcPr>
            <w:tcW w:w="1188" w:type="dxa"/>
            <w:tcBorders>
              <w:top w:val="nil"/>
            </w:tcBorders>
          </w:tcPr>
          <w:p w:rsidR="006E56A2" w:rsidRPr="0075295C" w:rsidRDefault="006E56A2" w:rsidP="00D40BEE">
            <w:pPr>
              <w:spacing w:before="40" w:after="40"/>
              <w:rPr>
                <w:b/>
                <w:bCs/>
                <w:sz w:val="20"/>
                <w:lang w:val="ru-RU"/>
              </w:rPr>
            </w:pPr>
            <w:r w:rsidRPr="0075295C">
              <w:rPr>
                <w:b/>
                <w:bCs/>
                <w:sz w:val="20"/>
                <w:lang w:val="ru-RU"/>
              </w:rPr>
              <w:t>BT</w:t>
            </w:r>
          </w:p>
        </w:tc>
        <w:tc>
          <w:tcPr>
            <w:tcW w:w="7668" w:type="dxa"/>
            <w:tcBorders>
              <w:top w:val="nil"/>
            </w:tcBorders>
          </w:tcPr>
          <w:p w:rsidR="006E56A2" w:rsidRPr="0075295C" w:rsidRDefault="006E56A2" w:rsidP="00225DDD">
            <w:pPr>
              <w:spacing w:before="40" w:after="40"/>
              <w:jc w:val="left"/>
              <w:rPr>
                <w:sz w:val="20"/>
                <w:lang w:val="ru-RU"/>
              </w:rPr>
            </w:pPr>
            <w:r w:rsidRPr="0075295C">
              <w:rPr>
                <w:sz w:val="20"/>
                <w:lang w:val="ru-RU"/>
              </w:rPr>
              <w:t>Радиовещательная служба (телевизионная)</w:t>
            </w:r>
          </w:p>
        </w:tc>
      </w:tr>
      <w:tr w:rsidR="006E56A2" w:rsidRPr="0075295C" w:rsidTr="00475345">
        <w:trPr>
          <w:jc w:val="center"/>
        </w:trPr>
        <w:tc>
          <w:tcPr>
            <w:tcW w:w="1188" w:type="dxa"/>
            <w:tcBorders>
              <w:bottom w:val="nil"/>
            </w:tcBorders>
          </w:tcPr>
          <w:p w:rsidR="006E56A2" w:rsidRPr="0075295C" w:rsidRDefault="006E56A2" w:rsidP="00D40BEE">
            <w:pPr>
              <w:spacing w:before="40" w:after="40"/>
              <w:rPr>
                <w:b/>
                <w:bCs/>
                <w:sz w:val="20"/>
                <w:lang w:val="ru-RU"/>
              </w:rPr>
            </w:pPr>
            <w:r w:rsidRPr="0075295C">
              <w:rPr>
                <w:b/>
                <w:bCs/>
                <w:sz w:val="20"/>
                <w:lang w:val="ru-RU"/>
              </w:rPr>
              <w:t>F</w:t>
            </w:r>
          </w:p>
        </w:tc>
        <w:tc>
          <w:tcPr>
            <w:tcW w:w="7668" w:type="dxa"/>
            <w:tcBorders>
              <w:bottom w:val="nil"/>
            </w:tcBorders>
          </w:tcPr>
          <w:p w:rsidR="006E56A2" w:rsidRPr="0075295C" w:rsidRDefault="006E56A2" w:rsidP="00225DDD">
            <w:pPr>
              <w:spacing w:before="40" w:after="40"/>
              <w:jc w:val="left"/>
              <w:rPr>
                <w:sz w:val="20"/>
                <w:lang w:val="ru-RU"/>
              </w:rPr>
            </w:pPr>
            <w:r w:rsidRPr="0075295C">
              <w:rPr>
                <w:sz w:val="20"/>
                <w:lang w:val="ru-RU"/>
              </w:rPr>
              <w:t>Фиксированная служба</w:t>
            </w:r>
          </w:p>
        </w:tc>
      </w:tr>
      <w:tr w:rsidR="006E56A2" w:rsidRPr="009826AF" w:rsidTr="00475345">
        <w:trPr>
          <w:jc w:val="center"/>
        </w:trPr>
        <w:tc>
          <w:tcPr>
            <w:tcW w:w="1188" w:type="dxa"/>
            <w:tcBorders>
              <w:top w:val="nil"/>
              <w:bottom w:val="nil"/>
            </w:tcBorders>
            <w:shd w:val="clear" w:color="auto" w:fill="F2F2F2" w:themeFill="background1" w:themeFillShade="F2"/>
          </w:tcPr>
          <w:p w:rsidR="006E56A2" w:rsidRPr="0075295C" w:rsidRDefault="006E56A2" w:rsidP="00D40BEE">
            <w:pPr>
              <w:spacing w:before="40" w:after="40"/>
              <w:rPr>
                <w:b/>
                <w:bCs/>
                <w:color w:val="000080"/>
                <w:sz w:val="20"/>
                <w:lang w:val="ru-RU"/>
              </w:rPr>
            </w:pPr>
            <w:r w:rsidRPr="0075295C">
              <w:rPr>
                <w:b/>
                <w:bCs/>
                <w:color w:val="000080"/>
                <w:sz w:val="20"/>
                <w:lang w:val="ru-RU"/>
              </w:rPr>
              <w:t>M</w:t>
            </w:r>
          </w:p>
        </w:tc>
        <w:tc>
          <w:tcPr>
            <w:tcW w:w="7668" w:type="dxa"/>
            <w:tcBorders>
              <w:top w:val="nil"/>
              <w:bottom w:val="nil"/>
            </w:tcBorders>
            <w:shd w:val="clear" w:color="auto" w:fill="F2F2F2" w:themeFill="background1" w:themeFillShade="F2"/>
          </w:tcPr>
          <w:p w:rsidR="006E56A2" w:rsidRPr="0075295C" w:rsidRDefault="006E56A2" w:rsidP="00225DDD">
            <w:pPr>
              <w:spacing w:before="40" w:after="40"/>
              <w:jc w:val="left"/>
              <w:rPr>
                <w:b/>
                <w:bCs/>
                <w:color w:val="000080"/>
                <w:sz w:val="20"/>
                <w:lang w:val="ru-RU"/>
              </w:rPr>
            </w:pPr>
            <w:r w:rsidRPr="0075295C">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75295C" w:rsidTr="00475345">
        <w:trPr>
          <w:jc w:val="center"/>
        </w:trPr>
        <w:tc>
          <w:tcPr>
            <w:tcW w:w="1188" w:type="dxa"/>
            <w:tcBorders>
              <w:top w:val="nil"/>
            </w:tcBorders>
            <w:shd w:val="clear" w:color="auto" w:fill="FFFFFF" w:themeFill="background1"/>
          </w:tcPr>
          <w:p w:rsidR="006E56A2" w:rsidRPr="0075295C" w:rsidRDefault="006E56A2" w:rsidP="00D40BEE">
            <w:pPr>
              <w:spacing w:before="40" w:after="40"/>
              <w:rPr>
                <w:b/>
                <w:bCs/>
                <w:sz w:val="20"/>
                <w:lang w:val="ru-RU"/>
              </w:rPr>
            </w:pPr>
            <w:r w:rsidRPr="0075295C">
              <w:rPr>
                <w:b/>
                <w:bCs/>
                <w:sz w:val="20"/>
                <w:lang w:val="ru-RU"/>
              </w:rPr>
              <w:t>P</w:t>
            </w:r>
          </w:p>
        </w:tc>
        <w:tc>
          <w:tcPr>
            <w:tcW w:w="7668" w:type="dxa"/>
            <w:tcBorders>
              <w:top w:val="nil"/>
            </w:tcBorders>
            <w:shd w:val="clear" w:color="auto" w:fill="FFFFFF" w:themeFill="background1"/>
          </w:tcPr>
          <w:p w:rsidR="006E56A2" w:rsidRPr="0075295C" w:rsidRDefault="006E56A2" w:rsidP="00225DDD">
            <w:pPr>
              <w:spacing w:before="40" w:after="40"/>
              <w:jc w:val="left"/>
              <w:rPr>
                <w:sz w:val="20"/>
                <w:lang w:val="ru-RU"/>
              </w:rPr>
            </w:pPr>
            <w:r w:rsidRPr="0075295C">
              <w:rPr>
                <w:sz w:val="20"/>
                <w:lang w:val="ru-RU"/>
              </w:rPr>
              <w:t>Распространение радиоволн</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RA</w:t>
            </w:r>
          </w:p>
        </w:tc>
        <w:tc>
          <w:tcPr>
            <w:tcW w:w="7668" w:type="dxa"/>
          </w:tcPr>
          <w:p w:rsidR="006E56A2" w:rsidRPr="0075295C" w:rsidRDefault="006E56A2" w:rsidP="00225DDD">
            <w:pPr>
              <w:spacing w:before="40" w:after="40"/>
              <w:jc w:val="left"/>
              <w:rPr>
                <w:sz w:val="20"/>
                <w:lang w:val="ru-RU"/>
              </w:rPr>
            </w:pPr>
            <w:r w:rsidRPr="0075295C">
              <w:rPr>
                <w:sz w:val="20"/>
                <w:lang w:val="ru-RU"/>
              </w:rPr>
              <w:t>Радиоастрономия</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RS</w:t>
            </w:r>
          </w:p>
        </w:tc>
        <w:tc>
          <w:tcPr>
            <w:tcW w:w="7668" w:type="dxa"/>
          </w:tcPr>
          <w:p w:rsidR="006E56A2" w:rsidRPr="0075295C" w:rsidRDefault="006E56A2" w:rsidP="00225DDD">
            <w:pPr>
              <w:spacing w:before="40" w:after="40"/>
              <w:jc w:val="left"/>
              <w:rPr>
                <w:sz w:val="20"/>
                <w:lang w:val="ru-RU"/>
              </w:rPr>
            </w:pPr>
            <w:r w:rsidRPr="0075295C">
              <w:rPr>
                <w:sz w:val="20"/>
                <w:lang w:val="ru-RU"/>
              </w:rPr>
              <w:t>Системы дистанционного зондирования</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S</w:t>
            </w:r>
          </w:p>
        </w:tc>
        <w:tc>
          <w:tcPr>
            <w:tcW w:w="7668" w:type="dxa"/>
          </w:tcPr>
          <w:p w:rsidR="006E56A2" w:rsidRPr="0075295C" w:rsidRDefault="006E56A2" w:rsidP="00225DDD">
            <w:pPr>
              <w:spacing w:before="40" w:after="40"/>
              <w:jc w:val="left"/>
              <w:rPr>
                <w:sz w:val="20"/>
                <w:lang w:val="ru-RU"/>
              </w:rPr>
            </w:pPr>
            <w:r w:rsidRPr="0075295C">
              <w:rPr>
                <w:sz w:val="20"/>
                <w:lang w:val="ru-RU"/>
              </w:rPr>
              <w:t>Фиксированная спутниковая служба</w:t>
            </w:r>
          </w:p>
        </w:tc>
      </w:tr>
      <w:tr w:rsidR="006E56A2" w:rsidRPr="0075295C" w:rsidTr="00D40BEE">
        <w:trPr>
          <w:jc w:val="center"/>
        </w:trPr>
        <w:tc>
          <w:tcPr>
            <w:tcW w:w="1188" w:type="dxa"/>
            <w:shd w:val="clear" w:color="auto" w:fill="auto"/>
          </w:tcPr>
          <w:p w:rsidR="006E56A2" w:rsidRPr="0075295C" w:rsidRDefault="006E56A2" w:rsidP="00D40BEE">
            <w:pPr>
              <w:spacing w:before="40" w:after="40"/>
              <w:rPr>
                <w:b/>
                <w:bCs/>
                <w:sz w:val="20"/>
                <w:lang w:val="ru-RU"/>
              </w:rPr>
            </w:pPr>
            <w:r w:rsidRPr="0075295C">
              <w:rPr>
                <w:b/>
                <w:bCs/>
                <w:sz w:val="20"/>
                <w:lang w:val="ru-RU"/>
              </w:rPr>
              <w:t>SA</w:t>
            </w:r>
          </w:p>
        </w:tc>
        <w:tc>
          <w:tcPr>
            <w:tcW w:w="7668" w:type="dxa"/>
            <w:shd w:val="clear" w:color="auto" w:fill="auto"/>
          </w:tcPr>
          <w:p w:rsidR="006E56A2" w:rsidRPr="0075295C" w:rsidRDefault="006E56A2" w:rsidP="00225DDD">
            <w:pPr>
              <w:spacing w:before="40" w:after="40"/>
              <w:jc w:val="left"/>
              <w:rPr>
                <w:sz w:val="20"/>
                <w:lang w:val="ru-RU"/>
              </w:rPr>
            </w:pPr>
            <w:r w:rsidRPr="0075295C">
              <w:rPr>
                <w:sz w:val="20"/>
                <w:lang w:val="ru-RU"/>
              </w:rPr>
              <w:t>Космические применения и метеорология</w:t>
            </w:r>
          </w:p>
        </w:tc>
      </w:tr>
      <w:tr w:rsidR="006E56A2" w:rsidRPr="009826AF"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SF</w:t>
            </w:r>
          </w:p>
        </w:tc>
        <w:tc>
          <w:tcPr>
            <w:tcW w:w="7668" w:type="dxa"/>
          </w:tcPr>
          <w:p w:rsidR="006E56A2" w:rsidRPr="0075295C" w:rsidRDefault="006E56A2" w:rsidP="00225DDD">
            <w:pPr>
              <w:spacing w:before="40" w:after="40"/>
              <w:jc w:val="left"/>
              <w:rPr>
                <w:sz w:val="20"/>
                <w:lang w:val="ru-RU"/>
              </w:rPr>
            </w:pPr>
            <w:r w:rsidRPr="0075295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75295C" w:rsidTr="00D40BEE">
        <w:trPr>
          <w:jc w:val="center"/>
        </w:trPr>
        <w:tc>
          <w:tcPr>
            <w:tcW w:w="1188" w:type="dxa"/>
            <w:shd w:val="clear" w:color="auto" w:fill="auto"/>
          </w:tcPr>
          <w:p w:rsidR="006E56A2" w:rsidRPr="0075295C" w:rsidRDefault="006E56A2" w:rsidP="00D40BEE">
            <w:pPr>
              <w:spacing w:before="40" w:after="40"/>
              <w:rPr>
                <w:b/>
                <w:bCs/>
                <w:sz w:val="20"/>
                <w:lang w:val="ru-RU"/>
              </w:rPr>
            </w:pPr>
            <w:r w:rsidRPr="0075295C">
              <w:rPr>
                <w:b/>
                <w:bCs/>
                <w:sz w:val="20"/>
                <w:lang w:val="ru-RU"/>
              </w:rPr>
              <w:t>SM</w:t>
            </w:r>
          </w:p>
        </w:tc>
        <w:tc>
          <w:tcPr>
            <w:tcW w:w="7668" w:type="dxa"/>
            <w:shd w:val="clear" w:color="auto" w:fill="auto"/>
          </w:tcPr>
          <w:p w:rsidR="006E56A2" w:rsidRPr="0075295C" w:rsidRDefault="006E56A2" w:rsidP="00225DDD">
            <w:pPr>
              <w:spacing w:before="40" w:after="40"/>
              <w:jc w:val="left"/>
              <w:rPr>
                <w:sz w:val="20"/>
                <w:lang w:val="ru-RU"/>
              </w:rPr>
            </w:pPr>
            <w:r w:rsidRPr="0075295C">
              <w:rPr>
                <w:sz w:val="20"/>
                <w:lang w:val="ru-RU"/>
              </w:rPr>
              <w:t>Управление использованием спектра</w:t>
            </w:r>
          </w:p>
        </w:tc>
      </w:tr>
      <w:tr w:rsidR="006E56A2" w:rsidRPr="0075295C"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SNG</w:t>
            </w:r>
          </w:p>
        </w:tc>
        <w:tc>
          <w:tcPr>
            <w:tcW w:w="7668" w:type="dxa"/>
          </w:tcPr>
          <w:p w:rsidR="006E56A2" w:rsidRPr="0075295C" w:rsidRDefault="006E56A2" w:rsidP="00225DDD">
            <w:pPr>
              <w:spacing w:before="40" w:after="40"/>
              <w:jc w:val="left"/>
              <w:rPr>
                <w:sz w:val="20"/>
                <w:lang w:val="ru-RU"/>
              </w:rPr>
            </w:pPr>
            <w:r w:rsidRPr="0075295C">
              <w:rPr>
                <w:sz w:val="20"/>
                <w:lang w:val="ru-RU"/>
              </w:rPr>
              <w:t>Спутниковый сбор новостей</w:t>
            </w:r>
          </w:p>
        </w:tc>
      </w:tr>
      <w:tr w:rsidR="006E56A2" w:rsidRPr="009826AF" w:rsidTr="00D40BEE">
        <w:trPr>
          <w:jc w:val="center"/>
        </w:trPr>
        <w:tc>
          <w:tcPr>
            <w:tcW w:w="1188" w:type="dxa"/>
          </w:tcPr>
          <w:p w:rsidR="006E56A2" w:rsidRPr="0075295C" w:rsidRDefault="006E56A2" w:rsidP="00D40BEE">
            <w:pPr>
              <w:spacing w:before="40" w:after="40"/>
              <w:rPr>
                <w:b/>
                <w:bCs/>
                <w:sz w:val="20"/>
                <w:lang w:val="ru-RU"/>
              </w:rPr>
            </w:pPr>
            <w:r w:rsidRPr="0075295C">
              <w:rPr>
                <w:b/>
                <w:bCs/>
                <w:sz w:val="20"/>
                <w:lang w:val="ru-RU"/>
              </w:rPr>
              <w:t>TF</w:t>
            </w:r>
          </w:p>
        </w:tc>
        <w:tc>
          <w:tcPr>
            <w:tcW w:w="7668" w:type="dxa"/>
          </w:tcPr>
          <w:p w:rsidR="006E56A2" w:rsidRPr="0075295C" w:rsidRDefault="006E56A2" w:rsidP="00225DDD">
            <w:pPr>
              <w:spacing w:before="40" w:after="40"/>
              <w:jc w:val="left"/>
              <w:rPr>
                <w:sz w:val="20"/>
                <w:lang w:val="ru-RU"/>
              </w:rPr>
            </w:pPr>
            <w:r w:rsidRPr="0075295C">
              <w:rPr>
                <w:sz w:val="20"/>
                <w:lang w:val="ru-RU"/>
              </w:rPr>
              <w:t>Передача сигналов времени и эталонных частот</w:t>
            </w:r>
          </w:p>
        </w:tc>
      </w:tr>
      <w:tr w:rsidR="006E56A2" w:rsidRPr="009826AF" w:rsidTr="00D40BEE">
        <w:trPr>
          <w:jc w:val="center"/>
        </w:trPr>
        <w:tc>
          <w:tcPr>
            <w:tcW w:w="1188" w:type="dxa"/>
          </w:tcPr>
          <w:p w:rsidR="006E56A2" w:rsidRPr="0075295C" w:rsidRDefault="006E56A2" w:rsidP="00D40BEE">
            <w:pPr>
              <w:spacing w:before="40" w:after="180"/>
              <w:rPr>
                <w:b/>
                <w:bCs/>
                <w:sz w:val="20"/>
                <w:lang w:val="ru-RU"/>
              </w:rPr>
            </w:pPr>
            <w:r w:rsidRPr="0075295C">
              <w:rPr>
                <w:b/>
                <w:bCs/>
                <w:sz w:val="20"/>
                <w:lang w:val="ru-RU"/>
              </w:rPr>
              <w:t>V</w:t>
            </w:r>
          </w:p>
        </w:tc>
        <w:tc>
          <w:tcPr>
            <w:tcW w:w="7668" w:type="dxa"/>
          </w:tcPr>
          <w:p w:rsidR="006E56A2" w:rsidRPr="0075295C" w:rsidRDefault="006E56A2" w:rsidP="00225DDD">
            <w:pPr>
              <w:spacing w:before="40" w:after="180"/>
              <w:jc w:val="left"/>
              <w:rPr>
                <w:sz w:val="20"/>
                <w:lang w:val="ru-RU"/>
              </w:rPr>
            </w:pPr>
            <w:r w:rsidRPr="0075295C">
              <w:rPr>
                <w:sz w:val="20"/>
                <w:lang w:val="ru-RU"/>
              </w:rPr>
              <w:t>Словарь и связанные с ним вопросы</w:t>
            </w:r>
          </w:p>
        </w:tc>
      </w:tr>
    </w:tbl>
    <w:p w:rsidR="006E56A2" w:rsidRPr="0075295C"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9826AF" w:rsidTr="00D40BEE">
        <w:trPr>
          <w:jc w:val="center"/>
        </w:trPr>
        <w:tc>
          <w:tcPr>
            <w:tcW w:w="8856" w:type="dxa"/>
          </w:tcPr>
          <w:p w:rsidR="006E56A2" w:rsidRPr="0075295C" w:rsidRDefault="006E56A2" w:rsidP="001A5DF7">
            <w:pPr>
              <w:spacing w:after="120"/>
              <w:jc w:val="left"/>
              <w:rPr>
                <w:rFonts w:eastAsia="SimSun"/>
                <w:i/>
                <w:iCs/>
                <w:sz w:val="20"/>
                <w:lang w:val="ru-RU" w:eastAsia="zh-CN"/>
              </w:rPr>
            </w:pPr>
            <w:r w:rsidRPr="0075295C">
              <w:rPr>
                <w:b/>
                <w:bCs/>
                <w:i/>
                <w:iCs/>
                <w:sz w:val="20"/>
                <w:lang w:val="ru-RU"/>
              </w:rPr>
              <w:t>Примечание</w:t>
            </w:r>
            <w:r w:rsidRPr="0075295C">
              <w:rPr>
                <w:i/>
                <w:iCs/>
                <w:sz w:val="20"/>
                <w:lang w:val="ru-RU"/>
              </w:rPr>
              <w:t>. – Настоящая Рекомендация МСЭ-R утверждена на английском языке в</w:t>
            </w:r>
            <w:r w:rsidR="00225DDD" w:rsidRPr="0075295C">
              <w:rPr>
                <w:i/>
                <w:iCs/>
                <w:sz w:val="20"/>
                <w:lang w:val="ru-RU"/>
              </w:rPr>
              <w:t> </w:t>
            </w:r>
            <w:r w:rsidRPr="0075295C">
              <w:rPr>
                <w:i/>
                <w:iCs/>
                <w:sz w:val="20"/>
                <w:lang w:val="ru-RU"/>
              </w:rPr>
              <w:t>соответствии с процедурой, изложенной в Резолюции МСЭ-R</w:t>
            </w:r>
            <w:r w:rsidR="001A5DF7" w:rsidRPr="0075295C">
              <w:rPr>
                <w:i/>
                <w:iCs/>
                <w:sz w:val="20"/>
                <w:lang w:val="ru-RU"/>
              </w:rPr>
              <w:t xml:space="preserve"> 1</w:t>
            </w:r>
            <w:r w:rsidRPr="0075295C">
              <w:rPr>
                <w:i/>
                <w:iCs/>
                <w:sz w:val="20"/>
                <w:lang w:val="ru-RU"/>
              </w:rPr>
              <w:t>.</w:t>
            </w:r>
          </w:p>
        </w:tc>
      </w:tr>
    </w:tbl>
    <w:p w:rsidR="006E56A2" w:rsidRPr="0075295C" w:rsidRDefault="006E56A2" w:rsidP="00C47F82">
      <w:pPr>
        <w:spacing w:before="360"/>
        <w:jc w:val="right"/>
        <w:rPr>
          <w:sz w:val="20"/>
          <w:lang w:val="ru-RU"/>
        </w:rPr>
      </w:pPr>
      <w:r w:rsidRPr="0075295C">
        <w:rPr>
          <w:i/>
          <w:iCs/>
          <w:sz w:val="20"/>
          <w:lang w:val="ru-RU"/>
        </w:rPr>
        <w:t>Электронная публикация</w:t>
      </w:r>
      <w:r w:rsidRPr="0075295C">
        <w:rPr>
          <w:i/>
          <w:iCs/>
          <w:sz w:val="20"/>
          <w:lang w:val="ru-RU"/>
        </w:rPr>
        <w:br/>
      </w:r>
      <w:r w:rsidRPr="0075295C">
        <w:rPr>
          <w:sz w:val="20"/>
          <w:lang w:val="ru-RU"/>
        </w:rPr>
        <w:t>Женева, 201</w:t>
      </w:r>
      <w:r w:rsidR="00C47F82" w:rsidRPr="0075295C">
        <w:rPr>
          <w:sz w:val="20"/>
          <w:lang w:val="ru-RU"/>
        </w:rPr>
        <w:t>4</w:t>
      </w:r>
      <w:r w:rsidRPr="0075295C">
        <w:rPr>
          <w:sz w:val="20"/>
          <w:lang w:val="ru-RU"/>
        </w:rPr>
        <w:t xml:space="preserve"> г.</w:t>
      </w:r>
    </w:p>
    <w:p w:rsidR="006E56A2" w:rsidRPr="0075295C" w:rsidRDefault="00B62AB1" w:rsidP="00C47F82">
      <w:pPr>
        <w:spacing w:before="480" w:after="120"/>
        <w:jc w:val="center"/>
        <w:rPr>
          <w:rFonts w:eastAsia="SimSun"/>
          <w:sz w:val="20"/>
          <w:lang w:val="ru-RU" w:eastAsia="zh-CN"/>
        </w:rPr>
      </w:pPr>
      <w:r w:rsidRPr="0075295C">
        <w:rPr>
          <w:sz w:val="20"/>
          <w:lang w:val="ru-RU"/>
        </w:rPr>
        <w:sym w:font="Symbol" w:char="F0E3"/>
      </w:r>
      <w:r w:rsidRPr="0075295C">
        <w:rPr>
          <w:sz w:val="20"/>
          <w:lang w:val="ru-RU"/>
        </w:rPr>
        <w:t xml:space="preserve"> ITU </w:t>
      </w:r>
      <w:bookmarkStart w:id="2" w:name="iiannee"/>
      <w:bookmarkEnd w:id="2"/>
      <w:r w:rsidRPr="0075295C">
        <w:rPr>
          <w:sz w:val="20"/>
          <w:lang w:val="ru-RU"/>
        </w:rPr>
        <w:t>201</w:t>
      </w:r>
      <w:r w:rsidR="00C47F82" w:rsidRPr="0075295C">
        <w:rPr>
          <w:sz w:val="20"/>
          <w:lang w:val="ru-RU"/>
        </w:rPr>
        <w:t>4</w:t>
      </w:r>
    </w:p>
    <w:p w:rsidR="00B62AB1" w:rsidRPr="0075295C" w:rsidRDefault="006E56A2" w:rsidP="00B62AB1">
      <w:pPr>
        <w:rPr>
          <w:sz w:val="18"/>
          <w:szCs w:val="18"/>
          <w:lang w:val="ru-RU"/>
        </w:rPr>
      </w:pPr>
      <w:r w:rsidRPr="0075295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75295C">
        <w:rPr>
          <w:sz w:val="18"/>
          <w:szCs w:val="18"/>
          <w:lang w:val="ru-RU"/>
        </w:rPr>
        <w:t xml:space="preserve"> </w:t>
      </w:r>
    </w:p>
    <w:p w:rsidR="00B62AB1" w:rsidRPr="0075295C" w:rsidRDefault="00B62AB1" w:rsidP="00B62AB1">
      <w:pPr>
        <w:spacing w:before="160"/>
        <w:rPr>
          <w:i/>
          <w:sz w:val="20"/>
          <w:lang w:val="ru-RU"/>
        </w:rPr>
        <w:sectPr w:rsidR="00B62AB1" w:rsidRPr="0075295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75295C" w:rsidRDefault="00C906E6" w:rsidP="00B62AB1">
      <w:pPr>
        <w:pStyle w:val="RecNo"/>
        <w:spacing w:before="0"/>
        <w:rPr>
          <w:lang w:val="ru-RU"/>
        </w:rPr>
      </w:pPr>
      <w:bookmarkStart w:id="3" w:name="irecnoe"/>
      <w:bookmarkEnd w:id="3"/>
      <w:r w:rsidRPr="0075295C">
        <w:rPr>
          <w:lang w:val="ru-RU"/>
        </w:rPr>
        <w:lastRenderedPageBreak/>
        <w:t xml:space="preserve">РЕКОМЕНДАЦИЯ  </w:t>
      </w:r>
      <w:r w:rsidRPr="0075295C">
        <w:rPr>
          <w:rStyle w:val="href"/>
          <w:lang w:val="ru-RU"/>
        </w:rPr>
        <w:t>МСЭ-R  M.</w:t>
      </w:r>
      <w:r w:rsidR="000A5788" w:rsidRPr="0075295C">
        <w:rPr>
          <w:rStyle w:val="href"/>
          <w:lang w:val="ru-RU"/>
        </w:rPr>
        <w:t>2046</w:t>
      </w:r>
    </w:p>
    <w:p w:rsidR="000A5788" w:rsidRPr="0075295C" w:rsidRDefault="000A5788" w:rsidP="000A5788">
      <w:pPr>
        <w:pStyle w:val="Rectitle"/>
        <w:rPr>
          <w:lang w:val="ru-RU"/>
        </w:rPr>
      </w:pPr>
      <w:r w:rsidRPr="0075295C">
        <w:rPr>
          <w:lang w:val="ru-RU"/>
        </w:rPr>
        <w:t>Характеристики и критерии защиты негеостационарных систем подвижной спутниковой службы, работающих в полосе 399,9–400,05 МГц</w:t>
      </w:r>
    </w:p>
    <w:p w:rsidR="000A5788" w:rsidRPr="0075295C" w:rsidRDefault="000A5788" w:rsidP="000A5788">
      <w:pPr>
        <w:pStyle w:val="Recdate"/>
        <w:rPr>
          <w:lang w:val="ru-RU"/>
        </w:rPr>
      </w:pPr>
      <w:r w:rsidRPr="0075295C">
        <w:rPr>
          <w:lang w:val="ru-RU"/>
        </w:rPr>
        <w:t>(2013)</w:t>
      </w:r>
    </w:p>
    <w:p w:rsidR="000A5788" w:rsidRPr="0075295C" w:rsidRDefault="000A5788" w:rsidP="000A5788">
      <w:pPr>
        <w:pStyle w:val="HeadingSum"/>
        <w:rPr>
          <w:lang w:val="ru-RU"/>
        </w:rPr>
      </w:pPr>
      <w:r w:rsidRPr="0075295C">
        <w:rPr>
          <w:lang w:val="ru-RU"/>
        </w:rPr>
        <w:t xml:space="preserve">Сфера применения </w:t>
      </w:r>
    </w:p>
    <w:p w:rsidR="000A5788" w:rsidRPr="0075295C" w:rsidRDefault="000A5788" w:rsidP="000A5788">
      <w:pPr>
        <w:pStyle w:val="Summary"/>
        <w:rPr>
          <w:lang w:val="ru-RU"/>
        </w:rPr>
      </w:pPr>
      <w:r w:rsidRPr="0075295C">
        <w:rPr>
          <w:lang w:val="ru-RU"/>
        </w:rPr>
        <w:t xml:space="preserve">В настоящей Рекомендации представлено описание одной системы подвижной спутниковой службы, использующей полосу частот 399,9–400,05 МГц (Земля-космос), а также относящиеся к ней критерии защиты по широкополосным шумовым и узкополосным помехам. </w:t>
      </w:r>
    </w:p>
    <w:p w:rsidR="000A5788" w:rsidRPr="0075295C" w:rsidRDefault="000A5788" w:rsidP="000A5788">
      <w:pPr>
        <w:pStyle w:val="Normalaftertitle"/>
        <w:rPr>
          <w:lang w:val="ru-RU"/>
        </w:rPr>
      </w:pPr>
      <w:r w:rsidRPr="0075295C">
        <w:rPr>
          <w:lang w:val="ru-RU"/>
        </w:rPr>
        <w:t>Ассамблея радиосвязи МСЭ,</w:t>
      </w:r>
    </w:p>
    <w:p w:rsidR="000A5788" w:rsidRPr="0075295C" w:rsidRDefault="000A5788" w:rsidP="000A5788">
      <w:pPr>
        <w:pStyle w:val="Call"/>
        <w:rPr>
          <w:lang w:val="ru-RU" w:eastAsia="zh-CN"/>
        </w:rPr>
      </w:pPr>
      <w:r w:rsidRPr="0075295C">
        <w:rPr>
          <w:lang w:val="ru-RU" w:eastAsia="zh-CN"/>
        </w:rPr>
        <w:t>учитывая</w:t>
      </w:r>
      <w:r w:rsidRPr="0075295C">
        <w:rPr>
          <w:i w:val="0"/>
          <w:iCs/>
          <w:lang w:val="ru-RU" w:eastAsia="zh-CN"/>
        </w:rPr>
        <w:t>,</w:t>
      </w:r>
    </w:p>
    <w:p w:rsidR="000A5788" w:rsidRPr="0075295C" w:rsidRDefault="000A5788" w:rsidP="000A5788">
      <w:pPr>
        <w:rPr>
          <w:lang w:val="ru-RU" w:eastAsia="zh-CN"/>
        </w:rPr>
      </w:pPr>
      <w:r w:rsidRPr="0075295C">
        <w:rPr>
          <w:i/>
          <w:iCs/>
          <w:lang w:val="ru-RU"/>
        </w:rPr>
        <w:t>a)</w:t>
      </w:r>
      <w:r w:rsidRPr="0075295C">
        <w:rPr>
          <w:lang w:val="ru-RU"/>
        </w:rPr>
        <w:tab/>
        <w:t xml:space="preserve">что полоса частот </w:t>
      </w:r>
      <w:r w:rsidRPr="0075295C">
        <w:rPr>
          <w:color w:val="000000"/>
          <w:lang w:val="ru-RU"/>
        </w:rPr>
        <w:t>399,9–400,05 МГц распределена подвижной спутниковой службе (ПСС);</w:t>
      </w:r>
    </w:p>
    <w:p w:rsidR="000A5788" w:rsidRPr="0075295C" w:rsidRDefault="000A5788" w:rsidP="000A5788">
      <w:pPr>
        <w:rPr>
          <w:lang w:val="ru-RU" w:eastAsia="zh-CN"/>
        </w:rPr>
      </w:pPr>
      <w:r w:rsidRPr="0075295C">
        <w:rPr>
          <w:i/>
          <w:iCs/>
          <w:lang w:val="ru-RU"/>
        </w:rPr>
        <w:t>b)</w:t>
      </w:r>
      <w:r w:rsidRPr="0075295C">
        <w:rPr>
          <w:lang w:val="ru-RU"/>
        </w:rPr>
        <w:tab/>
        <w:t xml:space="preserve">что использование полосы частот </w:t>
      </w:r>
      <w:r w:rsidRPr="0075295C">
        <w:rPr>
          <w:color w:val="000000"/>
          <w:lang w:val="ru-RU"/>
        </w:rPr>
        <w:t>399,9–400,05 МГц ПСС ограничено негеостационарными (НГСО) спутниковыми системами;</w:t>
      </w:r>
    </w:p>
    <w:p w:rsidR="000A5788" w:rsidRPr="0075295C" w:rsidRDefault="000A5788" w:rsidP="000A5788">
      <w:pPr>
        <w:rPr>
          <w:color w:val="000000"/>
          <w:lang w:val="ru-RU"/>
        </w:rPr>
      </w:pPr>
      <w:r w:rsidRPr="0075295C">
        <w:rPr>
          <w:i/>
          <w:iCs/>
          <w:lang w:val="ru-RU"/>
        </w:rPr>
        <w:t>c)</w:t>
      </w:r>
      <w:r w:rsidRPr="0075295C">
        <w:rPr>
          <w:lang w:val="ru-RU"/>
        </w:rPr>
        <w:tab/>
        <w:t xml:space="preserve">что полоса частот </w:t>
      </w:r>
      <w:r w:rsidRPr="0075295C">
        <w:rPr>
          <w:color w:val="000000"/>
          <w:lang w:val="ru-RU"/>
        </w:rPr>
        <w:t>399,9–400,05 МГц распределена также радионавигационной спутниковой службе;</w:t>
      </w:r>
    </w:p>
    <w:p w:rsidR="000A5788" w:rsidRPr="0075295C" w:rsidRDefault="000A5788" w:rsidP="000A5788">
      <w:pPr>
        <w:rPr>
          <w:color w:val="000000"/>
          <w:lang w:val="ru-RU"/>
        </w:rPr>
      </w:pPr>
      <w:r w:rsidRPr="0075295C">
        <w:rPr>
          <w:i/>
          <w:iCs/>
          <w:lang w:val="ru-RU"/>
        </w:rPr>
        <w:t>d)</w:t>
      </w:r>
      <w:r w:rsidRPr="0075295C">
        <w:rPr>
          <w:lang w:val="ru-RU"/>
        </w:rPr>
        <w:tab/>
        <w:t xml:space="preserve">что распределение полосы частот </w:t>
      </w:r>
      <w:r w:rsidRPr="0075295C">
        <w:rPr>
          <w:color w:val="000000"/>
          <w:lang w:val="ru-RU"/>
        </w:rPr>
        <w:t>399,9–400,05 МГц радионавигационной спутниковой службе должно действовать до 1 января 2015 года;</w:t>
      </w:r>
    </w:p>
    <w:p w:rsidR="000A5788" w:rsidRPr="0075295C" w:rsidRDefault="000A5788" w:rsidP="000A5788">
      <w:pPr>
        <w:rPr>
          <w:color w:val="000000"/>
          <w:lang w:val="ru-RU"/>
        </w:rPr>
      </w:pPr>
      <w:r w:rsidRPr="0075295C">
        <w:rPr>
          <w:i/>
          <w:iCs/>
          <w:lang w:val="ru-RU"/>
        </w:rPr>
        <w:t>e)</w:t>
      </w:r>
      <w:r w:rsidRPr="0075295C">
        <w:rPr>
          <w:lang w:val="ru-RU"/>
        </w:rPr>
        <w:tab/>
        <w:t>что будущие системы ПСС могут быть развернуты в этой полосе</w:t>
      </w:r>
      <w:r w:rsidRPr="0075295C">
        <w:rPr>
          <w:color w:val="000000"/>
          <w:lang w:val="ru-RU"/>
        </w:rPr>
        <w:t>;</w:t>
      </w:r>
    </w:p>
    <w:p w:rsidR="000A5788" w:rsidRPr="0075295C" w:rsidRDefault="000A5788" w:rsidP="000A5788">
      <w:pPr>
        <w:rPr>
          <w:lang w:val="ru-RU" w:eastAsia="zh-CN"/>
        </w:rPr>
      </w:pPr>
      <w:r w:rsidRPr="0075295C">
        <w:rPr>
          <w:i/>
          <w:iCs/>
          <w:lang w:val="ru-RU"/>
        </w:rPr>
        <w:t>f)</w:t>
      </w:r>
      <w:r w:rsidRPr="0075295C">
        <w:rPr>
          <w:lang w:val="ru-RU"/>
        </w:rPr>
        <w:tab/>
        <w:t>что необходимо соответствующее описание этих будущих систем</w:t>
      </w:r>
      <w:r w:rsidRPr="0075295C">
        <w:rPr>
          <w:color w:val="000000"/>
          <w:lang w:val="ru-RU"/>
        </w:rPr>
        <w:t>;</w:t>
      </w:r>
    </w:p>
    <w:p w:rsidR="000A5788" w:rsidRPr="0075295C" w:rsidRDefault="000A5788" w:rsidP="000A5788">
      <w:pPr>
        <w:rPr>
          <w:lang w:val="ru-RU" w:eastAsia="zh-CN"/>
        </w:rPr>
      </w:pPr>
      <w:r w:rsidRPr="0075295C">
        <w:rPr>
          <w:i/>
          <w:iCs/>
          <w:lang w:val="ru-RU"/>
        </w:rPr>
        <w:t>g)</w:t>
      </w:r>
      <w:r w:rsidRPr="0075295C">
        <w:rPr>
          <w:lang w:val="ru-RU"/>
        </w:rPr>
        <w:tab/>
        <w:t>что критерии защиты должны отвечать желаемым показателям качества при наличии помех</w:t>
      </w:r>
      <w:r w:rsidRPr="0075295C">
        <w:rPr>
          <w:lang w:val="ru-RU" w:eastAsia="zh-CN"/>
        </w:rPr>
        <w:t>,</w:t>
      </w:r>
    </w:p>
    <w:p w:rsidR="000A5788" w:rsidRPr="0075295C" w:rsidRDefault="000A5788" w:rsidP="000A5788">
      <w:pPr>
        <w:pStyle w:val="Call"/>
        <w:rPr>
          <w:lang w:val="ru-RU"/>
        </w:rPr>
      </w:pPr>
      <w:r w:rsidRPr="0075295C">
        <w:rPr>
          <w:lang w:val="ru-RU"/>
        </w:rPr>
        <w:t>рекомендует</w:t>
      </w:r>
      <w:r w:rsidRPr="0075295C">
        <w:rPr>
          <w:i w:val="0"/>
          <w:iCs/>
          <w:lang w:val="ru-RU"/>
        </w:rPr>
        <w:t xml:space="preserve">, </w:t>
      </w:r>
    </w:p>
    <w:p w:rsidR="000A5788" w:rsidRPr="0075295C" w:rsidRDefault="000A5788" w:rsidP="000A5788">
      <w:pPr>
        <w:rPr>
          <w:lang w:val="ru-RU"/>
        </w:rPr>
      </w:pPr>
      <w:r w:rsidRPr="0075295C">
        <w:rPr>
          <w:b/>
          <w:bCs/>
          <w:lang w:val="ru-RU"/>
        </w:rPr>
        <w:t>1</w:t>
      </w:r>
      <w:r w:rsidRPr="0075295C">
        <w:rPr>
          <w:lang w:val="ru-RU"/>
        </w:rPr>
        <w:tab/>
        <w:t xml:space="preserve">чтобы анализ с целью определения воздействия на системы НГСО ПСС в полосе частот </w:t>
      </w:r>
      <w:r w:rsidRPr="0075295C">
        <w:rPr>
          <w:color w:val="000000"/>
          <w:lang w:val="ru-RU"/>
        </w:rPr>
        <w:t>399,9−400,05 МГц проводился на основе указанных ниже критериев защиты</w:t>
      </w:r>
      <w:r w:rsidRPr="0075295C">
        <w:rPr>
          <w:lang w:val="ru-RU"/>
        </w:rPr>
        <w:t>:</w:t>
      </w:r>
    </w:p>
    <w:p w:rsidR="000A5788" w:rsidRPr="0075295C" w:rsidRDefault="000A5788" w:rsidP="000A5788">
      <w:pPr>
        <w:pStyle w:val="enumlev1"/>
        <w:rPr>
          <w:lang w:val="ru-RU"/>
        </w:rPr>
      </w:pPr>
      <w:r w:rsidRPr="0075295C">
        <w:rPr>
          <w:lang w:val="ru-RU"/>
        </w:rPr>
        <w:t>–</w:t>
      </w:r>
      <w:r w:rsidRPr="0075295C">
        <w:rPr>
          <w:lang w:val="ru-RU"/>
        </w:rPr>
        <w:tab/>
        <w:t xml:space="preserve">максимальная допустимая суммарная спектральная плотность потока мощности (с.п.п.м.) на входе антенны системы НГСО ПСС ARGOS4 для широкополосных шумовых помех, равная </w:t>
      </w:r>
      <w:r w:rsidRPr="0075295C">
        <w:rPr>
          <w:rFonts w:asciiTheme="majorBidi" w:hAnsiTheme="majorBidi" w:cstheme="majorBidi"/>
          <w:lang w:val="ru-RU"/>
        </w:rPr>
        <w:t>−</w:t>
      </w:r>
      <w:r w:rsidRPr="0075295C">
        <w:rPr>
          <w:lang w:val="ru-RU"/>
        </w:rPr>
        <w:t>197,9 дБ(Вт/(м</w:t>
      </w:r>
      <w:r w:rsidRPr="0075295C">
        <w:rPr>
          <w:vertAlign w:val="superscript"/>
          <w:lang w:val="ru-RU"/>
        </w:rPr>
        <w:t>2</w:t>
      </w:r>
      <w:r w:rsidRPr="0075295C">
        <w:rPr>
          <w:lang w:val="ru-RU"/>
        </w:rPr>
        <w:t> · Гц)) (см. Приложение 1);</w:t>
      </w:r>
    </w:p>
    <w:p w:rsidR="000A5788" w:rsidRPr="0075295C" w:rsidRDefault="000A5788" w:rsidP="000A5788">
      <w:pPr>
        <w:pStyle w:val="enumlev1"/>
        <w:rPr>
          <w:lang w:val="ru-RU"/>
        </w:rPr>
      </w:pPr>
      <w:r w:rsidRPr="0075295C">
        <w:rPr>
          <w:lang w:val="ru-RU"/>
        </w:rPr>
        <w:t>–</w:t>
      </w:r>
      <w:r w:rsidRPr="0075295C">
        <w:rPr>
          <w:lang w:val="ru-RU"/>
        </w:rPr>
        <w:tab/>
        <w:t>максимальная п.п.м. в пределах ширины полосы по разрешению в 19 Гц на входе антенны системы НГСО ПСС ARGOS4 для каждой узкополосной помехи, равная –165,4 дБ(Вт/м</w:t>
      </w:r>
      <w:r w:rsidRPr="0075295C">
        <w:rPr>
          <w:vertAlign w:val="superscript"/>
          <w:lang w:val="ru-RU"/>
        </w:rPr>
        <w:t>2</w:t>
      </w:r>
      <w:r w:rsidRPr="0075295C">
        <w:rPr>
          <w:lang w:val="ru-RU"/>
        </w:rPr>
        <w:t>) (см. Приложение 1);</w:t>
      </w:r>
    </w:p>
    <w:p w:rsidR="000A5788" w:rsidRPr="0075295C" w:rsidRDefault="000A5788" w:rsidP="000A5788">
      <w:pPr>
        <w:rPr>
          <w:lang w:val="ru-RU"/>
        </w:rPr>
      </w:pPr>
      <w:r w:rsidRPr="0075295C">
        <w:rPr>
          <w:b/>
          <w:lang w:val="ru-RU"/>
        </w:rPr>
        <w:t>2</w:t>
      </w:r>
      <w:r w:rsidRPr="0075295C">
        <w:rPr>
          <w:lang w:val="ru-RU"/>
        </w:rPr>
        <w:tab/>
        <w:t xml:space="preserve">чтобы критерии защиты, определенные в пункте 1 раздела </w:t>
      </w:r>
      <w:r w:rsidRPr="0075295C">
        <w:rPr>
          <w:i/>
          <w:iCs/>
          <w:lang w:val="ru-RU"/>
        </w:rPr>
        <w:t>рекомендует</w:t>
      </w:r>
      <w:r w:rsidR="009826AF">
        <w:rPr>
          <w:lang w:val="ru-RU"/>
        </w:rPr>
        <w:t>, не превышались в</w:t>
      </w:r>
      <w:r w:rsidR="009826AF">
        <w:rPr>
          <w:lang w:val="en-US"/>
        </w:rPr>
        <w:t> </w:t>
      </w:r>
      <w:r w:rsidRPr="0075295C">
        <w:rPr>
          <w:lang w:val="ru-RU"/>
        </w:rPr>
        <w:t>течение более чем 1% времени в области видимости спутника ПСС.</w:t>
      </w:r>
    </w:p>
    <w:p w:rsidR="000A5788" w:rsidRPr="0075295C" w:rsidRDefault="000A5788" w:rsidP="000A5788">
      <w:pPr>
        <w:rPr>
          <w:lang w:val="ru-RU"/>
        </w:rPr>
      </w:pPr>
    </w:p>
    <w:p w:rsidR="000A5788" w:rsidRPr="0075295C" w:rsidRDefault="000A5788" w:rsidP="000A5788">
      <w:pPr>
        <w:pStyle w:val="AppendixNoTitle"/>
        <w:rPr>
          <w:lang w:val="ru-RU"/>
        </w:rPr>
      </w:pPr>
      <w:r w:rsidRPr="0075295C">
        <w:rPr>
          <w:lang w:val="ru-RU"/>
        </w:rPr>
        <w:br w:type="page"/>
      </w:r>
    </w:p>
    <w:p w:rsidR="000A5788" w:rsidRPr="0075295C" w:rsidRDefault="009826AF" w:rsidP="000A5788">
      <w:pPr>
        <w:pStyle w:val="AnnexNoTitle"/>
        <w:rPr>
          <w:lang w:val="ru-RU"/>
        </w:rPr>
      </w:pPr>
      <w:r>
        <w:rPr>
          <w:lang w:val="ru-RU"/>
        </w:rPr>
        <w:lastRenderedPageBreak/>
        <w:t>Приложение 1</w:t>
      </w:r>
      <w:r>
        <w:rPr>
          <w:lang w:val="ru-RU"/>
        </w:rPr>
        <w:br/>
      </w:r>
      <w:r>
        <w:rPr>
          <w:lang w:val="ru-RU"/>
        </w:rPr>
        <w:br/>
        <w:t>Система ARGOS4</w:t>
      </w:r>
    </w:p>
    <w:p w:rsidR="000A5788" w:rsidRPr="0075295C" w:rsidRDefault="000A5788" w:rsidP="000A5788">
      <w:pPr>
        <w:pStyle w:val="Heading1"/>
        <w:rPr>
          <w:lang w:val="ru-RU"/>
        </w:rPr>
      </w:pPr>
      <w:r w:rsidRPr="0075295C">
        <w:rPr>
          <w:lang w:val="ru-RU"/>
        </w:rPr>
        <w:t>1</w:t>
      </w:r>
      <w:r w:rsidRPr="0075295C">
        <w:rPr>
          <w:lang w:val="ru-RU"/>
        </w:rPr>
        <w:tab/>
        <w:t>Описание и характеристики системы ПСС ARGOS4</w:t>
      </w:r>
    </w:p>
    <w:p w:rsidR="000A5788" w:rsidRPr="0075295C" w:rsidRDefault="000A5788" w:rsidP="000A5788">
      <w:pPr>
        <w:rPr>
          <w:lang w:val="ru-RU"/>
        </w:rPr>
      </w:pPr>
      <w:r w:rsidRPr="0075295C">
        <w:rPr>
          <w:lang w:val="ru-RU"/>
        </w:rPr>
        <w:t xml:space="preserve">В системе сбора данных (DCS) ARGOS используется полоса 399,9–400,05 МГц на линии вверх для передачи фазоманипулированных (PSK) сигналов с расщеплением фазы, кодированных манчестерским кодом, через спутники на низкой околоземной орбите. Система работает со скоростью передачи данных, составляющей 400 бит/с. В платформе сбора данных (DCP), как правило, используется антенна с низким коэффициентом усиления (максимум 3 дБи при угле места в 40°). </w:t>
      </w:r>
    </w:p>
    <w:p w:rsidR="000A5788" w:rsidRPr="0075295C" w:rsidRDefault="000A5788" w:rsidP="000A5788">
      <w:pPr>
        <w:rPr>
          <w:lang w:val="ru-RU"/>
        </w:rPr>
      </w:pPr>
      <w:r w:rsidRPr="0075295C">
        <w:rPr>
          <w:lang w:val="ru-RU"/>
        </w:rPr>
        <w:t>Процессор спутниковой системы DCS осуществляет демодуляцию переданных по линии вверх данных DCS, мультиплексирование этих данных с другими телеметрическими данными полета и передачу соответствующих цифровых данных в направлении Земли в полосах 1670−1710 МГц, 7750−7850 МГц и 8025−8400 МГц. Кроме того, реализована одна линия вниз на частоте 465,9875 МГц для передачи специальных сообщений в направлении платформ DCP.</w:t>
      </w:r>
    </w:p>
    <w:p w:rsidR="000A5788" w:rsidRPr="0075295C" w:rsidRDefault="000A5788" w:rsidP="000A5788">
      <w:pPr>
        <w:rPr>
          <w:lang w:val="ru-RU"/>
        </w:rPr>
      </w:pPr>
      <w:r w:rsidRPr="0075295C">
        <w:rPr>
          <w:lang w:val="ru-RU"/>
        </w:rPr>
        <w:t>В связи с тем, что демодуляция данных DCS осуществляется на спутнике, при проведении анализа показателей показатели работы линии вниз можно отделить от показателей работы линии вверх.</w:t>
      </w:r>
    </w:p>
    <w:p w:rsidR="000A5788" w:rsidRPr="0075295C" w:rsidRDefault="000A5788" w:rsidP="000A5788">
      <w:pPr>
        <w:rPr>
          <w:lang w:val="ru-RU"/>
        </w:rPr>
      </w:pPr>
      <w:r w:rsidRPr="0075295C">
        <w:rPr>
          <w:lang w:val="ru-RU"/>
        </w:rPr>
        <w:t>В системе ARGOS обеспечивается работа различных видов применений пользователей, при этом в разных платформах DCP используются различные выходные мощности и различные типы антенн (бóльшую часть времени – штыревая антенна); в этих условиях мощность, принимаемая от одной DCP, будет отличаться от мощности, принимаемой от другой DCP, поскольку она зависит от среды и типа антенного устройства, которое фактически реализовано в этой платформе.</w:t>
      </w:r>
    </w:p>
    <w:p w:rsidR="000A5788" w:rsidRPr="0075295C" w:rsidRDefault="000A5788" w:rsidP="000A5788">
      <w:pPr>
        <w:pStyle w:val="Heading1"/>
        <w:rPr>
          <w:lang w:val="ru-RU"/>
        </w:rPr>
      </w:pPr>
      <w:r w:rsidRPr="0075295C">
        <w:rPr>
          <w:lang w:val="ru-RU"/>
        </w:rPr>
        <w:t>2</w:t>
      </w:r>
      <w:r w:rsidRPr="0075295C">
        <w:rPr>
          <w:lang w:val="ru-RU"/>
        </w:rPr>
        <w:tab/>
        <w:t>Критерии защиты системы НГСО ПСС ARGO</w:t>
      </w:r>
      <w:r w:rsidR="009826AF">
        <w:rPr>
          <w:lang w:val="ru-RU"/>
        </w:rPr>
        <w:t>S4 в полосе 399,9–400,05 МГц от</w:t>
      </w:r>
      <w:r w:rsidR="009826AF">
        <w:rPr>
          <w:lang w:val="en-US"/>
        </w:rPr>
        <w:t> </w:t>
      </w:r>
      <w:r w:rsidRPr="0075295C">
        <w:rPr>
          <w:lang w:val="ru-RU"/>
        </w:rPr>
        <w:t>излучений, создающих широкополосные шумовые помехи</w:t>
      </w:r>
    </w:p>
    <w:p w:rsidR="000A5788" w:rsidRPr="0075295C" w:rsidRDefault="000A5788" w:rsidP="000A5788">
      <w:pPr>
        <w:pStyle w:val="Heading2"/>
        <w:rPr>
          <w:lang w:val="ru-RU"/>
        </w:rPr>
      </w:pPr>
      <w:r w:rsidRPr="0075295C">
        <w:rPr>
          <w:lang w:val="ru-RU"/>
        </w:rPr>
        <w:t>2.1</w:t>
      </w:r>
      <w:r w:rsidRPr="0075295C">
        <w:rPr>
          <w:lang w:val="ru-RU"/>
        </w:rPr>
        <w:tab/>
        <w:t>Расчет порогового уровня с.п.п.м. помех</w:t>
      </w:r>
    </w:p>
    <w:p w:rsidR="000A5788" w:rsidRPr="0075295C" w:rsidRDefault="000A5788" w:rsidP="000A5788">
      <w:pPr>
        <w:rPr>
          <w:lang w:val="ru-RU"/>
        </w:rPr>
      </w:pPr>
      <w:r w:rsidRPr="0075295C">
        <w:rPr>
          <w:lang w:val="ru-RU"/>
        </w:rPr>
        <w:t>Добавление широкополосного шума, воздействующего на приемник ARGOS4, расположенный на борту спутника, ведет к возрастанию коэффициента ошибок по битам (BER) в системе и тем самым негативно влияет на требуемые показатели работы. В ходе данного анализа определяется максимальная допустимая п.п.м., обусловленная широкополосным шумом в канале линии вверх системы ПСС ARGOS4.</w:t>
      </w:r>
    </w:p>
    <w:p w:rsidR="000A5788" w:rsidRPr="0075295C" w:rsidRDefault="000A5788" w:rsidP="000A5788">
      <w:pPr>
        <w:rPr>
          <w:lang w:val="ru-RU"/>
        </w:rPr>
      </w:pPr>
      <w:r w:rsidRPr="0075295C">
        <w:rPr>
          <w:lang w:val="ru-RU"/>
        </w:rPr>
        <w:t>В таблице 1 приводится спецификация диаграммы направленности приемной антенны в соответствии с углом отклонения от надира:</w:t>
      </w:r>
    </w:p>
    <w:p w:rsidR="000A5788" w:rsidRPr="0075295C" w:rsidRDefault="000A5788" w:rsidP="000A5788">
      <w:pPr>
        <w:pStyle w:val="TableNo"/>
        <w:rPr>
          <w:lang w:val="ru-RU"/>
        </w:rPr>
      </w:pPr>
      <w:r w:rsidRPr="0075295C">
        <w:rPr>
          <w:lang w:val="ru-RU"/>
        </w:rPr>
        <w:t>ТАБЛИЦА 1</w:t>
      </w:r>
    </w:p>
    <w:p w:rsidR="000A5788" w:rsidRPr="0075295C" w:rsidRDefault="000A5788" w:rsidP="000A5788">
      <w:pPr>
        <w:pStyle w:val="Tabletitle"/>
        <w:rPr>
          <w:lang w:val="ru-RU"/>
        </w:rPr>
      </w:pPr>
      <w:r w:rsidRPr="0075295C">
        <w:rPr>
          <w:lang w:val="ru-RU"/>
        </w:rPr>
        <w:t>Диаграмма направленности приемной антенны</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783"/>
        <w:gridCol w:w="784"/>
        <w:gridCol w:w="784"/>
        <w:gridCol w:w="784"/>
        <w:gridCol w:w="784"/>
        <w:gridCol w:w="784"/>
        <w:gridCol w:w="784"/>
        <w:gridCol w:w="784"/>
        <w:gridCol w:w="784"/>
        <w:gridCol w:w="784"/>
      </w:tblGrid>
      <w:tr w:rsidR="000A5788" w:rsidRPr="0075295C" w:rsidTr="00051D1E">
        <w:trPr>
          <w:jc w:val="center"/>
        </w:trPr>
        <w:tc>
          <w:tcPr>
            <w:tcW w:w="1886"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spacing w:line="180" w:lineRule="exact"/>
              <w:jc w:val="left"/>
              <w:rPr>
                <w:sz w:val="16"/>
                <w:szCs w:val="16"/>
                <w:lang w:val="ru-RU"/>
              </w:rPr>
            </w:pPr>
            <w:r w:rsidRPr="0075295C">
              <w:rPr>
                <w:sz w:val="16"/>
                <w:szCs w:val="16"/>
                <w:lang w:val="ru-RU"/>
              </w:rPr>
              <w:t>Угол отклонения спутника от надира</w:t>
            </w:r>
          </w:p>
        </w:tc>
        <w:tc>
          <w:tcPr>
            <w:tcW w:w="783"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62</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59</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54</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47</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39</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31</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22</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13</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5</w:t>
            </w:r>
          </w:p>
        </w:tc>
        <w:tc>
          <w:tcPr>
            <w:tcW w:w="784" w:type="dxa"/>
            <w:tcBorders>
              <w:top w:val="single" w:sz="4" w:space="0" w:color="auto"/>
              <w:left w:val="single" w:sz="4" w:space="0" w:color="auto"/>
              <w:bottom w:val="single" w:sz="4" w:space="0" w:color="auto"/>
              <w:right w:val="single" w:sz="4" w:space="0" w:color="auto"/>
            </w:tcBorders>
            <w:vAlign w:val="center"/>
          </w:tcPr>
          <w:p w:rsidR="000A5788" w:rsidRPr="0075295C" w:rsidRDefault="000A5788" w:rsidP="00051D1E">
            <w:pPr>
              <w:pStyle w:val="Tabletext"/>
              <w:jc w:val="center"/>
              <w:rPr>
                <w:sz w:val="16"/>
                <w:szCs w:val="16"/>
                <w:lang w:val="ru-RU"/>
              </w:rPr>
            </w:pPr>
            <w:r w:rsidRPr="0075295C">
              <w:rPr>
                <w:sz w:val="16"/>
                <w:szCs w:val="16"/>
                <w:lang w:val="ru-RU"/>
              </w:rPr>
              <w:t>0</w:t>
            </w:r>
          </w:p>
        </w:tc>
      </w:tr>
      <w:tr w:rsidR="000A5788" w:rsidRPr="0075295C" w:rsidTr="00051D1E">
        <w:trPr>
          <w:jc w:val="center"/>
        </w:trPr>
        <w:tc>
          <w:tcPr>
            <w:tcW w:w="1886"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spacing w:line="180" w:lineRule="exact"/>
              <w:jc w:val="left"/>
              <w:rPr>
                <w:sz w:val="16"/>
                <w:szCs w:val="16"/>
                <w:lang w:val="ru-RU"/>
              </w:rPr>
            </w:pPr>
            <w:r w:rsidRPr="0075295C">
              <w:rPr>
                <w:sz w:val="16"/>
                <w:szCs w:val="16"/>
                <w:lang w:val="ru-RU"/>
              </w:rPr>
              <w:t>Усиление при правосторонней круговой поляризации</w:t>
            </w:r>
          </w:p>
        </w:tc>
        <w:tc>
          <w:tcPr>
            <w:tcW w:w="783"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3,85</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3,54</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2,62</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1,24</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–0,17</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–1,33</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–2,24</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–3,08</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–3,80</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–3,96</w:t>
            </w:r>
          </w:p>
        </w:tc>
      </w:tr>
      <w:tr w:rsidR="000A5788" w:rsidRPr="0075295C" w:rsidTr="00051D1E">
        <w:trPr>
          <w:jc w:val="center"/>
        </w:trPr>
        <w:tc>
          <w:tcPr>
            <w:tcW w:w="1886"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spacing w:line="180" w:lineRule="exact"/>
              <w:jc w:val="left"/>
              <w:rPr>
                <w:sz w:val="16"/>
                <w:szCs w:val="16"/>
                <w:lang w:val="ru-RU"/>
              </w:rPr>
            </w:pPr>
            <w:r w:rsidRPr="0075295C">
              <w:rPr>
                <w:sz w:val="16"/>
                <w:szCs w:val="16"/>
                <w:lang w:val="ru-RU"/>
              </w:rPr>
              <w:t>Усиление при левосторонней круговой поляризации</w:t>
            </w:r>
          </w:p>
        </w:tc>
        <w:tc>
          <w:tcPr>
            <w:tcW w:w="783"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–5,69</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–6,23</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–7,52</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–9,39</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–11,39</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–13,12</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–14,52</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–15,77</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–17,17</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–18,00</w:t>
            </w:r>
          </w:p>
        </w:tc>
      </w:tr>
      <w:tr w:rsidR="000A5788" w:rsidRPr="0075295C" w:rsidTr="00051D1E">
        <w:trPr>
          <w:jc w:val="center"/>
        </w:trPr>
        <w:tc>
          <w:tcPr>
            <w:tcW w:w="1886"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spacing w:line="180" w:lineRule="exact"/>
              <w:jc w:val="left"/>
              <w:rPr>
                <w:sz w:val="16"/>
                <w:szCs w:val="16"/>
                <w:lang w:val="ru-RU"/>
              </w:rPr>
            </w:pPr>
            <w:r w:rsidRPr="0075295C">
              <w:rPr>
                <w:sz w:val="16"/>
                <w:szCs w:val="16"/>
                <w:lang w:val="ru-RU"/>
              </w:rPr>
              <w:t>Коэффициент эллиптичности (см. Примечание 1)</w:t>
            </w:r>
          </w:p>
        </w:tc>
        <w:tc>
          <w:tcPr>
            <w:tcW w:w="783"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6,02</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5,85</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5,59</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5,26</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4,90</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4,57</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4,31</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4,11</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3,78</w:t>
            </w:r>
          </w:p>
        </w:tc>
        <w:tc>
          <w:tcPr>
            <w:tcW w:w="784" w:type="dxa"/>
            <w:tcBorders>
              <w:top w:val="single" w:sz="4" w:space="0" w:color="auto"/>
              <w:left w:val="single" w:sz="4" w:space="0" w:color="auto"/>
              <w:bottom w:val="single" w:sz="4" w:space="0" w:color="auto"/>
              <w:right w:val="single" w:sz="4" w:space="0" w:color="auto"/>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ab/>
              <w:t>3,49</w:t>
            </w:r>
          </w:p>
        </w:tc>
      </w:tr>
      <w:tr w:rsidR="000A5788" w:rsidRPr="009826AF" w:rsidTr="00051D1E">
        <w:trPr>
          <w:jc w:val="center"/>
        </w:trPr>
        <w:tc>
          <w:tcPr>
            <w:tcW w:w="9725" w:type="dxa"/>
            <w:gridSpan w:val="11"/>
            <w:tcBorders>
              <w:top w:val="single" w:sz="4" w:space="0" w:color="auto"/>
              <w:left w:val="nil"/>
              <w:bottom w:val="nil"/>
              <w:right w:val="nil"/>
            </w:tcBorders>
          </w:tcPr>
          <w:p w:rsidR="000A5788" w:rsidRPr="0075295C" w:rsidRDefault="000A5788" w:rsidP="00051D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sz w:val="16"/>
                <w:szCs w:val="16"/>
                <w:lang w:val="ru-RU"/>
              </w:rPr>
            </w:pPr>
            <w:r w:rsidRPr="0075295C">
              <w:rPr>
                <w:sz w:val="16"/>
                <w:szCs w:val="16"/>
                <w:lang w:val="ru-RU"/>
              </w:rPr>
              <w:t>ПРИМЕЧАНИЕ 1. – Коэффициент эллиптичности представляет собой отношение малой и большой осей эллипса поляризации.</w:t>
            </w:r>
          </w:p>
        </w:tc>
      </w:tr>
    </w:tbl>
    <w:p w:rsidR="000A5788" w:rsidRPr="0075295C" w:rsidRDefault="000A5788" w:rsidP="000A5788">
      <w:pPr>
        <w:pStyle w:val="Tablefin"/>
        <w:rPr>
          <w:lang w:val="ru-RU"/>
        </w:rPr>
      </w:pPr>
    </w:p>
    <w:p w:rsidR="000A5788" w:rsidRPr="0075295C" w:rsidRDefault="000A5788" w:rsidP="000A5788">
      <w:pPr>
        <w:rPr>
          <w:lang w:val="ru-RU"/>
        </w:rPr>
      </w:pPr>
      <w:r w:rsidRPr="0075295C">
        <w:rPr>
          <w:lang w:val="ru-RU"/>
        </w:rPr>
        <w:lastRenderedPageBreak/>
        <w:t xml:space="preserve">Типовыми значения для системы ARGOS4 являются: коэффициент шума = 3 дБ, фоновая шумовая температура для наихудшего случая = 1200 K (измеренное значение с учетом промышленного шума в Европе), ослабление между антенной и приемником ARGOS4 = 1,6 дБ. Таким образом, шумовая температура системы на входе приемника ARGOS4 равна 1214 K, и поэтому спектральная плотность шума равна </w:t>
      </w:r>
      <w:r w:rsidRPr="0075295C">
        <w:rPr>
          <w:i/>
          <w:lang w:val="ru-RU"/>
        </w:rPr>
        <w:t>N</w:t>
      </w:r>
      <w:r w:rsidRPr="0075295C">
        <w:rPr>
          <w:position w:val="-4"/>
          <w:sz w:val="16"/>
          <w:lang w:val="ru-RU"/>
        </w:rPr>
        <w:t>0</w:t>
      </w:r>
      <w:r w:rsidRPr="0075295C">
        <w:rPr>
          <w:lang w:val="ru-RU"/>
        </w:rPr>
        <w:t> </w:t>
      </w:r>
      <w:r w:rsidRPr="0075295C">
        <w:rPr>
          <w:rFonts w:ascii="Symbol" w:hAnsi="Symbol"/>
          <w:lang w:val="ru-RU"/>
        </w:rPr>
        <w:t></w:t>
      </w:r>
      <w:r w:rsidRPr="0075295C">
        <w:rPr>
          <w:lang w:val="ru-RU"/>
        </w:rPr>
        <w:t> –197,8 дБ(Вт/Гц).</w:t>
      </w:r>
    </w:p>
    <w:p w:rsidR="000A5788" w:rsidRPr="0075295C" w:rsidRDefault="000A5788" w:rsidP="000A5788">
      <w:pPr>
        <w:rPr>
          <w:lang w:val="ru-RU"/>
        </w:rPr>
      </w:pPr>
      <w:r w:rsidRPr="0075295C">
        <w:rPr>
          <w:lang w:val="ru-RU"/>
        </w:rPr>
        <w:t xml:space="preserve">Согласно спецификации для наихудшего случая, система ARGOS4 разработана так, чтобы правильно работать при мощности принимаемого сигнала </w:t>
      </w:r>
      <w:r w:rsidRPr="0075295C">
        <w:rPr>
          <w:i/>
          <w:lang w:val="ru-RU"/>
        </w:rPr>
        <w:t>C</w:t>
      </w:r>
      <w:r w:rsidRPr="0075295C">
        <w:rPr>
          <w:lang w:val="ru-RU"/>
        </w:rPr>
        <w:t> </w:t>
      </w:r>
      <w:r w:rsidRPr="0075295C">
        <w:rPr>
          <w:rFonts w:ascii="Symbol" w:hAnsi="Symbol"/>
          <w:lang w:val="ru-RU"/>
        </w:rPr>
        <w:t></w:t>
      </w:r>
      <w:r w:rsidRPr="0075295C">
        <w:rPr>
          <w:lang w:val="ru-RU"/>
        </w:rPr>
        <w:t xml:space="preserve"> –160 дБВт (минимальный уровень принимаемого сигнала) на входе приемника, что обеспечивает фактическое отношение </w:t>
      </w:r>
      <w:r w:rsidRPr="0075295C">
        <w:rPr>
          <w:i/>
          <w:lang w:val="ru-RU"/>
        </w:rPr>
        <w:t>E</w:t>
      </w:r>
      <w:r w:rsidRPr="0075295C">
        <w:rPr>
          <w:i/>
          <w:vertAlign w:val="subscript"/>
          <w:lang w:val="ru-RU"/>
        </w:rPr>
        <w:t>b</w:t>
      </w:r>
      <w:r w:rsidRPr="0075295C">
        <w:rPr>
          <w:lang w:val="ru-RU"/>
        </w:rPr>
        <w:t>/</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xml:space="preserve"> 8,3 дБ в битовом детекторе ARGOS, если учесть форму колебаний сигнала радиомаяка и разнообразные потери. </w:t>
      </w:r>
    </w:p>
    <w:p w:rsidR="000A5788" w:rsidRPr="0075295C" w:rsidRDefault="000A5788" w:rsidP="000A5788">
      <w:pPr>
        <w:rPr>
          <w:lang w:val="ru-RU"/>
        </w:rPr>
      </w:pPr>
      <w:r w:rsidRPr="0075295C">
        <w:rPr>
          <w:lang w:val="ru-RU"/>
        </w:rPr>
        <w:t>Отсюда следует, что для достижения значения BER 2 </w:t>
      </w:r>
      <w:r w:rsidRPr="0075295C">
        <w:rPr>
          <w:rFonts w:ascii="Symbol" w:hAnsi="Symbol"/>
          <w:lang w:val="ru-RU"/>
        </w:rPr>
        <w:t></w:t>
      </w:r>
      <w:r w:rsidRPr="0075295C">
        <w:rPr>
          <w:lang w:val="ru-RU"/>
        </w:rPr>
        <w:t> 10</w:t>
      </w:r>
      <w:r w:rsidRPr="0075295C">
        <w:rPr>
          <w:vertAlign w:val="superscript"/>
          <w:lang w:val="ru-RU"/>
        </w:rPr>
        <w:t>–4</w:t>
      </w:r>
      <w:r w:rsidRPr="0075295C">
        <w:rPr>
          <w:lang w:val="ru-RU"/>
        </w:rPr>
        <w:t xml:space="preserve">, которое соответствует минимальному отношению </w:t>
      </w:r>
      <w:r w:rsidRPr="0075295C">
        <w:rPr>
          <w:i/>
          <w:lang w:val="ru-RU"/>
        </w:rPr>
        <w:t>E</w:t>
      </w:r>
      <w:r w:rsidRPr="0075295C">
        <w:rPr>
          <w:i/>
          <w:vertAlign w:val="subscript"/>
          <w:lang w:val="ru-RU"/>
        </w:rPr>
        <w:t>b</w:t>
      </w:r>
      <w:r w:rsidRPr="0075295C">
        <w:rPr>
          <w:lang w:val="ru-RU"/>
        </w:rPr>
        <w:t>/</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8 дБ, максимальное приемлемое ухудшение должно составлять 0,3 дБ.</w:t>
      </w:r>
    </w:p>
    <w:p w:rsidR="000A5788" w:rsidRPr="0075295C" w:rsidRDefault="000A5788" w:rsidP="000A5788">
      <w:pPr>
        <w:rPr>
          <w:lang w:val="ru-RU"/>
        </w:rPr>
      </w:pPr>
      <w:r w:rsidRPr="0075295C">
        <w:rPr>
          <w:lang w:val="ru-RU"/>
        </w:rPr>
        <w:t xml:space="preserve">В данном случае вычисляется аддитивный шум, соответствующий ухудшению 0,3 дБ для отношения </w:t>
      </w:r>
      <w:r w:rsidRPr="0075295C">
        <w:rPr>
          <w:i/>
          <w:lang w:val="ru-RU"/>
        </w:rPr>
        <w:t>C</w:t>
      </w:r>
      <w:r w:rsidRPr="0075295C">
        <w:rPr>
          <w:lang w:val="ru-RU"/>
        </w:rPr>
        <w:t>/</w:t>
      </w:r>
      <w:r w:rsidRPr="0075295C">
        <w:rPr>
          <w:i/>
          <w:lang w:val="ru-RU"/>
        </w:rPr>
        <w:t>N</w:t>
      </w:r>
      <w:r w:rsidRPr="0075295C">
        <w:rPr>
          <w:vertAlign w:val="subscript"/>
          <w:lang w:val="ru-RU"/>
        </w:rPr>
        <w:t>0</w:t>
      </w:r>
      <w:r w:rsidRPr="0075295C">
        <w:rPr>
          <w:lang w:val="ru-RU"/>
        </w:rPr>
        <w:t xml:space="preserve">. Пусть </w:t>
      </w:r>
      <w:r w:rsidRPr="0075295C">
        <w:rPr>
          <w:i/>
          <w:iCs/>
          <w:lang w:val="ru-RU"/>
        </w:rPr>
        <w:t>I</w:t>
      </w:r>
      <w:r w:rsidRPr="0075295C">
        <w:rPr>
          <w:vertAlign w:val="subscript"/>
          <w:lang w:val="ru-RU"/>
        </w:rPr>
        <w:t>0</w:t>
      </w:r>
      <w:r w:rsidRPr="0075295C">
        <w:rPr>
          <w:lang w:val="ru-RU"/>
        </w:rPr>
        <w:t xml:space="preserve"> представляет плотность мощности аддитивного шума. Соответственно, начальный шум </w:t>
      </w:r>
      <w:r w:rsidRPr="0075295C">
        <w:rPr>
          <w:i/>
          <w:lang w:val="ru-RU"/>
        </w:rPr>
        <w:t>N</w:t>
      </w:r>
      <w:r w:rsidRPr="0075295C">
        <w:rPr>
          <w:vertAlign w:val="subscript"/>
          <w:lang w:val="ru-RU"/>
        </w:rPr>
        <w:t xml:space="preserve">0 </w:t>
      </w:r>
      <w:r w:rsidRPr="0075295C">
        <w:rPr>
          <w:lang w:val="ru-RU"/>
        </w:rPr>
        <w:t xml:space="preserve">становится равным </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w:t>
      </w:r>
      <w:r w:rsidRPr="0075295C">
        <w:rPr>
          <w:i/>
          <w:lang w:val="ru-RU"/>
        </w:rPr>
        <w:t>I</w:t>
      </w:r>
      <w:r w:rsidRPr="0075295C">
        <w:rPr>
          <w:vertAlign w:val="subscript"/>
          <w:lang w:val="ru-RU"/>
        </w:rPr>
        <w:t>0</w:t>
      </w:r>
      <w:r w:rsidRPr="0075295C">
        <w:rPr>
          <w:lang w:val="ru-RU"/>
        </w:rPr>
        <w:t xml:space="preserve">. Отношение сигнал-шум </w:t>
      </w:r>
      <w:r w:rsidRPr="0075295C">
        <w:rPr>
          <w:i/>
          <w:lang w:val="ru-RU"/>
        </w:rPr>
        <w:t>C</w:t>
      </w:r>
      <w:r w:rsidRPr="0075295C">
        <w:rPr>
          <w:lang w:val="ru-RU"/>
        </w:rPr>
        <w:t>/</w:t>
      </w:r>
      <w:r w:rsidRPr="0075295C">
        <w:rPr>
          <w:i/>
          <w:lang w:val="ru-RU"/>
        </w:rPr>
        <w:t>N</w:t>
      </w:r>
      <w:r w:rsidRPr="0075295C">
        <w:rPr>
          <w:vertAlign w:val="subscript"/>
          <w:lang w:val="ru-RU"/>
        </w:rPr>
        <w:t>0</w:t>
      </w:r>
      <w:r w:rsidRPr="0075295C">
        <w:rPr>
          <w:lang w:val="ru-RU"/>
        </w:rPr>
        <w:t xml:space="preserve"> становится равным </w:t>
      </w:r>
      <w:r w:rsidRPr="0075295C">
        <w:rPr>
          <w:i/>
          <w:lang w:val="ru-RU"/>
        </w:rPr>
        <w:t>C</w:t>
      </w:r>
      <w:r w:rsidRPr="0075295C">
        <w:rPr>
          <w:lang w:val="ru-RU"/>
        </w:rPr>
        <w:t>/(</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w:t>
      </w:r>
      <w:r w:rsidRPr="0075295C">
        <w:rPr>
          <w:i/>
          <w:lang w:val="ru-RU"/>
        </w:rPr>
        <w:t>I</w:t>
      </w:r>
      <w:r w:rsidRPr="0075295C">
        <w:rPr>
          <w:vertAlign w:val="subscript"/>
          <w:lang w:val="ru-RU"/>
        </w:rPr>
        <w:t>0</w:t>
      </w:r>
      <w:r w:rsidRPr="0075295C">
        <w:rPr>
          <w:lang w:val="ru-RU"/>
        </w:rPr>
        <w:t>). Ухудшение составляет 0,3 дБ = 10  log ((</w:t>
      </w:r>
      <w:r w:rsidRPr="0075295C">
        <w:rPr>
          <w:i/>
          <w:lang w:val="ru-RU"/>
        </w:rPr>
        <w:t>C</w:t>
      </w:r>
      <w:r w:rsidRPr="0075295C">
        <w:rPr>
          <w:lang w:val="ru-RU"/>
        </w:rPr>
        <w:t>/</w:t>
      </w:r>
      <w:r w:rsidRPr="0075295C">
        <w:rPr>
          <w:i/>
          <w:lang w:val="ru-RU"/>
        </w:rPr>
        <w:t>N</w:t>
      </w:r>
      <w:r w:rsidRPr="0075295C">
        <w:rPr>
          <w:vertAlign w:val="subscript"/>
          <w:lang w:val="ru-RU"/>
        </w:rPr>
        <w:t>0</w:t>
      </w:r>
      <w:r w:rsidRPr="0075295C">
        <w:rPr>
          <w:lang w:val="ru-RU"/>
        </w:rPr>
        <w:t>)/(</w:t>
      </w:r>
      <w:r w:rsidRPr="0075295C">
        <w:rPr>
          <w:i/>
          <w:lang w:val="ru-RU"/>
        </w:rPr>
        <w:t>C</w:t>
      </w:r>
      <w:r w:rsidRPr="0075295C">
        <w:rPr>
          <w:lang w:val="ru-RU"/>
        </w:rPr>
        <w:t>/(</w:t>
      </w:r>
      <w:r w:rsidRPr="0075295C">
        <w:rPr>
          <w:i/>
          <w:lang w:val="ru-RU"/>
        </w:rPr>
        <w:t>N</w:t>
      </w:r>
      <w:r w:rsidRPr="0075295C">
        <w:rPr>
          <w:vertAlign w:val="subscript"/>
          <w:lang w:val="ru-RU"/>
        </w:rPr>
        <w:t>0</w:t>
      </w:r>
      <w:r w:rsidRPr="0075295C">
        <w:rPr>
          <w:sz w:val="20"/>
          <w:lang w:val="ru-RU"/>
        </w:rPr>
        <w:t>  </w:t>
      </w:r>
      <w:r w:rsidRPr="0075295C">
        <w:rPr>
          <w:rFonts w:ascii="Symbol" w:hAnsi="Symbol"/>
          <w:lang w:val="ru-RU"/>
        </w:rPr>
        <w:t></w:t>
      </w:r>
      <w:r w:rsidRPr="0075295C">
        <w:rPr>
          <w:lang w:val="ru-RU"/>
        </w:rPr>
        <w:t>  </w:t>
      </w:r>
      <w:r w:rsidRPr="0075295C">
        <w:rPr>
          <w:i/>
          <w:lang w:val="ru-RU"/>
        </w:rPr>
        <w:t>I</w:t>
      </w:r>
      <w:r w:rsidRPr="0075295C">
        <w:rPr>
          <w:vertAlign w:val="subscript"/>
          <w:lang w:val="ru-RU"/>
        </w:rPr>
        <w:t>0</w:t>
      </w:r>
      <w:r w:rsidRPr="0075295C">
        <w:rPr>
          <w:lang w:val="ru-RU"/>
        </w:rPr>
        <w:t xml:space="preserve">))), таким образом, </w:t>
      </w:r>
      <w:r w:rsidRPr="0075295C">
        <w:rPr>
          <w:i/>
          <w:lang w:val="ru-RU"/>
        </w:rPr>
        <w:t>I</w:t>
      </w:r>
      <w:r w:rsidRPr="0075295C">
        <w:rPr>
          <w:vertAlign w:val="subscript"/>
          <w:lang w:val="ru-RU"/>
        </w:rPr>
        <w:t>0</w:t>
      </w:r>
      <w:r w:rsidRPr="0075295C">
        <w:rPr>
          <w:rFonts w:ascii="Tms Rmn" w:hAnsi="Tms Rmn"/>
          <w:position w:val="-4"/>
          <w:sz w:val="4"/>
          <w:lang w:val="ru-RU"/>
        </w:rPr>
        <w:t> </w:t>
      </w:r>
      <w:r w:rsidRPr="0075295C">
        <w:rPr>
          <w:lang w:val="ru-RU"/>
        </w:rPr>
        <w:t>/</w:t>
      </w:r>
      <w:r w:rsidRPr="0075295C">
        <w:rPr>
          <w:i/>
          <w:lang w:val="ru-RU"/>
        </w:rPr>
        <w:t>N</w:t>
      </w:r>
      <w:r w:rsidRPr="0075295C">
        <w:rPr>
          <w:vertAlign w:val="subscript"/>
          <w:lang w:val="ru-RU"/>
        </w:rPr>
        <w:t>0</w:t>
      </w:r>
      <w:r w:rsidRPr="0075295C">
        <w:rPr>
          <w:rFonts w:asciiTheme="minorHAnsi" w:hAnsiTheme="minorHAnsi"/>
          <w:lang w:val="ru-RU"/>
        </w:rPr>
        <w:t> </w:t>
      </w:r>
      <w:r w:rsidRPr="0075295C">
        <w:rPr>
          <w:rFonts w:ascii="Symbol" w:hAnsi="Symbol"/>
          <w:lang w:val="ru-RU"/>
        </w:rPr>
        <w:t></w:t>
      </w:r>
      <w:r w:rsidRPr="0075295C">
        <w:rPr>
          <w:rFonts w:asciiTheme="minorHAnsi" w:hAnsiTheme="minorHAnsi"/>
          <w:lang w:val="ru-RU"/>
        </w:rPr>
        <w:t> </w:t>
      </w:r>
      <w:r w:rsidRPr="0075295C">
        <w:rPr>
          <w:lang w:val="ru-RU"/>
        </w:rPr>
        <w:t xml:space="preserve">–11,5 дБ, а </w:t>
      </w:r>
      <w:r w:rsidRPr="0075295C">
        <w:rPr>
          <w:i/>
          <w:lang w:val="ru-RU"/>
        </w:rPr>
        <w:t>I</w:t>
      </w:r>
      <w:r w:rsidRPr="0075295C">
        <w:rPr>
          <w:vertAlign w:val="subscript"/>
          <w:lang w:val="ru-RU"/>
        </w:rPr>
        <w:t>0</w:t>
      </w:r>
      <w:r w:rsidRPr="0075295C">
        <w:rPr>
          <w:lang w:val="ru-RU"/>
        </w:rPr>
        <w:t> </w:t>
      </w:r>
      <w:r w:rsidRPr="0075295C">
        <w:rPr>
          <w:rFonts w:ascii="Symbol" w:hAnsi="Symbol"/>
          <w:lang w:val="ru-RU"/>
        </w:rPr>
        <w:t></w:t>
      </w:r>
      <w:r w:rsidRPr="0075295C">
        <w:rPr>
          <w:lang w:val="ru-RU"/>
        </w:rPr>
        <w:t xml:space="preserve"> −209,3 дБ(Вт/Гц), что соответствует температуре 86 K и, следовательно, повышению шумовой температура системы на входе приемника на 7%. Таким образом, максимальный допустимый уровень плотности шума </w:t>
      </w:r>
      <w:r w:rsidRPr="0075295C">
        <w:rPr>
          <w:i/>
          <w:iCs/>
          <w:lang w:val="ru-RU"/>
        </w:rPr>
        <w:t>I</w:t>
      </w:r>
      <w:r w:rsidRPr="0075295C">
        <w:rPr>
          <w:vertAlign w:val="subscript"/>
          <w:lang w:val="ru-RU"/>
        </w:rPr>
        <w:t>0</w:t>
      </w:r>
      <w:r w:rsidRPr="0075295C">
        <w:rPr>
          <w:lang w:val="ru-RU"/>
        </w:rPr>
        <w:t> </w:t>
      </w:r>
      <w:r w:rsidRPr="0075295C">
        <w:rPr>
          <w:rFonts w:ascii="Symbol" w:hAnsi="Symbol"/>
          <w:lang w:val="ru-RU"/>
        </w:rPr>
        <w:t></w:t>
      </w:r>
      <w:r w:rsidRPr="0075295C">
        <w:rPr>
          <w:lang w:val="ru-RU"/>
        </w:rPr>
        <w:t> −209,3 дБ(Вт/Гц).</w:t>
      </w:r>
    </w:p>
    <w:p w:rsidR="000A5788" w:rsidRPr="0075295C" w:rsidRDefault="000A5788" w:rsidP="000A5788">
      <w:pPr>
        <w:rPr>
          <w:lang w:val="ru-RU"/>
        </w:rPr>
      </w:pPr>
      <w:r w:rsidRPr="0075295C">
        <w:rPr>
          <w:lang w:val="ru-RU"/>
        </w:rPr>
        <w:t xml:space="preserve">Как указано выше, плотность шума </w:t>
      </w:r>
      <w:r w:rsidRPr="0075295C">
        <w:rPr>
          <w:i/>
          <w:lang w:val="ru-RU"/>
        </w:rPr>
        <w:t>I</w:t>
      </w:r>
      <w:r w:rsidRPr="0075295C">
        <w:rPr>
          <w:vertAlign w:val="subscript"/>
          <w:lang w:val="ru-RU"/>
        </w:rPr>
        <w:t>0</w:t>
      </w:r>
      <w:r w:rsidRPr="0075295C">
        <w:rPr>
          <w:lang w:val="ru-RU"/>
        </w:rPr>
        <w:t xml:space="preserve"> учитывает ослабление и усиление антенны. Поскольку требуется определить с.п.п.м., необходимо преобразовать этот коэффициент в дБ(Вт/(м</w:t>
      </w:r>
      <w:r w:rsidRPr="0075295C">
        <w:rPr>
          <w:vertAlign w:val="superscript"/>
          <w:lang w:val="ru-RU"/>
        </w:rPr>
        <w:t>2</w:t>
      </w:r>
      <w:r w:rsidRPr="0075295C">
        <w:rPr>
          <w:lang w:val="ru-RU"/>
        </w:rPr>
        <w:t xml:space="preserve"> · Гц)). Эквивалентная площадь поверхности антенны с усилением </w:t>
      </w:r>
      <w:r w:rsidRPr="0075295C">
        <w:rPr>
          <w:i/>
          <w:lang w:val="ru-RU"/>
        </w:rPr>
        <w:t>G</w:t>
      </w:r>
      <w:r w:rsidRPr="0075295C">
        <w:rPr>
          <w:lang w:val="ru-RU"/>
        </w:rPr>
        <w:t xml:space="preserve"> определяется по формуле:</w:t>
      </w:r>
    </w:p>
    <w:p w:rsidR="000A5788" w:rsidRPr="0075295C" w:rsidRDefault="009826AF" w:rsidP="000A5788">
      <w:pPr>
        <w:ind w:left="3526" w:firstLine="794"/>
        <w:rPr>
          <w:lang w:val="ru-RU"/>
        </w:rPr>
      </w:pPr>
      <w:r w:rsidRPr="0075295C">
        <w:rPr>
          <w:position w:val="-24"/>
          <w:lang w:val="ru-RU"/>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38.8pt" o:ole="">
            <v:imagedata r:id="rId14" o:title=""/>
          </v:shape>
          <o:OLEObject Type="Embed" ProgID="Equation.3" ShapeID="_x0000_i1025" DrawAspect="Content" ObjectID="_1473688465" r:id="rId15"/>
        </w:object>
      </w:r>
      <w:r w:rsidR="000A5788" w:rsidRPr="0075295C">
        <w:rPr>
          <w:lang w:val="ru-RU"/>
        </w:rPr>
        <w:t>.</w:t>
      </w:r>
    </w:p>
    <w:p w:rsidR="000A5788" w:rsidRPr="0075295C" w:rsidRDefault="000A5788" w:rsidP="000A5788">
      <w:pPr>
        <w:rPr>
          <w:lang w:val="ru-RU"/>
        </w:rPr>
      </w:pPr>
      <w:r w:rsidRPr="0075295C">
        <w:rPr>
          <w:lang w:val="ru-RU"/>
        </w:rPr>
        <w:t>С учетом максимального угла отклонения спутника от надира (62°), поверхность антенны равна 0,105 м</w:t>
      </w:r>
      <w:r w:rsidRPr="0075295C">
        <w:rPr>
          <w:vertAlign w:val="superscript"/>
          <w:lang w:val="ru-RU"/>
        </w:rPr>
        <w:t>2</w:t>
      </w:r>
      <w:r w:rsidRPr="0075295C">
        <w:rPr>
          <w:lang w:val="ru-RU"/>
        </w:rPr>
        <w:t xml:space="preserve"> или –9,8 дБм</w:t>
      </w:r>
      <w:r w:rsidRPr="0075295C">
        <w:rPr>
          <w:vertAlign w:val="superscript"/>
          <w:lang w:val="ru-RU"/>
        </w:rPr>
        <w:t>2</w:t>
      </w:r>
      <w:r w:rsidRPr="0075295C">
        <w:rPr>
          <w:lang w:val="ru-RU"/>
        </w:rPr>
        <w:t>. Тогда соответствующая с.п.п.м. равна –209,3 </w:t>
      </w:r>
      <w:r w:rsidRPr="0075295C">
        <w:rPr>
          <w:rFonts w:ascii="Symbol" w:hAnsi="Symbol"/>
          <w:lang w:val="ru-RU"/>
        </w:rPr>
        <w:t></w:t>
      </w:r>
      <w:r w:rsidRPr="0075295C">
        <w:rPr>
          <w:lang w:val="ru-RU"/>
        </w:rPr>
        <w:t> 1,6 (потери) – 10 log</w:t>
      </w:r>
      <w:r w:rsidRPr="0075295C">
        <w:rPr>
          <w:position w:val="-4"/>
          <w:sz w:val="16"/>
          <w:lang w:val="ru-RU"/>
        </w:rPr>
        <w:t>10</w:t>
      </w:r>
      <w:r w:rsidRPr="0075295C">
        <w:rPr>
          <w:lang w:val="ru-RU"/>
        </w:rPr>
        <w:t xml:space="preserve"> </w:t>
      </w:r>
      <w:r w:rsidRPr="0075295C">
        <w:rPr>
          <w:i/>
          <w:lang w:val="ru-RU"/>
        </w:rPr>
        <w:t>S</w:t>
      </w:r>
      <w:r w:rsidRPr="0075295C">
        <w:rPr>
          <w:lang w:val="ru-RU"/>
        </w:rPr>
        <w:t> </w:t>
      </w:r>
      <w:r w:rsidRPr="0075295C">
        <w:rPr>
          <w:rFonts w:ascii="Symbol" w:hAnsi="Symbol"/>
          <w:lang w:val="ru-RU"/>
        </w:rPr>
        <w:t></w:t>
      </w:r>
      <w:r w:rsidRPr="0075295C">
        <w:rPr>
          <w:lang w:val="ru-RU"/>
        </w:rPr>
        <w:t> −197,9 дБ(Вт/(м</w:t>
      </w:r>
      <w:r w:rsidRPr="0075295C">
        <w:rPr>
          <w:vertAlign w:val="superscript"/>
          <w:lang w:val="ru-RU"/>
        </w:rPr>
        <w:t>2</w:t>
      </w:r>
      <w:r w:rsidRPr="0075295C">
        <w:rPr>
          <w:lang w:val="ru-RU"/>
        </w:rPr>
        <w:t> · Гц)).</w:t>
      </w:r>
    </w:p>
    <w:p w:rsidR="000A5788" w:rsidRPr="0075295C" w:rsidRDefault="000A5788" w:rsidP="000A5788">
      <w:pPr>
        <w:rPr>
          <w:lang w:val="ru-RU"/>
        </w:rPr>
      </w:pPr>
      <w:r w:rsidRPr="0075295C">
        <w:rPr>
          <w:lang w:val="ru-RU"/>
        </w:rPr>
        <w:t xml:space="preserve">Для защиты системы ARGOS4 максимальный уровень широкополосных шумовых помех в полосе частот </w:t>
      </w:r>
      <w:r w:rsidRPr="0075295C">
        <w:rPr>
          <w:color w:val="000000"/>
          <w:lang w:val="ru-RU"/>
        </w:rPr>
        <w:t xml:space="preserve">399,9–400,05 МГц </w:t>
      </w:r>
      <w:r w:rsidRPr="0075295C">
        <w:rPr>
          <w:lang w:val="ru-RU"/>
        </w:rPr>
        <w:t>не должен превышать –197,9 дБ(Вт/(м</w:t>
      </w:r>
      <w:r w:rsidRPr="0075295C">
        <w:rPr>
          <w:vertAlign w:val="superscript"/>
          <w:lang w:val="ru-RU"/>
        </w:rPr>
        <w:t>2</w:t>
      </w:r>
      <w:r w:rsidRPr="0075295C">
        <w:rPr>
          <w:lang w:val="ru-RU"/>
        </w:rPr>
        <w:t> · Гц)).</w:t>
      </w:r>
    </w:p>
    <w:p w:rsidR="000A5788" w:rsidRPr="0075295C" w:rsidRDefault="000A5788" w:rsidP="000A5788">
      <w:pPr>
        <w:rPr>
          <w:lang w:val="ru-RU"/>
        </w:rPr>
      </w:pPr>
      <w:r w:rsidRPr="0075295C">
        <w:rPr>
          <w:lang w:val="ru-RU"/>
        </w:rPr>
        <w:t>Как правило, ширина полосы передачи системы ARGOS4 равна 1600 Гц. Поэтому соответствующий предел п.п.м. равен –165,8 дБ(Вт/м</w:t>
      </w:r>
      <w:r w:rsidRPr="0075295C">
        <w:rPr>
          <w:vertAlign w:val="superscript"/>
          <w:lang w:val="ru-RU"/>
        </w:rPr>
        <w:t>2</w:t>
      </w:r>
      <w:r w:rsidRPr="0075295C">
        <w:rPr>
          <w:lang w:val="ru-RU"/>
        </w:rPr>
        <w:t>).</w:t>
      </w:r>
    </w:p>
    <w:p w:rsidR="000A5788" w:rsidRPr="0075295C" w:rsidRDefault="000A5788" w:rsidP="000A5788">
      <w:pPr>
        <w:pStyle w:val="Heading2"/>
        <w:rPr>
          <w:lang w:val="ru-RU"/>
        </w:rPr>
      </w:pPr>
      <w:r w:rsidRPr="0075295C">
        <w:rPr>
          <w:lang w:val="ru-RU"/>
        </w:rPr>
        <w:t>2.2</w:t>
      </w:r>
      <w:r w:rsidRPr="0075295C">
        <w:rPr>
          <w:lang w:val="ru-RU"/>
        </w:rPr>
        <w:tab/>
      </w:r>
      <w:r w:rsidRPr="0075295C">
        <w:rPr>
          <w:lang w:val="ru-RU" w:eastAsia="en-GB"/>
        </w:rPr>
        <w:t>Определение показателей качества</w:t>
      </w:r>
    </w:p>
    <w:p w:rsidR="000A5788" w:rsidRPr="0075295C" w:rsidRDefault="000A5788" w:rsidP="000A5788">
      <w:pPr>
        <w:rPr>
          <w:bCs/>
          <w:lang w:val="ru-RU" w:eastAsia="en-GB"/>
        </w:rPr>
      </w:pPr>
      <w:r w:rsidRPr="0075295C">
        <w:rPr>
          <w:lang w:val="ru-RU" w:eastAsia="en-GB"/>
        </w:rPr>
        <w:t>В Рекомендации МСЭ-R M.1475</w:t>
      </w:r>
      <w:r w:rsidRPr="0075295C">
        <w:rPr>
          <w:b/>
          <w:bCs/>
          <w:lang w:val="ru-RU" w:eastAsia="en-GB"/>
        </w:rPr>
        <w:t xml:space="preserve"> </w:t>
      </w:r>
      <w:r w:rsidRPr="0075295C">
        <w:rPr>
          <w:lang w:val="ru-RU" w:eastAsia="en-GB"/>
        </w:rPr>
        <w:t>"Методология определения показателей качества негеостационарных систем подвижных спутниковых служб, работающих в диапазоне 1–3 ГГц без разнесения спутников" приводится методика расчета допусков по времени неготовности как служебных линий, так и фидерных линий</w:t>
      </w:r>
      <w:r w:rsidRPr="0075295C">
        <w:rPr>
          <w:lang w:val="ru-RU"/>
        </w:rPr>
        <w:t xml:space="preserve">. </w:t>
      </w:r>
    </w:p>
    <w:p w:rsidR="000A5788" w:rsidRPr="0075295C" w:rsidRDefault="000A5788" w:rsidP="000A5788">
      <w:pPr>
        <w:rPr>
          <w:b/>
          <w:lang w:val="ru-RU"/>
        </w:rPr>
      </w:pPr>
      <w:r w:rsidRPr="0075295C">
        <w:rPr>
          <w:lang w:val="ru-RU"/>
        </w:rPr>
        <w:t>Для служебной линии предлагается, чтобы допуски по времени неготовности не превышали 0,9 </w:t>
      </w:r>
      <w:r w:rsidRPr="0075295C">
        <w:rPr>
          <w:i/>
          <w:iCs/>
          <w:lang w:val="ru-RU"/>
        </w:rPr>
        <w:t>X</w:t>
      </w:r>
      <w:r w:rsidRPr="0075295C">
        <w:rPr>
          <w:lang w:val="ru-RU"/>
        </w:rPr>
        <w:t xml:space="preserve"> (%), при этом </w:t>
      </w:r>
      <w:r w:rsidRPr="0075295C">
        <w:rPr>
          <w:i/>
          <w:iCs/>
          <w:lang w:val="ru-RU"/>
        </w:rPr>
        <w:t>X</w:t>
      </w:r>
      <w:r w:rsidRPr="0075295C">
        <w:rPr>
          <w:lang w:val="ru-RU"/>
        </w:rPr>
        <w:t xml:space="preserve"> представляет собой BER заданной линии НГСО ПСС в процентах (например, 0,1%, 1%, 10% и т. д.). Поскольку предлагаемый предел п.п.м. основан на значении BER, равном 2 </w:t>
      </w:r>
      <w:r w:rsidRPr="0075295C">
        <w:rPr>
          <w:lang w:val="ru-RU"/>
        </w:rPr>
        <w:sym w:font="Symbol" w:char="F0B4"/>
      </w:r>
      <w:r w:rsidRPr="0075295C">
        <w:rPr>
          <w:lang w:val="ru-RU"/>
        </w:rPr>
        <w:t> 10</w:t>
      </w:r>
      <w:r w:rsidRPr="0075295C">
        <w:rPr>
          <w:vertAlign w:val="superscript"/>
          <w:lang w:val="ru-RU"/>
        </w:rPr>
        <w:t>–4</w:t>
      </w:r>
      <w:r w:rsidRPr="0075295C">
        <w:rPr>
          <w:lang w:val="ru-RU"/>
        </w:rPr>
        <w:t>, это означает, что допуски по времени неготовности не должны превышать 1,8 </w:t>
      </w:r>
      <w:r w:rsidRPr="0075295C">
        <w:rPr>
          <w:lang w:val="ru-RU"/>
        </w:rPr>
        <w:sym w:font="Symbol" w:char="F0B4"/>
      </w:r>
      <w:r w:rsidRPr="0075295C">
        <w:rPr>
          <w:lang w:val="ru-RU"/>
        </w:rPr>
        <w:t> 10</w:t>
      </w:r>
      <w:r w:rsidRPr="0075295C">
        <w:rPr>
          <w:vertAlign w:val="superscript"/>
          <w:lang w:val="ru-RU"/>
        </w:rPr>
        <w:t>–2</w:t>
      </w:r>
      <w:r w:rsidRPr="0075295C">
        <w:rPr>
          <w:lang w:val="ru-RU"/>
        </w:rPr>
        <w:t xml:space="preserve">%. Поэтому в пункте 2 раздела </w:t>
      </w:r>
      <w:r w:rsidRPr="0075295C">
        <w:rPr>
          <w:i/>
          <w:iCs/>
          <w:lang w:val="ru-RU"/>
        </w:rPr>
        <w:t>рекомендует</w:t>
      </w:r>
      <w:r w:rsidRPr="0075295C">
        <w:rPr>
          <w:lang w:val="ru-RU"/>
        </w:rPr>
        <w:t xml:space="preserve"> указан менее строгий допуск по времени неготовности, равный 1%.</w:t>
      </w:r>
    </w:p>
    <w:p w:rsidR="000A5788" w:rsidRPr="0075295C" w:rsidRDefault="000A5788" w:rsidP="000A5788">
      <w:pPr>
        <w:pStyle w:val="Heading1"/>
        <w:rPr>
          <w:lang w:val="ru-RU"/>
        </w:rPr>
      </w:pPr>
      <w:r w:rsidRPr="0075295C">
        <w:rPr>
          <w:lang w:val="ru-RU"/>
        </w:rPr>
        <w:lastRenderedPageBreak/>
        <w:t>3</w:t>
      </w:r>
      <w:r w:rsidRPr="0075295C">
        <w:rPr>
          <w:lang w:val="ru-RU"/>
        </w:rPr>
        <w:tab/>
        <w:t>Критерии защиты системы НГСО ARGOS4 в полосе 399,9–400,05 МГц от излучений, создающих узкополосные помехи</w:t>
      </w:r>
    </w:p>
    <w:p w:rsidR="000A5788" w:rsidRPr="0075295C" w:rsidRDefault="000A5788" w:rsidP="000A5788">
      <w:pPr>
        <w:pStyle w:val="Heading2"/>
        <w:rPr>
          <w:lang w:val="ru-RU"/>
        </w:rPr>
      </w:pPr>
      <w:r w:rsidRPr="0075295C">
        <w:rPr>
          <w:lang w:val="ru-RU"/>
        </w:rPr>
        <w:t>3.1</w:t>
      </w:r>
      <w:r w:rsidRPr="0075295C">
        <w:rPr>
          <w:lang w:val="ru-RU"/>
        </w:rPr>
        <w:tab/>
        <w:t xml:space="preserve">Требование к защите от узкополосных излучений </w:t>
      </w:r>
    </w:p>
    <w:p w:rsidR="000A5788" w:rsidRPr="0075295C" w:rsidRDefault="000A5788" w:rsidP="000A5788">
      <w:pPr>
        <w:rPr>
          <w:lang w:val="ru-RU"/>
        </w:rPr>
      </w:pPr>
      <w:r w:rsidRPr="0075295C">
        <w:rPr>
          <w:lang w:val="ru-RU"/>
        </w:rPr>
        <w:t>Для лучшего понимания аргументации данной спецификации необходимо коротко напомнить о том, как работает приемник.</w:t>
      </w:r>
    </w:p>
    <w:p w:rsidR="000A5788" w:rsidRPr="0075295C" w:rsidRDefault="000A5788" w:rsidP="000A5788">
      <w:pPr>
        <w:rPr>
          <w:szCs w:val="24"/>
          <w:lang w:val="ru-RU"/>
        </w:rPr>
      </w:pPr>
      <w:r w:rsidRPr="0075295C">
        <w:rPr>
          <w:lang w:val="ru-RU"/>
        </w:rPr>
        <w:t>Передачи системы ПСС ARGOS4 начинаются с передачи в течение 160 мс немодулированной несущей, что позволяет использовать фазовую автоматическую подстройку частоты для более легкого захвата несущей. На рисунке 1 представлен формат сообщений системы ARGOS4.</w:t>
      </w:r>
    </w:p>
    <w:p w:rsidR="000A5788" w:rsidRPr="0075295C" w:rsidRDefault="000A5788" w:rsidP="000A5788">
      <w:pPr>
        <w:pStyle w:val="FigureNo"/>
        <w:rPr>
          <w:lang w:val="ru-RU"/>
        </w:rPr>
      </w:pPr>
      <w:r w:rsidRPr="0075295C">
        <w:rPr>
          <w:lang w:val="ru-RU"/>
        </w:rPr>
        <w:t>РИсунок 1</w:t>
      </w:r>
    </w:p>
    <w:p w:rsidR="000A5788" w:rsidRPr="0075295C" w:rsidRDefault="000A5788" w:rsidP="000A5788">
      <w:pPr>
        <w:pStyle w:val="Figuretitle"/>
        <w:rPr>
          <w:lang w:val="ru-RU"/>
        </w:rPr>
      </w:pPr>
      <w:r w:rsidRPr="0075295C">
        <w:rPr>
          <w:lang w:val="ru-RU"/>
        </w:rPr>
        <w:t>Формат сообщений системы ПСС</w:t>
      </w:r>
    </w:p>
    <w:p w:rsidR="000A5788" w:rsidRPr="0075295C" w:rsidRDefault="009826AF" w:rsidP="000A5788">
      <w:pPr>
        <w:spacing w:before="360"/>
        <w:jc w:val="center"/>
        <w:rPr>
          <w:lang w:val="ru-RU"/>
        </w:rPr>
      </w:pPr>
      <w:r w:rsidRPr="0075295C">
        <w:rPr>
          <w:lang w:val="ru-RU"/>
        </w:rPr>
        <w:object w:dxaOrig="5337" w:dyaOrig="592">
          <v:shape id="_x0000_i1026" type="#_x0000_t75" style="width:351.25pt;height:39.45pt" o:ole="">
            <v:imagedata r:id="rId16" o:title=""/>
          </v:shape>
          <o:OLEObject Type="Embed" ProgID="CorelDRAW.Graphic.14" ShapeID="_x0000_i1026" DrawAspect="Content" ObjectID="_1473688466" r:id="rId17"/>
        </w:object>
      </w:r>
    </w:p>
    <w:p w:rsidR="000A5788" w:rsidRPr="0075295C" w:rsidRDefault="000A5788" w:rsidP="000A5788">
      <w:pPr>
        <w:rPr>
          <w:lang w:val="ru-RU"/>
        </w:rPr>
      </w:pPr>
      <w:r w:rsidRPr="0075295C">
        <w:rPr>
          <w:lang w:val="ru-RU"/>
        </w:rPr>
        <w:t>Анализатор спектра в приемнике непрерывно отслеживает всю ширину полосы покрытия в поисках той части сообщений ПСС, которая состоит из чистой несущей. Когда анализатор спектра обнаруживает такую линию, он считает, что это начало сообщения ПСС. Теория основана на определении волны чистой несущей (синусоиды) в среде белого, аддитивного и гауссовского шума. Спектральная плотность мощности принимаемого сигнала (чистая несущая + шум) вычисляется с использованием метода быстрого преобразования Фурье, а каждый сигнал, превышающий порог системы, обрабатывается так, как если бы это был сигнал от радиомаяка ПСС (см. рис. 2).</w:t>
      </w:r>
    </w:p>
    <w:p w:rsidR="000A5788" w:rsidRPr="0075295C" w:rsidRDefault="009826AF" w:rsidP="000A5788">
      <w:pPr>
        <w:pStyle w:val="Figure"/>
        <w:rPr>
          <w:lang w:val="ru-RU"/>
        </w:rPr>
      </w:pPr>
      <w:r w:rsidRPr="0075295C">
        <w:rPr>
          <w:lang w:val="ru-RU"/>
        </w:rPr>
        <w:object w:dxaOrig="5603" w:dyaOrig="2525">
          <v:shape id="_x0000_i1027" type="#_x0000_t75" style="width:373.75pt;height:169.05pt" o:ole="">
            <v:imagedata r:id="rId18" o:title=""/>
          </v:shape>
          <o:OLEObject Type="Embed" ProgID="CorelDRAW.Graphic.14" ShapeID="_x0000_i1027" DrawAspect="Content" ObjectID="_1473688467" r:id="rId19"/>
        </w:object>
      </w:r>
    </w:p>
    <w:p w:rsidR="000A5788" w:rsidRPr="0075295C" w:rsidRDefault="000A5788" w:rsidP="000A5788">
      <w:pPr>
        <w:rPr>
          <w:lang w:val="ru-RU"/>
        </w:rPr>
      </w:pPr>
      <w:r w:rsidRPr="0075295C">
        <w:rPr>
          <w:lang w:val="ru-RU"/>
        </w:rPr>
        <w:t>Поэтому процессоры приемника ARGOS4 разработаны так, чтобы обнаруживать дискретные спектральные компоненты (немодулированную несущую радиомаяка), при этом соответствующая ширина полосы по разрешению составляет 19 Гц. Сигналы выше порогового уровня направляются на бортовой модуль восстановления данных (DRU) для дальнейшей обработки и передачи на Землю по каналу полетной телеметрии.</w:t>
      </w:r>
    </w:p>
    <w:p w:rsidR="000A5788" w:rsidRPr="0075295C" w:rsidRDefault="000A5788" w:rsidP="000A5788">
      <w:pPr>
        <w:rPr>
          <w:lang w:val="ru-RU"/>
        </w:rPr>
      </w:pPr>
      <w:r w:rsidRPr="0075295C">
        <w:rPr>
          <w:lang w:val="ru-RU"/>
        </w:rPr>
        <w:t xml:space="preserve">В целях обеспечения соответствия показателям вероятности обнаружения ARGOS4 для широкого круга применений пользователей приемник ARGOS4 разработан так, чтобы обнаруживать и обрабатывать крайне слабые сигналы. Его показатели работы таковы, что любой сигнал </w:t>
      </w:r>
      <w:r w:rsidRPr="0075295C">
        <w:rPr>
          <w:i/>
          <w:lang w:val="ru-RU"/>
        </w:rPr>
        <w:t>C</w:t>
      </w:r>
      <w:r w:rsidRPr="0075295C">
        <w:rPr>
          <w:i/>
          <w:vertAlign w:val="subscript"/>
          <w:lang w:val="ru-RU"/>
        </w:rPr>
        <w:t>min</w:t>
      </w:r>
      <w:r w:rsidRPr="0075295C">
        <w:rPr>
          <w:lang w:val="ru-RU"/>
        </w:rPr>
        <w:t>, превышающий уровень плотности локального шума на 21 дБ(Гц) (</w:t>
      </w:r>
      <w:r w:rsidRPr="0075295C">
        <w:rPr>
          <w:i/>
          <w:lang w:val="ru-RU"/>
        </w:rPr>
        <w:t>C</w:t>
      </w:r>
      <w:r w:rsidRPr="0075295C">
        <w:rPr>
          <w:i/>
          <w:vertAlign w:val="subscript"/>
          <w:lang w:val="ru-RU"/>
        </w:rPr>
        <w:t>min</w:t>
      </w:r>
      <w:r w:rsidRPr="0075295C">
        <w:rPr>
          <w:rFonts w:ascii="Tms Rmn" w:hAnsi="Tms Rmn"/>
          <w:sz w:val="4"/>
          <w:lang w:val="ru-RU"/>
        </w:rPr>
        <w:t> </w:t>
      </w:r>
      <w:r w:rsidRPr="0075295C">
        <w:rPr>
          <w:lang w:val="ru-RU"/>
        </w:rPr>
        <w:t>/</w:t>
      </w:r>
      <w:r w:rsidRPr="0075295C">
        <w:rPr>
          <w:rFonts w:ascii="Tms Rmn" w:hAnsi="Tms Rmn"/>
          <w:sz w:val="4"/>
          <w:lang w:val="ru-RU"/>
        </w:rPr>
        <w:t> </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21 дБ(Гц)), будет направлен на DRU для дополнительной обработки. Следовательно, узкополосные мешающие сигналы, соответствующие этим критериям, могут быть также направлены на DRU. В результате показатели работы системы ARGOS в части пропускной способности (например, число одновременных сообщений DCS, которые могут быть обработаны) существенно ухудшатся.</w:t>
      </w:r>
    </w:p>
    <w:p w:rsidR="009826AF" w:rsidRDefault="009826A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A5788" w:rsidRPr="0075295C" w:rsidRDefault="000A5788" w:rsidP="000A5788">
      <w:pPr>
        <w:rPr>
          <w:lang w:val="ru-RU"/>
        </w:rPr>
      </w:pPr>
      <w:r w:rsidRPr="0075295C">
        <w:rPr>
          <w:lang w:val="ru-RU"/>
        </w:rPr>
        <w:lastRenderedPageBreak/>
        <w:t xml:space="preserve">Типовыми значениями для ARGOS являются: коэффициент шума = 3 дБ (типовое значение для ARGOS4), фоновая шумовая температура для наихудшего случая = 1200 K, ослабление между антенной и приемником = 1,6 дБ. Таким образом, шумовая температура системы на входе приемника равна 1214 K, и поэтому спектральная плотность шума равна </w:t>
      </w:r>
      <w:r w:rsidRPr="0075295C">
        <w:rPr>
          <w:i/>
          <w:lang w:val="ru-RU"/>
        </w:rPr>
        <w:t>N</w:t>
      </w:r>
      <w:r w:rsidRPr="009826AF">
        <w:rPr>
          <w:vertAlign w:val="subscript"/>
          <w:lang w:val="ru-RU"/>
        </w:rPr>
        <w:t>0</w:t>
      </w:r>
      <w:r w:rsidRPr="0075295C">
        <w:rPr>
          <w:lang w:val="ru-RU"/>
        </w:rPr>
        <w:t> </w:t>
      </w:r>
      <w:r w:rsidRPr="0075295C">
        <w:rPr>
          <w:rFonts w:ascii="Symbol" w:hAnsi="Symbol"/>
          <w:lang w:val="ru-RU"/>
        </w:rPr>
        <w:t></w:t>
      </w:r>
      <w:r w:rsidRPr="0075295C">
        <w:rPr>
          <w:lang w:val="ru-RU"/>
        </w:rPr>
        <w:t> –197,8 дБ(Вт/Гц).</w:t>
      </w:r>
    </w:p>
    <w:p w:rsidR="000A5788" w:rsidRPr="0075295C" w:rsidRDefault="000A5788" w:rsidP="009826AF">
      <w:pPr>
        <w:rPr>
          <w:lang w:val="ru-RU"/>
        </w:rPr>
      </w:pPr>
      <w:r w:rsidRPr="0075295C">
        <w:rPr>
          <w:lang w:val="ru-RU"/>
        </w:rPr>
        <w:t xml:space="preserve">Поскольку </w:t>
      </w:r>
      <w:r w:rsidRPr="0075295C">
        <w:rPr>
          <w:i/>
          <w:lang w:val="ru-RU"/>
        </w:rPr>
        <w:t>C</w:t>
      </w:r>
      <w:r w:rsidRPr="0075295C">
        <w:rPr>
          <w:i/>
          <w:vertAlign w:val="subscript"/>
          <w:lang w:val="ru-RU"/>
        </w:rPr>
        <w:t>min</w:t>
      </w:r>
      <w:r w:rsidRPr="0075295C">
        <w:rPr>
          <w:rFonts w:ascii="Tms Rmn" w:hAnsi="Tms Rmn"/>
          <w:sz w:val="4"/>
          <w:lang w:val="ru-RU"/>
        </w:rPr>
        <w:t> </w:t>
      </w:r>
      <w:r w:rsidRPr="0075295C">
        <w:rPr>
          <w:lang w:val="ru-RU"/>
        </w:rPr>
        <w:t>/</w:t>
      </w:r>
      <w:r w:rsidRPr="0075295C">
        <w:rPr>
          <w:rFonts w:ascii="Tms Rmn" w:hAnsi="Tms Rmn"/>
          <w:sz w:val="4"/>
          <w:lang w:val="ru-RU"/>
        </w:rPr>
        <w:t> </w:t>
      </w:r>
      <w:r w:rsidRPr="0075295C">
        <w:rPr>
          <w:i/>
          <w:lang w:val="ru-RU"/>
        </w:rPr>
        <w:t>N</w:t>
      </w:r>
      <w:r w:rsidRPr="0075295C">
        <w:rPr>
          <w:vertAlign w:val="subscript"/>
          <w:lang w:val="ru-RU"/>
        </w:rPr>
        <w:t>0</w:t>
      </w:r>
      <w:r w:rsidRPr="0075295C">
        <w:rPr>
          <w:lang w:val="ru-RU"/>
        </w:rPr>
        <w:t> </w:t>
      </w:r>
      <w:r w:rsidRPr="0075295C">
        <w:rPr>
          <w:rFonts w:ascii="Symbol" w:hAnsi="Symbol"/>
          <w:lang w:val="ru-RU"/>
        </w:rPr>
        <w:t></w:t>
      </w:r>
      <w:r w:rsidRPr="0075295C">
        <w:rPr>
          <w:lang w:val="ru-RU"/>
        </w:rPr>
        <w:t xml:space="preserve"> 21 дБ(Гц), то </w:t>
      </w:r>
      <w:r w:rsidRPr="0075295C">
        <w:rPr>
          <w:i/>
          <w:lang w:val="ru-RU"/>
        </w:rPr>
        <w:t>C</w:t>
      </w:r>
      <w:r w:rsidRPr="0075295C">
        <w:rPr>
          <w:i/>
          <w:vertAlign w:val="subscript"/>
          <w:lang w:val="ru-RU"/>
        </w:rPr>
        <w:t>min</w:t>
      </w:r>
      <w:r w:rsidRPr="0075295C">
        <w:rPr>
          <w:lang w:val="ru-RU"/>
        </w:rPr>
        <w:t> </w:t>
      </w:r>
      <w:r w:rsidRPr="0075295C">
        <w:rPr>
          <w:rFonts w:ascii="Symbol" w:hAnsi="Symbol"/>
          <w:lang w:val="ru-RU"/>
        </w:rPr>
        <w:t></w:t>
      </w:r>
      <w:r w:rsidRPr="0075295C">
        <w:rPr>
          <w:lang w:val="ru-RU"/>
        </w:rPr>
        <w:t> –176,8 дБВт. Следовательно, любые узкополосные побочные излучения, превышающие –176,8 дБВт на входе приемника ARGOS4, вызовут ухудшение пропускной способности системы.</w:t>
      </w:r>
    </w:p>
    <w:p w:rsidR="000A5788" w:rsidRPr="0075295C" w:rsidRDefault="000A5788" w:rsidP="000A5788">
      <w:pPr>
        <w:rPr>
          <w:lang w:val="ru-RU"/>
        </w:rPr>
      </w:pPr>
      <w:r w:rsidRPr="0075295C">
        <w:rPr>
          <w:lang w:val="ru-RU"/>
        </w:rPr>
        <w:t xml:space="preserve">Далее необходимо вычислить максимальный допустимый уровень узкополосной помехи на входе антенны ARGOS4. </w:t>
      </w:r>
    </w:p>
    <w:p w:rsidR="000A5788" w:rsidRPr="0075295C" w:rsidRDefault="000A5788" w:rsidP="000A5788">
      <w:pPr>
        <w:rPr>
          <w:lang w:val="ru-RU"/>
        </w:rPr>
      </w:pPr>
      <w:r w:rsidRPr="0075295C">
        <w:rPr>
          <w:lang w:val="ru-RU"/>
        </w:rPr>
        <w:t>Спецификация для диаграммы направленности приемной антенны ARGOS4 приводится в таблице 1 (см. п. 2.1, выше) в соответствии с углом отклонения от надира.</w:t>
      </w:r>
    </w:p>
    <w:p w:rsidR="000A5788" w:rsidRPr="0075295C" w:rsidRDefault="000A5788" w:rsidP="000A5788">
      <w:pPr>
        <w:rPr>
          <w:lang w:val="ru-RU"/>
        </w:rPr>
      </w:pPr>
      <w:r w:rsidRPr="0075295C">
        <w:rPr>
          <w:lang w:val="ru-RU"/>
        </w:rPr>
        <w:t xml:space="preserve">Таким образом, максимальная допустимая мощность на участке в пределах приемника и до антенны равна –176,8 </w:t>
      </w:r>
      <w:r w:rsidRPr="0075295C">
        <w:rPr>
          <w:rFonts w:ascii="Symbol" w:hAnsi="Symbol"/>
          <w:lang w:val="ru-RU"/>
        </w:rPr>
        <w:t></w:t>
      </w:r>
      <w:r w:rsidRPr="0075295C">
        <w:rPr>
          <w:lang w:val="ru-RU"/>
        </w:rPr>
        <w:t xml:space="preserve"> 1,6 (потери) </w:t>
      </w:r>
      <w:r w:rsidRPr="0075295C">
        <w:rPr>
          <w:rFonts w:ascii="Symbol" w:hAnsi="Symbol"/>
          <w:lang w:val="ru-RU"/>
        </w:rPr>
        <w:t></w:t>
      </w:r>
      <w:r w:rsidRPr="0075295C">
        <w:rPr>
          <w:lang w:val="ru-RU"/>
        </w:rPr>
        <w:t xml:space="preserve"> –175,2 дБВт. Поскольку требуется определить п.п.м., необходимо преобразовать этот коэффициент в дБ(Вт/м</w:t>
      </w:r>
      <w:r w:rsidRPr="0075295C">
        <w:rPr>
          <w:vertAlign w:val="superscript"/>
          <w:lang w:val="ru-RU"/>
        </w:rPr>
        <w:t>2</w:t>
      </w:r>
      <w:r w:rsidRPr="0075295C">
        <w:rPr>
          <w:lang w:val="ru-RU"/>
        </w:rPr>
        <w:t xml:space="preserve">). Используя максимальный угол отклонения спутника от надира, получаем усиление антенны, равное 3,85 дБи, которое преобразуется в эквивалентную площадь поверхности антенны по формуле </w:t>
      </w:r>
      <w:r w:rsidRPr="0075295C">
        <w:rPr>
          <w:position w:val="-24"/>
          <w:lang w:val="ru-RU"/>
        </w:rPr>
        <w:object w:dxaOrig="999" w:dyaOrig="680">
          <v:shape id="_x0000_i1028" type="#_x0000_t75" style="width:50.1pt;height:33.2pt" o:ole="">
            <v:imagedata r:id="rId20" o:title=""/>
          </v:shape>
          <o:OLEObject Type="Embed" ProgID="Equation.3" ShapeID="_x0000_i1028" DrawAspect="Content" ObjectID="_1473688468" r:id="rId21"/>
        </w:object>
      </w:r>
      <w:r w:rsidRPr="0075295C">
        <w:rPr>
          <w:lang w:val="ru-RU"/>
        </w:rPr>
        <w:t>. Отсюда соответствующая п.п.м. равна −175,2 – 10 log</w:t>
      </w:r>
      <w:r w:rsidRPr="0075295C">
        <w:rPr>
          <w:position w:val="-4"/>
          <w:sz w:val="16"/>
          <w:lang w:val="ru-RU"/>
        </w:rPr>
        <w:t>10</w:t>
      </w:r>
      <w:r w:rsidRPr="0075295C">
        <w:rPr>
          <w:lang w:val="ru-RU"/>
        </w:rPr>
        <w:t xml:space="preserve"> </w:t>
      </w:r>
      <w:r w:rsidRPr="0075295C">
        <w:rPr>
          <w:i/>
          <w:lang w:val="ru-RU"/>
        </w:rPr>
        <w:t>S</w:t>
      </w:r>
      <w:r w:rsidRPr="0075295C">
        <w:rPr>
          <w:lang w:val="ru-RU"/>
        </w:rPr>
        <w:t> </w:t>
      </w:r>
      <w:r w:rsidRPr="0075295C">
        <w:rPr>
          <w:rFonts w:ascii="Symbol" w:hAnsi="Symbol"/>
          <w:lang w:val="ru-RU"/>
        </w:rPr>
        <w:t></w:t>
      </w:r>
      <w:r w:rsidRPr="0075295C">
        <w:rPr>
          <w:lang w:val="ru-RU"/>
        </w:rPr>
        <w:t> –165,4 дБ(Вт/м</w:t>
      </w:r>
      <w:r w:rsidRPr="0075295C">
        <w:rPr>
          <w:vertAlign w:val="superscript"/>
          <w:lang w:val="ru-RU"/>
        </w:rPr>
        <w:t>2</w:t>
      </w:r>
      <w:r w:rsidRPr="0075295C">
        <w:rPr>
          <w:lang w:val="ru-RU"/>
        </w:rPr>
        <w:t>).</w:t>
      </w:r>
    </w:p>
    <w:p w:rsidR="000A5788" w:rsidRPr="0075295C" w:rsidRDefault="000A5788" w:rsidP="000A5788">
      <w:pPr>
        <w:pStyle w:val="Heading2"/>
        <w:rPr>
          <w:lang w:val="ru-RU"/>
        </w:rPr>
      </w:pPr>
      <w:r w:rsidRPr="0075295C">
        <w:rPr>
          <w:lang w:val="ru-RU"/>
        </w:rPr>
        <w:t>3.2</w:t>
      </w:r>
      <w:r w:rsidRPr="0075295C">
        <w:rPr>
          <w:lang w:val="ru-RU"/>
        </w:rPr>
        <w:tab/>
        <w:t>Вывод</w:t>
      </w:r>
    </w:p>
    <w:p w:rsidR="000A5788" w:rsidRPr="0075295C" w:rsidRDefault="000A5788" w:rsidP="000A5788">
      <w:pPr>
        <w:rPr>
          <w:lang w:val="ru-RU"/>
        </w:rPr>
      </w:pPr>
      <w:r w:rsidRPr="0075295C">
        <w:rPr>
          <w:lang w:val="ru-RU"/>
        </w:rPr>
        <w:t>Исходя из приведенных выше вычислений делаются следующие выводы и рекомендации относительно воздействия излучений, создающих суммарный спектральный уровень узкополосных помех: такие уровни не должны превышать –165,4 дБ(Вт/м</w:t>
      </w:r>
      <w:r w:rsidRPr="0075295C">
        <w:rPr>
          <w:vertAlign w:val="superscript"/>
          <w:lang w:val="ru-RU"/>
        </w:rPr>
        <w:t>2</w:t>
      </w:r>
      <w:r w:rsidRPr="0075295C">
        <w:rPr>
          <w:lang w:val="ru-RU"/>
        </w:rPr>
        <w:t xml:space="preserve">) на входе антенны ARGOS4 в полосе частот </w:t>
      </w:r>
      <w:r w:rsidRPr="0075295C">
        <w:rPr>
          <w:cs/>
          <w:lang w:val="ru-RU"/>
        </w:rPr>
        <w:t>‎</w:t>
      </w:r>
      <w:r w:rsidRPr="0075295C">
        <w:rPr>
          <w:lang w:val="ru-RU"/>
        </w:rPr>
        <w:t xml:space="preserve">399,9−400,05 МГц </w:t>
      </w:r>
      <w:r w:rsidRPr="0075295C">
        <w:rPr>
          <w:cs/>
          <w:lang w:val="ru-RU"/>
        </w:rPr>
        <w:t>‎</w:t>
      </w:r>
      <w:r w:rsidRPr="0075295C">
        <w:rPr>
          <w:lang w:val="ru-RU"/>
        </w:rPr>
        <w:t>в пределах ширины полосы по разрешению в 19 Гц.</w:t>
      </w:r>
    </w:p>
    <w:p w:rsidR="00934ED7" w:rsidRPr="0075295C" w:rsidRDefault="000A5788" w:rsidP="009826AF">
      <w:pPr>
        <w:spacing w:before="720"/>
        <w:jc w:val="center"/>
        <w:rPr>
          <w:lang w:val="ru-RU"/>
        </w:rPr>
      </w:pPr>
      <w:r w:rsidRPr="0075295C">
        <w:rPr>
          <w:lang w:val="ru-RU"/>
        </w:rPr>
        <w:t>______________</w:t>
      </w:r>
    </w:p>
    <w:sectPr w:rsidR="00934ED7" w:rsidRPr="0075295C" w:rsidSect="00C906E6">
      <w:headerReference w:type="first" r:id="rId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F5C" w:rsidRDefault="004F1F5C">
      <w:r>
        <w:separator/>
      </w:r>
    </w:p>
  </w:endnote>
  <w:endnote w:type="continuationSeparator" w:id="0">
    <w:p w:rsidR="004F1F5C" w:rsidRDefault="004F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F5C" w:rsidRDefault="004F1F5C">
      <w:r>
        <w:separator/>
      </w:r>
    </w:p>
  </w:footnote>
  <w:footnote w:type="continuationSeparator" w:id="0">
    <w:p w:rsidR="004F1F5C" w:rsidRDefault="004F1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F5C" w:rsidRDefault="004F1F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F5C" w:rsidRDefault="004F1F5C"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AB1" w:rsidRDefault="00B62AB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753D">
      <w:rPr>
        <w:rStyle w:val="PageNumber"/>
        <w:b/>
        <w:bCs/>
        <w:noProof/>
        <w:lang w:val="en-US"/>
      </w:rPr>
      <w:t>4</w:t>
    </w:r>
    <w:r>
      <w:rPr>
        <w:rStyle w:val="PageNumber"/>
        <w:b/>
        <w:bCs/>
      </w:rPr>
      <w:fldChar w:fldCharType="end"/>
    </w:r>
    <w:r>
      <w:rPr>
        <w:lang w:val="en-US"/>
      </w:rPr>
      <w:tab/>
    </w:r>
    <w:r w:rsidR="00EF18C8" w:rsidRPr="00553C5F">
      <w:rPr>
        <w:b/>
        <w:szCs w:val="22"/>
        <w:lang w:val="ru-RU"/>
      </w:rPr>
      <w:t>Рек.</w:t>
    </w:r>
    <w:r w:rsidR="00EF18C8" w:rsidRPr="00553C5F">
      <w:rPr>
        <w:b/>
        <w:szCs w:val="22"/>
        <w:lang w:val="en-US"/>
      </w:rPr>
      <w:t xml:space="preserve"> </w:t>
    </w:r>
    <w:r w:rsidR="00EF18C8" w:rsidRPr="00553C5F">
      <w:rPr>
        <w:b/>
        <w:szCs w:val="22"/>
        <w:lang w:val="ru-RU"/>
      </w:rPr>
      <w:t xml:space="preserve"> </w:t>
    </w:r>
    <w:r w:rsidR="00EF18C8" w:rsidRPr="00553C5F">
      <w:rPr>
        <w:b/>
        <w:bCs/>
        <w:szCs w:val="22"/>
        <w:lang w:val="en-US"/>
      </w:rPr>
      <w:fldChar w:fldCharType="begin"/>
    </w:r>
    <w:r w:rsidR="00EF18C8" w:rsidRPr="00553C5F">
      <w:rPr>
        <w:b/>
        <w:bCs/>
        <w:szCs w:val="22"/>
        <w:lang w:val="en-US"/>
      </w:rPr>
      <w:instrText>styleref href</w:instrText>
    </w:r>
    <w:r w:rsidR="00EF18C8" w:rsidRPr="00553C5F">
      <w:rPr>
        <w:b/>
        <w:bCs/>
        <w:szCs w:val="22"/>
        <w:lang w:val="en-US"/>
      </w:rPr>
      <w:fldChar w:fldCharType="separate"/>
    </w:r>
    <w:r w:rsidR="0070753D">
      <w:rPr>
        <w:b/>
        <w:bCs/>
        <w:noProof/>
        <w:szCs w:val="22"/>
        <w:lang w:val="en-US"/>
      </w:rPr>
      <w:t>МСЭ-R  M.2046</w:t>
    </w:r>
    <w:r w:rsidR="00EF18C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AB1" w:rsidRDefault="00B62AB1" w:rsidP="00D66C43">
    <w:pPr>
      <w:pStyle w:val="Header"/>
    </w:pPr>
    <w:r>
      <w:tab/>
    </w:r>
    <w:r w:rsidR="0070753D">
      <w:fldChar w:fldCharType="begin"/>
    </w:r>
    <w:r w:rsidR="0070753D">
      <w:instrText xml:space="preserve"> DOCPROPERTY "Header" \* MERGEFORMAT </w:instrText>
    </w:r>
    <w:r w:rsidR="0070753D">
      <w:fldChar w:fldCharType="separate"/>
    </w:r>
    <w:r w:rsidR="0070753D" w:rsidRPr="0070753D">
      <w:rPr>
        <w:b/>
        <w:bCs/>
        <w:lang w:val="ru-RU"/>
      </w:rPr>
      <w:t>Rec</w:t>
    </w:r>
    <w:r w:rsidR="0070753D" w:rsidRPr="0070753D">
      <w:rPr>
        <w:b/>
        <w:bCs/>
      </w:rPr>
      <w:t xml:space="preserve">. </w:t>
    </w:r>
    <w:r w:rsidR="0070753D">
      <w:rPr>
        <w:b/>
        <w:bCs/>
      </w:rPr>
      <w:fldChar w:fldCharType="end"/>
    </w:r>
    <w:r>
      <w:rPr>
        <w:b/>
        <w:bCs/>
      </w:rPr>
      <w:t xml:space="preserve"> </w:t>
    </w:r>
    <w:r>
      <w:rPr>
        <w:b/>
        <w:bCs/>
      </w:rPr>
      <w:fldChar w:fldCharType="begin"/>
    </w:r>
    <w:r>
      <w:rPr>
        <w:b/>
        <w:bCs/>
      </w:rPr>
      <w:instrText>styleref href</w:instrText>
    </w:r>
    <w:r>
      <w:rPr>
        <w:b/>
        <w:bCs/>
      </w:rPr>
      <w:fldChar w:fldCharType="separate"/>
    </w:r>
    <w:r w:rsidR="0070753D">
      <w:rPr>
        <w:b/>
        <w:bCs/>
        <w:noProof/>
      </w:rPr>
      <w:t>МСЭ-R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753D">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6E6" w:rsidRPr="00C906E6" w:rsidRDefault="00C906E6"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0753D">
      <w:rPr>
        <w:b/>
        <w:bCs/>
        <w:noProof/>
        <w:szCs w:val="22"/>
        <w:lang w:val="en-US"/>
      </w:rPr>
      <w:t>МСЭ-R  M.2046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0753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13B5"/>
    <w:rsid w:val="00072484"/>
    <w:rsid w:val="00096612"/>
    <w:rsid w:val="000A5788"/>
    <w:rsid w:val="000B7683"/>
    <w:rsid w:val="000D0677"/>
    <w:rsid w:val="000E6A6E"/>
    <w:rsid w:val="000F1C55"/>
    <w:rsid w:val="00102934"/>
    <w:rsid w:val="00131900"/>
    <w:rsid w:val="00147110"/>
    <w:rsid w:val="001511A6"/>
    <w:rsid w:val="00160E04"/>
    <w:rsid w:val="00197B47"/>
    <w:rsid w:val="001A5DF7"/>
    <w:rsid w:val="001D407F"/>
    <w:rsid w:val="001F38A8"/>
    <w:rsid w:val="002058CE"/>
    <w:rsid w:val="002165F1"/>
    <w:rsid w:val="00225DDD"/>
    <w:rsid w:val="00276D21"/>
    <w:rsid w:val="0028720D"/>
    <w:rsid w:val="00296D7F"/>
    <w:rsid w:val="002B3CF6"/>
    <w:rsid w:val="002C768A"/>
    <w:rsid w:val="002D76C4"/>
    <w:rsid w:val="002E5A85"/>
    <w:rsid w:val="002E7982"/>
    <w:rsid w:val="002F5199"/>
    <w:rsid w:val="00305A41"/>
    <w:rsid w:val="00356B5D"/>
    <w:rsid w:val="003646F2"/>
    <w:rsid w:val="003C38BA"/>
    <w:rsid w:val="00420DFD"/>
    <w:rsid w:val="00437A76"/>
    <w:rsid w:val="00470E28"/>
    <w:rsid w:val="00475345"/>
    <w:rsid w:val="004934C5"/>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E1131"/>
    <w:rsid w:val="006E2037"/>
    <w:rsid w:val="006E56A2"/>
    <w:rsid w:val="006E6199"/>
    <w:rsid w:val="0070753D"/>
    <w:rsid w:val="00712870"/>
    <w:rsid w:val="00743D85"/>
    <w:rsid w:val="0075295C"/>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826AF"/>
    <w:rsid w:val="009947C0"/>
    <w:rsid w:val="009E3058"/>
    <w:rsid w:val="009F2D2C"/>
    <w:rsid w:val="009F4170"/>
    <w:rsid w:val="00A1206A"/>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906E6"/>
    <w:rsid w:val="00CB0F14"/>
    <w:rsid w:val="00CD659B"/>
    <w:rsid w:val="00CE0A43"/>
    <w:rsid w:val="00CE257A"/>
    <w:rsid w:val="00D54BEC"/>
    <w:rsid w:val="00D66C43"/>
    <w:rsid w:val="00D83556"/>
    <w:rsid w:val="00DF4176"/>
    <w:rsid w:val="00E17240"/>
    <w:rsid w:val="00E44309"/>
    <w:rsid w:val="00E74595"/>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69303633-4601-4C4D-AC4D-BC515B10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0"/>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semiHidden/>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TabletextChar">
    <w:name w:val="Table_text Char"/>
    <w:basedOn w:val="DefaultParagraphFont"/>
    <w:link w:val="Tabletext"/>
    <w:locked/>
    <w:rsid w:val="000A5788"/>
    <w:rPr>
      <w:lang w:val="fr-FR" w:eastAsia="en-US"/>
    </w:rPr>
  </w:style>
  <w:style w:type="character" w:customStyle="1" w:styleId="Tabletitle0">
    <w:name w:val="Table_title Знак"/>
    <w:link w:val="Tabletitle"/>
    <w:locked/>
    <w:rsid w:val="000A5788"/>
    <w:rPr>
      <w:b/>
      <w:sz w:val="22"/>
      <w:lang w:val="fr-FR" w:eastAsia="en-US"/>
    </w:rPr>
  </w:style>
  <w:style w:type="character" w:customStyle="1" w:styleId="TableNo0">
    <w:name w:val="Table_No Знак"/>
    <w:basedOn w:val="DefaultParagraphFont"/>
    <w:link w:val="TableNo"/>
    <w:locked/>
    <w:rsid w:val="000A5788"/>
    <w:rPr>
      <w:sz w:val="22"/>
      <w:lang w:val="fr-FR" w:eastAsia="en-US"/>
    </w:rPr>
  </w:style>
  <w:style w:type="character" w:customStyle="1" w:styleId="CallChar">
    <w:name w:val="Call Char"/>
    <w:basedOn w:val="DefaultParagraphFont"/>
    <w:link w:val="Call"/>
    <w:locked/>
    <w:rsid w:val="000A5788"/>
    <w:rPr>
      <w:i/>
      <w:sz w:val="22"/>
      <w:lang w:val="fr-FR" w:eastAsia="en-US"/>
    </w:rPr>
  </w:style>
  <w:style w:type="character" w:customStyle="1" w:styleId="AnnexNoTitleChar">
    <w:name w:val="Annex_NoTitle Char"/>
    <w:basedOn w:val="DefaultParagraphFont"/>
    <w:link w:val="AnnexNoTitle"/>
    <w:rsid w:val="000A5788"/>
    <w:rPr>
      <w:b/>
      <w:sz w:val="26"/>
      <w:lang w:val="fr-FR" w:eastAsia="en-US"/>
    </w:rPr>
  </w:style>
  <w:style w:type="character" w:customStyle="1" w:styleId="enumlev10">
    <w:name w:val="enumlev1 Знак"/>
    <w:basedOn w:val="DefaultParagraphFont"/>
    <w:link w:val="enumlev1"/>
    <w:locked/>
    <w:rsid w:val="000A5788"/>
    <w:rPr>
      <w:sz w:val="22"/>
      <w:lang w:val="fr-FR" w:eastAsia="en-US"/>
    </w:rPr>
  </w:style>
  <w:style w:type="character" w:customStyle="1" w:styleId="Heading1Char">
    <w:name w:val="Heading 1 Char"/>
    <w:basedOn w:val="DefaultParagraphFont"/>
    <w:link w:val="Heading1"/>
    <w:rsid w:val="000A5788"/>
    <w:rPr>
      <w:b/>
      <w:sz w:val="22"/>
      <w:lang w:val="fr-FR" w:eastAsia="en-US"/>
    </w:rPr>
  </w:style>
  <w:style w:type="character" w:customStyle="1" w:styleId="Heading2Char">
    <w:name w:val="Heading 2 Char"/>
    <w:basedOn w:val="DefaultParagraphFont"/>
    <w:link w:val="Heading2"/>
    <w:rsid w:val="000A578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5640B-7B4F-4332-8624-3E39942C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7</Pages>
  <Words>1887</Words>
  <Characters>12635</Characters>
  <Application>Microsoft Office Word</Application>
  <DocSecurity>0</DocSecurity>
  <Lines>407</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14458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M.2046 (12/2013) - Характеристики и критерии защиты негеостационарных систем подвижной спутниковой службы, работающих в полосе 399,9–400,05 МГц</dc:title>
  <dc:subject/>
  <dc:creator>POOL</dc:creator>
  <cp:keywords/>
  <dc:description>Edition                       1.11.07      SP_x000d_
corr. editeur: 14.2.08/KJ_x000d_
REV - 18-02-08 - HB_x000d_
Récup + PDF: 2.7.09/KJ</dc:description>
  <cp:lastModifiedBy>Berdyeva, Elena</cp:lastModifiedBy>
  <cp:revision>10</cp:revision>
  <cp:lastPrinted>2014-10-01T15:04:00Z</cp:lastPrinted>
  <dcterms:created xsi:type="dcterms:W3CDTF">2014-09-24T14:17:00Z</dcterms:created>
  <dcterms:modified xsi:type="dcterms:W3CDTF">2014-10-01T15:06:00Z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