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6A3" w:rsidRDefault="005D46A3" w:rsidP="005D46A3">
      <w:bookmarkStart w:id="0" w:name="_GoBack"/>
      <w:bookmarkEnd w:id="0"/>
    </w:p>
    <w:p w:rsidR="005D46A3" w:rsidRDefault="005D46A3" w:rsidP="005D46A3"/>
    <w:p w:rsidR="005D46A3" w:rsidRDefault="005D46A3" w:rsidP="005D46A3"/>
    <w:p w:rsidR="005D46A3" w:rsidRDefault="005D46A3" w:rsidP="005D46A3"/>
    <w:p w:rsidR="005D46A3" w:rsidRDefault="005D46A3" w:rsidP="005D46A3"/>
    <w:p w:rsidR="005D46A3" w:rsidRDefault="005D46A3" w:rsidP="005D46A3"/>
    <w:p w:rsidR="005D46A3" w:rsidRDefault="005D46A3" w:rsidP="005D46A3"/>
    <w:p w:rsidR="005D46A3" w:rsidRDefault="005D46A3" w:rsidP="005D46A3"/>
    <w:p w:rsidR="005D46A3" w:rsidRDefault="005D46A3" w:rsidP="005D46A3"/>
    <w:p w:rsidR="005D46A3" w:rsidRDefault="005D46A3" w:rsidP="005D46A3"/>
    <w:p w:rsidR="005D46A3" w:rsidRDefault="005D46A3" w:rsidP="005D46A3"/>
    <w:p w:rsidR="005D46A3" w:rsidRDefault="005D46A3" w:rsidP="005D46A3"/>
    <w:tbl>
      <w:tblPr>
        <w:tblW w:w="10089" w:type="dxa"/>
        <w:tblLook w:val="01E0" w:firstRow="1" w:lastRow="1" w:firstColumn="1" w:lastColumn="1" w:noHBand="0" w:noVBand="0"/>
      </w:tblPr>
      <w:tblGrid>
        <w:gridCol w:w="10089"/>
      </w:tblGrid>
      <w:tr w:rsidR="005D46A3" w:rsidRPr="00A443C2" w:rsidTr="006A457C">
        <w:tc>
          <w:tcPr>
            <w:tcW w:w="10089" w:type="dxa"/>
          </w:tcPr>
          <w:p w:rsidR="005D46A3" w:rsidRPr="00B033C8" w:rsidRDefault="005D46A3" w:rsidP="006A457C">
            <w:pPr>
              <w:spacing w:before="380" w:line="280" w:lineRule="exact"/>
              <w:jc w:val="right"/>
              <w:rPr>
                <w:rFonts w:ascii="Tahoma" w:hAnsi="Tahoma" w:cs="Tahoma"/>
                <w:b/>
                <w:bCs/>
                <w:iCs/>
                <w:color w:val="243285"/>
                <w:sz w:val="32"/>
                <w:szCs w:val="32"/>
                <w:lang w:val="en-US"/>
              </w:rPr>
            </w:pPr>
          </w:p>
          <w:p w:rsidR="005D46A3" w:rsidRPr="00A443C2" w:rsidRDefault="005D46A3" w:rsidP="00585CF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585CFD">
              <w:rPr>
                <w:rFonts w:ascii="Tahoma" w:hAnsi="Tahoma" w:cs="Tahoma"/>
                <w:b/>
                <w:bCs/>
                <w:iCs/>
                <w:color w:val="243285"/>
                <w:sz w:val="36"/>
                <w:szCs w:val="36"/>
              </w:rPr>
              <w:t>2046</w:t>
            </w:r>
          </w:p>
          <w:p w:rsidR="005D46A3" w:rsidRPr="00A443C2" w:rsidRDefault="005D46A3" w:rsidP="00585CF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585CFD">
              <w:rPr>
                <w:rFonts w:ascii="Tahoma" w:hAnsi="Tahoma" w:cs="Tahoma"/>
                <w:b/>
                <w:bCs/>
                <w:iCs/>
                <w:color w:val="243285"/>
                <w:szCs w:val="24"/>
              </w:rPr>
              <w:t>12</w:t>
            </w:r>
            <w:r w:rsidRPr="00A443C2">
              <w:rPr>
                <w:rFonts w:ascii="Tahoma" w:hAnsi="Tahoma" w:cs="Tahoma"/>
                <w:b/>
                <w:bCs/>
                <w:iCs/>
                <w:color w:val="243285"/>
                <w:szCs w:val="24"/>
              </w:rPr>
              <w:t>/</w:t>
            </w:r>
            <w:r w:rsidR="00585CFD">
              <w:rPr>
                <w:rFonts w:ascii="Tahoma" w:hAnsi="Tahoma" w:cs="Tahoma"/>
                <w:b/>
                <w:bCs/>
                <w:iCs/>
                <w:color w:val="243285"/>
                <w:szCs w:val="24"/>
              </w:rPr>
              <w:t>2013</w:t>
            </w:r>
            <w:r w:rsidRPr="00A443C2">
              <w:rPr>
                <w:rFonts w:ascii="Tahoma" w:hAnsi="Tahoma" w:cs="Tahoma"/>
                <w:b/>
                <w:bCs/>
                <w:iCs/>
                <w:color w:val="243285"/>
                <w:szCs w:val="24"/>
              </w:rPr>
              <w:t>)</w:t>
            </w:r>
          </w:p>
        </w:tc>
      </w:tr>
      <w:tr w:rsidR="005D46A3" w:rsidRPr="00F54FBD" w:rsidTr="006A457C">
        <w:tc>
          <w:tcPr>
            <w:tcW w:w="10089" w:type="dxa"/>
          </w:tcPr>
          <w:p w:rsidR="005D46A3" w:rsidRDefault="005D46A3" w:rsidP="006A457C">
            <w:pPr>
              <w:spacing w:before="80" w:line="500" w:lineRule="exact"/>
              <w:jc w:val="right"/>
              <w:rPr>
                <w:rFonts w:ascii="Tahoma" w:hAnsi="Tahoma" w:cs="Tahoma"/>
                <w:b/>
                <w:bCs/>
                <w:iCs/>
                <w:color w:val="243285"/>
                <w:sz w:val="44"/>
                <w:szCs w:val="44"/>
              </w:rPr>
            </w:pPr>
          </w:p>
          <w:p w:rsidR="005D46A3" w:rsidRDefault="00585CFD" w:rsidP="00585CFD">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Caractéristiques et critères de protection des systèmes à satellites non géostationnaires du service mobile </w:t>
            </w:r>
            <w:r>
              <w:rPr>
                <w:rFonts w:ascii="Tahoma" w:hAnsi="Tahoma" w:cs="Tahoma"/>
                <w:b/>
                <w:bCs/>
                <w:iCs/>
                <w:color w:val="243285"/>
                <w:sz w:val="44"/>
                <w:szCs w:val="44"/>
              </w:rPr>
              <w:br/>
              <w:t xml:space="preserve">par satellite fonctionnant dans la </w:t>
            </w:r>
            <w:r>
              <w:rPr>
                <w:rFonts w:ascii="Tahoma" w:hAnsi="Tahoma" w:cs="Tahoma"/>
                <w:b/>
                <w:bCs/>
                <w:iCs/>
                <w:color w:val="243285"/>
                <w:sz w:val="44"/>
                <w:szCs w:val="44"/>
              </w:rPr>
              <w:br/>
              <w:t>bande 399,9</w:t>
            </w:r>
            <w:r>
              <w:rPr>
                <w:rFonts w:ascii="Tahoma" w:hAnsi="Tahoma" w:cs="Tahoma"/>
                <w:b/>
                <w:bCs/>
                <w:iCs/>
                <w:color w:val="243285"/>
                <w:sz w:val="44"/>
                <w:szCs w:val="44"/>
              </w:rPr>
              <w:noBreakHyphen/>
              <w:t>400,05 MHz</w:t>
            </w:r>
          </w:p>
          <w:p w:rsidR="005D46A3" w:rsidRPr="00F54FBD" w:rsidRDefault="005D46A3" w:rsidP="006A457C">
            <w:pPr>
              <w:spacing w:before="80" w:line="500" w:lineRule="exact"/>
              <w:jc w:val="right"/>
              <w:rPr>
                <w:rFonts w:ascii="Tahoma" w:hAnsi="Tahoma" w:cs="Tahoma"/>
                <w:b/>
                <w:bCs/>
                <w:iCs/>
                <w:color w:val="243285"/>
                <w:sz w:val="44"/>
                <w:szCs w:val="44"/>
              </w:rPr>
            </w:pPr>
          </w:p>
        </w:tc>
      </w:tr>
      <w:tr w:rsidR="005D46A3" w:rsidRPr="00F54FBD" w:rsidTr="006A457C">
        <w:tc>
          <w:tcPr>
            <w:tcW w:w="10089" w:type="dxa"/>
          </w:tcPr>
          <w:p w:rsidR="005D46A3" w:rsidRPr="00F54FBD" w:rsidRDefault="005D46A3" w:rsidP="006A457C">
            <w:pPr>
              <w:spacing w:before="80" w:line="280" w:lineRule="exact"/>
              <w:ind w:right="640"/>
              <w:rPr>
                <w:rFonts w:ascii="Tahoma" w:hAnsi="Tahoma" w:cs="Tahoma"/>
                <w:b/>
                <w:bCs/>
                <w:iCs/>
                <w:color w:val="243285"/>
                <w:sz w:val="32"/>
                <w:szCs w:val="32"/>
              </w:rPr>
            </w:pPr>
          </w:p>
          <w:p w:rsidR="005D46A3" w:rsidRPr="00F54FBD" w:rsidRDefault="005D46A3" w:rsidP="006A457C">
            <w:pPr>
              <w:spacing w:before="80" w:line="280" w:lineRule="exact"/>
              <w:ind w:right="640"/>
              <w:rPr>
                <w:rFonts w:ascii="Tahoma" w:hAnsi="Tahoma" w:cs="Tahoma"/>
                <w:b/>
                <w:bCs/>
                <w:iCs/>
                <w:color w:val="243285"/>
                <w:sz w:val="32"/>
                <w:szCs w:val="32"/>
              </w:rPr>
            </w:pPr>
          </w:p>
          <w:p w:rsidR="005D46A3" w:rsidRPr="00F54FBD" w:rsidRDefault="005D46A3" w:rsidP="006A457C">
            <w:pPr>
              <w:spacing w:before="80" w:after="180" w:line="360" w:lineRule="exact"/>
              <w:ind w:right="720"/>
              <w:rPr>
                <w:rFonts w:ascii="Tahoma" w:hAnsi="Tahoma" w:cs="Tahoma"/>
                <w:b/>
                <w:bCs/>
                <w:iCs/>
                <w:color w:val="243285"/>
                <w:sz w:val="36"/>
                <w:szCs w:val="36"/>
              </w:rPr>
            </w:pPr>
          </w:p>
          <w:p w:rsidR="005D46A3" w:rsidRPr="00F54FBD" w:rsidRDefault="005D46A3" w:rsidP="006A457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5D46A3" w:rsidRPr="00F54FBD" w:rsidRDefault="005D46A3" w:rsidP="006A457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5D46A3" w:rsidRPr="00F54FBD" w:rsidRDefault="005D46A3" w:rsidP="005D46A3">
      <w:pPr>
        <w:spacing w:before="80"/>
        <w:rPr>
          <w:i/>
          <w:sz w:val="22"/>
        </w:rPr>
      </w:pPr>
    </w:p>
    <w:p w:rsidR="005D46A3" w:rsidRPr="00F54FBD" w:rsidRDefault="005D46A3" w:rsidP="005D46A3">
      <w:pPr>
        <w:spacing w:before="80"/>
        <w:rPr>
          <w:i/>
          <w:sz w:val="22"/>
        </w:rPr>
      </w:pPr>
    </w:p>
    <w:p w:rsidR="005D46A3" w:rsidRPr="00F54FBD" w:rsidRDefault="005D46A3" w:rsidP="005D46A3">
      <w:pPr>
        <w:spacing w:before="80"/>
        <w:rPr>
          <w:i/>
          <w:sz w:val="22"/>
        </w:rPr>
      </w:pPr>
    </w:p>
    <w:p w:rsidR="005D46A3" w:rsidRPr="00F54FBD" w:rsidRDefault="005D46A3" w:rsidP="005D46A3">
      <w:pPr>
        <w:spacing w:before="80"/>
        <w:rPr>
          <w:i/>
          <w:sz w:val="22"/>
        </w:rPr>
      </w:pPr>
    </w:p>
    <w:p w:rsidR="005D46A3" w:rsidRPr="00F54FBD" w:rsidRDefault="005D46A3" w:rsidP="005D46A3">
      <w:pPr>
        <w:spacing w:before="80"/>
        <w:rPr>
          <w:i/>
          <w:sz w:val="22"/>
        </w:rPr>
      </w:pPr>
    </w:p>
    <w:p w:rsidR="005D46A3" w:rsidRPr="00F54FBD" w:rsidRDefault="005D46A3" w:rsidP="005D46A3">
      <w:pPr>
        <w:spacing w:before="80"/>
        <w:rPr>
          <w:i/>
          <w:sz w:val="22"/>
        </w:rPr>
      </w:pPr>
    </w:p>
    <w:p w:rsidR="005D46A3" w:rsidRPr="00F54FBD" w:rsidRDefault="005D46A3" w:rsidP="005D46A3">
      <w:pPr>
        <w:pStyle w:val="Equation"/>
        <w:tabs>
          <w:tab w:val="clear" w:pos="4820"/>
          <w:tab w:val="clear" w:pos="9639"/>
          <w:tab w:val="left" w:pos="1191"/>
          <w:tab w:val="left" w:pos="1588"/>
          <w:tab w:val="left" w:pos="1985"/>
        </w:tabs>
        <w:rPr>
          <w:rFonts w:ascii="Palatino Linotype" w:hAnsi="Palatino Linotype"/>
        </w:rPr>
        <w:sectPr w:rsidR="005D46A3" w:rsidRPr="00F54FBD">
          <w:headerReference w:type="even" r:id="rId6"/>
          <w:headerReference w:type="default" r:id="rId7"/>
          <w:pgSz w:w="11907" w:h="16840" w:code="9"/>
          <w:pgMar w:top="1089" w:right="1089" w:bottom="284" w:left="1089" w:header="567" w:footer="284" w:gutter="0"/>
          <w:pgNumType w:start="1"/>
          <w:cols w:space="720"/>
        </w:sectPr>
      </w:pPr>
    </w:p>
    <w:p w:rsidR="005D46A3" w:rsidRPr="00F54FBD" w:rsidRDefault="005D46A3" w:rsidP="005D46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5D46A3" w:rsidRPr="00F54FBD" w:rsidRDefault="005D46A3" w:rsidP="005D46A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D46A3" w:rsidRPr="00F54FBD" w:rsidRDefault="005D46A3" w:rsidP="005D46A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D46A3" w:rsidRPr="00E44CBB" w:rsidRDefault="005D46A3" w:rsidP="005D46A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D46A3" w:rsidRPr="00E44CBB" w:rsidRDefault="005D46A3" w:rsidP="005D46A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D46A3" w:rsidRPr="00C95B6F" w:rsidRDefault="005D46A3" w:rsidP="005D46A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D46A3" w:rsidRPr="009454F8" w:rsidTr="006A457C">
        <w:tc>
          <w:tcPr>
            <w:tcW w:w="9360" w:type="dxa"/>
            <w:gridSpan w:val="2"/>
          </w:tcPr>
          <w:p w:rsidR="005D46A3" w:rsidRPr="009454F8" w:rsidRDefault="005D46A3" w:rsidP="006A457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D46A3" w:rsidRPr="009454F8" w:rsidRDefault="005D46A3" w:rsidP="006A4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5D46A3" w:rsidRPr="00036EE3" w:rsidTr="006A457C">
        <w:tc>
          <w:tcPr>
            <w:tcW w:w="1140" w:type="dxa"/>
          </w:tcPr>
          <w:p w:rsidR="005D46A3" w:rsidRPr="00614CC6" w:rsidRDefault="005D46A3" w:rsidP="006A457C">
            <w:pPr>
              <w:spacing w:before="90" w:after="100"/>
              <w:ind w:left="57"/>
              <w:rPr>
                <w:b/>
                <w:bCs/>
                <w:sz w:val="20"/>
                <w:lang w:val="en-US"/>
              </w:rPr>
            </w:pPr>
            <w:r w:rsidRPr="00614CC6">
              <w:rPr>
                <w:b/>
                <w:bCs/>
                <w:sz w:val="20"/>
                <w:lang w:val="en-US"/>
              </w:rPr>
              <w:t>Séries</w:t>
            </w:r>
          </w:p>
        </w:tc>
        <w:tc>
          <w:tcPr>
            <w:tcW w:w="8220" w:type="dxa"/>
          </w:tcPr>
          <w:p w:rsidR="005D46A3" w:rsidRPr="00614CC6" w:rsidRDefault="005D46A3" w:rsidP="006A4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D46A3" w:rsidRPr="00036EE3" w:rsidTr="006A457C">
        <w:tc>
          <w:tcPr>
            <w:tcW w:w="1140" w:type="dxa"/>
          </w:tcPr>
          <w:p w:rsidR="005D46A3" w:rsidRPr="00614CC6" w:rsidRDefault="005D46A3" w:rsidP="006A457C">
            <w:pPr>
              <w:spacing w:before="30" w:after="30"/>
              <w:ind w:left="57"/>
              <w:jc w:val="left"/>
              <w:rPr>
                <w:b/>
                <w:bCs/>
                <w:sz w:val="20"/>
                <w:lang w:val="en-US"/>
              </w:rPr>
            </w:pPr>
            <w:r w:rsidRPr="00614CC6">
              <w:rPr>
                <w:b/>
                <w:bCs/>
                <w:sz w:val="20"/>
                <w:lang w:val="en-US"/>
              </w:rPr>
              <w:t>BO</w:t>
            </w:r>
          </w:p>
        </w:tc>
        <w:tc>
          <w:tcPr>
            <w:tcW w:w="8220" w:type="dxa"/>
          </w:tcPr>
          <w:p w:rsidR="005D46A3" w:rsidRPr="00614CC6" w:rsidRDefault="005D46A3" w:rsidP="006A4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5D46A3" w:rsidRPr="009454F8" w:rsidTr="006A457C">
        <w:tc>
          <w:tcPr>
            <w:tcW w:w="1140" w:type="dxa"/>
          </w:tcPr>
          <w:p w:rsidR="005D46A3" w:rsidRPr="00614CC6" w:rsidRDefault="005D46A3" w:rsidP="006A457C">
            <w:pPr>
              <w:spacing w:before="30" w:after="30"/>
              <w:ind w:left="57"/>
              <w:jc w:val="left"/>
              <w:rPr>
                <w:b/>
                <w:bCs/>
                <w:sz w:val="20"/>
                <w:lang w:val="en-US"/>
              </w:rPr>
            </w:pPr>
            <w:r w:rsidRPr="00614CC6">
              <w:rPr>
                <w:b/>
                <w:bCs/>
                <w:sz w:val="20"/>
                <w:lang w:val="en-US"/>
              </w:rPr>
              <w:t>BR</w:t>
            </w:r>
          </w:p>
        </w:tc>
        <w:tc>
          <w:tcPr>
            <w:tcW w:w="8220" w:type="dxa"/>
          </w:tcPr>
          <w:p w:rsidR="005D46A3" w:rsidRPr="00614CC6" w:rsidRDefault="005D46A3" w:rsidP="006A4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D46A3" w:rsidRPr="00036EE3" w:rsidTr="006A457C">
        <w:tc>
          <w:tcPr>
            <w:tcW w:w="1140" w:type="dxa"/>
          </w:tcPr>
          <w:p w:rsidR="005D46A3" w:rsidRPr="00614CC6" w:rsidRDefault="005D46A3" w:rsidP="006A457C">
            <w:pPr>
              <w:spacing w:before="30" w:after="30"/>
              <w:ind w:left="57"/>
              <w:jc w:val="left"/>
              <w:rPr>
                <w:b/>
                <w:bCs/>
                <w:sz w:val="20"/>
                <w:lang w:val="en-US"/>
              </w:rPr>
            </w:pPr>
            <w:r w:rsidRPr="00614CC6">
              <w:rPr>
                <w:b/>
                <w:bCs/>
                <w:sz w:val="20"/>
                <w:lang w:val="en-US"/>
              </w:rPr>
              <w:t>BS</w:t>
            </w:r>
          </w:p>
        </w:tc>
        <w:tc>
          <w:tcPr>
            <w:tcW w:w="8220" w:type="dxa"/>
          </w:tcPr>
          <w:p w:rsidR="005D46A3" w:rsidRPr="00614CC6" w:rsidRDefault="005D46A3" w:rsidP="006A4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5D46A3" w:rsidRPr="00ED2695" w:rsidTr="006A457C">
        <w:tc>
          <w:tcPr>
            <w:tcW w:w="1140" w:type="dxa"/>
            <w:shd w:val="clear" w:color="auto" w:fill="auto"/>
          </w:tcPr>
          <w:p w:rsidR="005D46A3" w:rsidRPr="00614CC6" w:rsidRDefault="005D46A3" w:rsidP="006A457C">
            <w:pPr>
              <w:spacing w:before="30" w:after="30"/>
              <w:ind w:left="57"/>
              <w:jc w:val="left"/>
              <w:rPr>
                <w:b/>
                <w:bCs/>
                <w:sz w:val="20"/>
                <w:lang w:val="en-US"/>
              </w:rPr>
            </w:pPr>
            <w:r w:rsidRPr="00614CC6">
              <w:rPr>
                <w:b/>
                <w:bCs/>
                <w:sz w:val="20"/>
                <w:lang w:val="en-US"/>
              </w:rPr>
              <w:t>BT</w:t>
            </w:r>
          </w:p>
        </w:tc>
        <w:tc>
          <w:tcPr>
            <w:tcW w:w="8220" w:type="dxa"/>
            <w:shd w:val="clear" w:color="auto" w:fill="auto"/>
          </w:tcPr>
          <w:p w:rsidR="005D46A3" w:rsidRPr="00614CC6" w:rsidRDefault="005D46A3" w:rsidP="006A4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D46A3" w:rsidRPr="00036EE3" w:rsidTr="006A457C">
        <w:tc>
          <w:tcPr>
            <w:tcW w:w="1140" w:type="dxa"/>
            <w:shd w:val="clear" w:color="auto" w:fill="auto"/>
          </w:tcPr>
          <w:p w:rsidR="005D46A3" w:rsidRPr="00614CC6" w:rsidRDefault="005D46A3" w:rsidP="006A457C">
            <w:pPr>
              <w:spacing w:before="30" w:after="30"/>
              <w:ind w:left="57"/>
              <w:jc w:val="left"/>
              <w:rPr>
                <w:b/>
                <w:bCs/>
                <w:sz w:val="20"/>
                <w:lang w:val="fr-CH"/>
              </w:rPr>
            </w:pPr>
            <w:r w:rsidRPr="00614CC6">
              <w:rPr>
                <w:b/>
                <w:bCs/>
                <w:sz w:val="20"/>
                <w:lang w:val="fr-CH"/>
              </w:rPr>
              <w:t>F</w:t>
            </w:r>
          </w:p>
        </w:tc>
        <w:tc>
          <w:tcPr>
            <w:tcW w:w="8220" w:type="dxa"/>
            <w:shd w:val="clear" w:color="auto" w:fill="auto"/>
          </w:tcPr>
          <w:p w:rsidR="005D46A3" w:rsidRPr="00614CC6" w:rsidRDefault="005D46A3" w:rsidP="006A45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D46A3" w:rsidRPr="00592F9F" w:rsidTr="006A457C">
        <w:tc>
          <w:tcPr>
            <w:tcW w:w="1140" w:type="dxa"/>
            <w:shd w:val="clear" w:color="auto" w:fill="F3F3F3"/>
          </w:tcPr>
          <w:p w:rsidR="005D46A3" w:rsidRPr="00592F9F" w:rsidRDefault="005D46A3" w:rsidP="006A457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5D46A3" w:rsidRPr="00592F9F" w:rsidRDefault="005D46A3" w:rsidP="006A457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5D46A3" w:rsidRPr="00036EE3" w:rsidTr="006A457C">
        <w:tc>
          <w:tcPr>
            <w:tcW w:w="1140" w:type="dxa"/>
          </w:tcPr>
          <w:p w:rsidR="005D46A3" w:rsidRPr="00614CC6" w:rsidRDefault="005D46A3" w:rsidP="006A457C">
            <w:pPr>
              <w:spacing w:before="30" w:after="30"/>
              <w:ind w:left="57"/>
              <w:jc w:val="left"/>
              <w:rPr>
                <w:b/>
                <w:bCs/>
                <w:sz w:val="20"/>
                <w:lang w:val="fr-CH"/>
              </w:rPr>
            </w:pPr>
            <w:r w:rsidRPr="00614CC6">
              <w:rPr>
                <w:b/>
                <w:bCs/>
                <w:sz w:val="20"/>
                <w:lang w:val="fr-CH"/>
              </w:rPr>
              <w:t>P</w:t>
            </w:r>
          </w:p>
        </w:tc>
        <w:tc>
          <w:tcPr>
            <w:tcW w:w="8220" w:type="dxa"/>
          </w:tcPr>
          <w:p w:rsidR="005D46A3" w:rsidRPr="00614CC6" w:rsidRDefault="005D46A3" w:rsidP="006A457C">
            <w:pPr>
              <w:spacing w:before="30" w:after="30"/>
              <w:jc w:val="left"/>
              <w:rPr>
                <w:sz w:val="20"/>
                <w:lang w:val="fr-CH"/>
              </w:rPr>
            </w:pPr>
            <w:r w:rsidRPr="00614CC6">
              <w:rPr>
                <w:sz w:val="20"/>
              </w:rPr>
              <w:t>Propagation des ondes radioélectriques</w:t>
            </w:r>
          </w:p>
        </w:tc>
      </w:tr>
      <w:tr w:rsidR="005D46A3" w:rsidRPr="00036EE3" w:rsidTr="006A457C">
        <w:tc>
          <w:tcPr>
            <w:tcW w:w="1140" w:type="dxa"/>
          </w:tcPr>
          <w:p w:rsidR="005D46A3" w:rsidRPr="00614CC6" w:rsidRDefault="005D46A3" w:rsidP="006A457C">
            <w:pPr>
              <w:spacing w:before="30" w:after="30"/>
              <w:ind w:left="57"/>
              <w:jc w:val="left"/>
              <w:rPr>
                <w:b/>
                <w:bCs/>
                <w:sz w:val="20"/>
                <w:lang w:val="en-US"/>
              </w:rPr>
            </w:pPr>
            <w:r w:rsidRPr="00614CC6">
              <w:rPr>
                <w:b/>
                <w:bCs/>
                <w:sz w:val="20"/>
                <w:lang w:val="en-US"/>
              </w:rPr>
              <w:t>RA</w:t>
            </w:r>
          </w:p>
        </w:tc>
        <w:tc>
          <w:tcPr>
            <w:tcW w:w="8220" w:type="dxa"/>
          </w:tcPr>
          <w:p w:rsidR="005D46A3" w:rsidRPr="00614CC6" w:rsidRDefault="005D46A3" w:rsidP="006A45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D46A3" w:rsidRPr="00036EE3" w:rsidTr="006A457C">
        <w:tc>
          <w:tcPr>
            <w:tcW w:w="1140" w:type="dxa"/>
          </w:tcPr>
          <w:p w:rsidR="005D46A3" w:rsidRPr="00614CC6" w:rsidRDefault="005D46A3" w:rsidP="006A457C">
            <w:pPr>
              <w:spacing w:before="30" w:after="30"/>
              <w:ind w:left="57"/>
              <w:jc w:val="left"/>
              <w:rPr>
                <w:b/>
                <w:bCs/>
                <w:sz w:val="20"/>
                <w:lang w:val="en-US"/>
              </w:rPr>
            </w:pPr>
            <w:r w:rsidRPr="00614CC6">
              <w:rPr>
                <w:b/>
                <w:bCs/>
                <w:sz w:val="20"/>
                <w:lang w:val="en-US"/>
              </w:rPr>
              <w:t>RS</w:t>
            </w:r>
          </w:p>
        </w:tc>
        <w:tc>
          <w:tcPr>
            <w:tcW w:w="8220" w:type="dxa"/>
          </w:tcPr>
          <w:p w:rsidR="005D46A3" w:rsidRPr="00614CC6" w:rsidRDefault="005D46A3" w:rsidP="006A457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D46A3" w:rsidRPr="00036EE3" w:rsidTr="006A457C">
        <w:tc>
          <w:tcPr>
            <w:tcW w:w="1140" w:type="dxa"/>
          </w:tcPr>
          <w:p w:rsidR="005D46A3" w:rsidRPr="00614CC6" w:rsidRDefault="005D46A3" w:rsidP="006A457C">
            <w:pPr>
              <w:spacing w:before="30" w:after="30"/>
              <w:ind w:left="57"/>
              <w:jc w:val="left"/>
              <w:rPr>
                <w:b/>
                <w:bCs/>
                <w:sz w:val="20"/>
                <w:lang w:val="en-US"/>
              </w:rPr>
            </w:pPr>
            <w:r w:rsidRPr="00614CC6">
              <w:rPr>
                <w:b/>
                <w:bCs/>
                <w:sz w:val="20"/>
                <w:lang w:val="en-US"/>
              </w:rPr>
              <w:t>S</w:t>
            </w:r>
          </w:p>
        </w:tc>
        <w:tc>
          <w:tcPr>
            <w:tcW w:w="8220" w:type="dxa"/>
          </w:tcPr>
          <w:p w:rsidR="005D46A3" w:rsidRPr="00614CC6" w:rsidRDefault="005D46A3" w:rsidP="006A457C">
            <w:pPr>
              <w:spacing w:before="30" w:after="30"/>
              <w:jc w:val="left"/>
              <w:rPr>
                <w:sz w:val="20"/>
                <w:lang w:val="en-US"/>
              </w:rPr>
            </w:pPr>
            <w:r w:rsidRPr="00614CC6">
              <w:rPr>
                <w:sz w:val="20"/>
              </w:rPr>
              <w:t>Service fixe par satellite</w:t>
            </w:r>
          </w:p>
        </w:tc>
      </w:tr>
      <w:tr w:rsidR="005D46A3" w:rsidRPr="00036EE3" w:rsidTr="006A457C">
        <w:tc>
          <w:tcPr>
            <w:tcW w:w="1140" w:type="dxa"/>
          </w:tcPr>
          <w:p w:rsidR="005D46A3" w:rsidRPr="00614CC6" w:rsidRDefault="005D46A3" w:rsidP="006A457C">
            <w:pPr>
              <w:spacing w:before="30" w:after="30"/>
              <w:ind w:left="57"/>
              <w:jc w:val="left"/>
              <w:rPr>
                <w:b/>
                <w:bCs/>
                <w:sz w:val="20"/>
                <w:lang w:val="en-US"/>
              </w:rPr>
            </w:pPr>
            <w:r w:rsidRPr="00614CC6">
              <w:rPr>
                <w:b/>
                <w:bCs/>
                <w:sz w:val="20"/>
                <w:lang w:val="en-US"/>
              </w:rPr>
              <w:t>SA</w:t>
            </w:r>
          </w:p>
        </w:tc>
        <w:tc>
          <w:tcPr>
            <w:tcW w:w="8220" w:type="dxa"/>
          </w:tcPr>
          <w:p w:rsidR="005D46A3" w:rsidRPr="00614CC6" w:rsidRDefault="005D46A3" w:rsidP="006A457C">
            <w:pPr>
              <w:spacing w:before="30" w:after="30"/>
              <w:jc w:val="left"/>
              <w:rPr>
                <w:sz w:val="20"/>
                <w:lang w:val="en-US"/>
              </w:rPr>
            </w:pPr>
            <w:r w:rsidRPr="00614CC6">
              <w:rPr>
                <w:sz w:val="20"/>
              </w:rPr>
              <w:t>Applications spatiales et météorologie</w:t>
            </w:r>
          </w:p>
        </w:tc>
      </w:tr>
      <w:tr w:rsidR="005D46A3" w:rsidRPr="00614CC6" w:rsidTr="006A457C">
        <w:tc>
          <w:tcPr>
            <w:tcW w:w="1140" w:type="dxa"/>
          </w:tcPr>
          <w:p w:rsidR="005D46A3" w:rsidRPr="00614CC6" w:rsidRDefault="005D46A3" w:rsidP="006A457C">
            <w:pPr>
              <w:spacing w:before="30" w:after="30"/>
              <w:ind w:left="57"/>
              <w:jc w:val="left"/>
              <w:rPr>
                <w:b/>
                <w:bCs/>
                <w:sz w:val="20"/>
                <w:lang w:val="en-US"/>
              </w:rPr>
            </w:pPr>
            <w:r w:rsidRPr="00614CC6">
              <w:rPr>
                <w:b/>
                <w:bCs/>
                <w:sz w:val="20"/>
                <w:lang w:val="en-US"/>
              </w:rPr>
              <w:t>SF</w:t>
            </w:r>
          </w:p>
        </w:tc>
        <w:tc>
          <w:tcPr>
            <w:tcW w:w="8220" w:type="dxa"/>
          </w:tcPr>
          <w:p w:rsidR="005D46A3" w:rsidRPr="00614CC6" w:rsidRDefault="005D46A3" w:rsidP="006A457C">
            <w:pPr>
              <w:spacing w:before="30" w:after="30"/>
              <w:jc w:val="left"/>
              <w:rPr>
                <w:sz w:val="20"/>
              </w:rPr>
            </w:pPr>
            <w:r w:rsidRPr="00614CC6">
              <w:rPr>
                <w:sz w:val="20"/>
              </w:rPr>
              <w:t>Partage des fréquences et coordination entre les systèmes du service fixe par satellite et du service fixe</w:t>
            </w:r>
          </w:p>
        </w:tc>
      </w:tr>
      <w:tr w:rsidR="005D46A3" w:rsidRPr="00036EE3" w:rsidTr="006A457C">
        <w:tc>
          <w:tcPr>
            <w:tcW w:w="1140" w:type="dxa"/>
            <w:shd w:val="clear" w:color="auto" w:fill="auto"/>
          </w:tcPr>
          <w:p w:rsidR="005D46A3" w:rsidRPr="00592F9F" w:rsidRDefault="005D46A3" w:rsidP="006A457C">
            <w:pPr>
              <w:spacing w:before="30" w:after="30"/>
              <w:ind w:left="57"/>
              <w:jc w:val="left"/>
              <w:rPr>
                <w:b/>
                <w:bCs/>
                <w:sz w:val="20"/>
                <w:lang w:val="en-US"/>
              </w:rPr>
            </w:pPr>
            <w:r w:rsidRPr="00592F9F">
              <w:rPr>
                <w:b/>
                <w:bCs/>
                <w:sz w:val="20"/>
                <w:lang w:val="en-US"/>
              </w:rPr>
              <w:t>SM</w:t>
            </w:r>
          </w:p>
        </w:tc>
        <w:tc>
          <w:tcPr>
            <w:tcW w:w="8220" w:type="dxa"/>
            <w:shd w:val="clear" w:color="auto" w:fill="auto"/>
          </w:tcPr>
          <w:p w:rsidR="005D46A3" w:rsidRPr="00592F9F" w:rsidRDefault="005D46A3" w:rsidP="006A457C">
            <w:pPr>
              <w:spacing w:before="30" w:after="30"/>
              <w:jc w:val="left"/>
              <w:rPr>
                <w:sz w:val="20"/>
                <w:lang w:val="en-US"/>
              </w:rPr>
            </w:pPr>
            <w:r w:rsidRPr="00592F9F">
              <w:rPr>
                <w:sz w:val="20"/>
              </w:rPr>
              <w:t>Gestion du spectre</w:t>
            </w:r>
          </w:p>
        </w:tc>
      </w:tr>
      <w:tr w:rsidR="005D46A3" w:rsidRPr="00036EE3" w:rsidTr="006A457C">
        <w:tc>
          <w:tcPr>
            <w:tcW w:w="1140" w:type="dxa"/>
          </w:tcPr>
          <w:p w:rsidR="005D46A3" w:rsidRPr="00614CC6" w:rsidRDefault="005D46A3" w:rsidP="006A457C">
            <w:pPr>
              <w:spacing w:before="30" w:after="30"/>
              <w:ind w:left="57"/>
              <w:jc w:val="left"/>
              <w:rPr>
                <w:b/>
                <w:bCs/>
                <w:sz w:val="20"/>
                <w:lang w:val="en-US"/>
              </w:rPr>
            </w:pPr>
            <w:r w:rsidRPr="00614CC6">
              <w:rPr>
                <w:b/>
                <w:bCs/>
                <w:sz w:val="20"/>
                <w:lang w:val="en-US"/>
              </w:rPr>
              <w:t>SNG</w:t>
            </w:r>
          </w:p>
        </w:tc>
        <w:tc>
          <w:tcPr>
            <w:tcW w:w="8220" w:type="dxa"/>
          </w:tcPr>
          <w:p w:rsidR="005D46A3" w:rsidRPr="00614CC6" w:rsidRDefault="005D46A3" w:rsidP="006A457C">
            <w:pPr>
              <w:spacing w:before="30" w:after="30"/>
              <w:jc w:val="left"/>
              <w:rPr>
                <w:sz w:val="20"/>
                <w:lang w:val="en-US"/>
              </w:rPr>
            </w:pPr>
            <w:r w:rsidRPr="00614CC6">
              <w:rPr>
                <w:sz w:val="20"/>
              </w:rPr>
              <w:t>Reportage d'actualités par satellite</w:t>
            </w:r>
          </w:p>
        </w:tc>
      </w:tr>
      <w:tr w:rsidR="005D46A3" w:rsidRPr="00614CC6" w:rsidTr="006A457C">
        <w:tc>
          <w:tcPr>
            <w:tcW w:w="1140" w:type="dxa"/>
          </w:tcPr>
          <w:p w:rsidR="005D46A3" w:rsidRPr="00614CC6" w:rsidRDefault="005D46A3" w:rsidP="006A457C">
            <w:pPr>
              <w:spacing w:before="30" w:after="30"/>
              <w:ind w:left="57"/>
              <w:jc w:val="left"/>
              <w:rPr>
                <w:b/>
                <w:bCs/>
                <w:sz w:val="20"/>
                <w:lang w:val="en-US"/>
              </w:rPr>
            </w:pPr>
            <w:r w:rsidRPr="00614CC6">
              <w:rPr>
                <w:b/>
                <w:bCs/>
                <w:sz w:val="20"/>
                <w:lang w:val="en-US"/>
              </w:rPr>
              <w:t>TF</w:t>
            </w:r>
          </w:p>
        </w:tc>
        <w:tc>
          <w:tcPr>
            <w:tcW w:w="8220" w:type="dxa"/>
          </w:tcPr>
          <w:p w:rsidR="005D46A3" w:rsidRPr="00614CC6" w:rsidRDefault="005D46A3" w:rsidP="006A457C">
            <w:pPr>
              <w:spacing w:before="30" w:after="30"/>
              <w:jc w:val="left"/>
              <w:rPr>
                <w:sz w:val="20"/>
              </w:rPr>
            </w:pPr>
            <w:r w:rsidRPr="00614CC6">
              <w:rPr>
                <w:sz w:val="20"/>
              </w:rPr>
              <w:t>Emissions de fréquences étalon et de signaux horaires</w:t>
            </w:r>
          </w:p>
        </w:tc>
      </w:tr>
      <w:tr w:rsidR="005D46A3" w:rsidRPr="00036EE3" w:rsidTr="006A457C">
        <w:tc>
          <w:tcPr>
            <w:tcW w:w="1140" w:type="dxa"/>
          </w:tcPr>
          <w:p w:rsidR="005D46A3" w:rsidRPr="00614CC6" w:rsidRDefault="005D46A3" w:rsidP="006A457C">
            <w:pPr>
              <w:spacing w:before="30" w:after="30"/>
              <w:ind w:left="57"/>
              <w:jc w:val="left"/>
              <w:rPr>
                <w:b/>
                <w:bCs/>
                <w:sz w:val="20"/>
                <w:lang w:val="en-US"/>
              </w:rPr>
            </w:pPr>
            <w:r w:rsidRPr="00614CC6">
              <w:rPr>
                <w:b/>
                <w:bCs/>
                <w:sz w:val="20"/>
                <w:lang w:val="en-US"/>
              </w:rPr>
              <w:t>V</w:t>
            </w:r>
          </w:p>
        </w:tc>
        <w:tc>
          <w:tcPr>
            <w:tcW w:w="8220" w:type="dxa"/>
          </w:tcPr>
          <w:p w:rsidR="005D46A3" w:rsidRPr="00614CC6" w:rsidRDefault="005D46A3" w:rsidP="006A457C">
            <w:pPr>
              <w:spacing w:before="30" w:after="140"/>
              <w:jc w:val="left"/>
              <w:rPr>
                <w:sz w:val="20"/>
                <w:lang w:val="en-US"/>
              </w:rPr>
            </w:pPr>
            <w:r w:rsidRPr="00614CC6">
              <w:rPr>
                <w:sz w:val="20"/>
              </w:rPr>
              <w:t>Vocabulaire et sujets associés</w:t>
            </w:r>
          </w:p>
        </w:tc>
      </w:tr>
    </w:tbl>
    <w:p w:rsidR="005D46A3" w:rsidRPr="00036EE3" w:rsidRDefault="005D46A3" w:rsidP="005D46A3">
      <w:pPr>
        <w:spacing w:before="0"/>
        <w:jc w:val="center"/>
        <w:rPr>
          <w:sz w:val="20"/>
          <w:lang w:val="en-US"/>
        </w:rPr>
      </w:pPr>
    </w:p>
    <w:p w:rsidR="005D46A3" w:rsidRPr="00036EE3" w:rsidRDefault="005D46A3" w:rsidP="005D46A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D46A3" w:rsidRPr="00756B4D" w:rsidTr="006A457C">
        <w:tc>
          <w:tcPr>
            <w:tcW w:w="9360" w:type="dxa"/>
          </w:tcPr>
          <w:p w:rsidR="005D46A3" w:rsidRPr="00756B4D" w:rsidRDefault="005D46A3" w:rsidP="006A457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D46A3" w:rsidRPr="00756B4D" w:rsidRDefault="005D46A3" w:rsidP="005D46A3">
      <w:pPr>
        <w:spacing w:before="0"/>
        <w:jc w:val="center"/>
        <w:rPr>
          <w:sz w:val="22"/>
        </w:rPr>
      </w:pPr>
    </w:p>
    <w:p w:rsidR="005D46A3" w:rsidRPr="00614CC6" w:rsidRDefault="005D46A3" w:rsidP="005D46A3">
      <w:pPr>
        <w:spacing w:before="100"/>
        <w:jc w:val="right"/>
        <w:rPr>
          <w:i/>
          <w:iCs/>
          <w:sz w:val="20"/>
        </w:rPr>
      </w:pPr>
      <w:r w:rsidRPr="00614CC6">
        <w:rPr>
          <w:i/>
          <w:iCs/>
          <w:sz w:val="20"/>
        </w:rPr>
        <w:t>Publication électronique</w:t>
      </w:r>
    </w:p>
    <w:p w:rsidR="005D46A3" w:rsidRPr="00614CC6" w:rsidRDefault="005D46A3" w:rsidP="005D46A3">
      <w:pPr>
        <w:spacing w:before="0"/>
        <w:jc w:val="right"/>
        <w:rPr>
          <w:sz w:val="20"/>
        </w:rPr>
      </w:pPr>
      <w:r w:rsidRPr="00614CC6">
        <w:rPr>
          <w:sz w:val="20"/>
        </w:rPr>
        <w:t>Genève, 20</w:t>
      </w:r>
      <w:r>
        <w:rPr>
          <w:sz w:val="20"/>
        </w:rPr>
        <w:t>14</w:t>
      </w:r>
    </w:p>
    <w:p w:rsidR="005D46A3" w:rsidRPr="00614CC6" w:rsidRDefault="005D46A3" w:rsidP="005D46A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5D46A3" w:rsidRPr="00614CC6" w:rsidRDefault="005D46A3" w:rsidP="005D46A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D46A3" w:rsidRPr="00614CC6" w:rsidRDefault="005D46A3" w:rsidP="005D46A3">
      <w:pPr>
        <w:spacing w:before="160"/>
        <w:rPr>
          <w:i/>
          <w:sz w:val="20"/>
          <w:highlight w:val="yellow"/>
        </w:rPr>
        <w:sectPr w:rsidR="005D46A3"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5D46A3" w:rsidRPr="00756B4D" w:rsidRDefault="005D46A3" w:rsidP="00585CFD">
      <w:pPr>
        <w:pStyle w:val="RecNo"/>
        <w:spacing w:before="0"/>
      </w:pPr>
      <w:bookmarkStart w:id="3" w:name="irecnoe"/>
      <w:bookmarkEnd w:id="3"/>
      <w:r w:rsidRPr="00756B4D">
        <w:t xml:space="preserve">RECOMMANDATION  </w:t>
      </w:r>
      <w:r>
        <w:rPr>
          <w:rStyle w:val="href"/>
        </w:rPr>
        <w:t>UIT</w:t>
      </w:r>
      <w:r w:rsidRPr="00756B4D">
        <w:rPr>
          <w:rStyle w:val="href"/>
        </w:rPr>
        <w:t>-R  M.</w:t>
      </w:r>
      <w:r w:rsidR="00585CFD">
        <w:rPr>
          <w:rStyle w:val="href"/>
        </w:rPr>
        <w:t>2046</w:t>
      </w:r>
    </w:p>
    <w:p w:rsidR="00585CFD" w:rsidRDefault="00585CFD" w:rsidP="0094469C">
      <w:pPr>
        <w:pStyle w:val="Rectitle"/>
        <w:rPr>
          <w:lang w:val="fr-CH"/>
        </w:rPr>
      </w:pPr>
      <w:r>
        <w:rPr>
          <w:lang w:val="fr-CH"/>
        </w:rPr>
        <w:t xml:space="preserve">Caractéristiques et critères de protection des systèmes à satellites </w:t>
      </w:r>
      <w:r w:rsidR="0094469C">
        <w:rPr>
          <w:lang w:val="fr-CH"/>
        </w:rPr>
        <w:br/>
      </w:r>
      <w:r>
        <w:rPr>
          <w:lang w:val="fr-CH"/>
        </w:rPr>
        <w:t xml:space="preserve">non géostationnaires du service mobile par satellite </w:t>
      </w:r>
      <w:r w:rsidR="0094469C">
        <w:rPr>
          <w:lang w:val="fr-CH"/>
        </w:rPr>
        <w:br/>
      </w:r>
      <w:r>
        <w:rPr>
          <w:lang w:val="fr-CH"/>
        </w:rPr>
        <w:t>fonctionnant dans la bande 399,9-400,05 MHz</w:t>
      </w:r>
    </w:p>
    <w:p w:rsidR="00585CFD" w:rsidRDefault="00585CFD" w:rsidP="00585CFD">
      <w:pPr>
        <w:pStyle w:val="Recdate"/>
        <w:rPr>
          <w:lang w:val="fr-CH"/>
        </w:rPr>
      </w:pPr>
      <w:r>
        <w:rPr>
          <w:lang w:val="fr-CH"/>
        </w:rPr>
        <w:t>(2013)</w:t>
      </w:r>
    </w:p>
    <w:p w:rsidR="00585CFD" w:rsidRDefault="00585CFD" w:rsidP="00585CFD">
      <w:pPr>
        <w:pStyle w:val="HeadingSum"/>
        <w:rPr>
          <w:lang w:val="fr-CH"/>
        </w:rPr>
      </w:pPr>
      <w:r>
        <w:rPr>
          <w:lang w:val="fr-CH"/>
        </w:rPr>
        <w:t>Domaine d'application</w:t>
      </w:r>
    </w:p>
    <w:p w:rsidR="00585CFD" w:rsidRPr="004B530B" w:rsidRDefault="00585CFD" w:rsidP="0094469C">
      <w:pPr>
        <w:pStyle w:val="Summary"/>
      </w:pPr>
      <w:r w:rsidRPr="004B530B">
        <w:t>La présente Recommandation décrit un système du service mobile par satel</w:t>
      </w:r>
      <w:r>
        <w:t>lite qui utilise la bande 399,9</w:t>
      </w:r>
      <w:r>
        <w:noBreakHyphen/>
      </w:r>
      <w:r w:rsidRPr="004B530B">
        <w:t>400,05 MHz (Terre vers espace), et spécifie les critères de protection de ce système contre le bruit large bande et le brouillage à bande étroite</w:t>
      </w:r>
      <w:r>
        <w:t>.</w:t>
      </w:r>
    </w:p>
    <w:p w:rsidR="00585CFD" w:rsidRDefault="00585CFD" w:rsidP="00585CFD">
      <w:pPr>
        <w:pStyle w:val="Normalaftertitle"/>
        <w:rPr>
          <w:lang w:val="fr-CH"/>
        </w:rPr>
      </w:pPr>
      <w:r>
        <w:rPr>
          <w:lang w:val="fr-CH"/>
        </w:rPr>
        <w:t>L'Assemblée mondiale des radiocommunications de l'UIT,</w:t>
      </w:r>
    </w:p>
    <w:p w:rsidR="00585CFD" w:rsidRDefault="00585CFD" w:rsidP="00585CFD">
      <w:pPr>
        <w:pStyle w:val="Call"/>
        <w:rPr>
          <w:lang w:val="fr-CH" w:eastAsia="zh-CN"/>
        </w:rPr>
      </w:pPr>
      <w:r>
        <w:rPr>
          <w:lang w:val="fr-CH" w:eastAsia="zh-CN"/>
        </w:rPr>
        <w:t>considérant</w:t>
      </w:r>
    </w:p>
    <w:p w:rsidR="00585CFD" w:rsidRDefault="00585CFD" w:rsidP="00585CFD">
      <w:pPr>
        <w:rPr>
          <w:lang w:val="fr-CH" w:eastAsia="zh-CN"/>
        </w:rPr>
      </w:pPr>
      <w:r w:rsidRPr="0094469C">
        <w:rPr>
          <w:i/>
          <w:iCs/>
          <w:lang w:val="fr-CH"/>
        </w:rPr>
        <w:t>a)</w:t>
      </w:r>
      <w:r>
        <w:rPr>
          <w:lang w:val="fr-CH"/>
        </w:rPr>
        <w:tab/>
      </w:r>
      <w:r>
        <w:rPr>
          <w:lang w:val="fr-CH" w:eastAsia="zh-CN"/>
        </w:rPr>
        <w:t>que la bande de fréquences</w:t>
      </w:r>
      <w:r>
        <w:rPr>
          <w:color w:val="000000"/>
          <w:lang w:val="fr-CH"/>
        </w:rPr>
        <w:t xml:space="preserve"> 399,9-400,05 MHz est attribuée au service mobile par satellite (SMS);</w:t>
      </w:r>
    </w:p>
    <w:p w:rsidR="00585CFD" w:rsidRDefault="00585CFD" w:rsidP="00585CFD">
      <w:pPr>
        <w:rPr>
          <w:lang w:val="fr-CH" w:eastAsia="zh-CN"/>
        </w:rPr>
      </w:pPr>
      <w:r w:rsidRPr="0094469C">
        <w:rPr>
          <w:i/>
          <w:iCs/>
          <w:lang w:val="fr-CH"/>
        </w:rPr>
        <w:t>b)</w:t>
      </w:r>
      <w:r>
        <w:rPr>
          <w:lang w:val="fr-CH"/>
        </w:rPr>
        <w:tab/>
        <w:t>que l'utilisation de la bande de fréquences</w:t>
      </w:r>
      <w:r>
        <w:rPr>
          <w:color w:val="000000"/>
          <w:lang w:val="fr-CH"/>
        </w:rPr>
        <w:t xml:space="preserve"> 399,9-400,05 MHz par le SMS est limitée aux systèmes à satellites non géostationnaires (non OSG);</w:t>
      </w:r>
    </w:p>
    <w:p w:rsidR="00585CFD" w:rsidRDefault="00585CFD" w:rsidP="00585CFD">
      <w:pPr>
        <w:rPr>
          <w:lang w:val="fr-CH" w:eastAsia="zh-CN"/>
        </w:rPr>
      </w:pPr>
      <w:r w:rsidRPr="0094469C">
        <w:rPr>
          <w:i/>
          <w:iCs/>
          <w:lang w:val="fr-CH"/>
        </w:rPr>
        <w:t>c)</w:t>
      </w:r>
      <w:r>
        <w:rPr>
          <w:lang w:val="fr-CH"/>
        </w:rPr>
        <w:tab/>
      </w:r>
      <w:r>
        <w:rPr>
          <w:lang w:val="fr-CH" w:eastAsia="zh-CN"/>
        </w:rPr>
        <w:t>que la bande de fréquences</w:t>
      </w:r>
      <w:r>
        <w:rPr>
          <w:color w:val="000000"/>
          <w:lang w:val="fr-CH"/>
        </w:rPr>
        <w:t xml:space="preserve"> 399,9-400,05 MHz est, de plus, attribuée au service de radionavigation par satellite</w:t>
      </w:r>
      <w:r>
        <w:rPr>
          <w:lang w:val="fr-CH" w:eastAsia="zh-CN"/>
        </w:rPr>
        <w:t>;</w:t>
      </w:r>
    </w:p>
    <w:p w:rsidR="00585CFD" w:rsidRDefault="00585CFD" w:rsidP="00585CFD">
      <w:pPr>
        <w:rPr>
          <w:color w:val="000000"/>
          <w:lang w:val="fr-CH"/>
        </w:rPr>
      </w:pPr>
      <w:r w:rsidRPr="0094469C">
        <w:rPr>
          <w:i/>
          <w:iCs/>
          <w:lang w:val="fr-CH"/>
        </w:rPr>
        <w:t>d)</w:t>
      </w:r>
      <w:r w:rsidRPr="00686BDE">
        <w:rPr>
          <w:lang w:val="fr-CH"/>
        </w:rPr>
        <w:tab/>
      </w:r>
      <w:r>
        <w:rPr>
          <w:lang w:val="fr-CH"/>
        </w:rPr>
        <w:t>que l'attribution de la</w:t>
      </w:r>
      <w:r>
        <w:rPr>
          <w:lang w:val="fr-CH" w:eastAsia="zh-CN"/>
        </w:rPr>
        <w:t xml:space="preserve"> bande de fréquences</w:t>
      </w:r>
      <w:r>
        <w:rPr>
          <w:color w:val="000000"/>
          <w:lang w:val="fr-CH"/>
        </w:rPr>
        <w:t xml:space="preserve"> 399,9-400,05 MHz au service de radionavigation par satellite est effective jusqu'au 1er janvier 2015;</w:t>
      </w:r>
    </w:p>
    <w:p w:rsidR="00585CFD" w:rsidRDefault="00585CFD" w:rsidP="00585CFD">
      <w:pPr>
        <w:rPr>
          <w:color w:val="000000"/>
          <w:lang w:val="fr-CH"/>
        </w:rPr>
      </w:pPr>
      <w:r w:rsidRPr="0094469C">
        <w:rPr>
          <w:i/>
          <w:iCs/>
          <w:lang w:val="fr-CH"/>
        </w:rPr>
        <w:t>e)</w:t>
      </w:r>
      <w:r>
        <w:rPr>
          <w:lang w:val="fr-CH"/>
        </w:rPr>
        <w:tab/>
        <w:t>que de futurs systèmes du SMS peuvent être déployés dans cette bande</w:t>
      </w:r>
      <w:r>
        <w:rPr>
          <w:color w:val="000000"/>
          <w:lang w:val="fr-CH"/>
        </w:rPr>
        <w:t>;</w:t>
      </w:r>
    </w:p>
    <w:p w:rsidR="00585CFD" w:rsidRDefault="00585CFD" w:rsidP="00585CFD">
      <w:pPr>
        <w:rPr>
          <w:lang w:val="fr-CH" w:eastAsia="zh-CN"/>
        </w:rPr>
      </w:pPr>
      <w:r w:rsidRPr="0094469C">
        <w:rPr>
          <w:i/>
          <w:iCs/>
          <w:lang w:val="fr-CH"/>
        </w:rPr>
        <w:t>f)</w:t>
      </w:r>
      <w:r>
        <w:rPr>
          <w:lang w:val="fr-CH"/>
        </w:rPr>
        <w:tab/>
        <w:t>que ces futurs systèmes doivent en conséquence être décrits</w:t>
      </w:r>
      <w:r>
        <w:rPr>
          <w:color w:val="000000"/>
          <w:lang w:val="fr-CH"/>
        </w:rPr>
        <w:t>;</w:t>
      </w:r>
    </w:p>
    <w:p w:rsidR="00585CFD" w:rsidRDefault="00585CFD" w:rsidP="00585CFD">
      <w:pPr>
        <w:rPr>
          <w:lang w:val="fr-CH" w:eastAsia="zh-CN"/>
        </w:rPr>
      </w:pPr>
      <w:r w:rsidRPr="0094469C">
        <w:rPr>
          <w:i/>
          <w:iCs/>
          <w:lang w:val="fr-CH"/>
        </w:rPr>
        <w:t>g)</w:t>
      </w:r>
      <w:r>
        <w:rPr>
          <w:lang w:val="fr-CH"/>
        </w:rPr>
        <w:tab/>
        <w:t>que des critères de protection doivent être établis afin que les objectifs de qualité de fonctionnement souhaitables puissent être respectés en présence de brouillage</w:t>
      </w:r>
      <w:r>
        <w:rPr>
          <w:lang w:val="fr-CH" w:eastAsia="zh-CN"/>
        </w:rPr>
        <w:t>,</w:t>
      </w:r>
    </w:p>
    <w:p w:rsidR="00585CFD" w:rsidRDefault="00585CFD" w:rsidP="00585CFD">
      <w:pPr>
        <w:pStyle w:val="Call"/>
        <w:rPr>
          <w:lang w:val="fr-CH"/>
        </w:rPr>
      </w:pPr>
      <w:r>
        <w:rPr>
          <w:lang w:val="fr-CH"/>
        </w:rPr>
        <w:t>recommande</w:t>
      </w:r>
    </w:p>
    <w:p w:rsidR="00585CFD" w:rsidRDefault="00585CFD" w:rsidP="00585CFD">
      <w:pPr>
        <w:rPr>
          <w:lang w:val="fr-CH"/>
        </w:rPr>
      </w:pPr>
      <w:r w:rsidRPr="00686BDE">
        <w:rPr>
          <w:b/>
          <w:bCs/>
          <w:lang w:val="fr-CH"/>
        </w:rPr>
        <w:t>1</w:t>
      </w:r>
      <w:r>
        <w:rPr>
          <w:lang w:val="fr-CH"/>
        </w:rPr>
        <w:tab/>
        <w:t>que l'analyse effectuée pour déterminer les incidences sur les systèmes à satellites non géostationnaires du SMS fonctionnant dans la bande de fréquences 399,9</w:t>
      </w:r>
      <w:r>
        <w:rPr>
          <w:lang w:val="fr-CH"/>
        </w:rPr>
        <w:noBreakHyphen/>
        <w:t>400,05 MHz</w:t>
      </w:r>
      <w:r>
        <w:rPr>
          <w:color w:val="000000"/>
          <w:lang w:val="fr-CH"/>
        </w:rPr>
        <w:t xml:space="preserve"> utilise les critères de protection suivants</w:t>
      </w:r>
      <w:r>
        <w:rPr>
          <w:lang w:val="fr-CH"/>
        </w:rPr>
        <w:t>:</w:t>
      </w:r>
    </w:p>
    <w:p w:rsidR="00585CFD" w:rsidRDefault="00585CFD" w:rsidP="004830B6">
      <w:pPr>
        <w:pStyle w:val="enumlev1"/>
        <w:rPr>
          <w:lang w:val="fr-CH"/>
        </w:rPr>
      </w:pPr>
      <w:r>
        <w:rPr>
          <w:lang w:val="fr-CH"/>
        </w:rPr>
        <w:t>–</w:t>
      </w:r>
      <w:r>
        <w:rPr>
          <w:lang w:val="fr-CH"/>
        </w:rPr>
        <w:tab/>
        <w:t xml:space="preserve">un niveau maximal admissible de densité spectrale de puissance surfacique (spfd) cumulative de </w:t>
      </w:r>
      <w:r>
        <w:rPr>
          <w:rFonts w:asciiTheme="majorBidi" w:hAnsiTheme="majorBidi" w:cstheme="majorBidi"/>
          <w:lang w:val="fr-CH"/>
        </w:rPr>
        <w:t>–</w:t>
      </w:r>
      <w:r>
        <w:rPr>
          <w:lang w:val="fr-CH"/>
        </w:rPr>
        <w:t>197,9 dB(W/(m</w:t>
      </w:r>
      <w:r>
        <w:rPr>
          <w:vertAlign w:val="superscript"/>
          <w:lang w:val="fr-CH"/>
        </w:rPr>
        <w:t>2</w:t>
      </w:r>
      <w:r>
        <w:rPr>
          <w:lang w:val="fr-CH"/>
        </w:rPr>
        <w:t> · Hz)) au niveau de l'antenne d'un système à satellites non géostationnaires du SMS ARGOS4 pour le brouillage large bande du au bruit (voir l'Annexe</w:t>
      </w:r>
      <w:r w:rsidR="004830B6">
        <w:rPr>
          <w:lang w:val="fr-CH"/>
        </w:rPr>
        <w:t> </w:t>
      </w:r>
      <w:r>
        <w:rPr>
          <w:lang w:val="fr-CH"/>
        </w:rPr>
        <w:t>1);</w:t>
      </w:r>
    </w:p>
    <w:p w:rsidR="00585CFD" w:rsidRDefault="00585CFD" w:rsidP="00585CFD">
      <w:pPr>
        <w:pStyle w:val="enumlev1"/>
        <w:rPr>
          <w:lang w:val="fr-CH"/>
        </w:rPr>
      </w:pPr>
      <w:r>
        <w:rPr>
          <w:lang w:val="fr-CH"/>
        </w:rPr>
        <w:t>–</w:t>
      </w:r>
      <w:r>
        <w:rPr>
          <w:lang w:val="fr-CH"/>
        </w:rPr>
        <w:tab/>
        <w:t>un niveau maximal de puissance surfacique de –165,4 dB(W/m</w:t>
      </w:r>
      <w:r>
        <w:rPr>
          <w:vertAlign w:val="superscript"/>
          <w:lang w:val="fr-CH"/>
        </w:rPr>
        <w:t>2)</w:t>
      </w:r>
      <w:r>
        <w:rPr>
          <w:lang w:val="fr-CH"/>
        </w:rPr>
        <w:t xml:space="preserve"> dans une largeur de bande de résolution de 19 Hz au niveau de l'antenne d'un système à satellites non géostationnaires du SMS ARGOS4 pour chaque brouillage à bande étroite (voir l'Annexe 1);</w:t>
      </w:r>
    </w:p>
    <w:p w:rsidR="00585CFD" w:rsidRDefault="00585CFD" w:rsidP="00585CFD">
      <w:pPr>
        <w:rPr>
          <w:lang w:val="fr-CH"/>
        </w:rPr>
      </w:pPr>
      <w:r w:rsidRPr="00686BDE">
        <w:rPr>
          <w:b/>
          <w:lang w:val="fr-CH"/>
        </w:rPr>
        <w:t>2</w:t>
      </w:r>
      <w:r>
        <w:rPr>
          <w:lang w:val="fr-CH"/>
        </w:rPr>
        <w:tab/>
        <w:t xml:space="preserve">que les critères de protection définis au point 1 du </w:t>
      </w:r>
      <w:r>
        <w:rPr>
          <w:i/>
          <w:iCs/>
          <w:lang w:val="fr-CH"/>
        </w:rPr>
        <w:t>recommande</w:t>
      </w:r>
      <w:r>
        <w:rPr>
          <w:lang w:val="fr-CH"/>
        </w:rPr>
        <w:t xml:space="preserve"> ne soient pas dépassés pendant plus de 1% du temps dans le champ de vision du satellite du SMS.</w:t>
      </w:r>
    </w:p>
    <w:p w:rsidR="00585CFD" w:rsidRDefault="00585CFD" w:rsidP="00585CFD">
      <w:pPr>
        <w:pStyle w:val="AppendixNoTitle"/>
        <w:rPr>
          <w:lang w:val="fr-CH"/>
        </w:rPr>
      </w:pPr>
      <w:r>
        <w:rPr>
          <w:b w:val="0"/>
          <w:lang w:val="fr-CH"/>
        </w:rPr>
        <w:br w:type="page"/>
      </w:r>
    </w:p>
    <w:p w:rsidR="00585CFD" w:rsidRDefault="00585CFD" w:rsidP="00585CFD">
      <w:pPr>
        <w:pStyle w:val="AnnexNoTitle"/>
        <w:rPr>
          <w:lang w:val="fr-CH"/>
        </w:rPr>
      </w:pPr>
      <w:r>
        <w:rPr>
          <w:lang w:val="fr-CH"/>
        </w:rPr>
        <w:t>Annexe 1</w:t>
      </w:r>
      <w:r>
        <w:rPr>
          <w:lang w:val="fr-CH"/>
        </w:rPr>
        <w:br/>
      </w:r>
      <w:r>
        <w:rPr>
          <w:lang w:val="fr-CH"/>
        </w:rPr>
        <w:br/>
        <w:t xml:space="preserve">Système ARGOS4 </w:t>
      </w:r>
    </w:p>
    <w:p w:rsidR="00585CFD" w:rsidRPr="00583740" w:rsidRDefault="00585CFD" w:rsidP="00585CFD">
      <w:pPr>
        <w:pStyle w:val="Heading1"/>
        <w:spacing w:before="600"/>
        <w:rPr>
          <w:szCs w:val="24"/>
          <w:lang w:val="fr-CH"/>
        </w:rPr>
      </w:pPr>
      <w:r w:rsidRPr="00583740">
        <w:rPr>
          <w:szCs w:val="24"/>
          <w:lang w:val="fr-CH"/>
        </w:rPr>
        <w:t>1</w:t>
      </w:r>
      <w:r w:rsidRPr="00583740">
        <w:rPr>
          <w:szCs w:val="24"/>
          <w:lang w:val="fr-CH"/>
        </w:rPr>
        <w:tab/>
        <w:t xml:space="preserve">Description et caractéristiques du système ARGOS4 du SMS </w:t>
      </w:r>
    </w:p>
    <w:p w:rsidR="00585CFD" w:rsidRDefault="00585CFD" w:rsidP="00585CFD">
      <w:pPr>
        <w:rPr>
          <w:lang w:val="fr-CH"/>
        </w:rPr>
      </w:pPr>
      <w:r>
        <w:rPr>
          <w:lang w:val="fr-CH"/>
        </w:rPr>
        <w:t xml:space="preserve">Le système de collecte de données ARGOS utilise la bande 399,9-400,05 MHz pour la liaison montante et transmet des signaux à modulation par déplacement de phase (MDP), codage Manchester sous phase, par l'intermédiaire de satellites en orbite terrestre basse, avec un débit de 400 bit/s. La plate-forme de collecte de données (DCP) utilise le plus souvent une antenne à faible gain (5 dBi maximum pour un angle d'élévation de 40°). </w:t>
      </w:r>
    </w:p>
    <w:p w:rsidR="00585CFD" w:rsidRDefault="00585CFD" w:rsidP="004830B6">
      <w:pPr>
        <w:rPr>
          <w:lang w:val="fr-CH"/>
        </w:rPr>
      </w:pPr>
      <w:r>
        <w:rPr>
          <w:lang w:val="fr-CH"/>
        </w:rPr>
        <w:t>Le processeur du système de collecte de données à bord du satellite démodule les données recueillies par la plate-forme de collecte de données en liaison montante, multiplexe ces données avec les autres données de télémesure recueillies pendant la mission et transmet les données numériques correspondantes vers la station au sol dans les bandes 1 670</w:t>
      </w:r>
      <w:r>
        <w:rPr>
          <w:lang w:val="fr-CH"/>
        </w:rPr>
        <w:noBreakHyphen/>
        <w:t>1 710 MHz, 7 750</w:t>
      </w:r>
      <w:r>
        <w:rPr>
          <w:lang w:val="fr-CH"/>
        </w:rPr>
        <w:noBreakHyphen/>
        <w:t>7 850 MHz et 8</w:t>
      </w:r>
      <w:r w:rsidR="004830B6">
        <w:rPr>
          <w:lang w:val="fr-CH"/>
        </w:rPr>
        <w:t> </w:t>
      </w:r>
      <w:r>
        <w:rPr>
          <w:lang w:val="fr-CH"/>
        </w:rPr>
        <w:t>025</w:t>
      </w:r>
      <w:r w:rsidR="004830B6">
        <w:rPr>
          <w:lang w:val="fr-CH"/>
        </w:rPr>
        <w:noBreakHyphen/>
      </w:r>
      <w:r>
        <w:rPr>
          <w:lang w:val="fr-CH"/>
        </w:rPr>
        <w:t>8 400 MHz. En outre, une liaison descendante est mise en oeuvre à 465,9875 MHz pour envoyer des messages spécialisés à la plate-forme de collecte de données.</w:t>
      </w:r>
    </w:p>
    <w:p w:rsidR="00585CFD" w:rsidRDefault="00585CFD" w:rsidP="00585CFD">
      <w:pPr>
        <w:rPr>
          <w:lang w:val="fr-CH"/>
        </w:rPr>
      </w:pPr>
      <w:r>
        <w:rPr>
          <w:lang w:val="fr-CH"/>
        </w:rPr>
        <w:t>Etant donné que la démodulation des données recueillies par le système de collecte se fait à bord du satellite, il est possible dans l'analyse de la qualité de fonctionnement d'analyser séparément la liaison descendante et la liaison montante.</w:t>
      </w:r>
    </w:p>
    <w:p w:rsidR="00585CFD" w:rsidRDefault="00585CFD" w:rsidP="00585CFD">
      <w:pPr>
        <w:rPr>
          <w:lang w:val="fr-CH"/>
        </w:rPr>
      </w:pPr>
      <w:r>
        <w:rPr>
          <w:lang w:val="fr-CH"/>
        </w:rPr>
        <w:t>Le système Argos prend en charge divers types d'applications d'utilisateur avec diverses plates-formes de collecte de données utilisant différentes puissances en sortie et différents types d'antenne (antenne fouet la plupart du temps). Dans ces conditions, la puissance reçue d'une plate-forme de collecte de données sera différente de celle reçue d'une autre plate-forme de collecte de données étant donné que cette puissance dépend de l'environnement et du type de technologie d'antenne qui est effectivement utilisé sur la plate-forme.</w:t>
      </w:r>
    </w:p>
    <w:p w:rsidR="00585CFD" w:rsidRPr="00583740" w:rsidRDefault="00585CFD" w:rsidP="00585CFD">
      <w:pPr>
        <w:pStyle w:val="Heading1"/>
        <w:rPr>
          <w:szCs w:val="24"/>
          <w:lang w:val="fr-CH"/>
        </w:rPr>
      </w:pPr>
      <w:r w:rsidRPr="00583740">
        <w:rPr>
          <w:szCs w:val="24"/>
          <w:lang w:val="fr-CH"/>
        </w:rPr>
        <w:t>2</w:t>
      </w:r>
      <w:r w:rsidRPr="00583740">
        <w:rPr>
          <w:szCs w:val="24"/>
          <w:lang w:val="fr-CH"/>
        </w:rPr>
        <w:tab/>
        <w:t>Critères de protection applicables au système à satellites non géostationnaires ARGOS4 dans la bande 399,9</w:t>
      </w:r>
      <w:r w:rsidRPr="00583740">
        <w:rPr>
          <w:szCs w:val="24"/>
          <w:lang w:val="fr-CH"/>
        </w:rPr>
        <w:noBreakHyphen/>
        <w:t>400,05 MHz pour protéger ce système contre les émissions brouilleuses dues au bruit large bande</w:t>
      </w:r>
    </w:p>
    <w:p w:rsidR="00585CFD" w:rsidRDefault="00585CFD" w:rsidP="00585CFD">
      <w:pPr>
        <w:pStyle w:val="Heading2"/>
        <w:rPr>
          <w:lang w:val="fr-CH"/>
        </w:rPr>
      </w:pPr>
      <w:r>
        <w:rPr>
          <w:lang w:val="fr-CH"/>
        </w:rPr>
        <w:t>2.1</w:t>
      </w:r>
      <w:r>
        <w:rPr>
          <w:lang w:val="fr-CH"/>
        </w:rPr>
        <w:tab/>
        <w:t>Calcul du niveau seuil de brouillage en termes de densité spectrale de puissance surfacique</w:t>
      </w:r>
    </w:p>
    <w:p w:rsidR="00585CFD" w:rsidRDefault="00585CFD" w:rsidP="00585CFD">
      <w:pPr>
        <w:rPr>
          <w:lang w:val="fr-CH"/>
        </w:rPr>
      </w:pPr>
      <w:r>
        <w:rPr>
          <w:lang w:val="fr-CH"/>
        </w:rPr>
        <w:t>Tout bruit large bande supplémentaire introduit dans le récepteur ARGOS4 à bord du satellite aura pour effet d'augmenter le taux d'erreurs sur les bits (TEB) du système, ce qui aura des conséquences négatives sur la qualité de fonctionnement requise de ce système. La présente analyse permet de déterminer la puissance surfacique maximale acceptable associée au bruit large bande sur le canal en liaison montante du système ARGOS4 du SMS.</w:t>
      </w:r>
    </w:p>
    <w:p w:rsidR="00585CFD" w:rsidRDefault="00585CFD" w:rsidP="00585CFD">
      <w:pPr>
        <w:rPr>
          <w:lang w:val="fr-CH"/>
        </w:rPr>
      </w:pPr>
      <w:r>
        <w:rPr>
          <w:lang w:val="fr-CH"/>
        </w:rPr>
        <w:br w:type="page"/>
      </w:r>
    </w:p>
    <w:p w:rsidR="00585CFD" w:rsidRDefault="00585CFD" w:rsidP="00585CFD">
      <w:pPr>
        <w:rPr>
          <w:lang w:val="fr-CH"/>
        </w:rPr>
      </w:pPr>
      <w:r>
        <w:rPr>
          <w:lang w:val="fr-CH"/>
        </w:rPr>
        <w:t>Dans le Tableau 1, les spécifications du diagramme de gain de l'antenne de réception sont données par rapport au nadir:</w:t>
      </w:r>
    </w:p>
    <w:p w:rsidR="00585CFD" w:rsidRPr="00583740" w:rsidRDefault="00585CFD" w:rsidP="00585CFD">
      <w:pPr>
        <w:pStyle w:val="TableNo"/>
        <w:keepLines/>
        <w:rPr>
          <w:szCs w:val="24"/>
          <w:lang w:val="fr-CH"/>
        </w:rPr>
      </w:pPr>
      <w:r w:rsidRPr="00583740">
        <w:rPr>
          <w:szCs w:val="24"/>
          <w:lang w:val="fr-CH"/>
        </w:rPr>
        <w:t>TABLEAU 1</w:t>
      </w:r>
    </w:p>
    <w:p w:rsidR="00585CFD" w:rsidRDefault="00585CFD" w:rsidP="00585CFD">
      <w:pPr>
        <w:pStyle w:val="Tabletitle"/>
        <w:rPr>
          <w:lang w:val="fr-CH"/>
        </w:rPr>
      </w:pPr>
      <w:r w:rsidRPr="00583740">
        <w:rPr>
          <w:szCs w:val="24"/>
          <w:lang w:val="fr-CH"/>
        </w:rPr>
        <w:t>Diagramme de gain de l'antenne de réception</w:t>
      </w:r>
      <w:r>
        <w:rPr>
          <w:lang w:val="fr-CH"/>
        </w:rPr>
        <w:t xml:space="preserve"> </w:t>
      </w:r>
    </w:p>
    <w:tbl>
      <w:tblPr>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76"/>
        <w:gridCol w:w="816"/>
        <w:gridCol w:w="772"/>
        <w:gridCol w:w="729"/>
        <w:gridCol w:w="772"/>
        <w:gridCol w:w="815"/>
        <w:gridCol w:w="914"/>
        <w:gridCol w:w="887"/>
        <w:gridCol w:w="915"/>
        <w:gridCol w:w="872"/>
        <w:gridCol w:w="872"/>
      </w:tblGrid>
      <w:tr w:rsidR="00585CFD" w:rsidTr="006A457C">
        <w:trPr>
          <w:jc w:val="center"/>
        </w:trPr>
        <w:tc>
          <w:tcPr>
            <w:tcW w:w="1275" w:type="dxa"/>
            <w:tcBorders>
              <w:top w:val="single" w:sz="6" w:space="0" w:color="000000"/>
              <w:left w:val="single" w:sz="6" w:space="0" w:color="000000"/>
              <w:bottom w:val="single" w:sz="6" w:space="0" w:color="000000"/>
              <w:right w:val="single" w:sz="6" w:space="0" w:color="000000"/>
            </w:tcBorders>
            <w:hideMark/>
          </w:tcPr>
          <w:p w:rsidR="00585CFD" w:rsidRDefault="00585CFD" w:rsidP="00DB4149">
            <w:pPr>
              <w:pStyle w:val="Tabletext"/>
              <w:keepNext/>
              <w:keepLines/>
              <w:jc w:val="left"/>
              <w:rPr>
                <w:noProof/>
                <w:sz w:val="18"/>
                <w:szCs w:val="18"/>
                <w:lang w:val="en-GB" w:eastAsia="zh-CN"/>
              </w:rPr>
            </w:pPr>
            <w:r>
              <w:rPr>
                <w:noProof/>
                <w:sz w:val="18"/>
                <w:szCs w:val="18"/>
                <w:lang w:val="en-GB" w:eastAsia="zh-CN"/>
              </w:rPr>
              <w:t>Nadir du satellite</w:t>
            </w:r>
          </w:p>
        </w:tc>
        <w:tc>
          <w:tcPr>
            <w:tcW w:w="816" w:type="dxa"/>
            <w:tcBorders>
              <w:top w:val="single" w:sz="6" w:space="0" w:color="000000"/>
              <w:left w:val="single" w:sz="6" w:space="0" w:color="000000"/>
              <w:bottom w:val="single" w:sz="6" w:space="0" w:color="000000"/>
              <w:right w:val="single" w:sz="6" w:space="0" w:color="000000"/>
            </w:tcBorders>
            <w:vAlign w:val="center"/>
            <w:hideMark/>
          </w:tcPr>
          <w:p w:rsidR="00585CFD" w:rsidRDefault="00585CFD" w:rsidP="005A3A4E">
            <w:pPr>
              <w:pStyle w:val="Tabletext"/>
              <w:keepNext/>
              <w:keepLines/>
              <w:jc w:val="center"/>
              <w:rPr>
                <w:noProof/>
                <w:sz w:val="18"/>
                <w:szCs w:val="18"/>
                <w:lang w:val="en-GB" w:eastAsia="zh-CN"/>
              </w:rPr>
            </w:pPr>
            <w:r>
              <w:rPr>
                <w:noProof/>
                <w:sz w:val="18"/>
                <w:szCs w:val="18"/>
                <w:lang w:val="en-GB" w:eastAsia="zh-CN"/>
              </w:rPr>
              <w:t>62</w:t>
            </w:r>
          </w:p>
        </w:tc>
        <w:tc>
          <w:tcPr>
            <w:tcW w:w="772" w:type="dxa"/>
            <w:tcBorders>
              <w:top w:val="single" w:sz="6" w:space="0" w:color="000000"/>
              <w:left w:val="single" w:sz="6" w:space="0" w:color="000000"/>
              <w:bottom w:val="single" w:sz="6" w:space="0" w:color="000000"/>
              <w:right w:val="single" w:sz="6" w:space="0" w:color="000000"/>
            </w:tcBorders>
            <w:vAlign w:val="center"/>
            <w:hideMark/>
          </w:tcPr>
          <w:p w:rsidR="00585CFD" w:rsidRDefault="00585CFD" w:rsidP="005A3A4E">
            <w:pPr>
              <w:pStyle w:val="Tabletext"/>
              <w:keepNext/>
              <w:keepLines/>
              <w:jc w:val="center"/>
              <w:rPr>
                <w:noProof/>
                <w:sz w:val="18"/>
                <w:szCs w:val="18"/>
                <w:lang w:val="en-GB" w:eastAsia="zh-CN"/>
              </w:rPr>
            </w:pPr>
            <w:r>
              <w:rPr>
                <w:noProof/>
                <w:sz w:val="18"/>
                <w:szCs w:val="18"/>
                <w:lang w:val="en-GB" w:eastAsia="zh-CN"/>
              </w:rPr>
              <w:t>59</w:t>
            </w:r>
          </w:p>
        </w:tc>
        <w:tc>
          <w:tcPr>
            <w:tcW w:w="729" w:type="dxa"/>
            <w:tcBorders>
              <w:top w:val="single" w:sz="6" w:space="0" w:color="000000"/>
              <w:left w:val="single" w:sz="6" w:space="0" w:color="000000"/>
              <w:bottom w:val="single" w:sz="6" w:space="0" w:color="000000"/>
              <w:right w:val="single" w:sz="6" w:space="0" w:color="000000"/>
            </w:tcBorders>
            <w:vAlign w:val="center"/>
            <w:hideMark/>
          </w:tcPr>
          <w:p w:rsidR="00585CFD" w:rsidRDefault="00585CFD" w:rsidP="005A3A4E">
            <w:pPr>
              <w:pStyle w:val="Tabletext"/>
              <w:keepNext/>
              <w:keepLines/>
              <w:jc w:val="center"/>
              <w:rPr>
                <w:noProof/>
                <w:sz w:val="18"/>
                <w:szCs w:val="18"/>
                <w:lang w:val="en-GB" w:eastAsia="zh-CN"/>
              </w:rPr>
            </w:pPr>
            <w:r>
              <w:rPr>
                <w:noProof/>
                <w:sz w:val="18"/>
                <w:szCs w:val="18"/>
                <w:lang w:val="en-GB" w:eastAsia="zh-CN"/>
              </w:rPr>
              <w:t>54</w:t>
            </w:r>
          </w:p>
        </w:tc>
        <w:tc>
          <w:tcPr>
            <w:tcW w:w="772" w:type="dxa"/>
            <w:tcBorders>
              <w:top w:val="single" w:sz="6" w:space="0" w:color="000000"/>
              <w:left w:val="single" w:sz="6" w:space="0" w:color="000000"/>
              <w:bottom w:val="single" w:sz="6" w:space="0" w:color="000000"/>
              <w:right w:val="single" w:sz="6" w:space="0" w:color="000000"/>
            </w:tcBorders>
            <w:vAlign w:val="center"/>
            <w:hideMark/>
          </w:tcPr>
          <w:p w:rsidR="00585CFD" w:rsidRDefault="00585CFD" w:rsidP="005A3A4E">
            <w:pPr>
              <w:pStyle w:val="Tabletext"/>
              <w:keepNext/>
              <w:keepLines/>
              <w:jc w:val="center"/>
              <w:rPr>
                <w:noProof/>
                <w:sz w:val="18"/>
                <w:szCs w:val="18"/>
                <w:lang w:val="en-GB" w:eastAsia="zh-CN"/>
              </w:rPr>
            </w:pPr>
            <w:r>
              <w:rPr>
                <w:noProof/>
                <w:sz w:val="18"/>
                <w:szCs w:val="18"/>
                <w:lang w:val="en-GB" w:eastAsia="zh-CN"/>
              </w:rPr>
              <w:t>47</w:t>
            </w:r>
          </w:p>
        </w:tc>
        <w:tc>
          <w:tcPr>
            <w:tcW w:w="815" w:type="dxa"/>
            <w:tcBorders>
              <w:top w:val="single" w:sz="6" w:space="0" w:color="000000"/>
              <w:left w:val="single" w:sz="6" w:space="0" w:color="000000"/>
              <w:bottom w:val="single" w:sz="6" w:space="0" w:color="000000"/>
              <w:right w:val="single" w:sz="6" w:space="0" w:color="000000"/>
            </w:tcBorders>
            <w:vAlign w:val="center"/>
            <w:hideMark/>
          </w:tcPr>
          <w:p w:rsidR="00585CFD" w:rsidRDefault="00585CFD" w:rsidP="005A3A4E">
            <w:pPr>
              <w:pStyle w:val="Tabletext"/>
              <w:keepNext/>
              <w:keepLines/>
              <w:jc w:val="center"/>
              <w:rPr>
                <w:noProof/>
                <w:sz w:val="18"/>
                <w:szCs w:val="18"/>
                <w:lang w:val="en-GB" w:eastAsia="zh-CN"/>
              </w:rPr>
            </w:pPr>
            <w:r>
              <w:rPr>
                <w:noProof/>
                <w:sz w:val="18"/>
                <w:szCs w:val="18"/>
                <w:lang w:val="en-GB" w:eastAsia="zh-CN"/>
              </w:rPr>
              <w:t>39</w:t>
            </w:r>
          </w:p>
        </w:tc>
        <w:tc>
          <w:tcPr>
            <w:tcW w:w="914" w:type="dxa"/>
            <w:tcBorders>
              <w:top w:val="single" w:sz="6" w:space="0" w:color="000000"/>
              <w:left w:val="single" w:sz="6" w:space="0" w:color="000000"/>
              <w:bottom w:val="single" w:sz="6" w:space="0" w:color="000000"/>
              <w:right w:val="single" w:sz="6" w:space="0" w:color="000000"/>
            </w:tcBorders>
            <w:vAlign w:val="center"/>
            <w:hideMark/>
          </w:tcPr>
          <w:p w:rsidR="00585CFD" w:rsidRDefault="00585CFD" w:rsidP="005A3A4E">
            <w:pPr>
              <w:pStyle w:val="Tabletext"/>
              <w:keepNext/>
              <w:keepLines/>
              <w:jc w:val="center"/>
              <w:rPr>
                <w:noProof/>
                <w:sz w:val="18"/>
                <w:szCs w:val="18"/>
                <w:lang w:val="en-GB" w:eastAsia="zh-CN"/>
              </w:rPr>
            </w:pPr>
            <w:r>
              <w:rPr>
                <w:noProof/>
                <w:sz w:val="18"/>
                <w:szCs w:val="18"/>
                <w:lang w:val="en-GB" w:eastAsia="zh-CN"/>
              </w:rPr>
              <w:t>31</w:t>
            </w:r>
          </w:p>
        </w:tc>
        <w:tc>
          <w:tcPr>
            <w:tcW w:w="887" w:type="dxa"/>
            <w:tcBorders>
              <w:top w:val="single" w:sz="6" w:space="0" w:color="000000"/>
              <w:left w:val="single" w:sz="6" w:space="0" w:color="000000"/>
              <w:bottom w:val="single" w:sz="6" w:space="0" w:color="000000"/>
              <w:right w:val="single" w:sz="6" w:space="0" w:color="000000"/>
            </w:tcBorders>
            <w:vAlign w:val="center"/>
            <w:hideMark/>
          </w:tcPr>
          <w:p w:rsidR="00585CFD" w:rsidRDefault="00585CFD" w:rsidP="005A3A4E">
            <w:pPr>
              <w:pStyle w:val="Tabletext"/>
              <w:keepNext/>
              <w:keepLines/>
              <w:jc w:val="center"/>
              <w:rPr>
                <w:noProof/>
                <w:sz w:val="18"/>
                <w:szCs w:val="18"/>
                <w:lang w:val="en-GB" w:eastAsia="zh-CN"/>
              </w:rPr>
            </w:pPr>
            <w:r>
              <w:rPr>
                <w:noProof/>
                <w:sz w:val="18"/>
                <w:szCs w:val="18"/>
                <w:lang w:val="en-GB" w:eastAsia="zh-CN"/>
              </w:rPr>
              <w:t>22</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585CFD" w:rsidRDefault="00585CFD" w:rsidP="005A3A4E">
            <w:pPr>
              <w:pStyle w:val="Tabletext"/>
              <w:keepNext/>
              <w:keepLines/>
              <w:jc w:val="center"/>
              <w:rPr>
                <w:noProof/>
                <w:sz w:val="18"/>
                <w:szCs w:val="18"/>
                <w:lang w:val="en-GB" w:eastAsia="zh-CN"/>
              </w:rPr>
            </w:pPr>
            <w:r>
              <w:rPr>
                <w:noProof/>
                <w:sz w:val="18"/>
                <w:szCs w:val="18"/>
                <w:lang w:val="en-GB" w:eastAsia="zh-CN"/>
              </w:rPr>
              <w:t>13</w:t>
            </w:r>
          </w:p>
        </w:tc>
        <w:tc>
          <w:tcPr>
            <w:tcW w:w="872" w:type="dxa"/>
            <w:tcBorders>
              <w:top w:val="single" w:sz="6" w:space="0" w:color="000000"/>
              <w:left w:val="single" w:sz="6" w:space="0" w:color="000000"/>
              <w:bottom w:val="single" w:sz="6" w:space="0" w:color="000000"/>
              <w:right w:val="single" w:sz="6" w:space="0" w:color="000000"/>
            </w:tcBorders>
            <w:vAlign w:val="center"/>
            <w:hideMark/>
          </w:tcPr>
          <w:p w:rsidR="00585CFD" w:rsidRDefault="00585CFD" w:rsidP="005A3A4E">
            <w:pPr>
              <w:pStyle w:val="Tabletext"/>
              <w:keepNext/>
              <w:keepLines/>
              <w:jc w:val="center"/>
              <w:rPr>
                <w:noProof/>
                <w:sz w:val="18"/>
                <w:szCs w:val="18"/>
                <w:lang w:val="en-GB" w:eastAsia="zh-CN"/>
              </w:rPr>
            </w:pPr>
            <w:r>
              <w:rPr>
                <w:noProof/>
                <w:sz w:val="18"/>
                <w:szCs w:val="18"/>
                <w:lang w:val="en-GB" w:eastAsia="zh-CN"/>
              </w:rPr>
              <w:t>5</w:t>
            </w:r>
          </w:p>
        </w:tc>
        <w:tc>
          <w:tcPr>
            <w:tcW w:w="872" w:type="dxa"/>
            <w:tcBorders>
              <w:top w:val="single" w:sz="6" w:space="0" w:color="000000"/>
              <w:left w:val="single" w:sz="6" w:space="0" w:color="000000"/>
              <w:bottom w:val="single" w:sz="6" w:space="0" w:color="000000"/>
              <w:right w:val="single" w:sz="6" w:space="0" w:color="000000"/>
            </w:tcBorders>
            <w:vAlign w:val="center"/>
            <w:hideMark/>
          </w:tcPr>
          <w:p w:rsidR="00585CFD" w:rsidRDefault="00585CFD" w:rsidP="005A3A4E">
            <w:pPr>
              <w:pStyle w:val="Tabletext"/>
              <w:keepNext/>
              <w:keepLines/>
              <w:jc w:val="center"/>
              <w:rPr>
                <w:noProof/>
                <w:sz w:val="18"/>
                <w:szCs w:val="18"/>
                <w:lang w:val="en-GB" w:eastAsia="zh-CN"/>
              </w:rPr>
            </w:pPr>
            <w:r>
              <w:rPr>
                <w:noProof/>
                <w:sz w:val="18"/>
                <w:szCs w:val="18"/>
                <w:lang w:val="en-GB" w:eastAsia="zh-CN"/>
              </w:rPr>
              <w:t>0</w:t>
            </w:r>
          </w:p>
        </w:tc>
      </w:tr>
      <w:tr w:rsidR="00585CFD" w:rsidTr="006A457C">
        <w:trPr>
          <w:jc w:val="center"/>
        </w:trPr>
        <w:tc>
          <w:tcPr>
            <w:tcW w:w="1275" w:type="dxa"/>
            <w:tcBorders>
              <w:top w:val="single" w:sz="6" w:space="0" w:color="000000"/>
              <w:left w:val="single" w:sz="6" w:space="0" w:color="000000"/>
              <w:bottom w:val="single" w:sz="6" w:space="0" w:color="000000"/>
              <w:right w:val="single" w:sz="6" w:space="0" w:color="000000"/>
            </w:tcBorders>
            <w:hideMark/>
          </w:tcPr>
          <w:p w:rsidR="00585CFD" w:rsidRDefault="00585CFD" w:rsidP="00DB4149">
            <w:pPr>
              <w:pStyle w:val="Tabletext"/>
              <w:keepNext/>
              <w:keepLines/>
              <w:jc w:val="left"/>
              <w:rPr>
                <w:noProof/>
                <w:sz w:val="18"/>
                <w:szCs w:val="18"/>
                <w:lang w:val="fr-CH" w:eastAsia="zh-CN"/>
              </w:rPr>
            </w:pPr>
            <w:r>
              <w:rPr>
                <w:noProof/>
                <w:sz w:val="18"/>
                <w:szCs w:val="18"/>
                <w:lang w:val="fr-CH" w:eastAsia="zh-CN"/>
              </w:rPr>
              <w:t>Gain en polarisation circulaire dextrogyre</w:t>
            </w:r>
          </w:p>
        </w:tc>
        <w:tc>
          <w:tcPr>
            <w:tcW w:w="816"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keepNext/>
              <w:keepLines/>
              <w:tabs>
                <w:tab w:val="clear" w:pos="284"/>
                <w:tab w:val="clear" w:pos="567"/>
                <w:tab w:val="right" w:pos="544"/>
              </w:tabs>
              <w:jc w:val="center"/>
              <w:rPr>
                <w:noProof/>
                <w:sz w:val="18"/>
                <w:szCs w:val="18"/>
                <w:lang w:val="en-GB" w:eastAsia="zh-CN"/>
              </w:rPr>
            </w:pPr>
            <w:r>
              <w:rPr>
                <w:noProof/>
                <w:sz w:val="18"/>
                <w:szCs w:val="18"/>
                <w:lang w:val="en-GB" w:eastAsia="zh-CN"/>
              </w:rPr>
              <w:t>3,85</w:t>
            </w:r>
          </w:p>
        </w:tc>
        <w:tc>
          <w:tcPr>
            <w:tcW w:w="7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keepNext/>
              <w:keepLines/>
              <w:tabs>
                <w:tab w:val="clear" w:pos="284"/>
                <w:tab w:val="clear" w:pos="567"/>
                <w:tab w:val="right" w:pos="544"/>
              </w:tabs>
              <w:jc w:val="center"/>
              <w:rPr>
                <w:noProof/>
                <w:sz w:val="18"/>
                <w:szCs w:val="18"/>
                <w:lang w:val="en-GB" w:eastAsia="zh-CN"/>
              </w:rPr>
            </w:pPr>
            <w:r>
              <w:rPr>
                <w:noProof/>
                <w:sz w:val="18"/>
                <w:szCs w:val="18"/>
                <w:lang w:val="en-GB" w:eastAsia="zh-CN"/>
              </w:rPr>
              <w:t>3,54</w:t>
            </w:r>
          </w:p>
        </w:tc>
        <w:tc>
          <w:tcPr>
            <w:tcW w:w="729"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keepNext/>
              <w:keepLines/>
              <w:tabs>
                <w:tab w:val="clear" w:pos="284"/>
                <w:tab w:val="clear" w:pos="567"/>
                <w:tab w:val="right" w:pos="544"/>
              </w:tabs>
              <w:jc w:val="center"/>
              <w:rPr>
                <w:noProof/>
                <w:sz w:val="18"/>
                <w:szCs w:val="18"/>
                <w:lang w:val="en-GB" w:eastAsia="zh-CN"/>
              </w:rPr>
            </w:pPr>
            <w:r>
              <w:rPr>
                <w:noProof/>
                <w:sz w:val="18"/>
                <w:szCs w:val="18"/>
                <w:lang w:val="en-GB" w:eastAsia="zh-CN"/>
              </w:rPr>
              <w:t>2,62</w:t>
            </w:r>
          </w:p>
        </w:tc>
        <w:tc>
          <w:tcPr>
            <w:tcW w:w="7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keepNext/>
              <w:keepLines/>
              <w:tabs>
                <w:tab w:val="clear" w:pos="284"/>
                <w:tab w:val="clear" w:pos="567"/>
                <w:tab w:val="right" w:pos="544"/>
              </w:tabs>
              <w:jc w:val="center"/>
              <w:rPr>
                <w:noProof/>
                <w:sz w:val="18"/>
                <w:szCs w:val="18"/>
                <w:lang w:val="en-GB" w:eastAsia="zh-CN"/>
              </w:rPr>
            </w:pPr>
            <w:r>
              <w:rPr>
                <w:noProof/>
                <w:sz w:val="18"/>
                <w:szCs w:val="18"/>
                <w:lang w:val="en-GB" w:eastAsia="zh-CN"/>
              </w:rPr>
              <w:t>1,24</w:t>
            </w:r>
          </w:p>
        </w:tc>
        <w:tc>
          <w:tcPr>
            <w:tcW w:w="815"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keepNext/>
              <w:keepLines/>
              <w:tabs>
                <w:tab w:val="clear" w:pos="284"/>
                <w:tab w:val="clear" w:pos="567"/>
                <w:tab w:val="right" w:pos="544"/>
              </w:tabs>
              <w:jc w:val="center"/>
              <w:rPr>
                <w:noProof/>
                <w:sz w:val="18"/>
                <w:szCs w:val="18"/>
                <w:lang w:val="en-GB" w:eastAsia="zh-CN"/>
              </w:rPr>
            </w:pPr>
            <w:r>
              <w:rPr>
                <w:noProof/>
                <w:sz w:val="18"/>
                <w:szCs w:val="18"/>
                <w:lang w:val="en-GB" w:eastAsia="zh-CN"/>
              </w:rPr>
              <w:t>–0,17</w:t>
            </w:r>
          </w:p>
        </w:tc>
        <w:tc>
          <w:tcPr>
            <w:tcW w:w="914"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keepNext/>
              <w:keepLines/>
              <w:tabs>
                <w:tab w:val="clear" w:pos="284"/>
                <w:tab w:val="clear" w:pos="567"/>
                <w:tab w:val="right" w:pos="544"/>
              </w:tabs>
              <w:jc w:val="center"/>
              <w:rPr>
                <w:noProof/>
                <w:sz w:val="18"/>
                <w:szCs w:val="18"/>
                <w:lang w:val="en-GB" w:eastAsia="zh-CN"/>
              </w:rPr>
            </w:pPr>
            <w:r>
              <w:rPr>
                <w:noProof/>
                <w:sz w:val="18"/>
                <w:szCs w:val="18"/>
                <w:lang w:val="en-GB" w:eastAsia="zh-CN"/>
              </w:rPr>
              <w:t>–1,33</w:t>
            </w:r>
          </w:p>
        </w:tc>
        <w:tc>
          <w:tcPr>
            <w:tcW w:w="887"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keepNext/>
              <w:keepLines/>
              <w:tabs>
                <w:tab w:val="clear" w:pos="284"/>
                <w:tab w:val="clear" w:pos="567"/>
                <w:tab w:val="right" w:pos="544"/>
              </w:tabs>
              <w:jc w:val="center"/>
              <w:rPr>
                <w:noProof/>
                <w:sz w:val="18"/>
                <w:szCs w:val="18"/>
                <w:lang w:val="en-GB" w:eastAsia="zh-CN"/>
              </w:rPr>
            </w:pPr>
            <w:r>
              <w:rPr>
                <w:noProof/>
                <w:sz w:val="18"/>
                <w:szCs w:val="18"/>
                <w:lang w:val="en-GB" w:eastAsia="zh-CN"/>
              </w:rPr>
              <w:t>–2,24</w:t>
            </w:r>
          </w:p>
        </w:tc>
        <w:tc>
          <w:tcPr>
            <w:tcW w:w="915"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keepNext/>
              <w:keepLines/>
              <w:tabs>
                <w:tab w:val="clear" w:pos="284"/>
                <w:tab w:val="clear" w:pos="567"/>
                <w:tab w:val="right" w:pos="544"/>
              </w:tabs>
              <w:jc w:val="center"/>
              <w:rPr>
                <w:noProof/>
                <w:sz w:val="18"/>
                <w:szCs w:val="18"/>
                <w:lang w:val="en-GB" w:eastAsia="zh-CN"/>
              </w:rPr>
            </w:pPr>
            <w:r>
              <w:rPr>
                <w:noProof/>
                <w:sz w:val="18"/>
                <w:szCs w:val="18"/>
                <w:lang w:val="en-GB" w:eastAsia="zh-CN"/>
              </w:rPr>
              <w:t>–3,08</w:t>
            </w:r>
          </w:p>
        </w:tc>
        <w:tc>
          <w:tcPr>
            <w:tcW w:w="8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keepNext/>
              <w:keepLines/>
              <w:tabs>
                <w:tab w:val="clear" w:pos="284"/>
                <w:tab w:val="clear" w:pos="567"/>
                <w:tab w:val="right" w:pos="544"/>
              </w:tabs>
              <w:jc w:val="center"/>
              <w:rPr>
                <w:noProof/>
                <w:sz w:val="18"/>
                <w:szCs w:val="18"/>
                <w:lang w:val="en-GB" w:eastAsia="zh-CN"/>
              </w:rPr>
            </w:pPr>
            <w:r>
              <w:rPr>
                <w:noProof/>
                <w:sz w:val="18"/>
                <w:szCs w:val="18"/>
                <w:lang w:val="en-GB" w:eastAsia="zh-CN"/>
              </w:rPr>
              <w:t>–3,80</w:t>
            </w:r>
          </w:p>
        </w:tc>
        <w:tc>
          <w:tcPr>
            <w:tcW w:w="8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keepNext/>
              <w:keepLines/>
              <w:tabs>
                <w:tab w:val="clear" w:pos="284"/>
                <w:tab w:val="clear" w:pos="567"/>
                <w:tab w:val="right" w:pos="544"/>
              </w:tabs>
              <w:jc w:val="center"/>
              <w:rPr>
                <w:noProof/>
                <w:sz w:val="18"/>
                <w:szCs w:val="18"/>
                <w:lang w:val="en-GB" w:eastAsia="zh-CN"/>
              </w:rPr>
            </w:pPr>
            <w:r>
              <w:rPr>
                <w:noProof/>
                <w:sz w:val="18"/>
                <w:szCs w:val="18"/>
                <w:lang w:val="en-GB" w:eastAsia="zh-CN"/>
              </w:rPr>
              <w:t>–3,96</w:t>
            </w:r>
          </w:p>
        </w:tc>
      </w:tr>
      <w:tr w:rsidR="00585CFD" w:rsidTr="006A457C">
        <w:trPr>
          <w:jc w:val="center"/>
        </w:trPr>
        <w:tc>
          <w:tcPr>
            <w:tcW w:w="1275" w:type="dxa"/>
            <w:tcBorders>
              <w:top w:val="single" w:sz="6" w:space="0" w:color="000000"/>
              <w:left w:val="single" w:sz="6" w:space="0" w:color="000000"/>
              <w:bottom w:val="single" w:sz="6" w:space="0" w:color="000000"/>
              <w:right w:val="single" w:sz="6" w:space="0" w:color="000000"/>
            </w:tcBorders>
            <w:hideMark/>
          </w:tcPr>
          <w:p w:rsidR="00585CFD" w:rsidRDefault="00585CFD" w:rsidP="00DB4149">
            <w:pPr>
              <w:pStyle w:val="Tabletext"/>
              <w:jc w:val="left"/>
              <w:rPr>
                <w:noProof/>
                <w:sz w:val="18"/>
                <w:szCs w:val="18"/>
                <w:lang w:val="fr-CH" w:eastAsia="zh-CN"/>
              </w:rPr>
            </w:pPr>
            <w:r>
              <w:rPr>
                <w:noProof/>
                <w:sz w:val="18"/>
                <w:szCs w:val="18"/>
                <w:lang w:val="fr-CH" w:eastAsia="zh-CN"/>
              </w:rPr>
              <w:t>Gain en polarisation circulaire lévogyre</w:t>
            </w:r>
          </w:p>
        </w:tc>
        <w:tc>
          <w:tcPr>
            <w:tcW w:w="816"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–5,69</w:t>
            </w:r>
          </w:p>
        </w:tc>
        <w:tc>
          <w:tcPr>
            <w:tcW w:w="7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–6,23</w:t>
            </w:r>
          </w:p>
        </w:tc>
        <w:tc>
          <w:tcPr>
            <w:tcW w:w="729"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–7,52</w:t>
            </w:r>
          </w:p>
        </w:tc>
        <w:tc>
          <w:tcPr>
            <w:tcW w:w="7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–9,39</w:t>
            </w:r>
          </w:p>
        </w:tc>
        <w:tc>
          <w:tcPr>
            <w:tcW w:w="815"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–11,39</w:t>
            </w:r>
          </w:p>
        </w:tc>
        <w:tc>
          <w:tcPr>
            <w:tcW w:w="914"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–13,12</w:t>
            </w:r>
          </w:p>
        </w:tc>
        <w:tc>
          <w:tcPr>
            <w:tcW w:w="887"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–14,52</w:t>
            </w:r>
          </w:p>
        </w:tc>
        <w:tc>
          <w:tcPr>
            <w:tcW w:w="915"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–15,77</w:t>
            </w:r>
          </w:p>
        </w:tc>
        <w:tc>
          <w:tcPr>
            <w:tcW w:w="8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–17,17</w:t>
            </w:r>
          </w:p>
        </w:tc>
        <w:tc>
          <w:tcPr>
            <w:tcW w:w="8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–18,00</w:t>
            </w:r>
          </w:p>
        </w:tc>
      </w:tr>
      <w:tr w:rsidR="00585CFD" w:rsidTr="006A457C">
        <w:trPr>
          <w:jc w:val="center"/>
        </w:trPr>
        <w:tc>
          <w:tcPr>
            <w:tcW w:w="1275" w:type="dxa"/>
            <w:tcBorders>
              <w:top w:val="single" w:sz="6" w:space="0" w:color="000000"/>
              <w:left w:val="single" w:sz="6" w:space="0" w:color="000000"/>
              <w:bottom w:val="single" w:sz="6" w:space="0" w:color="000000"/>
              <w:right w:val="single" w:sz="6" w:space="0" w:color="000000"/>
            </w:tcBorders>
            <w:hideMark/>
          </w:tcPr>
          <w:p w:rsidR="00585CFD" w:rsidRDefault="00585CFD" w:rsidP="00DB4149">
            <w:pPr>
              <w:pStyle w:val="Tabletext"/>
              <w:jc w:val="left"/>
              <w:rPr>
                <w:noProof/>
                <w:sz w:val="18"/>
                <w:szCs w:val="18"/>
                <w:lang w:val="en-GB" w:eastAsia="zh-CN"/>
              </w:rPr>
            </w:pPr>
            <w:r>
              <w:rPr>
                <w:noProof/>
                <w:sz w:val="18"/>
                <w:szCs w:val="18"/>
                <w:lang w:val="en-GB" w:eastAsia="zh-CN"/>
              </w:rPr>
              <w:t xml:space="preserve">Taux d'ellipticité </w:t>
            </w:r>
            <w:r>
              <w:rPr>
                <w:noProof/>
                <w:sz w:val="18"/>
                <w:szCs w:val="18"/>
                <w:lang w:eastAsia="zh-CN"/>
              </w:rPr>
              <w:t>(voir Note 1)</w:t>
            </w:r>
          </w:p>
        </w:tc>
        <w:tc>
          <w:tcPr>
            <w:tcW w:w="816"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6,02</w:t>
            </w:r>
          </w:p>
        </w:tc>
        <w:tc>
          <w:tcPr>
            <w:tcW w:w="7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5,85</w:t>
            </w:r>
          </w:p>
        </w:tc>
        <w:tc>
          <w:tcPr>
            <w:tcW w:w="729"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5,59</w:t>
            </w:r>
          </w:p>
        </w:tc>
        <w:tc>
          <w:tcPr>
            <w:tcW w:w="7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5,26</w:t>
            </w:r>
          </w:p>
        </w:tc>
        <w:tc>
          <w:tcPr>
            <w:tcW w:w="815"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4,90</w:t>
            </w:r>
          </w:p>
        </w:tc>
        <w:tc>
          <w:tcPr>
            <w:tcW w:w="914"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4,57</w:t>
            </w:r>
          </w:p>
        </w:tc>
        <w:tc>
          <w:tcPr>
            <w:tcW w:w="887"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4,31</w:t>
            </w:r>
          </w:p>
        </w:tc>
        <w:tc>
          <w:tcPr>
            <w:tcW w:w="915"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4,11</w:t>
            </w:r>
          </w:p>
        </w:tc>
        <w:tc>
          <w:tcPr>
            <w:tcW w:w="8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3,78</w:t>
            </w:r>
          </w:p>
        </w:tc>
        <w:tc>
          <w:tcPr>
            <w:tcW w:w="872" w:type="dxa"/>
            <w:tcBorders>
              <w:top w:val="single" w:sz="6" w:space="0" w:color="000000"/>
              <w:left w:val="single" w:sz="6" w:space="0" w:color="000000"/>
              <w:bottom w:val="single" w:sz="6" w:space="0" w:color="000000"/>
              <w:right w:val="single" w:sz="6" w:space="0" w:color="000000"/>
            </w:tcBorders>
            <w:hideMark/>
          </w:tcPr>
          <w:p w:rsidR="00585CFD" w:rsidRDefault="00585CFD" w:rsidP="005A3A4E">
            <w:pPr>
              <w:pStyle w:val="Tabletext"/>
              <w:tabs>
                <w:tab w:val="clear" w:pos="284"/>
                <w:tab w:val="clear" w:pos="567"/>
                <w:tab w:val="right" w:pos="544"/>
              </w:tabs>
              <w:jc w:val="center"/>
              <w:rPr>
                <w:noProof/>
                <w:sz w:val="18"/>
                <w:szCs w:val="18"/>
                <w:lang w:val="en-GB" w:eastAsia="zh-CN"/>
              </w:rPr>
            </w:pPr>
            <w:r>
              <w:rPr>
                <w:noProof/>
                <w:sz w:val="18"/>
                <w:szCs w:val="18"/>
                <w:lang w:val="en-GB" w:eastAsia="zh-CN"/>
              </w:rPr>
              <w:t>3,49</w:t>
            </w:r>
          </w:p>
        </w:tc>
      </w:tr>
      <w:tr w:rsidR="00585CFD" w:rsidRPr="004B530B" w:rsidTr="006A457C">
        <w:trPr>
          <w:jc w:val="center"/>
        </w:trPr>
        <w:tc>
          <w:tcPr>
            <w:tcW w:w="9639" w:type="dxa"/>
            <w:gridSpan w:val="11"/>
            <w:tcBorders>
              <w:top w:val="single" w:sz="6" w:space="0" w:color="000000"/>
              <w:left w:val="nil"/>
              <w:bottom w:val="nil"/>
              <w:right w:val="nil"/>
            </w:tcBorders>
            <w:hideMark/>
          </w:tcPr>
          <w:p w:rsidR="00585CFD" w:rsidRDefault="00585CFD" w:rsidP="006A457C">
            <w:pPr>
              <w:pStyle w:val="Tabletext"/>
              <w:tabs>
                <w:tab w:val="clear" w:pos="284"/>
                <w:tab w:val="clear" w:pos="567"/>
                <w:tab w:val="right" w:pos="544"/>
              </w:tabs>
              <w:rPr>
                <w:noProof/>
                <w:sz w:val="18"/>
                <w:szCs w:val="18"/>
                <w:lang w:val="fr-CH" w:eastAsia="zh-CN"/>
              </w:rPr>
            </w:pPr>
            <w:r>
              <w:rPr>
                <w:sz w:val="18"/>
                <w:szCs w:val="18"/>
                <w:lang w:val="fr-CH" w:eastAsia="zh-CN"/>
              </w:rPr>
              <w:t>NOTE 1 – Le taux d'ellipticité est le rapport des longueurs du grand axe et du petit axe de l'ellipse de polarisation.</w:t>
            </w:r>
          </w:p>
        </w:tc>
      </w:tr>
    </w:tbl>
    <w:p w:rsidR="00585CFD" w:rsidRDefault="00585CFD" w:rsidP="00585CFD">
      <w:pPr>
        <w:pStyle w:val="Tablefin"/>
        <w:rPr>
          <w:lang w:val="fr-CH"/>
        </w:rPr>
      </w:pPr>
    </w:p>
    <w:p w:rsidR="00585CFD" w:rsidRDefault="00585CFD" w:rsidP="00585CFD">
      <w:pPr>
        <w:rPr>
          <w:lang w:val="fr-CH"/>
        </w:rPr>
      </w:pPr>
      <w:r>
        <w:rPr>
          <w:lang w:val="fr-CH"/>
        </w:rPr>
        <w:t>Les valeurs types pour le système ARGOS4 sont les suivantes: facteur de bruit = 3 dB, température du bruit de fond pour le cas le plus défavorable = 1</w:t>
      </w:r>
      <w:r>
        <w:rPr>
          <w:rFonts w:ascii="Tms Rmn" w:hAnsi="Tms Rmn"/>
          <w:sz w:val="12"/>
          <w:lang w:val="fr-CH"/>
        </w:rPr>
        <w:t> </w:t>
      </w:r>
      <w:r>
        <w:rPr>
          <w:lang w:val="fr-CH"/>
        </w:rPr>
        <w:t>200 K (la valeur mesurée tient compte du bruit industriel en Europe), affaiblissement entre l'antenne et le récepteur ARGOS4 = 1,6 dB. Ainsi,  la température de bruit du système à l'entrée du récepteur ARGOS4 est égale à 1</w:t>
      </w:r>
      <w:r>
        <w:rPr>
          <w:rFonts w:ascii="Tms Rmn" w:hAnsi="Tms Rmn"/>
          <w:sz w:val="12"/>
          <w:lang w:val="fr-CH"/>
        </w:rPr>
        <w:t> </w:t>
      </w:r>
      <w:r>
        <w:rPr>
          <w:lang w:val="fr-CH"/>
        </w:rPr>
        <w:t xml:space="preserve">214 K et la densité spectrale de bruit est donc égale à </w:t>
      </w:r>
      <w:r>
        <w:rPr>
          <w:i/>
          <w:iCs/>
          <w:lang w:val="fr-CH"/>
        </w:rPr>
        <w:t>N</w:t>
      </w:r>
      <w:r>
        <w:rPr>
          <w:vertAlign w:val="subscript"/>
          <w:lang w:val="fr-CH"/>
        </w:rPr>
        <w:t>0</w:t>
      </w:r>
      <w:r>
        <w:rPr>
          <w:lang w:val="fr-CH"/>
        </w:rPr>
        <w:t> = –197,8 dB(W/Hz).</w:t>
      </w:r>
    </w:p>
    <w:p w:rsidR="00585CFD" w:rsidRDefault="00585CFD" w:rsidP="00585CFD">
      <w:pPr>
        <w:rPr>
          <w:lang w:val="fr-CH"/>
        </w:rPr>
      </w:pPr>
      <w:r>
        <w:rPr>
          <w:lang w:val="fr-CH"/>
        </w:rPr>
        <w:t xml:space="preserve">Il ressort des spécifications pour le cas le plus défavorable que le système ARGOS4 est conçu pour fonctionner correctement lorsque la puissance du signal reçu, </w:t>
      </w:r>
      <w:r>
        <w:rPr>
          <w:i/>
          <w:iCs/>
          <w:lang w:val="fr-CH"/>
        </w:rPr>
        <w:t>C</w:t>
      </w:r>
      <w:r>
        <w:rPr>
          <w:iCs/>
          <w:lang w:val="fr-CH"/>
        </w:rPr>
        <w:t>,</w:t>
      </w:r>
      <w:r>
        <w:rPr>
          <w:lang w:val="fr-CH"/>
        </w:rPr>
        <w:t> mesurée à l'entrée du récepteur est égale à –160 dBW (niveau minimal du signal reçu), ce qui donne un rapport équivalent </w:t>
      </w:r>
      <w:r>
        <w:rPr>
          <w:i/>
          <w:iCs/>
          <w:lang w:val="fr-CH"/>
        </w:rPr>
        <w:t>E</w:t>
      </w:r>
      <w:r>
        <w:rPr>
          <w:i/>
          <w:iCs/>
          <w:vertAlign w:val="subscript"/>
          <w:lang w:val="fr-CH"/>
        </w:rPr>
        <w:t>b</w:t>
      </w:r>
      <w:r>
        <w:rPr>
          <w:lang w:val="fr-CH"/>
        </w:rPr>
        <w:t>/</w:t>
      </w:r>
      <w:r>
        <w:rPr>
          <w:i/>
          <w:iCs/>
          <w:lang w:val="fr-CH"/>
        </w:rPr>
        <w:t>N</w:t>
      </w:r>
      <w:r>
        <w:rPr>
          <w:vertAlign w:val="subscript"/>
          <w:lang w:val="fr-CH"/>
        </w:rPr>
        <w:t>0</w:t>
      </w:r>
      <w:r>
        <w:rPr>
          <w:lang w:val="fr-CH"/>
        </w:rPr>
        <w:t> = 8,3 dB dans le détecteur de bits du système ARGOS si l'on tient compte de la forme d'onde de la balise et des divers affaiblissements.</w:t>
      </w:r>
    </w:p>
    <w:p w:rsidR="00585CFD" w:rsidRDefault="00585CFD" w:rsidP="00585CFD">
      <w:pPr>
        <w:rPr>
          <w:lang w:val="fr-CH"/>
        </w:rPr>
      </w:pPr>
      <w:r>
        <w:rPr>
          <w:lang w:val="fr-CH"/>
        </w:rPr>
        <w:t>Par conséquent, pour obtenir un TEB de 2 </w:t>
      </w:r>
      <w:r>
        <w:rPr>
          <w:lang w:val="en-GB"/>
        </w:rPr>
        <w:sym w:font="Symbol" w:char="F0B4"/>
      </w:r>
      <w:r>
        <w:rPr>
          <w:lang w:val="fr-CH"/>
        </w:rPr>
        <w:t> 10</w:t>
      </w:r>
      <w:r>
        <w:rPr>
          <w:vertAlign w:val="superscript"/>
          <w:lang w:val="fr-CH"/>
        </w:rPr>
        <w:t>–4</w:t>
      </w:r>
      <w:r>
        <w:rPr>
          <w:lang w:val="fr-CH"/>
        </w:rPr>
        <w:t xml:space="preserve"> qui correspond à un rapport minimal </w:t>
      </w:r>
      <w:r>
        <w:rPr>
          <w:i/>
          <w:iCs/>
          <w:lang w:val="fr-CH"/>
        </w:rPr>
        <w:t>E</w:t>
      </w:r>
      <w:r>
        <w:rPr>
          <w:i/>
          <w:iCs/>
          <w:vertAlign w:val="subscript"/>
          <w:lang w:val="fr-CH"/>
        </w:rPr>
        <w:t>b</w:t>
      </w:r>
      <w:r>
        <w:rPr>
          <w:lang w:val="fr-CH"/>
        </w:rPr>
        <w:t>/</w:t>
      </w:r>
      <w:r>
        <w:rPr>
          <w:i/>
          <w:iCs/>
          <w:lang w:val="fr-CH"/>
        </w:rPr>
        <w:t>N</w:t>
      </w:r>
      <w:r>
        <w:rPr>
          <w:vertAlign w:val="subscript"/>
          <w:lang w:val="fr-CH"/>
        </w:rPr>
        <w:t>0</w:t>
      </w:r>
      <w:r>
        <w:rPr>
          <w:lang w:val="fr-CH"/>
        </w:rPr>
        <w:t xml:space="preserve"> de 8 dB, la dégradation maximale acceptable est de 0,3 dB.</w:t>
      </w:r>
    </w:p>
    <w:p w:rsidR="00585CFD" w:rsidRDefault="00585CFD" w:rsidP="00585CFD">
      <w:pPr>
        <w:rPr>
          <w:lang w:val="fr-CH"/>
        </w:rPr>
      </w:pPr>
      <w:r>
        <w:rPr>
          <w:lang w:val="fr-CH"/>
        </w:rPr>
        <w:t>Nous calculons ensuite le bruit supplémentaire correspondant à la dégradation de 0,3 dB du rapport </w:t>
      </w:r>
      <w:r>
        <w:rPr>
          <w:i/>
          <w:iCs/>
          <w:lang w:val="fr-CH"/>
        </w:rPr>
        <w:t>C</w:t>
      </w:r>
      <w:r>
        <w:rPr>
          <w:lang w:val="fr-CH"/>
        </w:rPr>
        <w:t>/</w:t>
      </w:r>
      <w:r>
        <w:rPr>
          <w:i/>
          <w:iCs/>
          <w:lang w:val="fr-CH"/>
        </w:rPr>
        <w:t>N</w:t>
      </w:r>
      <w:r>
        <w:rPr>
          <w:vertAlign w:val="subscript"/>
          <w:lang w:val="fr-CH"/>
        </w:rPr>
        <w:t>0</w:t>
      </w:r>
      <w:r>
        <w:rPr>
          <w:lang w:val="fr-CH"/>
        </w:rPr>
        <w:t xml:space="preserve">. </w:t>
      </w:r>
      <w:r>
        <w:rPr>
          <w:i/>
          <w:iCs/>
          <w:lang w:val="fr-CH"/>
        </w:rPr>
        <w:t>I</w:t>
      </w:r>
      <w:r>
        <w:rPr>
          <w:vertAlign w:val="subscript"/>
          <w:lang w:val="fr-CH"/>
        </w:rPr>
        <w:t>0</w:t>
      </w:r>
      <w:r>
        <w:rPr>
          <w:lang w:val="fr-CH"/>
        </w:rPr>
        <w:t xml:space="preserve"> représente la densité de puissance de bruit supplémentaire. Le bruit initial </w:t>
      </w:r>
      <w:r>
        <w:rPr>
          <w:i/>
          <w:iCs/>
          <w:lang w:val="fr-CH"/>
        </w:rPr>
        <w:t>N</w:t>
      </w:r>
      <w:r>
        <w:rPr>
          <w:vertAlign w:val="subscript"/>
          <w:lang w:val="fr-CH"/>
        </w:rPr>
        <w:t>0</w:t>
      </w:r>
      <w:r>
        <w:rPr>
          <w:lang w:val="fr-CH"/>
        </w:rPr>
        <w:t xml:space="preserve"> devient </w:t>
      </w:r>
      <w:r>
        <w:rPr>
          <w:i/>
          <w:iCs/>
          <w:lang w:val="fr-CH"/>
        </w:rPr>
        <w:t>N</w:t>
      </w:r>
      <w:r>
        <w:rPr>
          <w:vertAlign w:val="subscript"/>
          <w:lang w:val="fr-CH"/>
        </w:rPr>
        <w:t>0</w:t>
      </w:r>
      <w:r>
        <w:rPr>
          <w:lang w:val="fr-CH"/>
        </w:rPr>
        <w:t> + </w:t>
      </w:r>
      <w:r>
        <w:rPr>
          <w:i/>
          <w:iCs/>
          <w:lang w:val="fr-CH"/>
        </w:rPr>
        <w:t>I</w:t>
      </w:r>
      <w:r>
        <w:rPr>
          <w:vertAlign w:val="subscript"/>
          <w:lang w:val="fr-CH"/>
        </w:rPr>
        <w:t>0</w:t>
      </w:r>
      <w:r>
        <w:rPr>
          <w:lang w:val="fr-CH"/>
        </w:rPr>
        <w:t xml:space="preserve">. Le rapport signal/bruit </w:t>
      </w:r>
      <w:r>
        <w:rPr>
          <w:i/>
          <w:iCs/>
          <w:lang w:val="fr-CH"/>
        </w:rPr>
        <w:t>C</w:t>
      </w:r>
      <w:r>
        <w:rPr>
          <w:lang w:val="fr-CH"/>
        </w:rPr>
        <w:t>/</w:t>
      </w:r>
      <w:r>
        <w:rPr>
          <w:i/>
          <w:iCs/>
          <w:lang w:val="fr-CH"/>
        </w:rPr>
        <w:t>N</w:t>
      </w:r>
      <w:r>
        <w:rPr>
          <w:vertAlign w:val="subscript"/>
          <w:lang w:val="fr-CH"/>
        </w:rPr>
        <w:t>0</w:t>
      </w:r>
      <w:r>
        <w:rPr>
          <w:lang w:val="fr-CH"/>
        </w:rPr>
        <w:t xml:space="preserve"> devient </w:t>
      </w:r>
      <w:r>
        <w:rPr>
          <w:i/>
          <w:iCs/>
          <w:lang w:val="fr-CH"/>
        </w:rPr>
        <w:t>C</w:t>
      </w:r>
      <w:r>
        <w:rPr>
          <w:lang w:val="fr-CH"/>
        </w:rPr>
        <w:t>/(</w:t>
      </w:r>
      <w:r>
        <w:rPr>
          <w:i/>
          <w:iCs/>
          <w:lang w:val="fr-CH"/>
        </w:rPr>
        <w:t>N</w:t>
      </w:r>
      <w:r>
        <w:rPr>
          <w:vertAlign w:val="subscript"/>
          <w:lang w:val="fr-CH"/>
        </w:rPr>
        <w:t>0</w:t>
      </w:r>
      <w:r>
        <w:rPr>
          <w:lang w:val="fr-CH"/>
        </w:rPr>
        <w:t> + </w:t>
      </w:r>
      <w:r>
        <w:rPr>
          <w:i/>
          <w:iCs/>
          <w:lang w:val="fr-CH"/>
        </w:rPr>
        <w:t>I</w:t>
      </w:r>
      <w:r>
        <w:rPr>
          <w:vertAlign w:val="subscript"/>
          <w:lang w:val="fr-CH"/>
        </w:rPr>
        <w:t>0</w:t>
      </w:r>
      <w:r>
        <w:rPr>
          <w:lang w:val="fr-CH"/>
        </w:rPr>
        <w:t>). La dégradation étant de 0,3 dB = 10 log ((</w:t>
      </w:r>
      <w:r>
        <w:rPr>
          <w:i/>
          <w:iCs/>
          <w:lang w:val="fr-CH"/>
        </w:rPr>
        <w:t>C</w:t>
      </w:r>
      <w:r>
        <w:rPr>
          <w:lang w:val="fr-CH"/>
        </w:rPr>
        <w:t>/</w:t>
      </w:r>
      <w:r>
        <w:rPr>
          <w:i/>
          <w:iCs/>
          <w:lang w:val="fr-CH"/>
        </w:rPr>
        <w:t>N</w:t>
      </w:r>
      <w:r>
        <w:rPr>
          <w:vertAlign w:val="subscript"/>
          <w:lang w:val="fr-CH"/>
        </w:rPr>
        <w:t>0</w:t>
      </w:r>
      <w:r>
        <w:rPr>
          <w:lang w:val="fr-CH"/>
        </w:rPr>
        <w:t>)/(</w:t>
      </w:r>
      <w:r>
        <w:rPr>
          <w:i/>
          <w:iCs/>
          <w:lang w:val="fr-CH"/>
        </w:rPr>
        <w:t>C</w:t>
      </w:r>
      <w:r>
        <w:rPr>
          <w:lang w:val="fr-CH"/>
        </w:rPr>
        <w:t>/(</w:t>
      </w:r>
      <w:r>
        <w:rPr>
          <w:i/>
          <w:iCs/>
          <w:lang w:val="fr-CH"/>
        </w:rPr>
        <w:t>N</w:t>
      </w:r>
      <w:r>
        <w:rPr>
          <w:vertAlign w:val="subscript"/>
          <w:lang w:val="fr-CH"/>
        </w:rPr>
        <w:t>0</w:t>
      </w:r>
      <w:r>
        <w:rPr>
          <w:lang w:val="fr-CH"/>
        </w:rPr>
        <w:t> + </w:t>
      </w:r>
      <w:r>
        <w:rPr>
          <w:i/>
          <w:iCs/>
          <w:lang w:val="fr-CH"/>
        </w:rPr>
        <w:t>I</w:t>
      </w:r>
      <w:r>
        <w:rPr>
          <w:vertAlign w:val="subscript"/>
          <w:lang w:val="fr-CH"/>
        </w:rPr>
        <w:t>0</w:t>
      </w:r>
      <w:r>
        <w:rPr>
          <w:lang w:val="fr-CH"/>
        </w:rPr>
        <w:t xml:space="preserve">))), </w:t>
      </w:r>
      <w:r>
        <w:rPr>
          <w:i/>
          <w:iCs/>
          <w:lang w:val="fr-CH"/>
        </w:rPr>
        <w:t>I</w:t>
      </w:r>
      <w:r>
        <w:rPr>
          <w:vertAlign w:val="subscript"/>
          <w:lang w:val="fr-CH"/>
        </w:rPr>
        <w:t>0</w:t>
      </w:r>
      <w:r>
        <w:rPr>
          <w:rFonts w:ascii="Tms Rmn" w:hAnsi="Tms Rmn"/>
          <w:position w:val="-4"/>
          <w:sz w:val="4"/>
          <w:lang w:val="fr-CH"/>
        </w:rPr>
        <w:t> </w:t>
      </w:r>
      <w:r>
        <w:rPr>
          <w:lang w:val="fr-CH"/>
        </w:rPr>
        <w:t>/</w:t>
      </w:r>
      <w:r>
        <w:rPr>
          <w:i/>
          <w:iCs/>
          <w:lang w:val="fr-CH"/>
        </w:rPr>
        <w:t>N</w:t>
      </w:r>
      <w:r>
        <w:rPr>
          <w:vertAlign w:val="subscript"/>
          <w:lang w:val="fr-CH"/>
        </w:rPr>
        <w:t>0</w:t>
      </w:r>
      <w:r>
        <w:t> </w:t>
      </w:r>
      <w:r>
        <w:rPr>
          <w:lang w:val="fr-CH"/>
        </w:rPr>
        <w:t xml:space="preserve">= –11,5 dB et </w:t>
      </w:r>
      <w:r>
        <w:rPr>
          <w:i/>
          <w:iCs/>
          <w:lang w:val="fr-CH"/>
        </w:rPr>
        <w:t>I</w:t>
      </w:r>
      <w:r>
        <w:rPr>
          <w:vertAlign w:val="subscript"/>
          <w:lang w:val="fr-CH"/>
        </w:rPr>
        <w:t>0</w:t>
      </w:r>
      <w:r>
        <w:rPr>
          <w:lang w:val="fr-CH"/>
        </w:rPr>
        <w:t xml:space="preserve"> = –209,3 dB(W/Hz), ce qui correspond à une température de 86 K, soit une augmentation de 7% de la température de bruit du système à l'entrée du récepteur. En conséquence, le niveau maximal admissible de la densité de bruit est </w:t>
      </w:r>
      <w:r>
        <w:rPr>
          <w:i/>
          <w:iCs/>
          <w:lang w:val="fr-CH"/>
        </w:rPr>
        <w:t>I</w:t>
      </w:r>
      <w:r>
        <w:rPr>
          <w:vertAlign w:val="subscript"/>
          <w:lang w:val="fr-CH"/>
        </w:rPr>
        <w:t>0</w:t>
      </w:r>
      <w:r>
        <w:rPr>
          <w:lang w:val="fr-CH"/>
        </w:rPr>
        <w:t> = –209,3 dB(W/Hz).</w:t>
      </w:r>
    </w:p>
    <w:p w:rsidR="00585CFD" w:rsidRDefault="00585CFD" w:rsidP="00585CFD">
      <w:pPr>
        <w:rPr>
          <w:lang w:val="fr-CH"/>
        </w:rPr>
      </w:pPr>
      <w:r>
        <w:rPr>
          <w:lang w:val="fr-CH"/>
        </w:rPr>
        <w:t xml:space="preserve">Comme indiqué auparavant, la densité de bruit, </w:t>
      </w:r>
      <w:r>
        <w:rPr>
          <w:i/>
          <w:iCs/>
          <w:lang w:val="fr-CH"/>
        </w:rPr>
        <w:t>I</w:t>
      </w:r>
      <w:r>
        <w:rPr>
          <w:vertAlign w:val="subscript"/>
          <w:lang w:val="fr-CH"/>
        </w:rPr>
        <w:t>0</w:t>
      </w:r>
      <w:r>
        <w:rPr>
          <w:lang w:val="fr-CH"/>
        </w:rPr>
        <w:t>, tient compte de l'affaiblissement et du gain d'antenne. Etant donné que l'on doit connaître la spfd, il faut convertir cette valeur en dB(W/(m</w:t>
      </w:r>
      <w:r>
        <w:rPr>
          <w:vertAlign w:val="superscript"/>
          <w:lang w:val="fr-CH"/>
        </w:rPr>
        <w:t>2</w:t>
      </w:r>
      <w:r>
        <w:rPr>
          <w:lang w:val="fr-CH"/>
        </w:rPr>
        <w:t xml:space="preserve"> · Hz)). La surface apparente d'une antenne ayant un gain </w:t>
      </w:r>
      <w:r>
        <w:rPr>
          <w:i/>
          <w:iCs/>
          <w:lang w:val="fr-CH"/>
        </w:rPr>
        <w:t>G</w:t>
      </w:r>
      <w:r>
        <w:rPr>
          <w:lang w:val="fr-CH"/>
        </w:rPr>
        <w:t xml:space="preserve"> est:</w:t>
      </w:r>
    </w:p>
    <w:p w:rsidR="00585CFD" w:rsidRDefault="00585CFD" w:rsidP="00585CFD">
      <w:pPr>
        <w:pStyle w:val="Equation"/>
        <w:rPr>
          <w:lang w:val="en-GB"/>
        </w:rPr>
      </w:pPr>
      <w:r>
        <w:rPr>
          <w:lang w:val="fr-CH"/>
        </w:rPr>
        <w:tab/>
      </w:r>
      <w:r>
        <w:rPr>
          <w:lang w:val="fr-CH"/>
        </w:rPr>
        <w:tab/>
      </w:r>
      <w:r>
        <w:rPr>
          <w:position w:val="-24"/>
          <w:lang w:val="en-GB"/>
        </w:rPr>
        <w:object w:dxaOrig="910"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42.65pt" o:ole="">
            <v:imagedata r:id="rId12" o:title=""/>
          </v:shape>
          <o:OLEObject Type="Embed" ProgID="Equation.3" ShapeID="_x0000_i1025" DrawAspect="Content" ObjectID="_1471701989" r:id="rId13"/>
        </w:object>
      </w:r>
    </w:p>
    <w:p w:rsidR="00585CFD" w:rsidRDefault="00585CFD" w:rsidP="00585CFD">
      <w:pPr>
        <w:rPr>
          <w:lang w:val="fr-CH"/>
        </w:rPr>
      </w:pPr>
      <w:r>
        <w:rPr>
          <w:lang w:val="fr-CH"/>
        </w:rPr>
        <w:t>En prenant en compte le plus grand angle du satellite par rapport au nadir (62°), la surface de l'antenne est égale à 0,105 m</w:t>
      </w:r>
      <w:r>
        <w:rPr>
          <w:vertAlign w:val="superscript"/>
          <w:lang w:val="fr-CH"/>
        </w:rPr>
        <w:t>2</w:t>
      </w:r>
      <w:r>
        <w:rPr>
          <w:lang w:val="fr-CH"/>
        </w:rPr>
        <w:t xml:space="preserve"> ou –9,8 dB m</w:t>
      </w:r>
      <w:r>
        <w:rPr>
          <w:vertAlign w:val="superscript"/>
          <w:lang w:val="fr-CH"/>
        </w:rPr>
        <w:t>2</w:t>
      </w:r>
      <w:r>
        <w:rPr>
          <w:lang w:val="fr-CH"/>
        </w:rPr>
        <w:t>. La spfd correspondante est donc égale à –209,3 + 1,6 (affaiblissements) – 10 log</w:t>
      </w:r>
      <w:r w:rsidRPr="00914A0E">
        <w:rPr>
          <w:vertAlign w:val="subscript"/>
          <w:lang w:val="fr-CH"/>
        </w:rPr>
        <w:t>10</w:t>
      </w:r>
      <w:r>
        <w:rPr>
          <w:lang w:val="fr-CH"/>
        </w:rPr>
        <w:t xml:space="preserve"> </w:t>
      </w:r>
      <w:r>
        <w:rPr>
          <w:i/>
          <w:iCs/>
          <w:lang w:val="fr-CH"/>
        </w:rPr>
        <w:t>S</w:t>
      </w:r>
      <w:r>
        <w:rPr>
          <w:lang w:val="fr-CH"/>
        </w:rPr>
        <w:t xml:space="preserve"> = –197,9 dB(W/(m</w:t>
      </w:r>
      <w:r>
        <w:rPr>
          <w:vertAlign w:val="superscript"/>
          <w:lang w:val="fr-CH"/>
        </w:rPr>
        <w:t>2</w:t>
      </w:r>
      <w:r>
        <w:rPr>
          <w:lang w:val="fr-CH"/>
        </w:rPr>
        <w:t> · Hz)).</w:t>
      </w:r>
    </w:p>
    <w:p w:rsidR="00585CFD" w:rsidRDefault="00585CFD" w:rsidP="00585CFD">
      <w:pPr>
        <w:keepNext/>
        <w:keepLines/>
        <w:rPr>
          <w:lang w:val="fr-CH"/>
        </w:rPr>
      </w:pPr>
      <w:r>
        <w:rPr>
          <w:lang w:val="fr-CH"/>
        </w:rPr>
        <w:t>Le niveau maximal de brouillage dû au bruit large bande dans la bande 399,9-400,05 MHz ne doit pas dépasser –197,9 dB(W/(m</w:t>
      </w:r>
      <w:r>
        <w:rPr>
          <w:vertAlign w:val="superscript"/>
          <w:lang w:val="fr-CH"/>
        </w:rPr>
        <w:t>2</w:t>
      </w:r>
      <w:r>
        <w:rPr>
          <w:lang w:val="fr-CH"/>
        </w:rPr>
        <w:t xml:space="preserve"> · Hz)) pour protéger le système ARGOS4. </w:t>
      </w:r>
    </w:p>
    <w:p w:rsidR="00585CFD" w:rsidRDefault="00585CFD" w:rsidP="00585CFD">
      <w:pPr>
        <w:rPr>
          <w:lang w:val="fr-CH"/>
        </w:rPr>
      </w:pPr>
      <w:r>
        <w:rPr>
          <w:lang w:val="fr-CH"/>
        </w:rPr>
        <w:t>Habituellement, la largeur de bande d'une transmission du système ARGOS4 est de 1 600 Hz. Par conséquent, la limite de puissance surfacique correspondante est de –165,8 dB(W/m</w:t>
      </w:r>
      <w:r>
        <w:rPr>
          <w:vertAlign w:val="superscript"/>
          <w:lang w:val="fr-CH"/>
        </w:rPr>
        <w:t>2</w:t>
      </w:r>
      <w:r>
        <w:rPr>
          <w:lang w:val="fr-CH"/>
        </w:rPr>
        <w:t>).</w:t>
      </w:r>
    </w:p>
    <w:p w:rsidR="00585CFD" w:rsidRDefault="00585CFD" w:rsidP="00585CFD">
      <w:pPr>
        <w:pStyle w:val="Heading2"/>
        <w:rPr>
          <w:lang w:val="fr-CH"/>
        </w:rPr>
      </w:pPr>
      <w:r>
        <w:rPr>
          <w:lang w:val="fr-CH"/>
        </w:rPr>
        <w:t>2.2</w:t>
      </w:r>
      <w:r>
        <w:rPr>
          <w:lang w:val="fr-CH"/>
        </w:rPr>
        <w:tab/>
        <w:t>Calcul des objectifs de qualité de fonctionnement</w:t>
      </w:r>
    </w:p>
    <w:p w:rsidR="00585CFD" w:rsidRDefault="00585CFD" w:rsidP="00585CFD">
      <w:pPr>
        <w:rPr>
          <w:bCs/>
          <w:lang w:val="fr-CH" w:eastAsia="en-GB"/>
        </w:rPr>
      </w:pPr>
      <w:r>
        <w:rPr>
          <w:lang w:val="fr-CH" w:eastAsia="en-GB"/>
        </w:rPr>
        <w:t>La Recommandation UIT-R M.1475</w:t>
      </w:r>
      <w:r>
        <w:rPr>
          <w:b/>
          <w:bCs/>
          <w:lang w:val="fr-CH" w:eastAsia="en-GB"/>
        </w:rPr>
        <w:t xml:space="preserve"> </w:t>
      </w:r>
      <w:r>
        <w:rPr>
          <w:lang w:val="fr-CH" w:eastAsia="en-GB"/>
        </w:rPr>
        <w:t>–</w:t>
      </w:r>
      <w:r>
        <w:rPr>
          <w:b/>
          <w:bCs/>
          <w:lang w:val="fr-CH" w:eastAsia="en-GB"/>
        </w:rPr>
        <w:t xml:space="preserve"> «</w:t>
      </w:r>
      <w:r>
        <w:rPr>
          <w:lang w:val="fr-CH" w:eastAsia="en-GB"/>
        </w:rPr>
        <w:t>Méthode de calcul des objectifs de qualité de fonctionnement des systèmes du service mobile par satellite non géostationnaires exploités dans la bande 1-3 GHz et n'utilisant pas la diversité de satellite</w:t>
      </w:r>
      <w:r>
        <w:rPr>
          <w:b/>
          <w:bCs/>
          <w:lang w:val="fr-CH" w:eastAsia="en-GB"/>
        </w:rPr>
        <w:t xml:space="preserve">» </w:t>
      </w:r>
      <w:r>
        <w:rPr>
          <w:lang w:val="fr-CH" w:eastAsia="en-GB"/>
        </w:rPr>
        <w:t xml:space="preserve">décrit une méthode pour calculer les tolérances en ce qui concerne la durée d'indisponibilité pour les liaisons de service et les liaisons de connexion. </w:t>
      </w:r>
    </w:p>
    <w:p w:rsidR="00585CFD" w:rsidRDefault="00585CFD" w:rsidP="00585CFD">
      <w:pPr>
        <w:rPr>
          <w:b/>
          <w:lang w:val="fr-CH"/>
        </w:rPr>
      </w:pPr>
      <w:r>
        <w:rPr>
          <w:lang w:val="fr-CH"/>
        </w:rPr>
        <w:t>Pour les liaisons de service, il est proposé que les tolérances en ce qui concerne la durée d'indisponibilité ne soient pas supérieures à 0,9 </w:t>
      </w:r>
      <w:r>
        <w:rPr>
          <w:i/>
          <w:iCs/>
          <w:lang w:val="fr-CH"/>
        </w:rPr>
        <w:t>X</w:t>
      </w:r>
      <w:r>
        <w:rPr>
          <w:lang w:val="fr-CH"/>
        </w:rPr>
        <w:t xml:space="preserve"> (%), </w:t>
      </w:r>
      <w:r>
        <w:rPr>
          <w:i/>
          <w:iCs/>
          <w:lang w:val="fr-CH"/>
        </w:rPr>
        <w:t>X</w:t>
      </w:r>
      <w:r>
        <w:rPr>
          <w:lang w:val="fr-CH"/>
        </w:rPr>
        <w:t xml:space="preserve"> représentant le TEB en % (par exemple 0,1%, 1%, 10%, etc.) d'une liaison non OSG du SMS donnée. Etant donné que la limite de puissance surfacique proposée est basée sur un TEB de 2 </w:t>
      </w:r>
      <w:r>
        <w:rPr>
          <w:lang w:val="en-GB"/>
        </w:rPr>
        <w:sym w:font="Symbol" w:char="F0B4"/>
      </w:r>
      <w:r>
        <w:rPr>
          <w:lang w:val="fr-CH"/>
        </w:rPr>
        <w:t> 10</w:t>
      </w:r>
      <w:r>
        <w:rPr>
          <w:vertAlign w:val="superscript"/>
          <w:lang w:val="fr-CH"/>
        </w:rPr>
        <w:t>–4</w:t>
      </w:r>
      <w:r>
        <w:rPr>
          <w:lang w:val="fr-CH"/>
        </w:rPr>
        <w:t>, il en résulte que les tolérances en en ce qui concerne la durée d'indisponibilité ne devraient pas dépasser 1,8 </w:t>
      </w:r>
      <w:r>
        <w:rPr>
          <w:lang w:val="en-GB"/>
        </w:rPr>
        <w:sym w:font="Symbol" w:char="F0B4"/>
      </w:r>
      <w:r>
        <w:rPr>
          <w:lang w:val="fr-CH"/>
        </w:rPr>
        <w:t> 10</w:t>
      </w:r>
      <w:r>
        <w:rPr>
          <w:vertAlign w:val="superscript"/>
          <w:lang w:val="fr-CH"/>
        </w:rPr>
        <w:t>–2</w:t>
      </w:r>
      <w:r>
        <w:rPr>
          <w:lang w:val="fr-CH"/>
        </w:rPr>
        <w:t xml:space="preserve">%. Par conséquent, une tolérance en matière de temps d'indisponibilité moins stricte de 1% est indiquée au point 2 du </w:t>
      </w:r>
      <w:r>
        <w:rPr>
          <w:i/>
          <w:iCs/>
          <w:lang w:val="fr-CH"/>
        </w:rPr>
        <w:t>recommande</w:t>
      </w:r>
      <w:r>
        <w:rPr>
          <w:lang w:val="fr-CH"/>
        </w:rPr>
        <w:t>.</w:t>
      </w:r>
    </w:p>
    <w:p w:rsidR="00585CFD" w:rsidRPr="00583740" w:rsidRDefault="00585CFD" w:rsidP="00585CFD">
      <w:pPr>
        <w:pStyle w:val="Heading1"/>
        <w:rPr>
          <w:szCs w:val="24"/>
          <w:lang w:val="fr-CH"/>
        </w:rPr>
      </w:pPr>
      <w:r w:rsidRPr="00583740">
        <w:rPr>
          <w:szCs w:val="24"/>
          <w:lang w:val="fr-CH"/>
        </w:rPr>
        <w:t>3</w:t>
      </w:r>
      <w:r w:rsidRPr="00583740">
        <w:rPr>
          <w:szCs w:val="24"/>
          <w:lang w:val="fr-CH"/>
        </w:rPr>
        <w:tab/>
        <w:t>Critères de protection applicables au système à satellites non géostationnaires ARGOS4 dans la bande 399,9</w:t>
      </w:r>
      <w:r w:rsidRPr="00583740">
        <w:rPr>
          <w:szCs w:val="24"/>
          <w:lang w:val="fr-CH"/>
        </w:rPr>
        <w:noBreakHyphen/>
        <w:t>400,05 MHz pour protéger ce système contre les émissions brouilleuses à bande étroite</w:t>
      </w:r>
    </w:p>
    <w:p w:rsidR="00585CFD" w:rsidRDefault="00585CFD" w:rsidP="00585CFD">
      <w:pPr>
        <w:pStyle w:val="Heading2"/>
        <w:rPr>
          <w:lang w:val="fr-CH"/>
        </w:rPr>
      </w:pPr>
      <w:r>
        <w:rPr>
          <w:lang w:val="fr-CH"/>
        </w:rPr>
        <w:t>3.1</w:t>
      </w:r>
      <w:r>
        <w:rPr>
          <w:lang w:val="fr-CH"/>
        </w:rPr>
        <w:tab/>
        <w:t>Critères de protection contre les émissions à bande étroite</w:t>
      </w:r>
    </w:p>
    <w:p w:rsidR="00585CFD" w:rsidRDefault="00585CFD" w:rsidP="00585CFD">
      <w:pPr>
        <w:rPr>
          <w:lang w:val="fr-CH"/>
        </w:rPr>
      </w:pPr>
      <w:r>
        <w:rPr>
          <w:lang w:val="fr-CH"/>
        </w:rPr>
        <w:t>Pour mieux comprendre les raisons motivant cette spécification, il faut brièvement rappeler le fonctionnement du récepteur.</w:t>
      </w:r>
    </w:p>
    <w:p w:rsidR="00585CFD" w:rsidRDefault="00585CFD" w:rsidP="00585CFD">
      <w:pPr>
        <w:rPr>
          <w:lang w:val="fr-CH"/>
        </w:rPr>
      </w:pPr>
      <w:r>
        <w:rPr>
          <w:lang w:val="fr-CH"/>
        </w:rPr>
        <w:t>Les émissions du système ARGOS4 du SMS commencent lorsqu'une porteuse non modulée est émise pendant 160 ms pour permettre à une boucle à verrouillage de phase de se verrouiller plus facilement sur la porteuse. La Fig. 1 représente le format des messages du système ARGOS4.</w:t>
      </w:r>
    </w:p>
    <w:p w:rsidR="00585CFD" w:rsidRDefault="00585CFD" w:rsidP="00585CFD">
      <w:pPr>
        <w:pStyle w:val="FigureNo"/>
        <w:rPr>
          <w:lang w:val="fr-CH"/>
        </w:rPr>
      </w:pPr>
      <w:r>
        <w:rPr>
          <w:lang w:val="fr-CH"/>
        </w:rPr>
        <w:t>Figure 1</w:t>
      </w:r>
    </w:p>
    <w:p w:rsidR="00585CFD" w:rsidRDefault="00585CFD" w:rsidP="00585CFD">
      <w:pPr>
        <w:pStyle w:val="Figuretitle"/>
        <w:rPr>
          <w:lang w:val="fr-CH"/>
        </w:rPr>
      </w:pPr>
      <w:r>
        <w:rPr>
          <w:lang w:val="fr-CH"/>
        </w:rPr>
        <w:t>Format des messages du SMS</w:t>
      </w:r>
    </w:p>
    <w:p w:rsidR="00585CFD" w:rsidRDefault="00585CFD" w:rsidP="00585CFD">
      <w:pPr>
        <w:pStyle w:val="Figure"/>
        <w:rPr>
          <w:lang w:val="fr-CH"/>
        </w:rPr>
      </w:pPr>
      <w:r>
        <w:rPr>
          <w:lang w:val="fr-CH"/>
        </w:rPr>
        <w:object w:dxaOrig="3443" w:dyaOrig="389">
          <v:shape id="_x0000_i1026" type="#_x0000_t75" style="width:344.85pt;height:39pt;mso-position-vertical:absolute" o:ole="">
            <v:imagedata r:id="rId14" o:title=""/>
          </v:shape>
          <o:OLEObject Type="Embed" ProgID="CorelDRAW.Graphic.14" ShapeID="_x0000_i1026" DrawAspect="Content" ObjectID="_1471701990" r:id="rId15"/>
        </w:object>
      </w:r>
    </w:p>
    <w:p w:rsidR="00585CFD" w:rsidRDefault="00585CFD" w:rsidP="005A3A4E">
      <w:pPr>
        <w:rPr>
          <w:lang w:val="fr-CH"/>
        </w:rPr>
      </w:pPr>
      <w:r>
        <w:rPr>
          <w:lang w:val="fr-CH"/>
        </w:rPr>
        <w:t>Un analyseur de spectre au niveau du récepteur surveille en permanence la largeur de bande pour toute la couverture considérée afin de rechercher la porteuse pure des émissions du système du SMS. Lorsqu'il détecte cette porteuse, l'analyseur de spectre considère qu'il s'agit du début d'un message du SMS. Cette théorie est fondée sur la détection d'une onde porteuse pure (onde sinusoïdale) dans un environnement avec bruit blanc gaussien supplémentaire. La densité spectrale de puissance du signal reçu (porteuse pure + bruit) est calculée à l'aide de techniques de type Transformée rapide de Fourier et chaque signal dont la puissance dépasse le niveau de seuil du système est traité comme s'il s'agissait d'une balise de détresse du SMS (voir la Fi</w:t>
      </w:r>
      <w:r w:rsidR="005A3A4E">
        <w:rPr>
          <w:lang w:val="fr-CH"/>
        </w:rPr>
        <w:t>g</w:t>
      </w:r>
      <w:r>
        <w:rPr>
          <w:lang w:val="fr-CH"/>
        </w:rPr>
        <w:t>. 2).</w:t>
      </w:r>
    </w:p>
    <w:p w:rsidR="00585CFD" w:rsidRDefault="00585CFD" w:rsidP="00585CFD">
      <w:pPr>
        <w:pStyle w:val="FigureNo"/>
        <w:rPr>
          <w:lang w:val="fr-CH"/>
        </w:rPr>
      </w:pPr>
      <w:r>
        <w:rPr>
          <w:lang w:val="fr-CH"/>
        </w:rPr>
        <w:t>figure 2</w:t>
      </w:r>
    </w:p>
    <w:p w:rsidR="00585CFD" w:rsidRDefault="004830B6" w:rsidP="00585CFD">
      <w:pPr>
        <w:pStyle w:val="Figure"/>
        <w:rPr>
          <w:lang w:val="fr-CH"/>
        </w:rPr>
      </w:pPr>
      <w:r>
        <w:rPr>
          <w:lang w:val="fr-CH"/>
        </w:rPr>
        <w:object w:dxaOrig="5398" w:dyaOrig="2461">
          <v:shape id="_x0000_i1034" type="#_x0000_t75" style="width:373.3pt;height:170.15pt;mso-position-horizontal:absolute" o:ole="">
            <v:imagedata r:id="rId16" o:title=""/>
          </v:shape>
          <o:OLEObject Type="Embed" ProgID="CorelDRAW.Graphic.14" ShapeID="_x0000_i1034" DrawAspect="Content" ObjectID="_1471701991" r:id="rId17"/>
        </w:object>
      </w:r>
    </w:p>
    <w:p w:rsidR="00585CFD" w:rsidRDefault="00585CFD" w:rsidP="00585CFD">
      <w:pPr>
        <w:spacing w:before="360"/>
        <w:rPr>
          <w:lang w:val="fr-CH"/>
        </w:rPr>
      </w:pPr>
      <w:r>
        <w:rPr>
          <w:lang w:val="fr-CH"/>
        </w:rPr>
        <w:t xml:space="preserve">Les processeurs à bord du récepteur ARGOS4 sont donc conçus pour détecter des composantes spectrales discrètes (porteuse de la balise non modulée) et la largeur de bande de résolution correspondante est de 19 Hz. Les signaux dont la puissance dépasse le niveau de seuil sont assignés à une unité de récupération de données (DRU, </w:t>
      </w:r>
      <w:r w:rsidRPr="00643711">
        <w:rPr>
          <w:i/>
          <w:iCs/>
          <w:lang w:val="fr-CH"/>
        </w:rPr>
        <w:t>data recovery unit</w:t>
      </w:r>
      <w:r>
        <w:rPr>
          <w:lang w:val="fr-CH"/>
        </w:rPr>
        <w:t xml:space="preserve">) embarquée, pour traitement supplémentaire et transmission vers la Terre sur le canal de télémesure prévu pour la mission </w:t>
      </w:r>
    </w:p>
    <w:p w:rsidR="00585CFD" w:rsidRDefault="00585CFD" w:rsidP="00585CFD">
      <w:pPr>
        <w:rPr>
          <w:lang w:val="fr-CH"/>
        </w:rPr>
      </w:pPr>
      <w:r>
        <w:rPr>
          <w:lang w:val="fr-CH"/>
        </w:rPr>
        <w:t xml:space="preserve">Afin de satisfaire aux exigences de qualité de fonctionnement, en termes de probabilité de détection, du système ARGOS4 pour une large gamme d'applications d'utilisateur, le récepteur ARGOS4 a été conçu pour détecter et traiter des signaux extrêmement faibles. Cet instrument fonctionne de telle manière que tout signal, </w:t>
      </w:r>
      <w:r>
        <w:rPr>
          <w:i/>
          <w:iCs/>
          <w:lang w:val="fr-CH"/>
        </w:rPr>
        <w:t>C</w:t>
      </w:r>
      <w:r>
        <w:rPr>
          <w:i/>
          <w:iCs/>
          <w:vertAlign w:val="subscript"/>
          <w:lang w:val="fr-CH"/>
        </w:rPr>
        <w:t>min</w:t>
      </w:r>
      <w:r>
        <w:rPr>
          <w:lang w:val="fr-CH"/>
        </w:rPr>
        <w:t>, dont la puissance est supérieure de 21 dB(Hz) au niveau de la densité de bruit local (</w:t>
      </w:r>
      <w:r>
        <w:rPr>
          <w:i/>
          <w:iCs/>
          <w:lang w:val="fr-CH"/>
        </w:rPr>
        <w:t>C</w:t>
      </w:r>
      <w:r>
        <w:rPr>
          <w:i/>
          <w:iCs/>
          <w:vertAlign w:val="subscript"/>
          <w:lang w:val="fr-CH"/>
        </w:rPr>
        <w:t>min</w:t>
      </w:r>
      <w:r>
        <w:rPr>
          <w:rFonts w:ascii="Tms Rmn" w:hAnsi="Tms Rmn"/>
          <w:sz w:val="4"/>
          <w:lang w:val="fr-CH"/>
        </w:rPr>
        <w:t> </w:t>
      </w:r>
      <w:r>
        <w:rPr>
          <w:lang w:val="fr-CH"/>
        </w:rPr>
        <w:t>/</w:t>
      </w:r>
      <w:r>
        <w:rPr>
          <w:rFonts w:ascii="Tms Rmn" w:hAnsi="Tms Rmn"/>
          <w:sz w:val="4"/>
          <w:lang w:val="fr-CH"/>
        </w:rPr>
        <w:t> </w:t>
      </w:r>
      <w:r>
        <w:rPr>
          <w:i/>
          <w:iCs/>
          <w:lang w:val="fr-CH"/>
        </w:rPr>
        <w:t>N</w:t>
      </w:r>
      <w:r>
        <w:rPr>
          <w:vertAlign w:val="subscript"/>
          <w:lang w:val="fr-CH"/>
        </w:rPr>
        <w:t>0</w:t>
      </w:r>
      <w:r>
        <w:rPr>
          <w:lang w:val="fr-CH"/>
        </w:rPr>
        <w:t> &gt; 21 dB(Hz)) sera assigné à une unité DRU pour traitement complémentaire. En conséquence, les signaux brouilleurs en bande étroite qui satisfont à ces critères se verront attribuer une unité DRU, de sorte que la qualité de fonctionnement du système ARGOS, en termes de capacité (nombre de messages collectés simultanément par le système de collecte de données pouvant être traités par exemple), sera gravement détériorée.</w:t>
      </w:r>
    </w:p>
    <w:p w:rsidR="00585CFD" w:rsidRDefault="00585CFD" w:rsidP="00585CFD">
      <w:pPr>
        <w:rPr>
          <w:lang w:val="fr-CH"/>
        </w:rPr>
      </w:pPr>
      <w:r>
        <w:rPr>
          <w:lang w:val="fr-CH"/>
        </w:rPr>
        <w:t>Pour le système ARGOS, les valeurs types sont les suivantes: facteur de bruit = 3 dB (valeur type du système ARGOS4); température du bruit de fond pour le cas le plus défavorable = 1</w:t>
      </w:r>
      <w:r>
        <w:rPr>
          <w:rFonts w:ascii="Tms Rmn" w:hAnsi="Tms Rmn"/>
          <w:sz w:val="12"/>
          <w:lang w:val="fr-CH"/>
        </w:rPr>
        <w:t> </w:t>
      </w:r>
      <w:r>
        <w:rPr>
          <w:lang w:val="fr-CH"/>
        </w:rPr>
        <w:t>200 K; affaiblissement entre l'antenne et le récepteur = 1,6 dB. La température de bruit du système à l'entrée du récepteur est donc égale à 1</w:t>
      </w:r>
      <w:r>
        <w:rPr>
          <w:rFonts w:ascii="Tms Rmn" w:hAnsi="Tms Rmn"/>
          <w:sz w:val="12"/>
          <w:lang w:val="fr-CH"/>
        </w:rPr>
        <w:t> </w:t>
      </w:r>
      <w:r>
        <w:rPr>
          <w:lang w:val="fr-CH"/>
        </w:rPr>
        <w:t>214 K, de sorte que la densité spectrale de bruit est égale à </w:t>
      </w:r>
      <w:r w:rsidR="005A3A4E">
        <w:rPr>
          <w:lang w:val="fr-CH"/>
        </w:rPr>
        <w:br/>
      </w:r>
      <w:r>
        <w:rPr>
          <w:i/>
          <w:iCs/>
          <w:lang w:val="fr-CH"/>
        </w:rPr>
        <w:t>N</w:t>
      </w:r>
      <w:r>
        <w:rPr>
          <w:vertAlign w:val="subscript"/>
          <w:lang w:val="fr-CH"/>
        </w:rPr>
        <w:t>0</w:t>
      </w:r>
      <w:r>
        <w:rPr>
          <w:lang w:val="fr-CH"/>
        </w:rPr>
        <w:t> = –197,8 dB(W/Hz).</w:t>
      </w:r>
    </w:p>
    <w:p w:rsidR="00585CFD" w:rsidRDefault="00585CFD" w:rsidP="00585CFD">
      <w:pPr>
        <w:rPr>
          <w:lang w:val="fr-CH"/>
        </w:rPr>
      </w:pPr>
      <w:r>
        <w:rPr>
          <w:lang w:val="fr-CH"/>
        </w:rPr>
        <w:t xml:space="preserve">Etant donné que le rapport </w:t>
      </w:r>
      <w:r>
        <w:rPr>
          <w:i/>
          <w:iCs/>
          <w:lang w:val="fr-CH"/>
        </w:rPr>
        <w:t>C</w:t>
      </w:r>
      <w:r>
        <w:rPr>
          <w:i/>
          <w:iCs/>
          <w:vertAlign w:val="subscript"/>
          <w:lang w:val="fr-CH"/>
        </w:rPr>
        <w:t>min</w:t>
      </w:r>
      <w:r>
        <w:rPr>
          <w:rFonts w:ascii="Tms Rmn" w:hAnsi="Tms Rmn"/>
          <w:sz w:val="4"/>
          <w:lang w:val="fr-CH"/>
        </w:rPr>
        <w:t> </w:t>
      </w:r>
      <w:r>
        <w:rPr>
          <w:lang w:val="fr-CH"/>
        </w:rPr>
        <w:t>/</w:t>
      </w:r>
      <w:r>
        <w:rPr>
          <w:rFonts w:ascii="Tms Rmn" w:hAnsi="Tms Rmn"/>
          <w:sz w:val="4"/>
          <w:lang w:val="fr-CH"/>
        </w:rPr>
        <w:t> </w:t>
      </w:r>
      <w:r>
        <w:rPr>
          <w:i/>
          <w:iCs/>
          <w:lang w:val="fr-CH"/>
        </w:rPr>
        <w:t>N</w:t>
      </w:r>
      <w:r>
        <w:rPr>
          <w:vertAlign w:val="subscript"/>
          <w:lang w:val="fr-CH"/>
        </w:rPr>
        <w:t>0</w:t>
      </w:r>
      <w:r>
        <w:rPr>
          <w:lang w:val="fr-CH"/>
        </w:rPr>
        <w:t xml:space="preserve"> = 21 dB(Hz), </w:t>
      </w:r>
      <w:r>
        <w:rPr>
          <w:i/>
          <w:iCs/>
          <w:lang w:val="fr-CH"/>
        </w:rPr>
        <w:t>C</w:t>
      </w:r>
      <w:r>
        <w:rPr>
          <w:i/>
          <w:iCs/>
          <w:vertAlign w:val="subscript"/>
          <w:lang w:val="fr-CH"/>
        </w:rPr>
        <w:t>min</w:t>
      </w:r>
      <w:r>
        <w:rPr>
          <w:lang w:val="fr-CH"/>
        </w:rPr>
        <w:t> = –176,8 dBW. En conséquence, tout rayonnement non essentiel en bande étroite dont le niveau est supérieur à –176,8 dBW à l'entrée du récepteur ARGOS4 entraînera une dégradation de la capacité du système.</w:t>
      </w:r>
    </w:p>
    <w:p w:rsidR="00585CFD" w:rsidRDefault="00585CFD" w:rsidP="00585CFD">
      <w:pPr>
        <w:rPr>
          <w:lang w:val="fr-CH"/>
        </w:rPr>
      </w:pPr>
      <w:r>
        <w:rPr>
          <w:lang w:val="fr-CH"/>
        </w:rPr>
        <w:t>Il faut donc calculer le niveau maximal admissible du brouillage à bande étroite à l'entrée de l'antenne du système ARGOS4.</w:t>
      </w:r>
    </w:p>
    <w:p w:rsidR="00585CFD" w:rsidRDefault="00585CFD" w:rsidP="00585CFD">
      <w:pPr>
        <w:rPr>
          <w:lang w:val="fr-CH"/>
        </w:rPr>
      </w:pPr>
      <w:r>
        <w:rPr>
          <w:lang w:val="fr-CH"/>
        </w:rPr>
        <w:t>Dans le Tableau 1, les spécifications du diagramme de gain de l'antenne de réception du système ARGOS4 sont données par rapport au nadir (voir § 2.1 ci-dessus).</w:t>
      </w:r>
    </w:p>
    <w:p w:rsidR="00585CFD" w:rsidRDefault="00585CFD" w:rsidP="00585CFD">
      <w:pPr>
        <w:rPr>
          <w:lang w:val="fr-CH"/>
        </w:rPr>
      </w:pPr>
      <w:r>
        <w:rPr>
          <w:lang w:val="fr-CH"/>
        </w:rPr>
        <w:t xml:space="preserve">En conséquence, la puissance maximale admissible dans le récepteur et avant l'antenne est égale </w:t>
      </w:r>
      <w:r>
        <w:rPr>
          <w:lang w:val="fr-CH"/>
        </w:rPr>
        <w:br/>
        <w:t>à –176,8 + 1,6 (affaiblissements) = –175,2 dBW. Etant donné que l'on doit connaître la puissance surfacique, il faut convertir cette valeur en dB(W/m</w:t>
      </w:r>
      <w:r>
        <w:rPr>
          <w:vertAlign w:val="superscript"/>
          <w:lang w:val="fr-CH"/>
        </w:rPr>
        <w:t>2</w:t>
      </w:r>
      <w:r>
        <w:rPr>
          <w:lang w:val="fr-CH"/>
        </w:rPr>
        <w:t xml:space="preserve">). On utilise le plus grand angle du satellite par rapport au nadir pour obtenir un gain d'antenne de 3,85 dBi et cette valeur est transformée en une surface apparente, selon la formule </w:t>
      </w:r>
      <w:r>
        <w:rPr>
          <w:position w:val="-24"/>
          <w:lang w:val="en-GB"/>
        </w:rPr>
        <w:object w:dxaOrig="1000" w:dyaOrig="660">
          <v:shape id="_x0000_i1028" type="#_x0000_t75" style="width:50pt;height:33pt" o:ole="">
            <v:imagedata r:id="rId18" o:title=""/>
          </v:shape>
          <o:OLEObject Type="Embed" ProgID="Equation.3" ShapeID="_x0000_i1028" DrawAspect="Content" ObjectID="_1471701992" r:id="rId19"/>
        </w:object>
      </w:r>
      <w:r>
        <w:rPr>
          <w:lang w:val="fr-CH"/>
        </w:rPr>
        <w:t>. En conséquence, la puissance surfacique correspondante est égale à –175,2 – 10 log</w:t>
      </w:r>
      <w:r>
        <w:rPr>
          <w:vertAlign w:val="subscript"/>
          <w:lang w:val="fr-CH"/>
        </w:rPr>
        <w:t>10</w:t>
      </w:r>
      <w:r>
        <w:rPr>
          <w:lang w:val="fr-CH"/>
        </w:rPr>
        <w:t xml:space="preserve"> </w:t>
      </w:r>
      <w:r>
        <w:rPr>
          <w:i/>
          <w:iCs/>
          <w:lang w:val="fr-CH"/>
        </w:rPr>
        <w:t>S</w:t>
      </w:r>
      <w:r>
        <w:rPr>
          <w:lang w:val="fr-CH"/>
        </w:rPr>
        <w:t xml:space="preserve"> = –165,4 dB(W/m2).</w:t>
      </w:r>
    </w:p>
    <w:p w:rsidR="00585CFD" w:rsidRDefault="00585CFD" w:rsidP="00585CFD">
      <w:pPr>
        <w:pStyle w:val="Heading2"/>
        <w:rPr>
          <w:lang w:val="fr-CH"/>
        </w:rPr>
      </w:pPr>
      <w:r>
        <w:rPr>
          <w:lang w:val="fr-CH"/>
        </w:rPr>
        <w:t>3.2</w:t>
      </w:r>
      <w:r>
        <w:rPr>
          <w:lang w:val="fr-CH"/>
        </w:rPr>
        <w:tab/>
        <w:t>Conclusion</w:t>
      </w:r>
    </w:p>
    <w:p w:rsidR="00585CFD" w:rsidRDefault="00585CFD" w:rsidP="00585CFD">
      <w:pPr>
        <w:rPr>
          <w:lang w:val="fr-CH"/>
        </w:rPr>
      </w:pPr>
      <w:r>
        <w:rPr>
          <w:lang w:val="fr-CH"/>
        </w:rPr>
        <w:t>Les calculs ci-dessus permettent de formuler les conclusions et recommandations suivantes: les émissions spectrales brouilleuses cumulées en bande étroite ne doivent pas être supérieures à –165,4 dB(W/m</w:t>
      </w:r>
      <w:r>
        <w:rPr>
          <w:vertAlign w:val="superscript"/>
          <w:lang w:val="fr-CH"/>
        </w:rPr>
        <w:t>2</w:t>
      </w:r>
      <w:r>
        <w:rPr>
          <w:lang w:val="fr-CH"/>
        </w:rPr>
        <w:t xml:space="preserve">) à l'entrée de l'antenne du système ARGOS4 dans la bande de fréquences 399,9-400,05 MHz, pour une largeur de bande de résolution de 19 Hz. </w:t>
      </w:r>
    </w:p>
    <w:p w:rsidR="00A6617B" w:rsidRDefault="00A6617B" w:rsidP="00242AEE">
      <w:pPr>
        <w:pStyle w:val="HeadingSum"/>
        <w:rPr>
          <w:lang w:val="fr-CH"/>
        </w:rPr>
      </w:pPr>
    </w:p>
    <w:p w:rsidR="00585CFD" w:rsidRDefault="00585CFD" w:rsidP="00585CFD">
      <w:pPr>
        <w:rPr>
          <w:lang w:val="fr-CH"/>
        </w:rPr>
      </w:pPr>
    </w:p>
    <w:p w:rsidR="00585CFD" w:rsidRPr="00585CFD" w:rsidRDefault="00585CFD" w:rsidP="00585CFD">
      <w:pPr>
        <w:jc w:val="center"/>
        <w:rPr>
          <w:lang w:val="fr-CH"/>
        </w:rPr>
      </w:pPr>
      <w:r>
        <w:rPr>
          <w:lang w:val="fr-CH"/>
        </w:rPr>
        <w:t>____________</w:t>
      </w:r>
    </w:p>
    <w:sectPr w:rsidR="00585CFD" w:rsidRPr="00585CFD" w:rsidSect="0094469C">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6A3" w:rsidRDefault="005D46A3">
      <w:r>
        <w:separator/>
      </w:r>
    </w:p>
  </w:endnote>
  <w:endnote w:type="continuationSeparator" w:id="0">
    <w:p w:rsidR="005D46A3" w:rsidRDefault="005D4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6A3" w:rsidRDefault="005D46A3">
      <w:r>
        <w:separator/>
      </w:r>
    </w:p>
  </w:footnote>
  <w:footnote w:type="continuationSeparator" w:id="0">
    <w:p w:rsidR="005D46A3" w:rsidRDefault="005D4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6A3" w:rsidRDefault="005D46A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6A3" w:rsidRDefault="005D46A3" w:rsidP="00C668C8">
    <w:pPr>
      <w:pStyle w:val="Header"/>
      <w:ind w:right="360" w:firstLine="360"/>
    </w:pPr>
    <w:r>
      <w:rPr>
        <w:noProof/>
        <w:lang w:val="en-US" w:eastAsia="zh-CN"/>
      </w:rPr>
      <w:drawing>
        <wp:anchor distT="0" distB="0" distL="114300" distR="114300" simplePos="0" relativeHeight="251659264" behindDoc="1" locked="0" layoutInCell="1" allowOverlap="1" wp14:anchorId="28DB9CCA" wp14:editId="0C1AB79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6A3" w:rsidRPr="00837CB5" w:rsidRDefault="005D46A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A3A4E">
      <w:rPr>
        <w:rStyle w:val="PageNumber"/>
        <w:b/>
        <w:bCs/>
        <w:noProof/>
      </w:rPr>
      <w:t>ii</w:t>
    </w:r>
    <w:r>
      <w:rPr>
        <w:rStyle w:val="PageNumber"/>
        <w:b/>
        <w:bCs/>
      </w:rPr>
      <w:fldChar w:fldCharType="end"/>
    </w:r>
    <w:r w:rsidRPr="00837CB5">
      <w:tab/>
    </w:r>
    <w:r>
      <w:fldChar w:fldCharType="begin"/>
    </w:r>
    <w:r>
      <w:instrText xml:space="preserve"> DOCPROPERTY "Header" \* MERGEFORMAT </w:instrText>
    </w:r>
    <w:r>
      <w:fldChar w:fldCharType="separate"/>
    </w:r>
    <w:r w:rsidR="004830B6" w:rsidRPr="004830B6">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A3A4E">
      <w:rPr>
        <w:b/>
        <w:bCs/>
        <w:noProof/>
      </w:rPr>
      <w:t>UIT-R  M.2046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6A3" w:rsidRDefault="005D46A3">
    <w:pPr>
      <w:pStyle w:val="Header"/>
    </w:pPr>
    <w:r>
      <w:tab/>
    </w:r>
    <w:r>
      <w:fldChar w:fldCharType="begin"/>
    </w:r>
    <w:r>
      <w:instrText xml:space="preserve"> DOCPROPERTY "Header" \* MERGEFORMAT </w:instrText>
    </w:r>
    <w:r>
      <w:fldChar w:fldCharType="separate"/>
    </w:r>
    <w:r w:rsidR="004830B6" w:rsidRPr="004830B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830B6">
      <w:rPr>
        <w:b/>
        <w:bCs/>
        <w:noProof/>
      </w:rPr>
      <w:t>UIT-R  M.2046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A3A4E">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830B6" w:rsidRPr="004830B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A3A4E">
      <w:rPr>
        <w:b/>
        <w:bCs/>
        <w:noProof/>
      </w:rPr>
      <w:t>UIT-R  M.2046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5A3A4E">
      <w:fldChar w:fldCharType="begin"/>
    </w:r>
    <w:r w:rsidR="005A3A4E">
      <w:instrText xml:space="preserve"> DOCPROPERTY "Header" \* MERGEFORMAT </w:instrText>
    </w:r>
    <w:r w:rsidR="005A3A4E">
      <w:fldChar w:fldCharType="separate"/>
    </w:r>
    <w:r w:rsidR="004830B6" w:rsidRPr="004830B6">
      <w:rPr>
        <w:b/>
        <w:bCs/>
      </w:rPr>
      <w:t xml:space="preserve">Rec. </w:t>
    </w:r>
    <w:r w:rsidR="005A3A4E">
      <w:rPr>
        <w:b/>
        <w:bCs/>
      </w:rPr>
      <w:fldChar w:fldCharType="end"/>
    </w:r>
    <w:r>
      <w:rPr>
        <w:b/>
        <w:bCs/>
      </w:rPr>
      <w:t xml:space="preserve"> </w:t>
    </w:r>
    <w:r>
      <w:rPr>
        <w:b/>
        <w:bCs/>
      </w:rPr>
      <w:fldChar w:fldCharType="begin"/>
    </w:r>
    <w:r>
      <w:rPr>
        <w:b/>
        <w:bCs/>
      </w:rPr>
      <w:instrText>styleref href</w:instrText>
    </w:r>
    <w:r>
      <w:rPr>
        <w:b/>
        <w:bCs/>
      </w:rPr>
      <w:fldChar w:fldCharType="separate"/>
    </w:r>
    <w:r w:rsidR="005A3A4E">
      <w:rPr>
        <w:b/>
        <w:bCs/>
        <w:noProof/>
      </w:rPr>
      <w:t>UIT-R  M.2046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A3A4E">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6A3"/>
    <w:rsid w:val="00217EBF"/>
    <w:rsid w:val="00242AEE"/>
    <w:rsid w:val="002D76C4"/>
    <w:rsid w:val="004830B6"/>
    <w:rsid w:val="0052529D"/>
    <w:rsid w:val="00585CFD"/>
    <w:rsid w:val="005A3A4E"/>
    <w:rsid w:val="005D46A3"/>
    <w:rsid w:val="00607D68"/>
    <w:rsid w:val="007468DA"/>
    <w:rsid w:val="0094469C"/>
    <w:rsid w:val="009E00A8"/>
    <w:rsid w:val="00A6617B"/>
    <w:rsid w:val="00AB0DC8"/>
    <w:rsid w:val="00B44E24"/>
    <w:rsid w:val="00DB4149"/>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4D55D35-2077-4B06-9CBF-1691C27C4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6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D46A3"/>
    <w:rPr>
      <w:color w:val="0000FF"/>
      <w:u w:val="single"/>
    </w:rPr>
  </w:style>
  <w:style w:type="character" w:customStyle="1" w:styleId="CallChar">
    <w:name w:val="Call Char"/>
    <w:link w:val="Call"/>
    <w:locked/>
    <w:rsid w:val="00585CFD"/>
    <w:rPr>
      <w:i/>
      <w:sz w:val="24"/>
      <w:lang w:val="fr-FR" w:eastAsia="en-US"/>
    </w:rPr>
  </w:style>
  <w:style w:type="character" w:customStyle="1" w:styleId="enumlev1Char">
    <w:name w:val="enumlev1 Char"/>
    <w:link w:val="enumlev1"/>
    <w:locked/>
    <w:rsid w:val="00585CFD"/>
    <w:rPr>
      <w:sz w:val="24"/>
      <w:lang w:val="fr-FR" w:eastAsia="en-US"/>
    </w:rPr>
  </w:style>
  <w:style w:type="character" w:customStyle="1" w:styleId="EquationChar">
    <w:name w:val="Equation Char"/>
    <w:link w:val="Equation"/>
    <w:locked/>
    <w:rsid w:val="00585CFD"/>
    <w:rPr>
      <w:sz w:val="24"/>
      <w:lang w:val="fr-FR" w:eastAsia="en-US"/>
    </w:rPr>
  </w:style>
  <w:style w:type="character" w:customStyle="1" w:styleId="TabletextChar">
    <w:name w:val="Table_text Char"/>
    <w:basedOn w:val="DefaultParagraphFont"/>
    <w:link w:val="Tabletext"/>
    <w:locked/>
    <w:rsid w:val="00585CFD"/>
    <w:rPr>
      <w:sz w:val="22"/>
      <w:lang w:val="fr-FR" w:eastAsia="en-US"/>
    </w:rPr>
  </w:style>
  <w:style w:type="character" w:customStyle="1" w:styleId="TableNo0">
    <w:name w:val="Table_No Знак"/>
    <w:link w:val="TableNo"/>
    <w:locked/>
    <w:rsid w:val="00585CFD"/>
    <w:rPr>
      <w:sz w:val="24"/>
      <w:lang w:val="fr-FR" w:eastAsia="en-US"/>
    </w:rPr>
  </w:style>
  <w:style w:type="character" w:customStyle="1" w:styleId="Tabletitle0">
    <w:name w:val="Table_title Знак"/>
    <w:link w:val="Tabletitle"/>
    <w:locked/>
    <w:rsid w:val="00585CFD"/>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wmf"/><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43</TotalTime>
  <Pages>8</Pages>
  <Words>2609</Words>
  <Characters>14136</Characters>
  <Application>Microsoft Office Word</Application>
  <DocSecurity>0</DocSecurity>
  <Lines>471</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5</cp:revision>
  <cp:lastPrinted>2005-02-10T15:54:00Z</cp:lastPrinted>
  <dcterms:created xsi:type="dcterms:W3CDTF">2014-09-08T14:34:00Z</dcterms:created>
  <dcterms:modified xsi:type="dcterms:W3CDTF">2014-09-08T15:18:00Z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