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D4362D"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F25C8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F25C84">
              <w:rPr>
                <w:rFonts w:ascii="Tahoma" w:hAnsi="Tahoma" w:cs="Tahoma"/>
                <w:b/>
                <w:bCs/>
                <w:iCs/>
                <w:color w:val="243285"/>
                <w:sz w:val="36"/>
                <w:szCs w:val="36"/>
                <w:lang w:val="es-ES_tradnl"/>
              </w:rPr>
              <w:t>2031-1</w:t>
            </w:r>
          </w:p>
          <w:p w:rsidR="00042292" w:rsidRPr="00A07AEB" w:rsidRDefault="00042292" w:rsidP="00F25C8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F25C84">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sidR="00F25C84">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042292" w:rsidRPr="000643D5"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0643D5" w:rsidP="000643D5">
            <w:pPr>
              <w:spacing w:before="80" w:line="500" w:lineRule="exact"/>
              <w:jc w:val="right"/>
              <w:rPr>
                <w:rFonts w:ascii="Tahoma" w:hAnsi="Tahoma" w:cs="Tahoma"/>
                <w:b/>
                <w:bCs/>
                <w:color w:val="243285"/>
                <w:sz w:val="44"/>
                <w:szCs w:val="44"/>
                <w:lang w:val="es-ES_tradnl"/>
              </w:rPr>
            </w:pPr>
            <w:r w:rsidRPr="000643D5">
              <w:rPr>
                <w:rFonts w:ascii="Tahoma" w:hAnsi="Tahoma" w:cs="Tahoma"/>
                <w:b/>
                <w:bCs/>
                <w:color w:val="243285"/>
                <w:sz w:val="44"/>
                <w:szCs w:val="44"/>
                <w:lang w:val="es-ES_tradnl"/>
              </w:rPr>
              <w:t xml:space="preserve">Características y criterios de protección </w:t>
            </w:r>
            <w:r>
              <w:rPr>
                <w:rFonts w:ascii="Tahoma" w:hAnsi="Tahoma" w:cs="Tahoma"/>
                <w:b/>
                <w:bCs/>
                <w:color w:val="243285"/>
                <w:sz w:val="44"/>
                <w:szCs w:val="44"/>
                <w:lang w:val="es-ES_tradnl"/>
              </w:rPr>
              <w:br/>
            </w:r>
            <w:r w:rsidRPr="000643D5">
              <w:rPr>
                <w:rFonts w:ascii="Tahoma" w:hAnsi="Tahoma" w:cs="Tahoma"/>
                <w:b/>
                <w:bCs/>
                <w:color w:val="243285"/>
                <w:sz w:val="44"/>
                <w:szCs w:val="44"/>
                <w:lang w:val="es-ES_tradnl"/>
              </w:rPr>
              <w:t>de las estaciones terrenas receptoras</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0643D5">
              <w:rPr>
                <w:rFonts w:ascii="Tahoma" w:hAnsi="Tahoma" w:cs="Tahoma"/>
                <w:b/>
                <w:bCs/>
                <w:color w:val="243285"/>
                <w:sz w:val="44"/>
                <w:szCs w:val="44"/>
                <w:lang w:val="es-ES_tradnl"/>
              </w:rPr>
              <w:t>y características de las estaciones espaciales transmisoras del</w:t>
            </w:r>
            <w:r>
              <w:rPr>
                <w:rFonts w:ascii="Tahoma" w:hAnsi="Tahoma" w:cs="Tahoma"/>
                <w:b/>
                <w:bCs/>
                <w:color w:val="243285"/>
                <w:sz w:val="44"/>
                <w:szCs w:val="44"/>
                <w:lang w:val="es-ES_tradnl"/>
              </w:rPr>
              <w:t xml:space="preserve"> </w:t>
            </w:r>
            <w:r w:rsidRPr="000643D5">
              <w:rPr>
                <w:rFonts w:ascii="Tahoma" w:hAnsi="Tahoma" w:cs="Tahoma"/>
                <w:b/>
                <w:bCs/>
                <w:color w:val="243285"/>
                <w:sz w:val="44"/>
                <w:szCs w:val="44"/>
                <w:lang w:val="es-ES_tradnl"/>
              </w:rPr>
              <w:t xml:space="preserve">servicio </w:t>
            </w:r>
            <w:r>
              <w:rPr>
                <w:rFonts w:ascii="Tahoma" w:hAnsi="Tahoma" w:cs="Tahoma"/>
                <w:b/>
                <w:bCs/>
                <w:color w:val="243285"/>
                <w:sz w:val="44"/>
                <w:szCs w:val="44"/>
                <w:lang w:val="es-ES_tradnl"/>
              </w:rPr>
              <w:br/>
            </w:r>
            <w:r w:rsidRPr="000643D5">
              <w:rPr>
                <w:rFonts w:ascii="Tahoma" w:hAnsi="Tahoma" w:cs="Tahoma"/>
                <w:b/>
                <w:bCs/>
                <w:color w:val="243285"/>
                <w:sz w:val="44"/>
                <w:szCs w:val="44"/>
                <w:lang w:val="es-ES_tradnl"/>
              </w:rPr>
              <w:t xml:space="preserve">de radionavegación por satélite </w:t>
            </w:r>
            <w:r>
              <w:rPr>
                <w:rFonts w:ascii="Tahoma" w:hAnsi="Tahoma" w:cs="Tahoma"/>
                <w:b/>
                <w:bCs/>
                <w:color w:val="243285"/>
                <w:sz w:val="44"/>
                <w:szCs w:val="44"/>
                <w:lang w:val="es-ES_tradnl"/>
              </w:rPr>
              <w:br/>
            </w:r>
            <w:r w:rsidRPr="000643D5">
              <w:rPr>
                <w:rFonts w:ascii="Tahoma" w:hAnsi="Tahoma" w:cs="Tahoma"/>
                <w:b/>
                <w:bCs/>
                <w:color w:val="243285"/>
                <w:sz w:val="44"/>
                <w:szCs w:val="44"/>
                <w:lang w:val="es-ES_tradnl"/>
              </w:rPr>
              <w:t>(espacio-Tierra)</w:t>
            </w:r>
            <w:r>
              <w:rPr>
                <w:rFonts w:ascii="Tahoma" w:hAnsi="Tahoma" w:cs="Tahoma"/>
                <w:b/>
                <w:bCs/>
                <w:color w:val="243285"/>
                <w:sz w:val="44"/>
                <w:szCs w:val="44"/>
                <w:lang w:val="es-ES_tradnl"/>
              </w:rPr>
              <w:t xml:space="preserve"> </w:t>
            </w:r>
            <w:r w:rsidRPr="000643D5">
              <w:rPr>
                <w:rFonts w:ascii="Tahoma" w:hAnsi="Tahoma" w:cs="Tahoma"/>
                <w:b/>
                <w:bCs/>
                <w:color w:val="243285"/>
                <w:sz w:val="44"/>
                <w:szCs w:val="44"/>
                <w:lang w:val="es-ES_tradnl"/>
              </w:rPr>
              <w:t xml:space="preserve">que funcionan </w:t>
            </w:r>
            <w:r>
              <w:rPr>
                <w:rFonts w:ascii="Tahoma" w:hAnsi="Tahoma" w:cs="Tahoma"/>
                <w:b/>
                <w:bCs/>
                <w:color w:val="243285"/>
                <w:sz w:val="44"/>
                <w:szCs w:val="44"/>
                <w:lang w:val="es-ES_tradnl"/>
              </w:rPr>
              <w:br/>
            </w:r>
            <w:r w:rsidRPr="000643D5">
              <w:rPr>
                <w:rFonts w:ascii="Tahoma" w:hAnsi="Tahoma" w:cs="Tahoma"/>
                <w:b/>
                <w:bCs/>
                <w:color w:val="243285"/>
                <w:sz w:val="44"/>
                <w:szCs w:val="44"/>
                <w:lang w:val="es-ES_tradnl"/>
              </w:rPr>
              <w:t>en la banda 5 010-5 030 MHz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F25C84"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F25C84"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F25C8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F25C84"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042292" w:rsidRPr="00F25C84"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042292" w:rsidRPr="00F25C8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F25C8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F25C84"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F25C84"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D4362D">
        <w:rPr>
          <w:sz w:val="20"/>
          <w:lang w:val="es-ES_tradnl"/>
        </w:rPr>
        <w:t>6</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D4362D">
        <w:rPr>
          <w:sz w:val="20"/>
          <w:lang w:val="es-ES_tradnl"/>
        </w:rPr>
        <w:t>6</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4D6AAE">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4D6AAE">
        <w:rPr>
          <w:rStyle w:val="href"/>
          <w:lang w:val="es-ES_tradnl"/>
        </w:rPr>
        <w:t>2031-1</w:t>
      </w:r>
      <w:r w:rsidR="0075790F" w:rsidRPr="005F2432">
        <w:rPr>
          <w:position w:val="6"/>
          <w:szCs w:val="28"/>
          <w:vertAlign w:val="superscript"/>
          <w:lang w:val="es-ES_tradnl" w:eastAsia="ja-JP"/>
        </w:rPr>
        <w:footnoteReference w:id="1"/>
      </w:r>
    </w:p>
    <w:p w:rsidR="00F25C84" w:rsidRPr="005F2432" w:rsidRDefault="00F25C84" w:rsidP="00F25C84">
      <w:pPr>
        <w:pStyle w:val="Rectitle"/>
        <w:rPr>
          <w:lang w:val="es-ES_tradnl"/>
        </w:rPr>
      </w:pPr>
      <w:r w:rsidRPr="005F2432">
        <w:rPr>
          <w:lang w:val="es-ES_tradnl"/>
        </w:rPr>
        <w:t>Características y criterios de protección de las estaciones terrenas receptoras</w:t>
      </w:r>
      <w:r w:rsidRPr="005F2432">
        <w:rPr>
          <w:lang w:val="es-ES_tradnl"/>
        </w:rPr>
        <w:br/>
        <w:t xml:space="preserve">y características de las estaciones espaciales transmisoras </w:t>
      </w:r>
      <w:r>
        <w:rPr>
          <w:lang w:val="es-ES_tradnl"/>
        </w:rPr>
        <w:t xml:space="preserve">del </w:t>
      </w:r>
      <w:r w:rsidRPr="005F2432">
        <w:rPr>
          <w:lang w:val="es-ES_tradnl"/>
        </w:rPr>
        <w:br/>
        <w:t>servicio de radionavegación por satélite (espacio-Tierra)</w:t>
      </w:r>
      <w:r w:rsidRPr="005F2432">
        <w:rPr>
          <w:lang w:val="es-ES_tradnl"/>
        </w:rPr>
        <w:br/>
        <w:t>que funcionan en la banda 5 010-5 030 MHz</w:t>
      </w:r>
    </w:p>
    <w:p w:rsidR="00F25C84" w:rsidRPr="005F2432" w:rsidRDefault="00F25C84" w:rsidP="00F25C84">
      <w:pPr>
        <w:pStyle w:val="Recref"/>
        <w:rPr>
          <w:lang w:val="es-ES_tradnl"/>
        </w:rPr>
      </w:pPr>
      <w:r w:rsidRPr="005F2432">
        <w:rPr>
          <w:lang w:val="es-ES_tradnl"/>
        </w:rPr>
        <w:t>(Cuestiones 217-2/4 y 288/4 del UIT-R)</w:t>
      </w:r>
    </w:p>
    <w:p w:rsidR="00F25C84" w:rsidRPr="005F2432" w:rsidRDefault="00F25C84" w:rsidP="00F25C84">
      <w:pPr>
        <w:pStyle w:val="Recdate"/>
        <w:rPr>
          <w:lang w:val="es-ES_tradnl"/>
        </w:rPr>
      </w:pPr>
      <w:r w:rsidRPr="005F2432">
        <w:rPr>
          <w:lang w:val="es-ES_tradnl"/>
        </w:rPr>
        <w:t>(2012</w:t>
      </w:r>
      <w:r>
        <w:rPr>
          <w:lang w:val="es-ES_tradnl"/>
        </w:rPr>
        <w:t>-2015</w:t>
      </w:r>
      <w:r w:rsidRPr="005F2432">
        <w:rPr>
          <w:lang w:val="es-ES_tradnl"/>
        </w:rPr>
        <w:t>)</w:t>
      </w:r>
    </w:p>
    <w:p w:rsidR="00F25C84" w:rsidRPr="005F2432" w:rsidRDefault="00F25C84" w:rsidP="00F25C84">
      <w:pPr>
        <w:pStyle w:val="HeadingSum"/>
      </w:pPr>
      <w:r>
        <w:t>Cometido</w:t>
      </w:r>
    </w:p>
    <w:p w:rsidR="00F25C84" w:rsidRDefault="00F25C84" w:rsidP="00F25C84">
      <w:pPr>
        <w:pStyle w:val="Summary"/>
        <w:rPr>
          <w:snapToGrid w:val="0"/>
        </w:rPr>
      </w:pPr>
      <w:r w:rsidRPr="005F2432">
        <w:t>En esta Recomendación se presentan las características y los criterios de protección de las estaciones terrenas receptoras del servicio de radionavegación por satélite (SRNS) y las características de las estaciones espaciales transmisoras del SRNS planificadas o que funcionan en la banda 5 010</w:t>
      </w:r>
      <w:r>
        <w:t>-</w:t>
      </w:r>
      <w:r w:rsidRPr="005F2432">
        <w:t>5 030 MHz. Esta información servirá para analizar la compartición y la compatibilidad de las consecuencias de las interferencias de radiofrecuencia de fuentes radioeléctricas distintas de las del SRNS causadas a sistemas y redes del SRNS (espacio-Tierra) que funcionan en la banda 5 010-5 030 MHz</w:t>
      </w:r>
      <w:r w:rsidRPr="005F2432">
        <w:rPr>
          <w:snapToGrid w:val="0"/>
        </w:rPr>
        <w:t>.</w:t>
      </w:r>
    </w:p>
    <w:p w:rsidR="00F25C84" w:rsidRPr="00656248" w:rsidRDefault="00F25C84" w:rsidP="00F25C84">
      <w:pPr>
        <w:pStyle w:val="Headingb"/>
        <w:rPr>
          <w:lang w:val="es-ES_tradnl"/>
        </w:rPr>
      </w:pPr>
      <w:r w:rsidRPr="00C76294">
        <w:rPr>
          <w:lang w:val="es-ES_tradnl"/>
        </w:rPr>
        <w:t>Palabras clave</w:t>
      </w:r>
    </w:p>
    <w:p w:rsidR="00F25C84" w:rsidRPr="00656248" w:rsidRDefault="00F25C84" w:rsidP="00F25C84">
      <w:pPr>
        <w:rPr>
          <w:lang w:val="es-ES_tradnl"/>
        </w:rPr>
      </w:pPr>
      <w:r w:rsidRPr="00656248">
        <w:rPr>
          <w:lang w:val="es-ES_tradnl"/>
        </w:rPr>
        <w:t xml:space="preserve">SRNS, </w:t>
      </w:r>
      <w:r w:rsidRPr="005F2432">
        <w:rPr>
          <w:lang w:val="es-ES_tradnl"/>
        </w:rPr>
        <w:t>criterios de protección</w:t>
      </w:r>
      <w:r w:rsidRPr="00656248">
        <w:rPr>
          <w:lang w:val="es-ES_tradnl"/>
        </w:rPr>
        <w:t xml:space="preserve">, </w:t>
      </w:r>
      <w:r w:rsidRPr="005F2432">
        <w:rPr>
          <w:lang w:val="es-ES_tradnl"/>
        </w:rPr>
        <w:t>efecto de la interferencia de frecuencias radioeléctricas</w:t>
      </w:r>
    </w:p>
    <w:p w:rsidR="00F25C84" w:rsidRPr="005F0908" w:rsidRDefault="00F25C84" w:rsidP="00F25C84">
      <w:pPr>
        <w:pStyle w:val="Headingb"/>
        <w:rPr>
          <w:lang w:val="es-ES_tradnl"/>
        </w:rPr>
      </w:pPr>
      <w:r w:rsidRPr="005F0908">
        <w:rPr>
          <w:lang w:val="es-ES_tradnl"/>
        </w:rPr>
        <w:t>Abreviaturas/Glosario</w:t>
      </w:r>
    </w:p>
    <w:p w:rsidR="00F25C84" w:rsidRPr="005F0908" w:rsidRDefault="00F25C84" w:rsidP="00F25C84">
      <w:pPr>
        <w:rPr>
          <w:lang w:val="es-ES_tradnl"/>
        </w:rPr>
      </w:pPr>
      <w:r w:rsidRPr="005F0908">
        <w:rPr>
          <w:lang w:val="es-ES_tradnl"/>
        </w:rPr>
        <w:t>AWGN</w:t>
      </w:r>
      <w:r w:rsidRPr="005F0908">
        <w:rPr>
          <w:lang w:val="es-ES_tradnl"/>
        </w:rPr>
        <w:tab/>
      </w:r>
      <w:r w:rsidRPr="005F0908">
        <w:rPr>
          <w:lang w:val="es-ES_tradnl"/>
        </w:rPr>
        <w:tab/>
      </w:r>
      <w:r>
        <w:rPr>
          <w:lang w:val="es-ES_tradnl"/>
        </w:rPr>
        <w:t>R</w:t>
      </w:r>
      <w:r w:rsidRPr="005F0908">
        <w:rPr>
          <w:lang w:val="es-ES_tradnl"/>
        </w:rPr>
        <w:t>uido gaussiano blanco aditivo</w:t>
      </w:r>
    </w:p>
    <w:p w:rsidR="00F25C84" w:rsidRPr="005F0908" w:rsidRDefault="00F25C84" w:rsidP="00F25C84">
      <w:pPr>
        <w:rPr>
          <w:lang w:val="es-ES_tradnl"/>
        </w:rPr>
      </w:pPr>
      <w:r w:rsidRPr="005F0908">
        <w:rPr>
          <w:lang w:val="es-ES_tradnl"/>
        </w:rPr>
        <w:t>PDC</w:t>
      </w:r>
      <w:r w:rsidRPr="005F0908">
        <w:rPr>
          <w:lang w:val="es-ES_tradnl"/>
        </w:rPr>
        <w:tab/>
      </w:r>
      <w:r w:rsidRPr="005F0908">
        <w:rPr>
          <w:lang w:val="es-ES_tradnl"/>
        </w:rPr>
        <w:tab/>
      </w:r>
      <w:r>
        <w:rPr>
          <w:lang w:val="es-ES_tradnl"/>
        </w:rPr>
        <w:t>C</w:t>
      </w:r>
      <w:r w:rsidRPr="005F0908">
        <w:rPr>
          <w:lang w:val="es-ES_tradnl"/>
        </w:rPr>
        <w:t>iclo de trabajo impulsivo</w:t>
      </w:r>
    </w:p>
    <w:p w:rsidR="00F25C84" w:rsidRPr="005F0908" w:rsidRDefault="00F25C84" w:rsidP="00F25C84">
      <w:pPr>
        <w:rPr>
          <w:lang w:val="es-ES_tradnl"/>
        </w:rPr>
      </w:pPr>
      <w:r w:rsidRPr="005F0908">
        <w:rPr>
          <w:lang w:val="es-ES_tradnl"/>
        </w:rPr>
        <w:t>PNT</w:t>
      </w:r>
      <w:r w:rsidRPr="005F0908">
        <w:rPr>
          <w:lang w:val="es-ES_tradnl"/>
        </w:rPr>
        <w:tab/>
      </w:r>
      <w:r w:rsidRPr="005F0908">
        <w:rPr>
          <w:lang w:val="es-ES_tradnl"/>
        </w:rPr>
        <w:tab/>
      </w:r>
      <w:r>
        <w:rPr>
          <w:lang w:val="es-ES_tradnl"/>
        </w:rPr>
        <w:t>P</w:t>
      </w:r>
      <w:r w:rsidRPr="005F0908">
        <w:rPr>
          <w:lang w:val="es-ES_tradnl"/>
        </w:rPr>
        <w:t>osici</w:t>
      </w:r>
      <w:r>
        <w:rPr>
          <w:lang w:val="es-ES_tradnl"/>
        </w:rPr>
        <w:t>ón</w:t>
      </w:r>
      <w:r w:rsidRPr="005F0908">
        <w:rPr>
          <w:lang w:val="es-ES_tradnl"/>
        </w:rPr>
        <w:t>, navegación y temporización</w:t>
      </w:r>
    </w:p>
    <w:p w:rsidR="00F25C84" w:rsidRPr="005F0908" w:rsidRDefault="00F25C84" w:rsidP="00F25C84">
      <w:pPr>
        <w:rPr>
          <w:lang w:val="es-ES_tradnl"/>
        </w:rPr>
      </w:pPr>
      <w:r w:rsidRPr="005F0908">
        <w:rPr>
          <w:lang w:val="es-ES_tradnl"/>
        </w:rPr>
        <w:t>PRF</w:t>
      </w:r>
      <w:r w:rsidRPr="005F0908">
        <w:rPr>
          <w:lang w:val="es-ES_tradnl"/>
        </w:rPr>
        <w:tab/>
      </w:r>
      <w:r w:rsidRPr="005F0908">
        <w:rPr>
          <w:lang w:val="es-ES_tradnl"/>
        </w:rPr>
        <w:tab/>
        <w:t>Frecuencia de repetición de los impulsos</w:t>
      </w:r>
    </w:p>
    <w:p w:rsidR="00F25C84" w:rsidRPr="005F0908" w:rsidRDefault="00F25C84" w:rsidP="00F25C84">
      <w:pPr>
        <w:rPr>
          <w:lang w:val="es-ES_tradnl"/>
        </w:rPr>
      </w:pPr>
      <w:r w:rsidRPr="005F0908">
        <w:rPr>
          <w:lang w:val="es-ES_tradnl"/>
        </w:rPr>
        <w:t>RHCP</w:t>
      </w:r>
      <w:r w:rsidRPr="005F0908">
        <w:rPr>
          <w:lang w:val="es-ES_tradnl"/>
        </w:rPr>
        <w:tab/>
      </w:r>
      <w:r w:rsidRPr="005F0908">
        <w:rPr>
          <w:lang w:val="es-ES_tradnl"/>
        </w:rPr>
        <w:tab/>
        <w:t>Polarización circular dextrógira</w:t>
      </w:r>
    </w:p>
    <w:p w:rsidR="00F25C84" w:rsidRPr="005F0908" w:rsidRDefault="00F25C84" w:rsidP="00F25C84">
      <w:pPr>
        <w:rPr>
          <w:lang w:val="es-ES_tradnl"/>
        </w:rPr>
      </w:pPr>
      <w:r w:rsidRPr="005F0908">
        <w:rPr>
          <w:rFonts w:hint="eastAsia"/>
          <w:lang w:val="es-ES_tradnl"/>
        </w:rPr>
        <w:t>SQPN</w:t>
      </w:r>
      <w:r w:rsidRPr="005F0908">
        <w:rPr>
          <w:lang w:val="es-ES_tradnl"/>
        </w:rPr>
        <w:tab/>
      </w:r>
      <w:r w:rsidRPr="005F0908">
        <w:rPr>
          <w:lang w:val="es-ES_tradnl"/>
        </w:rPr>
        <w:tab/>
        <w:t xml:space="preserve">Ruido </w:t>
      </w:r>
      <w:proofErr w:type="spellStart"/>
      <w:r w:rsidRPr="005F0908">
        <w:rPr>
          <w:lang w:val="es-ES_tradnl"/>
        </w:rPr>
        <w:t>seudoaleatorio</w:t>
      </w:r>
      <w:proofErr w:type="spellEnd"/>
      <w:r w:rsidRPr="005F0908">
        <w:rPr>
          <w:lang w:val="es-ES_tradnl"/>
        </w:rPr>
        <w:t xml:space="preserve"> escalonado</w:t>
      </w:r>
      <w:r>
        <w:rPr>
          <w:lang w:val="es-ES_tradnl"/>
        </w:rPr>
        <w:t xml:space="preserve"> </w:t>
      </w:r>
      <w:r w:rsidRPr="00AB1584">
        <w:rPr>
          <w:lang w:val="es-ES_tradnl"/>
        </w:rPr>
        <w:t>en cuadratura</w:t>
      </w:r>
    </w:p>
    <w:p w:rsidR="00F25C84" w:rsidRPr="005F0908" w:rsidRDefault="00F25C84" w:rsidP="00F25C84">
      <w:pPr>
        <w:rPr>
          <w:lang w:val="es-ES_tradnl"/>
        </w:rPr>
      </w:pPr>
      <w:r w:rsidRPr="005F0908">
        <w:rPr>
          <w:lang w:val="es-ES_tradnl"/>
        </w:rPr>
        <w:t>SQPSK</w:t>
      </w:r>
      <w:r w:rsidRPr="005F0908">
        <w:rPr>
          <w:lang w:val="es-ES_tradnl"/>
        </w:rPr>
        <w:tab/>
      </w:r>
      <w:r w:rsidRPr="005F0908">
        <w:rPr>
          <w:lang w:val="es-ES_tradnl"/>
        </w:rPr>
        <w:tab/>
      </w:r>
      <w:r>
        <w:rPr>
          <w:lang w:val="es-ES_tradnl"/>
        </w:rPr>
        <w:t>M</w:t>
      </w:r>
      <w:r w:rsidRPr="005F2432">
        <w:rPr>
          <w:lang w:val="es-ES_tradnl"/>
        </w:rPr>
        <w:t>odulación por desplazamiento alternado de fase en cuadratura</w:t>
      </w:r>
    </w:p>
    <w:p w:rsidR="00F25C84" w:rsidRPr="005F0908" w:rsidRDefault="00F25C84" w:rsidP="00F25C84">
      <w:pPr>
        <w:rPr>
          <w:lang w:val="es-ES_tradnl"/>
        </w:rPr>
      </w:pPr>
      <w:r w:rsidRPr="005F0908">
        <w:rPr>
          <w:lang w:val="es-ES_tradnl"/>
        </w:rPr>
        <w:t>SSC</w:t>
      </w:r>
      <w:r w:rsidRPr="005F0908">
        <w:rPr>
          <w:lang w:val="es-ES_tradnl"/>
        </w:rPr>
        <w:tab/>
      </w:r>
      <w:r w:rsidRPr="005F0908">
        <w:rPr>
          <w:lang w:val="es-ES_tradnl"/>
        </w:rPr>
        <w:tab/>
        <w:t>Coeficiente de separación espectral</w:t>
      </w:r>
    </w:p>
    <w:p w:rsidR="00F25C84" w:rsidRPr="005F0908" w:rsidRDefault="00F25C84" w:rsidP="00F25C84">
      <w:pPr>
        <w:pStyle w:val="Headingb"/>
        <w:rPr>
          <w:lang w:val="es-ES_tradnl"/>
        </w:rPr>
      </w:pPr>
      <w:r w:rsidRPr="005F0908">
        <w:rPr>
          <w:lang w:val="es-ES_tradnl"/>
        </w:rPr>
        <w:t>Recomendaciones e Informes de la UIT conexos</w:t>
      </w:r>
    </w:p>
    <w:p w:rsidR="00F25C84" w:rsidRPr="004B0DD3" w:rsidRDefault="00F25C84" w:rsidP="0075790F">
      <w:pPr>
        <w:tabs>
          <w:tab w:val="clear" w:pos="794"/>
          <w:tab w:val="clear" w:pos="1191"/>
          <w:tab w:val="clear" w:pos="1588"/>
          <w:tab w:val="clear" w:pos="1985"/>
          <w:tab w:val="left" w:pos="3544"/>
        </w:tabs>
        <w:ind w:left="3544" w:hanging="3487"/>
        <w:rPr>
          <w:rFonts w:eastAsia="SimSun"/>
          <w:lang w:val="es-ES_tradnl"/>
        </w:rPr>
      </w:pPr>
      <w:r w:rsidRPr="004B0DD3">
        <w:rPr>
          <w:rFonts w:eastAsia="SimSun"/>
          <w:lang w:val="es-ES_tradnl"/>
        </w:rPr>
        <w:t>Recomendación UIT-R M</w:t>
      </w:r>
      <w:r w:rsidRPr="004B0DD3">
        <w:rPr>
          <w:lang w:val="es-ES_tradnl"/>
        </w:rPr>
        <w:t>.1318-1</w:t>
      </w:r>
      <w:r w:rsidRPr="004B0DD3">
        <w:rPr>
          <w:rFonts w:eastAsia="SimSun"/>
          <w:lang w:val="es-ES_tradnl"/>
        </w:rPr>
        <w:tab/>
      </w:r>
      <w:r w:rsidRPr="0075790F">
        <w:rPr>
          <w:spacing w:val="-6"/>
          <w:lang w:val="es-ES_tradnl"/>
        </w:rPr>
        <w:t>Modelo de evaluación de interferencias continuas causadas por</w:t>
      </w:r>
      <w:r w:rsidR="008E3A44" w:rsidRPr="0075790F">
        <w:rPr>
          <w:spacing w:val="-6"/>
          <w:lang w:val="es-ES_tradnl"/>
        </w:rPr>
        <w:t> </w:t>
      </w:r>
      <w:r w:rsidRPr="0075790F">
        <w:rPr>
          <w:spacing w:val="-6"/>
          <w:lang w:val="es-ES_tradnl"/>
        </w:rPr>
        <w:t xml:space="preserve">otras fuentes radioeléctricas </w:t>
      </w:r>
      <w:r w:rsidR="008E3A44" w:rsidRPr="0075790F">
        <w:rPr>
          <w:spacing w:val="-6"/>
          <w:lang w:val="es-ES_tradnl"/>
        </w:rPr>
        <w:t>distintas a las del servicio de </w:t>
      </w:r>
      <w:r w:rsidRPr="0075790F">
        <w:rPr>
          <w:spacing w:val="-6"/>
          <w:lang w:val="es-ES_tradnl"/>
        </w:rPr>
        <w:t>radionavegación por saté</w:t>
      </w:r>
      <w:r w:rsidR="008E3A44" w:rsidRPr="0075790F">
        <w:rPr>
          <w:spacing w:val="-6"/>
          <w:lang w:val="es-ES_tradnl"/>
        </w:rPr>
        <w:t>lite a los sistemas y redes del </w:t>
      </w:r>
      <w:r w:rsidR="00513372">
        <w:rPr>
          <w:spacing w:val="-6"/>
          <w:lang w:val="es-ES_tradnl"/>
        </w:rPr>
        <w:t xml:space="preserve">servicio de radionavegación </w:t>
      </w:r>
      <w:r w:rsidRPr="0075790F">
        <w:rPr>
          <w:spacing w:val="-6"/>
          <w:lang w:val="es-ES_tradnl"/>
        </w:rPr>
        <w:t>por sat</w:t>
      </w:r>
      <w:r w:rsidR="008E3A44" w:rsidRPr="0075790F">
        <w:rPr>
          <w:spacing w:val="-6"/>
          <w:lang w:val="es-ES_tradnl"/>
        </w:rPr>
        <w:t>élite en las bandas 1 164</w:t>
      </w:r>
      <w:r w:rsidR="008E3A44" w:rsidRPr="0075790F">
        <w:rPr>
          <w:spacing w:val="-6"/>
          <w:lang w:val="es-ES_tradnl"/>
        </w:rPr>
        <w:noBreakHyphen/>
        <w:t>1 215 </w:t>
      </w:r>
      <w:r w:rsidRPr="0075790F">
        <w:rPr>
          <w:spacing w:val="-6"/>
          <w:lang w:val="es-ES_tradnl"/>
        </w:rPr>
        <w:t>MHz, 1 215-1 300 M</w:t>
      </w:r>
      <w:r w:rsidR="0075790F">
        <w:rPr>
          <w:spacing w:val="-6"/>
          <w:lang w:val="es-ES_tradnl"/>
        </w:rPr>
        <w:t>Hz, 1 </w:t>
      </w:r>
      <w:r w:rsidR="008E3A44" w:rsidRPr="0075790F">
        <w:rPr>
          <w:spacing w:val="-6"/>
          <w:lang w:val="es-ES_tradnl"/>
        </w:rPr>
        <w:t>559-1 610 MHz y 5 </w:t>
      </w:r>
      <w:r w:rsidRPr="0075790F">
        <w:rPr>
          <w:spacing w:val="-6"/>
          <w:lang w:val="es-ES_tradnl"/>
        </w:rPr>
        <w:t>010-5 030 MHz</w:t>
      </w:r>
    </w:p>
    <w:p w:rsidR="00F25C84" w:rsidRPr="004B0DD3" w:rsidRDefault="00F25C84" w:rsidP="00A04C0D">
      <w:pPr>
        <w:tabs>
          <w:tab w:val="clear" w:pos="794"/>
          <w:tab w:val="clear" w:pos="1191"/>
          <w:tab w:val="clear" w:pos="1588"/>
          <w:tab w:val="clear" w:pos="1985"/>
          <w:tab w:val="left" w:pos="3544"/>
        </w:tabs>
        <w:ind w:left="3544" w:hanging="3487"/>
        <w:rPr>
          <w:rFonts w:eastAsia="SimSun"/>
          <w:lang w:val="es-ES_tradnl"/>
        </w:rPr>
      </w:pPr>
      <w:r w:rsidRPr="004B0DD3">
        <w:rPr>
          <w:rFonts w:eastAsia="SimSun"/>
          <w:lang w:val="es-ES_tradnl"/>
        </w:rPr>
        <w:t>Recomendación UIT-R M</w:t>
      </w:r>
      <w:r w:rsidRPr="004B0DD3">
        <w:rPr>
          <w:lang w:val="es-ES_tradnl"/>
        </w:rPr>
        <w:t>.1787-2</w:t>
      </w:r>
      <w:r w:rsidRPr="004B0DD3">
        <w:rPr>
          <w:rFonts w:eastAsia="SimSun"/>
          <w:lang w:val="es-ES_tradnl"/>
        </w:rPr>
        <w:tab/>
      </w:r>
      <w:r w:rsidRPr="006F7526">
        <w:rPr>
          <w:lang w:val="es-ES"/>
        </w:rPr>
        <w:t>Descripción de sistemas y redes del servicio de</w:t>
      </w:r>
      <w:r>
        <w:rPr>
          <w:lang w:val="es-ES"/>
        </w:rPr>
        <w:t xml:space="preserve"> </w:t>
      </w:r>
      <w:r w:rsidRPr="006F7526">
        <w:rPr>
          <w:lang w:val="es-ES"/>
        </w:rPr>
        <w:t>radionavegación</w:t>
      </w:r>
      <w:r>
        <w:rPr>
          <w:lang w:val="es-ES"/>
        </w:rPr>
        <w:t xml:space="preserve"> </w:t>
      </w:r>
      <w:r w:rsidRPr="006F7526">
        <w:rPr>
          <w:lang w:val="es-ES"/>
        </w:rPr>
        <w:t>por</w:t>
      </w:r>
      <w:r>
        <w:rPr>
          <w:lang w:val="es-ES"/>
        </w:rPr>
        <w:t xml:space="preserve"> </w:t>
      </w:r>
      <w:r w:rsidRPr="006F7526">
        <w:rPr>
          <w:lang w:val="es-ES"/>
        </w:rPr>
        <w:t>satélite</w:t>
      </w:r>
      <w:r>
        <w:rPr>
          <w:lang w:val="es-ES"/>
        </w:rPr>
        <w:t xml:space="preserve"> </w:t>
      </w:r>
      <w:r w:rsidRPr="006F7526">
        <w:rPr>
          <w:lang w:val="es-ES"/>
        </w:rPr>
        <w:t>(espacio-Tierra y espacio-espacio)</w:t>
      </w:r>
      <w:r>
        <w:rPr>
          <w:lang w:val="es-ES"/>
        </w:rPr>
        <w:t xml:space="preserve"> </w:t>
      </w:r>
      <w:r w:rsidRPr="006F7526">
        <w:rPr>
          <w:lang w:val="es-ES"/>
        </w:rPr>
        <w:t>y</w:t>
      </w:r>
      <w:r>
        <w:rPr>
          <w:lang w:val="es-ES"/>
        </w:rPr>
        <w:t xml:space="preserve"> </w:t>
      </w:r>
      <w:r w:rsidRPr="006F7526">
        <w:rPr>
          <w:lang w:val="es-ES"/>
        </w:rPr>
        <w:t>características</w:t>
      </w:r>
      <w:r>
        <w:rPr>
          <w:lang w:val="es-ES"/>
        </w:rPr>
        <w:t xml:space="preserve"> </w:t>
      </w:r>
      <w:r w:rsidRPr="006F7526">
        <w:rPr>
          <w:lang w:val="es-ES"/>
        </w:rPr>
        <w:t>técnicas</w:t>
      </w:r>
      <w:r>
        <w:rPr>
          <w:lang w:val="es-ES"/>
        </w:rPr>
        <w:t xml:space="preserve"> </w:t>
      </w:r>
      <w:r w:rsidRPr="006F7526">
        <w:rPr>
          <w:lang w:val="es-ES"/>
        </w:rPr>
        <w:t>de</w:t>
      </w:r>
      <w:r>
        <w:rPr>
          <w:lang w:val="es-ES"/>
        </w:rPr>
        <w:t xml:space="preserve"> </w:t>
      </w:r>
      <w:r w:rsidRPr="006F7526">
        <w:rPr>
          <w:lang w:val="es-ES"/>
        </w:rPr>
        <w:t>estaciones</w:t>
      </w:r>
      <w:r>
        <w:rPr>
          <w:lang w:val="es-ES"/>
        </w:rPr>
        <w:t xml:space="preserve"> </w:t>
      </w:r>
      <w:r w:rsidRPr="006F7526">
        <w:rPr>
          <w:lang w:val="es-ES"/>
        </w:rPr>
        <w:t>espaciales</w:t>
      </w:r>
      <w:r>
        <w:rPr>
          <w:lang w:val="es-ES"/>
        </w:rPr>
        <w:t xml:space="preserve"> </w:t>
      </w:r>
      <w:r w:rsidRPr="006F7526">
        <w:rPr>
          <w:lang w:val="es-ES"/>
        </w:rPr>
        <w:t xml:space="preserve">transmisoras que </w:t>
      </w:r>
      <w:r w:rsidR="00A04C0D">
        <w:rPr>
          <w:lang w:val="es-ES"/>
        </w:rPr>
        <w:t xml:space="preserve">funcionan </w:t>
      </w:r>
      <w:r w:rsidR="00A04C0D">
        <w:rPr>
          <w:lang w:val="es-ES"/>
        </w:rPr>
        <w:br/>
      </w:r>
      <w:r w:rsidR="00513372">
        <w:rPr>
          <w:lang w:val="es-ES"/>
        </w:rPr>
        <w:t>en</w:t>
      </w:r>
      <w:r w:rsidR="00A04C0D">
        <w:rPr>
          <w:lang w:val="es-ES"/>
        </w:rPr>
        <w:t xml:space="preserve"> </w:t>
      </w:r>
      <w:r w:rsidRPr="006F7526">
        <w:rPr>
          <w:lang w:val="es-ES"/>
        </w:rPr>
        <w:t>las bandas 1</w:t>
      </w:r>
      <w:r>
        <w:rPr>
          <w:lang w:val="es-ES"/>
        </w:rPr>
        <w:t> </w:t>
      </w:r>
      <w:r w:rsidRPr="006F7526">
        <w:rPr>
          <w:lang w:val="es-ES"/>
        </w:rPr>
        <w:t>164</w:t>
      </w:r>
      <w:r>
        <w:rPr>
          <w:lang w:val="es-ES"/>
        </w:rPr>
        <w:noBreakHyphen/>
      </w:r>
      <w:r w:rsidRPr="006F7526">
        <w:rPr>
          <w:lang w:val="es-ES"/>
        </w:rPr>
        <w:t>1</w:t>
      </w:r>
      <w:r>
        <w:rPr>
          <w:lang w:val="es-ES"/>
        </w:rPr>
        <w:t xml:space="preserve"> 215 MHz, </w:t>
      </w:r>
      <w:r w:rsidRPr="006F7526">
        <w:rPr>
          <w:lang w:val="es-ES"/>
        </w:rPr>
        <w:t>1</w:t>
      </w:r>
      <w:r>
        <w:rPr>
          <w:lang w:val="es-ES"/>
        </w:rPr>
        <w:t> </w:t>
      </w:r>
      <w:r w:rsidRPr="006F7526">
        <w:rPr>
          <w:lang w:val="es-ES"/>
        </w:rPr>
        <w:t>215</w:t>
      </w:r>
      <w:r>
        <w:rPr>
          <w:lang w:val="es-ES"/>
        </w:rPr>
        <w:noBreakHyphen/>
      </w:r>
      <w:r w:rsidRPr="006F7526">
        <w:rPr>
          <w:lang w:val="es-ES"/>
        </w:rPr>
        <w:t>1</w:t>
      </w:r>
      <w:r>
        <w:rPr>
          <w:lang w:val="es-ES"/>
        </w:rPr>
        <w:t> </w:t>
      </w:r>
      <w:r w:rsidRPr="006F7526">
        <w:rPr>
          <w:lang w:val="es-ES"/>
        </w:rPr>
        <w:t>300</w:t>
      </w:r>
      <w:r>
        <w:rPr>
          <w:lang w:val="es-ES"/>
        </w:rPr>
        <w:t> </w:t>
      </w:r>
      <w:r w:rsidRPr="006F7526">
        <w:rPr>
          <w:lang w:val="es-ES"/>
        </w:rPr>
        <w:t>MHz y 1</w:t>
      </w:r>
      <w:r>
        <w:rPr>
          <w:lang w:val="es-ES"/>
        </w:rPr>
        <w:t> </w:t>
      </w:r>
      <w:r w:rsidRPr="006F7526">
        <w:rPr>
          <w:lang w:val="es-ES"/>
        </w:rPr>
        <w:t>559</w:t>
      </w:r>
      <w:r>
        <w:rPr>
          <w:lang w:val="es-ES"/>
        </w:rPr>
        <w:noBreakHyphen/>
      </w:r>
      <w:r w:rsidRPr="006F7526">
        <w:rPr>
          <w:lang w:val="es-ES"/>
        </w:rPr>
        <w:t>1</w:t>
      </w:r>
      <w:r>
        <w:rPr>
          <w:lang w:val="es-ES"/>
        </w:rPr>
        <w:t> </w:t>
      </w:r>
      <w:r w:rsidR="0075790F">
        <w:rPr>
          <w:lang w:val="es-ES"/>
        </w:rPr>
        <w:t>610 </w:t>
      </w:r>
      <w:r w:rsidRPr="006F7526">
        <w:rPr>
          <w:lang w:val="es-ES"/>
        </w:rPr>
        <w:t>MHz</w:t>
      </w:r>
    </w:p>
    <w:p w:rsidR="00F25C84" w:rsidRPr="00AC6DF9" w:rsidRDefault="00F25C84" w:rsidP="00513372">
      <w:pPr>
        <w:tabs>
          <w:tab w:val="clear" w:pos="794"/>
          <w:tab w:val="clear" w:pos="1191"/>
          <w:tab w:val="clear" w:pos="1588"/>
          <w:tab w:val="clear" w:pos="1985"/>
          <w:tab w:val="left" w:pos="3544"/>
        </w:tabs>
        <w:ind w:left="3544" w:hanging="3487"/>
        <w:rPr>
          <w:lang w:val="es-ES_tradnl"/>
        </w:rPr>
      </w:pPr>
      <w:r w:rsidRPr="00AC6DF9">
        <w:rPr>
          <w:rFonts w:eastAsia="SimSun"/>
          <w:lang w:val="es-ES_tradnl"/>
        </w:rPr>
        <w:lastRenderedPageBreak/>
        <w:t>Recomendación UIT-R M.1831-1</w:t>
      </w:r>
      <w:r w:rsidRPr="00AC6DF9">
        <w:rPr>
          <w:rFonts w:eastAsia="SimSun"/>
          <w:lang w:val="es-ES_tradnl"/>
        </w:rPr>
        <w:tab/>
      </w:r>
      <w:r w:rsidRPr="00AC6DF9">
        <w:rPr>
          <w:lang w:val="es-ES_tradnl"/>
        </w:rPr>
        <w:t>Metodología de coordinación para estimar la interferencia entre sistemas del SRNS</w:t>
      </w:r>
    </w:p>
    <w:p w:rsidR="00F25C84" w:rsidRPr="00AC6DF9" w:rsidRDefault="00F25C84" w:rsidP="00513372">
      <w:pPr>
        <w:tabs>
          <w:tab w:val="clear" w:pos="794"/>
          <w:tab w:val="clear" w:pos="1191"/>
          <w:tab w:val="clear" w:pos="1588"/>
          <w:tab w:val="clear" w:pos="1985"/>
          <w:tab w:val="left" w:pos="3544"/>
        </w:tabs>
        <w:ind w:left="3544" w:hanging="3487"/>
        <w:rPr>
          <w:lang w:val="es-ES_tradnl"/>
        </w:rPr>
      </w:pPr>
      <w:r w:rsidRPr="00AC6DF9">
        <w:rPr>
          <w:rFonts w:eastAsia="SimSun"/>
          <w:lang w:val="es-ES_tradnl"/>
        </w:rPr>
        <w:t>Recomendación UIT-R M</w:t>
      </w:r>
      <w:r w:rsidRPr="00AC6DF9">
        <w:rPr>
          <w:lang w:val="es-ES_tradnl"/>
        </w:rPr>
        <w:t>.1901-1</w:t>
      </w:r>
      <w:r w:rsidRPr="00AC6DF9">
        <w:rPr>
          <w:rFonts w:eastAsia="SimSun"/>
          <w:lang w:val="es-ES_tradnl"/>
        </w:rPr>
        <w:tab/>
      </w:r>
      <w:r w:rsidRPr="00AC6DF9">
        <w:rPr>
          <w:lang w:val="es-ES_tradnl"/>
        </w:rPr>
        <w:t>Directrices sobre Recomendaciones del UIT-R relativas a sistemas y redes del servicio de radionavegación por satélite que funcionan en las bandas de fre</w:t>
      </w:r>
      <w:r w:rsidR="00513372">
        <w:rPr>
          <w:lang w:val="es-ES_tradnl"/>
        </w:rPr>
        <w:t>cuencias 1 164-1 215 MHz, 1 215</w:t>
      </w:r>
      <w:r w:rsidR="00513372">
        <w:rPr>
          <w:lang w:val="es-ES_tradnl"/>
        </w:rPr>
        <w:noBreakHyphen/>
      </w:r>
      <w:r w:rsidRPr="00AC6DF9">
        <w:rPr>
          <w:lang w:val="es-ES_tradnl"/>
        </w:rPr>
        <w:t>1 300 MHz, 1 559-1 6</w:t>
      </w:r>
      <w:r w:rsidR="00513372">
        <w:rPr>
          <w:lang w:val="es-ES_tradnl"/>
        </w:rPr>
        <w:t>10 MHz, 5 000-5 010 MHz y 5 010</w:t>
      </w:r>
      <w:r w:rsidR="00513372">
        <w:rPr>
          <w:lang w:val="es-ES_tradnl"/>
        </w:rPr>
        <w:noBreakHyphen/>
      </w:r>
      <w:r w:rsidRPr="00AC6DF9">
        <w:rPr>
          <w:lang w:val="es-ES_tradnl"/>
        </w:rPr>
        <w:t>5 030 MHz</w:t>
      </w:r>
    </w:p>
    <w:p w:rsidR="00F25C84" w:rsidRPr="00AC6DF9" w:rsidRDefault="00F25C84" w:rsidP="00513372">
      <w:pPr>
        <w:tabs>
          <w:tab w:val="clear" w:pos="794"/>
          <w:tab w:val="clear" w:pos="1191"/>
          <w:tab w:val="clear" w:pos="1588"/>
          <w:tab w:val="clear" w:pos="1985"/>
          <w:tab w:val="left" w:pos="3544"/>
        </w:tabs>
        <w:ind w:left="3544" w:hanging="3487"/>
        <w:rPr>
          <w:rFonts w:eastAsia="SimSun"/>
          <w:lang w:val="es-ES_tradnl"/>
        </w:rPr>
      </w:pPr>
      <w:r w:rsidRPr="00AC6DF9">
        <w:rPr>
          <w:rFonts w:eastAsia="SimSun"/>
          <w:lang w:val="es-ES_tradnl"/>
        </w:rPr>
        <w:t>Recomendación UIT-R M</w:t>
      </w:r>
      <w:r w:rsidRPr="00AC6DF9">
        <w:rPr>
          <w:lang w:val="es-ES_tradnl"/>
        </w:rPr>
        <w:t>.1902-0</w:t>
      </w:r>
      <w:r w:rsidRPr="00AC6DF9">
        <w:rPr>
          <w:rFonts w:eastAsia="SimSun"/>
          <w:lang w:val="es-ES_tradnl"/>
        </w:rPr>
        <w:tab/>
        <w:t>Características y criterios de protección</w:t>
      </w:r>
      <w:r>
        <w:rPr>
          <w:rFonts w:eastAsia="SimSun"/>
          <w:lang w:val="es-ES_tradnl"/>
        </w:rPr>
        <w:t xml:space="preserve"> </w:t>
      </w:r>
      <w:r w:rsidRPr="00AC6DF9">
        <w:rPr>
          <w:rFonts w:eastAsia="SimSun"/>
          <w:lang w:val="es-ES_tradnl"/>
        </w:rPr>
        <w:t>de las estaciones terrenas receptoras</w:t>
      </w:r>
      <w:r>
        <w:rPr>
          <w:rFonts w:eastAsia="SimSun"/>
          <w:lang w:val="es-ES_tradnl"/>
        </w:rPr>
        <w:t xml:space="preserve"> </w:t>
      </w:r>
      <w:r w:rsidRPr="00AC6DF9">
        <w:rPr>
          <w:rFonts w:eastAsia="SimSun"/>
          <w:lang w:val="es-ES_tradnl"/>
        </w:rPr>
        <w:t>del servicio de radionavegación</w:t>
      </w:r>
      <w:r>
        <w:rPr>
          <w:rFonts w:eastAsia="SimSun"/>
          <w:lang w:val="es-ES_tradnl"/>
        </w:rPr>
        <w:t xml:space="preserve"> </w:t>
      </w:r>
      <w:r w:rsidRPr="00AC6DF9">
        <w:rPr>
          <w:rFonts w:eastAsia="SimSun"/>
          <w:lang w:val="es-ES_tradnl"/>
        </w:rPr>
        <w:t>por satélite (espacio-Tierra) que funcionan en la banda</w:t>
      </w:r>
      <w:r>
        <w:rPr>
          <w:rFonts w:eastAsia="SimSun"/>
          <w:lang w:val="es-ES_tradnl"/>
        </w:rPr>
        <w:t xml:space="preserve"> </w:t>
      </w:r>
      <w:r w:rsidRPr="00AC6DF9">
        <w:rPr>
          <w:rFonts w:eastAsia="SimSun"/>
          <w:lang w:val="es-ES_tradnl"/>
        </w:rPr>
        <w:t>1 215-1 300 MHz</w:t>
      </w:r>
    </w:p>
    <w:p w:rsidR="00F25C84" w:rsidRPr="00AC6DF9" w:rsidRDefault="00F25C84" w:rsidP="00513372">
      <w:pPr>
        <w:tabs>
          <w:tab w:val="clear" w:pos="794"/>
          <w:tab w:val="clear" w:pos="1191"/>
          <w:tab w:val="clear" w:pos="1588"/>
          <w:tab w:val="clear" w:pos="1985"/>
          <w:tab w:val="left" w:pos="3544"/>
        </w:tabs>
        <w:ind w:left="3544" w:hanging="3487"/>
        <w:rPr>
          <w:rFonts w:eastAsia="SimSun"/>
          <w:lang w:val="es-ES_tradnl"/>
        </w:rPr>
      </w:pPr>
      <w:r w:rsidRPr="00AC6DF9">
        <w:rPr>
          <w:rFonts w:eastAsia="SimSun"/>
          <w:lang w:val="es-ES_tradnl"/>
        </w:rPr>
        <w:t>Recomendación UIT-R M.</w:t>
      </w:r>
      <w:r w:rsidRPr="00AC6DF9">
        <w:rPr>
          <w:lang w:val="es-ES_tradnl"/>
        </w:rPr>
        <w:t>1903-0</w:t>
      </w:r>
      <w:r w:rsidRPr="00AC6DF9">
        <w:rPr>
          <w:rFonts w:eastAsia="SimSun"/>
          <w:lang w:val="es-ES_tradnl"/>
        </w:rPr>
        <w:tab/>
        <w:t>Características y criterios de protección</w:t>
      </w:r>
      <w:r>
        <w:rPr>
          <w:rFonts w:eastAsia="SimSun"/>
          <w:lang w:val="es-ES_tradnl"/>
        </w:rPr>
        <w:t xml:space="preserve"> </w:t>
      </w:r>
      <w:r w:rsidRPr="00AC6DF9">
        <w:rPr>
          <w:rFonts w:eastAsia="SimSun"/>
          <w:lang w:val="es-ES_tradnl"/>
        </w:rPr>
        <w:t>de las estaciones terrenas receptoras del</w:t>
      </w:r>
      <w:r>
        <w:rPr>
          <w:rFonts w:eastAsia="SimSun"/>
          <w:lang w:val="es-ES_tradnl"/>
        </w:rPr>
        <w:t xml:space="preserve"> </w:t>
      </w:r>
      <w:r w:rsidRPr="0093603A">
        <w:rPr>
          <w:rFonts w:eastAsia="SimSun"/>
          <w:lang w:val="es-ES_tradnl"/>
        </w:rPr>
        <w:t>servicio de radionavegación por satélite (espacio-Tierra) y de los receptores</w:t>
      </w:r>
      <w:r>
        <w:rPr>
          <w:rFonts w:eastAsia="SimSun"/>
          <w:lang w:val="es-ES_tradnl"/>
        </w:rPr>
        <w:t xml:space="preserve"> </w:t>
      </w:r>
      <w:r w:rsidRPr="00AC6DF9">
        <w:rPr>
          <w:rFonts w:eastAsia="SimSun"/>
          <w:lang w:val="es-ES_tradnl"/>
        </w:rPr>
        <w:t>del servicio de</w:t>
      </w:r>
      <w:r>
        <w:rPr>
          <w:rFonts w:eastAsia="SimSun"/>
          <w:lang w:val="es-ES_tradnl"/>
        </w:rPr>
        <w:t xml:space="preserve"> </w:t>
      </w:r>
      <w:r w:rsidRPr="00AC6DF9">
        <w:rPr>
          <w:rFonts w:eastAsia="SimSun"/>
          <w:lang w:val="es-ES_tradnl"/>
        </w:rPr>
        <w:t>radionavegación</w:t>
      </w:r>
      <w:r>
        <w:rPr>
          <w:rFonts w:eastAsia="SimSun"/>
          <w:lang w:val="es-ES_tradnl"/>
        </w:rPr>
        <w:t xml:space="preserve"> </w:t>
      </w:r>
      <w:r w:rsidRPr="00AC6DF9">
        <w:rPr>
          <w:rFonts w:eastAsia="SimSun"/>
          <w:lang w:val="es-ES_tradnl"/>
        </w:rPr>
        <w:t>aeronáutica que funcionan en</w:t>
      </w:r>
      <w:r>
        <w:rPr>
          <w:rFonts w:eastAsia="SimSun"/>
          <w:lang w:val="es-ES_tradnl"/>
        </w:rPr>
        <w:t xml:space="preserve"> </w:t>
      </w:r>
      <w:r w:rsidR="00513372">
        <w:rPr>
          <w:rFonts w:eastAsia="SimSun"/>
          <w:lang w:val="es-ES_tradnl"/>
        </w:rPr>
        <w:t>la banda 1 559</w:t>
      </w:r>
      <w:r w:rsidR="00513372">
        <w:rPr>
          <w:rFonts w:eastAsia="SimSun"/>
          <w:lang w:val="es-ES_tradnl"/>
        </w:rPr>
        <w:noBreakHyphen/>
        <w:t>1 </w:t>
      </w:r>
      <w:r w:rsidRPr="00AC6DF9">
        <w:rPr>
          <w:rFonts w:eastAsia="SimSun"/>
          <w:lang w:val="es-ES_tradnl"/>
        </w:rPr>
        <w:t>610 MHz</w:t>
      </w:r>
    </w:p>
    <w:p w:rsidR="00F25C84" w:rsidRPr="00333E6D" w:rsidRDefault="00F25C84" w:rsidP="00513372">
      <w:pPr>
        <w:tabs>
          <w:tab w:val="clear" w:pos="794"/>
          <w:tab w:val="clear" w:pos="1191"/>
          <w:tab w:val="clear" w:pos="1588"/>
          <w:tab w:val="clear" w:pos="1985"/>
          <w:tab w:val="left" w:pos="3544"/>
        </w:tabs>
        <w:ind w:left="3544" w:hanging="3487"/>
        <w:rPr>
          <w:rFonts w:eastAsia="SimSun"/>
          <w:lang w:val="es-ES_tradnl"/>
        </w:rPr>
      </w:pPr>
      <w:r w:rsidRPr="00333E6D">
        <w:rPr>
          <w:rFonts w:eastAsia="SimSun"/>
          <w:lang w:val="es-ES_tradnl"/>
        </w:rPr>
        <w:t>Recomendación UIT-R M.</w:t>
      </w:r>
      <w:r w:rsidRPr="00333E6D">
        <w:rPr>
          <w:lang w:val="es-ES_tradnl"/>
        </w:rPr>
        <w:t>1904-0</w:t>
      </w:r>
      <w:r w:rsidRPr="00333E6D">
        <w:rPr>
          <w:rFonts w:eastAsia="SimSun"/>
          <w:lang w:val="es-ES_tradnl"/>
        </w:rPr>
        <w:tab/>
        <w:t>Características, requisitos de calidad de funcionamiento y criterios de protección</w:t>
      </w:r>
      <w:r>
        <w:rPr>
          <w:rFonts w:eastAsia="SimSun"/>
          <w:lang w:val="es-ES_tradnl"/>
        </w:rPr>
        <w:t xml:space="preserve"> </w:t>
      </w:r>
      <w:r w:rsidRPr="00333E6D">
        <w:rPr>
          <w:rFonts w:eastAsia="SimSun"/>
          <w:lang w:val="es-ES_tradnl"/>
        </w:rPr>
        <w:t>de las estaciones receptoras del servicio</w:t>
      </w:r>
      <w:r>
        <w:rPr>
          <w:rFonts w:eastAsia="SimSun"/>
          <w:lang w:val="es-ES_tradnl"/>
        </w:rPr>
        <w:t xml:space="preserve"> </w:t>
      </w:r>
      <w:r w:rsidRPr="00333E6D">
        <w:rPr>
          <w:rFonts w:eastAsia="SimSun"/>
          <w:lang w:val="es-ES_tradnl"/>
        </w:rPr>
        <w:t>de radionavegación por satélite (espacio</w:t>
      </w:r>
      <w:r>
        <w:rPr>
          <w:rFonts w:eastAsia="SimSun"/>
          <w:lang w:val="es-ES_tradnl"/>
        </w:rPr>
        <w:t>-</w:t>
      </w:r>
      <w:r w:rsidRPr="00333E6D">
        <w:rPr>
          <w:rFonts w:eastAsia="SimSun"/>
          <w:lang w:val="es-ES_tradnl"/>
        </w:rPr>
        <w:t>espacio) que funcionan en las bandas de frecuencias 1 164 1 215 MHz, 1 215 1 300 MHz y 1 559 1 610 MHz</w:t>
      </w:r>
    </w:p>
    <w:p w:rsidR="00F25C84" w:rsidRPr="007C5C01" w:rsidRDefault="00F25C84" w:rsidP="00513372">
      <w:pPr>
        <w:tabs>
          <w:tab w:val="clear" w:pos="794"/>
          <w:tab w:val="clear" w:pos="1191"/>
          <w:tab w:val="clear" w:pos="1588"/>
          <w:tab w:val="clear" w:pos="1985"/>
          <w:tab w:val="left" w:pos="3544"/>
        </w:tabs>
        <w:ind w:left="3544" w:hanging="3487"/>
        <w:rPr>
          <w:rFonts w:eastAsia="SimSun"/>
          <w:lang w:val="es-ES_tradnl"/>
        </w:rPr>
      </w:pPr>
      <w:r w:rsidRPr="007C5C01">
        <w:rPr>
          <w:rFonts w:eastAsia="SimSun"/>
          <w:lang w:val="es-ES_tradnl"/>
        </w:rPr>
        <w:t>Recomendación UIT-R M</w:t>
      </w:r>
      <w:r w:rsidRPr="007C5C01">
        <w:rPr>
          <w:lang w:val="es-ES_tradnl"/>
        </w:rPr>
        <w:t>.1905-0</w:t>
      </w:r>
      <w:r w:rsidRPr="007C5C01">
        <w:rPr>
          <w:rFonts w:eastAsia="SimSun"/>
          <w:lang w:val="es-ES_tradnl"/>
        </w:rPr>
        <w:tab/>
        <w:t>Características y criterios de protección</w:t>
      </w:r>
      <w:r>
        <w:rPr>
          <w:rFonts w:eastAsia="SimSun"/>
          <w:lang w:val="es-ES_tradnl"/>
        </w:rPr>
        <w:t xml:space="preserve"> </w:t>
      </w:r>
      <w:r w:rsidRPr="007C5C01">
        <w:rPr>
          <w:rFonts w:eastAsia="SimSun"/>
          <w:lang w:val="es-ES_tradnl"/>
        </w:rPr>
        <w:t>de las estaciones terrenas receptoras</w:t>
      </w:r>
      <w:r>
        <w:rPr>
          <w:rFonts w:eastAsia="SimSun"/>
          <w:lang w:val="es-ES_tradnl"/>
        </w:rPr>
        <w:t xml:space="preserve"> </w:t>
      </w:r>
      <w:r w:rsidRPr="007C5C01">
        <w:rPr>
          <w:rFonts w:eastAsia="SimSun"/>
          <w:lang w:val="es-ES_tradnl"/>
        </w:rPr>
        <w:t>del servicio de radionavegación</w:t>
      </w:r>
      <w:r>
        <w:rPr>
          <w:rFonts w:eastAsia="SimSun"/>
          <w:lang w:val="es-ES_tradnl"/>
        </w:rPr>
        <w:t xml:space="preserve"> </w:t>
      </w:r>
      <w:r w:rsidRPr="007C5C01">
        <w:rPr>
          <w:rFonts w:eastAsia="SimSun"/>
          <w:lang w:val="es-ES_tradnl"/>
        </w:rPr>
        <w:t>por satélite (espacio-Tierra) que funcionan en la banda</w:t>
      </w:r>
      <w:r>
        <w:rPr>
          <w:rFonts w:eastAsia="SimSun"/>
          <w:lang w:val="es-ES_tradnl"/>
        </w:rPr>
        <w:t xml:space="preserve"> </w:t>
      </w:r>
      <w:r w:rsidRPr="007C5C01">
        <w:rPr>
          <w:rFonts w:eastAsia="SimSun"/>
          <w:lang w:val="es-ES_tradnl"/>
        </w:rPr>
        <w:t>1 164-1 215 MHz</w:t>
      </w:r>
    </w:p>
    <w:p w:rsidR="00F25C84" w:rsidRPr="007C5C01" w:rsidRDefault="00F25C84" w:rsidP="00513372">
      <w:pPr>
        <w:tabs>
          <w:tab w:val="clear" w:pos="794"/>
          <w:tab w:val="clear" w:pos="1191"/>
          <w:tab w:val="clear" w:pos="1588"/>
          <w:tab w:val="clear" w:pos="1985"/>
          <w:tab w:val="left" w:pos="3544"/>
        </w:tabs>
        <w:ind w:left="3544" w:hanging="3487"/>
        <w:rPr>
          <w:rFonts w:eastAsia="SimSun"/>
          <w:lang w:val="es-ES_tradnl"/>
        </w:rPr>
      </w:pPr>
      <w:r w:rsidRPr="007C5C01">
        <w:rPr>
          <w:rFonts w:eastAsia="SimSun"/>
          <w:lang w:val="es-ES_tradnl"/>
        </w:rPr>
        <w:t>Recomendación UIT-R M.1906-1</w:t>
      </w:r>
      <w:r w:rsidRPr="007C5C01">
        <w:rPr>
          <w:rFonts w:eastAsia="SimSun"/>
          <w:lang w:val="es-ES_tradnl"/>
        </w:rPr>
        <w:tab/>
        <w:t>Características y criterios de protección de las estaciones espaciales</w:t>
      </w:r>
      <w:r>
        <w:rPr>
          <w:rFonts w:eastAsia="SimSun"/>
          <w:lang w:val="es-ES_tradnl"/>
        </w:rPr>
        <w:t xml:space="preserve"> </w:t>
      </w:r>
      <w:r w:rsidRPr="007C5C01">
        <w:rPr>
          <w:rFonts w:eastAsia="SimSun"/>
          <w:lang w:val="es-ES_tradnl"/>
        </w:rPr>
        <w:t>receptoras</w:t>
      </w:r>
      <w:r>
        <w:rPr>
          <w:rFonts w:eastAsia="SimSun"/>
          <w:lang w:val="es-ES_tradnl"/>
        </w:rPr>
        <w:t xml:space="preserve"> </w:t>
      </w:r>
      <w:r w:rsidRPr="007C5C01">
        <w:rPr>
          <w:rFonts w:eastAsia="SimSun"/>
          <w:lang w:val="es-ES_tradnl"/>
        </w:rPr>
        <w:t>y características de las estaciones terrenas</w:t>
      </w:r>
      <w:r>
        <w:rPr>
          <w:rFonts w:eastAsia="SimSun"/>
          <w:lang w:val="es-ES_tradnl"/>
        </w:rPr>
        <w:t xml:space="preserve"> </w:t>
      </w:r>
      <w:r w:rsidRPr="007C5C01">
        <w:rPr>
          <w:rFonts w:eastAsia="SimSun"/>
          <w:lang w:val="es-ES_tradnl"/>
        </w:rPr>
        <w:t>transmisoras del servicio</w:t>
      </w:r>
      <w:r>
        <w:rPr>
          <w:rFonts w:eastAsia="SimSun"/>
          <w:lang w:val="es-ES_tradnl"/>
        </w:rPr>
        <w:t xml:space="preserve"> </w:t>
      </w:r>
      <w:r w:rsidRPr="007C5C01">
        <w:rPr>
          <w:rFonts w:eastAsia="SimSun"/>
          <w:lang w:val="es-ES_tradnl"/>
        </w:rPr>
        <w:t>de radionavegación por satélite (Tierra-espacio) que funcionan</w:t>
      </w:r>
      <w:r>
        <w:rPr>
          <w:rFonts w:eastAsia="SimSun"/>
          <w:lang w:val="es-ES_tradnl"/>
        </w:rPr>
        <w:t xml:space="preserve"> </w:t>
      </w:r>
      <w:r w:rsidRPr="007C5C01">
        <w:rPr>
          <w:rFonts w:eastAsia="SimSun"/>
          <w:lang w:val="es-ES_tradnl"/>
        </w:rPr>
        <w:t>en la banda 5 000-5 010 MHz</w:t>
      </w:r>
    </w:p>
    <w:p w:rsidR="00F25C84" w:rsidRDefault="00F25C84" w:rsidP="00513372">
      <w:pPr>
        <w:tabs>
          <w:tab w:val="clear" w:pos="794"/>
          <w:tab w:val="clear" w:pos="1191"/>
          <w:tab w:val="clear" w:pos="1588"/>
          <w:tab w:val="clear" w:pos="1985"/>
          <w:tab w:val="left" w:pos="3544"/>
        </w:tabs>
        <w:ind w:left="3544" w:hanging="3487"/>
        <w:rPr>
          <w:rFonts w:eastAsia="SimSun"/>
          <w:lang w:val="es-ES_tradnl"/>
        </w:rPr>
      </w:pPr>
      <w:r w:rsidRPr="007C5C01">
        <w:rPr>
          <w:rFonts w:eastAsia="SimSun"/>
          <w:lang w:val="es-ES_tradnl"/>
        </w:rPr>
        <w:t>Recomendación UIT-R M</w:t>
      </w:r>
      <w:r w:rsidRPr="007242A3">
        <w:rPr>
          <w:rFonts w:eastAsia="SimSun"/>
          <w:lang w:val="es-ES_tradnl"/>
        </w:rPr>
        <w:t>.2030-0</w:t>
      </w:r>
      <w:r w:rsidRPr="007C5C01">
        <w:rPr>
          <w:rFonts w:eastAsia="SimSun"/>
          <w:lang w:val="es-ES_tradnl"/>
        </w:rPr>
        <w:tab/>
        <w:t>Modelo de evaluación de la inte</w:t>
      </w:r>
      <w:r w:rsidR="00513372">
        <w:rPr>
          <w:rFonts w:eastAsia="SimSun"/>
          <w:lang w:val="es-ES_tradnl"/>
        </w:rPr>
        <w:t>rferencia impulsiva causada por </w:t>
      </w:r>
      <w:r w:rsidRPr="007C5C01">
        <w:rPr>
          <w:rFonts w:eastAsia="SimSun"/>
          <w:lang w:val="es-ES_tradnl"/>
        </w:rPr>
        <w:t xml:space="preserve">fuentes radioeléctricas pertinentes distintas de las del </w:t>
      </w:r>
      <w:r w:rsidR="00513372">
        <w:rPr>
          <w:rFonts w:eastAsia="SimSun"/>
          <w:lang w:val="es-ES_tradnl"/>
        </w:rPr>
        <w:br/>
      </w:r>
      <w:r w:rsidRPr="007C5C01">
        <w:rPr>
          <w:rFonts w:eastAsia="SimSun"/>
          <w:lang w:val="es-ES_tradnl"/>
        </w:rPr>
        <w:t>servicio de radionavegación por satélite a s</w:t>
      </w:r>
      <w:r w:rsidR="00513372">
        <w:rPr>
          <w:rFonts w:eastAsia="SimSun"/>
          <w:lang w:val="es-ES_tradnl"/>
        </w:rPr>
        <w:t>istemas y redes del servicio de </w:t>
      </w:r>
      <w:r w:rsidRPr="007C5C01">
        <w:rPr>
          <w:rFonts w:eastAsia="SimSun"/>
          <w:lang w:val="es-ES_tradnl"/>
        </w:rPr>
        <w:t>radionavegación por satélite</w:t>
      </w:r>
      <w:r w:rsidR="00513372">
        <w:rPr>
          <w:rFonts w:eastAsia="SimSun"/>
          <w:lang w:val="es-ES_tradnl"/>
        </w:rPr>
        <w:t xml:space="preserve"> que funcionan en las bandas de </w:t>
      </w:r>
      <w:r w:rsidRPr="007C5C01">
        <w:rPr>
          <w:rFonts w:eastAsia="SimSun"/>
          <w:lang w:val="es-ES_tradnl"/>
        </w:rPr>
        <w:t>frecuencias 1 164-1 215 MHz</w:t>
      </w:r>
      <w:r w:rsidR="00513372">
        <w:rPr>
          <w:rFonts w:eastAsia="SimSun"/>
          <w:lang w:val="es-ES_tradnl"/>
        </w:rPr>
        <w:t>, 1 215-1 300 MHz y 1 559</w:t>
      </w:r>
      <w:r w:rsidR="00513372">
        <w:rPr>
          <w:rFonts w:eastAsia="SimSun"/>
          <w:lang w:val="es-ES_tradnl"/>
        </w:rPr>
        <w:noBreakHyphen/>
        <w:t>1 610 </w:t>
      </w:r>
      <w:proofErr w:type="spellStart"/>
      <w:r w:rsidRPr="007C5C01">
        <w:rPr>
          <w:rFonts w:eastAsia="SimSun"/>
          <w:lang w:val="es-ES_tradnl"/>
        </w:rPr>
        <w:t>MHz</w:t>
      </w:r>
      <w:r w:rsidRPr="007242A3">
        <w:rPr>
          <w:rFonts w:eastAsia="SimSun"/>
          <w:lang w:val="es-ES_tradnl"/>
        </w:rPr>
        <w:t>La</w:t>
      </w:r>
      <w:proofErr w:type="spellEnd"/>
      <w:r w:rsidRPr="007242A3">
        <w:rPr>
          <w:rFonts w:eastAsia="SimSun"/>
          <w:lang w:val="es-ES_tradnl"/>
        </w:rPr>
        <w:t xml:space="preserve"> Asambl</w:t>
      </w:r>
      <w:r w:rsidR="00513372">
        <w:rPr>
          <w:rFonts w:eastAsia="SimSun"/>
          <w:lang w:val="es-ES_tradnl"/>
        </w:rPr>
        <w:t>ea de Radiocomunicaciones de la UIT</w:t>
      </w:r>
    </w:p>
    <w:p w:rsidR="00EA4D20" w:rsidRPr="007242A3" w:rsidRDefault="00EA4D20" w:rsidP="00513372">
      <w:pPr>
        <w:tabs>
          <w:tab w:val="clear" w:pos="794"/>
          <w:tab w:val="clear" w:pos="1191"/>
          <w:tab w:val="clear" w:pos="1588"/>
          <w:tab w:val="clear" w:pos="1985"/>
          <w:tab w:val="left" w:pos="3544"/>
        </w:tabs>
        <w:ind w:left="3544" w:hanging="3487"/>
        <w:rPr>
          <w:rFonts w:eastAsia="SimSun"/>
          <w:lang w:val="es-ES_tradnl"/>
        </w:rPr>
      </w:pPr>
      <w:r>
        <w:rPr>
          <w:rFonts w:eastAsia="SimSun"/>
          <w:lang w:val="es-ES_tradnl"/>
        </w:rPr>
        <w:t>La Asamblea de Radiocomunicaciones de la UIT,</w:t>
      </w:r>
    </w:p>
    <w:p w:rsidR="00F25C84" w:rsidRPr="005F2432" w:rsidRDefault="00F25C84" w:rsidP="00F25C84">
      <w:pPr>
        <w:pStyle w:val="Call"/>
        <w:rPr>
          <w:lang w:val="es-ES_tradnl"/>
        </w:rPr>
      </w:pPr>
      <w:r w:rsidRPr="005F2432">
        <w:rPr>
          <w:lang w:val="es-ES_tradnl"/>
        </w:rPr>
        <w:t>considerando</w:t>
      </w:r>
    </w:p>
    <w:p w:rsidR="00F25C84" w:rsidRPr="005F2432" w:rsidRDefault="00F25C84" w:rsidP="00F25C84">
      <w:pPr>
        <w:rPr>
          <w:lang w:val="es-ES_tradnl"/>
        </w:rPr>
      </w:pPr>
      <w:r w:rsidRPr="00DD2901">
        <w:rPr>
          <w:i/>
          <w:iCs/>
          <w:lang w:val="es-ES_tradnl"/>
        </w:rPr>
        <w:t>a)</w:t>
      </w:r>
      <w:r w:rsidRPr="005F2432">
        <w:rPr>
          <w:lang w:val="es-ES_tradnl"/>
        </w:rPr>
        <w:tab/>
        <w:t xml:space="preserve">que los sistemas y redes del servicio de radionavegación por satélite (SRNS) proporcionan en todo el mundo información exacta para numerosas aplicaciones de determinación de la posición, navegación y temporización, con inclusión de aspectos relativos a la seguridad </w:t>
      </w:r>
      <w:r>
        <w:rPr>
          <w:lang w:val="es-ES_tradnl"/>
        </w:rPr>
        <w:t>en</w:t>
      </w:r>
      <w:r w:rsidRPr="005F2432">
        <w:rPr>
          <w:lang w:val="es-ES_tradnl"/>
        </w:rPr>
        <w:t xml:space="preserve"> algunas bandas de frecuencias y en determinadas circunstancias y aplicaciones;</w:t>
      </w:r>
    </w:p>
    <w:p w:rsidR="00F25C84" w:rsidRPr="005F2432" w:rsidRDefault="00F25C84" w:rsidP="00F25C84">
      <w:pPr>
        <w:rPr>
          <w:lang w:val="es-ES_tradnl"/>
        </w:rPr>
      </w:pPr>
      <w:r w:rsidRPr="00DD2901">
        <w:rPr>
          <w:i/>
          <w:iCs/>
          <w:lang w:val="es-ES_tradnl"/>
        </w:rPr>
        <w:t>b)</w:t>
      </w:r>
      <w:r w:rsidRPr="005F2432">
        <w:rPr>
          <w:lang w:val="es-ES_tradnl"/>
        </w:rPr>
        <w:tab/>
        <w:t>que existen varios sistemas y redes en funcionamiento y planificados en el SRNS;</w:t>
      </w:r>
    </w:p>
    <w:p w:rsidR="00F25C84" w:rsidRPr="005F2432" w:rsidRDefault="00F25C84" w:rsidP="00F25C84">
      <w:pPr>
        <w:rPr>
          <w:lang w:val="es-ES_tradnl"/>
        </w:rPr>
      </w:pPr>
      <w:r w:rsidRPr="00DD2901">
        <w:rPr>
          <w:i/>
          <w:iCs/>
          <w:lang w:val="es-ES_tradnl"/>
        </w:rPr>
        <w:t>c)</w:t>
      </w:r>
      <w:r w:rsidRPr="005F2432">
        <w:rPr>
          <w:lang w:val="es-ES_tradnl"/>
        </w:rPr>
        <w:tab/>
        <w:t>que se están realizando estudios sobre la interferencia a los sistemas y redes del SRNS causada por otros s</w:t>
      </w:r>
      <w:r>
        <w:rPr>
          <w:lang w:val="es-ES_tradnl"/>
        </w:rPr>
        <w:t>ervicios de radiocomunicaciones,</w:t>
      </w:r>
    </w:p>
    <w:p w:rsidR="00F25C84" w:rsidRPr="005F2432" w:rsidRDefault="00F25C84" w:rsidP="00F25C84">
      <w:pPr>
        <w:pStyle w:val="Call"/>
        <w:rPr>
          <w:snapToGrid w:val="0"/>
          <w:lang w:val="es-ES_tradnl"/>
        </w:rPr>
      </w:pPr>
      <w:r w:rsidRPr="005F2432">
        <w:rPr>
          <w:snapToGrid w:val="0"/>
          <w:lang w:val="es-ES_tradnl"/>
        </w:rPr>
        <w:lastRenderedPageBreak/>
        <w:t>reconociendo</w:t>
      </w:r>
    </w:p>
    <w:p w:rsidR="00F25C84" w:rsidRPr="005F2432" w:rsidRDefault="00F25C84" w:rsidP="00F25C84">
      <w:pPr>
        <w:rPr>
          <w:lang w:val="es-ES_tradnl"/>
        </w:rPr>
      </w:pPr>
      <w:r w:rsidRPr="00DD2901">
        <w:rPr>
          <w:i/>
          <w:iCs/>
          <w:lang w:val="es-ES_tradnl"/>
        </w:rPr>
        <w:t>a)</w:t>
      </w:r>
      <w:r w:rsidRPr="005F2432">
        <w:rPr>
          <w:lang w:val="es-ES_tradnl"/>
        </w:rPr>
        <w:tab/>
        <w:t>que la banda 5 010-5 030 MHz está atribuida a título primario al SRNS (espacio-Tierra y espacio-espacio) en las tres Regiones;</w:t>
      </w:r>
    </w:p>
    <w:p w:rsidR="00F25C84" w:rsidRPr="005F2432" w:rsidRDefault="00F25C84" w:rsidP="00F25C84">
      <w:pPr>
        <w:rPr>
          <w:lang w:val="es-ES_tradnl"/>
        </w:rPr>
      </w:pPr>
      <w:r w:rsidRPr="00DD2901">
        <w:rPr>
          <w:i/>
          <w:iCs/>
          <w:lang w:val="es-ES_tradnl"/>
        </w:rPr>
        <w:t>b)</w:t>
      </w:r>
      <w:r w:rsidRPr="005F2432">
        <w:rPr>
          <w:lang w:val="es-ES_tradnl"/>
        </w:rPr>
        <w:tab/>
        <w:t>que la banda 5 010-5 030 MHz también está atribuida a título primario al servicio de radionavegación aeronáutica (SRNA) en las tres Regiones;</w:t>
      </w:r>
    </w:p>
    <w:p w:rsidR="00F25C84" w:rsidRPr="005F2432" w:rsidRDefault="00F25C84" w:rsidP="00F25C84">
      <w:pPr>
        <w:rPr>
          <w:szCs w:val="24"/>
          <w:lang w:val="es-ES_tradnl"/>
        </w:rPr>
      </w:pPr>
      <w:r w:rsidRPr="00DD2901">
        <w:rPr>
          <w:i/>
          <w:iCs/>
          <w:lang w:val="es-ES_tradnl"/>
        </w:rPr>
        <w:t>c)</w:t>
      </w:r>
      <w:r w:rsidRPr="005F2432">
        <w:rPr>
          <w:lang w:val="es-ES_tradnl"/>
        </w:rPr>
        <w:tab/>
        <w:t>que la banda</w:t>
      </w:r>
      <w:r w:rsidRPr="005F2432">
        <w:rPr>
          <w:szCs w:val="24"/>
          <w:lang w:val="es-ES_tradnl"/>
        </w:rPr>
        <w:t xml:space="preserve"> 5 010-5 030 MHz también está atribuida a título primario al servicio móvil aeronáutico (en rutas) por satélite (SMA(R)S) en las tres Regiones, de acuerdo con el número</w:t>
      </w:r>
      <w:r w:rsidRPr="005F2432">
        <w:rPr>
          <w:lang w:val="es-ES_tradnl"/>
        </w:rPr>
        <w:t> 9.21 del RR;</w:t>
      </w:r>
    </w:p>
    <w:p w:rsidR="00F25C84" w:rsidRPr="005F2432" w:rsidRDefault="00F25C84" w:rsidP="001160FC">
      <w:pPr>
        <w:rPr>
          <w:szCs w:val="24"/>
          <w:lang w:val="es-ES_tradnl"/>
        </w:rPr>
      </w:pPr>
      <w:r w:rsidRPr="00DD2901">
        <w:rPr>
          <w:i/>
          <w:iCs/>
          <w:lang w:val="es-ES_tradnl"/>
        </w:rPr>
        <w:t>d)</w:t>
      </w:r>
      <w:r w:rsidRPr="005F2432">
        <w:rPr>
          <w:lang w:val="es-ES_tradnl"/>
        </w:rPr>
        <w:tab/>
        <w:t>que, en virtud del número </w:t>
      </w:r>
      <w:r w:rsidRPr="00362319">
        <w:rPr>
          <w:b/>
          <w:bCs/>
          <w:lang w:val="es-ES_tradnl"/>
        </w:rPr>
        <w:t>5.328B</w:t>
      </w:r>
      <w:r w:rsidRPr="005F2432">
        <w:rPr>
          <w:lang w:val="es-ES_tradnl"/>
        </w:rPr>
        <w:t xml:space="preserve"> del RR, </w:t>
      </w:r>
      <w:r w:rsidR="001160FC">
        <w:rPr>
          <w:lang w:val="es-ES_tradnl"/>
        </w:rPr>
        <w:t>«</w:t>
      </w:r>
      <w:r w:rsidRPr="005F2432">
        <w:rPr>
          <w:lang w:val="es-ES_tradnl"/>
        </w:rPr>
        <w:t>la utilización de las bandas 1 164-1 215 MHz, 1 215-</w:t>
      </w:r>
      <w:r w:rsidRPr="002C7EED">
        <w:rPr>
          <w:lang w:val="es-ES_tradnl"/>
        </w:rPr>
        <w:t>1 300</w:t>
      </w:r>
      <w:r w:rsidRPr="005F2432">
        <w:rPr>
          <w:szCs w:val="24"/>
          <w:lang w:val="es-ES_tradnl"/>
        </w:rPr>
        <w:t xml:space="preserve"> MHz, </w:t>
      </w:r>
      <w:r w:rsidRPr="002C7EED">
        <w:rPr>
          <w:lang w:val="es-ES_tradnl"/>
        </w:rPr>
        <w:t>1 559</w:t>
      </w:r>
      <w:r w:rsidRPr="005F2432">
        <w:rPr>
          <w:szCs w:val="24"/>
          <w:lang w:val="es-ES_tradnl"/>
        </w:rPr>
        <w:t>-1</w:t>
      </w:r>
      <w:r>
        <w:rPr>
          <w:szCs w:val="24"/>
          <w:lang w:val="es-ES_tradnl"/>
        </w:rPr>
        <w:t> </w:t>
      </w:r>
      <w:r w:rsidRPr="005F2432">
        <w:rPr>
          <w:szCs w:val="24"/>
          <w:lang w:val="es-ES_tradnl"/>
        </w:rPr>
        <w:t>610 MHz y 5 </w:t>
      </w:r>
      <w:r w:rsidRPr="00362319">
        <w:rPr>
          <w:rFonts w:hint="eastAsia"/>
          <w:szCs w:val="24"/>
          <w:lang w:val="es-ES_tradnl" w:eastAsia="ja-JP"/>
        </w:rPr>
        <w:t>000-5</w:t>
      </w:r>
      <w:r w:rsidRPr="00362319">
        <w:rPr>
          <w:szCs w:val="24"/>
          <w:lang w:val="es-ES_tradnl" w:eastAsia="ja-JP"/>
        </w:rPr>
        <w:t xml:space="preserve"> </w:t>
      </w:r>
      <w:r w:rsidRPr="005F2432">
        <w:rPr>
          <w:szCs w:val="24"/>
          <w:lang w:val="es-ES_tradnl"/>
        </w:rPr>
        <w:t>010MHz por los sistemas y redes del servicio de radionavegación por satélite sobre los cuales la Oficina de Radiocomunicaciones haya recibido la información de coordinación completa, según el caso, después del 1 de enero de 2005, está sujeta a las disposiciones de los números </w:t>
      </w:r>
      <w:r w:rsidRPr="008B3D22">
        <w:rPr>
          <w:b/>
          <w:bCs/>
          <w:lang w:val="es-ES_tradnl"/>
        </w:rPr>
        <w:t>9.12</w:t>
      </w:r>
      <w:r w:rsidRPr="005F2432">
        <w:rPr>
          <w:lang w:val="es-ES_tradnl"/>
        </w:rPr>
        <w:t xml:space="preserve">, </w:t>
      </w:r>
      <w:r w:rsidRPr="008B3D22">
        <w:rPr>
          <w:b/>
          <w:bCs/>
          <w:lang w:val="es-ES_tradnl"/>
        </w:rPr>
        <w:t>9.12A</w:t>
      </w:r>
      <w:r w:rsidRPr="005F2432">
        <w:rPr>
          <w:lang w:val="es-ES_tradnl"/>
        </w:rPr>
        <w:t xml:space="preserve"> y </w:t>
      </w:r>
      <w:r w:rsidRPr="008B3D22">
        <w:rPr>
          <w:b/>
          <w:bCs/>
          <w:lang w:val="es-ES_tradnl"/>
        </w:rPr>
        <w:t>9.13</w:t>
      </w:r>
      <w:r w:rsidRPr="005F2432">
        <w:rPr>
          <w:lang w:val="es-ES_tradnl"/>
        </w:rPr>
        <w:t xml:space="preserve"> …</w:t>
      </w:r>
      <w:r w:rsidR="001160FC">
        <w:rPr>
          <w:lang w:val="es-ES_tradnl"/>
        </w:rPr>
        <w:t>»</w:t>
      </w:r>
      <w:r w:rsidRPr="005F2432">
        <w:rPr>
          <w:lang w:val="es-ES_tradnl"/>
        </w:rPr>
        <w:t>,</w:t>
      </w:r>
      <w:r w:rsidRPr="005F2432">
        <w:rPr>
          <w:szCs w:val="24"/>
          <w:lang w:val="es-ES_tradnl"/>
        </w:rPr>
        <w:t xml:space="preserve"> y que se está planificando el estudio para determinar métodos y criterios adicionales para facilitar dicha coordinación;</w:t>
      </w:r>
    </w:p>
    <w:p w:rsidR="00F25C84" w:rsidRPr="005F2432" w:rsidRDefault="00F25C84" w:rsidP="00F25C84">
      <w:pPr>
        <w:rPr>
          <w:lang w:val="es-ES_tradnl"/>
        </w:rPr>
      </w:pPr>
      <w:r w:rsidRPr="00DD2901">
        <w:rPr>
          <w:i/>
          <w:iCs/>
          <w:lang w:val="es-ES_tradnl"/>
        </w:rPr>
        <w:t>e)</w:t>
      </w:r>
      <w:r w:rsidRPr="005F2432">
        <w:rPr>
          <w:lang w:val="es-ES_tradnl"/>
        </w:rPr>
        <w:tab/>
        <w:t>que el número </w:t>
      </w:r>
      <w:r w:rsidRPr="008B3D22">
        <w:rPr>
          <w:b/>
          <w:bCs/>
          <w:lang w:val="es-ES_tradnl"/>
        </w:rPr>
        <w:t>5.443B</w:t>
      </w:r>
      <w:r w:rsidRPr="005F2432">
        <w:rPr>
          <w:lang w:val="es-ES_tradnl"/>
        </w:rPr>
        <w:t xml:space="preserve"> del RR y la Resolución </w:t>
      </w:r>
      <w:r w:rsidRPr="008B3D22">
        <w:rPr>
          <w:b/>
          <w:bCs/>
          <w:lang w:val="es-ES_tradnl"/>
        </w:rPr>
        <w:t>741</w:t>
      </w:r>
      <w:r w:rsidRPr="005F2432">
        <w:rPr>
          <w:lang w:val="es-ES_tradnl"/>
        </w:rPr>
        <w:t xml:space="preserve"> </w:t>
      </w:r>
      <w:r w:rsidRPr="008B3D22">
        <w:rPr>
          <w:b/>
          <w:bCs/>
          <w:lang w:val="es-ES_tradnl"/>
        </w:rPr>
        <w:t>(Rev.CMR</w:t>
      </w:r>
      <w:r w:rsidRPr="008B3D22">
        <w:rPr>
          <w:b/>
          <w:bCs/>
          <w:lang w:val="es-ES_tradnl"/>
        </w:rPr>
        <w:noBreakHyphen/>
        <w:t>12)</w:t>
      </w:r>
      <w:r w:rsidRPr="005F2432">
        <w:rPr>
          <w:lang w:val="es-ES_tradnl"/>
        </w:rPr>
        <w:t xml:space="preserve"> establecen límites de densidad de flujo de potencia combinada para las estaciones espaciales del SRNS a fin de evitar que causen interferencia perjudicial al servicio de radioastronomía (SRA)</w:t>
      </w:r>
      <w:r w:rsidR="008B3D22">
        <w:rPr>
          <w:lang w:val="es-ES_tradnl"/>
        </w:rPr>
        <w:t xml:space="preserve"> que funciona en la banda 4 990</w:t>
      </w:r>
      <w:r w:rsidR="008B3D22">
        <w:rPr>
          <w:lang w:val="es-ES_tradnl"/>
        </w:rPr>
        <w:noBreakHyphen/>
      </w:r>
      <w:r w:rsidRPr="005F2432">
        <w:rPr>
          <w:lang w:val="es-ES_tradnl"/>
        </w:rPr>
        <w:t>5 000 MHz;</w:t>
      </w:r>
    </w:p>
    <w:p w:rsidR="00F25C84" w:rsidRDefault="00F25C84" w:rsidP="00F25C84">
      <w:pPr>
        <w:rPr>
          <w:lang w:val="es-ES_tradnl"/>
        </w:rPr>
      </w:pPr>
      <w:r w:rsidRPr="00DD2901">
        <w:rPr>
          <w:i/>
          <w:iCs/>
          <w:lang w:val="es-ES_tradnl"/>
        </w:rPr>
        <w:t>f)</w:t>
      </w:r>
      <w:r w:rsidRPr="005F2432">
        <w:rPr>
          <w:lang w:val="es-ES_tradnl"/>
        </w:rPr>
        <w:tab/>
        <w:t>que el número </w:t>
      </w:r>
      <w:r w:rsidRPr="008B3D22">
        <w:rPr>
          <w:b/>
          <w:bCs/>
          <w:lang w:val="es-ES_tradnl"/>
        </w:rPr>
        <w:t>5.443B</w:t>
      </w:r>
      <w:r w:rsidRPr="005F2432">
        <w:rPr>
          <w:lang w:val="es-ES_tradnl"/>
        </w:rPr>
        <w:t xml:space="preserve"> del RR establece límites de densidad de flujo de potencia combinada para las estaciones del SRNS a fin de evitar que causen interferencia perjudicial al sistema de aterrizaje por microondas del SRNA que funciona por encima de 5 030 MHz</w:t>
      </w:r>
      <w:r>
        <w:rPr>
          <w:lang w:val="es-ES_tradnl"/>
        </w:rPr>
        <w:t>;</w:t>
      </w:r>
    </w:p>
    <w:p w:rsidR="00F25C84" w:rsidRPr="007C5C01" w:rsidRDefault="00F25C84" w:rsidP="00F25C84">
      <w:pPr>
        <w:rPr>
          <w:lang w:val="es-ES_tradnl"/>
        </w:rPr>
      </w:pPr>
      <w:r w:rsidRPr="00362319">
        <w:rPr>
          <w:i/>
          <w:szCs w:val="24"/>
          <w:lang w:val="es-ES_tradnl"/>
        </w:rPr>
        <w:t>g)</w:t>
      </w:r>
      <w:r w:rsidRPr="00362319">
        <w:rPr>
          <w:szCs w:val="24"/>
          <w:lang w:val="es-ES_tradnl"/>
        </w:rPr>
        <w:tab/>
        <w:t>que la Recomendación UIT-R</w:t>
      </w:r>
      <w:r w:rsidRPr="00362319">
        <w:rPr>
          <w:lang w:val="es-ES_tradnl"/>
        </w:rPr>
        <w:t xml:space="preserve"> </w:t>
      </w:r>
      <w:r w:rsidRPr="007C5C01">
        <w:rPr>
          <w:szCs w:val="24"/>
          <w:lang w:val="es-ES_tradnl"/>
        </w:rPr>
        <w:t>M.1901</w:t>
      </w:r>
      <w:r>
        <w:rPr>
          <w:szCs w:val="24"/>
          <w:lang w:val="es-ES_tradnl"/>
        </w:rPr>
        <w:t xml:space="preserve"> </w:t>
      </w:r>
      <w:r w:rsidRPr="00EA5150">
        <w:rPr>
          <w:lang w:val="es-ES_tradnl"/>
        </w:rPr>
        <w:t>proporciona orientación sobre</w:t>
      </w:r>
      <w:r>
        <w:rPr>
          <w:lang w:val="es-ES_tradnl"/>
        </w:rPr>
        <w:t xml:space="preserve"> </w:t>
      </w:r>
      <w:r w:rsidRPr="00EA5150">
        <w:rPr>
          <w:lang w:val="es-ES_tradnl"/>
        </w:rPr>
        <w:t>Recomendaciones UIT-R relativas</w:t>
      </w:r>
      <w:r>
        <w:rPr>
          <w:lang w:val="es-ES_tradnl"/>
        </w:rPr>
        <w:t xml:space="preserve"> </w:t>
      </w:r>
      <w:r w:rsidRPr="00EA5150">
        <w:rPr>
          <w:lang w:val="es-ES_tradnl"/>
        </w:rPr>
        <w:t>a</w:t>
      </w:r>
      <w:r w:rsidRPr="00362319">
        <w:rPr>
          <w:lang w:val="es-ES_tradnl"/>
        </w:rPr>
        <w:t xml:space="preserve"> sistemas y redes del SRNS,</w:t>
      </w:r>
    </w:p>
    <w:p w:rsidR="00F25C84" w:rsidRPr="005F2432" w:rsidRDefault="00F25C84" w:rsidP="00F25C84">
      <w:pPr>
        <w:pStyle w:val="Call"/>
        <w:rPr>
          <w:snapToGrid w:val="0"/>
          <w:lang w:val="es-ES_tradnl"/>
        </w:rPr>
      </w:pPr>
      <w:r w:rsidRPr="005F2432">
        <w:rPr>
          <w:snapToGrid w:val="0"/>
          <w:lang w:val="es-ES_tradnl"/>
        </w:rPr>
        <w:t>recomienda</w:t>
      </w:r>
    </w:p>
    <w:p w:rsidR="00F25C84" w:rsidRPr="005F2432" w:rsidRDefault="00F25C84" w:rsidP="00F25C84">
      <w:pPr>
        <w:rPr>
          <w:snapToGrid w:val="0"/>
          <w:lang w:val="es-ES_tradnl"/>
        </w:rPr>
      </w:pPr>
      <w:r w:rsidRPr="005F2432">
        <w:rPr>
          <w:b/>
          <w:bCs/>
          <w:snapToGrid w:val="0"/>
          <w:lang w:val="es-ES_tradnl"/>
        </w:rPr>
        <w:t>1</w:t>
      </w:r>
      <w:r w:rsidRPr="005F2432">
        <w:rPr>
          <w:b/>
          <w:bCs/>
          <w:snapToGrid w:val="0"/>
          <w:lang w:val="es-ES_tradnl"/>
        </w:rPr>
        <w:tab/>
      </w:r>
      <w:r w:rsidRPr="005F2432">
        <w:rPr>
          <w:lang w:val="es-ES_tradnl"/>
        </w:rPr>
        <w:t>que se utilicen las características y los criterios de protección de las estaciones terrenas receptoras y las características de las estaciones espaciales transmisoras consignadas en los Anexos 1, 2 y 3 para realizar análisis del efecto de la interferencia de frecuencias radioeléctricas en los sistemas y redes del SRNS (espacio-Tierra) que funcionan en la banda 5 010-5 030 MHz procedente de fuentes radioeléctricas distintas del SRNS</w:t>
      </w:r>
      <w:r w:rsidRPr="005F2432">
        <w:rPr>
          <w:snapToGrid w:val="0"/>
          <w:lang w:val="es-ES_tradnl"/>
        </w:rPr>
        <w:t>;</w:t>
      </w:r>
    </w:p>
    <w:p w:rsidR="00F25C84" w:rsidRDefault="00F25C84" w:rsidP="00F25C84">
      <w:pPr>
        <w:rPr>
          <w:lang w:val="es-ES_tradnl" w:eastAsia="ja-JP"/>
        </w:rPr>
      </w:pPr>
      <w:r w:rsidRPr="005F2432">
        <w:rPr>
          <w:b/>
          <w:bCs/>
          <w:snapToGrid w:val="0"/>
          <w:lang w:val="es-ES_tradnl"/>
        </w:rPr>
        <w:t>2</w:t>
      </w:r>
      <w:r w:rsidRPr="005F2432">
        <w:rPr>
          <w:snapToGrid w:val="0"/>
          <w:lang w:val="es-ES_tradnl"/>
        </w:rPr>
        <w:tab/>
        <w:t>que el margen de interferencia a los enlaces de servicio de los sistemas y redes del SRNS (espacio-Tierra) de los Anexos 1 y 2 que funcionan en la banda 5 010-5 030 MHz procedente de todas las fuentes radioeléctricas distintas del SRNS no debería rebasar los valores de umbral de los Cuadros</w:t>
      </w:r>
      <w:r>
        <w:rPr>
          <w:lang w:val="es-ES_tradnl" w:eastAsia="ja-JP"/>
        </w:rPr>
        <w:t> </w:t>
      </w:r>
      <w:r w:rsidRPr="005F2432">
        <w:rPr>
          <w:lang w:val="es-ES_tradnl" w:eastAsia="ja-JP"/>
        </w:rPr>
        <w:t>1-1 y 2-</w:t>
      </w:r>
      <w:r w:rsidRPr="005F2432">
        <w:rPr>
          <w:lang w:val="es-ES_tradnl"/>
        </w:rPr>
        <w:t>4</w:t>
      </w:r>
      <w:r w:rsidRPr="005F2432">
        <w:rPr>
          <w:lang w:val="es-ES_tradnl" w:eastAsia="ja-JP"/>
        </w:rPr>
        <w:t>.</w:t>
      </w:r>
    </w:p>
    <w:p w:rsidR="00F25C84" w:rsidRPr="005F2432" w:rsidRDefault="00F25C84" w:rsidP="00F25C84">
      <w:pPr>
        <w:pStyle w:val="AnnexNoTitle"/>
        <w:rPr>
          <w:rFonts w:eastAsia="MS Mincho"/>
          <w:lang w:val="es-ES_tradnl"/>
        </w:rPr>
      </w:pPr>
      <w:r w:rsidRPr="005F2432">
        <w:rPr>
          <w:rFonts w:eastAsia="MS Mincho"/>
          <w:lang w:val="es-ES_tradnl"/>
        </w:rPr>
        <w:t>Anexo 1</w:t>
      </w:r>
      <w:r w:rsidRPr="005F2432">
        <w:rPr>
          <w:rFonts w:eastAsia="MS Mincho"/>
          <w:lang w:val="es-ES_tradnl"/>
        </w:rPr>
        <w:br/>
      </w:r>
      <w:r w:rsidRPr="005F2432">
        <w:rPr>
          <w:rFonts w:eastAsia="MS Mincho"/>
          <w:lang w:val="es-ES_tradnl"/>
        </w:rPr>
        <w:br/>
        <w:t>Características técnicas y criterios de protección típicos</w:t>
      </w:r>
      <w:r w:rsidRPr="005F2432">
        <w:rPr>
          <w:rFonts w:eastAsia="MS Mincho"/>
          <w:lang w:val="es-ES_tradnl"/>
        </w:rPr>
        <w:br/>
        <w:t>de las estaciones terrenas receptoras del sistema Galileo</w:t>
      </w:r>
      <w:r w:rsidRPr="005F2432">
        <w:rPr>
          <w:rFonts w:eastAsia="MS Mincho"/>
          <w:lang w:val="es-ES_tradnl"/>
        </w:rPr>
        <w:br/>
        <w:t>que funcionan en la banda 5 010-5 030 MHz</w:t>
      </w:r>
    </w:p>
    <w:p w:rsidR="00F25C84" w:rsidRPr="005F2432" w:rsidRDefault="00F25C84" w:rsidP="00B971C6">
      <w:pPr>
        <w:pStyle w:val="Heading1"/>
        <w:rPr>
          <w:lang w:val="es-ES_tradnl"/>
        </w:rPr>
      </w:pPr>
      <w:r w:rsidRPr="005F2432">
        <w:rPr>
          <w:lang w:val="es-ES_tradnl"/>
        </w:rPr>
        <w:t>1</w:t>
      </w:r>
      <w:r w:rsidRPr="005F2432">
        <w:rPr>
          <w:lang w:val="es-ES_tradnl"/>
        </w:rPr>
        <w:tab/>
      </w:r>
      <w:proofErr w:type="spellStart"/>
      <w:r w:rsidRPr="00B971C6">
        <w:t>Introducción</w:t>
      </w:r>
      <w:proofErr w:type="spellEnd"/>
    </w:p>
    <w:p w:rsidR="00F25C84" w:rsidRPr="005F2432" w:rsidRDefault="00F25C84" w:rsidP="00F25C84">
      <w:pPr>
        <w:rPr>
          <w:lang w:val="es-ES_tradnl"/>
        </w:rPr>
      </w:pPr>
      <w:r w:rsidRPr="005F2432">
        <w:rPr>
          <w:lang w:val="es-ES_tradnl"/>
        </w:rPr>
        <w:t xml:space="preserve">El enlace de servicio del Sistema de determinación de posición Galileo facilita información que los receptores de navegación convenientemente equipados utilizan para determinar la posición, la navegación y la temporización (PNT). Este Anexo se centra en las características receptoras del </w:t>
      </w:r>
      <w:r w:rsidRPr="005F2432">
        <w:rPr>
          <w:lang w:val="es-ES_tradnl"/>
        </w:rPr>
        <w:lastRenderedPageBreak/>
        <w:t>enlace de servicio del Sistema de determinación de posición Galileo y no se ocupa de las estaciones espaciales transmisoras de esta misma red. Una vez conocidas las características de la estación espacial transmisora, probablemente se actualizará este Anexo en el marco de una futura revisión de la Recomendación.</w:t>
      </w:r>
    </w:p>
    <w:p w:rsidR="00F25C84" w:rsidRPr="005F2432" w:rsidRDefault="00F25C84" w:rsidP="00F25C84">
      <w:pPr>
        <w:pStyle w:val="Heading1"/>
        <w:rPr>
          <w:lang w:val="es-ES_tradnl"/>
        </w:rPr>
      </w:pPr>
      <w:r w:rsidRPr="005F2432">
        <w:rPr>
          <w:lang w:val="es-ES_tradnl"/>
        </w:rPr>
        <w:t>2</w:t>
      </w:r>
      <w:r w:rsidRPr="005F2432">
        <w:rPr>
          <w:lang w:val="es-ES_tradnl"/>
        </w:rPr>
        <w:tab/>
        <w:t>Características del enlace de servicio Galileo</w:t>
      </w:r>
    </w:p>
    <w:p w:rsidR="00F25C84" w:rsidRPr="005F2432" w:rsidRDefault="00F25C84" w:rsidP="00F25C84">
      <w:pPr>
        <w:rPr>
          <w:lang w:val="es-ES_tradnl" w:eastAsia="en-GB"/>
        </w:rPr>
      </w:pPr>
      <w:r w:rsidRPr="005F2432">
        <w:rPr>
          <w:lang w:val="es-ES_tradnl"/>
        </w:rPr>
        <w:t>El servicio PNT Galileo ofrece enlaces descendentes en la banda</w:t>
      </w:r>
      <w:r w:rsidRPr="005F2432">
        <w:rPr>
          <w:lang w:val="es-ES_tradnl" w:eastAsia="en-GB"/>
        </w:rPr>
        <w:t xml:space="preserve"> 5</w:t>
      </w:r>
      <w:r>
        <w:rPr>
          <w:lang w:val="es-ES_tradnl" w:eastAsia="en-GB"/>
        </w:rPr>
        <w:t> </w:t>
      </w:r>
      <w:r w:rsidRPr="005F2432">
        <w:rPr>
          <w:lang w:val="es-ES_tradnl" w:eastAsia="en-GB"/>
        </w:rPr>
        <w:t>010-5</w:t>
      </w:r>
      <w:r>
        <w:rPr>
          <w:lang w:val="es-ES_tradnl" w:eastAsia="en-GB"/>
        </w:rPr>
        <w:t> </w:t>
      </w:r>
      <w:r w:rsidRPr="005F2432">
        <w:rPr>
          <w:lang w:val="es-ES_tradnl" w:eastAsia="en-GB"/>
        </w:rPr>
        <w:t>030</w:t>
      </w:r>
      <w:r>
        <w:rPr>
          <w:lang w:val="es-ES_tradnl" w:eastAsia="en-GB"/>
        </w:rPr>
        <w:t> </w:t>
      </w:r>
      <w:r w:rsidRPr="005F2432">
        <w:rPr>
          <w:lang w:val="es-ES_tradnl" w:eastAsia="en-GB"/>
        </w:rPr>
        <w:t xml:space="preserve">MHz para los requisitos de PNT de los usuarios móviles (terrestres, marítimos y aeronáuticos). </w:t>
      </w:r>
    </w:p>
    <w:p w:rsidR="00F25C84" w:rsidRPr="005F2432" w:rsidRDefault="00F25C84" w:rsidP="00F25C84">
      <w:pPr>
        <w:rPr>
          <w:lang w:val="es-ES_tradnl" w:eastAsia="en-GB"/>
        </w:rPr>
      </w:pPr>
      <w:r w:rsidRPr="005F2432">
        <w:rPr>
          <w:lang w:val="es-ES_tradnl" w:eastAsia="en-GB"/>
        </w:rPr>
        <w:t xml:space="preserve">El sistema Galileo ofrece dos servicios: uno con cobertura mundial y otro que utiliza haces puntuales con los que consigue una mayor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eastAsia="en-GB"/>
        </w:rPr>
        <w:t xml:space="preserve"> en zonas específicas. Para lograr una gran exactitud y un buen posicionamiento, es fundamental utilizar transmisiones de señal en banda ancha. Al igual que ocurre con las transmisiones del SRNS en la banda L, las transmisiones en banda C son de señales de espectro ensanchado con componentes de señal multiplexados.</w:t>
      </w:r>
    </w:p>
    <w:p w:rsidR="00F25C84" w:rsidRPr="005F2432" w:rsidRDefault="00F25C84" w:rsidP="00F25C84">
      <w:pPr>
        <w:rPr>
          <w:lang w:val="es-ES_tradnl"/>
        </w:rPr>
      </w:pPr>
      <w:r w:rsidRPr="005F2432">
        <w:rPr>
          <w:lang w:val="es-ES_tradnl"/>
        </w:rPr>
        <w:t>En comparación con las condiciones de compartición de las atribuciones al SRNS entre 1</w:t>
      </w:r>
      <w:r>
        <w:rPr>
          <w:lang w:val="es-ES_tradnl"/>
        </w:rPr>
        <w:t> </w:t>
      </w:r>
      <w:r w:rsidRPr="005F2432">
        <w:rPr>
          <w:lang w:val="es-ES_tradnl"/>
        </w:rPr>
        <w:t>164 MHz y 1 610 MHz, la banda 5</w:t>
      </w:r>
      <w:r>
        <w:rPr>
          <w:lang w:val="es-ES_tradnl"/>
        </w:rPr>
        <w:t> </w:t>
      </w:r>
      <w:r w:rsidRPr="005F2432">
        <w:rPr>
          <w:lang w:val="es-ES_tradnl"/>
        </w:rPr>
        <w:t>010-5</w:t>
      </w:r>
      <w:r>
        <w:rPr>
          <w:lang w:val="es-ES_tradnl"/>
        </w:rPr>
        <w:t> </w:t>
      </w:r>
      <w:r w:rsidRPr="005F2432">
        <w:rPr>
          <w:lang w:val="es-ES_tradnl"/>
        </w:rPr>
        <w:t>030</w:t>
      </w:r>
      <w:r>
        <w:rPr>
          <w:lang w:val="es-ES_tradnl"/>
        </w:rPr>
        <w:t> </w:t>
      </w:r>
      <w:r w:rsidRPr="005F2432">
        <w:rPr>
          <w:lang w:val="es-ES_tradnl"/>
        </w:rPr>
        <w:t>MHz ofrece niveles muy inferiores de interferencia potencial que la hacen muy atractiva para aplicaciones de servicios de seguridad críticos y similares.</w:t>
      </w:r>
    </w:p>
    <w:p w:rsidR="00F25C84" w:rsidRPr="005F2432" w:rsidRDefault="00F25C84" w:rsidP="00F25C84">
      <w:pPr>
        <w:rPr>
          <w:lang w:val="es-ES_tradnl" w:eastAsia="en-GB"/>
        </w:rPr>
      </w:pPr>
      <w:r w:rsidRPr="005F2432">
        <w:rPr>
          <w:lang w:val="es-ES_tradnl" w:eastAsia="en-GB"/>
        </w:rPr>
        <w:t xml:space="preserve">En el Cuadro 1-1 siguiente pueden encontrarse los criterios de protección del receptor derivados cuando se utiliza el enlace descendente para un haz de cobertura mundial. Los distintos componentes de la señal se </w:t>
      </w:r>
      <w:proofErr w:type="spellStart"/>
      <w:r w:rsidRPr="005F2432">
        <w:rPr>
          <w:lang w:val="es-ES_tradnl" w:eastAsia="en-GB"/>
        </w:rPr>
        <w:t>multiplexan</w:t>
      </w:r>
      <w:proofErr w:type="spellEnd"/>
      <w:r w:rsidRPr="005F2432">
        <w:rPr>
          <w:lang w:val="es-ES_tradnl" w:eastAsia="en-GB"/>
        </w:rPr>
        <w:t xml:space="preserve"> con modulaciones de envolvente constante. Como requiere el mercado, se ha de lograr una calidad de servicio total para todos los ángulos de elevación superiores a</w:t>
      </w:r>
      <w:r>
        <w:rPr>
          <w:lang w:val="es-ES_tradnl"/>
        </w:rPr>
        <w:t xml:space="preserve"> 5°.</w:t>
      </w:r>
    </w:p>
    <w:p w:rsidR="00F25C84" w:rsidRPr="005F2432" w:rsidRDefault="00F25C84" w:rsidP="00F25C84">
      <w:pPr>
        <w:rPr>
          <w:lang w:val="es-ES_tradnl"/>
        </w:rPr>
      </w:pPr>
      <w:r w:rsidRPr="005F2432">
        <w:rPr>
          <w:lang w:val="es-ES_tradnl"/>
        </w:rPr>
        <w:t xml:space="preserve">Se supone que el enlace de servicio ofrece servicios PNT a los receptores móviles del SRNS desde satélites visibles por encima de 5° de elevación utilizando antenas de cobertura hemisférica con una ganancia de </w:t>
      </w:r>
      <w:r>
        <w:rPr>
          <w:lang w:val="es-ES_tradnl"/>
        </w:rPr>
        <w:t>–</w:t>
      </w:r>
      <w:r w:rsidRPr="005F2432">
        <w:rPr>
          <w:lang w:val="es-ES_tradnl"/>
        </w:rPr>
        <w:t>5</w:t>
      </w:r>
      <w:r>
        <w:rPr>
          <w:lang w:val="es-ES_tradnl"/>
        </w:rPr>
        <w:t> </w:t>
      </w:r>
      <w:proofErr w:type="spellStart"/>
      <w:r w:rsidRPr="005F2432">
        <w:rPr>
          <w:lang w:val="es-ES_tradnl"/>
        </w:rPr>
        <w:t>dBi</w:t>
      </w:r>
      <w:proofErr w:type="spellEnd"/>
      <w:r w:rsidRPr="005F2432">
        <w:rPr>
          <w:lang w:val="es-ES_tradnl"/>
        </w:rPr>
        <w:t xml:space="preserve">. La ganancia de la antena receptora típica oscila entre </w:t>
      </w:r>
      <w:r>
        <w:rPr>
          <w:lang w:val="es-ES_tradnl"/>
        </w:rPr>
        <w:t>–</w:t>
      </w:r>
      <w:r w:rsidRPr="005F2432">
        <w:rPr>
          <w:lang w:val="es-ES_tradnl"/>
        </w:rPr>
        <w:t>5</w:t>
      </w:r>
      <w:r>
        <w:rPr>
          <w:lang w:val="es-ES_tradnl"/>
        </w:rPr>
        <w:t> </w:t>
      </w:r>
      <w:proofErr w:type="spellStart"/>
      <w:r w:rsidRPr="005F2432">
        <w:rPr>
          <w:lang w:val="es-ES_tradnl"/>
        </w:rPr>
        <w:t>dBi</w:t>
      </w:r>
      <w:proofErr w:type="spellEnd"/>
      <w:r w:rsidRPr="005F2432">
        <w:rPr>
          <w:lang w:val="es-ES_tradnl"/>
        </w:rPr>
        <w:t xml:space="preserve"> y +4</w:t>
      </w:r>
      <w:r>
        <w:rPr>
          <w:lang w:val="es-ES_tradnl"/>
        </w:rPr>
        <w:t> </w:t>
      </w:r>
      <w:proofErr w:type="spellStart"/>
      <w:r w:rsidRPr="005F2432">
        <w:rPr>
          <w:lang w:val="es-ES_tradnl"/>
        </w:rPr>
        <w:t>dBi</w:t>
      </w:r>
      <w:proofErr w:type="spellEnd"/>
      <w:r w:rsidRPr="005F2432">
        <w:rPr>
          <w:lang w:val="es-ES_tradnl"/>
        </w:rPr>
        <w:t xml:space="preserve"> para áng</w:t>
      </w:r>
      <w:r>
        <w:rPr>
          <w:lang w:val="es-ES_tradnl"/>
        </w:rPr>
        <w:t xml:space="preserve">ulos de elevación de entre 5° y </w:t>
      </w:r>
      <w:r w:rsidRPr="005F2432">
        <w:rPr>
          <w:lang w:val="es-ES_tradnl"/>
        </w:rPr>
        <w:t>90°.</w:t>
      </w:r>
    </w:p>
    <w:p w:rsidR="00F25C84" w:rsidRPr="005F2432" w:rsidRDefault="00F25C84" w:rsidP="00F25C84">
      <w:pPr>
        <w:pStyle w:val="Heading1"/>
        <w:rPr>
          <w:lang w:val="es-ES_tradnl"/>
        </w:rPr>
      </w:pPr>
      <w:r w:rsidRPr="005F2432">
        <w:rPr>
          <w:lang w:val="es-ES_tradnl"/>
        </w:rPr>
        <w:t>3</w:t>
      </w:r>
      <w:r w:rsidRPr="005F2432">
        <w:rPr>
          <w:lang w:val="es-ES_tradnl"/>
        </w:rPr>
        <w:tab/>
        <w:t>Criterios de protección del receptor SRNS</w:t>
      </w:r>
    </w:p>
    <w:p w:rsidR="00F25C84" w:rsidRPr="005F2432" w:rsidRDefault="00F25C84" w:rsidP="00F25C84">
      <w:pPr>
        <w:rPr>
          <w:lang w:val="es-ES_tradnl"/>
        </w:rPr>
      </w:pPr>
      <w:r w:rsidRPr="005F2432">
        <w:rPr>
          <w:lang w:val="es-ES_tradnl"/>
        </w:rPr>
        <w:t xml:space="preserve">Los niveles umbral de interferencia combinada del Cuadro 1-1 se han calculado únicamente para la interferencia causada por transmisiones continuas, que se consideran ruido blanco. </w:t>
      </w:r>
    </w:p>
    <w:p w:rsidR="00F25C84" w:rsidRPr="005F2432" w:rsidRDefault="00F25C84" w:rsidP="00F25C84">
      <w:pPr>
        <w:rPr>
          <w:lang w:val="es-ES_tradnl"/>
        </w:rPr>
      </w:pPr>
      <w:r w:rsidRPr="005F2432">
        <w:rPr>
          <w:lang w:val="es-ES_tradnl"/>
        </w:rPr>
        <w:t xml:space="preserve">Los valores de los umbrales de interferencia en banda estrecha combinada del Cuadro 1-1 son tentativos. Como se señala en la Recomendación UIT-R M.1831, si ya existe un método para definir modelos de interferencia continua en banda ancha externa, es necesario definir otros métodos para definir la interferencia en banda estrecha y la interferencia impulsiva, y por ahora no hay ninguna Recomendación acerca de la interferencia en banda estrecha. </w:t>
      </w:r>
    </w:p>
    <w:p w:rsidR="00F25C84" w:rsidRPr="005F2432" w:rsidRDefault="00F25C84" w:rsidP="00F25C84">
      <w:pPr>
        <w:rPr>
          <w:lang w:val="es-ES_tradnl"/>
        </w:rPr>
      </w:pPr>
      <w:r w:rsidRPr="005F2432">
        <w:rPr>
          <w:lang w:val="es-ES_tradnl"/>
        </w:rPr>
        <w:t xml:space="preserve">Para ofrecer la información PNT, los receptores del SRNS siguen varios pasos importantes en la recepción RF y el procesamiento de las señales de espectro ensanchado, que son la adquisición de la señal (portadora y fase), el rastreo de la portadora y la fase, el rastreo del código y la </w:t>
      </w:r>
      <w:proofErr w:type="spellStart"/>
      <w:r w:rsidRPr="005F2432">
        <w:rPr>
          <w:lang w:val="es-ES_tradnl"/>
        </w:rPr>
        <w:t>subportadora</w:t>
      </w:r>
      <w:proofErr w:type="spellEnd"/>
      <w:r w:rsidRPr="005F2432">
        <w:rPr>
          <w:lang w:val="es-ES_tradnl"/>
        </w:rPr>
        <w:t xml:space="preserve"> y la descodificación del mensaje de navegación. </w:t>
      </w:r>
    </w:p>
    <w:p w:rsidR="00F25C84" w:rsidRPr="005F2432" w:rsidRDefault="00F25C84" w:rsidP="00F25C84">
      <w:pPr>
        <w:rPr>
          <w:lang w:val="es-ES_tradnl"/>
        </w:rPr>
      </w:pPr>
      <w:r w:rsidRPr="005F2432">
        <w:rPr>
          <w:lang w:val="es-ES_tradnl"/>
        </w:rPr>
        <w:t xml:space="preserve">Es por tanto necesario prestar una atención especial a la protección de la ejecución de esos procesos del receptor, pues no sólo la degradación de la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rPr>
        <w:t xml:space="preserve"> a causa de interferencias simplificadas como ruido blanco, sino también la forma espectral de esas interferencias pueden degradar perjudicialmente la calidad de funcionamiento del receptor. Dicho de otro modo, el ruido coloreado puede degradar la calidad de funcionamiento del receptor incluso en caso de degradación presuntamente inocua de la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rPr>
        <w:t xml:space="preserve"> basada en un modelo de interferencia de ruido gaussiano blanco aditivo inadecuado.</w:t>
      </w:r>
    </w:p>
    <w:p w:rsidR="00F25C84" w:rsidRPr="005F2432" w:rsidRDefault="00F25C84" w:rsidP="00F25C84">
      <w:pPr>
        <w:rPr>
          <w:lang w:val="es-ES_tradnl"/>
        </w:rPr>
      </w:pPr>
      <w:r w:rsidRPr="005F2432">
        <w:rPr>
          <w:lang w:val="es-ES_tradnl"/>
        </w:rPr>
        <w:t xml:space="preserve">El ruido coloreado también influye en la utilización de </w:t>
      </w:r>
      <w:proofErr w:type="spellStart"/>
      <w:r w:rsidRPr="005F2432">
        <w:rPr>
          <w:lang w:val="es-ES_tradnl"/>
        </w:rPr>
        <w:t>decorreladores</w:t>
      </w:r>
      <w:proofErr w:type="spellEnd"/>
      <w:r w:rsidRPr="005F2432">
        <w:rPr>
          <w:lang w:val="es-ES_tradnl"/>
        </w:rPr>
        <w:t xml:space="preserve"> tempranos/tardíos, que son parte fundamental del proceso de recepción del SRNS. </w:t>
      </w:r>
    </w:p>
    <w:p w:rsidR="00F25C84" w:rsidRPr="005F2432" w:rsidRDefault="00F25C84" w:rsidP="00F25C84">
      <w:pPr>
        <w:rPr>
          <w:lang w:val="es-ES_tradnl"/>
        </w:rPr>
      </w:pPr>
      <w:r w:rsidRPr="005F2432">
        <w:rPr>
          <w:lang w:val="es-ES_tradnl"/>
        </w:rPr>
        <w:lastRenderedPageBreak/>
        <w:t xml:space="preserve">En la Recomendación UIT-R M.1831 se describe el proceso de cálculo para la coordinación entre sistemas del SRNS, habida cuenta de las características de la señal espectral, aplicando un coeficiente de separación espectral (CSE). </w:t>
      </w:r>
    </w:p>
    <w:p w:rsidR="00F25C84" w:rsidRPr="005F2432" w:rsidRDefault="00F25C84" w:rsidP="00F25C84">
      <w:pPr>
        <w:rPr>
          <w:lang w:val="es-ES_tradnl"/>
        </w:rPr>
      </w:pPr>
      <w:r w:rsidRPr="005F2432">
        <w:rPr>
          <w:lang w:val="es-ES_tradnl"/>
        </w:rPr>
        <w:t xml:space="preserve">Al igual que ocurre con las interferencias continuas, las degradaciones de la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lang w:val="es-ES_tradnl"/>
        </w:rPr>
        <w:t xml:space="preserve"> calculadas con interferencias impulsivas y teniendo en cuenta el ruido blanco supuesto no son representativas de los efectos reales en la calidad de funcionamiento del receptor. Además de las interferencias continuas, para efectuar una evaluación adecuada de la degradación de la calidad de funcionamiento del receptor, se han de tener en cuenta nuevos parámetros como la potencia de cresta, el ciclo de trabajo impulsivo y la frecuencia de repetición de impulsos. Las expresiones en forma cerrada pueden considerar estos parámetros adicionales, pero los límites del modelado se revelan cuando hay que tener en cuenta los efectos no lineales en el extremo receptor. </w:t>
      </w:r>
    </w:p>
    <w:p w:rsidR="00F25C84" w:rsidRPr="005F2432" w:rsidRDefault="00F25C84" w:rsidP="00F25C84">
      <w:pPr>
        <w:rPr>
          <w:lang w:val="es-ES_tradnl"/>
        </w:rPr>
      </w:pPr>
      <w:r w:rsidRPr="005F2432">
        <w:rPr>
          <w:lang w:val="es-ES_tradnl"/>
        </w:rPr>
        <w:t xml:space="preserve">En el caso de la interferencia impulsiva, el tiempo necesario para pasar de un extremo receptor saturado durante el impulso a un estado de reposo, donde son válidas las ecuaciones lineales, depende en gran medida de la implementación del receptor. Durante el periodo de tiempo que dura el impulso añadido al tiempo de recuperación anterior, las muestras presentadas al </w:t>
      </w:r>
      <w:proofErr w:type="spellStart"/>
      <w:r w:rsidRPr="005F2432">
        <w:rPr>
          <w:lang w:val="es-ES_tradnl"/>
        </w:rPr>
        <w:t>correlador</w:t>
      </w:r>
      <w:proofErr w:type="spellEnd"/>
      <w:r w:rsidRPr="005F2432">
        <w:rPr>
          <w:lang w:val="es-ES_tradnl"/>
        </w:rPr>
        <w:t xml:space="preserve"> son inútiles para el rastreo o la demodulación de los datos. </w:t>
      </w:r>
    </w:p>
    <w:p w:rsidR="00F25C84" w:rsidRPr="005F2432" w:rsidRDefault="00F25C84" w:rsidP="00F25C84">
      <w:pPr>
        <w:rPr>
          <w:lang w:val="es-ES_tradnl"/>
        </w:rPr>
      </w:pPr>
      <w:r w:rsidRPr="005F2432">
        <w:rPr>
          <w:lang w:val="es-ES_tradnl"/>
        </w:rPr>
        <w:t>Cuanto mayor sea el número de impulsos por intervalo de integración coherente, mayor será la degradación para un ciclo de trabajo impulsivo fijo, a causa del efecto acumulado de los tiempos de recuperación. La duración del impulso ha de limitarse a una pequeña porción del periodo de integración coherente. En general, cualquier periodo de tiempo con muestras muy degradadas por la saturación del receptor, causada por impulsos de alta potencia, superior o igual a una décima parte del tiempo de integración coherente del receptor (normalmente alrededor de 1 ms), puede degradar perjudicialmente el proceso de integración. Para evitar la repetición de los efectos indicados es necesario que la frecuencia de repetición de impulsos no sea proporcional a la velocidad de símbolos de las señales del SRNS o a una fracción de la misma.</w:t>
      </w:r>
    </w:p>
    <w:p w:rsidR="00F25C84" w:rsidRPr="005F2432" w:rsidRDefault="00F25C84" w:rsidP="00F25C84">
      <w:pPr>
        <w:rPr>
          <w:lang w:val="es-ES_tradnl"/>
        </w:rPr>
      </w:pPr>
      <w:r w:rsidRPr="005F2432">
        <w:rPr>
          <w:lang w:val="es-ES_tradnl"/>
        </w:rPr>
        <w:t xml:space="preserve">Las estrategias de reducción de la interferencia para proteger al receptor contra la interferencia impulsiva se dejan en manos de los diseñadores y fabricantes de receptores, pues se considera que es un aspecto que afecta a la competencia, más que una restricción impuesta por el Reglamento de Radiocomunicaciones. </w:t>
      </w:r>
    </w:p>
    <w:p w:rsidR="00F25C84" w:rsidRPr="005F2432" w:rsidRDefault="00F25C84" w:rsidP="00F25C84">
      <w:pPr>
        <w:pStyle w:val="TableNo"/>
        <w:rPr>
          <w:lang w:val="es-ES_tradnl"/>
        </w:rPr>
      </w:pPr>
      <w:r w:rsidRPr="005F2432">
        <w:rPr>
          <w:lang w:val="es-ES_tradnl"/>
        </w:rPr>
        <w:t>CUADRO 1-1</w:t>
      </w:r>
    </w:p>
    <w:p w:rsidR="00F25C84" w:rsidRPr="005F2432" w:rsidRDefault="00F25C84" w:rsidP="00F25C84">
      <w:pPr>
        <w:pStyle w:val="Tabletitle"/>
        <w:rPr>
          <w:lang w:val="es-ES_tradnl"/>
        </w:rPr>
      </w:pPr>
      <w:r w:rsidRPr="005F2432">
        <w:rPr>
          <w:lang w:val="es-ES_tradnl"/>
        </w:rPr>
        <w:t>Características y criterios de protección del enlace de servicio de las estaciones</w:t>
      </w:r>
      <w:r>
        <w:rPr>
          <w:lang w:val="es-ES_tradnl"/>
        </w:rPr>
        <w:br/>
      </w:r>
      <w:r w:rsidRPr="005F2432">
        <w:rPr>
          <w:lang w:val="es-ES_tradnl"/>
        </w:rPr>
        <w:t>terrenas receptoras del sistema Galileo operativo</w:t>
      </w:r>
      <w:r>
        <w:rPr>
          <w:lang w:val="es-ES_tradnl"/>
        </w:rPr>
        <w:br/>
      </w:r>
      <w:r w:rsidRPr="005F2432">
        <w:rPr>
          <w:lang w:val="es-ES_tradnl"/>
        </w:rPr>
        <w:t>en la banda 5 010-5 030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6"/>
        <w:gridCol w:w="2891"/>
      </w:tblGrid>
      <w:tr w:rsidR="00F25C84" w:rsidRPr="005F2432" w:rsidTr="00FA7435">
        <w:trPr>
          <w:cantSplit/>
          <w:tblHeader/>
          <w:jc w:val="center"/>
        </w:trPr>
        <w:tc>
          <w:tcPr>
            <w:tcW w:w="6746" w:type="dxa"/>
            <w:vAlign w:val="center"/>
          </w:tcPr>
          <w:p w:rsidR="00F25C84" w:rsidRPr="005F2432" w:rsidRDefault="00F25C84" w:rsidP="00FA7435">
            <w:pPr>
              <w:pStyle w:val="Tablehead"/>
              <w:rPr>
                <w:rFonts w:eastAsia="MS PGothic"/>
                <w:lang w:val="es-ES_tradnl"/>
              </w:rPr>
            </w:pPr>
            <w:r w:rsidRPr="005F2432">
              <w:rPr>
                <w:rFonts w:eastAsia="MS PGothic"/>
                <w:lang w:val="es-ES_tradnl"/>
              </w:rPr>
              <w:t>Parámetro</w:t>
            </w:r>
          </w:p>
        </w:tc>
        <w:tc>
          <w:tcPr>
            <w:tcW w:w="2891" w:type="dxa"/>
            <w:vAlign w:val="center"/>
          </w:tcPr>
          <w:p w:rsidR="00F25C84" w:rsidRPr="005F2432" w:rsidRDefault="00F25C84" w:rsidP="00FA7435">
            <w:pPr>
              <w:pStyle w:val="Tablehead"/>
              <w:rPr>
                <w:rFonts w:eastAsia="MS PGothic"/>
                <w:lang w:val="es-ES_tradnl"/>
              </w:rPr>
            </w:pPr>
            <w:r w:rsidRPr="005F2432">
              <w:rPr>
                <w:rFonts w:eastAsia="MS PGothic"/>
                <w:lang w:val="es-ES_tradnl"/>
              </w:rPr>
              <w:t>Descripción del parámetro SRNS</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Gama de frecuencia de señal (MHz)</w:t>
            </w:r>
          </w:p>
        </w:tc>
        <w:tc>
          <w:tcPr>
            <w:tcW w:w="2891" w:type="dxa"/>
            <w:vAlign w:val="center"/>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5 010-5 030</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Ganancia máxima de la antena receptora (</w:t>
            </w:r>
            <w:proofErr w:type="spellStart"/>
            <w:r w:rsidRPr="005F2432">
              <w:rPr>
                <w:rFonts w:eastAsia="MS PGothic"/>
                <w:lang w:val="es-ES_tradnl"/>
              </w:rPr>
              <w:t>dBi</w:t>
            </w:r>
            <w:proofErr w:type="spellEnd"/>
            <w:r w:rsidRPr="005F2432">
              <w:rPr>
                <w:rFonts w:eastAsia="MS PGothic"/>
                <w:lang w:val="es-ES_tradnl"/>
              </w:rPr>
              <w:t>)</w:t>
            </w:r>
          </w:p>
        </w:tc>
        <w:tc>
          <w:tcPr>
            <w:tcW w:w="2891" w:type="dxa"/>
            <w:vAlign w:val="center"/>
          </w:tcPr>
          <w:p w:rsidR="00F25C84" w:rsidRPr="005F2432" w:rsidRDefault="00F25C84" w:rsidP="00FA7435">
            <w:pPr>
              <w:pStyle w:val="Tabletext"/>
              <w:jc w:val="center"/>
              <w:rPr>
                <w:rFonts w:eastAsia="MS PGothic"/>
                <w:lang w:val="es-ES_tradnl"/>
              </w:rPr>
            </w:pPr>
            <w:r w:rsidRPr="005F2432">
              <w:rPr>
                <w:rFonts w:eastAsia="MS PGothic"/>
                <w:lang w:val="es-ES_tradnl"/>
              </w:rPr>
              <w:t>4</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Ancho de banda a 3 dB del filtro RF (MHz)</w:t>
            </w:r>
          </w:p>
        </w:tc>
        <w:tc>
          <w:tcPr>
            <w:tcW w:w="2891" w:type="dxa"/>
            <w:vAlign w:val="center"/>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20</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 xml:space="preserve">Ancho de banda a 3 dB del filtro de </w:t>
            </w:r>
            <w:proofErr w:type="spellStart"/>
            <w:r w:rsidRPr="005F2432">
              <w:rPr>
                <w:rFonts w:eastAsia="MS PGothic"/>
                <w:lang w:val="es-ES_tradnl"/>
              </w:rPr>
              <w:t>precorrelación</w:t>
            </w:r>
            <w:proofErr w:type="spellEnd"/>
            <w:r w:rsidRPr="005F2432">
              <w:rPr>
                <w:rFonts w:eastAsia="MS PGothic"/>
                <w:lang w:val="es-ES_tradnl"/>
              </w:rPr>
              <w:t xml:space="preserve"> (MHz)</w:t>
            </w:r>
          </w:p>
        </w:tc>
        <w:tc>
          <w:tcPr>
            <w:tcW w:w="2891" w:type="dxa"/>
            <w:vAlign w:val="center"/>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20</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Temperatura de ruido del sistema receptor (K)</w:t>
            </w:r>
          </w:p>
        </w:tc>
        <w:tc>
          <w:tcPr>
            <w:tcW w:w="2891" w:type="dxa"/>
            <w:vAlign w:val="center"/>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530</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Nivel umbral de potencia de la interferencia en banda estrecha combinada en la salida de la antena pasiva en modo rastreo (</w:t>
            </w:r>
            <w:proofErr w:type="spellStart"/>
            <w:r w:rsidRPr="005F2432">
              <w:rPr>
                <w:rFonts w:eastAsia="MS PGothic"/>
                <w:lang w:val="es-ES_tradnl"/>
              </w:rPr>
              <w:t>dBW</w:t>
            </w:r>
            <w:proofErr w:type="spellEnd"/>
            <w:r w:rsidRPr="005F2432">
              <w:rPr>
                <w:rFonts w:eastAsia="MS PGothic"/>
                <w:lang w:val="es-ES_tradnl"/>
              </w:rPr>
              <w:t>)</w:t>
            </w:r>
          </w:p>
        </w:tc>
        <w:tc>
          <w:tcPr>
            <w:tcW w:w="2891" w:type="dxa"/>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–157,1</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Nivel umbral de potencia de la interferencia en banda estrecha combinada en la salida de la antena pasiva en modo adquisición (</w:t>
            </w:r>
            <w:proofErr w:type="spellStart"/>
            <w:r w:rsidRPr="005F2432">
              <w:rPr>
                <w:rFonts w:eastAsia="MS PGothic"/>
                <w:lang w:val="es-ES_tradnl"/>
              </w:rPr>
              <w:t>dBW</w:t>
            </w:r>
            <w:proofErr w:type="spellEnd"/>
            <w:r w:rsidRPr="005F2432">
              <w:rPr>
                <w:rFonts w:eastAsia="MS PGothic"/>
                <w:lang w:val="es-ES_tradnl"/>
              </w:rPr>
              <w:t>)</w:t>
            </w:r>
          </w:p>
        </w:tc>
        <w:tc>
          <w:tcPr>
            <w:tcW w:w="2891" w:type="dxa"/>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–160,1</w:t>
            </w:r>
          </w:p>
        </w:tc>
      </w:tr>
    </w:tbl>
    <w:p w:rsidR="007A62BD" w:rsidRDefault="007A62BD"/>
    <w:p w:rsidR="007A62BD" w:rsidRDefault="007A62BD" w:rsidP="007A62BD">
      <w:pPr>
        <w:pStyle w:val="TableNo"/>
        <w:rPr>
          <w:lang w:val="es-ES_tradnl"/>
        </w:rPr>
      </w:pPr>
      <w:r w:rsidRPr="005F2432">
        <w:rPr>
          <w:lang w:val="es-ES_tradnl"/>
        </w:rPr>
        <w:t>CUADRO 1-1</w:t>
      </w:r>
      <w:r>
        <w:rPr>
          <w:lang w:val="es-ES_tradnl"/>
        </w:rPr>
        <w:t xml:space="preserve"> (</w:t>
      </w:r>
      <w:r w:rsidRPr="007A62BD">
        <w:rPr>
          <w:i/>
          <w:iCs/>
          <w:lang w:val="es-ES_tradnl"/>
        </w:rPr>
        <w:t>cont.</w:t>
      </w:r>
      <w:r>
        <w:rPr>
          <w:lang w:val="es-ES_tradnl"/>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6"/>
        <w:gridCol w:w="2891"/>
      </w:tblGrid>
      <w:tr w:rsidR="007A62BD" w:rsidRPr="005F2432" w:rsidTr="00FA7435">
        <w:trPr>
          <w:cantSplit/>
          <w:tblHeader/>
          <w:jc w:val="center"/>
        </w:trPr>
        <w:tc>
          <w:tcPr>
            <w:tcW w:w="6746" w:type="dxa"/>
            <w:vAlign w:val="center"/>
          </w:tcPr>
          <w:p w:rsidR="007A62BD" w:rsidRPr="005F2432" w:rsidRDefault="007A62BD" w:rsidP="00FA7435">
            <w:pPr>
              <w:pStyle w:val="Tablehead"/>
              <w:rPr>
                <w:rFonts w:eastAsia="MS PGothic"/>
                <w:lang w:val="es-ES_tradnl"/>
              </w:rPr>
            </w:pPr>
            <w:r w:rsidRPr="005F2432">
              <w:rPr>
                <w:rFonts w:eastAsia="MS PGothic"/>
                <w:lang w:val="es-ES_tradnl"/>
              </w:rPr>
              <w:t>Parámetro</w:t>
            </w:r>
          </w:p>
        </w:tc>
        <w:tc>
          <w:tcPr>
            <w:tcW w:w="2891" w:type="dxa"/>
            <w:vAlign w:val="center"/>
          </w:tcPr>
          <w:p w:rsidR="007A62BD" w:rsidRPr="005F2432" w:rsidRDefault="007A62BD" w:rsidP="00FA7435">
            <w:pPr>
              <w:pStyle w:val="Tablehead"/>
              <w:rPr>
                <w:rFonts w:eastAsia="MS PGothic"/>
                <w:lang w:val="es-ES_tradnl"/>
              </w:rPr>
            </w:pPr>
            <w:r w:rsidRPr="005F2432">
              <w:rPr>
                <w:rFonts w:eastAsia="MS PGothic"/>
                <w:lang w:val="es-ES_tradnl"/>
              </w:rPr>
              <w:t>Descripción del parámetro SRNS</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Nivel umbral de densidad de potencia de la interferencia en banda ancha combinada en la salida de la antena pasiva en modo rastreo (dB(W/MHz))</w:t>
            </w:r>
          </w:p>
        </w:tc>
        <w:tc>
          <w:tcPr>
            <w:tcW w:w="2891" w:type="dxa"/>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–147,1</w:t>
            </w:r>
          </w:p>
        </w:tc>
      </w:tr>
      <w:tr w:rsidR="00F25C84" w:rsidRPr="005F2432" w:rsidTr="00FA7435">
        <w:trPr>
          <w:cantSplit/>
          <w:jc w:val="center"/>
        </w:trPr>
        <w:tc>
          <w:tcPr>
            <w:tcW w:w="6746" w:type="dxa"/>
          </w:tcPr>
          <w:p w:rsidR="00F25C84" w:rsidRPr="005F2432" w:rsidRDefault="00F25C84" w:rsidP="00FA7435">
            <w:pPr>
              <w:pStyle w:val="Tabletext"/>
              <w:jc w:val="left"/>
              <w:rPr>
                <w:rFonts w:eastAsia="MS PGothic"/>
                <w:lang w:val="es-ES_tradnl"/>
              </w:rPr>
            </w:pPr>
            <w:r w:rsidRPr="005F2432">
              <w:rPr>
                <w:rFonts w:eastAsia="MS PGothic"/>
                <w:lang w:val="es-ES_tradnl"/>
              </w:rPr>
              <w:t xml:space="preserve">Nivel umbral de densidad de potencia de la interferencia en banda ancha combinada en la salida de la antena pasiva en modo adquisición (dB(W/MHz)) </w:t>
            </w:r>
          </w:p>
        </w:tc>
        <w:tc>
          <w:tcPr>
            <w:tcW w:w="2891" w:type="dxa"/>
          </w:tcPr>
          <w:p w:rsidR="00F25C84" w:rsidRPr="005F2432" w:rsidRDefault="00F25C84" w:rsidP="00FA7435">
            <w:pPr>
              <w:pStyle w:val="Tabletext"/>
              <w:jc w:val="center"/>
              <w:rPr>
                <w:rFonts w:eastAsia="MS PGothic"/>
                <w:szCs w:val="21"/>
                <w:lang w:val="es-ES_tradnl"/>
              </w:rPr>
            </w:pPr>
            <w:r w:rsidRPr="005F2432">
              <w:rPr>
                <w:rFonts w:eastAsia="MS PGothic"/>
                <w:szCs w:val="21"/>
                <w:lang w:val="es-ES_tradnl"/>
              </w:rPr>
              <w:t>–150,1</w:t>
            </w:r>
          </w:p>
        </w:tc>
      </w:tr>
    </w:tbl>
    <w:p w:rsidR="00F25C84" w:rsidRPr="005F2432" w:rsidRDefault="00F25C84" w:rsidP="00F25C84">
      <w:pPr>
        <w:pStyle w:val="Tablefin"/>
        <w:rPr>
          <w:rFonts w:eastAsia="MS Mincho"/>
          <w:lang w:val="es-ES_tradnl"/>
        </w:rPr>
      </w:pPr>
    </w:p>
    <w:p w:rsidR="00F25C84" w:rsidRPr="005F2432" w:rsidRDefault="00F25C84" w:rsidP="00F25C84">
      <w:pPr>
        <w:rPr>
          <w:lang w:val="es-ES_tradnl"/>
        </w:rPr>
      </w:pPr>
    </w:p>
    <w:p w:rsidR="00F25C84" w:rsidRPr="005F2432" w:rsidRDefault="00F25C84" w:rsidP="00F25C84">
      <w:pPr>
        <w:pStyle w:val="AnnexNoTitle"/>
        <w:rPr>
          <w:rFonts w:eastAsia="MS Mincho"/>
          <w:snapToGrid w:val="0"/>
          <w:lang w:val="es-ES_tradnl"/>
        </w:rPr>
      </w:pPr>
      <w:r w:rsidRPr="005F2432">
        <w:rPr>
          <w:lang w:val="es-ES_tradnl"/>
        </w:rPr>
        <w:t>Anexo 2</w:t>
      </w:r>
      <w:r w:rsidRPr="005F2432">
        <w:rPr>
          <w:lang w:val="es-ES_tradnl"/>
        </w:rPr>
        <w:br/>
      </w:r>
      <w:r w:rsidRPr="005F2432">
        <w:rPr>
          <w:lang w:val="es-ES_tradnl"/>
        </w:rPr>
        <w:br/>
        <w:t>Características técnicas y criterios de protección de las estaciones terrenas receptoras y características de las estaciones espaciales transmisoras</w:t>
      </w:r>
      <w:r w:rsidRPr="005F2432">
        <w:rPr>
          <w:lang w:val="es-ES_tradnl"/>
        </w:rPr>
        <w:br/>
        <w:t>del Sistema mundial de determinación de la posición</w:t>
      </w:r>
      <w:r w:rsidRPr="005F2432">
        <w:rPr>
          <w:lang w:val="es-ES_tradnl"/>
        </w:rPr>
        <w:br/>
        <w:t>que funcionan en la banda</w:t>
      </w:r>
      <w:r w:rsidRPr="005F2432">
        <w:rPr>
          <w:rFonts w:eastAsia="MS Mincho"/>
          <w:caps/>
          <w:lang w:val="es-ES_tradnl"/>
        </w:rPr>
        <w:t xml:space="preserve"> 5 010-5 030 MH</w:t>
      </w:r>
      <w:r w:rsidRPr="005F2432">
        <w:rPr>
          <w:rFonts w:eastAsia="MS Mincho"/>
          <w:lang w:val="es-ES_tradnl"/>
        </w:rPr>
        <w:t>z</w:t>
      </w:r>
    </w:p>
    <w:p w:rsidR="00F25C84" w:rsidRPr="005F2432" w:rsidRDefault="00F25C84" w:rsidP="00F25C84">
      <w:pPr>
        <w:pStyle w:val="Heading1"/>
        <w:rPr>
          <w:lang w:val="es-ES_tradnl"/>
        </w:rPr>
      </w:pPr>
      <w:r w:rsidRPr="005F2432">
        <w:rPr>
          <w:lang w:val="es-ES_tradnl"/>
        </w:rPr>
        <w:t>1</w:t>
      </w:r>
      <w:r w:rsidRPr="005F2432">
        <w:rPr>
          <w:lang w:val="es-ES_tradnl"/>
        </w:rPr>
        <w:tab/>
        <w:t>Introducción</w:t>
      </w:r>
    </w:p>
    <w:p w:rsidR="00F25C84" w:rsidRPr="005F2432" w:rsidRDefault="00F25C84" w:rsidP="00F25C84">
      <w:pPr>
        <w:rPr>
          <w:lang w:val="es-ES_tradnl"/>
        </w:rPr>
      </w:pPr>
      <w:r w:rsidRPr="005F2432">
        <w:rPr>
          <w:lang w:val="es-ES_tradnl"/>
        </w:rPr>
        <w:t>Los enlaces ascendente y descendente de conexión del Sistema mundial de determinación de la posición (</w:t>
      </w:r>
      <w:r w:rsidRPr="005F2432">
        <w:rPr>
          <w:i/>
          <w:iCs/>
          <w:lang w:val="es-ES_tradnl"/>
        </w:rPr>
        <w:t xml:space="preserve">Global </w:t>
      </w:r>
      <w:proofErr w:type="spellStart"/>
      <w:r w:rsidRPr="005F2432">
        <w:rPr>
          <w:i/>
          <w:iCs/>
          <w:lang w:val="es-ES_tradnl"/>
        </w:rPr>
        <w:t>Positioning</w:t>
      </w:r>
      <w:proofErr w:type="spellEnd"/>
      <w:r w:rsidRPr="005F2432">
        <w:rPr>
          <w:i/>
          <w:iCs/>
          <w:lang w:val="es-ES_tradnl"/>
        </w:rPr>
        <w:t xml:space="preserve"> </w:t>
      </w:r>
      <w:proofErr w:type="spellStart"/>
      <w:r w:rsidRPr="005F2432">
        <w:rPr>
          <w:i/>
          <w:iCs/>
          <w:lang w:val="es-ES_tradnl"/>
        </w:rPr>
        <w:t>System</w:t>
      </w:r>
      <w:proofErr w:type="spellEnd"/>
      <w:r w:rsidRPr="005F2432">
        <w:rPr>
          <w:lang w:val="es-ES_tradnl"/>
        </w:rPr>
        <w:t>, GPS) proporcionarán comunicaciones para la comprobación técnica, el mando y el control del sistema y el satélite, así como actualizaciones de efemérides de la órbita y sincronización del reloj. El ángulo de elevación operativo mínimo para el funcionamiento del enlace de conexión GPS es de 5 grados, por lo que la longitud máxima del trayecto es de 25</w:t>
      </w:r>
      <w:r>
        <w:rPr>
          <w:lang w:val="es-ES_tradnl"/>
        </w:rPr>
        <w:t> </w:t>
      </w:r>
      <w:r w:rsidRPr="005F2432">
        <w:rPr>
          <w:lang w:val="es-ES_tradnl"/>
        </w:rPr>
        <w:t>252 km. Los enlaces de servicio GPS facilitan información que los receptores de navegación convenientemente equipados utilizan para determinar la posición, la navegación y la temporización (PNT).</w:t>
      </w:r>
      <w:bookmarkStart w:id="3" w:name="_GoBack"/>
      <w:bookmarkEnd w:id="3"/>
    </w:p>
    <w:p w:rsidR="00F25C84" w:rsidRPr="005F2432" w:rsidRDefault="00F25C84" w:rsidP="00F25C84">
      <w:pPr>
        <w:pStyle w:val="Heading1"/>
        <w:rPr>
          <w:lang w:val="es-ES_tradnl"/>
        </w:rPr>
      </w:pPr>
      <w:r w:rsidRPr="005F2432">
        <w:rPr>
          <w:lang w:val="es-ES_tradnl"/>
        </w:rPr>
        <w:t>2</w:t>
      </w:r>
      <w:r w:rsidRPr="005F2432">
        <w:rPr>
          <w:lang w:val="es-ES_tradnl"/>
        </w:rPr>
        <w:tab/>
        <w:t xml:space="preserve">Características del enlace descendente de conexión GPS </w:t>
      </w:r>
    </w:p>
    <w:p w:rsidR="00F25C84" w:rsidRPr="005F2432" w:rsidRDefault="00F25C84" w:rsidP="00F25C84">
      <w:pPr>
        <w:rPr>
          <w:lang w:val="es-ES_tradnl"/>
        </w:rPr>
      </w:pPr>
      <w:r w:rsidRPr="005F2432">
        <w:rPr>
          <w:lang w:val="es-ES_tradnl"/>
        </w:rPr>
        <w:t>Los planes GPS estiman que el ancho de banda operativa del enlace descendente de conexión es de 6,6 MHz, con una velocidad de datos codificados de 6,6 Mbit/s. Se ha especificado que la antena del enlace descendente de conexión de la estación espacial sea una antena parabólica circular con alimentación central. Sin embargo, al utilizarse simultáneamente la banda 5 000</w:t>
      </w:r>
      <w:r>
        <w:rPr>
          <w:lang w:val="es-ES_tradnl"/>
        </w:rPr>
        <w:t>-</w:t>
      </w:r>
      <w:r w:rsidRPr="005F2432">
        <w:rPr>
          <w:lang w:val="es-ES_tradnl"/>
        </w:rPr>
        <w:t xml:space="preserve">5 010 MHz (Tierra-espacio) para los enlaces ascendentes de conexión y la banda 5 010-5 030 MHz adyacente (espacio-Tierra) para los enlaces de servicio y los enlaces descendentes de conexión, es necesario que en el diseño se añadan las características necesarias para evitar la posible interferencia. Para ello es importante utilizar filtros de transmisión con cortes abruptos tanto en la estación de satélite como en la estación terrena. El filtro de transmisión se aplicará a todas las señales de transmisión GPS y se pretende que las transmisiones no esenciales estén −60 dB por debajo de la cresta. </w:t>
      </w:r>
    </w:p>
    <w:p w:rsidR="00F25C84" w:rsidRPr="005F2432" w:rsidRDefault="00F25C84" w:rsidP="00F25C84">
      <w:pPr>
        <w:rPr>
          <w:lang w:val="es-ES_tradnl"/>
        </w:rPr>
      </w:pPr>
      <w:r w:rsidRPr="005F2432">
        <w:rPr>
          <w:lang w:val="es-ES_tradnl"/>
        </w:rPr>
        <w:t>En el Cuadro</w:t>
      </w:r>
      <w:r>
        <w:rPr>
          <w:lang w:val="es-ES_tradnl"/>
        </w:rPr>
        <w:t> </w:t>
      </w:r>
      <w:r w:rsidRPr="005F2432">
        <w:rPr>
          <w:lang w:val="es-ES_tradnl"/>
        </w:rPr>
        <w:t>2-1 se presentan las características de las estaciones terrenas de enlace de conexión receptoras del GPS en la banda 5 010-5 030 MHz. Aunque los parámetros se derivan de las especificaciones del sistema GPS y son coherentes con ellas, estos valores pueden modificarse. En el Cuadro</w:t>
      </w:r>
      <w:r>
        <w:rPr>
          <w:lang w:val="es-ES_tradnl"/>
        </w:rPr>
        <w:t> </w:t>
      </w:r>
      <w:r w:rsidRPr="005F2432">
        <w:rPr>
          <w:lang w:val="es-ES_tradnl"/>
        </w:rPr>
        <w:t xml:space="preserve">2-2 se presentan las características de las transmisiones de enlace de conexión de la estación espacial GPS correspondientes. </w:t>
      </w:r>
    </w:p>
    <w:p w:rsidR="00F25C84" w:rsidRPr="005F2432" w:rsidRDefault="00F25C84" w:rsidP="00F25C84">
      <w:pPr>
        <w:rPr>
          <w:color w:val="0D0D0D" w:themeColor="text1" w:themeTint="F2"/>
          <w:lang w:val="es-ES_tradnl"/>
        </w:rPr>
      </w:pPr>
      <w:r w:rsidRPr="005F2432">
        <w:rPr>
          <w:color w:val="0D0D0D" w:themeColor="text1" w:themeTint="F2"/>
          <w:lang w:val="es-ES_tradnl"/>
        </w:rPr>
        <w:lastRenderedPageBreak/>
        <w:t>En países donde hay estaciones terrenas de enlace descendente de conexión del SRNS, probablemente las administraciones que también deseen implantar sistemas terrenales en estas bandas tendrán que tomar medidas a nivel nacional. Si una administración quiere garantizar la protección de la estación terrena de enlace descendente de conexión receptora del SRNS situada en su territorio contra las estaciones terrenas transmisoras situadas en países vecinos, las estaciones terrenas concretas situadas en el borde del territorio se habrán de registrar ante la UIT siguiendo el procedimiento de coordinación y notificación de los Artículos 9 y 11 del RR. Si los estudios preliminares demuestran que la interferencia combinada en el ancho de banda de recepción del enlace de conexión, procedente de todas las fuentes radioeléctricas de servicios primarios en esa banda distintos del SRNS, supera el 6% de la temperatura de ruido del sistema receptor del enlace de conexión del SRNS, en relación con los terminales de salida de la antena receptora, se habrán de realizar más estudios para determinar la posibilidad de compatibilidad entre sistemas.</w:t>
      </w:r>
    </w:p>
    <w:p w:rsidR="00F25C84" w:rsidRPr="005F2432" w:rsidRDefault="00F25C84" w:rsidP="00F25C84">
      <w:pPr>
        <w:pStyle w:val="TableNo"/>
        <w:rPr>
          <w:lang w:val="es-ES_tradnl"/>
        </w:rPr>
      </w:pPr>
      <w:r w:rsidRPr="005F2432">
        <w:rPr>
          <w:lang w:val="es-ES_tradnl"/>
        </w:rPr>
        <w:t>CUADRO 2-1</w:t>
      </w:r>
    </w:p>
    <w:p w:rsidR="00F25C84" w:rsidRPr="005F2432" w:rsidRDefault="00F25C84" w:rsidP="00F25C84">
      <w:pPr>
        <w:pStyle w:val="Tabletitle"/>
        <w:rPr>
          <w:caps/>
          <w:lang w:val="es-ES_tradnl"/>
        </w:rPr>
      </w:pPr>
      <w:r w:rsidRPr="005F2432">
        <w:rPr>
          <w:lang w:val="es-ES_tradnl"/>
        </w:rPr>
        <w:t>Características de las estaciones terrenas de enlace de conexión receptoras GPS</w:t>
      </w:r>
      <w:r>
        <w:rPr>
          <w:lang w:val="es-ES_tradnl"/>
        </w:rPr>
        <w:br/>
      </w:r>
      <w:r w:rsidRPr="005F2432">
        <w:rPr>
          <w:lang w:val="es-ES_tradnl"/>
        </w:rPr>
        <w:t>que funcionan en la banda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F25C84" w:rsidRPr="005F2432" w:rsidTr="00FA7435">
        <w:trPr>
          <w:tblHeader/>
          <w:jc w:val="center"/>
        </w:trPr>
        <w:tc>
          <w:tcPr>
            <w:tcW w:w="5184" w:type="dxa"/>
            <w:vAlign w:val="center"/>
          </w:tcPr>
          <w:p w:rsidR="00F25C84" w:rsidRPr="005F2432" w:rsidRDefault="00F25C84" w:rsidP="00FA7435">
            <w:pPr>
              <w:pStyle w:val="Tablehead"/>
              <w:rPr>
                <w:lang w:val="es-ES_tradnl"/>
              </w:rPr>
            </w:pPr>
            <w:r w:rsidRPr="005F2432">
              <w:rPr>
                <w:lang w:val="es-ES_tradnl"/>
              </w:rPr>
              <w:t>Parámetro</w:t>
            </w:r>
          </w:p>
        </w:tc>
        <w:tc>
          <w:tcPr>
            <w:tcW w:w="4455" w:type="dxa"/>
            <w:vAlign w:val="center"/>
          </w:tcPr>
          <w:p w:rsidR="00F25C84" w:rsidRPr="005F2432" w:rsidRDefault="00F25C84" w:rsidP="00FA7435">
            <w:pPr>
              <w:pStyle w:val="Tablehead"/>
              <w:rPr>
                <w:lang w:val="es-ES_tradnl"/>
              </w:rPr>
            </w:pPr>
            <w:r w:rsidRPr="005F2432">
              <w:rPr>
                <w:lang w:val="es-ES_tradnl"/>
              </w:rPr>
              <w:t>Valor del parámetro</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Diámetro de antena (m)</w:t>
            </w:r>
          </w:p>
        </w:tc>
        <w:tc>
          <w:tcPr>
            <w:tcW w:w="4455" w:type="dxa"/>
          </w:tcPr>
          <w:p w:rsidR="00F25C84" w:rsidRPr="005F2432" w:rsidRDefault="00F25C84" w:rsidP="00FA7435">
            <w:pPr>
              <w:pStyle w:val="Tabletext"/>
              <w:jc w:val="center"/>
              <w:rPr>
                <w:lang w:val="es-ES_tradnl"/>
              </w:rPr>
            </w:pPr>
            <w:r w:rsidRPr="005F2432">
              <w:rPr>
                <w:lang w:val="es-ES_tradnl"/>
              </w:rPr>
              <w:t>5,00</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Polarización</w:t>
            </w:r>
          </w:p>
        </w:tc>
        <w:tc>
          <w:tcPr>
            <w:tcW w:w="4455" w:type="dxa"/>
          </w:tcPr>
          <w:p w:rsidR="00F25C84" w:rsidRPr="005F2432" w:rsidRDefault="00F25C84" w:rsidP="00FA7435">
            <w:pPr>
              <w:pStyle w:val="Tabletext"/>
              <w:jc w:val="center"/>
              <w:rPr>
                <w:lang w:val="es-ES_tradnl"/>
              </w:rPr>
            </w:pPr>
            <w:r w:rsidRPr="005F2432">
              <w:rPr>
                <w:lang w:val="es-ES_tradnl"/>
              </w:rPr>
              <w:t>RHCP</w:t>
            </w:r>
          </w:p>
        </w:tc>
      </w:tr>
      <w:tr w:rsidR="00F25C84" w:rsidRPr="00F25C84"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Diagrama de antena</w:t>
            </w:r>
          </w:p>
        </w:tc>
        <w:tc>
          <w:tcPr>
            <w:tcW w:w="4455" w:type="dxa"/>
          </w:tcPr>
          <w:p w:rsidR="00F25C84" w:rsidRPr="005F2432" w:rsidRDefault="00F25C84" w:rsidP="00FA7435">
            <w:pPr>
              <w:pStyle w:val="Tabletext"/>
              <w:jc w:val="center"/>
              <w:rPr>
                <w:lang w:val="es-ES_tradnl"/>
              </w:rPr>
            </w:pPr>
            <w:r w:rsidRPr="005F2432">
              <w:rPr>
                <w:lang w:val="es-ES_tradnl"/>
              </w:rPr>
              <w:t>Parabólica circular con alimentación central</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Ganancia de antena teórica (</w:t>
            </w:r>
            <w:proofErr w:type="spellStart"/>
            <w:r w:rsidRPr="005F2432">
              <w:rPr>
                <w:lang w:val="es-ES_tradnl"/>
              </w:rPr>
              <w:t>dBi</w:t>
            </w:r>
            <w:proofErr w:type="spellEnd"/>
            <w:r w:rsidRPr="005F2432">
              <w:rPr>
                <w:lang w:val="es-ES_tradnl"/>
              </w:rPr>
              <w:t>)</w:t>
            </w:r>
          </w:p>
        </w:tc>
        <w:tc>
          <w:tcPr>
            <w:tcW w:w="4455" w:type="dxa"/>
          </w:tcPr>
          <w:p w:rsidR="00F25C84" w:rsidRPr="005F2432" w:rsidRDefault="00F25C84" w:rsidP="00FA7435">
            <w:pPr>
              <w:pStyle w:val="Tabletext"/>
              <w:jc w:val="center"/>
              <w:rPr>
                <w:lang w:val="es-ES_tradnl"/>
              </w:rPr>
            </w:pPr>
            <w:r w:rsidRPr="005F2432">
              <w:rPr>
                <w:lang w:val="es-ES_tradnl"/>
              </w:rPr>
              <w:t>48,39</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Pérdida de eficiencia de la antena (dB)</w:t>
            </w:r>
          </w:p>
        </w:tc>
        <w:tc>
          <w:tcPr>
            <w:tcW w:w="4455" w:type="dxa"/>
          </w:tcPr>
          <w:p w:rsidR="00F25C84" w:rsidRPr="005F2432" w:rsidRDefault="00F25C84" w:rsidP="00FA7435">
            <w:pPr>
              <w:pStyle w:val="Tabletext"/>
              <w:jc w:val="center"/>
              <w:rPr>
                <w:lang w:val="es-ES_tradnl"/>
              </w:rPr>
            </w:pPr>
            <w:r w:rsidRPr="005F2432">
              <w:rPr>
                <w:lang w:val="es-ES_tradnl"/>
              </w:rPr>
              <w:t>1,50</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Ganancia máxima de la antena receptora (</w:t>
            </w:r>
            <w:proofErr w:type="spellStart"/>
            <w:r w:rsidRPr="005F2432">
              <w:rPr>
                <w:lang w:val="es-ES_tradnl"/>
              </w:rPr>
              <w:t>dBi</w:t>
            </w:r>
            <w:proofErr w:type="spellEnd"/>
            <w:r w:rsidRPr="005F2432">
              <w:rPr>
                <w:lang w:val="es-ES_tradnl"/>
              </w:rPr>
              <w:t>)</w:t>
            </w:r>
          </w:p>
        </w:tc>
        <w:tc>
          <w:tcPr>
            <w:tcW w:w="4455" w:type="dxa"/>
          </w:tcPr>
          <w:p w:rsidR="00F25C84" w:rsidRPr="005F2432" w:rsidRDefault="00F25C84" w:rsidP="00FA7435">
            <w:pPr>
              <w:pStyle w:val="Tabletext"/>
              <w:jc w:val="center"/>
              <w:rPr>
                <w:i/>
                <w:snapToGrid w:val="0"/>
                <w:lang w:val="es-ES_tradnl"/>
              </w:rPr>
            </w:pPr>
            <w:r w:rsidRPr="005F2432">
              <w:rPr>
                <w:lang w:val="es-ES_tradnl"/>
              </w:rPr>
              <w:t>46,63</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Temperatura de ruido del sistema receptor (K)</w:t>
            </w:r>
          </w:p>
        </w:tc>
        <w:tc>
          <w:tcPr>
            <w:tcW w:w="4455" w:type="dxa"/>
          </w:tcPr>
          <w:p w:rsidR="00F25C84" w:rsidRPr="005F2432" w:rsidRDefault="00F25C84" w:rsidP="00FA7435">
            <w:pPr>
              <w:pStyle w:val="Tabletext"/>
              <w:jc w:val="center"/>
              <w:rPr>
                <w:lang w:val="es-ES_tradnl"/>
              </w:rPr>
            </w:pPr>
            <w:r w:rsidRPr="005F2432">
              <w:rPr>
                <w:lang w:val="es-ES_tradnl"/>
              </w:rPr>
              <w:t>140</w:t>
            </w:r>
          </w:p>
        </w:tc>
      </w:tr>
      <w:tr w:rsidR="00F25C84" w:rsidRPr="005F2432" w:rsidTr="00FA7435">
        <w:trPr>
          <w:jc w:val="center"/>
        </w:trPr>
        <w:tc>
          <w:tcPr>
            <w:tcW w:w="5184" w:type="dxa"/>
          </w:tcPr>
          <w:p w:rsidR="00F25C84" w:rsidRPr="005F2432" w:rsidRDefault="00F25C84" w:rsidP="00FA7435">
            <w:pPr>
              <w:pStyle w:val="Tabletext"/>
              <w:jc w:val="left"/>
              <w:rPr>
                <w:lang w:val="es-ES_tradnl"/>
              </w:rPr>
            </w:pPr>
            <w:r w:rsidRPr="005F2432">
              <w:rPr>
                <w:lang w:val="es-ES_tradnl"/>
              </w:rPr>
              <w:t>Elevación mínima (grados)</w:t>
            </w:r>
          </w:p>
        </w:tc>
        <w:tc>
          <w:tcPr>
            <w:tcW w:w="4455" w:type="dxa"/>
          </w:tcPr>
          <w:p w:rsidR="00F25C84" w:rsidRPr="005F2432" w:rsidRDefault="00F25C84" w:rsidP="00FA7435">
            <w:pPr>
              <w:pStyle w:val="Tabletext"/>
              <w:jc w:val="center"/>
              <w:rPr>
                <w:lang w:val="es-ES_tradnl"/>
              </w:rPr>
            </w:pPr>
            <w:r w:rsidRPr="005F2432">
              <w:rPr>
                <w:lang w:val="es-ES_tradnl"/>
              </w:rPr>
              <w:t>5,0</w:t>
            </w:r>
          </w:p>
        </w:tc>
      </w:tr>
    </w:tbl>
    <w:p w:rsidR="00F25C84" w:rsidRPr="005F2432" w:rsidRDefault="00F25C84" w:rsidP="00F25C84">
      <w:pPr>
        <w:pStyle w:val="Tablefin"/>
        <w:rPr>
          <w:rFonts w:eastAsia="MS Mincho"/>
          <w:lang w:val="es-ES_tradnl"/>
        </w:rPr>
      </w:pPr>
    </w:p>
    <w:p w:rsidR="00F25C84" w:rsidRPr="005F2432" w:rsidRDefault="00F25C84" w:rsidP="00F25C84">
      <w:pPr>
        <w:pStyle w:val="TableNo"/>
        <w:rPr>
          <w:lang w:val="es-ES_tradnl"/>
        </w:rPr>
      </w:pPr>
      <w:r w:rsidRPr="005F2432">
        <w:rPr>
          <w:lang w:val="es-ES_tradnl"/>
        </w:rPr>
        <w:t>CUADRO 2-2</w:t>
      </w:r>
    </w:p>
    <w:p w:rsidR="00F25C84" w:rsidRPr="005F2432" w:rsidRDefault="00F25C84" w:rsidP="00F25C84">
      <w:pPr>
        <w:pStyle w:val="Tabletitle"/>
        <w:rPr>
          <w:lang w:val="es-ES_tradnl"/>
        </w:rPr>
      </w:pPr>
      <w:r w:rsidRPr="005F2432">
        <w:rPr>
          <w:lang w:val="es-ES_tradnl"/>
        </w:rPr>
        <w:t>Transmisiones de enlace descendente de conexión GPS en la banda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F25C84" w:rsidRPr="005F2432" w:rsidTr="00FA7435">
        <w:trPr>
          <w:tblHeader/>
          <w:jc w:val="center"/>
        </w:trPr>
        <w:tc>
          <w:tcPr>
            <w:tcW w:w="5182" w:type="dxa"/>
            <w:vAlign w:val="center"/>
          </w:tcPr>
          <w:p w:rsidR="00F25C84" w:rsidRPr="005F2432" w:rsidRDefault="00F25C84" w:rsidP="00FA7435">
            <w:pPr>
              <w:pStyle w:val="Tablehead"/>
              <w:rPr>
                <w:rFonts w:eastAsia="MS PGothic"/>
                <w:lang w:val="es-ES_tradnl"/>
              </w:rPr>
            </w:pPr>
            <w:r w:rsidRPr="005F2432">
              <w:rPr>
                <w:rFonts w:eastAsia="MS PGothic"/>
                <w:lang w:val="es-ES_tradnl"/>
              </w:rPr>
              <w:t>Parámetro</w:t>
            </w:r>
          </w:p>
        </w:tc>
        <w:tc>
          <w:tcPr>
            <w:tcW w:w="4457" w:type="dxa"/>
            <w:vAlign w:val="center"/>
          </w:tcPr>
          <w:p w:rsidR="00F25C84" w:rsidRPr="005F2432" w:rsidRDefault="00F25C84" w:rsidP="00FA7435">
            <w:pPr>
              <w:pStyle w:val="Tablehead"/>
              <w:rPr>
                <w:rFonts w:eastAsia="MS PGothic"/>
                <w:lang w:val="es-ES_tradnl"/>
              </w:rPr>
            </w:pPr>
            <w:r w:rsidRPr="005F2432">
              <w:rPr>
                <w:rFonts w:eastAsia="MS PGothic"/>
                <w:lang w:val="es-ES_tradnl"/>
              </w:rPr>
              <w:t>Valor del parámetro</w:t>
            </w:r>
          </w:p>
        </w:tc>
      </w:tr>
      <w:tr w:rsidR="00F25C84" w:rsidRPr="005F2432" w:rsidTr="00FA7435">
        <w:trPr>
          <w:tblHeader/>
          <w:jc w:val="center"/>
        </w:trPr>
        <w:tc>
          <w:tcPr>
            <w:tcW w:w="5182"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Gama de frecuencias de la señal (MHz) (Nota 1)</w:t>
            </w:r>
          </w:p>
        </w:tc>
        <w:tc>
          <w:tcPr>
            <w:tcW w:w="4457" w:type="dxa"/>
            <w:vAlign w:val="center"/>
          </w:tcPr>
          <w:p w:rsidR="00F25C84" w:rsidRPr="005F2432" w:rsidRDefault="00F25C84" w:rsidP="00FA7435">
            <w:pPr>
              <w:pStyle w:val="Tabletext"/>
              <w:jc w:val="center"/>
              <w:rPr>
                <w:rFonts w:eastAsia="MS PGothic"/>
                <w:lang w:val="es-ES_tradnl"/>
              </w:rPr>
            </w:pPr>
            <w:r w:rsidRPr="005F2432">
              <w:rPr>
                <w:lang w:val="es-ES_tradnl"/>
              </w:rPr>
              <w:t xml:space="preserve">5 013,63 </w:t>
            </w:r>
            <w:r w:rsidRPr="005F2432">
              <w:rPr>
                <w:lang w:val="es-ES_tradnl"/>
              </w:rPr>
              <w:sym w:font="Symbol" w:char="F0B1"/>
            </w:r>
            <w:r w:rsidRPr="005F2432">
              <w:rPr>
                <w:lang w:val="es-ES_tradnl"/>
              </w:rPr>
              <w:t xml:space="preserve"> 3,3</w:t>
            </w:r>
          </w:p>
        </w:tc>
      </w:tr>
      <w:tr w:rsidR="00F25C84" w:rsidRPr="005F2432" w:rsidTr="00FA7435">
        <w:trPr>
          <w:tblHeader/>
          <w:jc w:val="center"/>
        </w:trPr>
        <w:tc>
          <w:tcPr>
            <w:tcW w:w="5182"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Velocidad de datos codificados (bit/s)</w:t>
            </w:r>
          </w:p>
        </w:tc>
        <w:tc>
          <w:tcPr>
            <w:tcW w:w="4457" w:type="dxa"/>
            <w:vAlign w:val="center"/>
          </w:tcPr>
          <w:p w:rsidR="00F25C84" w:rsidRPr="005F2432" w:rsidRDefault="00F25C84" w:rsidP="00FA7435">
            <w:pPr>
              <w:pStyle w:val="Tabletext"/>
              <w:jc w:val="center"/>
              <w:rPr>
                <w:rFonts w:eastAsia="MS PGothic"/>
                <w:lang w:val="es-ES_tradnl"/>
              </w:rPr>
            </w:pPr>
            <w:r w:rsidRPr="005F2432">
              <w:rPr>
                <w:rFonts w:eastAsia="MS PGothic"/>
                <w:lang w:val="es-ES_tradnl"/>
              </w:rPr>
              <w:t>6 600</w:t>
            </w:r>
            <w:r w:rsidRPr="005F2432">
              <w:rPr>
                <w:rFonts w:ascii="Times New Roman Bold" w:hAnsi="Times New Roman Bold"/>
                <w:b/>
                <w:lang w:val="es-ES_tradnl"/>
              </w:rPr>
              <w:t> </w:t>
            </w:r>
            <w:r w:rsidRPr="005F2432">
              <w:rPr>
                <w:rFonts w:eastAsia="MS PGothic"/>
                <w:lang w:val="es-ES_tradnl"/>
              </w:rPr>
              <w:t>000</w:t>
            </w:r>
          </w:p>
        </w:tc>
      </w:tr>
      <w:tr w:rsidR="00F25C84" w:rsidRPr="005F2432" w:rsidTr="00FA7435">
        <w:trPr>
          <w:tblHeader/>
          <w:jc w:val="center"/>
        </w:trPr>
        <w:tc>
          <w:tcPr>
            <w:tcW w:w="5182"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Método de modulación de la señal</w:t>
            </w:r>
          </w:p>
        </w:tc>
        <w:tc>
          <w:tcPr>
            <w:tcW w:w="4457" w:type="dxa"/>
            <w:vAlign w:val="center"/>
          </w:tcPr>
          <w:p w:rsidR="00F25C84" w:rsidRPr="005F2432" w:rsidRDefault="00F25C84" w:rsidP="00FA7435">
            <w:pPr>
              <w:pStyle w:val="Tabletext"/>
              <w:jc w:val="center"/>
              <w:rPr>
                <w:rFonts w:eastAsia="MS PGothic"/>
                <w:lang w:val="es-ES_tradnl"/>
              </w:rPr>
            </w:pPr>
            <w:r w:rsidRPr="005F2432">
              <w:rPr>
                <w:lang w:val="es-ES_tradnl"/>
              </w:rPr>
              <w:t>MDPQ filtrada</w:t>
            </w:r>
          </w:p>
        </w:tc>
      </w:tr>
      <w:tr w:rsidR="00F25C84" w:rsidRPr="005F2432" w:rsidTr="00FA7435">
        <w:trPr>
          <w:tblHeader/>
          <w:jc w:val="center"/>
        </w:trPr>
        <w:tc>
          <w:tcPr>
            <w:tcW w:w="5182"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Polarización</w:t>
            </w:r>
          </w:p>
        </w:tc>
        <w:tc>
          <w:tcPr>
            <w:tcW w:w="4457" w:type="dxa"/>
            <w:vAlign w:val="center"/>
          </w:tcPr>
          <w:p w:rsidR="00F25C84" w:rsidRPr="005F2432" w:rsidRDefault="00F25C84" w:rsidP="00FA7435">
            <w:pPr>
              <w:pStyle w:val="Tabletext"/>
              <w:jc w:val="center"/>
              <w:rPr>
                <w:rFonts w:eastAsia="MS PGothic"/>
                <w:lang w:val="es-ES_tradnl"/>
              </w:rPr>
            </w:pPr>
            <w:r w:rsidRPr="005F2432">
              <w:rPr>
                <w:rFonts w:eastAsia="MS PGothic"/>
                <w:lang w:val="es-ES_tradnl"/>
              </w:rPr>
              <w:t>Circular dextrógira (RHCP)</w:t>
            </w:r>
          </w:p>
        </w:tc>
      </w:tr>
      <w:tr w:rsidR="00F25C84" w:rsidRPr="005F2432" w:rsidTr="00FA7435">
        <w:trPr>
          <w:tblHeader/>
          <w:jc w:val="center"/>
        </w:trPr>
        <w:tc>
          <w:tcPr>
            <w:tcW w:w="5182" w:type="dxa"/>
            <w:vAlign w:val="center"/>
          </w:tcPr>
          <w:p w:rsidR="00F25C84" w:rsidRPr="005F2432" w:rsidRDefault="00F25C84" w:rsidP="00FA7435">
            <w:pPr>
              <w:pStyle w:val="Tabletext"/>
              <w:jc w:val="left"/>
              <w:rPr>
                <w:rFonts w:eastAsia="MS PGothic"/>
                <w:lang w:val="es-ES_tradnl"/>
              </w:rPr>
            </w:pPr>
            <w:proofErr w:type="spellStart"/>
            <w:r w:rsidRPr="005F2432">
              <w:rPr>
                <w:rFonts w:eastAsia="MS PGothic"/>
                <w:lang w:val="es-ES_tradnl"/>
              </w:rPr>
              <w:t>Elipticidad</w:t>
            </w:r>
            <w:proofErr w:type="spellEnd"/>
            <w:r w:rsidRPr="005F2432">
              <w:rPr>
                <w:rFonts w:eastAsia="MS PGothic"/>
                <w:lang w:val="es-ES_tradnl"/>
              </w:rPr>
              <w:t xml:space="preserve"> (dB)</w:t>
            </w:r>
          </w:p>
        </w:tc>
        <w:tc>
          <w:tcPr>
            <w:tcW w:w="4457" w:type="dxa"/>
            <w:vAlign w:val="center"/>
          </w:tcPr>
          <w:p w:rsidR="00F25C84" w:rsidRPr="005F2432" w:rsidRDefault="00F25C84" w:rsidP="00FA7435">
            <w:pPr>
              <w:pStyle w:val="Tabletext"/>
              <w:jc w:val="center"/>
              <w:rPr>
                <w:rFonts w:eastAsia="MS PGothic"/>
                <w:lang w:val="es-ES_tradnl"/>
              </w:rPr>
            </w:pPr>
            <w:r w:rsidRPr="005F2432">
              <w:rPr>
                <w:rFonts w:eastAsia="MS PGothic"/>
                <w:lang w:val="es-ES_tradnl"/>
              </w:rPr>
              <w:t>1,5 máximo</w:t>
            </w:r>
          </w:p>
        </w:tc>
      </w:tr>
      <w:tr w:rsidR="00F25C84" w:rsidRPr="005F2432" w:rsidTr="00FA7435">
        <w:trPr>
          <w:tblHeader/>
          <w:jc w:val="center"/>
        </w:trPr>
        <w:tc>
          <w:tcPr>
            <w:tcW w:w="5182" w:type="dxa"/>
            <w:vAlign w:val="center"/>
          </w:tcPr>
          <w:p w:rsidR="00F25C84" w:rsidRPr="005F2432" w:rsidRDefault="00F25C84" w:rsidP="00FA7435">
            <w:pPr>
              <w:pStyle w:val="Tabletext"/>
              <w:jc w:val="left"/>
              <w:rPr>
                <w:rFonts w:eastAsia="MS PGothic"/>
                <w:lang w:val="es-ES_tradnl"/>
              </w:rPr>
            </w:pPr>
            <w:proofErr w:type="spellStart"/>
            <w:r w:rsidRPr="005F2432">
              <w:rPr>
                <w:rFonts w:eastAsia="MS PGothic"/>
                <w:lang w:val="es-ES_tradnl"/>
              </w:rPr>
              <w:t>p.i.r.e</w:t>
            </w:r>
            <w:proofErr w:type="spellEnd"/>
            <w:r w:rsidRPr="005F2432">
              <w:rPr>
                <w:rFonts w:eastAsia="MS PGothic"/>
                <w:lang w:val="es-ES_tradnl"/>
              </w:rPr>
              <w:t>. de transmisión (</w:t>
            </w:r>
            <w:proofErr w:type="spellStart"/>
            <w:r w:rsidRPr="005F2432">
              <w:rPr>
                <w:rFonts w:eastAsia="MS PGothic"/>
                <w:lang w:val="es-ES_tradnl"/>
              </w:rPr>
              <w:t>dBW</w:t>
            </w:r>
            <w:proofErr w:type="spellEnd"/>
            <w:r w:rsidRPr="005F2432">
              <w:rPr>
                <w:rFonts w:eastAsia="MS PGothic"/>
                <w:lang w:val="es-ES_tradnl"/>
              </w:rPr>
              <w:t>)</w:t>
            </w:r>
          </w:p>
        </w:tc>
        <w:tc>
          <w:tcPr>
            <w:tcW w:w="4457" w:type="dxa"/>
            <w:vAlign w:val="center"/>
          </w:tcPr>
          <w:p w:rsidR="00F25C84" w:rsidRPr="005F2432" w:rsidRDefault="00F25C84" w:rsidP="00FA7435">
            <w:pPr>
              <w:pStyle w:val="Tabletext"/>
              <w:jc w:val="center"/>
              <w:rPr>
                <w:rFonts w:eastAsia="MS PGothic"/>
                <w:lang w:val="es-ES_tradnl"/>
              </w:rPr>
            </w:pPr>
            <w:r w:rsidRPr="005F2432">
              <w:rPr>
                <w:rFonts w:eastAsia="MS PGothic"/>
                <w:lang w:val="es-ES_tradnl"/>
              </w:rPr>
              <w:t>34,6</w:t>
            </w:r>
          </w:p>
        </w:tc>
      </w:tr>
      <w:tr w:rsidR="00F25C84" w:rsidRPr="00F25C84" w:rsidTr="00FA7435">
        <w:trPr>
          <w:tblHeader/>
          <w:jc w:val="center"/>
        </w:trPr>
        <w:tc>
          <w:tcPr>
            <w:tcW w:w="9639" w:type="dxa"/>
            <w:gridSpan w:val="2"/>
            <w:tcBorders>
              <w:left w:val="nil"/>
              <w:bottom w:val="nil"/>
              <w:right w:val="nil"/>
            </w:tcBorders>
            <w:vAlign w:val="center"/>
          </w:tcPr>
          <w:p w:rsidR="00F25C84" w:rsidRPr="005F2432" w:rsidRDefault="00F25C84" w:rsidP="00FA7435">
            <w:pPr>
              <w:pStyle w:val="Tablelegend"/>
              <w:rPr>
                <w:rFonts w:eastAsia="MS PGothic"/>
                <w:lang w:val="es-ES_tradnl"/>
              </w:rPr>
            </w:pPr>
            <w:r w:rsidRPr="005F2432">
              <w:rPr>
                <w:rFonts w:eastAsia="MS PGothic"/>
                <w:lang w:val="es-ES_tradnl"/>
              </w:rPr>
              <w:t>NOTA 1 – Frecuencia portadora de la señal SRNS de interés ± la mitad del ancho de banda de la señal.</w:t>
            </w:r>
          </w:p>
        </w:tc>
      </w:tr>
    </w:tbl>
    <w:p w:rsidR="00F25C84" w:rsidRPr="005F2432" w:rsidRDefault="00F25C84" w:rsidP="00F25C84">
      <w:pPr>
        <w:pStyle w:val="Tablefin"/>
        <w:rPr>
          <w:rFonts w:eastAsia="MS Mincho"/>
          <w:lang w:val="es-ES_tradnl"/>
        </w:rPr>
      </w:pPr>
    </w:p>
    <w:p w:rsidR="00F25C84" w:rsidRPr="005F2432" w:rsidRDefault="00F25C84" w:rsidP="00F25C84">
      <w:pPr>
        <w:pStyle w:val="Heading1"/>
        <w:rPr>
          <w:lang w:val="es-ES_tradnl"/>
        </w:rPr>
      </w:pPr>
      <w:r w:rsidRPr="005F2432">
        <w:rPr>
          <w:lang w:val="es-ES_tradnl"/>
        </w:rPr>
        <w:t>3</w:t>
      </w:r>
      <w:r w:rsidRPr="005F2432">
        <w:rPr>
          <w:lang w:val="es-ES_tradnl"/>
        </w:rPr>
        <w:tab/>
        <w:t>Características y criterios de protección del enlace de servicio PNT GPS</w:t>
      </w:r>
    </w:p>
    <w:p w:rsidR="00F25C84" w:rsidRPr="005F2432" w:rsidRDefault="00F25C84" w:rsidP="00F25C84">
      <w:pPr>
        <w:rPr>
          <w:lang w:val="es-ES_tradnl"/>
        </w:rPr>
      </w:pPr>
      <w:r w:rsidRPr="005F2432">
        <w:rPr>
          <w:lang w:val="es-ES_tradnl"/>
        </w:rPr>
        <w:t xml:space="preserve">Es posible establecer enlaces descendentes de servicio PNT GPS para la banda 5 010-5 030 MHz con las tecnologías de satélite actuales. Con un simple cálculo de presupuesto de enlace se puede ver que </w:t>
      </w:r>
      <w:r w:rsidRPr="005F2432">
        <w:rPr>
          <w:lang w:val="es-ES_tradnl"/>
        </w:rPr>
        <w:lastRenderedPageBreak/>
        <w:t>con las actuales tecnologías se puede muy bien dar servicio PNT SRNS a los usuarios del SRNS que utilicen las antenas previstas con una ganancia uniforme ideal de 3 </w:t>
      </w:r>
      <w:proofErr w:type="spellStart"/>
      <w:r w:rsidRPr="005F2432">
        <w:rPr>
          <w:lang w:val="es-ES_tradnl"/>
        </w:rPr>
        <w:t>dBi</w:t>
      </w:r>
      <w:proofErr w:type="spellEnd"/>
      <w:r w:rsidRPr="005F2432">
        <w:rPr>
          <w:lang w:val="es-ES_tradnl"/>
        </w:rPr>
        <w:t xml:space="preserve"> con cobertura hemisférica.</w:t>
      </w:r>
    </w:p>
    <w:p w:rsidR="00F25C84" w:rsidRPr="005F2432" w:rsidRDefault="00F25C84" w:rsidP="00F25C84">
      <w:pPr>
        <w:rPr>
          <w:lang w:val="es-ES_tradnl"/>
        </w:rPr>
      </w:pPr>
      <w:r w:rsidRPr="005F2432">
        <w:rPr>
          <w:lang w:val="es-ES_tradnl"/>
        </w:rPr>
        <w:t xml:space="preserve">Cumpliendo con los requisitos del enlace de servicio de 5 GHz, la señal del enlace descendente se somete a una modulación por desplazamiento alternado de fase en cuadratura (SQPSK) filtrada con un código de dispersión </w:t>
      </w:r>
      <w:proofErr w:type="spellStart"/>
      <w:r w:rsidRPr="005F2432">
        <w:rPr>
          <w:lang w:val="es-ES_tradnl"/>
        </w:rPr>
        <w:t>pseudoaleatorio</w:t>
      </w:r>
      <w:proofErr w:type="spellEnd"/>
      <w:r w:rsidRPr="005F2432">
        <w:rPr>
          <w:lang w:val="es-ES_tradnl"/>
        </w:rPr>
        <w:t xml:space="preserve"> de 10 Mbit/s (SQPSK(10)). La señal SQPSK puede tener un componente sin datos, para contribuir a la adquisición de la señal, en cuadratura con un componente de datos. El filtrado ofrece protección a los servicios de otras bandas, mientras que la SQPSK(10) filtrada sigue ofreciendo buenas características para PNT, potencia de transmisión y generación de señal. La señal tendrá una polarización circular, pero que sea dextrógira o levógira dependerá del diseño, que podrá depender a su vez de la polarización de las demás señales de la banda, por ejemplo, enlaces de conexión del SRNS.</w:t>
      </w:r>
    </w:p>
    <w:p w:rsidR="00F25C84" w:rsidRPr="005F2432" w:rsidRDefault="00F25C84" w:rsidP="00F25C84">
      <w:pPr>
        <w:rPr>
          <w:lang w:val="es-ES_tradnl"/>
        </w:rPr>
      </w:pPr>
      <w:r w:rsidRPr="005F2432">
        <w:rPr>
          <w:lang w:val="es-ES_tradnl"/>
        </w:rPr>
        <w:t>En el Cuadro 2-3 se presentan los principales parámetros de las transmisiones del enlace de servicio GPS en 5</w:t>
      </w:r>
      <w:r>
        <w:rPr>
          <w:lang w:val="es-ES_tradnl"/>
        </w:rPr>
        <w:t> </w:t>
      </w:r>
      <w:r w:rsidRPr="005F2432">
        <w:rPr>
          <w:lang w:val="es-ES_tradnl"/>
        </w:rPr>
        <w:t>GHz. Aunque los parámetros del enlace de servicio que se presentan aquí se derivan de las especificaciones GPS y son coherentes con ellas, estos valores pueden ser modificados.</w:t>
      </w:r>
    </w:p>
    <w:p w:rsidR="00F25C84" w:rsidRPr="005F2432" w:rsidRDefault="00F25C84" w:rsidP="00F25C84">
      <w:pPr>
        <w:pStyle w:val="TableNo"/>
        <w:rPr>
          <w:lang w:val="es-ES_tradnl"/>
        </w:rPr>
      </w:pPr>
      <w:r w:rsidRPr="005F2432">
        <w:rPr>
          <w:lang w:val="es-ES_tradnl"/>
        </w:rPr>
        <w:t>CUADRO 2-3</w:t>
      </w:r>
    </w:p>
    <w:p w:rsidR="00F25C84" w:rsidRPr="005F2432" w:rsidRDefault="00F25C84" w:rsidP="00F25C84">
      <w:pPr>
        <w:pStyle w:val="Tabletitle"/>
        <w:rPr>
          <w:lang w:val="es-ES_tradnl"/>
        </w:rPr>
      </w:pPr>
      <w:r w:rsidRPr="005F2432">
        <w:rPr>
          <w:lang w:val="es-ES_tradnl" w:eastAsia="ja-JP"/>
        </w:rPr>
        <w:t>Transmisiones del enlace de servicio GPS en la banda</w:t>
      </w:r>
      <w:r w:rsidRPr="005F2432">
        <w:rPr>
          <w:lang w:val="es-ES_tradnl"/>
        </w:rPr>
        <w:t xml:space="preserv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F25C84" w:rsidRPr="005F2432" w:rsidTr="00FA7435">
        <w:trPr>
          <w:tblHeader/>
          <w:jc w:val="center"/>
        </w:trPr>
        <w:tc>
          <w:tcPr>
            <w:tcW w:w="5584" w:type="dxa"/>
            <w:vAlign w:val="center"/>
          </w:tcPr>
          <w:p w:rsidR="00F25C84" w:rsidRPr="005F2432" w:rsidRDefault="00F25C84" w:rsidP="00FA7435">
            <w:pPr>
              <w:pStyle w:val="Tablehead"/>
              <w:rPr>
                <w:rFonts w:eastAsia="MS PGothic"/>
                <w:lang w:val="es-ES_tradnl"/>
              </w:rPr>
            </w:pPr>
            <w:r w:rsidRPr="005F2432">
              <w:rPr>
                <w:rFonts w:eastAsia="MS PGothic"/>
                <w:lang w:val="es-ES_tradnl"/>
              </w:rPr>
              <w:t>Parámetro</w:t>
            </w:r>
          </w:p>
        </w:tc>
        <w:tc>
          <w:tcPr>
            <w:tcW w:w="4055" w:type="dxa"/>
            <w:vAlign w:val="center"/>
          </w:tcPr>
          <w:p w:rsidR="00F25C84" w:rsidRPr="005F2432" w:rsidRDefault="00F25C84" w:rsidP="00FA7435">
            <w:pPr>
              <w:pStyle w:val="Tablehead"/>
              <w:rPr>
                <w:rFonts w:eastAsia="MS PGothic"/>
                <w:lang w:val="es-ES_tradnl"/>
              </w:rPr>
            </w:pPr>
            <w:r w:rsidRPr="005F2432">
              <w:rPr>
                <w:rFonts w:eastAsia="MS PGothic"/>
                <w:lang w:val="es-ES_tradnl"/>
              </w:rPr>
              <w:t>Valor del parámetro</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Gama de frecuencias de la señal (MHz)</w:t>
            </w:r>
          </w:p>
        </w:tc>
        <w:tc>
          <w:tcPr>
            <w:tcW w:w="4055" w:type="dxa"/>
          </w:tcPr>
          <w:p w:rsidR="00F25C84" w:rsidRPr="005F2432" w:rsidRDefault="00F25C84" w:rsidP="00FA7435">
            <w:pPr>
              <w:pStyle w:val="Tabletext"/>
              <w:jc w:val="center"/>
              <w:rPr>
                <w:rFonts w:eastAsia="MS PGothic"/>
                <w:lang w:val="es-ES_tradnl"/>
              </w:rPr>
            </w:pPr>
            <w:r w:rsidRPr="005F2432">
              <w:rPr>
                <w:lang w:val="es-ES_tradnl"/>
              </w:rPr>
              <w:t xml:space="preserve">5 019,861 </w:t>
            </w:r>
            <w:r w:rsidRPr="005F2432">
              <w:rPr>
                <w:lang w:val="es-ES_tradnl"/>
              </w:rPr>
              <w:sym w:font="Symbol" w:char="F0B1"/>
            </w:r>
            <w:r w:rsidRPr="005F2432">
              <w:rPr>
                <w:lang w:val="es-ES_tradnl"/>
              </w:rPr>
              <w:t xml:space="preserve"> 9,86</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Velocidad de chip de código PRN (</w:t>
            </w:r>
            <w:proofErr w:type="spellStart"/>
            <w:r w:rsidRPr="005F2432">
              <w:rPr>
                <w:rFonts w:eastAsia="MS PGothic"/>
                <w:lang w:val="es-ES_tradnl"/>
              </w:rPr>
              <w:t>Mchip</w:t>
            </w:r>
            <w:proofErr w:type="spellEnd"/>
            <w:r w:rsidRPr="005F2432">
              <w:rPr>
                <w:rFonts w:eastAsia="MS PGothic"/>
                <w:lang w:val="es-ES_tradnl"/>
              </w:rPr>
              <w:t>/s)</w:t>
            </w:r>
          </w:p>
        </w:tc>
        <w:tc>
          <w:tcPr>
            <w:tcW w:w="4055" w:type="dxa"/>
          </w:tcPr>
          <w:p w:rsidR="00F25C84" w:rsidRPr="005F2432" w:rsidRDefault="00F25C84" w:rsidP="00FA7435">
            <w:pPr>
              <w:pStyle w:val="Tabletext"/>
              <w:jc w:val="center"/>
              <w:rPr>
                <w:rFonts w:eastAsia="MS PGothic"/>
                <w:lang w:val="es-ES_tradnl"/>
              </w:rPr>
            </w:pPr>
            <w:r w:rsidRPr="005F2432">
              <w:rPr>
                <w:rFonts w:eastAsia="MS PGothic"/>
                <w:lang w:val="es-ES_tradnl"/>
              </w:rPr>
              <w:t>10,23</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Velocidad binaria de datos de navegación (bit/s)</w:t>
            </w:r>
          </w:p>
        </w:tc>
        <w:tc>
          <w:tcPr>
            <w:tcW w:w="4055" w:type="dxa"/>
          </w:tcPr>
          <w:p w:rsidR="00F25C84" w:rsidRPr="005F2432" w:rsidRDefault="00F25C84" w:rsidP="00FA7435">
            <w:pPr>
              <w:pStyle w:val="Tabletext"/>
              <w:jc w:val="center"/>
              <w:rPr>
                <w:rFonts w:eastAsia="MS PGothic"/>
                <w:lang w:val="es-ES_tradnl"/>
              </w:rPr>
            </w:pPr>
            <w:r w:rsidRPr="005F2432">
              <w:rPr>
                <w:rFonts w:eastAsia="MS PGothic"/>
                <w:lang w:val="es-ES_tradnl"/>
              </w:rPr>
              <w:t>50 a 50 000</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Método de modulación de la señal</w:t>
            </w:r>
          </w:p>
        </w:tc>
        <w:tc>
          <w:tcPr>
            <w:tcW w:w="4055" w:type="dxa"/>
          </w:tcPr>
          <w:p w:rsidR="00F25C84" w:rsidRPr="005F2432" w:rsidRDefault="00F25C84" w:rsidP="00FA7435">
            <w:pPr>
              <w:pStyle w:val="Tabletext"/>
              <w:jc w:val="center"/>
              <w:rPr>
                <w:rFonts w:eastAsia="MS PGothic"/>
                <w:lang w:val="es-ES_tradnl"/>
              </w:rPr>
            </w:pPr>
            <w:r w:rsidRPr="005F2432">
              <w:rPr>
                <w:lang w:val="es-ES_tradnl"/>
              </w:rPr>
              <w:t>SQPSK</w:t>
            </w:r>
            <w:r w:rsidRPr="005F2432">
              <w:rPr>
                <w:rFonts w:eastAsia="MS PGothic"/>
                <w:lang w:val="es-ES_tradnl"/>
              </w:rPr>
              <w:t>(10) filtrada</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Polarización</w:t>
            </w:r>
          </w:p>
        </w:tc>
        <w:tc>
          <w:tcPr>
            <w:tcW w:w="4055" w:type="dxa"/>
          </w:tcPr>
          <w:p w:rsidR="00F25C84" w:rsidRPr="005F2432" w:rsidRDefault="00F25C84" w:rsidP="00FA7435">
            <w:pPr>
              <w:pStyle w:val="Tabletext"/>
              <w:jc w:val="center"/>
              <w:rPr>
                <w:rFonts w:eastAsia="MS PGothic"/>
                <w:lang w:val="es-ES_tradnl"/>
              </w:rPr>
            </w:pPr>
            <w:r w:rsidRPr="005F2432">
              <w:rPr>
                <w:rFonts w:eastAsia="MS PGothic"/>
                <w:lang w:val="es-ES_tradnl"/>
              </w:rPr>
              <w:t>Circular</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proofErr w:type="spellStart"/>
            <w:r w:rsidRPr="005F2432">
              <w:rPr>
                <w:rFonts w:eastAsia="MS PGothic"/>
                <w:lang w:val="es-ES_tradnl"/>
              </w:rPr>
              <w:t>Elipticidad</w:t>
            </w:r>
            <w:proofErr w:type="spellEnd"/>
            <w:r w:rsidRPr="005F2432">
              <w:rPr>
                <w:rFonts w:eastAsia="MS PGothic"/>
                <w:lang w:val="es-ES_tradnl"/>
              </w:rPr>
              <w:t xml:space="preserve"> (dB)</w:t>
            </w:r>
          </w:p>
        </w:tc>
        <w:tc>
          <w:tcPr>
            <w:tcW w:w="4055" w:type="dxa"/>
          </w:tcPr>
          <w:p w:rsidR="00F25C84" w:rsidRPr="005F2432" w:rsidRDefault="00F25C84" w:rsidP="00FA7435">
            <w:pPr>
              <w:pStyle w:val="Tabletext"/>
              <w:jc w:val="center"/>
              <w:rPr>
                <w:rFonts w:eastAsia="MS PGothic"/>
                <w:lang w:val="es-ES_tradnl"/>
              </w:rPr>
            </w:pPr>
            <w:r w:rsidRPr="005F2432">
              <w:rPr>
                <w:rFonts w:eastAsia="MS PGothic"/>
                <w:lang w:val="es-ES_tradnl"/>
              </w:rPr>
              <w:t>1,5 máximo</w:t>
            </w:r>
          </w:p>
        </w:tc>
      </w:tr>
      <w:tr w:rsidR="00F25C84" w:rsidRPr="005F2432" w:rsidTr="00FA7435">
        <w:trPr>
          <w:tblHeader/>
          <w:jc w:val="center"/>
        </w:trPr>
        <w:tc>
          <w:tcPr>
            <w:tcW w:w="5584" w:type="dxa"/>
            <w:vAlign w:val="center"/>
          </w:tcPr>
          <w:p w:rsidR="00F25C84" w:rsidRPr="005F2432" w:rsidRDefault="00F25C84" w:rsidP="00FA7435">
            <w:pPr>
              <w:pStyle w:val="Tabletext"/>
              <w:jc w:val="left"/>
              <w:rPr>
                <w:rFonts w:eastAsia="MS PGothic"/>
                <w:lang w:val="es-ES_tradnl"/>
              </w:rPr>
            </w:pPr>
            <w:r w:rsidRPr="005F2432">
              <w:rPr>
                <w:rFonts w:eastAsia="MS PGothic"/>
                <w:lang w:val="es-ES_tradnl"/>
              </w:rPr>
              <w:t>Nivel mínimo de potencia de recepción en la salida de la antena de referencia (</w:t>
            </w:r>
            <w:proofErr w:type="spellStart"/>
            <w:r w:rsidRPr="005F2432">
              <w:rPr>
                <w:rFonts w:eastAsia="MS PGothic"/>
                <w:lang w:val="es-ES_tradnl"/>
              </w:rPr>
              <w:t>dBW</w:t>
            </w:r>
            <w:proofErr w:type="spellEnd"/>
            <w:r w:rsidRPr="005F2432">
              <w:rPr>
                <w:rFonts w:eastAsia="MS PGothic"/>
                <w:lang w:val="es-ES_tradnl"/>
              </w:rPr>
              <w:t>)</w:t>
            </w:r>
          </w:p>
        </w:tc>
        <w:tc>
          <w:tcPr>
            <w:tcW w:w="4055" w:type="dxa"/>
          </w:tcPr>
          <w:p w:rsidR="00F25C84" w:rsidRPr="005F2432" w:rsidRDefault="00F25C84" w:rsidP="00FA7435">
            <w:pPr>
              <w:pStyle w:val="Tabletext"/>
              <w:jc w:val="center"/>
              <w:rPr>
                <w:rFonts w:eastAsia="MS PGothic"/>
                <w:lang w:val="es-ES_tradnl"/>
              </w:rPr>
            </w:pPr>
            <w:r w:rsidRPr="005F2432">
              <w:rPr>
                <w:rFonts w:eastAsia="MS PGothic"/>
                <w:lang w:val="es-ES_tradnl"/>
              </w:rPr>
              <w:t>–171,6</w:t>
            </w:r>
          </w:p>
        </w:tc>
      </w:tr>
    </w:tbl>
    <w:p w:rsidR="00F25C84" w:rsidRPr="005F2432" w:rsidRDefault="00F25C84" w:rsidP="00F25C84">
      <w:pPr>
        <w:pStyle w:val="Tablefin"/>
        <w:rPr>
          <w:rFonts w:eastAsia="MS Mincho"/>
          <w:lang w:val="es-ES_tradnl"/>
        </w:rPr>
      </w:pPr>
    </w:p>
    <w:p w:rsidR="00F25C84" w:rsidRPr="005F2432" w:rsidRDefault="00F25C84" w:rsidP="00F25C84">
      <w:pPr>
        <w:spacing w:before="240"/>
        <w:rPr>
          <w:lang w:val="es-ES_tradnl"/>
        </w:rPr>
      </w:pPr>
      <w:r w:rsidRPr="005F2432">
        <w:rPr>
          <w:lang w:val="es-ES_tradnl"/>
        </w:rPr>
        <w:t>Se prevé que los receptores en la banda 5 010-5 030 MHz reaccionarán a la interferencia como lo hacen los receptores del SRNS que utilizan códigos PRN modernizados de las señales PNT, por ejemplo, GPS L1C, L2C y L5, que funcionan en las bandas 1 164-1 300 MHz y 1 559-1 610 MHz. Probablemente los estudios de compartición y compatibilidad con servicios distintos del SRNS den los mismos resultados.</w:t>
      </w:r>
    </w:p>
    <w:p w:rsidR="00F25C84" w:rsidRPr="005F2432" w:rsidRDefault="00F25C84" w:rsidP="00F25C84">
      <w:pPr>
        <w:rPr>
          <w:lang w:val="es-ES_tradnl"/>
        </w:rPr>
      </w:pPr>
      <w:r w:rsidRPr="005F2432">
        <w:rPr>
          <w:lang w:val="es-ES_tradnl"/>
        </w:rPr>
        <w:t xml:space="preserve">Los umbrales de interferencia combinada del Cuadro 2-4 sólo se aplican a la interferencia de transmisión continua. Aunque los parámetros que se presentan aquí se derivan de las especificaciones GPS y son coherentes con ellas, estos valores pueden ser modificados. </w:t>
      </w:r>
    </w:p>
    <w:p w:rsidR="00F25C84" w:rsidRPr="005F2432" w:rsidRDefault="00F25C84" w:rsidP="00F25C84">
      <w:pPr>
        <w:pStyle w:val="TableNo"/>
        <w:keepLines/>
        <w:rPr>
          <w:lang w:val="es-ES_tradnl"/>
        </w:rPr>
      </w:pPr>
      <w:r w:rsidRPr="005F2432">
        <w:rPr>
          <w:lang w:val="es-ES_tradnl"/>
        </w:rPr>
        <w:lastRenderedPageBreak/>
        <w:t>CUADRO 2-4</w:t>
      </w:r>
    </w:p>
    <w:p w:rsidR="00F25C84" w:rsidRPr="005F2432" w:rsidRDefault="00F25C84" w:rsidP="00F25C84">
      <w:pPr>
        <w:pStyle w:val="Tabletitle"/>
        <w:keepLines/>
        <w:rPr>
          <w:lang w:val="es-ES_tradnl"/>
        </w:rPr>
      </w:pPr>
      <w:r w:rsidRPr="005F2432">
        <w:rPr>
          <w:lang w:val="es-ES_tradnl"/>
        </w:rPr>
        <w:t>Características y criterios de protección del enlace de servicio de las estaciones</w:t>
      </w:r>
      <w:r>
        <w:rPr>
          <w:lang w:val="es-ES_tradnl"/>
        </w:rPr>
        <w:br/>
      </w:r>
      <w:r w:rsidRPr="005F2432">
        <w:rPr>
          <w:lang w:val="es-ES_tradnl"/>
        </w:rPr>
        <w:t>en tierra de usuario receptoras GPS que funcionan</w:t>
      </w:r>
      <w:r>
        <w:rPr>
          <w:lang w:val="es-ES_tradnl"/>
        </w:rPr>
        <w:br/>
      </w:r>
      <w:r w:rsidRPr="005F2432">
        <w:rPr>
          <w:lang w:val="es-ES_tradnl"/>
        </w:rPr>
        <w:t>en la banda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8"/>
        <w:gridCol w:w="2981"/>
      </w:tblGrid>
      <w:tr w:rsidR="00F25C84" w:rsidRPr="005F2432" w:rsidTr="00BD1450">
        <w:trPr>
          <w:cantSplit/>
          <w:jc w:val="center"/>
        </w:trPr>
        <w:tc>
          <w:tcPr>
            <w:tcW w:w="6658" w:type="dxa"/>
          </w:tcPr>
          <w:p w:rsidR="00F25C84" w:rsidRPr="005F2432" w:rsidRDefault="00F25C84" w:rsidP="00FA7435">
            <w:pPr>
              <w:pStyle w:val="Tablehead"/>
              <w:keepLines/>
              <w:rPr>
                <w:lang w:val="es-ES_tradnl"/>
              </w:rPr>
            </w:pPr>
            <w:r w:rsidRPr="005F2432">
              <w:rPr>
                <w:lang w:val="es-ES_tradnl"/>
              </w:rPr>
              <w:t>Parámetro</w:t>
            </w:r>
          </w:p>
        </w:tc>
        <w:tc>
          <w:tcPr>
            <w:tcW w:w="2981" w:type="dxa"/>
          </w:tcPr>
          <w:p w:rsidR="00F25C84" w:rsidRPr="005F2432" w:rsidRDefault="00F25C84" w:rsidP="00FA7435">
            <w:pPr>
              <w:pStyle w:val="Tablehead"/>
              <w:keepLines/>
              <w:rPr>
                <w:lang w:val="es-ES_tradnl"/>
              </w:rPr>
            </w:pPr>
            <w:r w:rsidRPr="005F2432">
              <w:rPr>
                <w:lang w:val="es-ES_tradnl"/>
              </w:rPr>
              <w:t>Valor del parámetro</w:t>
            </w:r>
          </w:p>
        </w:tc>
      </w:tr>
      <w:tr w:rsidR="00F25C84" w:rsidRPr="005F2432" w:rsidTr="00BD1450">
        <w:trPr>
          <w:cantSplit/>
          <w:jc w:val="center"/>
        </w:trPr>
        <w:tc>
          <w:tcPr>
            <w:tcW w:w="6658" w:type="dxa"/>
            <w:vAlign w:val="center"/>
          </w:tcPr>
          <w:p w:rsidR="00F25C84" w:rsidRPr="005F2432" w:rsidRDefault="00F25C84" w:rsidP="00FA7435">
            <w:pPr>
              <w:pStyle w:val="Tabletext"/>
              <w:keepNext/>
              <w:keepLines/>
              <w:jc w:val="left"/>
              <w:rPr>
                <w:lang w:val="es-ES_tradnl"/>
              </w:rPr>
            </w:pPr>
            <w:r w:rsidRPr="005F2432">
              <w:rPr>
                <w:noProof/>
                <w:lang w:val="en-GB" w:eastAsia="zh-CN"/>
              </w:rPr>
              <mc:AlternateContent>
                <mc:Choice Requires="wps">
                  <w:drawing>
                    <wp:anchor distT="0" distB="0" distL="114288" distR="114288" simplePos="0" relativeHeight="251659264" behindDoc="0" locked="0" layoutInCell="0" allowOverlap="1" wp14:anchorId="6A1A2DC4" wp14:editId="095AA348">
                      <wp:simplePos x="0" y="0"/>
                      <wp:positionH relativeFrom="column">
                        <wp:posOffset>8164829</wp:posOffset>
                      </wp:positionH>
                      <wp:positionV relativeFrom="paragraph">
                        <wp:posOffset>17780</wp:posOffset>
                      </wp:positionV>
                      <wp:extent cx="0" cy="41148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D51CD" id="Straight Connector 2" o:spid="_x0000_s1026" style="position:absolute;z-index:25165926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IxkUUscAgAANgQAAA4AAAAAAAAAAAAAAAAALgIAAGRycy9lMm9Eb2MueG1sUEsBAi0A&#10;FAAGAAgAAAAhAKUH+pjdAAAACwEAAA8AAAAAAAAAAAAAAAAAdgQAAGRycy9kb3ducmV2LnhtbFBL&#10;BQYAAAAABAAEAPMAAACABQAAAAA=&#10;" o:allowincell="f"/>
                  </w:pict>
                </mc:Fallback>
              </mc:AlternateContent>
            </w:r>
            <w:r w:rsidRPr="005F2432">
              <w:rPr>
                <w:rFonts w:eastAsia="MS PGothic"/>
                <w:lang w:val="es-ES_tradnl"/>
              </w:rPr>
              <w:t>Gama de frecuencias de la señal (MHz)</w:t>
            </w:r>
          </w:p>
        </w:tc>
        <w:tc>
          <w:tcPr>
            <w:tcW w:w="2981" w:type="dxa"/>
          </w:tcPr>
          <w:p w:rsidR="00F25C84" w:rsidRPr="005F2432" w:rsidRDefault="00F25C84" w:rsidP="00FA7435">
            <w:pPr>
              <w:pStyle w:val="Tabletext"/>
              <w:keepNext/>
              <w:keepLines/>
              <w:jc w:val="center"/>
              <w:rPr>
                <w:lang w:val="es-ES_tradnl"/>
              </w:rPr>
            </w:pPr>
            <w:r w:rsidRPr="005F2432">
              <w:rPr>
                <w:lang w:val="es-ES_tradnl"/>
              </w:rPr>
              <w:t xml:space="preserve">5 019,861 </w:t>
            </w:r>
            <w:r w:rsidRPr="005F2432">
              <w:rPr>
                <w:lang w:val="es-ES_tradnl"/>
              </w:rPr>
              <w:sym w:font="Symbol" w:char="F0B1"/>
            </w:r>
            <w:r w:rsidRPr="005F2432">
              <w:rPr>
                <w:lang w:val="es-ES_tradnl"/>
              </w:rPr>
              <w:t xml:space="preserve"> 9,86</w:t>
            </w:r>
          </w:p>
        </w:tc>
      </w:tr>
      <w:tr w:rsidR="00F25C84" w:rsidRPr="005F2432" w:rsidTr="00BD1450">
        <w:trPr>
          <w:cantSplit/>
          <w:jc w:val="center"/>
        </w:trPr>
        <w:tc>
          <w:tcPr>
            <w:tcW w:w="6658" w:type="dxa"/>
            <w:vAlign w:val="center"/>
          </w:tcPr>
          <w:p w:rsidR="00F25C84" w:rsidRPr="005F2432" w:rsidRDefault="00F25C84" w:rsidP="00FA7435">
            <w:pPr>
              <w:pStyle w:val="Tabletext"/>
              <w:keepNext/>
              <w:keepLines/>
              <w:jc w:val="left"/>
              <w:rPr>
                <w:lang w:val="es-ES_tradnl"/>
              </w:rPr>
            </w:pPr>
            <w:r w:rsidRPr="005F2432">
              <w:rPr>
                <w:noProof/>
                <w:lang w:val="es-ES_tradnl"/>
              </w:rPr>
              <w:t>Ganancia máxima de la antena receptora en el hemisferio superior (dBi)</w:t>
            </w:r>
          </w:p>
        </w:tc>
        <w:tc>
          <w:tcPr>
            <w:tcW w:w="2981" w:type="dxa"/>
          </w:tcPr>
          <w:p w:rsidR="00F25C84" w:rsidRPr="005F2432" w:rsidRDefault="00F25C84" w:rsidP="00FA7435">
            <w:pPr>
              <w:pStyle w:val="Tabletext"/>
              <w:keepNext/>
              <w:keepLines/>
              <w:jc w:val="center"/>
              <w:rPr>
                <w:lang w:val="es-ES_tradnl"/>
              </w:rPr>
            </w:pPr>
            <w:r w:rsidRPr="005F2432">
              <w:rPr>
                <w:noProof/>
                <w:lang w:val="es-ES_tradnl"/>
              </w:rPr>
              <w:t>3</w:t>
            </w:r>
          </w:p>
        </w:tc>
      </w:tr>
      <w:tr w:rsidR="00F25C84" w:rsidRPr="005F2432" w:rsidTr="00BD1450">
        <w:trPr>
          <w:cantSplit/>
          <w:jc w:val="center"/>
        </w:trPr>
        <w:tc>
          <w:tcPr>
            <w:tcW w:w="6658" w:type="dxa"/>
            <w:vAlign w:val="center"/>
          </w:tcPr>
          <w:p w:rsidR="00F25C84" w:rsidRPr="005F2432" w:rsidRDefault="00F25C84" w:rsidP="00FA7435">
            <w:pPr>
              <w:pStyle w:val="Tabletext"/>
              <w:keepNext/>
              <w:keepLines/>
              <w:jc w:val="left"/>
              <w:rPr>
                <w:lang w:val="es-ES_tradnl"/>
              </w:rPr>
            </w:pPr>
            <w:r w:rsidRPr="005F2432">
              <w:rPr>
                <w:noProof/>
                <w:lang w:val="es-ES_tradnl"/>
              </w:rPr>
              <w:t>Ganancia máxima de la antena receptora en el hemisferio inferior (dBi)</w:t>
            </w:r>
          </w:p>
        </w:tc>
        <w:tc>
          <w:tcPr>
            <w:tcW w:w="2981" w:type="dxa"/>
          </w:tcPr>
          <w:p w:rsidR="00F25C84" w:rsidRPr="005F2432" w:rsidRDefault="00F25C84" w:rsidP="00BD1450">
            <w:pPr>
              <w:pStyle w:val="Tabletext"/>
              <w:keepNext/>
              <w:keepLines/>
              <w:jc w:val="center"/>
              <w:rPr>
                <w:lang w:val="es-ES_tradnl"/>
              </w:rPr>
            </w:pPr>
            <w:r w:rsidRPr="005F2432">
              <w:rPr>
                <w:noProof/>
                <w:lang w:val="es-ES_tradnl"/>
              </w:rPr>
              <w:t>3</w:t>
            </w:r>
            <w:r w:rsidR="00BD1450">
              <w:rPr>
                <w:noProof/>
                <w:lang w:val="es-ES_tradnl"/>
              </w:rPr>
              <w:t xml:space="preserve"> </w:t>
            </w:r>
            <w:r w:rsidRPr="005F2432">
              <w:rPr>
                <w:noProof/>
                <w:lang w:val="es-ES_tradnl"/>
              </w:rPr>
              <w:t>(Véase la Nota 2)</w:t>
            </w:r>
          </w:p>
        </w:tc>
      </w:tr>
      <w:tr w:rsidR="00F25C84" w:rsidRPr="005F2432" w:rsidTr="00BD1450">
        <w:trPr>
          <w:cantSplit/>
          <w:jc w:val="center"/>
        </w:trPr>
        <w:tc>
          <w:tcPr>
            <w:tcW w:w="6658" w:type="dxa"/>
          </w:tcPr>
          <w:p w:rsidR="00F25C84" w:rsidRPr="005F2432" w:rsidRDefault="00F25C84" w:rsidP="00FA7435">
            <w:pPr>
              <w:pStyle w:val="Tabletext"/>
              <w:jc w:val="left"/>
              <w:rPr>
                <w:lang w:val="es-ES_tradnl"/>
              </w:rPr>
            </w:pPr>
            <w:r w:rsidRPr="005F2432">
              <w:rPr>
                <w:lang w:val="es-ES_tradnl"/>
              </w:rPr>
              <w:t xml:space="preserve">Ancho de banda a 3dB del filtro RF </w:t>
            </w:r>
            <w:r w:rsidRPr="005F2432">
              <w:rPr>
                <w:rFonts w:eastAsia="MS PGothic"/>
                <w:lang w:val="es-ES_tradnl"/>
              </w:rPr>
              <w:t>receptor (MHz)</w:t>
            </w:r>
          </w:p>
        </w:tc>
        <w:tc>
          <w:tcPr>
            <w:tcW w:w="2981" w:type="dxa"/>
          </w:tcPr>
          <w:p w:rsidR="00F25C84" w:rsidRPr="005F2432" w:rsidRDefault="00F25C84" w:rsidP="00FA7435">
            <w:pPr>
              <w:pStyle w:val="Tabletext"/>
              <w:jc w:val="center"/>
              <w:rPr>
                <w:lang w:val="es-ES_tradnl"/>
              </w:rPr>
            </w:pPr>
            <w:r w:rsidRPr="005F2432">
              <w:rPr>
                <w:rFonts w:eastAsia="MS PGothic"/>
                <w:lang w:val="es-ES_tradnl"/>
              </w:rPr>
              <w:t>20</w:t>
            </w:r>
          </w:p>
        </w:tc>
      </w:tr>
      <w:tr w:rsidR="00F25C84" w:rsidRPr="005F2432" w:rsidTr="00BD1450">
        <w:trPr>
          <w:cantSplit/>
          <w:jc w:val="center"/>
        </w:trPr>
        <w:tc>
          <w:tcPr>
            <w:tcW w:w="6658" w:type="dxa"/>
            <w:vAlign w:val="center"/>
          </w:tcPr>
          <w:p w:rsidR="00F25C84" w:rsidRPr="005F2432" w:rsidRDefault="00F25C84" w:rsidP="00FA7435">
            <w:pPr>
              <w:pStyle w:val="Tabletext"/>
              <w:jc w:val="left"/>
              <w:rPr>
                <w:lang w:val="es-ES_tradnl"/>
              </w:rPr>
            </w:pPr>
            <w:r w:rsidRPr="005F2432">
              <w:rPr>
                <w:lang w:val="es-ES_tradnl"/>
              </w:rPr>
              <w:t xml:space="preserve">Ancho de banda a 3 dB de </w:t>
            </w:r>
            <w:proofErr w:type="spellStart"/>
            <w:r w:rsidRPr="005F2432">
              <w:rPr>
                <w:lang w:val="es-ES_tradnl"/>
              </w:rPr>
              <w:t>precorrelación</w:t>
            </w:r>
            <w:proofErr w:type="spellEnd"/>
            <w:r w:rsidRPr="005F2432">
              <w:rPr>
                <w:lang w:val="es-ES_tradnl"/>
              </w:rPr>
              <w:t xml:space="preserve"> de recepción (MHz)</w:t>
            </w:r>
          </w:p>
        </w:tc>
        <w:tc>
          <w:tcPr>
            <w:tcW w:w="2981" w:type="dxa"/>
          </w:tcPr>
          <w:p w:rsidR="00F25C84" w:rsidRPr="005F2432" w:rsidRDefault="00F25C84" w:rsidP="00FA7435">
            <w:pPr>
              <w:pStyle w:val="Tabletext"/>
              <w:jc w:val="center"/>
              <w:rPr>
                <w:lang w:val="es-ES_tradnl"/>
              </w:rPr>
            </w:pPr>
            <w:r w:rsidRPr="005F2432">
              <w:rPr>
                <w:lang w:val="es-ES_tradnl"/>
              </w:rPr>
              <w:t>20</w:t>
            </w:r>
          </w:p>
        </w:tc>
      </w:tr>
      <w:tr w:rsidR="00F25C84" w:rsidRPr="005F2432" w:rsidTr="00BD1450">
        <w:trPr>
          <w:cantSplit/>
          <w:jc w:val="center"/>
        </w:trPr>
        <w:tc>
          <w:tcPr>
            <w:tcW w:w="6658" w:type="dxa"/>
            <w:vAlign w:val="center"/>
          </w:tcPr>
          <w:p w:rsidR="00F25C84" w:rsidRPr="005F2432" w:rsidRDefault="00F25C84" w:rsidP="00FA7435">
            <w:pPr>
              <w:pStyle w:val="Tabletext"/>
              <w:jc w:val="left"/>
              <w:rPr>
                <w:lang w:val="es-ES_tradnl"/>
              </w:rPr>
            </w:pPr>
            <w:r w:rsidRPr="005F2432">
              <w:rPr>
                <w:lang w:val="es-ES_tradnl"/>
              </w:rPr>
              <w:t>Temperatura de ruido del sistema receptor (K)</w:t>
            </w:r>
          </w:p>
        </w:tc>
        <w:tc>
          <w:tcPr>
            <w:tcW w:w="2981" w:type="dxa"/>
          </w:tcPr>
          <w:p w:rsidR="00F25C84" w:rsidRPr="005F2432" w:rsidRDefault="00F25C84" w:rsidP="00FA7435">
            <w:pPr>
              <w:pStyle w:val="Tabletext"/>
              <w:jc w:val="center"/>
              <w:rPr>
                <w:lang w:val="es-ES_tradnl"/>
              </w:rPr>
            </w:pPr>
            <w:r w:rsidRPr="005F2432">
              <w:rPr>
                <w:lang w:val="es-ES_tradnl"/>
              </w:rPr>
              <w:t>500</w:t>
            </w:r>
          </w:p>
        </w:tc>
      </w:tr>
      <w:tr w:rsidR="00F25C84" w:rsidRPr="005F2432" w:rsidTr="00BD1450">
        <w:trPr>
          <w:cantSplit/>
          <w:jc w:val="center"/>
        </w:trPr>
        <w:tc>
          <w:tcPr>
            <w:tcW w:w="6658" w:type="dxa"/>
          </w:tcPr>
          <w:p w:rsidR="00F25C84" w:rsidRPr="005F2432" w:rsidRDefault="00F25C84" w:rsidP="00FA7435">
            <w:pPr>
              <w:pStyle w:val="Tabletext"/>
              <w:jc w:val="left"/>
              <w:rPr>
                <w:lang w:val="es-ES_tradnl"/>
              </w:rPr>
            </w:pPr>
            <w:r w:rsidRPr="005F2432">
              <w:rPr>
                <w:rFonts w:eastAsia="MS PGothic"/>
                <w:lang w:val="es-ES_tradnl"/>
              </w:rPr>
              <w:t>Nivel umbral de potencia de la interferencia de banda estrecha combinada en la salida de la antena pasiva en modo rastreo (</w:t>
            </w:r>
            <w:proofErr w:type="spellStart"/>
            <w:r w:rsidRPr="005F2432">
              <w:rPr>
                <w:rFonts w:eastAsia="MS PGothic"/>
                <w:lang w:val="es-ES_tradnl"/>
              </w:rPr>
              <w:t>dBW</w:t>
            </w:r>
            <w:proofErr w:type="spellEnd"/>
            <w:r w:rsidRPr="005F2432">
              <w:rPr>
                <w:rFonts w:eastAsia="MS PGothic"/>
                <w:lang w:val="es-ES_tradnl"/>
              </w:rPr>
              <w:t>)</w:t>
            </w:r>
          </w:p>
        </w:tc>
        <w:tc>
          <w:tcPr>
            <w:tcW w:w="2981" w:type="dxa"/>
          </w:tcPr>
          <w:p w:rsidR="00F25C84" w:rsidRPr="005F2432" w:rsidRDefault="00F25C84" w:rsidP="00BD1450">
            <w:pPr>
              <w:pStyle w:val="Tabletext"/>
              <w:jc w:val="center"/>
              <w:rPr>
                <w:lang w:val="es-ES_tradnl"/>
              </w:rPr>
            </w:pPr>
            <w:r w:rsidRPr="005F2432">
              <w:rPr>
                <w:noProof/>
                <w:lang w:val="es-ES_tradnl"/>
              </w:rPr>
              <w:t>−154,6</w:t>
            </w:r>
            <w:r w:rsidR="00BD1450">
              <w:rPr>
                <w:noProof/>
                <w:lang w:val="es-ES_tradnl"/>
              </w:rPr>
              <w:t xml:space="preserve"> </w:t>
            </w:r>
            <w:r w:rsidRPr="005F2432">
              <w:rPr>
                <w:noProof/>
                <w:lang w:val="es-ES_tradnl"/>
              </w:rPr>
              <w:t>(Véase la Nota 1)</w:t>
            </w:r>
          </w:p>
        </w:tc>
      </w:tr>
      <w:tr w:rsidR="00F25C84" w:rsidRPr="005F2432" w:rsidTr="00BD1450">
        <w:trPr>
          <w:cantSplit/>
          <w:jc w:val="center"/>
        </w:trPr>
        <w:tc>
          <w:tcPr>
            <w:tcW w:w="6658" w:type="dxa"/>
          </w:tcPr>
          <w:p w:rsidR="00F25C84" w:rsidRPr="005F2432" w:rsidRDefault="00F25C84" w:rsidP="00FA7435">
            <w:pPr>
              <w:pStyle w:val="Tabletext"/>
              <w:jc w:val="left"/>
              <w:rPr>
                <w:lang w:val="es-ES_tradnl"/>
              </w:rPr>
            </w:pPr>
            <w:r w:rsidRPr="005F2432">
              <w:rPr>
                <w:rFonts w:eastAsia="MS PGothic"/>
                <w:lang w:val="es-ES_tradnl"/>
              </w:rPr>
              <w:t>Nivel umbral de potencia de la interferencia de banda estrecha combinada en la salida de la antena pasiva en modo adquisición (</w:t>
            </w:r>
            <w:proofErr w:type="spellStart"/>
            <w:r w:rsidRPr="005F2432">
              <w:rPr>
                <w:rFonts w:eastAsia="MS PGothic"/>
                <w:lang w:val="es-ES_tradnl"/>
              </w:rPr>
              <w:t>dBW</w:t>
            </w:r>
            <w:proofErr w:type="spellEnd"/>
            <w:r w:rsidRPr="005F2432">
              <w:rPr>
                <w:rFonts w:eastAsia="MS PGothic"/>
                <w:lang w:val="es-ES_tradnl"/>
              </w:rPr>
              <w:t>)</w:t>
            </w:r>
          </w:p>
        </w:tc>
        <w:tc>
          <w:tcPr>
            <w:tcW w:w="2981" w:type="dxa"/>
          </w:tcPr>
          <w:p w:rsidR="00F25C84" w:rsidRPr="005F2432" w:rsidRDefault="00F25C84" w:rsidP="00BD1450">
            <w:pPr>
              <w:pStyle w:val="Tabletext"/>
              <w:jc w:val="center"/>
              <w:rPr>
                <w:lang w:val="es-ES_tradnl"/>
              </w:rPr>
            </w:pPr>
            <w:r w:rsidRPr="005F2432">
              <w:rPr>
                <w:noProof/>
                <w:lang w:val="es-ES_tradnl"/>
              </w:rPr>
              <w:t>−157,6</w:t>
            </w:r>
            <w:r w:rsidR="00BD1450">
              <w:rPr>
                <w:noProof/>
                <w:lang w:val="es-ES_tradnl"/>
              </w:rPr>
              <w:t xml:space="preserve"> </w:t>
            </w:r>
            <w:r w:rsidRPr="005F2432">
              <w:rPr>
                <w:noProof/>
                <w:lang w:val="es-ES_tradnl"/>
              </w:rPr>
              <w:t>(Véase la Nota 1)</w:t>
            </w:r>
          </w:p>
        </w:tc>
      </w:tr>
      <w:tr w:rsidR="00F25C84" w:rsidRPr="005F2432" w:rsidTr="00BD1450">
        <w:trPr>
          <w:cantSplit/>
          <w:jc w:val="center"/>
        </w:trPr>
        <w:tc>
          <w:tcPr>
            <w:tcW w:w="6658" w:type="dxa"/>
          </w:tcPr>
          <w:p w:rsidR="00F25C84" w:rsidRPr="005F2432" w:rsidRDefault="00F25C84" w:rsidP="00FA7435">
            <w:pPr>
              <w:pStyle w:val="Tabletext"/>
              <w:jc w:val="left"/>
              <w:rPr>
                <w:lang w:val="es-ES_tradnl"/>
              </w:rPr>
            </w:pPr>
            <w:r w:rsidRPr="005F2432">
              <w:rPr>
                <w:rFonts w:eastAsia="MS PGothic"/>
                <w:lang w:val="es-ES_tradnl"/>
              </w:rPr>
              <w:t>Nivel umbral de densidad de potencia de la interferencia de banda ancha combinada en la salida de la antena pasiva en modo rastreo (dB(W/MHz))</w:t>
            </w:r>
          </w:p>
        </w:tc>
        <w:tc>
          <w:tcPr>
            <w:tcW w:w="2981" w:type="dxa"/>
          </w:tcPr>
          <w:p w:rsidR="00F25C84" w:rsidRPr="005F2432" w:rsidRDefault="00F25C84" w:rsidP="00BD1450">
            <w:pPr>
              <w:pStyle w:val="Tabletext"/>
              <w:jc w:val="center"/>
              <w:rPr>
                <w:lang w:val="es-ES_tradnl"/>
              </w:rPr>
            </w:pPr>
            <w:r w:rsidRPr="005F2432">
              <w:rPr>
                <w:noProof/>
                <w:lang w:val="es-ES_tradnl"/>
              </w:rPr>
              <w:t>−144,6</w:t>
            </w:r>
            <w:r w:rsidR="00BD1450">
              <w:rPr>
                <w:noProof/>
                <w:lang w:val="es-ES_tradnl"/>
              </w:rPr>
              <w:t xml:space="preserve"> </w:t>
            </w:r>
            <w:r w:rsidRPr="005F2432">
              <w:rPr>
                <w:noProof/>
                <w:lang w:val="es-ES_tradnl"/>
              </w:rPr>
              <w:t>(Véase la Nota 1)</w:t>
            </w:r>
          </w:p>
        </w:tc>
      </w:tr>
      <w:tr w:rsidR="00F25C84" w:rsidRPr="005F2432" w:rsidTr="00BD1450">
        <w:trPr>
          <w:cantSplit/>
          <w:jc w:val="center"/>
        </w:trPr>
        <w:tc>
          <w:tcPr>
            <w:tcW w:w="6658" w:type="dxa"/>
            <w:vAlign w:val="center"/>
          </w:tcPr>
          <w:p w:rsidR="00F25C84" w:rsidRPr="005F2432" w:rsidRDefault="00F25C84" w:rsidP="00FA7435">
            <w:pPr>
              <w:pStyle w:val="Tabletext"/>
              <w:jc w:val="left"/>
              <w:rPr>
                <w:lang w:val="es-ES_tradnl"/>
              </w:rPr>
            </w:pPr>
            <w:r w:rsidRPr="005F2432">
              <w:rPr>
                <w:rFonts w:eastAsia="MS PGothic"/>
                <w:lang w:val="es-ES_tradnl"/>
              </w:rPr>
              <w:t>Nivel umbral de densidad de potencia de la interferencia en banda ancha combinada en la salida de la antena pasiva en modo adquisición (dB(W/MHz))</w:t>
            </w:r>
          </w:p>
        </w:tc>
        <w:tc>
          <w:tcPr>
            <w:tcW w:w="2981" w:type="dxa"/>
          </w:tcPr>
          <w:p w:rsidR="00F25C84" w:rsidRPr="005F2432" w:rsidRDefault="00F25C84" w:rsidP="00BD1450">
            <w:pPr>
              <w:pStyle w:val="Tabletext"/>
              <w:jc w:val="center"/>
              <w:rPr>
                <w:lang w:val="es-ES_tradnl"/>
              </w:rPr>
            </w:pPr>
            <w:r w:rsidRPr="005F2432">
              <w:rPr>
                <w:noProof/>
                <w:lang w:val="es-ES_tradnl"/>
              </w:rPr>
              <w:t>−147,6</w:t>
            </w:r>
            <w:r w:rsidR="00BD1450">
              <w:rPr>
                <w:noProof/>
                <w:lang w:val="es-ES_tradnl"/>
              </w:rPr>
              <w:t xml:space="preserve"> </w:t>
            </w:r>
            <w:r w:rsidRPr="005F2432">
              <w:rPr>
                <w:noProof/>
                <w:lang w:val="es-ES_tradnl"/>
              </w:rPr>
              <w:t>(Véase la Nota 1)</w:t>
            </w:r>
          </w:p>
        </w:tc>
      </w:tr>
      <w:tr w:rsidR="00F25C84" w:rsidRPr="00F25C84" w:rsidTr="00FA7435">
        <w:trPr>
          <w:cantSplit/>
          <w:jc w:val="center"/>
        </w:trPr>
        <w:tc>
          <w:tcPr>
            <w:tcW w:w="9639" w:type="dxa"/>
            <w:gridSpan w:val="2"/>
            <w:tcBorders>
              <w:left w:val="nil"/>
              <w:bottom w:val="nil"/>
              <w:right w:val="nil"/>
            </w:tcBorders>
            <w:vAlign w:val="center"/>
          </w:tcPr>
          <w:p w:rsidR="00F25C84" w:rsidRPr="005F2432" w:rsidRDefault="00F25C84" w:rsidP="00FA7435">
            <w:pPr>
              <w:pStyle w:val="Tablelegend"/>
              <w:ind w:left="-85" w:firstLine="0"/>
              <w:jc w:val="left"/>
              <w:rPr>
                <w:lang w:val="es-ES_tradnl"/>
              </w:rPr>
            </w:pPr>
            <w:r w:rsidRPr="005F2432">
              <w:rPr>
                <w:lang w:val="es-ES_tradnl"/>
              </w:rPr>
              <w:t>NOTA</w:t>
            </w:r>
            <w:r>
              <w:rPr>
                <w:lang w:val="es-ES_tradnl"/>
              </w:rPr>
              <w:t> </w:t>
            </w:r>
            <w:r w:rsidRPr="005F2432">
              <w:rPr>
                <w:lang w:val="es-ES_tradnl"/>
              </w:rPr>
              <w:t>1</w:t>
            </w:r>
            <w:r>
              <w:rPr>
                <w:lang w:val="es-ES_tradnl"/>
              </w:rPr>
              <w:t> </w:t>
            </w:r>
            <w:r w:rsidRPr="005F2432">
              <w:rPr>
                <w:lang w:val="es-ES_tradnl"/>
              </w:rPr>
              <w:t>–</w:t>
            </w:r>
            <w:r>
              <w:rPr>
                <w:lang w:val="es-ES_tradnl"/>
              </w:rPr>
              <w:t> </w:t>
            </w:r>
            <w:r w:rsidRPr="005F2432">
              <w:rPr>
                <w:lang w:val="es-ES_tradnl"/>
              </w:rPr>
              <w:t>Se considera que la interferencia continua de banda estrecha tiene un ancho de banda inferior a 700 Hz en la banda 5 010-5 030 MHz. Se considera que la interferencia continua de banda ancha tiene un ancho de banda superior a 1 MHz en la banda 5 010-5 030 MHz. Los niveles umbral de potencia para interferencias con ancho de banda entre 700 Hz y 1 MHz se derivan por interpolación logarítmica lineal entre el límite de potencia en banda estrecha en un ancho de banda de 700 Hz y el límite de densidad de potencia en banda ancha en un ancho de banda de 1 MHz.</w:t>
            </w:r>
          </w:p>
          <w:p w:rsidR="00F25C84" w:rsidRPr="005F2432" w:rsidRDefault="00F25C84" w:rsidP="00FA7435">
            <w:pPr>
              <w:pStyle w:val="Tablelegend"/>
              <w:ind w:left="-85" w:firstLine="0"/>
              <w:jc w:val="left"/>
              <w:rPr>
                <w:lang w:val="es-ES_tradnl" w:eastAsia="ja-JP"/>
              </w:rPr>
            </w:pPr>
            <w:r w:rsidRPr="005F2432">
              <w:rPr>
                <w:lang w:val="es-ES_tradnl"/>
              </w:rPr>
              <w:t>NOTA</w:t>
            </w:r>
            <w:r>
              <w:rPr>
                <w:lang w:val="es-ES_tradnl"/>
              </w:rPr>
              <w:t> </w:t>
            </w:r>
            <w:r w:rsidRPr="005F2432">
              <w:rPr>
                <w:lang w:val="es-ES_tradnl"/>
              </w:rPr>
              <w:t>2</w:t>
            </w:r>
            <w:r>
              <w:rPr>
                <w:lang w:val="es-ES_tradnl"/>
              </w:rPr>
              <w:t> </w:t>
            </w:r>
            <w:r w:rsidRPr="005F2432">
              <w:rPr>
                <w:lang w:val="es-ES_tradnl"/>
              </w:rPr>
              <w:t>–</w:t>
            </w:r>
            <w:r>
              <w:rPr>
                <w:lang w:val="es-ES_tradnl"/>
              </w:rPr>
              <w:t> </w:t>
            </w:r>
            <w:r w:rsidRPr="005F2432">
              <w:rPr>
                <w:lang w:val="es-ES_tradnl" w:eastAsia="ja-JP"/>
              </w:rPr>
              <w:t>Dado que la antena de algunas aplicaciones receptoras del SRNS podría apuntar prácticamente hacia cualquier dirección, la ganancia máxima de la antena en el hemisferio inferior podría (en el caso más desfavorable) ser igual a la del hemisferio superior.</w:t>
            </w:r>
          </w:p>
        </w:tc>
      </w:tr>
    </w:tbl>
    <w:p w:rsidR="00BF026D" w:rsidRDefault="00BF026D" w:rsidP="00BF026D">
      <w:pPr>
        <w:pStyle w:val="Tablefin"/>
      </w:pPr>
    </w:p>
    <w:p w:rsidR="00F25C84" w:rsidRPr="005F2432" w:rsidRDefault="00F25C84" w:rsidP="00F25C84">
      <w:pPr>
        <w:spacing w:before="240"/>
        <w:rPr>
          <w:lang w:val="es-ES_tradnl"/>
        </w:rPr>
      </w:pPr>
      <w:r w:rsidRPr="005F2432">
        <w:rPr>
          <w:lang w:val="es-ES_tradnl"/>
        </w:rPr>
        <w:t>En comparación con sistemas similares de la banda de 1,5 GHz, los sistemas del SRNS diseñados para la banda de 5 GHz experimentarán una pérdida de trayecto en el espacio libre hasta 10</w:t>
      </w:r>
      <w:r>
        <w:rPr>
          <w:lang w:val="es-ES_tradnl"/>
        </w:rPr>
        <w:t> </w:t>
      </w:r>
      <w:r w:rsidRPr="005F2432">
        <w:rPr>
          <w:lang w:val="es-ES_tradnl"/>
        </w:rPr>
        <w:t>dB superior, así como una mayor atenuación por vapor de agua, lluvia y follaje. Del mismo modo, la tecnología para 5 GHz es en la actualidad más onerosa que para otras bandas del SRNS.</w:t>
      </w:r>
    </w:p>
    <w:p w:rsidR="00F25C84" w:rsidRPr="005F2432" w:rsidRDefault="00F25C84" w:rsidP="00F25C84">
      <w:pPr>
        <w:rPr>
          <w:lang w:val="es-ES_tradnl"/>
        </w:rPr>
      </w:pPr>
      <w:r w:rsidRPr="005F2432">
        <w:rPr>
          <w:lang w:val="es-ES_tradnl"/>
        </w:rPr>
        <w:t>Para compensar estos inconvenientes, la utilización de la banda de 5 GHz tiene ciertos beneficios de los cuales el principal es que la más corta longitud de onda utiliza antenas de mayor ganancia y puede haber sistemas de antenas dentro de una determinada huella de antena. De hecho, dado que la longitud de onda representa más o menos un 30% de la de otras bandas del SRNS, el diámetro, la apertura física y el peso de las antenas similares a las que se utilizan en la gama de 1,5 GHz se reducen aproximadamente por un factor de 0,3, (0,3)</w:t>
      </w:r>
      <w:r w:rsidRPr="005F2432">
        <w:rPr>
          <w:vertAlign w:val="superscript"/>
          <w:lang w:val="es-ES_tradnl"/>
        </w:rPr>
        <w:t>2</w:t>
      </w:r>
      <w:r w:rsidRPr="005F2432">
        <w:rPr>
          <w:lang w:val="es-ES_tradnl"/>
        </w:rPr>
        <w:t> = 0,09, y</w:t>
      </w:r>
      <w:r>
        <w:rPr>
          <w:lang w:val="es-ES_tradnl"/>
        </w:rPr>
        <w:t xml:space="preserve"> </w:t>
      </w:r>
      <w:r w:rsidRPr="005F2432">
        <w:rPr>
          <w:lang w:val="es-ES_tradnl"/>
        </w:rPr>
        <w:t>(0,3)</w:t>
      </w:r>
      <w:r w:rsidRPr="005F2432">
        <w:rPr>
          <w:vertAlign w:val="superscript"/>
          <w:lang w:val="es-ES_tradnl"/>
        </w:rPr>
        <w:t>3 </w:t>
      </w:r>
      <w:r w:rsidRPr="005F2432">
        <w:rPr>
          <w:lang w:val="es-ES_tradnl"/>
        </w:rPr>
        <w:t xml:space="preserve">= 0,027, respectivamente. Esto puede resultar atractivo para aplicaciones donde el tamaño y el peso del sistema son limitaciones importantes tanto para el equipo de usuario como para la carga útil del satélite, lo que a su vez puede permitir la utilización de antenas adaptables con capacidad para incrementar la potencia de la señal recibida, anular las fuentes de RFI, o ambas cosas. Estas capacidades resultan útiles cuando las emisiones no deseadas de otros servicios pueden causar interferencia a las señales del SRNS a corto alcance. Es posible, no obstante, que este tipo de antenas no se adecúen a todas las aplicaciones. </w:t>
      </w:r>
      <w:r w:rsidRPr="005F2432">
        <w:rPr>
          <w:lang w:val="es-ES_tradnl"/>
        </w:rPr>
        <w:lastRenderedPageBreak/>
        <w:t xml:space="preserve">Además, dado que una antena de ese tipo está formada por una serie de elementos de antena, extremos receptores y componentes electrónicos de formación/dirección de haces, la arquitectura del receptor se vuelve compleja. </w:t>
      </w:r>
    </w:p>
    <w:p w:rsidR="00F25C84" w:rsidRPr="005F2432" w:rsidRDefault="00F25C84" w:rsidP="00F25C84">
      <w:pPr>
        <w:rPr>
          <w:lang w:val="es-ES_tradnl"/>
        </w:rPr>
      </w:pPr>
      <w:r w:rsidRPr="005F2432">
        <w:rPr>
          <w:lang w:val="es-ES_tradnl"/>
        </w:rPr>
        <w:t xml:space="preserve">Otro beneficio de la utilización de la banda de 5 GHz es que se puede mejorar la exactitud de posición y temporización gracias a la menor variabilidad del retardo de propagación </w:t>
      </w:r>
      <w:proofErr w:type="spellStart"/>
      <w:r w:rsidRPr="005F2432">
        <w:rPr>
          <w:lang w:val="es-ES_tradnl"/>
        </w:rPr>
        <w:t>ionosférica</w:t>
      </w:r>
      <w:proofErr w:type="spellEnd"/>
      <w:r w:rsidRPr="005F2432">
        <w:rPr>
          <w:lang w:val="es-ES_tradnl"/>
        </w:rPr>
        <w:t xml:space="preserve">. </w:t>
      </w:r>
    </w:p>
    <w:p w:rsidR="00F25C84" w:rsidRPr="005F2432" w:rsidRDefault="00F25C84" w:rsidP="00F25C84">
      <w:pPr>
        <w:rPr>
          <w:lang w:val="es-ES_tradnl"/>
        </w:rPr>
      </w:pPr>
      <w:r w:rsidRPr="005F2432">
        <w:rPr>
          <w:lang w:val="es-ES_tradnl"/>
        </w:rPr>
        <w:t>Como se indica en el § 2 anterior, no se han terminado los estudios sobre el funcionamiento de los enlaces de servicio en 5 GHz en presencia de enlaces descendentes de conexión del SRNS. En próximos estudios podrían incluirse técnicas como la polarización circular ortogonal, la modulación con propiedades de baja correlación cruzada y la incorporación de un mayor margen de enlace para RFI de los enlaces descendentes de conexión. Del mismo modo se ha de considerar la compatibilidad entre señales de enlace de conexión descendente y enlace de servicio simultáneas procedentes de distintos sistemas del SRNS.</w:t>
      </w:r>
    </w:p>
    <w:p w:rsidR="00F25C84" w:rsidRPr="005F2432" w:rsidRDefault="00F25C84" w:rsidP="00F25C84">
      <w:pPr>
        <w:rPr>
          <w:lang w:val="es-ES_tradnl"/>
        </w:rPr>
      </w:pPr>
      <w:r w:rsidRPr="005F2432">
        <w:rPr>
          <w:lang w:val="es-ES_tradnl"/>
        </w:rPr>
        <w:t>Se habrá de ahondar en los criterios de protección de las señales de enlace de servicio a medida que se avance en el diseño de sistemas del SRNS. Esos criterios de protección podrían tener en cuenta las características del SRNS necesarias para garantizar que el receptor puede funcionar en el entorno previsto, incluidas todas las limitaciones de ancho de banda y filtrado de la señal necesarias para garantizar la compatibilidad con la radioastronomía. Además, si el enlace del SRNS está destinado a un entorno aeroportuario, deberá diseñar</w:t>
      </w:r>
      <w:r>
        <w:rPr>
          <w:lang w:val="es-ES_tradnl"/>
        </w:rPr>
        <w:t>se</w:t>
      </w:r>
      <w:r w:rsidRPr="005F2432">
        <w:rPr>
          <w:lang w:val="es-ES_tradnl"/>
        </w:rPr>
        <w:t xml:space="preserve"> para tolerar las emisiones no deseadas del sistema de aterrizaje por microondas (MLS) normalizado de la OACI, que funciona en la banda adyacente. Una vez completados los diseños de sistema iniciales, se conocerán más detalles acerca del receptor SRNS en 5 GHz.</w:t>
      </w:r>
    </w:p>
    <w:p w:rsidR="00F25C84" w:rsidRPr="005F2432" w:rsidRDefault="00F25C84" w:rsidP="00F25C84">
      <w:pPr>
        <w:pStyle w:val="AnnexNoTitle"/>
        <w:spacing w:before="960"/>
        <w:rPr>
          <w:rFonts w:eastAsia="MS Mincho"/>
          <w:snapToGrid w:val="0"/>
          <w:lang w:val="es-ES_tradnl"/>
        </w:rPr>
      </w:pPr>
      <w:r w:rsidRPr="005F2432">
        <w:rPr>
          <w:rFonts w:eastAsia="MS Mincho"/>
          <w:lang w:val="es-ES_tradnl"/>
        </w:rPr>
        <w:t xml:space="preserve">Anexo </w:t>
      </w:r>
      <w:r w:rsidRPr="005F2432">
        <w:rPr>
          <w:rFonts w:eastAsia="MS Mincho"/>
          <w:lang w:val="es-ES_tradnl" w:eastAsia="ja-JP"/>
        </w:rPr>
        <w:t>3</w:t>
      </w:r>
      <w:r w:rsidRPr="005F2432">
        <w:rPr>
          <w:rFonts w:eastAsia="MS Mincho"/>
          <w:lang w:val="es-ES_tradnl"/>
        </w:rPr>
        <w:br/>
      </w:r>
      <w:r w:rsidRPr="005F2432">
        <w:rPr>
          <w:rFonts w:eastAsia="MS Mincho"/>
          <w:lang w:val="es-ES_tradnl"/>
        </w:rPr>
        <w:br/>
      </w:r>
      <w:r w:rsidRPr="005F2432">
        <w:rPr>
          <w:lang w:val="es-ES_tradnl"/>
        </w:rPr>
        <w:t>Características técnicas y criterios de protección de las estaciones terrenas</w:t>
      </w:r>
      <w:r w:rsidRPr="005F2432">
        <w:rPr>
          <w:lang w:val="es-ES_tradnl"/>
        </w:rPr>
        <w:br/>
        <w:t>receptoras y características de las estaciones espaciales transmisoras</w:t>
      </w:r>
      <w:r w:rsidRPr="005F2432">
        <w:rPr>
          <w:lang w:val="es-ES_tradnl"/>
        </w:rPr>
        <w:br/>
        <w:t>del Sistema de Satélites Cuasi-Cenital</w:t>
      </w:r>
      <w:r w:rsidRPr="005F2432">
        <w:rPr>
          <w:rFonts w:eastAsia="MS Mincho"/>
          <w:lang w:val="es-ES_tradnl" w:eastAsia="ja-JP"/>
        </w:rPr>
        <w:t xml:space="preserve"> que funcionan</w:t>
      </w:r>
      <w:r>
        <w:rPr>
          <w:rFonts w:eastAsia="MS Mincho"/>
          <w:lang w:val="es-ES_tradnl" w:eastAsia="ja-JP"/>
        </w:rPr>
        <w:br/>
      </w:r>
      <w:r w:rsidRPr="005F2432">
        <w:rPr>
          <w:rFonts w:eastAsia="MS Mincho"/>
          <w:lang w:val="es-ES_tradnl" w:eastAsia="ja-JP"/>
        </w:rPr>
        <w:t>en la banda</w:t>
      </w:r>
      <w:r w:rsidRPr="005F2432">
        <w:rPr>
          <w:rFonts w:eastAsia="MS Mincho"/>
          <w:caps/>
          <w:lang w:val="es-ES_tradnl"/>
        </w:rPr>
        <w:t xml:space="preserve"> 5 010-5 030 MH</w:t>
      </w:r>
      <w:r w:rsidRPr="005F2432">
        <w:rPr>
          <w:rFonts w:eastAsia="MS Mincho"/>
          <w:lang w:val="es-ES_tradnl"/>
        </w:rPr>
        <w:t>z</w:t>
      </w:r>
    </w:p>
    <w:p w:rsidR="00F25C84" w:rsidRDefault="00F25C84" w:rsidP="00F25C84">
      <w:pPr>
        <w:pStyle w:val="Heading1"/>
        <w:rPr>
          <w:rFonts w:eastAsia="MS Mincho"/>
          <w:lang w:val="es-ES_tradnl"/>
        </w:rPr>
      </w:pPr>
      <w:r w:rsidRPr="005F2432">
        <w:rPr>
          <w:rFonts w:eastAsia="MS Mincho"/>
          <w:lang w:val="es-ES_tradnl"/>
        </w:rPr>
        <w:t>1</w:t>
      </w:r>
      <w:r w:rsidRPr="005F2432">
        <w:rPr>
          <w:rFonts w:eastAsia="MS Mincho"/>
          <w:lang w:val="es-ES_tradnl"/>
        </w:rPr>
        <w:tab/>
        <w:t>Introducción</w:t>
      </w:r>
    </w:p>
    <w:p w:rsidR="00F25C84" w:rsidRPr="005F2432" w:rsidRDefault="00F25C84" w:rsidP="00F25C84">
      <w:pPr>
        <w:rPr>
          <w:lang w:val="es-ES_tradnl"/>
        </w:rPr>
      </w:pPr>
      <w:r w:rsidRPr="005F2432">
        <w:rPr>
          <w:lang w:val="es-ES_tradnl"/>
        </w:rPr>
        <w:t>Los enlaces de conexión ascendente y descendente del Sistema de satélites cuasi-cenital (</w:t>
      </w:r>
      <w:proofErr w:type="spellStart"/>
      <w:r w:rsidRPr="005F2432">
        <w:rPr>
          <w:rFonts w:eastAsia="MS Mincho"/>
          <w:i/>
          <w:iCs/>
          <w:lang w:val="es-ES_tradnl"/>
        </w:rPr>
        <w:t>Quasi</w:t>
      </w:r>
      <w:r w:rsidRPr="005F2432">
        <w:rPr>
          <w:rFonts w:eastAsia="MS Mincho"/>
          <w:i/>
          <w:iCs/>
          <w:lang w:val="es-ES_tradnl"/>
        </w:rPr>
        <w:noBreakHyphen/>
        <w:t>Zenith</w:t>
      </w:r>
      <w:proofErr w:type="spellEnd"/>
      <w:r w:rsidRPr="005F2432">
        <w:rPr>
          <w:rFonts w:eastAsia="MS Mincho"/>
          <w:i/>
          <w:iCs/>
          <w:lang w:val="es-ES_tradnl"/>
        </w:rPr>
        <w:t xml:space="preserve"> </w:t>
      </w:r>
      <w:proofErr w:type="spellStart"/>
      <w:r w:rsidRPr="005F2432">
        <w:rPr>
          <w:rFonts w:eastAsia="MS Mincho"/>
          <w:i/>
          <w:iCs/>
          <w:lang w:val="es-ES_tradnl"/>
        </w:rPr>
        <w:t>Satellite</w:t>
      </w:r>
      <w:proofErr w:type="spellEnd"/>
      <w:r w:rsidRPr="005F2432">
        <w:rPr>
          <w:rFonts w:eastAsia="MS Mincho"/>
          <w:i/>
          <w:iCs/>
          <w:lang w:val="es-ES_tradnl"/>
        </w:rPr>
        <w:t xml:space="preserve"> </w:t>
      </w:r>
      <w:proofErr w:type="spellStart"/>
      <w:r w:rsidRPr="005F2432">
        <w:rPr>
          <w:rFonts w:eastAsia="MS Mincho"/>
          <w:i/>
          <w:iCs/>
          <w:lang w:val="es-ES_tradnl"/>
        </w:rPr>
        <w:t>System</w:t>
      </w:r>
      <w:proofErr w:type="spellEnd"/>
      <w:r w:rsidRPr="005F2432">
        <w:rPr>
          <w:rFonts w:eastAsia="MS Mincho"/>
          <w:lang w:val="es-ES_tradnl"/>
        </w:rPr>
        <w:t xml:space="preserve">, </w:t>
      </w:r>
      <w:r w:rsidRPr="005F2432">
        <w:rPr>
          <w:lang w:val="es-ES_tradnl"/>
        </w:rPr>
        <w:t>QZSS) proporcionan comunicaciones para cargar mensajes de navegación, control, mando y comprobación técnica del sistema y el satélite. Las estaciones de control QZSS están ubicadas en la Región de Asia-Pacífico.</w:t>
      </w:r>
    </w:p>
    <w:p w:rsidR="00F25C84" w:rsidRPr="005F2432" w:rsidRDefault="00F25C84" w:rsidP="00F25C84">
      <w:pPr>
        <w:pStyle w:val="Heading1"/>
        <w:rPr>
          <w:rFonts w:eastAsia="MS Mincho"/>
          <w:lang w:val="es-ES_tradnl"/>
        </w:rPr>
      </w:pPr>
      <w:r w:rsidRPr="005F2432">
        <w:rPr>
          <w:rFonts w:eastAsia="MS Mincho"/>
          <w:lang w:val="es-ES_tradnl"/>
        </w:rPr>
        <w:t>2</w:t>
      </w:r>
      <w:r w:rsidRPr="005F2432">
        <w:rPr>
          <w:rFonts w:eastAsia="MS Mincho"/>
          <w:lang w:val="es-ES_tradnl"/>
        </w:rPr>
        <w:tab/>
        <w:t xml:space="preserve">Características del </w:t>
      </w:r>
      <w:r w:rsidRPr="005F2432">
        <w:rPr>
          <w:rFonts w:eastAsia="MS Mincho"/>
          <w:lang w:val="es-ES_tradnl" w:eastAsia="ja-JP"/>
        </w:rPr>
        <w:t>QZS</w:t>
      </w:r>
      <w:r w:rsidRPr="005F2432">
        <w:rPr>
          <w:rFonts w:eastAsia="MS Mincho"/>
          <w:lang w:val="es-ES_tradnl"/>
        </w:rPr>
        <w:t>S</w:t>
      </w:r>
    </w:p>
    <w:p w:rsidR="00F25C84" w:rsidRPr="005F2432" w:rsidRDefault="00F25C84" w:rsidP="00F25C84">
      <w:pPr>
        <w:rPr>
          <w:rFonts w:eastAsia="MS Mincho"/>
          <w:lang w:val="es-ES_tradnl" w:eastAsia="ja-JP"/>
        </w:rPr>
      </w:pPr>
      <w:r w:rsidRPr="005F2432">
        <w:rPr>
          <w:rFonts w:eastAsia="MS Mincho"/>
          <w:lang w:val="es-ES_tradnl"/>
        </w:rPr>
        <w:t xml:space="preserve">En </w:t>
      </w:r>
      <w:r>
        <w:rPr>
          <w:rFonts w:eastAsia="MS Mincho"/>
          <w:lang w:val="es-ES_tradnl"/>
        </w:rPr>
        <w:t>los</w:t>
      </w:r>
      <w:r w:rsidRPr="005F2432">
        <w:rPr>
          <w:rFonts w:eastAsia="MS Mincho"/>
          <w:lang w:val="es-ES_tradnl"/>
        </w:rPr>
        <w:t xml:space="preserve"> Cuadro</w:t>
      </w:r>
      <w:r>
        <w:rPr>
          <w:rFonts w:eastAsia="MS Mincho"/>
          <w:lang w:val="es-ES_tradnl"/>
        </w:rPr>
        <w:t>s</w:t>
      </w:r>
      <w:r w:rsidRPr="005F2432">
        <w:rPr>
          <w:rFonts w:eastAsia="MS Mincho"/>
          <w:lang w:val="es-ES_tradnl"/>
        </w:rPr>
        <w:t xml:space="preserve"> 3-1</w:t>
      </w:r>
      <w:r>
        <w:rPr>
          <w:rFonts w:eastAsia="MS Mincho"/>
          <w:lang w:val="es-ES_tradnl"/>
        </w:rPr>
        <w:t xml:space="preserve"> y 3-2</w:t>
      </w:r>
      <w:r w:rsidRPr="005F2432">
        <w:rPr>
          <w:rFonts w:eastAsia="MS Mincho"/>
          <w:lang w:val="es-ES_tradnl"/>
        </w:rPr>
        <w:t xml:space="preserve"> se presentan las características de las estaciones terrenas receptoras de enlace de conexión </w:t>
      </w:r>
      <w:r w:rsidRPr="005F2432">
        <w:rPr>
          <w:rFonts w:eastAsia="MS Mincho"/>
          <w:lang w:val="es-ES_tradnl" w:eastAsia="ja-JP"/>
        </w:rPr>
        <w:t>QZS</w:t>
      </w:r>
      <w:r w:rsidRPr="005F2432">
        <w:rPr>
          <w:rFonts w:eastAsia="MS Mincho"/>
          <w:lang w:val="es-ES_tradnl"/>
        </w:rPr>
        <w:t>S que funcionan en la banda</w:t>
      </w:r>
      <w:r w:rsidRPr="005F2432">
        <w:rPr>
          <w:rFonts w:eastAsia="MS Mincho"/>
          <w:lang w:val="es-ES_tradnl" w:eastAsia="ja-JP"/>
        </w:rPr>
        <w:t xml:space="preserve"> </w:t>
      </w:r>
      <w:r w:rsidRPr="005F2432">
        <w:rPr>
          <w:rFonts w:eastAsia="MS Mincho"/>
          <w:lang w:val="es-ES_tradnl"/>
        </w:rPr>
        <w:t>5 010</w:t>
      </w:r>
      <w:r>
        <w:rPr>
          <w:rFonts w:eastAsia="MS Mincho"/>
          <w:lang w:val="es-ES_tradnl"/>
        </w:rPr>
        <w:t>-</w:t>
      </w:r>
      <w:r w:rsidRPr="005F2432">
        <w:rPr>
          <w:rFonts w:eastAsia="MS Mincho"/>
          <w:lang w:val="es-ES_tradnl"/>
        </w:rPr>
        <w:t xml:space="preserve">5 030 MHz. En </w:t>
      </w:r>
      <w:r>
        <w:rPr>
          <w:rFonts w:eastAsia="MS Mincho"/>
          <w:lang w:val="es-ES_tradnl"/>
        </w:rPr>
        <w:t>los</w:t>
      </w:r>
      <w:r w:rsidRPr="005F2432">
        <w:rPr>
          <w:rFonts w:eastAsia="MS Mincho"/>
          <w:lang w:val="es-ES_tradnl"/>
        </w:rPr>
        <w:t xml:space="preserve"> Cuadro</w:t>
      </w:r>
      <w:r>
        <w:rPr>
          <w:rFonts w:eastAsia="MS Mincho"/>
          <w:lang w:val="es-ES_tradnl"/>
        </w:rPr>
        <w:t>s</w:t>
      </w:r>
      <w:r w:rsidRPr="005F2432">
        <w:rPr>
          <w:rFonts w:eastAsia="MS Mincho"/>
          <w:lang w:val="es-ES_tradnl"/>
        </w:rPr>
        <w:t xml:space="preserve"> 3-</w:t>
      </w:r>
      <w:r>
        <w:rPr>
          <w:rFonts w:eastAsia="MS Mincho"/>
          <w:lang w:val="es-ES_tradnl"/>
        </w:rPr>
        <w:t>3</w:t>
      </w:r>
      <w:r w:rsidRPr="005F2432">
        <w:rPr>
          <w:rFonts w:eastAsia="MS Mincho"/>
          <w:lang w:val="es-ES_tradnl"/>
        </w:rPr>
        <w:t xml:space="preserve"> </w:t>
      </w:r>
      <w:r>
        <w:rPr>
          <w:rFonts w:eastAsia="MS Mincho"/>
          <w:lang w:val="es-ES_tradnl"/>
        </w:rPr>
        <w:t xml:space="preserve">y 3-4 </w:t>
      </w:r>
      <w:r w:rsidRPr="005F2432">
        <w:rPr>
          <w:rFonts w:eastAsia="MS Mincho"/>
          <w:lang w:val="es-ES_tradnl"/>
        </w:rPr>
        <w:t xml:space="preserve">se presentan las características de las estaciones espaciales transmisoras de enlace de conexión </w:t>
      </w:r>
      <w:r w:rsidRPr="005F2432">
        <w:rPr>
          <w:rFonts w:eastAsia="MS Mincho"/>
          <w:lang w:val="es-ES_tradnl" w:eastAsia="ja-JP"/>
        </w:rPr>
        <w:t>QZS</w:t>
      </w:r>
      <w:r w:rsidRPr="005F2432">
        <w:rPr>
          <w:rFonts w:eastAsia="MS Mincho"/>
          <w:lang w:val="es-ES_tradnl"/>
        </w:rPr>
        <w:t>S que funcionan en la banda</w:t>
      </w:r>
      <w:r w:rsidRPr="005F2432">
        <w:rPr>
          <w:rFonts w:eastAsia="MS Mincho"/>
          <w:lang w:val="es-ES_tradnl" w:eastAsia="ja-JP"/>
        </w:rPr>
        <w:t xml:space="preserve"> </w:t>
      </w:r>
      <w:r w:rsidRPr="005F2432">
        <w:rPr>
          <w:rFonts w:eastAsia="MS Mincho"/>
          <w:lang w:val="es-ES_tradnl"/>
        </w:rPr>
        <w:t>5 010-5 030 MHz.</w:t>
      </w:r>
    </w:p>
    <w:p w:rsidR="00F25C84" w:rsidRPr="005F2432" w:rsidRDefault="00F25C84" w:rsidP="00F25C84">
      <w:pPr>
        <w:rPr>
          <w:lang w:val="es-ES_tradnl" w:eastAsia="ja-JP"/>
        </w:rPr>
      </w:pPr>
      <w:r w:rsidRPr="005F2432">
        <w:rPr>
          <w:rFonts w:eastAsia="MS Mincho"/>
          <w:lang w:val="es-ES_tradnl" w:eastAsia="ja-JP"/>
        </w:rPr>
        <w:t xml:space="preserve">Para evitar la </w:t>
      </w:r>
      <w:proofErr w:type="spellStart"/>
      <w:r w:rsidRPr="005F2432">
        <w:rPr>
          <w:rFonts w:eastAsia="MS Mincho"/>
          <w:lang w:val="es-ES_tradnl" w:eastAsia="ja-JP"/>
        </w:rPr>
        <w:t>autointerferencia</w:t>
      </w:r>
      <w:proofErr w:type="spellEnd"/>
      <w:r w:rsidRPr="005F2432">
        <w:rPr>
          <w:rFonts w:eastAsia="MS Mincho"/>
          <w:lang w:val="es-ES_tradnl" w:eastAsia="ja-JP"/>
        </w:rPr>
        <w:t xml:space="preserve">, se aplicará en los satélites del QZSS una técnica de filtrado. </w:t>
      </w:r>
    </w:p>
    <w:p w:rsidR="00F25C84" w:rsidRPr="005F2432" w:rsidRDefault="00F25C84" w:rsidP="00F25C84">
      <w:pPr>
        <w:rPr>
          <w:lang w:val="es-ES_tradnl" w:eastAsia="ja-JP"/>
        </w:rPr>
      </w:pPr>
      <w:r w:rsidRPr="005F2432">
        <w:rPr>
          <w:lang w:val="es-ES_tradnl" w:eastAsia="ja-JP"/>
        </w:rPr>
        <w:t xml:space="preserve">El enlace descendente de conexión QZSS en la banda </w:t>
      </w:r>
      <w:r w:rsidRPr="005F2432">
        <w:rPr>
          <w:rFonts w:eastAsia="MS Mincho"/>
          <w:lang w:val="es-ES_tradnl" w:eastAsia="ja-JP"/>
        </w:rPr>
        <w:t>5</w:t>
      </w:r>
      <w:r>
        <w:rPr>
          <w:rFonts w:eastAsia="MS Mincho"/>
          <w:lang w:val="es-ES_tradnl" w:eastAsia="ja-JP"/>
        </w:rPr>
        <w:t> </w:t>
      </w:r>
      <w:r w:rsidRPr="005F2432">
        <w:rPr>
          <w:rFonts w:eastAsia="MS Mincho"/>
          <w:lang w:val="es-ES_tradnl" w:eastAsia="ja-JP"/>
        </w:rPr>
        <w:t>0</w:t>
      </w:r>
      <w:r w:rsidRPr="005F2432">
        <w:rPr>
          <w:lang w:val="es-ES_tradnl" w:eastAsia="ja-JP"/>
        </w:rPr>
        <w:t>1</w:t>
      </w:r>
      <w:r w:rsidRPr="005F2432">
        <w:rPr>
          <w:rFonts w:eastAsia="MS Mincho"/>
          <w:lang w:val="es-ES_tradnl" w:eastAsia="ja-JP"/>
        </w:rPr>
        <w:t>0-5</w:t>
      </w:r>
      <w:r>
        <w:rPr>
          <w:rFonts w:eastAsia="MS Mincho"/>
          <w:lang w:val="es-ES_tradnl" w:eastAsia="ja-JP"/>
        </w:rPr>
        <w:t> </w:t>
      </w:r>
      <w:r w:rsidRPr="005F2432">
        <w:rPr>
          <w:rFonts w:eastAsia="MS Mincho"/>
          <w:lang w:val="es-ES_tradnl" w:eastAsia="ja-JP"/>
        </w:rPr>
        <w:t>0</w:t>
      </w:r>
      <w:r w:rsidRPr="005F2432">
        <w:rPr>
          <w:lang w:val="es-ES_tradnl" w:eastAsia="ja-JP"/>
        </w:rPr>
        <w:t>3</w:t>
      </w:r>
      <w:r w:rsidRPr="005F2432">
        <w:rPr>
          <w:rFonts w:eastAsia="MS Mincho"/>
          <w:lang w:val="es-ES_tradnl" w:eastAsia="ja-JP"/>
        </w:rPr>
        <w:t>0</w:t>
      </w:r>
      <w:r>
        <w:rPr>
          <w:rFonts w:eastAsia="MS Mincho"/>
          <w:lang w:val="es-ES_tradnl" w:eastAsia="ja-JP"/>
        </w:rPr>
        <w:t> </w:t>
      </w:r>
      <w:r w:rsidRPr="005F2432">
        <w:rPr>
          <w:rFonts w:eastAsia="MS Mincho"/>
          <w:lang w:val="es-ES_tradnl" w:eastAsia="ja-JP"/>
        </w:rPr>
        <w:t>MHz comprende funciones de telemetría y determinación de distancia</w:t>
      </w:r>
      <w:r w:rsidRPr="005F2432">
        <w:rPr>
          <w:lang w:val="es-ES_tradnl" w:eastAsia="ja-JP"/>
        </w:rPr>
        <w:t xml:space="preserve">. </w:t>
      </w:r>
    </w:p>
    <w:p w:rsidR="00F25C84" w:rsidRPr="005F2432" w:rsidRDefault="00F25C84" w:rsidP="00F25C84">
      <w:pPr>
        <w:rPr>
          <w:lang w:val="es-ES_tradnl" w:eastAsia="ja-JP"/>
        </w:rPr>
      </w:pPr>
      <w:r w:rsidRPr="005F2432">
        <w:rPr>
          <w:lang w:val="es-ES_tradnl" w:eastAsia="ja-JP"/>
        </w:rPr>
        <w:lastRenderedPageBreak/>
        <w:t>Para evaluar las posibilidades de causar interferencia al enlace de telemetría QZSS se han de utilizar las características de los Cuadros 3-1</w:t>
      </w:r>
      <w:r w:rsidRPr="00F043A2">
        <w:rPr>
          <w:rFonts w:hint="eastAsia"/>
          <w:lang w:val="es-ES_tradnl" w:eastAsia="ja-JP"/>
        </w:rPr>
        <w:t>, 3-2, 3-3</w:t>
      </w:r>
      <w:r w:rsidRPr="005F2432">
        <w:rPr>
          <w:lang w:val="es-ES_tradnl" w:eastAsia="ja-JP"/>
        </w:rPr>
        <w:t xml:space="preserve"> y 3-</w:t>
      </w:r>
      <w:r>
        <w:rPr>
          <w:lang w:val="es-ES_tradnl" w:eastAsia="ja-JP"/>
        </w:rPr>
        <w:t>4</w:t>
      </w:r>
      <w:r w:rsidRPr="005F2432">
        <w:rPr>
          <w:lang w:val="es-ES_tradnl" w:eastAsia="ja-JP"/>
        </w:rPr>
        <w:t>.</w:t>
      </w:r>
    </w:p>
    <w:p w:rsidR="00F25C84" w:rsidRPr="005F2432" w:rsidRDefault="00F25C84" w:rsidP="00F25C84">
      <w:pPr>
        <w:spacing w:before="240"/>
        <w:rPr>
          <w:rFonts w:eastAsia="MS Mincho"/>
          <w:lang w:val="es-ES_tradnl" w:eastAsia="ja-JP"/>
        </w:rPr>
      </w:pPr>
      <w:r w:rsidRPr="005F2432">
        <w:rPr>
          <w:lang w:val="es-ES_tradnl" w:eastAsia="ja-JP"/>
        </w:rPr>
        <w:t xml:space="preserve">Para evaluar el enlace de determinación de distancia, se han de intercambiar las características y criterios de protección durante las negociaciones bilaterales que habitualmente se celebran para la coordinación de frecuencias entre sistemas de satélites, porque para evaluar adecuadamente los efectos de la interferencia </w:t>
      </w:r>
      <w:r>
        <w:rPr>
          <w:lang w:val="es-ES_tradnl" w:eastAsia="ja-JP"/>
        </w:rPr>
        <w:t>al</w:t>
      </w:r>
      <w:r w:rsidRPr="005F2432">
        <w:rPr>
          <w:lang w:val="es-ES_tradnl" w:eastAsia="ja-JP"/>
        </w:rPr>
        <w:t xml:space="preserve"> enlace de determinación de distancia QZSS se ha de hacer una evaluación global de la</w:t>
      </w:r>
      <w:r w:rsidRPr="005F2432">
        <w:rPr>
          <w:rFonts w:eastAsia="MS Mincho"/>
          <w:lang w:val="es-ES_tradnl" w:eastAsia="ja-JP"/>
        </w:rPr>
        <w:t xml:space="preserve"> </w:t>
      </w:r>
      <w:r w:rsidRPr="005F2432">
        <w:rPr>
          <w:i/>
          <w:iCs/>
          <w:lang w:val="es-ES_tradnl" w:eastAsia="en-GB"/>
        </w:rPr>
        <w:t>C</w:t>
      </w:r>
      <w:r w:rsidRPr="005F2432">
        <w:rPr>
          <w:lang w:val="es-ES_tradnl" w:eastAsia="en-GB"/>
        </w:rPr>
        <w:t>/</w:t>
      </w:r>
      <w:r w:rsidRPr="005F2432">
        <w:rPr>
          <w:i/>
          <w:iCs/>
          <w:lang w:val="es-ES_tradnl" w:eastAsia="en-GB"/>
        </w:rPr>
        <w:t>N</w:t>
      </w:r>
      <w:r w:rsidRPr="005F2432">
        <w:rPr>
          <w:vertAlign w:val="subscript"/>
          <w:lang w:val="es-ES_tradnl" w:eastAsia="en-GB"/>
        </w:rPr>
        <w:t>0</w:t>
      </w:r>
      <w:r w:rsidRPr="005F2432">
        <w:rPr>
          <w:rFonts w:eastAsia="MS Mincho"/>
          <w:lang w:val="es-ES_tradnl" w:eastAsia="ja-JP"/>
        </w:rPr>
        <w:t xml:space="preserve"> teniendo en cuenta los segmentos ascendente y descendente del enlace. (No se puede evaluar el enlace de determinación de distancia </w:t>
      </w:r>
      <w:r w:rsidRPr="005F2432">
        <w:rPr>
          <w:lang w:val="es-ES_tradnl" w:eastAsia="ja-JP"/>
        </w:rPr>
        <w:t xml:space="preserve">QZSS a partir únicamente de la interferencia causada al enlace </w:t>
      </w:r>
      <w:r>
        <w:rPr>
          <w:lang w:val="es-ES_tradnl" w:eastAsia="ja-JP"/>
        </w:rPr>
        <w:t>ascendente</w:t>
      </w:r>
      <w:r w:rsidRPr="005F2432">
        <w:rPr>
          <w:rFonts w:eastAsia="MS Mincho"/>
          <w:lang w:val="es-ES_tradnl" w:eastAsia="ja-JP"/>
        </w:rPr>
        <w:t>.)</w:t>
      </w:r>
    </w:p>
    <w:p w:rsidR="00F25C84" w:rsidRPr="005F2432" w:rsidRDefault="00F25C84" w:rsidP="00F25C84">
      <w:pPr>
        <w:pStyle w:val="TableNo"/>
        <w:rPr>
          <w:rFonts w:eastAsia="MS Mincho"/>
          <w:lang w:val="es-ES_tradnl"/>
        </w:rPr>
      </w:pPr>
      <w:r w:rsidRPr="005F2432">
        <w:rPr>
          <w:rFonts w:eastAsia="MS Mincho"/>
          <w:lang w:val="es-ES_tradnl"/>
        </w:rPr>
        <w:t xml:space="preserve">CUADRO </w:t>
      </w:r>
      <w:r w:rsidRPr="005F2432">
        <w:rPr>
          <w:rFonts w:eastAsia="MS Mincho"/>
          <w:lang w:val="es-ES_tradnl" w:eastAsia="ja-JP"/>
        </w:rPr>
        <w:t>3</w:t>
      </w:r>
      <w:r w:rsidRPr="005F2432">
        <w:rPr>
          <w:rFonts w:eastAsia="MS Mincho"/>
          <w:lang w:val="es-ES_tradnl"/>
        </w:rPr>
        <w:t>-1</w:t>
      </w:r>
    </w:p>
    <w:p w:rsidR="00F25C84" w:rsidRPr="005F2432" w:rsidRDefault="00F25C84" w:rsidP="00F25C84">
      <w:pPr>
        <w:pStyle w:val="Tabletitle"/>
        <w:rPr>
          <w:rFonts w:eastAsia="MS Mincho"/>
          <w:lang w:val="es-ES_tradnl" w:eastAsia="ja-JP"/>
        </w:rPr>
      </w:pPr>
      <w:r w:rsidRPr="005F2432">
        <w:rPr>
          <w:rFonts w:eastAsia="MS Mincho"/>
          <w:lang w:val="es-ES_tradnl"/>
        </w:rPr>
        <w:t xml:space="preserve">Características de las estaciones terrenas receptoras </w:t>
      </w:r>
      <w:r>
        <w:rPr>
          <w:rFonts w:eastAsia="MS Mincho"/>
          <w:lang w:val="es-ES_tradnl"/>
        </w:rPr>
        <w:br/>
      </w:r>
      <w:r w:rsidRPr="005F2432">
        <w:rPr>
          <w:rFonts w:eastAsia="MS Mincho"/>
          <w:lang w:val="es-ES_tradnl"/>
        </w:rPr>
        <w:t xml:space="preserve">de enlace de conexión </w:t>
      </w:r>
      <w:r w:rsidRPr="005F2432">
        <w:rPr>
          <w:rFonts w:eastAsia="MS Mincho"/>
          <w:lang w:val="es-ES_tradnl" w:eastAsia="ja-JP"/>
        </w:rPr>
        <w:t>QZS</w:t>
      </w:r>
      <w:r w:rsidRPr="005F2432">
        <w:rPr>
          <w:rFonts w:eastAsia="MS Mincho"/>
          <w:lang w:val="es-ES_tradnl"/>
        </w:rPr>
        <w:t>S</w:t>
      </w:r>
      <w:r>
        <w:rPr>
          <w:rFonts w:eastAsia="MS Mincho"/>
          <w:lang w:val="es-ES_tradnl"/>
        </w:rPr>
        <w:t xml:space="preserve"> </w:t>
      </w:r>
      <w:r w:rsidRPr="005402FB">
        <w:rPr>
          <w:rFonts w:hint="eastAsia"/>
          <w:lang w:val="es-ES_tradnl" w:eastAsia="ja-JP"/>
        </w:rPr>
        <w:t>(</w:t>
      </w:r>
      <w:r>
        <w:rPr>
          <w:lang w:val="es-ES_tradnl" w:eastAsia="ja-JP"/>
        </w:rPr>
        <w:t>para</w:t>
      </w:r>
      <w:r w:rsidRPr="005402FB">
        <w:rPr>
          <w:rFonts w:hint="eastAsia"/>
          <w:lang w:val="es-ES_tradnl" w:eastAsia="ja-JP"/>
        </w:rPr>
        <w:t xml:space="preserve"> </w:t>
      </w:r>
      <w:r>
        <w:rPr>
          <w:lang w:val="es-ES_tradnl" w:eastAsia="ja-JP"/>
        </w:rPr>
        <w:t xml:space="preserve">el </w:t>
      </w:r>
      <w:r w:rsidRPr="005402FB">
        <w:rPr>
          <w:lang w:val="es-ES_tradnl" w:eastAsia="ja-JP"/>
        </w:rPr>
        <w:t>primer satélite QZSS</w:t>
      </w:r>
      <w:r w:rsidRPr="005402FB">
        <w:rPr>
          <w:rFonts w:hint="eastAsia"/>
          <w:lang w:val="es-ES_tradnl" w:eastAsia="ja-JP"/>
        </w:rPr>
        <w:t>)</w:t>
      </w:r>
      <w:r w:rsidRPr="005F2432">
        <w:rPr>
          <w:rFonts w:eastAsia="MS Mincho"/>
          <w:lang w:val="es-ES_tradnl"/>
        </w:rPr>
        <w:t xml:space="preserve"> que funcionan</w:t>
      </w:r>
      <w:r>
        <w:rPr>
          <w:rFonts w:eastAsia="MS Mincho"/>
          <w:lang w:val="es-ES_tradnl"/>
        </w:rPr>
        <w:br/>
      </w:r>
      <w:r w:rsidRPr="005F2432">
        <w:rPr>
          <w:rFonts w:eastAsia="MS Mincho"/>
          <w:lang w:val="es-ES_tradnl"/>
        </w:rPr>
        <w:t>en la banda</w:t>
      </w:r>
      <w:r w:rsidRPr="005F2432">
        <w:rPr>
          <w:rFonts w:eastAsia="MS Mincho"/>
          <w:lang w:val="es-ES_tradnl" w:eastAsia="ja-JP"/>
        </w:rPr>
        <w:t xml:space="preserve"> </w:t>
      </w:r>
      <w:r w:rsidRPr="005F2432">
        <w:rPr>
          <w:rFonts w:eastAsia="MS Mincho"/>
          <w:lang w:val="es-ES_tradnl"/>
        </w:rPr>
        <w:t>5 010-5 030 MHz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3021"/>
      </w:tblGrid>
      <w:tr w:rsidR="00F25C84" w:rsidRPr="005F2432" w:rsidTr="00195BC8">
        <w:trPr>
          <w:jc w:val="center"/>
        </w:trPr>
        <w:tc>
          <w:tcPr>
            <w:tcW w:w="4350" w:type="dxa"/>
            <w:vAlign w:val="center"/>
          </w:tcPr>
          <w:p w:rsidR="00F25C84" w:rsidRPr="005F2432" w:rsidRDefault="00F25C84" w:rsidP="00FA7435">
            <w:pPr>
              <w:pStyle w:val="Tablehead"/>
              <w:rPr>
                <w:rFonts w:eastAsia="MS Mincho"/>
                <w:lang w:val="es-ES_tradnl"/>
              </w:rPr>
            </w:pPr>
            <w:r w:rsidRPr="005F2432">
              <w:rPr>
                <w:rFonts w:eastAsia="MS Mincho"/>
                <w:lang w:val="es-ES_tradnl"/>
              </w:rPr>
              <w:t>Parámetro</w:t>
            </w:r>
          </w:p>
        </w:tc>
        <w:tc>
          <w:tcPr>
            <w:tcW w:w="3021" w:type="dxa"/>
            <w:vAlign w:val="center"/>
          </w:tcPr>
          <w:p w:rsidR="00F25C84" w:rsidRPr="005F2432" w:rsidRDefault="00F25C84" w:rsidP="00FA7435">
            <w:pPr>
              <w:pStyle w:val="Tablehead"/>
              <w:rPr>
                <w:rFonts w:eastAsia="MS Mincho"/>
                <w:lang w:val="es-ES_tradnl"/>
              </w:rPr>
            </w:pPr>
            <w:r w:rsidRPr="005F2432">
              <w:rPr>
                <w:rFonts w:eastAsia="MS Mincho"/>
                <w:lang w:val="es-ES_tradnl"/>
              </w:rPr>
              <w:t>Valor del parámetro</w:t>
            </w:r>
          </w:p>
        </w:tc>
      </w:tr>
      <w:tr w:rsidR="00F25C84" w:rsidRPr="005F2432" w:rsidTr="00195BC8">
        <w:trPr>
          <w:jc w:val="center"/>
        </w:trPr>
        <w:tc>
          <w:tcPr>
            <w:tcW w:w="4350" w:type="dxa"/>
          </w:tcPr>
          <w:p w:rsidR="00F25C84" w:rsidRPr="005F2432" w:rsidRDefault="00F25C84" w:rsidP="00FA7435">
            <w:pPr>
              <w:pStyle w:val="Tabletext"/>
              <w:jc w:val="left"/>
              <w:rPr>
                <w:rFonts w:eastAsia="MS Mincho"/>
                <w:lang w:val="es-ES_tradnl"/>
              </w:rPr>
            </w:pPr>
            <w:r w:rsidRPr="005F2432">
              <w:rPr>
                <w:rFonts w:eastAsia="MS Mincho"/>
                <w:lang w:val="es-ES_tradnl"/>
              </w:rPr>
              <w:t>Diagrama de antena</w:t>
            </w:r>
          </w:p>
        </w:tc>
        <w:tc>
          <w:tcPr>
            <w:tcW w:w="3021" w:type="dxa"/>
          </w:tcPr>
          <w:p w:rsidR="00F25C84" w:rsidRPr="005F2432" w:rsidRDefault="00F25C84" w:rsidP="00FA7435">
            <w:pPr>
              <w:pStyle w:val="Tabletext"/>
              <w:jc w:val="center"/>
              <w:rPr>
                <w:rFonts w:eastAsia="MS Mincho"/>
                <w:lang w:val="es-ES_tradnl" w:eastAsia="ja-JP"/>
              </w:rPr>
            </w:pPr>
            <w:r w:rsidRPr="005F2432">
              <w:rPr>
                <w:rFonts w:eastAsia="MS Mincho"/>
                <w:lang w:val="es-ES_tradnl" w:eastAsia="ja-JP"/>
              </w:rPr>
              <w:t>Rec. UIT-R S.465-5</w:t>
            </w:r>
          </w:p>
        </w:tc>
      </w:tr>
      <w:tr w:rsidR="00F25C84" w:rsidRPr="005F2432" w:rsidTr="00195BC8">
        <w:trPr>
          <w:jc w:val="center"/>
        </w:trPr>
        <w:tc>
          <w:tcPr>
            <w:tcW w:w="4350" w:type="dxa"/>
          </w:tcPr>
          <w:p w:rsidR="00F25C84" w:rsidRPr="005F2432" w:rsidRDefault="00F25C84" w:rsidP="00FA7435">
            <w:pPr>
              <w:pStyle w:val="Tabletext"/>
              <w:jc w:val="left"/>
              <w:rPr>
                <w:rFonts w:eastAsia="MS Mincho"/>
                <w:lang w:val="es-ES_tradnl"/>
              </w:rPr>
            </w:pPr>
            <w:r w:rsidRPr="005F2432">
              <w:rPr>
                <w:rFonts w:eastAsia="MS Mincho"/>
                <w:lang w:val="es-ES_tradnl" w:eastAsia="ja-JP"/>
              </w:rPr>
              <w:t>Ganancia máxima de antena</w:t>
            </w:r>
            <w:r w:rsidRPr="005F2432">
              <w:rPr>
                <w:rFonts w:eastAsia="MS Mincho"/>
                <w:lang w:val="es-ES_tradnl"/>
              </w:rPr>
              <w:t xml:space="preserve"> (</w:t>
            </w:r>
            <w:proofErr w:type="spellStart"/>
            <w:r w:rsidRPr="005F2432">
              <w:rPr>
                <w:rFonts w:eastAsia="MS Mincho"/>
                <w:lang w:val="es-ES_tradnl"/>
              </w:rPr>
              <w:t>dBi</w:t>
            </w:r>
            <w:proofErr w:type="spellEnd"/>
            <w:r w:rsidRPr="005F2432">
              <w:rPr>
                <w:rFonts w:eastAsia="MS Mincho"/>
                <w:lang w:val="es-ES_tradnl"/>
              </w:rPr>
              <w:t>)</w:t>
            </w:r>
          </w:p>
        </w:tc>
        <w:tc>
          <w:tcPr>
            <w:tcW w:w="3021" w:type="dxa"/>
          </w:tcPr>
          <w:p w:rsidR="00F25C84" w:rsidRPr="005F2432" w:rsidRDefault="00F25C84" w:rsidP="00FA7435">
            <w:pPr>
              <w:pStyle w:val="Tabletext"/>
              <w:jc w:val="center"/>
              <w:rPr>
                <w:lang w:val="es-ES_tradnl" w:eastAsia="ja-JP"/>
              </w:rPr>
            </w:pPr>
            <w:r w:rsidRPr="005F2432">
              <w:rPr>
                <w:rFonts w:eastAsia="MS Mincho"/>
                <w:lang w:val="es-ES_tradnl" w:eastAsia="ja-JP"/>
              </w:rPr>
              <w:t>4</w:t>
            </w:r>
            <w:r w:rsidRPr="005F2432">
              <w:rPr>
                <w:lang w:val="es-ES_tradnl" w:eastAsia="ja-JP"/>
              </w:rPr>
              <w:t>9,0</w:t>
            </w:r>
          </w:p>
        </w:tc>
      </w:tr>
      <w:tr w:rsidR="00F25C84" w:rsidRPr="005F2432" w:rsidTr="00195BC8">
        <w:trPr>
          <w:jc w:val="center"/>
        </w:trPr>
        <w:tc>
          <w:tcPr>
            <w:tcW w:w="4350" w:type="dxa"/>
          </w:tcPr>
          <w:p w:rsidR="00F25C84" w:rsidRPr="005F2432" w:rsidRDefault="00F25C84" w:rsidP="00FA7435">
            <w:pPr>
              <w:pStyle w:val="Tabletext"/>
              <w:jc w:val="left"/>
              <w:rPr>
                <w:rFonts w:eastAsia="MS Mincho"/>
                <w:lang w:val="es-ES_tradnl" w:eastAsia="ja-JP"/>
              </w:rPr>
            </w:pPr>
            <w:r w:rsidRPr="005F2432">
              <w:rPr>
                <w:rFonts w:eastAsia="MS Mincho"/>
                <w:lang w:val="es-ES_tradnl" w:eastAsia="ja-JP"/>
              </w:rPr>
              <w:t>Ancho de banda necesario (kHz)</w:t>
            </w:r>
          </w:p>
        </w:tc>
        <w:tc>
          <w:tcPr>
            <w:tcW w:w="3021" w:type="dxa"/>
          </w:tcPr>
          <w:p w:rsidR="00F25C84" w:rsidRPr="005F2432" w:rsidRDefault="00F25C84" w:rsidP="00FA7435">
            <w:pPr>
              <w:pStyle w:val="Tabletext"/>
              <w:jc w:val="center"/>
              <w:rPr>
                <w:lang w:val="es-ES_tradnl" w:eastAsia="ja-JP"/>
              </w:rPr>
            </w:pPr>
            <w:r w:rsidRPr="005F2432">
              <w:rPr>
                <w:rFonts w:eastAsia="MS Mincho"/>
                <w:lang w:val="es-ES_tradnl" w:eastAsia="ja-JP"/>
              </w:rPr>
              <w:t>400</w:t>
            </w:r>
          </w:p>
        </w:tc>
      </w:tr>
      <w:tr w:rsidR="00F25C84" w:rsidRPr="005F2432" w:rsidTr="00195BC8">
        <w:trPr>
          <w:jc w:val="center"/>
        </w:trPr>
        <w:tc>
          <w:tcPr>
            <w:tcW w:w="4350" w:type="dxa"/>
          </w:tcPr>
          <w:p w:rsidR="00F25C84" w:rsidRPr="005F2432" w:rsidRDefault="00F25C84" w:rsidP="00FA7435">
            <w:pPr>
              <w:pStyle w:val="Tabletext"/>
              <w:jc w:val="left"/>
              <w:rPr>
                <w:rFonts w:eastAsia="MS Mincho"/>
                <w:lang w:val="es-ES_tradnl" w:eastAsia="ja-JP"/>
              </w:rPr>
            </w:pPr>
            <w:r w:rsidRPr="005F2432">
              <w:rPr>
                <w:rFonts w:eastAsia="MS Mincho"/>
                <w:lang w:val="es-ES_tradnl" w:eastAsia="ja-JP"/>
              </w:rPr>
              <w:t>Temperatura de ruido (K)</w:t>
            </w:r>
          </w:p>
        </w:tc>
        <w:tc>
          <w:tcPr>
            <w:tcW w:w="3021" w:type="dxa"/>
          </w:tcPr>
          <w:p w:rsidR="00F25C84" w:rsidRPr="005F2432" w:rsidRDefault="00F25C84" w:rsidP="00FA7435">
            <w:pPr>
              <w:pStyle w:val="Tabletext"/>
              <w:jc w:val="center"/>
              <w:rPr>
                <w:rFonts w:eastAsia="MS Mincho"/>
                <w:lang w:val="es-ES_tradnl" w:eastAsia="ja-JP"/>
              </w:rPr>
            </w:pPr>
            <w:r w:rsidRPr="005F2432">
              <w:rPr>
                <w:rFonts w:eastAsia="MS Mincho"/>
                <w:lang w:val="es-ES_tradnl" w:eastAsia="ja-JP"/>
              </w:rPr>
              <w:t>150</w:t>
            </w:r>
          </w:p>
        </w:tc>
      </w:tr>
      <w:tr w:rsidR="00F25C84" w:rsidRPr="00F25C84" w:rsidTr="00195BC8">
        <w:trPr>
          <w:jc w:val="center"/>
        </w:trPr>
        <w:tc>
          <w:tcPr>
            <w:tcW w:w="7371" w:type="dxa"/>
            <w:gridSpan w:val="2"/>
            <w:tcBorders>
              <w:left w:val="nil"/>
              <w:bottom w:val="nil"/>
              <w:right w:val="nil"/>
            </w:tcBorders>
          </w:tcPr>
          <w:p w:rsidR="00F25C84" w:rsidRPr="005F2432" w:rsidRDefault="00F25C84" w:rsidP="00FA7435">
            <w:pPr>
              <w:pStyle w:val="Tablelegend"/>
              <w:ind w:left="-85" w:firstLine="0"/>
              <w:rPr>
                <w:lang w:val="es-ES_tradnl"/>
              </w:rPr>
            </w:pPr>
            <w:r w:rsidRPr="005F2432">
              <w:rPr>
                <w:lang w:val="es-ES_tradnl"/>
              </w:rPr>
              <w:t>NOTA</w:t>
            </w:r>
            <w:r>
              <w:rPr>
                <w:lang w:val="es-ES_tradnl"/>
              </w:rPr>
              <w:t> </w:t>
            </w:r>
            <w:r w:rsidRPr="005F2432">
              <w:rPr>
                <w:lang w:val="es-ES_tradnl"/>
              </w:rPr>
              <w:t>1</w:t>
            </w:r>
            <w:r>
              <w:rPr>
                <w:lang w:val="es-ES_tradnl"/>
              </w:rPr>
              <w:t> </w:t>
            </w:r>
            <w:r w:rsidRPr="005F2432">
              <w:rPr>
                <w:lang w:val="es-ES_tradnl"/>
              </w:rPr>
              <w:t>–</w:t>
            </w:r>
            <w:r>
              <w:rPr>
                <w:lang w:val="es-ES_tradnl"/>
              </w:rPr>
              <w:t> </w:t>
            </w:r>
            <w:r w:rsidRPr="005F2432">
              <w:rPr>
                <w:lang w:val="es-ES_tradnl"/>
              </w:rPr>
              <w:t>Los Cuadros 3-1 y 3-</w:t>
            </w:r>
            <w:r>
              <w:rPr>
                <w:lang w:val="es-ES_tradnl"/>
              </w:rPr>
              <w:t>3</w:t>
            </w:r>
            <w:r w:rsidRPr="005F2432">
              <w:rPr>
                <w:rFonts w:eastAsia="MS Mincho"/>
                <w:lang w:val="es-ES_tradnl"/>
              </w:rPr>
              <w:t xml:space="preserve"> sólo contienen las características del enlace de telemetría</w:t>
            </w:r>
            <w:r w:rsidRPr="005F2432">
              <w:rPr>
                <w:lang w:val="es-ES_tradnl"/>
              </w:rPr>
              <w:t xml:space="preserve"> QZSS. En lo que respecta a las características y criterios de protección del enlace de determinación de distancia QZSS, véase el párrafo que precede al Cuadro 3-1.</w:t>
            </w:r>
          </w:p>
          <w:p w:rsidR="00F25C84" w:rsidRPr="005F2432" w:rsidRDefault="00F25C84" w:rsidP="00FA7435">
            <w:pPr>
              <w:pStyle w:val="Tablelegend"/>
              <w:ind w:left="-85" w:firstLine="0"/>
              <w:rPr>
                <w:lang w:val="es-ES_tradnl"/>
              </w:rPr>
            </w:pPr>
            <w:r w:rsidRPr="005F2432">
              <w:rPr>
                <w:lang w:val="es-ES_tradnl" w:eastAsia="ja-JP"/>
              </w:rPr>
              <w:t>NOTA</w:t>
            </w:r>
            <w:r>
              <w:rPr>
                <w:lang w:val="es-ES_tradnl" w:eastAsia="ja-JP"/>
              </w:rPr>
              <w:t> </w:t>
            </w:r>
            <w:r w:rsidRPr="005F2432">
              <w:rPr>
                <w:lang w:val="es-ES_tradnl" w:eastAsia="ja-JP"/>
              </w:rPr>
              <w:t>2</w:t>
            </w:r>
            <w:r>
              <w:rPr>
                <w:lang w:val="es-ES_tradnl" w:eastAsia="ja-JP"/>
              </w:rPr>
              <w:t> </w:t>
            </w:r>
            <w:r w:rsidRPr="005F2432">
              <w:rPr>
                <w:lang w:val="es-ES_tradnl" w:eastAsia="ja-JP"/>
              </w:rPr>
              <w:t>–</w:t>
            </w:r>
            <w:r>
              <w:rPr>
                <w:lang w:val="es-ES_tradnl" w:eastAsia="ja-JP"/>
              </w:rPr>
              <w:t> </w:t>
            </w:r>
            <w:r w:rsidRPr="005F2432">
              <w:rPr>
                <w:lang w:val="es-ES_tradnl" w:eastAsia="ja-JP"/>
              </w:rPr>
              <w:t>Se pueden utilizar las características del Cuadro 3-1 para realizar los estudios preliminares indicados en el párrafo posterior al Cuadro 3-</w:t>
            </w:r>
            <w:r>
              <w:rPr>
                <w:lang w:val="es-ES_tradnl" w:eastAsia="ja-JP"/>
              </w:rPr>
              <w:t>2</w:t>
            </w:r>
            <w:r w:rsidRPr="005F2432">
              <w:rPr>
                <w:lang w:val="es-ES_tradnl" w:eastAsia="ja-JP"/>
              </w:rPr>
              <w:t>.</w:t>
            </w:r>
          </w:p>
        </w:tc>
      </w:tr>
    </w:tbl>
    <w:p w:rsidR="00195BC8" w:rsidRDefault="00195BC8" w:rsidP="00195BC8">
      <w:pPr>
        <w:pStyle w:val="Tablefin"/>
        <w:rPr>
          <w:rFonts w:eastAsia="MS Mincho"/>
        </w:rPr>
      </w:pPr>
    </w:p>
    <w:p w:rsidR="00F25C84" w:rsidRPr="005F2432" w:rsidRDefault="00F25C84" w:rsidP="00F25C84">
      <w:pPr>
        <w:pStyle w:val="TableNo"/>
        <w:rPr>
          <w:rFonts w:eastAsia="MS Mincho"/>
          <w:lang w:val="es-ES_tradnl"/>
        </w:rPr>
      </w:pPr>
      <w:r w:rsidRPr="005F2432">
        <w:rPr>
          <w:rFonts w:eastAsia="MS Mincho"/>
          <w:lang w:val="es-ES_tradnl"/>
        </w:rPr>
        <w:t xml:space="preserve">CUADRO </w:t>
      </w:r>
      <w:r w:rsidRPr="005F2432">
        <w:rPr>
          <w:rFonts w:eastAsia="MS Mincho"/>
          <w:lang w:val="es-ES_tradnl" w:eastAsia="ja-JP"/>
        </w:rPr>
        <w:t>3</w:t>
      </w:r>
      <w:r>
        <w:rPr>
          <w:rFonts w:eastAsia="MS Mincho"/>
          <w:lang w:val="es-ES_tradnl"/>
        </w:rPr>
        <w:t>-2</w:t>
      </w:r>
    </w:p>
    <w:p w:rsidR="00F25C84" w:rsidRPr="005F2432" w:rsidRDefault="00F25C84" w:rsidP="00F25C84">
      <w:pPr>
        <w:pStyle w:val="Tabletitle"/>
        <w:rPr>
          <w:rFonts w:eastAsia="MS Mincho"/>
          <w:lang w:val="es-ES_tradnl" w:eastAsia="ja-JP"/>
        </w:rPr>
      </w:pPr>
      <w:r w:rsidRPr="005F2432">
        <w:rPr>
          <w:rFonts w:eastAsia="MS Mincho"/>
          <w:lang w:val="es-ES_tradnl"/>
        </w:rPr>
        <w:t xml:space="preserve">Características de las estaciones terrenas receptoras </w:t>
      </w:r>
      <w:r>
        <w:rPr>
          <w:rFonts w:eastAsia="MS Mincho"/>
          <w:lang w:val="es-ES_tradnl"/>
        </w:rPr>
        <w:br/>
      </w:r>
      <w:r w:rsidRPr="005F2432">
        <w:rPr>
          <w:rFonts w:eastAsia="MS Mincho"/>
          <w:lang w:val="es-ES_tradnl"/>
        </w:rPr>
        <w:t xml:space="preserve">de enlace de conexión </w:t>
      </w:r>
      <w:r w:rsidRPr="005F2432">
        <w:rPr>
          <w:rFonts w:eastAsia="MS Mincho"/>
          <w:lang w:val="es-ES_tradnl" w:eastAsia="ja-JP"/>
        </w:rPr>
        <w:t>QZS</w:t>
      </w:r>
      <w:r w:rsidRPr="005F2432">
        <w:rPr>
          <w:rFonts w:eastAsia="MS Mincho"/>
          <w:lang w:val="es-ES_tradnl"/>
        </w:rPr>
        <w:t>S</w:t>
      </w:r>
      <w:r>
        <w:rPr>
          <w:rFonts w:eastAsia="MS Mincho"/>
          <w:lang w:val="es-ES_tradnl"/>
        </w:rPr>
        <w:t xml:space="preserve"> </w:t>
      </w:r>
      <w:r w:rsidRPr="005402FB">
        <w:rPr>
          <w:rFonts w:hint="eastAsia"/>
          <w:lang w:val="es-ES_tradnl" w:eastAsia="ja-JP"/>
        </w:rPr>
        <w:t>(</w:t>
      </w:r>
      <w:r>
        <w:rPr>
          <w:lang w:val="es-ES_tradnl" w:eastAsia="ja-JP"/>
        </w:rPr>
        <w:t>para</w:t>
      </w:r>
      <w:r w:rsidRPr="005402FB">
        <w:rPr>
          <w:rFonts w:hint="eastAsia"/>
          <w:lang w:val="es-ES_tradnl" w:eastAsia="ja-JP"/>
        </w:rPr>
        <w:t xml:space="preserve"> </w:t>
      </w:r>
      <w:r>
        <w:rPr>
          <w:lang w:val="es-ES_tradnl" w:eastAsia="ja-JP"/>
        </w:rPr>
        <w:t>los siguientes</w:t>
      </w:r>
      <w:r w:rsidRPr="005402FB">
        <w:rPr>
          <w:lang w:val="es-ES_tradnl" w:eastAsia="ja-JP"/>
        </w:rPr>
        <w:t xml:space="preserve"> satélite</w:t>
      </w:r>
      <w:r>
        <w:rPr>
          <w:lang w:val="es-ES_tradnl" w:eastAsia="ja-JP"/>
        </w:rPr>
        <w:t>s</w:t>
      </w:r>
      <w:r w:rsidRPr="005402FB">
        <w:rPr>
          <w:rFonts w:hint="eastAsia"/>
          <w:lang w:val="es-ES_tradnl" w:eastAsia="ja-JP"/>
        </w:rPr>
        <w:t>)</w:t>
      </w:r>
      <w:r w:rsidRPr="005F2432">
        <w:rPr>
          <w:rFonts w:eastAsia="MS Mincho"/>
          <w:lang w:val="es-ES_tradnl"/>
        </w:rPr>
        <w:t xml:space="preserve"> que funcionan</w:t>
      </w:r>
      <w:r>
        <w:rPr>
          <w:rFonts w:eastAsia="MS Mincho"/>
          <w:lang w:val="es-ES_tradnl"/>
        </w:rPr>
        <w:br/>
      </w:r>
      <w:r w:rsidRPr="005F2432">
        <w:rPr>
          <w:rFonts w:eastAsia="MS Mincho"/>
          <w:lang w:val="es-ES_tradnl"/>
        </w:rPr>
        <w:t>en la banda</w:t>
      </w:r>
      <w:r w:rsidRPr="005F2432">
        <w:rPr>
          <w:rFonts w:eastAsia="MS Mincho"/>
          <w:lang w:val="es-ES_tradnl" w:eastAsia="ja-JP"/>
        </w:rPr>
        <w:t xml:space="preserve"> </w:t>
      </w:r>
      <w:r w:rsidRPr="005F2432">
        <w:rPr>
          <w:rFonts w:eastAsia="MS Mincho"/>
          <w:lang w:val="es-ES_tradnl"/>
        </w:rPr>
        <w:t>5 010-5 030 MHz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3021"/>
      </w:tblGrid>
      <w:tr w:rsidR="00F25C84" w:rsidRPr="005F2432" w:rsidTr="00195BC8">
        <w:trPr>
          <w:jc w:val="center"/>
        </w:trPr>
        <w:tc>
          <w:tcPr>
            <w:tcW w:w="4082" w:type="dxa"/>
            <w:vAlign w:val="center"/>
          </w:tcPr>
          <w:p w:rsidR="00F25C84" w:rsidRPr="005F2432" w:rsidRDefault="00F25C84" w:rsidP="00FA7435">
            <w:pPr>
              <w:pStyle w:val="Tablehead"/>
              <w:rPr>
                <w:rFonts w:eastAsia="MS Mincho"/>
                <w:lang w:val="es-ES_tradnl"/>
              </w:rPr>
            </w:pPr>
            <w:r w:rsidRPr="005F2432">
              <w:rPr>
                <w:rFonts w:eastAsia="MS Mincho"/>
                <w:lang w:val="es-ES_tradnl"/>
              </w:rPr>
              <w:t>Parámetro</w:t>
            </w:r>
          </w:p>
        </w:tc>
        <w:tc>
          <w:tcPr>
            <w:tcW w:w="2835" w:type="dxa"/>
            <w:vAlign w:val="center"/>
          </w:tcPr>
          <w:p w:rsidR="00F25C84" w:rsidRPr="005F2432" w:rsidRDefault="00F25C84" w:rsidP="00FA7435">
            <w:pPr>
              <w:pStyle w:val="Tablehead"/>
              <w:rPr>
                <w:rFonts w:eastAsia="MS Mincho"/>
                <w:lang w:val="es-ES_tradnl"/>
              </w:rPr>
            </w:pPr>
            <w:r w:rsidRPr="005F2432">
              <w:rPr>
                <w:rFonts w:eastAsia="MS Mincho"/>
                <w:lang w:val="es-ES_tradnl"/>
              </w:rPr>
              <w:t>Valor del parámetro</w:t>
            </w:r>
          </w:p>
        </w:tc>
      </w:tr>
      <w:tr w:rsidR="00F25C84" w:rsidRPr="005F2432" w:rsidTr="00195BC8">
        <w:trPr>
          <w:jc w:val="center"/>
        </w:trPr>
        <w:tc>
          <w:tcPr>
            <w:tcW w:w="4082" w:type="dxa"/>
          </w:tcPr>
          <w:p w:rsidR="00F25C84" w:rsidRPr="005F2432" w:rsidRDefault="00F25C84" w:rsidP="00FA7435">
            <w:pPr>
              <w:pStyle w:val="Tabletext"/>
              <w:jc w:val="left"/>
              <w:rPr>
                <w:rFonts w:eastAsia="MS Mincho"/>
                <w:lang w:val="es-ES_tradnl"/>
              </w:rPr>
            </w:pPr>
            <w:r w:rsidRPr="005F2432">
              <w:rPr>
                <w:rFonts w:eastAsia="MS Mincho"/>
                <w:lang w:val="es-ES_tradnl"/>
              </w:rPr>
              <w:t>Diagrama de antena</w:t>
            </w:r>
          </w:p>
        </w:tc>
        <w:tc>
          <w:tcPr>
            <w:tcW w:w="2835" w:type="dxa"/>
          </w:tcPr>
          <w:p w:rsidR="00F25C84" w:rsidRPr="005F2432" w:rsidRDefault="00F25C84" w:rsidP="00FA7435">
            <w:pPr>
              <w:pStyle w:val="Tabletext"/>
              <w:jc w:val="center"/>
              <w:rPr>
                <w:rFonts w:eastAsia="MS Mincho"/>
                <w:lang w:val="es-ES_tradnl" w:eastAsia="ja-JP"/>
              </w:rPr>
            </w:pPr>
            <w:r w:rsidRPr="005A2244">
              <w:t xml:space="preserve">Rec. </w:t>
            </w:r>
            <w:r>
              <w:t>UIT</w:t>
            </w:r>
            <w:r w:rsidRPr="005A2244">
              <w:t>-R S.465-5</w:t>
            </w:r>
          </w:p>
        </w:tc>
      </w:tr>
      <w:tr w:rsidR="00F25C84" w:rsidRPr="005F2432" w:rsidTr="00195BC8">
        <w:trPr>
          <w:jc w:val="center"/>
        </w:trPr>
        <w:tc>
          <w:tcPr>
            <w:tcW w:w="4082" w:type="dxa"/>
          </w:tcPr>
          <w:p w:rsidR="00F25C84" w:rsidRPr="005F2432" w:rsidRDefault="00F25C84" w:rsidP="00FA7435">
            <w:pPr>
              <w:pStyle w:val="Tabletext"/>
              <w:jc w:val="left"/>
              <w:rPr>
                <w:rFonts w:eastAsia="MS Mincho"/>
                <w:lang w:val="es-ES_tradnl"/>
              </w:rPr>
            </w:pPr>
            <w:r w:rsidRPr="005F2432">
              <w:rPr>
                <w:rFonts w:eastAsia="MS Mincho"/>
                <w:lang w:val="es-ES_tradnl" w:eastAsia="ja-JP"/>
              </w:rPr>
              <w:t>Ganancia máxima de antena</w:t>
            </w:r>
            <w:r w:rsidRPr="005F2432">
              <w:rPr>
                <w:rFonts w:eastAsia="MS Mincho"/>
                <w:lang w:val="es-ES_tradnl"/>
              </w:rPr>
              <w:t xml:space="preserve"> (</w:t>
            </w:r>
            <w:proofErr w:type="spellStart"/>
            <w:r w:rsidRPr="005F2432">
              <w:rPr>
                <w:rFonts w:eastAsia="MS Mincho"/>
                <w:lang w:val="es-ES_tradnl"/>
              </w:rPr>
              <w:t>dBi</w:t>
            </w:r>
            <w:proofErr w:type="spellEnd"/>
            <w:r w:rsidRPr="005F2432">
              <w:rPr>
                <w:rFonts w:eastAsia="MS Mincho"/>
                <w:lang w:val="es-ES_tradnl"/>
              </w:rPr>
              <w:t>)</w:t>
            </w:r>
          </w:p>
        </w:tc>
        <w:tc>
          <w:tcPr>
            <w:tcW w:w="2835" w:type="dxa"/>
          </w:tcPr>
          <w:p w:rsidR="00F25C84" w:rsidRPr="005F2432" w:rsidRDefault="00F25C84" w:rsidP="00FA7435">
            <w:pPr>
              <w:pStyle w:val="Tabletext"/>
              <w:jc w:val="center"/>
              <w:rPr>
                <w:lang w:val="es-ES_tradnl" w:eastAsia="ja-JP"/>
              </w:rPr>
            </w:pPr>
            <w:r>
              <w:t>51,</w:t>
            </w:r>
            <w:r w:rsidRPr="005A2244">
              <w:t>0</w:t>
            </w:r>
          </w:p>
        </w:tc>
      </w:tr>
      <w:tr w:rsidR="00F25C84" w:rsidRPr="005F2432" w:rsidTr="00195BC8">
        <w:trPr>
          <w:jc w:val="center"/>
        </w:trPr>
        <w:tc>
          <w:tcPr>
            <w:tcW w:w="4082" w:type="dxa"/>
          </w:tcPr>
          <w:p w:rsidR="00F25C84" w:rsidRPr="005F2432" w:rsidRDefault="00F25C84" w:rsidP="00FA7435">
            <w:pPr>
              <w:pStyle w:val="Tabletext"/>
              <w:jc w:val="left"/>
              <w:rPr>
                <w:rFonts w:eastAsia="MS Mincho"/>
                <w:lang w:val="es-ES_tradnl" w:eastAsia="ja-JP"/>
              </w:rPr>
            </w:pPr>
            <w:r w:rsidRPr="005F2432">
              <w:rPr>
                <w:rFonts w:eastAsia="MS Mincho"/>
                <w:lang w:val="es-ES_tradnl" w:eastAsia="ja-JP"/>
              </w:rPr>
              <w:t>Ancho de banda necesario (kHz)</w:t>
            </w:r>
          </w:p>
        </w:tc>
        <w:tc>
          <w:tcPr>
            <w:tcW w:w="2835" w:type="dxa"/>
          </w:tcPr>
          <w:p w:rsidR="00F25C84" w:rsidRPr="005F2432" w:rsidRDefault="00F25C84" w:rsidP="00FA7435">
            <w:pPr>
              <w:pStyle w:val="Tabletext"/>
              <w:jc w:val="center"/>
              <w:rPr>
                <w:lang w:val="es-ES_tradnl" w:eastAsia="ja-JP"/>
              </w:rPr>
            </w:pPr>
            <w:r w:rsidRPr="005A2244">
              <w:t>10 000</w:t>
            </w:r>
          </w:p>
        </w:tc>
      </w:tr>
      <w:tr w:rsidR="00F25C84" w:rsidRPr="005F2432" w:rsidTr="00195BC8">
        <w:trPr>
          <w:jc w:val="center"/>
        </w:trPr>
        <w:tc>
          <w:tcPr>
            <w:tcW w:w="4082" w:type="dxa"/>
          </w:tcPr>
          <w:p w:rsidR="00F25C84" w:rsidRPr="005F2432" w:rsidRDefault="00F25C84" w:rsidP="00FA7435">
            <w:pPr>
              <w:pStyle w:val="Tabletext"/>
              <w:jc w:val="left"/>
              <w:rPr>
                <w:rFonts w:eastAsia="MS Mincho"/>
                <w:lang w:val="es-ES_tradnl" w:eastAsia="ja-JP"/>
              </w:rPr>
            </w:pPr>
            <w:r w:rsidRPr="005F2432">
              <w:rPr>
                <w:rFonts w:eastAsia="MS Mincho"/>
                <w:lang w:val="es-ES_tradnl" w:eastAsia="ja-JP"/>
              </w:rPr>
              <w:t>Temperatura de ruido (K)</w:t>
            </w:r>
          </w:p>
        </w:tc>
        <w:tc>
          <w:tcPr>
            <w:tcW w:w="2835" w:type="dxa"/>
          </w:tcPr>
          <w:p w:rsidR="00F25C84" w:rsidRPr="005F2432" w:rsidRDefault="00F25C84" w:rsidP="00FA7435">
            <w:pPr>
              <w:pStyle w:val="Tabletext"/>
              <w:jc w:val="center"/>
              <w:rPr>
                <w:rFonts w:eastAsia="MS Mincho"/>
                <w:lang w:val="es-ES_tradnl" w:eastAsia="ja-JP"/>
              </w:rPr>
            </w:pPr>
            <w:r w:rsidRPr="005A2244">
              <w:t>150</w:t>
            </w:r>
          </w:p>
        </w:tc>
      </w:tr>
      <w:tr w:rsidR="00F25C84" w:rsidRPr="00F25C84" w:rsidTr="00195BC8">
        <w:trPr>
          <w:jc w:val="center"/>
        </w:trPr>
        <w:tc>
          <w:tcPr>
            <w:tcW w:w="6917" w:type="dxa"/>
            <w:gridSpan w:val="2"/>
            <w:tcBorders>
              <w:left w:val="nil"/>
              <w:bottom w:val="nil"/>
              <w:right w:val="nil"/>
            </w:tcBorders>
          </w:tcPr>
          <w:p w:rsidR="00F25C84" w:rsidRPr="005F2432" w:rsidRDefault="00F25C84" w:rsidP="00FA7435">
            <w:pPr>
              <w:pStyle w:val="Tablelegend"/>
              <w:ind w:left="-85" w:firstLine="0"/>
              <w:rPr>
                <w:lang w:val="es-ES_tradnl"/>
              </w:rPr>
            </w:pPr>
            <w:r w:rsidRPr="005F2432">
              <w:rPr>
                <w:lang w:val="es-ES_tradnl"/>
              </w:rPr>
              <w:t>NOTA</w:t>
            </w:r>
            <w:r>
              <w:rPr>
                <w:lang w:val="es-ES_tradnl"/>
              </w:rPr>
              <w:t> </w:t>
            </w:r>
            <w:r w:rsidRPr="005F2432">
              <w:rPr>
                <w:lang w:val="es-ES_tradnl"/>
              </w:rPr>
              <w:t>1</w:t>
            </w:r>
            <w:r>
              <w:rPr>
                <w:lang w:val="es-ES_tradnl"/>
              </w:rPr>
              <w:t> </w:t>
            </w:r>
            <w:r w:rsidRPr="005F2432">
              <w:rPr>
                <w:lang w:val="es-ES_tradnl"/>
              </w:rPr>
              <w:t>–</w:t>
            </w:r>
            <w:r>
              <w:rPr>
                <w:lang w:val="es-ES_tradnl"/>
              </w:rPr>
              <w:t> </w:t>
            </w:r>
            <w:r w:rsidRPr="005F2432">
              <w:rPr>
                <w:lang w:val="es-ES_tradnl"/>
              </w:rPr>
              <w:t>Los Cuadros 3-</w:t>
            </w:r>
            <w:r>
              <w:rPr>
                <w:lang w:val="es-ES_tradnl"/>
              </w:rPr>
              <w:t>2</w:t>
            </w:r>
            <w:r w:rsidRPr="005F2432">
              <w:rPr>
                <w:lang w:val="es-ES_tradnl"/>
              </w:rPr>
              <w:t xml:space="preserve"> y 3-</w:t>
            </w:r>
            <w:r>
              <w:rPr>
                <w:lang w:val="es-ES_tradnl"/>
              </w:rPr>
              <w:t>4</w:t>
            </w:r>
            <w:r w:rsidRPr="005F2432">
              <w:rPr>
                <w:rFonts w:eastAsia="MS Mincho"/>
                <w:lang w:val="es-ES_tradnl"/>
              </w:rPr>
              <w:t xml:space="preserve"> sólo contienen las características del enlace de telemetría</w:t>
            </w:r>
            <w:r w:rsidRPr="005F2432">
              <w:rPr>
                <w:lang w:val="es-ES_tradnl"/>
              </w:rPr>
              <w:t xml:space="preserve"> QZSS. En lo que respecta a las características y criterios de protección del enlace de determinación de distancia QZSS, véase el párrafo que precede al Cuadro 3-1.</w:t>
            </w:r>
          </w:p>
          <w:p w:rsidR="00F25C84" w:rsidRPr="005F2432" w:rsidRDefault="00F25C84" w:rsidP="00FA7435">
            <w:pPr>
              <w:pStyle w:val="Tablelegend"/>
              <w:ind w:left="-85" w:firstLine="0"/>
              <w:rPr>
                <w:lang w:val="es-ES_tradnl"/>
              </w:rPr>
            </w:pPr>
            <w:r w:rsidRPr="005F2432">
              <w:rPr>
                <w:lang w:val="es-ES_tradnl" w:eastAsia="ja-JP"/>
              </w:rPr>
              <w:t>NOTA</w:t>
            </w:r>
            <w:r>
              <w:rPr>
                <w:lang w:val="es-ES_tradnl" w:eastAsia="ja-JP"/>
              </w:rPr>
              <w:t> </w:t>
            </w:r>
            <w:r w:rsidRPr="005F2432">
              <w:rPr>
                <w:lang w:val="es-ES_tradnl" w:eastAsia="ja-JP"/>
              </w:rPr>
              <w:t>2</w:t>
            </w:r>
            <w:r>
              <w:rPr>
                <w:lang w:val="es-ES_tradnl" w:eastAsia="ja-JP"/>
              </w:rPr>
              <w:t> </w:t>
            </w:r>
            <w:r w:rsidRPr="005F2432">
              <w:rPr>
                <w:lang w:val="es-ES_tradnl" w:eastAsia="ja-JP"/>
              </w:rPr>
              <w:t>–</w:t>
            </w:r>
            <w:r>
              <w:rPr>
                <w:lang w:val="es-ES_tradnl" w:eastAsia="ja-JP"/>
              </w:rPr>
              <w:t> </w:t>
            </w:r>
            <w:r w:rsidRPr="005F2432">
              <w:rPr>
                <w:lang w:val="es-ES_tradnl" w:eastAsia="ja-JP"/>
              </w:rPr>
              <w:t>Se pueden utilizar la</w:t>
            </w:r>
            <w:r>
              <w:rPr>
                <w:lang w:val="es-ES_tradnl" w:eastAsia="ja-JP"/>
              </w:rPr>
              <w:t>s características del Cuadro 3-2</w:t>
            </w:r>
            <w:r w:rsidRPr="005F2432">
              <w:rPr>
                <w:lang w:val="es-ES_tradnl" w:eastAsia="ja-JP"/>
              </w:rPr>
              <w:t xml:space="preserve"> para realizar los estudios preliminares indicados en el párrafo posterior al Cuadro 3-</w:t>
            </w:r>
            <w:r>
              <w:rPr>
                <w:lang w:val="es-ES_tradnl" w:eastAsia="ja-JP"/>
              </w:rPr>
              <w:t>2</w:t>
            </w:r>
            <w:r w:rsidRPr="005F2432">
              <w:rPr>
                <w:lang w:val="es-ES_tradnl" w:eastAsia="ja-JP"/>
              </w:rPr>
              <w:t>.</w:t>
            </w:r>
          </w:p>
        </w:tc>
      </w:tr>
    </w:tbl>
    <w:p w:rsidR="00F25C84" w:rsidRPr="005F2432" w:rsidRDefault="00F25C84" w:rsidP="00195BC8">
      <w:pPr>
        <w:pStyle w:val="Tablefin"/>
        <w:rPr>
          <w:rFonts w:eastAsia="MS Mincho"/>
        </w:rPr>
      </w:pPr>
    </w:p>
    <w:p w:rsidR="00F25C84" w:rsidRPr="005F2432" w:rsidRDefault="00F25C84" w:rsidP="00195BC8">
      <w:pPr>
        <w:keepNext/>
        <w:keepLines/>
        <w:spacing w:before="240"/>
        <w:rPr>
          <w:color w:val="0D0D0D" w:themeColor="text1" w:themeTint="F2"/>
          <w:lang w:val="es-ES_tradnl"/>
        </w:rPr>
      </w:pPr>
      <w:r w:rsidRPr="005F2432">
        <w:rPr>
          <w:color w:val="0D0D0D" w:themeColor="text1" w:themeTint="F2"/>
          <w:lang w:val="es-ES_tradnl"/>
        </w:rPr>
        <w:lastRenderedPageBreak/>
        <w:t>En países donde hay estaciones terrenas de enlace descendente de conexión del SRNS, probablemente las administraciones que también deseen implantar sistemas terrenales en estas bandas tendrán que tomar medidas a nivel nacional. Si una administración quiere garantizar la protección de la estación terrena de enlace descendente de conexión receptora del SRNS situada en su territorio contra las estaciones terrenas transmisoras situadas en países vecinos, las estaciones terrenas concretas situadas en el borde del territorio se habrán de registrar ante la UIT siguiendo el procedimiento de coordinación y notificación de los Artículos</w:t>
      </w:r>
      <w:r>
        <w:rPr>
          <w:color w:val="0D0D0D" w:themeColor="text1" w:themeTint="F2"/>
          <w:lang w:val="es-ES_tradnl"/>
        </w:rPr>
        <w:t> </w:t>
      </w:r>
      <w:r w:rsidRPr="007A48DC">
        <w:rPr>
          <w:b/>
          <w:bCs/>
          <w:color w:val="0D0D0D" w:themeColor="text1" w:themeTint="F2"/>
          <w:lang w:val="es-ES_tradnl"/>
        </w:rPr>
        <w:t>9</w:t>
      </w:r>
      <w:r w:rsidRPr="005F2432">
        <w:rPr>
          <w:color w:val="0D0D0D" w:themeColor="text1" w:themeTint="F2"/>
          <w:lang w:val="es-ES_tradnl"/>
        </w:rPr>
        <w:t xml:space="preserve"> y </w:t>
      </w:r>
      <w:r w:rsidRPr="007A48DC">
        <w:rPr>
          <w:b/>
          <w:bCs/>
          <w:color w:val="0D0D0D" w:themeColor="text1" w:themeTint="F2"/>
          <w:lang w:val="es-ES_tradnl"/>
        </w:rPr>
        <w:t>11</w:t>
      </w:r>
      <w:r w:rsidRPr="005F2432">
        <w:rPr>
          <w:color w:val="0D0D0D" w:themeColor="text1" w:themeTint="F2"/>
          <w:lang w:val="es-ES_tradnl"/>
        </w:rPr>
        <w:t xml:space="preserve"> del RR. Si los estudios preliminares demuestran que la interferencia combinada en el ancho de banda de recepción del enlace de conexión, procedente de todas las fuentes radioeléctricas de servicios primarios en esa banda distintos del SRNS, supera el 6% de la temperatura de ruido del sistema receptor del enlace de conexión del SRNS, en relación con los terminales de salida de la antena receptora, se habrán de realizar más estudios para determinar la posibilidad de compatibilidad entre sistemas</w:t>
      </w:r>
      <w:r>
        <w:rPr>
          <w:color w:val="0D0D0D" w:themeColor="text1" w:themeTint="F2"/>
          <w:lang w:val="es-ES_tradnl"/>
        </w:rPr>
        <w:t>.</w:t>
      </w:r>
    </w:p>
    <w:p w:rsidR="00F25C84" w:rsidRPr="005F2432" w:rsidRDefault="00F25C84" w:rsidP="00F25C84">
      <w:pPr>
        <w:pStyle w:val="TableNo"/>
        <w:rPr>
          <w:rFonts w:eastAsia="MS Mincho"/>
          <w:lang w:val="es-ES_tradnl"/>
        </w:rPr>
      </w:pPr>
      <w:r w:rsidRPr="005F2432">
        <w:rPr>
          <w:rFonts w:eastAsia="MS Mincho"/>
          <w:lang w:val="es-ES_tradnl"/>
        </w:rPr>
        <w:t>CUADRO 3-</w:t>
      </w:r>
      <w:r>
        <w:rPr>
          <w:rFonts w:eastAsia="MS Mincho"/>
          <w:lang w:val="es-ES_tradnl"/>
        </w:rPr>
        <w:t>3</w:t>
      </w:r>
    </w:p>
    <w:p w:rsidR="00F25C84" w:rsidRPr="005F2432" w:rsidRDefault="00F25C84" w:rsidP="00F25C84">
      <w:pPr>
        <w:pStyle w:val="Tabletitle"/>
        <w:rPr>
          <w:rFonts w:eastAsia="MS Mincho"/>
          <w:lang w:val="es-ES_tradnl"/>
        </w:rPr>
      </w:pPr>
      <w:r w:rsidRPr="005F2432">
        <w:rPr>
          <w:rFonts w:eastAsia="MS Mincho"/>
          <w:lang w:val="es-ES_tradnl"/>
        </w:rPr>
        <w:t>Características de las estaciones espaciales transmisoras</w:t>
      </w:r>
      <w:r>
        <w:rPr>
          <w:rFonts w:eastAsia="MS Mincho"/>
          <w:lang w:val="es-ES_tradnl"/>
        </w:rPr>
        <w:br/>
      </w:r>
      <w:r w:rsidRPr="005F2432">
        <w:rPr>
          <w:rFonts w:eastAsia="MS Mincho"/>
          <w:lang w:val="es-ES_tradnl"/>
        </w:rPr>
        <w:t>de enlace de conexión QZSS</w:t>
      </w:r>
      <w:r>
        <w:rPr>
          <w:rFonts w:eastAsia="MS Mincho"/>
          <w:lang w:val="es-ES_tradnl"/>
        </w:rPr>
        <w:t xml:space="preserve"> </w:t>
      </w:r>
      <w:r w:rsidRPr="005402FB">
        <w:rPr>
          <w:rFonts w:hint="eastAsia"/>
          <w:lang w:val="es-ES_tradnl" w:eastAsia="ja-JP"/>
        </w:rPr>
        <w:t>(</w:t>
      </w:r>
      <w:r>
        <w:rPr>
          <w:lang w:val="es-ES_tradnl" w:eastAsia="ja-JP"/>
        </w:rPr>
        <w:t>para</w:t>
      </w:r>
      <w:r w:rsidRPr="005402FB">
        <w:rPr>
          <w:rFonts w:hint="eastAsia"/>
          <w:lang w:val="es-ES_tradnl" w:eastAsia="ja-JP"/>
        </w:rPr>
        <w:t xml:space="preserve"> </w:t>
      </w:r>
      <w:r>
        <w:rPr>
          <w:lang w:val="es-ES_tradnl" w:eastAsia="ja-JP"/>
        </w:rPr>
        <w:t xml:space="preserve">el </w:t>
      </w:r>
      <w:r w:rsidRPr="005402FB">
        <w:rPr>
          <w:lang w:val="es-ES_tradnl" w:eastAsia="ja-JP"/>
        </w:rPr>
        <w:t>primer satélite QZSS</w:t>
      </w:r>
      <w:r w:rsidRPr="005402FB">
        <w:rPr>
          <w:rFonts w:hint="eastAsia"/>
          <w:lang w:val="es-ES_tradnl" w:eastAsia="ja-JP"/>
        </w:rPr>
        <w:t>)</w:t>
      </w:r>
      <w:r w:rsidRPr="005F2432">
        <w:rPr>
          <w:rFonts w:eastAsia="MS Mincho"/>
          <w:lang w:val="es-ES_tradnl"/>
        </w:rPr>
        <w:t xml:space="preserve"> que funcionan</w:t>
      </w:r>
      <w:r>
        <w:rPr>
          <w:rFonts w:eastAsia="MS Mincho"/>
          <w:lang w:val="es-ES_tradnl"/>
        </w:rPr>
        <w:br/>
      </w:r>
      <w:r w:rsidRPr="005F2432">
        <w:rPr>
          <w:rFonts w:eastAsia="MS Mincho"/>
          <w:lang w:val="es-ES_tradnl"/>
        </w:rPr>
        <w:t>en la banda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3118"/>
      </w:tblGrid>
      <w:tr w:rsidR="00F25C84" w:rsidRPr="005F2432" w:rsidTr="00FA7435">
        <w:trPr>
          <w:cantSplit/>
          <w:jc w:val="center"/>
        </w:trPr>
        <w:tc>
          <w:tcPr>
            <w:tcW w:w="3742" w:type="dxa"/>
          </w:tcPr>
          <w:p w:rsidR="00F25C84" w:rsidRPr="005F2432" w:rsidRDefault="00F25C84" w:rsidP="00FA7435">
            <w:pPr>
              <w:pStyle w:val="Tablehead"/>
              <w:rPr>
                <w:rFonts w:eastAsia="MS Mincho"/>
                <w:lang w:val="es-ES_tradnl"/>
              </w:rPr>
            </w:pPr>
            <w:r w:rsidRPr="005F2432">
              <w:rPr>
                <w:rFonts w:eastAsia="MS Mincho"/>
                <w:lang w:val="es-ES_tradnl"/>
              </w:rPr>
              <w:t>Parámetro</w:t>
            </w:r>
          </w:p>
        </w:tc>
        <w:tc>
          <w:tcPr>
            <w:tcW w:w="3118" w:type="dxa"/>
          </w:tcPr>
          <w:p w:rsidR="00F25C84" w:rsidRPr="005F2432" w:rsidRDefault="00F25C84" w:rsidP="00FA7435">
            <w:pPr>
              <w:pStyle w:val="Tablehead"/>
              <w:rPr>
                <w:rFonts w:eastAsia="MS Mincho"/>
                <w:lang w:val="es-ES_tradnl"/>
              </w:rPr>
            </w:pPr>
            <w:r w:rsidRPr="005F2432">
              <w:rPr>
                <w:rFonts w:eastAsia="MS Mincho"/>
                <w:lang w:val="es-ES_tradnl"/>
              </w:rPr>
              <w:t>Valor del parámetro</w:t>
            </w:r>
          </w:p>
        </w:tc>
      </w:tr>
      <w:tr w:rsidR="00F25C84" w:rsidRPr="005F2432" w:rsidTr="00FA7435">
        <w:trPr>
          <w:cantSplit/>
          <w:jc w:val="center"/>
        </w:trPr>
        <w:tc>
          <w:tcPr>
            <w:tcW w:w="3742" w:type="dxa"/>
          </w:tcPr>
          <w:p w:rsidR="00F25C84" w:rsidRPr="005F2432" w:rsidRDefault="00F25C84" w:rsidP="00FA7435">
            <w:pPr>
              <w:pStyle w:val="Tabletext"/>
              <w:jc w:val="left"/>
              <w:rPr>
                <w:rFonts w:eastAsia="MS Mincho"/>
                <w:lang w:val="es-ES_tradnl"/>
              </w:rPr>
            </w:pPr>
            <w:r w:rsidRPr="005F2432">
              <w:rPr>
                <w:lang w:val="es-ES_tradnl"/>
              </w:rPr>
              <w:t>Diagrama de antena</w:t>
            </w:r>
          </w:p>
        </w:tc>
        <w:tc>
          <w:tcPr>
            <w:tcW w:w="3118" w:type="dxa"/>
          </w:tcPr>
          <w:p w:rsidR="00F25C84" w:rsidRPr="005F2432" w:rsidRDefault="00F25C84" w:rsidP="00FA7435">
            <w:pPr>
              <w:pStyle w:val="Tabletext"/>
              <w:jc w:val="center"/>
              <w:rPr>
                <w:rFonts w:eastAsia="MS Mincho"/>
                <w:lang w:val="es-ES_tradnl"/>
              </w:rPr>
            </w:pPr>
            <w:r w:rsidRPr="005F2432">
              <w:rPr>
                <w:rFonts w:eastAsia="MS Mincho"/>
                <w:lang w:val="es-ES_tradnl"/>
              </w:rPr>
              <w:t>Haz mundial</w:t>
            </w:r>
          </w:p>
        </w:tc>
      </w:tr>
      <w:tr w:rsidR="00F25C84" w:rsidRPr="005F2432" w:rsidTr="00FA7435">
        <w:trPr>
          <w:cantSplit/>
          <w:jc w:val="center"/>
        </w:trPr>
        <w:tc>
          <w:tcPr>
            <w:tcW w:w="3742" w:type="dxa"/>
          </w:tcPr>
          <w:p w:rsidR="00F25C84" w:rsidRPr="005F2432" w:rsidRDefault="00F25C84" w:rsidP="00FA7435">
            <w:pPr>
              <w:pStyle w:val="Tabletext"/>
              <w:jc w:val="left"/>
              <w:rPr>
                <w:rFonts w:eastAsia="MS Mincho"/>
                <w:lang w:val="es-ES_tradnl"/>
              </w:rPr>
            </w:pPr>
            <w:r w:rsidRPr="005F2432">
              <w:rPr>
                <w:rFonts w:eastAsia="MS Mincho"/>
                <w:lang w:val="es-ES_tradnl"/>
              </w:rPr>
              <w:t>Polarización</w:t>
            </w:r>
          </w:p>
        </w:tc>
        <w:tc>
          <w:tcPr>
            <w:tcW w:w="3118" w:type="dxa"/>
          </w:tcPr>
          <w:p w:rsidR="00F25C84" w:rsidRPr="005F2432" w:rsidRDefault="00F25C84" w:rsidP="00FA7435">
            <w:pPr>
              <w:pStyle w:val="Tabletext"/>
              <w:jc w:val="center"/>
              <w:rPr>
                <w:rFonts w:eastAsia="MS Mincho"/>
                <w:lang w:val="es-ES_tradnl"/>
              </w:rPr>
            </w:pPr>
            <w:r w:rsidRPr="005F2432">
              <w:rPr>
                <w:rFonts w:eastAsia="MS Mincho"/>
                <w:lang w:val="es-ES_tradnl"/>
              </w:rPr>
              <w:t>RHCP</w:t>
            </w:r>
          </w:p>
        </w:tc>
      </w:tr>
      <w:tr w:rsidR="00F25C84" w:rsidRPr="005F2432" w:rsidTr="00FA7435">
        <w:trPr>
          <w:cantSplit/>
          <w:jc w:val="center"/>
        </w:trPr>
        <w:tc>
          <w:tcPr>
            <w:tcW w:w="3742" w:type="dxa"/>
          </w:tcPr>
          <w:p w:rsidR="00F25C84" w:rsidRPr="005F2432" w:rsidRDefault="00F25C84" w:rsidP="00FA7435">
            <w:pPr>
              <w:pStyle w:val="Tabletext"/>
              <w:jc w:val="left"/>
              <w:rPr>
                <w:rFonts w:eastAsia="MS Mincho"/>
                <w:lang w:val="es-ES_tradnl"/>
              </w:rPr>
            </w:pPr>
            <w:proofErr w:type="spellStart"/>
            <w:r>
              <w:rPr>
                <w:rFonts w:eastAsia="MS Mincho"/>
                <w:lang w:val="es-ES_tradnl"/>
              </w:rPr>
              <w:t>P</w:t>
            </w:r>
            <w:r w:rsidRPr="005F2432">
              <w:rPr>
                <w:rFonts w:eastAsia="MS Mincho"/>
                <w:lang w:val="es-ES_tradnl"/>
              </w:rPr>
              <w:t>.i.r.e</w:t>
            </w:r>
            <w:proofErr w:type="spellEnd"/>
            <w:r w:rsidRPr="005F2432">
              <w:rPr>
                <w:rFonts w:eastAsia="MS Mincho"/>
                <w:lang w:val="es-ES_tradnl"/>
              </w:rPr>
              <w:t>. de transmisión</w:t>
            </w:r>
            <w:r>
              <w:rPr>
                <w:rFonts w:eastAsia="MS Mincho"/>
                <w:lang w:val="es-ES_tradnl"/>
              </w:rPr>
              <w:t xml:space="preserve"> mínima</w:t>
            </w:r>
            <w:r w:rsidRPr="005F2432">
              <w:rPr>
                <w:rFonts w:eastAsia="MS Mincho"/>
                <w:lang w:val="es-ES_tradnl"/>
              </w:rPr>
              <w:t xml:space="preserve"> (</w:t>
            </w:r>
            <w:proofErr w:type="spellStart"/>
            <w:r w:rsidRPr="005F2432">
              <w:rPr>
                <w:rFonts w:eastAsia="MS Mincho"/>
                <w:lang w:val="es-ES_tradnl"/>
              </w:rPr>
              <w:t>dBW</w:t>
            </w:r>
            <w:proofErr w:type="spellEnd"/>
            <w:r w:rsidRPr="005F2432">
              <w:rPr>
                <w:rFonts w:eastAsia="MS Mincho"/>
                <w:lang w:val="es-ES_tradnl"/>
              </w:rPr>
              <w:t>)</w:t>
            </w:r>
          </w:p>
        </w:tc>
        <w:tc>
          <w:tcPr>
            <w:tcW w:w="3118" w:type="dxa"/>
          </w:tcPr>
          <w:p w:rsidR="00F25C84" w:rsidRPr="005F2432" w:rsidRDefault="00F25C84" w:rsidP="00FA7435">
            <w:pPr>
              <w:pStyle w:val="Tabletext"/>
              <w:jc w:val="center"/>
              <w:rPr>
                <w:rFonts w:eastAsia="MS Mincho"/>
                <w:lang w:val="es-ES_tradnl"/>
              </w:rPr>
            </w:pPr>
            <w:r w:rsidRPr="005F2432">
              <w:rPr>
                <w:rFonts w:eastAsia="MS Mincho"/>
                <w:lang w:val="es-ES_tradnl"/>
              </w:rPr>
              <w:t>9,8</w:t>
            </w:r>
          </w:p>
        </w:tc>
      </w:tr>
      <w:tr w:rsidR="00F25C84" w:rsidRPr="005F2432" w:rsidTr="008454E0">
        <w:trPr>
          <w:cantSplit/>
          <w:jc w:val="center"/>
        </w:trPr>
        <w:tc>
          <w:tcPr>
            <w:tcW w:w="3742" w:type="dxa"/>
            <w:tcBorders>
              <w:bottom w:val="single" w:sz="4" w:space="0" w:color="auto"/>
            </w:tcBorders>
          </w:tcPr>
          <w:p w:rsidR="00F25C84" w:rsidRPr="005F2432" w:rsidRDefault="00F25C84" w:rsidP="00FA7435">
            <w:pPr>
              <w:pStyle w:val="Tabletext"/>
              <w:jc w:val="left"/>
              <w:rPr>
                <w:rFonts w:eastAsia="MS Mincho"/>
                <w:lang w:val="es-ES_tradnl"/>
              </w:rPr>
            </w:pPr>
            <w:r w:rsidRPr="005F2432">
              <w:rPr>
                <w:rFonts w:eastAsia="MS Mincho"/>
                <w:lang w:val="es-ES_tradnl"/>
              </w:rPr>
              <w:t>Modulación</w:t>
            </w:r>
          </w:p>
        </w:tc>
        <w:tc>
          <w:tcPr>
            <w:tcW w:w="3118" w:type="dxa"/>
            <w:tcBorders>
              <w:bottom w:val="single" w:sz="4" w:space="0" w:color="auto"/>
            </w:tcBorders>
          </w:tcPr>
          <w:p w:rsidR="00F25C84" w:rsidRPr="005F2432" w:rsidRDefault="00F25C84" w:rsidP="00FA7435">
            <w:pPr>
              <w:pStyle w:val="Tabletext"/>
              <w:jc w:val="center"/>
              <w:rPr>
                <w:rFonts w:eastAsia="MS Mincho"/>
                <w:lang w:val="es-ES_tradnl"/>
              </w:rPr>
            </w:pPr>
            <w:r w:rsidRPr="005F2432">
              <w:rPr>
                <w:rFonts w:eastAsia="MS Mincho"/>
                <w:lang w:val="es-ES_tradnl"/>
              </w:rPr>
              <w:t>MIC-MDP/MP</w:t>
            </w:r>
          </w:p>
        </w:tc>
      </w:tr>
      <w:tr w:rsidR="00195BC8" w:rsidRPr="005F2432" w:rsidTr="008454E0">
        <w:trPr>
          <w:cantSplit/>
          <w:jc w:val="center"/>
        </w:trPr>
        <w:tc>
          <w:tcPr>
            <w:tcW w:w="6860" w:type="dxa"/>
            <w:gridSpan w:val="2"/>
            <w:tcBorders>
              <w:left w:val="nil"/>
              <w:bottom w:val="nil"/>
              <w:right w:val="nil"/>
            </w:tcBorders>
          </w:tcPr>
          <w:p w:rsidR="00195BC8" w:rsidRPr="005F2432" w:rsidRDefault="00195BC8" w:rsidP="008454E0">
            <w:pPr>
              <w:pStyle w:val="Tablelegend"/>
              <w:rPr>
                <w:rFonts w:eastAsia="MS Mincho"/>
                <w:lang w:val="es-ES_tradnl"/>
              </w:rPr>
            </w:pPr>
            <w:r w:rsidRPr="00F25C84">
              <w:rPr>
                <w:rFonts w:hint="eastAsia"/>
                <w:lang w:val="es-ES_tradnl" w:eastAsia="ja-JP"/>
              </w:rPr>
              <w:t xml:space="preserve">RHCP: </w:t>
            </w:r>
            <w:r w:rsidRPr="005F0908">
              <w:rPr>
                <w:lang w:val="es-ES_tradnl"/>
              </w:rPr>
              <w:t>Polarización circular dextrógira</w:t>
            </w:r>
          </w:p>
        </w:tc>
      </w:tr>
    </w:tbl>
    <w:p w:rsidR="00195BC8" w:rsidRPr="00195BC8" w:rsidRDefault="00195BC8" w:rsidP="00195BC8">
      <w:pPr>
        <w:pStyle w:val="Tablefin"/>
        <w:rPr>
          <w:lang w:eastAsia="ja-JP"/>
        </w:rPr>
      </w:pPr>
    </w:p>
    <w:p w:rsidR="00F25C84" w:rsidRPr="005F2432" w:rsidRDefault="00F25C84" w:rsidP="00F25C84">
      <w:pPr>
        <w:pStyle w:val="TableNo"/>
        <w:rPr>
          <w:rFonts w:eastAsia="MS Mincho"/>
          <w:lang w:val="es-ES_tradnl"/>
        </w:rPr>
      </w:pPr>
      <w:r w:rsidRPr="005F2432">
        <w:rPr>
          <w:rFonts w:eastAsia="MS Mincho"/>
          <w:lang w:val="es-ES_tradnl"/>
        </w:rPr>
        <w:t>CUADRO 3-</w:t>
      </w:r>
      <w:r>
        <w:rPr>
          <w:rFonts w:eastAsia="MS Mincho"/>
          <w:lang w:val="es-ES_tradnl"/>
        </w:rPr>
        <w:t>4</w:t>
      </w:r>
    </w:p>
    <w:p w:rsidR="00F25C84" w:rsidRPr="005F2432" w:rsidRDefault="00F25C84" w:rsidP="00F25C84">
      <w:pPr>
        <w:pStyle w:val="Tabletitle"/>
        <w:rPr>
          <w:rFonts w:eastAsia="MS Mincho"/>
          <w:lang w:val="es-ES_tradnl"/>
        </w:rPr>
      </w:pPr>
      <w:r w:rsidRPr="005F2432">
        <w:rPr>
          <w:rFonts w:eastAsia="MS Mincho"/>
          <w:lang w:val="es-ES_tradnl"/>
        </w:rPr>
        <w:t>Características de las estaciones espaciales transmisoras</w:t>
      </w:r>
      <w:r>
        <w:rPr>
          <w:rFonts w:eastAsia="MS Mincho"/>
          <w:lang w:val="es-ES_tradnl"/>
        </w:rPr>
        <w:br/>
      </w:r>
      <w:r w:rsidRPr="005F2432">
        <w:rPr>
          <w:rFonts w:eastAsia="MS Mincho"/>
          <w:lang w:val="es-ES_tradnl"/>
        </w:rPr>
        <w:t>de enlace de conexión QZSS</w:t>
      </w:r>
      <w:r>
        <w:rPr>
          <w:rFonts w:eastAsia="MS Mincho"/>
          <w:lang w:val="es-ES_tradnl"/>
        </w:rPr>
        <w:t xml:space="preserve"> </w:t>
      </w:r>
      <w:r w:rsidRPr="005402FB">
        <w:rPr>
          <w:rFonts w:hint="eastAsia"/>
          <w:lang w:val="es-ES_tradnl" w:eastAsia="ja-JP"/>
        </w:rPr>
        <w:t>(</w:t>
      </w:r>
      <w:r>
        <w:rPr>
          <w:lang w:val="es-ES_tradnl" w:eastAsia="ja-JP"/>
        </w:rPr>
        <w:t>para</w:t>
      </w:r>
      <w:r w:rsidRPr="005402FB">
        <w:rPr>
          <w:rFonts w:hint="eastAsia"/>
          <w:lang w:val="es-ES_tradnl" w:eastAsia="ja-JP"/>
        </w:rPr>
        <w:t xml:space="preserve"> </w:t>
      </w:r>
      <w:r>
        <w:rPr>
          <w:lang w:val="es-ES_tradnl" w:eastAsia="ja-JP"/>
        </w:rPr>
        <w:t>los siguientes</w:t>
      </w:r>
      <w:r w:rsidRPr="005402FB">
        <w:rPr>
          <w:lang w:val="es-ES_tradnl" w:eastAsia="ja-JP"/>
        </w:rPr>
        <w:t xml:space="preserve"> satélite</w:t>
      </w:r>
      <w:r>
        <w:rPr>
          <w:lang w:val="es-ES_tradnl" w:eastAsia="ja-JP"/>
        </w:rPr>
        <w:t>s</w:t>
      </w:r>
      <w:r w:rsidRPr="005402FB">
        <w:rPr>
          <w:rFonts w:hint="eastAsia"/>
          <w:lang w:val="es-ES_tradnl" w:eastAsia="ja-JP"/>
        </w:rPr>
        <w:t>)</w:t>
      </w:r>
      <w:r w:rsidRPr="005F2432">
        <w:rPr>
          <w:rFonts w:eastAsia="MS Mincho"/>
          <w:lang w:val="es-ES_tradnl"/>
        </w:rPr>
        <w:t xml:space="preserve"> que funcionan</w:t>
      </w:r>
      <w:r>
        <w:rPr>
          <w:rFonts w:eastAsia="MS Mincho"/>
          <w:lang w:val="es-ES_tradnl"/>
        </w:rPr>
        <w:br/>
      </w:r>
      <w:r w:rsidRPr="005F2432">
        <w:rPr>
          <w:rFonts w:eastAsia="MS Mincho"/>
          <w:lang w:val="es-ES_tradnl"/>
        </w:rPr>
        <w:t>en la banda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3118"/>
      </w:tblGrid>
      <w:tr w:rsidR="00F25C84" w:rsidRPr="005F2432" w:rsidTr="00FA7435">
        <w:trPr>
          <w:cantSplit/>
          <w:jc w:val="center"/>
        </w:trPr>
        <w:tc>
          <w:tcPr>
            <w:tcW w:w="3742" w:type="dxa"/>
          </w:tcPr>
          <w:p w:rsidR="00F25C84" w:rsidRPr="005F2432" w:rsidRDefault="00F25C84" w:rsidP="00FA7435">
            <w:pPr>
              <w:pStyle w:val="Tablehead"/>
              <w:rPr>
                <w:rFonts w:eastAsia="MS Mincho"/>
                <w:lang w:val="es-ES_tradnl"/>
              </w:rPr>
            </w:pPr>
            <w:r w:rsidRPr="005F2432">
              <w:rPr>
                <w:rFonts w:eastAsia="MS Mincho"/>
                <w:lang w:val="es-ES_tradnl"/>
              </w:rPr>
              <w:t>Parámetro</w:t>
            </w:r>
          </w:p>
        </w:tc>
        <w:tc>
          <w:tcPr>
            <w:tcW w:w="3118" w:type="dxa"/>
          </w:tcPr>
          <w:p w:rsidR="00F25C84" w:rsidRPr="005F2432" w:rsidRDefault="00F25C84" w:rsidP="00FA7435">
            <w:pPr>
              <w:pStyle w:val="Tablehead"/>
              <w:rPr>
                <w:rFonts w:eastAsia="MS Mincho"/>
                <w:lang w:val="es-ES_tradnl"/>
              </w:rPr>
            </w:pPr>
            <w:r w:rsidRPr="005F2432">
              <w:rPr>
                <w:rFonts w:eastAsia="MS Mincho"/>
                <w:lang w:val="es-ES_tradnl"/>
              </w:rPr>
              <w:t>Valor del parámetro</w:t>
            </w:r>
          </w:p>
        </w:tc>
      </w:tr>
      <w:tr w:rsidR="00F25C84" w:rsidRPr="005F2432" w:rsidTr="00FA7435">
        <w:trPr>
          <w:cantSplit/>
          <w:jc w:val="center"/>
        </w:trPr>
        <w:tc>
          <w:tcPr>
            <w:tcW w:w="3742" w:type="dxa"/>
          </w:tcPr>
          <w:p w:rsidR="00F25C84" w:rsidRPr="005F2432" w:rsidRDefault="00F25C84" w:rsidP="00FA7435">
            <w:pPr>
              <w:pStyle w:val="Tabletext"/>
              <w:jc w:val="left"/>
              <w:rPr>
                <w:rFonts w:eastAsia="MS Mincho"/>
                <w:lang w:val="es-ES_tradnl"/>
              </w:rPr>
            </w:pPr>
            <w:r w:rsidRPr="005F2432">
              <w:rPr>
                <w:lang w:val="es-ES_tradnl"/>
              </w:rPr>
              <w:t>Diagrama de antena</w:t>
            </w:r>
          </w:p>
        </w:tc>
        <w:tc>
          <w:tcPr>
            <w:tcW w:w="3118" w:type="dxa"/>
          </w:tcPr>
          <w:p w:rsidR="00F25C84" w:rsidRPr="005F2432" w:rsidRDefault="00F25C84" w:rsidP="00FA7435">
            <w:pPr>
              <w:pStyle w:val="Tabletext"/>
              <w:jc w:val="center"/>
              <w:rPr>
                <w:rFonts w:eastAsia="MS Mincho"/>
                <w:lang w:val="es-ES_tradnl"/>
              </w:rPr>
            </w:pPr>
            <w:r w:rsidRPr="005F2432">
              <w:rPr>
                <w:rFonts w:eastAsia="MS Mincho"/>
                <w:lang w:val="es-ES_tradnl"/>
              </w:rPr>
              <w:t>Haz mundial</w:t>
            </w:r>
          </w:p>
        </w:tc>
      </w:tr>
      <w:tr w:rsidR="00F25C84" w:rsidRPr="005F2432" w:rsidTr="00FA7435">
        <w:trPr>
          <w:cantSplit/>
          <w:jc w:val="center"/>
        </w:trPr>
        <w:tc>
          <w:tcPr>
            <w:tcW w:w="3742" w:type="dxa"/>
          </w:tcPr>
          <w:p w:rsidR="00F25C84" w:rsidRPr="005F2432" w:rsidRDefault="00F25C84" w:rsidP="00FA7435">
            <w:pPr>
              <w:pStyle w:val="Tabletext"/>
              <w:jc w:val="left"/>
              <w:rPr>
                <w:rFonts w:eastAsia="MS Mincho"/>
                <w:lang w:val="es-ES_tradnl"/>
              </w:rPr>
            </w:pPr>
            <w:r w:rsidRPr="005F2432">
              <w:rPr>
                <w:rFonts w:eastAsia="MS Mincho"/>
                <w:lang w:val="es-ES_tradnl"/>
              </w:rPr>
              <w:t>Polarización</w:t>
            </w:r>
          </w:p>
        </w:tc>
        <w:tc>
          <w:tcPr>
            <w:tcW w:w="3118" w:type="dxa"/>
          </w:tcPr>
          <w:p w:rsidR="00F25C84" w:rsidRPr="005F2432" w:rsidRDefault="00F25C84" w:rsidP="00FA7435">
            <w:pPr>
              <w:pStyle w:val="Tabletext"/>
              <w:jc w:val="center"/>
              <w:rPr>
                <w:rFonts w:eastAsia="MS Mincho"/>
                <w:lang w:val="es-ES_tradnl"/>
              </w:rPr>
            </w:pPr>
            <w:r w:rsidRPr="005F2432">
              <w:rPr>
                <w:rFonts w:eastAsia="MS Mincho"/>
                <w:lang w:val="es-ES_tradnl"/>
              </w:rPr>
              <w:t>RHCP</w:t>
            </w:r>
          </w:p>
        </w:tc>
      </w:tr>
      <w:tr w:rsidR="00F25C84" w:rsidRPr="005F2432" w:rsidTr="00FA7435">
        <w:trPr>
          <w:cantSplit/>
          <w:jc w:val="center"/>
        </w:trPr>
        <w:tc>
          <w:tcPr>
            <w:tcW w:w="3742" w:type="dxa"/>
          </w:tcPr>
          <w:p w:rsidR="00F25C84" w:rsidRPr="005F2432" w:rsidRDefault="00F25C84" w:rsidP="00FA7435">
            <w:pPr>
              <w:pStyle w:val="Tabletext"/>
              <w:jc w:val="left"/>
              <w:rPr>
                <w:rFonts w:eastAsia="MS Mincho"/>
                <w:lang w:val="es-ES_tradnl"/>
              </w:rPr>
            </w:pPr>
            <w:proofErr w:type="spellStart"/>
            <w:r>
              <w:rPr>
                <w:rFonts w:eastAsia="MS Mincho"/>
                <w:lang w:val="es-ES_tradnl"/>
              </w:rPr>
              <w:t>P</w:t>
            </w:r>
            <w:r w:rsidRPr="005F2432">
              <w:rPr>
                <w:rFonts w:eastAsia="MS Mincho"/>
                <w:lang w:val="es-ES_tradnl"/>
              </w:rPr>
              <w:t>.i.r.e</w:t>
            </w:r>
            <w:proofErr w:type="spellEnd"/>
            <w:r w:rsidRPr="005F2432">
              <w:rPr>
                <w:rFonts w:eastAsia="MS Mincho"/>
                <w:lang w:val="es-ES_tradnl"/>
              </w:rPr>
              <w:t>. de transmisión</w:t>
            </w:r>
            <w:r>
              <w:rPr>
                <w:rFonts w:eastAsia="MS Mincho"/>
                <w:lang w:val="es-ES_tradnl"/>
              </w:rPr>
              <w:t xml:space="preserve"> mínima</w:t>
            </w:r>
            <w:r w:rsidRPr="005F2432">
              <w:rPr>
                <w:rFonts w:eastAsia="MS Mincho"/>
                <w:lang w:val="es-ES_tradnl"/>
              </w:rPr>
              <w:t xml:space="preserve"> (</w:t>
            </w:r>
            <w:proofErr w:type="spellStart"/>
            <w:r w:rsidRPr="005F2432">
              <w:rPr>
                <w:rFonts w:eastAsia="MS Mincho"/>
                <w:lang w:val="es-ES_tradnl"/>
              </w:rPr>
              <w:t>dBW</w:t>
            </w:r>
            <w:proofErr w:type="spellEnd"/>
            <w:r w:rsidRPr="005F2432">
              <w:rPr>
                <w:rFonts w:eastAsia="MS Mincho"/>
                <w:lang w:val="es-ES_tradnl"/>
              </w:rPr>
              <w:t>)</w:t>
            </w:r>
          </w:p>
        </w:tc>
        <w:tc>
          <w:tcPr>
            <w:tcW w:w="3118" w:type="dxa"/>
          </w:tcPr>
          <w:p w:rsidR="00F25C84" w:rsidRPr="005F2432" w:rsidRDefault="00F25C84" w:rsidP="00FA7435">
            <w:pPr>
              <w:pStyle w:val="Tabletext"/>
              <w:jc w:val="center"/>
              <w:rPr>
                <w:rFonts w:eastAsia="MS Mincho"/>
                <w:lang w:val="es-ES_tradnl"/>
              </w:rPr>
            </w:pPr>
            <w:r w:rsidRPr="005F2432">
              <w:rPr>
                <w:rFonts w:eastAsia="MS Mincho"/>
                <w:lang w:val="es-ES_tradnl"/>
              </w:rPr>
              <w:t>9,</w:t>
            </w:r>
            <w:r>
              <w:rPr>
                <w:rFonts w:eastAsia="MS Mincho"/>
                <w:lang w:val="es-ES_tradnl"/>
              </w:rPr>
              <w:t>3</w:t>
            </w:r>
          </w:p>
        </w:tc>
      </w:tr>
      <w:tr w:rsidR="00F25C84" w:rsidRPr="005F2432" w:rsidTr="008454E0">
        <w:trPr>
          <w:cantSplit/>
          <w:jc w:val="center"/>
        </w:trPr>
        <w:tc>
          <w:tcPr>
            <w:tcW w:w="3742" w:type="dxa"/>
            <w:tcBorders>
              <w:bottom w:val="single" w:sz="4" w:space="0" w:color="auto"/>
            </w:tcBorders>
          </w:tcPr>
          <w:p w:rsidR="00F25C84" w:rsidRPr="005F2432" w:rsidRDefault="00F25C84" w:rsidP="00FA7435">
            <w:pPr>
              <w:pStyle w:val="Tabletext"/>
              <w:jc w:val="left"/>
              <w:rPr>
                <w:rFonts w:eastAsia="MS Mincho"/>
                <w:lang w:val="es-ES_tradnl"/>
              </w:rPr>
            </w:pPr>
            <w:r w:rsidRPr="005F2432">
              <w:rPr>
                <w:rFonts w:eastAsia="MS Mincho"/>
                <w:lang w:val="es-ES_tradnl"/>
              </w:rPr>
              <w:t>Modulación</w:t>
            </w:r>
          </w:p>
        </w:tc>
        <w:tc>
          <w:tcPr>
            <w:tcW w:w="3118" w:type="dxa"/>
            <w:tcBorders>
              <w:bottom w:val="single" w:sz="4" w:space="0" w:color="auto"/>
            </w:tcBorders>
          </w:tcPr>
          <w:p w:rsidR="00F25C84" w:rsidRPr="005F2432" w:rsidRDefault="00F25C84" w:rsidP="00FA7435">
            <w:pPr>
              <w:pStyle w:val="Tabletext"/>
              <w:jc w:val="center"/>
              <w:rPr>
                <w:rFonts w:eastAsia="MS Mincho"/>
                <w:lang w:val="es-ES_tradnl"/>
              </w:rPr>
            </w:pPr>
            <w:r w:rsidRPr="000C15D8">
              <w:rPr>
                <w:rFonts w:hint="eastAsia"/>
                <w:lang w:eastAsia="ja-JP"/>
              </w:rPr>
              <w:t>SQPN</w:t>
            </w:r>
          </w:p>
        </w:tc>
      </w:tr>
      <w:tr w:rsidR="008454E0" w:rsidRPr="008454E0" w:rsidTr="008454E0">
        <w:trPr>
          <w:cantSplit/>
          <w:jc w:val="center"/>
        </w:trPr>
        <w:tc>
          <w:tcPr>
            <w:tcW w:w="6860" w:type="dxa"/>
            <w:gridSpan w:val="2"/>
            <w:tcBorders>
              <w:left w:val="nil"/>
              <w:bottom w:val="nil"/>
              <w:right w:val="nil"/>
            </w:tcBorders>
          </w:tcPr>
          <w:p w:rsidR="008454E0" w:rsidRPr="008454E0" w:rsidRDefault="008454E0" w:rsidP="008454E0">
            <w:pPr>
              <w:pStyle w:val="Tablelegend"/>
              <w:ind w:left="0" w:firstLine="0"/>
              <w:rPr>
                <w:rFonts w:hint="eastAsia"/>
                <w:lang w:val="es-ES_tradnl" w:eastAsia="ja-JP"/>
              </w:rPr>
            </w:pPr>
            <w:r w:rsidRPr="005F0908">
              <w:rPr>
                <w:rFonts w:hint="eastAsia"/>
                <w:lang w:val="es-ES_tradnl"/>
              </w:rPr>
              <w:t>SQPN</w:t>
            </w:r>
            <w:r>
              <w:rPr>
                <w:lang w:val="es-ES_tradnl"/>
              </w:rPr>
              <w:t xml:space="preserve">: </w:t>
            </w:r>
            <w:r w:rsidRPr="005F0908">
              <w:rPr>
                <w:lang w:val="es-ES_tradnl"/>
              </w:rPr>
              <w:t xml:space="preserve">Ruido </w:t>
            </w:r>
            <w:proofErr w:type="spellStart"/>
            <w:r w:rsidRPr="005F0908">
              <w:rPr>
                <w:lang w:val="es-ES_tradnl"/>
              </w:rPr>
              <w:t>seudoaleatorio</w:t>
            </w:r>
            <w:proofErr w:type="spellEnd"/>
            <w:r w:rsidRPr="005F0908">
              <w:rPr>
                <w:lang w:val="es-ES_tradnl"/>
              </w:rPr>
              <w:t xml:space="preserve"> escalonado</w:t>
            </w:r>
            <w:r w:rsidRPr="00AB1584">
              <w:rPr>
                <w:lang w:val="es-ES_tradnl"/>
              </w:rPr>
              <w:t xml:space="preserve"> en cuadratura</w:t>
            </w:r>
            <w:r>
              <w:rPr>
                <w:lang w:val="es-ES_tradnl"/>
              </w:rPr>
              <w:t xml:space="preserve"> – F</w:t>
            </w:r>
            <w:r w:rsidRPr="008B2ECE">
              <w:rPr>
                <w:lang w:val="es-ES_tradnl"/>
              </w:rPr>
              <w:t xml:space="preserve">ormato de modulación de espectro ensanchado en que la secuencia de datos </w:t>
            </w:r>
            <w:r w:rsidRPr="00362319">
              <w:rPr>
                <w:lang w:val="es-ES_tradnl"/>
              </w:rPr>
              <w:t xml:space="preserve">de ruido </w:t>
            </w:r>
            <w:proofErr w:type="spellStart"/>
            <w:r w:rsidRPr="00362319">
              <w:rPr>
                <w:lang w:val="es-ES_tradnl"/>
              </w:rPr>
              <w:t>seudoaleatorio</w:t>
            </w:r>
            <w:proofErr w:type="spellEnd"/>
            <w:r w:rsidRPr="008B2ECE">
              <w:rPr>
                <w:lang w:val="es-ES_tradnl"/>
              </w:rPr>
              <w:t xml:space="preserve"> se modula en una portadora </w:t>
            </w:r>
            <w:r>
              <w:rPr>
                <w:lang w:val="es-ES_tradnl"/>
              </w:rPr>
              <w:t xml:space="preserve">de </w:t>
            </w:r>
            <w:r w:rsidRPr="008B2ECE">
              <w:rPr>
                <w:lang w:val="es-ES_tradnl"/>
              </w:rPr>
              <w:t xml:space="preserve">RF </w:t>
            </w:r>
            <w:r>
              <w:rPr>
                <w:lang w:val="es-ES_tradnl"/>
              </w:rPr>
              <w:t>utilizando</w:t>
            </w:r>
            <w:r w:rsidRPr="008B2ECE">
              <w:rPr>
                <w:lang w:val="es-ES_tradnl"/>
              </w:rPr>
              <w:t xml:space="preserve"> una varia</w:t>
            </w:r>
            <w:r>
              <w:rPr>
                <w:lang w:val="es-ES_tradnl"/>
              </w:rPr>
              <w:t>nte</w:t>
            </w:r>
            <w:r w:rsidRPr="008B2ECE">
              <w:rPr>
                <w:lang w:val="es-ES_tradnl"/>
              </w:rPr>
              <w:t xml:space="preserve"> de</w:t>
            </w:r>
            <w:r>
              <w:rPr>
                <w:lang w:val="es-ES_tradnl"/>
              </w:rPr>
              <w:t xml:space="preserve"> la</w:t>
            </w:r>
            <w:r w:rsidRPr="008B2ECE">
              <w:rPr>
                <w:lang w:val="es-ES_tradnl"/>
              </w:rPr>
              <w:t xml:space="preserve"> modulación QPSK en la que un canal es retrasado por </w:t>
            </w:r>
            <w:r>
              <w:rPr>
                <w:lang w:val="es-ES_tradnl"/>
              </w:rPr>
              <w:t>medio</w:t>
            </w:r>
            <w:r w:rsidRPr="008B2ECE">
              <w:rPr>
                <w:lang w:val="es-ES_tradnl"/>
              </w:rPr>
              <w:t xml:space="preserve"> período de símbolo de modulación con respecto al otro canal </w:t>
            </w:r>
            <w:r>
              <w:rPr>
                <w:lang w:val="es-ES_tradnl"/>
              </w:rPr>
              <w:t>(lo que se conoce también c</w:t>
            </w:r>
            <w:r w:rsidRPr="008B2ECE">
              <w:rPr>
                <w:lang w:val="es-ES_tradnl"/>
              </w:rPr>
              <w:t xml:space="preserve">omo </w:t>
            </w:r>
            <w:r w:rsidRPr="00AB1584">
              <w:rPr>
                <w:lang w:val="es-ES_tradnl"/>
              </w:rPr>
              <w:t>modulación por desplazamiento de fase en cuadratura compensando</w:t>
            </w:r>
            <w:r>
              <w:rPr>
                <w:lang w:val="es-ES_tradnl"/>
              </w:rPr>
              <w:t xml:space="preserve"> u O</w:t>
            </w:r>
            <w:r w:rsidRPr="008B2ECE">
              <w:rPr>
                <w:lang w:val="es-ES_tradnl"/>
              </w:rPr>
              <w:t>QPSK</w:t>
            </w:r>
            <w:r>
              <w:rPr>
                <w:lang w:val="es-ES_tradnl"/>
              </w:rPr>
              <w:t xml:space="preserve"> por sus siglas en inglés</w:t>
            </w:r>
            <w:r w:rsidRPr="008B2ECE">
              <w:rPr>
                <w:lang w:val="es-ES_tradnl"/>
              </w:rPr>
              <w:t>).</w:t>
            </w:r>
          </w:p>
        </w:tc>
      </w:tr>
    </w:tbl>
    <w:p w:rsidR="00F25C84" w:rsidRPr="005F0908" w:rsidRDefault="00F25C84" w:rsidP="00F25C84">
      <w:pPr>
        <w:ind w:left="1440"/>
        <w:rPr>
          <w:lang w:val="es-ES_tradnl"/>
        </w:rPr>
      </w:pPr>
    </w:p>
    <w:p w:rsidR="00F25C84" w:rsidRPr="008454E0" w:rsidRDefault="00F25C84" w:rsidP="00195BC8">
      <w:pPr>
        <w:pStyle w:val="Tablefin"/>
        <w:rPr>
          <w:lang w:val="es-ES_tradnl" w:eastAsia="zh-CN"/>
        </w:rPr>
      </w:pPr>
    </w:p>
    <w:p w:rsidR="00F25C84" w:rsidRPr="00EA5150" w:rsidRDefault="00F25C84" w:rsidP="00F25C84">
      <w:pPr>
        <w:pStyle w:val="Line"/>
        <w:rPr>
          <w:lang w:val="es-ES_tradnl"/>
        </w:rPr>
      </w:pPr>
    </w:p>
    <w:p w:rsidR="00574749" w:rsidRDefault="00574749" w:rsidP="0021735B">
      <w:pPr>
        <w:rPr>
          <w:lang w:val="es-ES_tradnl"/>
        </w:rPr>
      </w:pPr>
    </w:p>
    <w:sectPr w:rsidR="00574749" w:rsidSect="0004229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 w:id="1">
    <w:p w:rsidR="0075790F" w:rsidRPr="00B52624" w:rsidRDefault="0075790F" w:rsidP="0075790F">
      <w:pPr>
        <w:pStyle w:val="FootnoteText"/>
        <w:spacing w:before="0"/>
        <w:rPr>
          <w:lang w:val="es-ES_tradnl"/>
        </w:rPr>
      </w:pPr>
      <w:r w:rsidRPr="009610D9">
        <w:rPr>
          <w:rStyle w:val="FootnoteReference"/>
          <w:sz w:val="28"/>
          <w:szCs w:val="28"/>
          <w:vertAlign w:val="superscript"/>
        </w:rPr>
        <w:footnoteRef/>
      </w:r>
      <w:r w:rsidRPr="00B52624">
        <w:rPr>
          <w:lang w:val="es-ES_tradnl"/>
        </w:rPr>
        <w:tab/>
        <w:t>Esta Recomendación debe señalarse a la atención de la Comisión de Estudio</w:t>
      </w:r>
      <w:r>
        <w:rPr>
          <w:lang w:val="es-ES_tradnl"/>
        </w:rPr>
        <w:t> </w:t>
      </w:r>
      <w:r w:rsidRPr="00B52624">
        <w:rPr>
          <w:lang w:val="es-ES_tradnl"/>
        </w:rPr>
        <w:t>5 del UIT-R y de la Organización de Aviación Civil Internacional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7A62BD">
      <w:rPr>
        <w:rStyle w:val="PageNumber"/>
        <w:b/>
        <w:bCs/>
        <w:noProof/>
      </w:rPr>
      <w:t>ii</w:t>
    </w:r>
    <w:r>
      <w:rPr>
        <w:rStyle w:val="PageNumber"/>
        <w:b/>
        <w:bCs/>
      </w:rPr>
      <w:fldChar w:fldCharType="end"/>
    </w:r>
    <w:r w:rsidR="00042292">
      <w:tab/>
    </w:r>
    <w:r w:rsidR="007A62BD">
      <w:fldChar w:fldCharType="begin"/>
    </w:r>
    <w:r w:rsidR="007A62BD">
      <w:instrText xml:space="preserve"> DOCPROPERTY "Header" \* MERGEFORMAT </w:instrText>
    </w:r>
    <w:r w:rsidR="007A62BD">
      <w:fldChar w:fldCharType="separate"/>
    </w:r>
    <w:r w:rsidR="007A62BD" w:rsidRPr="007A62BD">
      <w:rPr>
        <w:b/>
        <w:bCs/>
      </w:rPr>
      <w:t xml:space="preserve">Rec. </w:t>
    </w:r>
    <w:r w:rsidR="007A62BD">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7A62BD">
      <w:rPr>
        <w:b/>
        <w:bCs/>
        <w:noProof/>
      </w:rPr>
      <w:t>UIT-R  M.2031-1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r w:rsidR="007A62BD">
      <w:fldChar w:fldCharType="begin"/>
    </w:r>
    <w:r w:rsidR="007A62BD">
      <w:instrText xml:space="preserve"> DOCPROPERTY "Header" \* MERGEFORMAT </w:instrText>
    </w:r>
    <w:r w:rsidR="007A62BD">
      <w:fldChar w:fldCharType="separate"/>
    </w:r>
    <w:r w:rsidR="007A62BD" w:rsidRPr="007A62BD">
      <w:rPr>
        <w:b/>
        <w:bCs/>
      </w:rPr>
      <w:t xml:space="preserve">Rec. </w:t>
    </w:r>
    <w:r w:rsidR="007A62BD">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7A62BD">
      <w:rPr>
        <w:b/>
        <w:bCs/>
        <w:noProof/>
      </w:rPr>
      <w:t>UIT-R  M.2031-1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870AA" w:rsidP="00BD1450">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7A62BD">
      <w:rPr>
        <w:rStyle w:val="PageNumber"/>
        <w:b/>
        <w:bCs/>
        <w:noProof/>
        <w:lang w:val="en-US"/>
      </w:rPr>
      <w:t>6</w:t>
    </w:r>
    <w:r>
      <w:rPr>
        <w:rStyle w:val="PageNumber"/>
        <w:b/>
        <w:bCs/>
      </w:rPr>
      <w:fldChar w:fldCharType="end"/>
    </w:r>
    <w:r w:rsidR="00607D68">
      <w:rPr>
        <w:lang w:val="en-US"/>
      </w:rPr>
      <w:tab/>
    </w:r>
    <w:r w:rsidR="007A62BD">
      <w:fldChar w:fldCharType="begin"/>
    </w:r>
    <w:r w:rsidR="007A62BD">
      <w:instrText xml:space="preserve"> DOCPROPERTY "Header" \* MERGEFORMAT </w:instrText>
    </w:r>
    <w:r w:rsidR="007A62BD">
      <w:fldChar w:fldCharType="separate"/>
    </w:r>
    <w:r w:rsidR="007A62BD" w:rsidRPr="007A62BD">
      <w:rPr>
        <w:b/>
        <w:bCs/>
        <w:lang w:val="en-US"/>
      </w:rPr>
      <w:t xml:space="preserve">Rec. </w:t>
    </w:r>
    <w:r w:rsidR="007A62BD">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7A62BD">
      <w:rPr>
        <w:b/>
        <w:bCs/>
        <w:noProof/>
      </w:rPr>
      <w:t>UIT-R  M.2031-1</w:t>
    </w:r>
    <w:r>
      <w:rPr>
        <w:b/>
        <w:bCs/>
      </w:rPr>
      <w:fldChar w:fldCharType="end"/>
    </w:r>
  </w:p>
  <w:p w:rsidR="00427ED9" w:rsidRDefault="00427ED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1B395D" w:rsidRDefault="00F32218" w:rsidP="00F32218">
    <w:pPr>
      <w:pStyle w:val="Header"/>
      <w:jc w:val="left"/>
      <w:rPr>
        <w:b/>
        <w:bCs/>
      </w:rPr>
    </w:pPr>
    <w:r>
      <w:tab/>
    </w:r>
    <w:r w:rsidR="007A62BD">
      <w:fldChar w:fldCharType="begin"/>
    </w:r>
    <w:r w:rsidR="007A62BD">
      <w:instrText xml:space="preserve"> DOCPROPERTY "Header" \* MERGEFORMAT </w:instrText>
    </w:r>
    <w:r w:rsidR="007A62BD">
      <w:fldChar w:fldCharType="separate"/>
    </w:r>
    <w:r w:rsidR="007A62BD" w:rsidRPr="007A62BD">
      <w:rPr>
        <w:b/>
        <w:bCs/>
      </w:rPr>
      <w:t xml:space="preserve">Rec. </w:t>
    </w:r>
    <w:r w:rsidR="007A62BD">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7A62BD">
      <w:rPr>
        <w:b/>
        <w:bCs/>
        <w:noProof/>
      </w:rPr>
      <w:t>UIT-R  M.2031-1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7A62BD">
      <w:rPr>
        <w:rStyle w:val="PageNumber"/>
        <w:b/>
        <w:bCs/>
        <w:noProof/>
      </w:rPr>
      <w:t>7</w:t>
    </w:r>
    <w:r w:rsidRPr="00F32218">
      <w:rPr>
        <w:rStyle w:val="PageNumber"/>
        <w:b/>
        <w:bCs/>
        <w:noProof/>
      </w:rPr>
      <w:fldChar w:fldCharType="end"/>
    </w:r>
  </w:p>
  <w:p w:rsidR="00427ED9" w:rsidRDefault="00427E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643D5"/>
    <w:rsid w:val="000E6922"/>
    <w:rsid w:val="00110608"/>
    <w:rsid w:val="001160FC"/>
    <w:rsid w:val="0017356D"/>
    <w:rsid w:val="00195BC8"/>
    <w:rsid w:val="001B26B3"/>
    <w:rsid w:val="001B2F46"/>
    <w:rsid w:val="001B395D"/>
    <w:rsid w:val="001C7664"/>
    <w:rsid w:val="0021735B"/>
    <w:rsid w:val="002D76C4"/>
    <w:rsid w:val="00383195"/>
    <w:rsid w:val="00396B3D"/>
    <w:rsid w:val="00410F5B"/>
    <w:rsid w:val="00427ED9"/>
    <w:rsid w:val="004D6AAE"/>
    <w:rsid w:val="004E4FBE"/>
    <w:rsid w:val="00513372"/>
    <w:rsid w:val="00561B54"/>
    <w:rsid w:val="00567624"/>
    <w:rsid w:val="00574749"/>
    <w:rsid w:val="00607D68"/>
    <w:rsid w:val="00616F70"/>
    <w:rsid w:val="006870AA"/>
    <w:rsid w:val="006F3D6E"/>
    <w:rsid w:val="007172BA"/>
    <w:rsid w:val="0075790F"/>
    <w:rsid w:val="0076082A"/>
    <w:rsid w:val="007A62BD"/>
    <w:rsid w:val="00810D16"/>
    <w:rsid w:val="008454E0"/>
    <w:rsid w:val="008B3D22"/>
    <w:rsid w:val="008C67E6"/>
    <w:rsid w:val="008E3A44"/>
    <w:rsid w:val="00906075"/>
    <w:rsid w:val="009636CF"/>
    <w:rsid w:val="00982F3A"/>
    <w:rsid w:val="00A04C0D"/>
    <w:rsid w:val="00A07AEB"/>
    <w:rsid w:val="00A6617B"/>
    <w:rsid w:val="00A80825"/>
    <w:rsid w:val="00AB0DC8"/>
    <w:rsid w:val="00B42F17"/>
    <w:rsid w:val="00B44E24"/>
    <w:rsid w:val="00B971C6"/>
    <w:rsid w:val="00BD1450"/>
    <w:rsid w:val="00BF026D"/>
    <w:rsid w:val="00C36A75"/>
    <w:rsid w:val="00C411AF"/>
    <w:rsid w:val="00CB1354"/>
    <w:rsid w:val="00CF7F63"/>
    <w:rsid w:val="00D131B8"/>
    <w:rsid w:val="00D33FA3"/>
    <w:rsid w:val="00D4362D"/>
    <w:rsid w:val="00DD2901"/>
    <w:rsid w:val="00DF4176"/>
    <w:rsid w:val="00DF4734"/>
    <w:rsid w:val="00E704B6"/>
    <w:rsid w:val="00EA4D20"/>
    <w:rsid w:val="00ED6A57"/>
    <w:rsid w:val="00EE743D"/>
    <w:rsid w:val="00F25C84"/>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A4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E3A44"/>
    <w:pPr>
      <w:keepNext/>
      <w:keepLines/>
      <w:spacing w:before="480"/>
      <w:ind w:left="794" w:hanging="794"/>
      <w:outlineLvl w:val="0"/>
    </w:pPr>
    <w:rPr>
      <w:b/>
    </w:rPr>
  </w:style>
  <w:style w:type="paragraph" w:styleId="Heading2">
    <w:name w:val="heading 2"/>
    <w:basedOn w:val="Heading1"/>
    <w:next w:val="Normal"/>
    <w:link w:val="Heading2Char"/>
    <w:qFormat/>
    <w:rsid w:val="008E3A44"/>
    <w:pPr>
      <w:spacing w:before="320"/>
      <w:outlineLvl w:val="1"/>
    </w:pPr>
  </w:style>
  <w:style w:type="paragraph" w:styleId="Heading3">
    <w:name w:val="heading 3"/>
    <w:basedOn w:val="Heading1"/>
    <w:next w:val="Normal"/>
    <w:qFormat/>
    <w:rsid w:val="008E3A44"/>
    <w:pPr>
      <w:spacing w:before="200"/>
      <w:outlineLvl w:val="2"/>
    </w:pPr>
  </w:style>
  <w:style w:type="paragraph" w:styleId="Heading4">
    <w:name w:val="heading 4"/>
    <w:basedOn w:val="Heading3"/>
    <w:next w:val="Normal"/>
    <w:qFormat/>
    <w:rsid w:val="008E3A44"/>
    <w:pPr>
      <w:tabs>
        <w:tab w:val="clear" w:pos="794"/>
        <w:tab w:val="left" w:pos="992"/>
      </w:tabs>
      <w:ind w:left="992" w:hanging="992"/>
      <w:outlineLvl w:val="3"/>
    </w:pPr>
  </w:style>
  <w:style w:type="paragraph" w:styleId="Heading5">
    <w:name w:val="heading 5"/>
    <w:basedOn w:val="Heading4"/>
    <w:next w:val="Normal"/>
    <w:qFormat/>
    <w:rsid w:val="008E3A44"/>
    <w:pPr>
      <w:outlineLvl w:val="4"/>
    </w:pPr>
  </w:style>
  <w:style w:type="paragraph" w:styleId="Heading6">
    <w:name w:val="heading 6"/>
    <w:basedOn w:val="Heading4"/>
    <w:next w:val="Normal"/>
    <w:qFormat/>
    <w:rsid w:val="008E3A44"/>
    <w:pPr>
      <w:tabs>
        <w:tab w:val="clear" w:pos="992"/>
        <w:tab w:val="clear" w:pos="1191"/>
      </w:tabs>
      <w:ind w:left="1588" w:hanging="1588"/>
      <w:outlineLvl w:val="5"/>
    </w:pPr>
  </w:style>
  <w:style w:type="paragraph" w:styleId="Heading7">
    <w:name w:val="heading 7"/>
    <w:basedOn w:val="Heading6"/>
    <w:next w:val="Normal"/>
    <w:qFormat/>
    <w:rsid w:val="008E3A44"/>
    <w:pPr>
      <w:outlineLvl w:val="6"/>
    </w:pPr>
  </w:style>
  <w:style w:type="paragraph" w:styleId="Heading8">
    <w:name w:val="heading 8"/>
    <w:basedOn w:val="Heading6"/>
    <w:next w:val="Normal"/>
    <w:qFormat/>
    <w:rsid w:val="008E3A44"/>
    <w:pPr>
      <w:outlineLvl w:val="7"/>
    </w:pPr>
  </w:style>
  <w:style w:type="paragraph" w:styleId="Heading9">
    <w:name w:val="heading 9"/>
    <w:basedOn w:val="Heading6"/>
    <w:next w:val="Normal"/>
    <w:qFormat/>
    <w:rsid w:val="008E3A44"/>
    <w:pPr>
      <w:jc w:val="left"/>
      <w:outlineLvl w:val="8"/>
    </w:pPr>
  </w:style>
  <w:style w:type="character" w:default="1" w:styleId="DefaultParagraphFont">
    <w:name w:val="Default Paragraph Font"/>
    <w:uiPriority w:val="1"/>
    <w:semiHidden/>
    <w:unhideWhenUsed/>
    <w:rsid w:val="008E3A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3A44"/>
  </w:style>
  <w:style w:type="paragraph" w:styleId="Header">
    <w:name w:val="header"/>
    <w:basedOn w:val="Normal"/>
    <w:link w:val="HeaderChar"/>
    <w:rsid w:val="008E3A4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E3A4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E3A44"/>
  </w:style>
  <w:style w:type="paragraph" w:customStyle="1" w:styleId="Headingb">
    <w:name w:val="Heading_b"/>
    <w:basedOn w:val="Heading3"/>
    <w:next w:val="Normal"/>
    <w:link w:val="HeadingbChar"/>
    <w:rsid w:val="008E3A44"/>
    <w:pPr>
      <w:spacing w:before="160"/>
      <w:ind w:left="0" w:firstLine="0"/>
      <w:outlineLvl w:val="9"/>
    </w:pPr>
  </w:style>
  <w:style w:type="paragraph" w:customStyle="1" w:styleId="Headingi">
    <w:name w:val="Heading_i"/>
    <w:basedOn w:val="Heading3"/>
    <w:next w:val="Normal"/>
    <w:rsid w:val="008E3A44"/>
    <w:pPr>
      <w:spacing w:before="160"/>
      <w:ind w:left="0" w:firstLine="0"/>
    </w:pPr>
    <w:rPr>
      <w:b w:val="0"/>
      <w:i/>
    </w:rPr>
  </w:style>
  <w:style w:type="character" w:customStyle="1" w:styleId="href">
    <w:name w:val="href"/>
    <w:basedOn w:val="DefaultParagraphFont"/>
    <w:rsid w:val="008E3A44"/>
  </w:style>
  <w:style w:type="paragraph" w:customStyle="1" w:styleId="enumlev1">
    <w:name w:val="enumlev1"/>
    <w:basedOn w:val="Normal"/>
    <w:rsid w:val="008E3A44"/>
    <w:pPr>
      <w:spacing w:before="80"/>
      <w:ind w:left="794" w:hanging="794"/>
    </w:pPr>
  </w:style>
  <w:style w:type="paragraph" w:customStyle="1" w:styleId="enumlev2">
    <w:name w:val="enumlev2"/>
    <w:basedOn w:val="enumlev1"/>
    <w:rsid w:val="008E3A44"/>
    <w:pPr>
      <w:ind w:left="1191" w:hanging="397"/>
    </w:pPr>
  </w:style>
  <w:style w:type="paragraph" w:customStyle="1" w:styleId="enumlev3">
    <w:name w:val="enumlev3"/>
    <w:basedOn w:val="enumlev2"/>
    <w:rsid w:val="008E3A44"/>
    <w:pPr>
      <w:ind w:left="1588"/>
    </w:pPr>
  </w:style>
  <w:style w:type="paragraph" w:customStyle="1" w:styleId="Normalaftertitle">
    <w:name w:val="Normal_after_title"/>
    <w:basedOn w:val="Normal"/>
    <w:next w:val="Normal"/>
    <w:rsid w:val="008E3A44"/>
    <w:pPr>
      <w:spacing w:before="320"/>
    </w:pPr>
  </w:style>
  <w:style w:type="paragraph" w:customStyle="1" w:styleId="Note">
    <w:name w:val="Note"/>
    <w:basedOn w:val="Normal"/>
    <w:rsid w:val="008E3A4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E3A4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E3A44"/>
    <w:pPr>
      <w:spacing w:before="240"/>
    </w:pPr>
    <w:rPr>
      <w:sz w:val="22"/>
      <w:lang w:val="es-ES_tradnl"/>
    </w:rPr>
  </w:style>
  <w:style w:type="paragraph" w:customStyle="1" w:styleId="Recref">
    <w:name w:val="Rec_ref"/>
    <w:basedOn w:val="Normal"/>
    <w:next w:val="Recdate"/>
    <w:rsid w:val="008E3A44"/>
    <w:pPr>
      <w:jc w:val="center"/>
    </w:pPr>
  </w:style>
  <w:style w:type="paragraph" w:customStyle="1" w:styleId="Recdate">
    <w:name w:val="Rec_date"/>
    <w:basedOn w:val="Recref"/>
    <w:next w:val="Normalaftertitle"/>
    <w:rsid w:val="008E3A44"/>
    <w:pPr>
      <w:jc w:val="right"/>
    </w:pPr>
  </w:style>
  <w:style w:type="paragraph" w:customStyle="1" w:styleId="AnnexNoTitle">
    <w:name w:val="Annex_NoTitle"/>
    <w:basedOn w:val="Normal"/>
    <w:next w:val="Normalaftertitle"/>
    <w:rsid w:val="008E3A44"/>
    <w:pPr>
      <w:keepNext/>
      <w:keepLines/>
      <w:spacing w:before="480" w:after="80"/>
      <w:jc w:val="center"/>
    </w:pPr>
    <w:rPr>
      <w:b/>
      <w:sz w:val="28"/>
    </w:rPr>
  </w:style>
  <w:style w:type="paragraph" w:customStyle="1" w:styleId="AppendixNoTitle">
    <w:name w:val="Appendix_NoTitle"/>
    <w:basedOn w:val="AnnexNoTitle"/>
    <w:next w:val="Normal"/>
    <w:rsid w:val="008E3A44"/>
  </w:style>
  <w:style w:type="paragraph" w:customStyle="1" w:styleId="Tablefin">
    <w:name w:val="Table_fin"/>
    <w:basedOn w:val="Normal"/>
    <w:next w:val="Normal"/>
    <w:rsid w:val="008E3A44"/>
    <w:pPr>
      <w:spacing w:before="0"/>
    </w:pPr>
    <w:rPr>
      <w:sz w:val="20"/>
      <w:lang w:val="en-GB"/>
    </w:rPr>
  </w:style>
  <w:style w:type="paragraph" w:customStyle="1" w:styleId="Tablehead">
    <w:name w:val="Table_head"/>
    <w:basedOn w:val="Normal"/>
    <w:next w:val="Normal"/>
    <w:link w:val="TableheadChar"/>
    <w:rsid w:val="008E3A4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E3A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E3A44"/>
    <w:pPr>
      <w:keepNext/>
      <w:spacing w:before="360" w:after="120"/>
      <w:jc w:val="center"/>
    </w:pPr>
  </w:style>
  <w:style w:type="paragraph" w:customStyle="1" w:styleId="Tabletext">
    <w:name w:val="Table_text"/>
    <w:basedOn w:val="Normal"/>
    <w:link w:val="TabletextChar"/>
    <w:rsid w:val="008E3A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E3A44"/>
    <w:pPr>
      <w:tabs>
        <w:tab w:val="clear" w:pos="1191"/>
        <w:tab w:val="clear" w:pos="1588"/>
        <w:tab w:val="clear" w:pos="1985"/>
        <w:tab w:val="center" w:pos="4820"/>
        <w:tab w:val="right" w:pos="9639"/>
      </w:tabs>
    </w:pPr>
  </w:style>
  <w:style w:type="paragraph" w:customStyle="1" w:styleId="Equationlegend">
    <w:name w:val="Equation_legend"/>
    <w:basedOn w:val="NormalIndent"/>
    <w:rsid w:val="008E3A4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3A44"/>
    <w:pPr>
      <w:ind w:left="794"/>
    </w:pPr>
  </w:style>
  <w:style w:type="paragraph" w:customStyle="1" w:styleId="Figurelegend">
    <w:name w:val="Figure_legend"/>
    <w:basedOn w:val="Normal"/>
    <w:rsid w:val="008E3A4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E3A44"/>
    <w:pPr>
      <w:keepNext/>
      <w:keepLines/>
      <w:spacing w:before="480" w:after="80"/>
      <w:jc w:val="center"/>
    </w:pPr>
    <w:rPr>
      <w:caps/>
      <w:sz w:val="18"/>
    </w:rPr>
  </w:style>
  <w:style w:type="paragraph" w:customStyle="1" w:styleId="tocpart">
    <w:name w:val="tocpart"/>
    <w:basedOn w:val="Normal"/>
    <w:rsid w:val="008E3A4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3A44"/>
    <w:pPr>
      <w:keepNext/>
      <w:keepLines/>
      <w:spacing w:before="480"/>
      <w:jc w:val="center"/>
    </w:pPr>
    <w:rPr>
      <w:sz w:val="28"/>
    </w:rPr>
  </w:style>
  <w:style w:type="paragraph" w:customStyle="1" w:styleId="Arttitle">
    <w:name w:val="Art_title"/>
    <w:basedOn w:val="Normal"/>
    <w:next w:val="Normalaftertitle"/>
    <w:rsid w:val="008E3A44"/>
    <w:pPr>
      <w:keepNext/>
      <w:keepLines/>
      <w:spacing w:before="240"/>
      <w:jc w:val="center"/>
    </w:pPr>
    <w:rPr>
      <w:b/>
      <w:sz w:val="28"/>
    </w:rPr>
  </w:style>
  <w:style w:type="paragraph" w:customStyle="1" w:styleId="Blanc">
    <w:name w:val="Blanc"/>
    <w:basedOn w:val="Normal"/>
    <w:next w:val="Tabletext"/>
    <w:rsid w:val="008E3A4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3A4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3A44"/>
    <w:pPr>
      <w:keepNext/>
      <w:keepLines/>
      <w:spacing w:before="160"/>
      <w:ind w:left="794"/>
    </w:pPr>
    <w:rPr>
      <w:i/>
    </w:rPr>
  </w:style>
  <w:style w:type="paragraph" w:customStyle="1" w:styleId="ChapNo">
    <w:name w:val="Chap_No"/>
    <w:basedOn w:val="ArtNo"/>
    <w:next w:val="Chaptitle"/>
    <w:rsid w:val="008E3A44"/>
    <w:rPr>
      <w:b/>
    </w:rPr>
  </w:style>
  <w:style w:type="paragraph" w:customStyle="1" w:styleId="Chaptitle">
    <w:name w:val="Chap_title"/>
    <w:basedOn w:val="Arttitle"/>
    <w:next w:val="Normalaftertitle"/>
    <w:rsid w:val="008E3A44"/>
  </w:style>
  <w:style w:type="character" w:styleId="FootnoteReference">
    <w:name w:val="footnote reference"/>
    <w:aliases w:val="Appel note de bas de p,Footnote Reference/"/>
    <w:basedOn w:val="DefaultParagraphFont"/>
    <w:uiPriority w:val="99"/>
    <w:rsid w:val="008E3A44"/>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
    <w:basedOn w:val="Normal"/>
    <w:link w:val="FootnoteTextChar"/>
    <w:uiPriority w:val="99"/>
    <w:rsid w:val="008E3A44"/>
    <w:pPr>
      <w:keepLines/>
      <w:tabs>
        <w:tab w:val="left" w:pos="255"/>
      </w:tabs>
      <w:ind w:left="255" w:hanging="255"/>
    </w:pPr>
    <w:rPr>
      <w:sz w:val="22"/>
    </w:rPr>
  </w:style>
  <w:style w:type="paragraph" w:styleId="Index1">
    <w:name w:val="index 1"/>
    <w:basedOn w:val="Normal"/>
    <w:next w:val="Normal"/>
    <w:semiHidden/>
    <w:rsid w:val="008E3A44"/>
  </w:style>
  <w:style w:type="paragraph" w:styleId="Index2">
    <w:name w:val="index 2"/>
    <w:basedOn w:val="Normal"/>
    <w:next w:val="Normal"/>
    <w:semiHidden/>
    <w:rsid w:val="008E3A44"/>
    <w:pPr>
      <w:ind w:left="283"/>
    </w:pPr>
  </w:style>
  <w:style w:type="paragraph" w:styleId="Index3">
    <w:name w:val="index 3"/>
    <w:basedOn w:val="Normal"/>
    <w:next w:val="Normal"/>
    <w:semiHidden/>
    <w:rsid w:val="008E3A44"/>
    <w:pPr>
      <w:ind w:left="566"/>
    </w:pPr>
  </w:style>
  <w:style w:type="paragraph" w:styleId="IndexHeading">
    <w:name w:val="index heading"/>
    <w:basedOn w:val="Normal"/>
    <w:next w:val="Index1"/>
    <w:semiHidden/>
    <w:rsid w:val="008E3A44"/>
  </w:style>
  <w:style w:type="paragraph" w:customStyle="1" w:styleId="Line">
    <w:name w:val="Line"/>
    <w:basedOn w:val="Normal"/>
    <w:next w:val="Normal"/>
    <w:rsid w:val="008E3A4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3A4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3A44"/>
  </w:style>
  <w:style w:type="paragraph" w:customStyle="1" w:styleId="Partref">
    <w:name w:val="Part_ref"/>
    <w:basedOn w:val="Normal"/>
    <w:next w:val="Normal"/>
    <w:rsid w:val="008E3A44"/>
    <w:pPr>
      <w:keepNext/>
      <w:keepLines/>
      <w:spacing w:after="280"/>
      <w:jc w:val="center"/>
    </w:pPr>
  </w:style>
  <w:style w:type="paragraph" w:customStyle="1" w:styleId="Parttitle">
    <w:name w:val="Part_title"/>
    <w:basedOn w:val="Normal"/>
    <w:next w:val="Normalaftertitle"/>
    <w:rsid w:val="008E3A4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3A44"/>
  </w:style>
  <w:style w:type="paragraph" w:customStyle="1" w:styleId="QuestionNo">
    <w:name w:val="Question_No"/>
    <w:basedOn w:val="RecNo"/>
    <w:next w:val="Normal"/>
    <w:rsid w:val="008E3A44"/>
  </w:style>
  <w:style w:type="paragraph" w:customStyle="1" w:styleId="Questionref">
    <w:name w:val="Question_ref"/>
    <w:basedOn w:val="Recref"/>
    <w:next w:val="Questiondate"/>
    <w:rsid w:val="008E3A44"/>
  </w:style>
  <w:style w:type="paragraph" w:customStyle="1" w:styleId="Questiontitle">
    <w:name w:val="Question_title"/>
    <w:basedOn w:val="Normal"/>
    <w:next w:val="Questionref"/>
    <w:rsid w:val="008E3A44"/>
  </w:style>
  <w:style w:type="paragraph" w:customStyle="1" w:styleId="Reftext">
    <w:name w:val="Ref_text"/>
    <w:basedOn w:val="Normal"/>
    <w:rsid w:val="008E3A44"/>
    <w:pPr>
      <w:ind w:left="794" w:hanging="794"/>
    </w:pPr>
    <w:rPr>
      <w:sz w:val="22"/>
    </w:rPr>
  </w:style>
  <w:style w:type="paragraph" w:customStyle="1" w:styleId="Reftitle">
    <w:name w:val="Ref_title"/>
    <w:basedOn w:val="Normal"/>
    <w:next w:val="Reftext"/>
    <w:rsid w:val="008E3A4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3A44"/>
  </w:style>
  <w:style w:type="paragraph" w:customStyle="1" w:styleId="RepNo">
    <w:name w:val="Rep_No"/>
    <w:basedOn w:val="RecNo"/>
    <w:next w:val="Reptitle"/>
    <w:rsid w:val="008E3A44"/>
  </w:style>
  <w:style w:type="paragraph" w:customStyle="1" w:styleId="Repref">
    <w:name w:val="Rep_ref"/>
    <w:basedOn w:val="Recref"/>
    <w:next w:val="Repdate"/>
    <w:rsid w:val="008E3A44"/>
  </w:style>
  <w:style w:type="paragraph" w:customStyle="1" w:styleId="Reptitle">
    <w:name w:val="Rep_title"/>
    <w:basedOn w:val="Rectitle"/>
    <w:next w:val="Repref"/>
    <w:rsid w:val="008E3A44"/>
  </w:style>
  <w:style w:type="paragraph" w:customStyle="1" w:styleId="Resdate">
    <w:name w:val="Res_date"/>
    <w:basedOn w:val="Recdate"/>
    <w:next w:val="Normalaftertitle"/>
    <w:rsid w:val="008E3A44"/>
  </w:style>
  <w:style w:type="paragraph" w:customStyle="1" w:styleId="ResNo">
    <w:name w:val="Res_No"/>
    <w:basedOn w:val="RecNo"/>
    <w:next w:val="Restitle"/>
    <w:rsid w:val="008E3A44"/>
  </w:style>
  <w:style w:type="paragraph" w:customStyle="1" w:styleId="Resref">
    <w:name w:val="Res_ref"/>
    <w:basedOn w:val="Recref"/>
    <w:next w:val="Resdate"/>
    <w:rsid w:val="008E3A44"/>
  </w:style>
  <w:style w:type="paragraph" w:customStyle="1" w:styleId="Restitle">
    <w:name w:val="Res_title"/>
    <w:basedOn w:val="Normal"/>
    <w:next w:val="Resref"/>
    <w:rsid w:val="008E3A44"/>
    <w:pPr>
      <w:spacing w:before="240"/>
      <w:jc w:val="center"/>
    </w:pPr>
    <w:rPr>
      <w:b/>
      <w:sz w:val="28"/>
    </w:rPr>
  </w:style>
  <w:style w:type="paragraph" w:customStyle="1" w:styleId="SectionNo">
    <w:name w:val="Section_No"/>
    <w:basedOn w:val="Normal"/>
    <w:next w:val="Normal"/>
    <w:rsid w:val="008E3A44"/>
  </w:style>
  <w:style w:type="paragraph" w:customStyle="1" w:styleId="Sectiontitle">
    <w:name w:val="Section_title"/>
    <w:basedOn w:val="Normal"/>
    <w:next w:val="Normalaftertitle"/>
    <w:rsid w:val="008E3A4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3A44"/>
    <w:pPr>
      <w:tabs>
        <w:tab w:val="clear" w:pos="794"/>
        <w:tab w:val="clear" w:pos="1191"/>
        <w:tab w:val="clear" w:pos="1588"/>
        <w:tab w:val="clear" w:pos="1985"/>
        <w:tab w:val="right" w:pos="9611"/>
      </w:tabs>
    </w:pPr>
    <w:rPr>
      <w:i/>
    </w:rPr>
  </w:style>
  <w:style w:type="paragraph" w:styleId="TOC1">
    <w:name w:val="toc 1"/>
    <w:basedOn w:val="Normal"/>
    <w:rsid w:val="008E3A4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E3A44"/>
    <w:pPr>
      <w:tabs>
        <w:tab w:val="clear" w:pos="567"/>
        <w:tab w:val="left" w:pos="1276"/>
      </w:tabs>
      <w:spacing w:before="160"/>
      <w:ind w:left="1276" w:hanging="709"/>
    </w:pPr>
  </w:style>
  <w:style w:type="paragraph" w:styleId="TOC3">
    <w:name w:val="toc 3"/>
    <w:basedOn w:val="TOC2"/>
    <w:semiHidden/>
    <w:rsid w:val="008E3A44"/>
    <w:pPr>
      <w:tabs>
        <w:tab w:val="clear" w:pos="1276"/>
        <w:tab w:val="left" w:pos="2155"/>
      </w:tabs>
      <w:ind w:left="2155" w:hanging="879"/>
    </w:pPr>
  </w:style>
  <w:style w:type="paragraph" w:styleId="TOC4">
    <w:name w:val="toc 4"/>
    <w:basedOn w:val="TOC3"/>
    <w:semiHidden/>
    <w:rsid w:val="008E3A44"/>
    <w:pPr>
      <w:tabs>
        <w:tab w:val="left" w:pos="3261"/>
      </w:tabs>
      <w:spacing w:before="80"/>
      <w:ind w:left="3261" w:hanging="993"/>
    </w:pPr>
  </w:style>
  <w:style w:type="paragraph" w:styleId="TOC5">
    <w:name w:val="toc 5"/>
    <w:basedOn w:val="TOC4"/>
    <w:semiHidden/>
    <w:rsid w:val="008E3A44"/>
  </w:style>
  <w:style w:type="paragraph" w:styleId="TOC6">
    <w:name w:val="toc 6"/>
    <w:basedOn w:val="TOC4"/>
    <w:semiHidden/>
    <w:rsid w:val="008E3A44"/>
  </w:style>
  <w:style w:type="paragraph" w:styleId="TOC7">
    <w:name w:val="toc 7"/>
    <w:basedOn w:val="TOC4"/>
    <w:semiHidden/>
    <w:rsid w:val="008E3A44"/>
  </w:style>
  <w:style w:type="paragraph" w:styleId="TOC8">
    <w:name w:val="toc 8"/>
    <w:basedOn w:val="TOC4"/>
    <w:semiHidden/>
    <w:rsid w:val="008E3A44"/>
  </w:style>
  <w:style w:type="paragraph" w:customStyle="1" w:styleId="Rectitle">
    <w:name w:val="Rec_title"/>
    <w:basedOn w:val="Normal"/>
    <w:next w:val="Recref"/>
    <w:rsid w:val="008E3A44"/>
    <w:pPr>
      <w:keepNext/>
      <w:keepLines/>
      <w:spacing w:before="240"/>
      <w:jc w:val="center"/>
    </w:pPr>
    <w:rPr>
      <w:b/>
      <w:sz w:val="28"/>
    </w:rPr>
  </w:style>
  <w:style w:type="paragraph" w:customStyle="1" w:styleId="Annexref">
    <w:name w:val="Annex_ref"/>
    <w:basedOn w:val="Normal"/>
    <w:next w:val="Normalaftertitle"/>
    <w:rsid w:val="008E3A44"/>
    <w:pPr>
      <w:keepNext/>
      <w:keepLines/>
      <w:spacing w:after="280"/>
      <w:jc w:val="center"/>
    </w:pPr>
  </w:style>
  <w:style w:type="paragraph" w:customStyle="1" w:styleId="Appendixref">
    <w:name w:val="Appendix_ref"/>
    <w:basedOn w:val="Annexref"/>
    <w:next w:val="Normalaftertitle"/>
    <w:rsid w:val="008E3A44"/>
  </w:style>
  <w:style w:type="paragraph" w:customStyle="1" w:styleId="Figuretitle">
    <w:name w:val="Figure_title"/>
    <w:basedOn w:val="Normal"/>
    <w:next w:val="Figure"/>
    <w:rsid w:val="008E3A4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E3A44"/>
    <w:pPr>
      <w:keepNext/>
      <w:spacing w:before="0" w:after="120"/>
      <w:jc w:val="center"/>
    </w:pPr>
    <w:rPr>
      <w:b/>
    </w:rPr>
  </w:style>
  <w:style w:type="paragraph" w:customStyle="1" w:styleId="Summary">
    <w:name w:val="Summary"/>
    <w:basedOn w:val="Normal"/>
    <w:next w:val="Normalaftertitle"/>
    <w:autoRedefine/>
    <w:rsid w:val="008E3A44"/>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8E3A44"/>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E3A44"/>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bChar">
    <w:name w:val="Heading_b Char"/>
    <w:link w:val="Headingb"/>
    <w:locked/>
    <w:rsid w:val="00F25C84"/>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75790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TotalTime>
  <Pages>14</Pages>
  <Words>5691</Words>
  <Characters>30915</Characters>
  <Application>Microsoft Office Word</Application>
  <DocSecurity>0</DocSecurity>
  <Lines>257</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36533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26</cp:revision>
  <cp:lastPrinted>2016-11-28T10:46:00Z</cp:lastPrinted>
  <dcterms:created xsi:type="dcterms:W3CDTF">2016-11-28T09:43:00Z</dcterms:created>
  <dcterms:modified xsi:type="dcterms:W3CDTF">2016-11-28T10:48:00Z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