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94B" w:rsidRDefault="00CE494B" w:rsidP="00CE494B">
      <w:bookmarkStart w:id="0" w:name="_GoBack"/>
      <w:bookmarkEnd w:id="0"/>
    </w:p>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p w:rsidR="00CE494B" w:rsidRDefault="00CE494B" w:rsidP="00CE494B"/>
    <w:tbl>
      <w:tblPr>
        <w:tblW w:w="10089" w:type="dxa"/>
        <w:tblLook w:val="01E0" w:firstRow="1" w:lastRow="1" w:firstColumn="1" w:lastColumn="1" w:noHBand="0" w:noVBand="0"/>
      </w:tblPr>
      <w:tblGrid>
        <w:gridCol w:w="10089"/>
      </w:tblGrid>
      <w:tr w:rsidR="00CE494B" w:rsidRPr="004F65E4" w:rsidTr="006345E3">
        <w:tc>
          <w:tcPr>
            <w:tcW w:w="10089" w:type="dxa"/>
          </w:tcPr>
          <w:p w:rsidR="00CE494B" w:rsidRPr="001511A6" w:rsidRDefault="00CE494B" w:rsidP="006345E3">
            <w:pPr>
              <w:spacing w:before="380" w:line="280" w:lineRule="exact"/>
              <w:jc w:val="right"/>
              <w:rPr>
                <w:rFonts w:ascii="Tahoma" w:hAnsi="Tahoma" w:cs="Tahoma"/>
                <w:b/>
                <w:bCs/>
                <w:iCs/>
                <w:color w:val="243285"/>
                <w:sz w:val="32"/>
                <w:szCs w:val="32"/>
                <w:lang w:val="en-US"/>
              </w:rPr>
            </w:pPr>
          </w:p>
          <w:p w:rsidR="00CE494B" w:rsidRPr="004F65E4" w:rsidRDefault="00CE494B" w:rsidP="006345E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B70DD6">
              <w:rPr>
                <w:rFonts w:ascii="Tahoma" w:hAnsi="Tahoma" w:cs="Tahoma"/>
                <w:b/>
                <w:bCs/>
                <w:iCs/>
                <w:color w:val="243285"/>
                <w:sz w:val="36"/>
                <w:szCs w:val="36"/>
              </w:rPr>
              <w:t>2031-1</w:t>
            </w:r>
          </w:p>
          <w:p w:rsidR="00CE494B" w:rsidRPr="004F65E4" w:rsidRDefault="00CE494B" w:rsidP="00B70DD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70DD6">
              <w:rPr>
                <w:rFonts w:ascii="Tahoma" w:hAnsi="Tahoma" w:cs="Tahoma"/>
                <w:b/>
                <w:bCs/>
                <w:iCs/>
                <w:color w:val="243285"/>
                <w:szCs w:val="24"/>
              </w:rPr>
              <w:t>09</w:t>
            </w:r>
            <w:r w:rsidRPr="004F65E4">
              <w:rPr>
                <w:rFonts w:ascii="Tahoma" w:hAnsi="Tahoma" w:cs="Tahoma"/>
                <w:b/>
                <w:bCs/>
                <w:iCs/>
                <w:color w:val="243285"/>
                <w:szCs w:val="24"/>
              </w:rPr>
              <w:t>/</w:t>
            </w:r>
            <w:r w:rsidR="00B70DD6">
              <w:rPr>
                <w:rFonts w:ascii="Tahoma" w:hAnsi="Tahoma" w:cs="Tahoma"/>
                <w:b/>
                <w:bCs/>
                <w:iCs/>
                <w:color w:val="243285"/>
                <w:szCs w:val="24"/>
              </w:rPr>
              <w:t>2015</w:t>
            </w:r>
            <w:r w:rsidRPr="004F65E4">
              <w:rPr>
                <w:rFonts w:ascii="Tahoma" w:hAnsi="Tahoma" w:cs="Tahoma"/>
                <w:b/>
                <w:bCs/>
                <w:iCs/>
                <w:color w:val="243285"/>
                <w:szCs w:val="24"/>
              </w:rPr>
              <w:t>)</w:t>
            </w:r>
          </w:p>
        </w:tc>
      </w:tr>
      <w:tr w:rsidR="00CE494B" w:rsidRPr="001A02C5" w:rsidTr="006345E3">
        <w:tc>
          <w:tcPr>
            <w:tcW w:w="10089" w:type="dxa"/>
          </w:tcPr>
          <w:p w:rsidR="00CE494B" w:rsidRPr="003E1DED" w:rsidRDefault="00CE494B" w:rsidP="006345E3">
            <w:pPr>
              <w:spacing w:before="80" w:line="500" w:lineRule="exact"/>
              <w:jc w:val="right"/>
              <w:rPr>
                <w:rFonts w:ascii="Tahoma" w:hAnsi="Tahoma" w:cs="Tahoma"/>
                <w:b/>
                <w:bCs/>
                <w:iCs/>
                <w:color w:val="243285"/>
                <w:sz w:val="44"/>
                <w:szCs w:val="44"/>
                <w:lang w:val="en-US"/>
              </w:rPr>
            </w:pPr>
          </w:p>
          <w:p w:rsidR="00CE494B" w:rsidRPr="00052F66" w:rsidRDefault="00B70DD6" w:rsidP="00B70DD6">
            <w:pPr>
              <w:spacing w:before="80" w:line="500" w:lineRule="exact"/>
              <w:jc w:val="right"/>
              <w:rPr>
                <w:rFonts w:ascii="Tahoma" w:hAnsi="Tahoma" w:cs="Tahoma"/>
                <w:b/>
                <w:bCs/>
                <w:iCs/>
                <w:color w:val="243285"/>
                <w:sz w:val="44"/>
                <w:szCs w:val="44"/>
                <w:lang w:val="en-US"/>
              </w:rPr>
            </w:pPr>
            <w:r w:rsidRPr="00B70DD6">
              <w:rPr>
                <w:rFonts w:ascii="Tahoma" w:hAnsi="Tahoma" w:cs="Tahoma"/>
                <w:b/>
                <w:bCs/>
                <w:iCs/>
                <w:color w:val="243285"/>
                <w:sz w:val="44"/>
                <w:szCs w:val="44"/>
                <w:lang w:val="en-US"/>
              </w:rPr>
              <w:t xml:space="preserve">Characteristics and protection criteria of receiving </w:t>
            </w:r>
            <w:r w:rsidRPr="00B70DD6">
              <w:rPr>
                <w:rFonts w:ascii="Tahoma" w:hAnsi="Tahoma" w:cs="Tahoma" w:hint="eastAsia"/>
                <w:b/>
                <w:bCs/>
                <w:iCs/>
                <w:color w:val="243285"/>
                <w:sz w:val="44"/>
                <w:szCs w:val="44"/>
                <w:lang w:val="en-US"/>
              </w:rPr>
              <w:t>earth</w:t>
            </w:r>
            <w:r w:rsidRPr="00B70DD6">
              <w:rPr>
                <w:rFonts w:ascii="Tahoma" w:hAnsi="Tahoma" w:cs="Tahoma"/>
                <w:b/>
                <w:bCs/>
                <w:iCs/>
                <w:color w:val="243285"/>
                <w:sz w:val="44"/>
                <w:szCs w:val="44"/>
                <w:lang w:val="en-US"/>
              </w:rPr>
              <w:t xml:space="preserve"> stations</w:t>
            </w:r>
            <w:r w:rsidRPr="00B70DD6">
              <w:rPr>
                <w:rFonts w:ascii="Tahoma" w:hAnsi="Tahoma" w:cs="Tahoma" w:hint="eastAsia"/>
                <w:b/>
                <w:bCs/>
                <w:iCs/>
                <w:color w:val="243285"/>
                <w:sz w:val="44"/>
                <w:szCs w:val="44"/>
                <w:lang w:val="en-US"/>
              </w:rPr>
              <w:t xml:space="preserve"> </w:t>
            </w:r>
            <w:r w:rsidRPr="00B70DD6">
              <w:rPr>
                <w:rFonts w:ascii="Tahoma" w:hAnsi="Tahoma" w:cs="Tahoma"/>
                <w:b/>
                <w:bCs/>
                <w:iCs/>
                <w:color w:val="243285"/>
                <w:sz w:val="44"/>
                <w:szCs w:val="44"/>
                <w:lang w:val="en-US"/>
              </w:rPr>
              <w:t>and characteristics</w:t>
            </w:r>
            <w:r>
              <w:rPr>
                <w:rFonts w:ascii="Tahoma" w:hAnsi="Tahoma" w:cs="Tahoma"/>
                <w:b/>
                <w:bCs/>
                <w:iCs/>
                <w:color w:val="243285"/>
                <w:sz w:val="44"/>
                <w:szCs w:val="44"/>
                <w:lang w:val="en-US"/>
              </w:rPr>
              <w:t xml:space="preserve"> </w:t>
            </w:r>
            <w:r w:rsidRPr="00B70DD6">
              <w:rPr>
                <w:rFonts w:ascii="Tahoma" w:hAnsi="Tahoma" w:cs="Tahoma"/>
                <w:b/>
                <w:bCs/>
                <w:iCs/>
                <w:color w:val="243285"/>
                <w:sz w:val="44"/>
                <w:szCs w:val="44"/>
                <w:lang w:val="en-US"/>
              </w:rPr>
              <w:t xml:space="preserve">of transmitting </w:t>
            </w:r>
            <w:r w:rsidRPr="00B70DD6">
              <w:rPr>
                <w:rFonts w:ascii="Tahoma" w:hAnsi="Tahoma" w:cs="Tahoma" w:hint="eastAsia"/>
                <w:b/>
                <w:bCs/>
                <w:iCs/>
                <w:color w:val="243285"/>
                <w:sz w:val="44"/>
                <w:szCs w:val="44"/>
                <w:lang w:val="en-US"/>
              </w:rPr>
              <w:t>space</w:t>
            </w:r>
            <w:r w:rsidRPr="00B70DD6">
              <w:rPr>
                <w:rFonts w:ascii="Tahoma" w:hAnsi="Tahoma" w:cs="Tahoma"/>
                <w:b/>
                <w:bCs/>
                <w:iCs/>
                <w:color w:val="243285"/>
                <w:sz w:val="44"/>
                <w:szCs w:val="44"/>
                <w:lang w:val="en-US"/>
              </w:rPr>
              <w:t xml:space="preserve"> stations in the</w:t>
            </w:r>
            <w:r w:rsidRPr="00B70DD6">
              <w:rPr>
                <w:rFonts w:ascii="Tahoma" w:hAnsi="Tahoma" w:cs="Tahoma" w:hint="eastAsia"/>
                <w:b/>
                <w:bCs/>
                <w:iCs/>
                <w:color w:val="243285"/>
                <w:sz w:val="44"/>
                <w:szCs w:val="44"/>
                <w:lang w:val="en-US"/>
              </w:rPr>
              <w:t xml:space="preserve"> </w:t>
            </w:r>
            <w:r w:rsidRPr="00B70DD6">
              <w:rPr>
                <w:rFonts w:ascii="Tahoma" w:hAnsi="Tahoma" w:cs="Tahoma"/>
                <w:b/>
                <w:bCs/>
                <w:iCs/>
                <w:color w:val="243285"/>
                <w:sz w:val="44"/>
                <w:szCs w:val="44"/>
                <w:lang w:val="en-US"/>
              </w:rPr>
              <w:t xml:space="preserve">radionavigation-satellite service </w:t>
            </w:r>
            <w:r w:rsidR="00993DD5">
              <w:rPr>
                <w:rFonts w:ascii="Tahoma" w:hAnsi="Tahoma" w:cs="Tahoma"/>
                <w:b/>
                <w:bCs/>
                <w:iCs/>
                <w:color w:val="243285"/>
                <w:sz w:val="44"/>
                <w:szCs w:val="44"/>
                <w:lang w:val="en-US"/>
              </w:rPr>
              <w:br/>
            </w:r>
            <w:r w:rsidRPr="00B70DD6">
              <w:rPr>
                <w:rFonts w:ascii="Tahoma" w:hAnsi="Tahoma" w:cs="Tahoma"/>
                <w:b/>
                <w:bCs/>
                <w:iCs/>
                <w:color w:val="243285"/>
                <w:sz w:val="44"/>
                <w:szCs w:val="44"/>
                <w:lang w:val="en-US"/>
              </w:rPr>
              <w:t>(space</w:t>
            </w:r>
            <w:r w:rsidRPr="00B70DD6">
              <w:rPr>
                <w:rFonts w:ascii="Tahoma" w:hAnsi="Tahoma" w:cs="Tahoma" w:hint="eastAsia"/>
                <w:b/>
                <w:bCs/>
                <w:iCs/>
                <w:color w:val="243285"/>
                <w:sz w:val="44"/>
                <w:szCs w:val="44"/>
                <w:lang w:val="en-US"/>
              </w:rPr>
              <w:t>-to-Earth</w:t>
            </w:r>
            <w:r w:rsidRPr="00B70DD6">
              <w:rPr>
                <w:rFonts w:ascii="Tahoma" w:hAnsi="Tahoma" w:cs="Tahoma"/>
                <w:b/>
                <w:bCs/>
                <w:iCs/>
                <w:color w:val="243285"/>
                <w:sz w:val="44"/>
                <w:szCs w:val="44"/>
                <w:lang w:val="en-US"/>
              </w:rPr>
              <w:t>)</w:t>
            </w:r>
            <w:r w:rsidRPr="00B70DD6">
              <w:rPr>
                <w:rFonts w:ascii="Tahoma" w:hAnsi="Tahoma" w:cs="Tahoma" w:hint="eastAsia"/>
                <w:b/>
                <w:bCs/>
                <w:iCs/>
                <w:color w:val="243285"/>
                <w:sz w:val="44"/>
                <w:szCs w:val="44"/>
                <w:lang w:val="en-US"/>
              </w:rPr>
              <w:t xml:space="preserve"> </w:t>
            </w:r>
            <w:r w:rsidRPr="00B70DD6">
              <w:rPr>
                <w:rFonts w:ascii="Tahoma" w:hAnsi="Tahoma" w:cs="Tahoma"/>
                <w:b/>
                <w:bCs/>
                <w:iCs/>
                <w:color w:val="243285"/>
                <w:sz w:val="44"/>
                <w:szCs w:val="44"/>
                <w:lang w:val="en-US"/>
              </w:rPr>
              <w:t xml:space="preserve">operating in the band </w:t>
            </w:r>
            <w:r w:rsidR="00993DD5">
              <w:rPr>
                <w:rFonts w:ascii="Tahoma" w:hAnsi="Tahoma" w:cs="Tahoma"/>
                <w:b/>
                <w:bCs/>
                <w:iCs/>
                <w:color w:val="243285"/>
                <w:sz w:val="44"/>
                <w:szCs w:val="44"/>
                <w:lang w:val="en-US"/>
              </w:rPr>
              <w:br/>
            </w:r>
            <w:r w:rsidRPr="00B70DD6">
              <w:rPr>
                <w:rFonts w:ascii="Tahoma" w:hAnsi="Tahoma" w:cs="Tahoma"/>
                <w:b/>
                <w:bCs/>
                <w:iCs/>
                <w:color w:val="243285"/>
                <w:sz w:val="44"/>
                <w:szCs w:val="44"/>
                <w:lang w:val="en-US"/>
              </w:rPr>
              <w:t>5 0</w:t>
            </w:r>
            <w:r w:rsidRPr="00B70DD6">
              <w:rPr>
                <w:rFonts w:ascii="Tahoma" w:hAnsi="Tahoma" w:cs="Tahoma" w:hint="eastAsia"/>
                <w:b/>
                <w:bCs/>
                <w:iCs/>
                <w:color w:val="243285"/>
                <w:sz w:val="44"/>
                <w:szCs w:val="44"/>
                <w:lang w:val="en-US"/>
              </w:rPr>
              <w:t>1</w:t>
            </w:r>
            <w:r w:rsidRPr="00B70DD6">
              <w:rPr>
                <w:rFonts w:ascii="Tahoma" w:hAnsi="Tahoma" w:cs="Tahoma"/>
                <w:b/>
                <w:bCs/>
                <w:iCs/>
                <w:color w:val="243285"/>
                <w:sz w:val="44"/>
                <w:szCs w:val="44"/>
                <w:lang w:val="en-US"/>
              </w:rPr>
              <w:t>0-5 0</w:t>
            </w:r>
            <w:r w:rsidRPr="00B70DD6">
              <w:rPr>
                <w:rFonts w:ascii="Tahoma" w:hAnsi="Tahoma" w:cs="Tahoma" w:hint="eastAsia"/>
                <w:b/>
                <w:bCs/>
                <w:iCs/>
                <w:color w:val="243285"/>
                <w:sz w:val="44"/>
                <w:szCs w:val="44"/>
                <w:lang w:val="en-US"/>
              </w:rPr>
              <w:t>3</w:t>
            </w:r>
            <w:r w:rsidRPr="00B70DD6">
              <w:rPr>
                <w:rFonts w:ascii="Tahoma" w:hAnsi="Tahoma" w:cs="Tahoma"/>
                <w:b/>
                <w:bCs/>
                <w:iCs/>
                <w:color w:val="243285"/>
                <w:sz w:val="44"/>
                <w:szCs w:val="44"/>
                <w:lang w:val="en-US"/>
              </w:rPr>
              <w:t>0 MH</w:t>
            </w:r>
            <w:r w:rsidRPr="00B70DD6">
              <w:rPr>
                <w:rFonts w:ascii="Tahoma" w:hAnsi="Tahoma" w:cs="Tahoma" w:hint="eastAsia"/>
                <w:b/>
                <w:bCs/>
                <w:iCs/>
                <w:color w:val="243285"/>
                <w:sz w:val="44"/>
                <w:szCs w:val="44"/>
                <w:lang w:val="en-US"/>
              </w:rPr>
              <w:t>z</w:t>
            </w:r>
          </w:p>
        </w:tc>
      </w:tr>
      <w:tr w:rsidR="00CE494B" w:rsidTr="006345E3">
        <w:tc>
          <w:tcPr>
            <w:tcW w:w="10089" w:type="dxa"/>
          </w:tcPr>
          <w:p w:rsidR="00CE494B" w:rsidRPr="00052F66" w:rsidRDefault="00CE494B" w:rsidP="006345E3">
            <w:pPr>
              <w:spacing w:before="80" w:line="280" w:lineRule="exact"/>
              <w:ind w:right="640"/>
              <w:rPr>
                <w:rFonts w:ascii="Tahoma" w:hAnsi="Tahoma" w:cs="Tahoma"/>
                <w:b/>
                <w:bCs/>
                <w:iCs/>
                <w:color w:val="243285"/>
                <w:sz w:val="32"/>
                <w:szCs w:val="32"/>
                <w:lang w:val="en-US"/>
              </w:rPr>
            </w:pPr>
          </w:p>
          <w:p w:rsidR="00CE494B" w:rsidRPr="00052F66" w:rsidRDefault="00CE494B" w:rsidP="006345E3">
            <w:pPr>
              <w:spacing w:before="80" w:after="180" w:line="360" w:lineRule="exact"/>
              <w:ind w:right="720"/>
              <w:rPr>
                <w:rFonts w:ascii="Tahoma" w:hAnsi="Tahoma" w:cs="Tahoma"/>
                <w:b/>
                <w:bCs/>
                <w:iCs/>
                <w:color w:val="243285"/>
                <w:sz w:val="36"/>
                <w:szCs w:val="36"/>
                <w:lang w:val="en-US"/>
              </w:rPr>
            </w:pPr>
          </w:p>
          <w:p w:rsidR="00CE494B" w:rsidRPr="001511A6" w:rsidRDefault="00CE494B" w:rsidP="006345E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CE494B" w:rsidRDefault="00CE494B" w:rsidP="006345E3">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CE494B" w:rsidRPr="0041667C" w:rsidRDefault="00CE494B" w:rsidP="006345E3">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CE494B" w:rsidRDefault="00CE494B" w:rsidP="00CE494B">
      <w:pPr>
        <w:spacing w:before="80"/>
        <w:rPr>
          <w:i/>
          <w:sz w:val="22"/>
          <w:lang w:val="en-US"/>
        </w:rPr>
      </w:pPr>
    </w:p>
    <w:p w:rsidR="00CE494B" w:rsidRDefault="00CE494B" w:rsidP="00CE494B">
      <w:pPr>
        <w:spacing w:before="80"/>
        <w:rPr>
          <w:i/>
          <w:sz w:val="22"/>
          <w:lang w:val="en-US"/>
        </w:rPr>
      </w:pPr>
    </w:p>
    <w:p w:rsidR="00CE494B" w:rsidRDefault="00CE494B" w:rsidP="00CE494B">
      <w:pPr>
        <w:spacing w:before="80"/>
        <w:rPr>
          <w:i/>
          <w:sz w:val="22"/>
          <w:lang w:val="en-US"/>
        </w:rPr>
      </w:pPr>
    </w:p>
    <w:p w:rsidR="00CE494B" w:rsidRDefault="00CE494B" w:rsidP="00CE494B">
      <w:pPr>
        <w:spacing w:before="80"/>
        <w:rPr>
          <w:i/>
          <w:sz w:val="22"/>
          <w:lang w:val="en-US"/>
        </w:rPr>
      </w:pPr>
    </w:p>
    <w:p w:rsidR="00CE494B" w:rsidRDefault="00CE494B" w:rsidP="00CE494B">
      <w:pPr>
        <w:spacing w:before="80"/>
        <w:rPr>
          <w:i/>
          <w:sz w:val="22"/>
          <w:lang w:val="en-US"/>
        </w:rPr>
      </w:pPr>
    </w:p>
    <w:p w:rsidR="00CE494B" w:rsidRDefault="00CE494B" w:rsidP="00CE494B">
      <w:pPr>
        <w:spacing w:before="80"/>
        <w:rPr>
          <w:i/>
          <w:sz w:val="22"/>
          <w:lang w:val="en-US"/>
        </w:rPr>
      </w:pPr>
    </w:p>
    <w:p w:rsidR="00CE494B" w:rsidRDefault="00CE494B" w:rsidP="00CE494B">
      <w:pPr>
        <w:pStyle w:val="Equation"/>
        <w:tabs>
          <w:tab w:val="clear" w:pos="4820"/>
          <w:tab w:val="clear" w:pos="9639"/>
          <w:tab w:val="left" w:pos="1191"/>
          <w:tab w:val="left" w:pos="1588"/>
          <w:tab w:val="left" w:pos="1985"/>
        </w:tabs>
        <w:rPr>
          <w:rFonts w:ascii="Palatino Linotype" w:hAnsi="Palatino Linotype"/>
          <w:lang w:val="en-US"/>
        </w:rPr>
        <w:sectPr w:rsidR="00CE494B">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CE494B" w:rsidRPr="00586EF8" w:rsidRDefault="00CE494B" w:rsidP="00CE49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E494B" w:rsidRDefault="00CE494B" w:rsidP="00CE494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E494B" w:rsidRDefault="00CE494B" w:rsidP="00CE494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E494B" w:rsidRPr="00B714F3" w:rsidRDefault="00CE494B" w:rsidP="00CE494B">
      <w:pPr>
        <w:pStyle w:val="Heading1"/>
        <w:spacing w:before="680"/>
        <w:jc w:val="center"/>
        <w:rPr>
          <w:szCs w:val="24"/>
          <w:lang w:val="en-US"/>
        </w:rPr>
      </w:pPr>
      <w:r w:rsidRPr="00B714F3">
        <w:rPr>
          <w:szCs w:val="24"/>
          <w:lang w:val="en-US"/>
        </w:rPr>
        <w:t>Policy on Intellectual Property Right (IPR)</w:t>
      </w:r>
    </w:p>
    <w:p w:rsidR="00CE494B" w:rsidRPr="00B714F3" w:rsidRDefault="00CE494B" w:rsidP="00CE494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E494B" w:rsidRDefault="00CE494B" w:rsidP="00CE494B">
      <w:pPr>
        <w:jc w:val="center"/>
        <w:rPr>
          <w:sz w:val="22"/>
          <w:lang w:val="en-US"/>
        </w:rPr>
      </w:pPr>
    </w:p>
    <w:p w:rsidR="00CE494B" w:rsidRDefault="00CE494B" w:rsidP="00CE494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E494B" w:rsidRPr="001A02C5" w:rsidTr="006345E3">
        <w:tc>
          <w:tcPr>
            <w:tcW w:w="9360" w:type="dxa"/>
            <w:gridSpan w:val="2"/>
          </w:tcPr>
          <w:p w:rsidR="00CE494B" w:rsidRPr="00036EE3" w:rsidRDefault="00CE494B" w:rsidP="006345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E494B" w:rsidRPr="00036EE3"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CE494B" w:rsidRPr="00036EE3" w:rsidTr="006345E3">
        <w:tc>
          <w:tcPr>
            <w:tcW w:w="1140" w:type="dxa"/>
          </w:tcPr>
          <w:p w:rsidR="00CE494B" w:rsidRPr="00036EE3" w:rsidRDefault="00CE494B" w:rsidP="006345E3">
            <w:pPr>
              <w:spacing w:before="200" w:after="100"/>
              <w:ind w:left="57"/>
              <w:rPr>
                <w:b/>
                <w:bCs/>
                <w:sz w:val="20"/>
                <w:lang w:val="en-US"/>
              </w:rPr>
            </w:pPr>
            <w:r w:rsidRPr="00036EE3">
              <w:rPr>
                <w:b/>
                <w:bCs/>
                <w:sz w:val="20"/>
                <w:lang w:val="en-US"/>
              </w:rPr>
              <w:t>Series</w:t>
            </w:r>
          </w:p>
        </w:tc>
        <w:tc>
          <w:tcPr>
            <w:tcW w:w="8220" w:type="dxa"/>
          </w:tcPr>
          <w:p w:rsidR="00CE494B" w:rsidRPr="00036EE3"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BO</w:t>
            </w:r>
          </w:p>
        </w:tc>
        <w:tc>
          <w:tcPr>
            <w:tcW w:w="8220" w:type="dxa"/>
          </w:tcPr>
          <w:p w:rsidR="00CE494B" w:rsidRPr="00036EE3"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E494B" w:rsidRPr="001A02C5" w:rsidTr="006345E3">
        <w:tc>
          <w:tcPr>
            <w:tcW w:w="1140" w:type="dxa"/>
            <w:tcBorders>
              <w:bottom w:val="nil"/>
            </w:tcBorders>
          </w:tcPr>
          <w:p w:rsidR="00CE494B" w:rsidRPr="00036EE3" w:rsidRDefault="00CE494B" w:rsidP="006345E3">
            <w:pPr>
              <w:spacing w:before="30" w:after="30"/>
              <w:ind w:left="57"/>
              <w:jc w:val="left"/>
              <w:rPr>
                <w:b/>
                <w:bCs/>
                <w:sz w:val="20"/>
                <w:lang w:val="en-US"/>
              </w:rPr>
            </w:pPr>
            <w:r w:rsidRPr="00036EE3">
              <w:rPr>
                <w:b/>
                <w:bCs/>
                <w:sz w:val="20"/>
                <w:lang w:val="en-US"/>
              </w:rPr>
              <w:t>BR</w:t>
            </w:r>
          </w:p>
        </w:tc>
        <w:tc>
          <w:tcPr>
            <w:tcW w:w="8220" w:type="dxa"/>
            <w:tcBorders>
              <w:bottom w:val="nil"/>
            </w:tcBorders>
          </w:tcPr>
          <w:p w:rsidR="00CE494B" w:rsidRPr="00036EE3"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E494B" w:rsidRPr="00036EE3" w:rsidTr="006345E3">
        <w:tc>
          <w:tcPr>
            <w:tcW w:w="1140" w:type="dxa"/>
            <w:tcBorders>
              <w:top w:val="nil"/>
              <w:bottom w:val="nil"/>
            </w:tcBorders>
            <w:shd w:val="clear" w:color="auto" w:fill="auto"/>
          </w:tcPr>
          <w:p w:rsidR="00CE494B" w:rsidRPr="007D224F" w:rsidRDefault="00CE494B" w:rsidP="006345E3">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E494B" w:rsidRPr="007D224F"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E494B" w:rsidRPr="00ED2695" w:rsidTr="006345E3">
        <w:tc>
          <w:tcPr>
            <w:tcW w:w="1140" w:type="dxa"/>
            <w:tcBorders>
              <w:top w:val="nil"/>
              <w:bottom w:val="nil"/>
            </w:tcBorders>
            <w:shd w:val="clear" w:color="auto" w:fill="auto"/>
          </w:tcPr>
          <w:p w:rsidR="00CE494B" w:rsidRPr="00ED2695" w:rsidRDefault="00CE494B" w:rsidP="006345E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E494B" w:rsidRPr="00ED2695"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E494B" w:rsidRPr="007D224F" w:rsidTr="006345E3">
        <w:tc>
          <w:tcPr>
            <w:tcW w:w="1140" w:type="dxa"/>
            <w:tcBorders>
              <w:top w:val="nil"/>
              <w:bottom w:val="nil"/>
            </w:tcBorders>
            <w:shd w:val="clear" w:color="auto" w:fill="auto"/>
          </w:tcPr>
          <w:p w:rsidR="00CE494B" w:rsidRPr="0041667C" w:rsidRDefault="00CE494B" w:rsidP="006345E3">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E494B" w:rsidRPr="0041667C" w:rsidRDefault="00CE494B" w:rsidP="00634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E494B" w:rsidRPr="0041667C" w:rsidTr="006345E3">
        <w:tc>
          <w:tcPr>
            <w:tcW w:w="1140" w:type="dxa"/>
            <w:tcBorders>
              <w:top w:val="nil"/>
              <w:bottom w:val="nil"/>
            </w:tcBorders>
            <w:shd w:val="clear" w:color="auto" w:fill="F3F3F3"/>
          </w:tcPr>
          <w:p w:rsidR="00CE494B" w:rsidRPr="0041667C" w:rsidRDefault="00CE494B" w:rsidP="006345E3">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CE494B" w:rsidRPr="0041667C" w:rsidRDefault="00CE494B" w:rsidP="00634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CE494B" w:rsidRPr="00036EE3" w:rsidTr="006345E3">
        <w:tc>
          <w:tcPr>
            <w:tcW w:w="1140" w:type="dxa"/>
            <w:tcBorders>
              <w:top w:val="nil"/>
            </w:tcBorders>
          </w:tcPr>
          <w:p w:rsidR="00CE494B" w:rsidRPr="00036EE3" w:rsidRDefault="00CE494B" w:rsidP="006345E3">
            <w:pPr>
              <w:spacing w:before="30" w:after="30"/>
              <w:ind w:left="57"/>
              <w:jc w:val="left"/>
              <w:rPr>
                <w:b/>
                <w:bCs/>
                <w:sz w:val="20"/>
                <w:lang w:val="fr-CH"/>
              </w:rPr>
            </w:pPr>
            <w:r w:rsidRPr="00036EE3">
              <w:rPr>
                <w:b/>
                <w:bCs/>
                <w:sz w:val="20"/>
                <w:lang w:val="fr-CH"/>
              </w:rPr>
              <w:t>P</w:t>
            </w:r>
          </w:p>
        </w:tc>
        <w:tc>
          <w:tcPr>
            <w:tcW w:w="8220" w:type="dxa"/>
            <w:tcBorders>
              <w:top w:val="nil"/>
            </w:tcBorders>
          </w:tcPr>
          <w:p w:rsidR="00CE494B" w:rsidRPr="00036EE3" w:rsidRDefault="00CE494B" w:rsidP="006345E3">
            <w:pPr>
              <w:spacing w:before="30" w:after="30"/>
              <w:jc w:val="left"/>
              <w:rPr>
                <w:sz w:val="20"/>
                <w:lang w:val="fr-CH"/>
              </w:rPr>
            </w:pPr>
            <w:r w:rsidRPr="00036EE3">
              <w:rPr>
                <w:sz w:val="20"/>
                <w:lang w:val="fr-CH"/>
              </w:rPr>
              <w:t>Radiowave propagation</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RA</w:t>
            </w:r>
          </w:p>
        </w:tc>
        <w:tc>
          <w:tcPr>
            <w:tcW w:w="8220" w:type="dxa"/>
          </w:tcPr>
          <w:p w:rsidR="00CE494B" w:rsidRPr="00036EE3" w:rsidRDefault="00CE494B" w:rsidP="00634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RS</w:t>
            </w:r>
          </w:p>
        </w:tc>
        <w:tc>
          <w:tcPr>
            <w:tcW w:w="8220" w:type="dxa"/>
          </w:tcPr>
          <w:p w:rsidR="00CE494B" w:rsidRPr="00036EE3" w:rsidRDefault="00CE494B" w:rsidP="00634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S</w:t>
            </w:r>
          </w:p>
        </w:tc>
        <w:tc>
          <w:tcPr>
            <w:tcW w:w="8220" w:type="dxa"/>
          </w:tcPr>
          <w:p w:rsidR="00CE494B" w:rsidRPr="00036EE3" w:rsidRDefault="00CE494B" w:rsidP="006345E3">
            <w:pPr>
              <w:spacing w:before="30" w:after="30"/>
              <w:jc w:val="left"/>
              <w:rPr>
                <w:sz w:val="20"/>
                <w:lang w:val="en-US"/>
              </w:rPr>
            </w:pPr>
            <w:r w:rsidRPr="00036EE3">
              <w:rPr>
                <w:sz w:val="20"/>
                <w:lang w:val="en-US"/>
              </w:rPr>
              <w:t>Fixed-satellite service</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SA</w:t>
            </w:r>
          </w:p>
        </w:tc>
        <w:tc>
          <w:tcPr>
            <w:tcW w:w="8220" w:type="dxa"/>
          </w:tcPr>
          <w:p w:rsidR="00CE494B" w:rsidRPr="00036EE3" w:rsidRDefault="00CE494B" w:rsidP="006345E3">
            <w:pPr>
              <w:spacing w:before="30" w:after="30"/>
              <w:jc w:val="left"/>
              <w:rPr>
                <w:sz w:val="20"/>
                <w:lang w:val="en-US"/>
              </w:rPr>
            </w:pPr>
            <w:r w:rsidRPr="00036EE3">
              <w:rPr>
                <w:sz w:val="20"/>
                <w:lang w:val="en-US"/>
              </w:rPr>
              <w:t>Space applications and meteorology</w:t>
            </w:r>
          </w:p>
        </w:tc>
      </w:tr>
      <w:tr w:rsidR="00CE494B" w:rsidRPr="001A02C5" w:rsidTr="006345E3">
        <w:tc>
          <w:tcPr>
            <w:tcW w:w="1140" w:type="dxa"/>
            <w:tcBorders>
              <w:bottom w:val="nil"/>
            </w:tcBorders>
          </w:tcPr>
          <w:p w:rsidR="00CE494B" w:rsidRPr="00036EE3" w:rsidRDefault="00CE494B" w:rsidP="006345E3">
            <w:pPr>
              <w:spacing w:before="30" w:after="30"/>
              <w:ind w:left="57"/>
              <w:jc w:val="left"/>
              <w:rPr>
                <w:b/>
                <w:bCs/>
                <w:sz w:val="20"/>
                <w:lang w:val="en-US"/>
              </w:rPr>
            </w:pPr>
            <w:r w:rsidRPr="00036EE3">
              <w:rPr>
                <w:b/>
                <w:bCs/>
                <w:sz w:val="20"/>
                <w:lang w:val="en-US"/>
              </w:rPr>
              <w:t>SF</w:t>
            </w:r>
          </w:p>
        </w:tc>
        <w:tc>
          <w:tcPr>
            <w:tcW w:w="8220" w:type="dxa"/>
            <w:tcBorders>
              <w:bottom w:val="nil"/>
            </w:tcBorders>
          </w:tcPr>
          <w:p w:rsidR="00CE494B" w:rsidRPr="00036EE3" w:rsidRDefault="00CE494B" w:rsidP="006345E3">
            <w:pPr>
              <w:spacing w:before="30" w:after="30"/>
              <w:jc w:val="left"/>
              <w:rPr>
                <w:sz w:val="20"/>
                <w:lang w:val="en-US"/>
              </w:rPr>
            </w:pPr>
            <w:r w:rsidRPr="00036EE3">
              <w:rPr>
                <w:sz w:val="20"/>
                <w:lang w:val="en-US"/>
              </w:rPr>
              <w:t>Frequency sharing and coordination between fixed-satellite and fixed service systems</w:t>
            </w:r>
          </w:p>
        </w:tc>
      </w:tr>
      <w:tr w:rsidR="00CE494B" w:rsidRPr="00036EE3" w:rsidTr="006345E3">
        <w:tc>
          <w:tcPr>
            <w:tcW w:w="1140" w:type="dxa"/>
            <w:tcBorders>
              <w:top w:val="nil"/>
              <w:bottom w:val="nil"/>
            </w:tcBorders>
            <w:shd w:val="clear" w:color="auto" w:fill="auto"/>
          </w:tcPr>
          <w:p w:rsidR="00CE494B" w:rsidRPr="000A4386" w:rsidRDefault="00CE494B" w:rsidP="006345E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E494B" w:rsidRPr="000A4386" w:rsidRDefault="00CE494B" w:rsidP="006345E3">
            <w:pPr>
              <w:spacing w:before="30" w:after="30"/>
              <w:jc w:val="left"/>
              <w:rPr>
                <w:sz w:val="20"/>
                <w:lang w:val="en-US"/>
              </w:rPr>
            </w:pPr>
            <w:r w:rsidRPr="000A4386">
              <w:rPr>
                <w:sz w:val="20"/>
                <w:lang w:val="en-US"/>
              </w:rPr>
              <w:t>Spectrum management</w:t>
            </w:r>
          </w:p>
        </w:tc>
      </w:tr>
      <w:tr w:rsidR="00CE494B" w:rsidRPr="00036EE3" w:rsidTr="006345E3">
        <w:tc>
          <w:tcPr>
            <w:tcW w:w="1140" w:type="dxa"/>
            <w:tcBorders>
              <w:top w:val="nil"/>
            </w:tcBorders>
          </w:tcPr>
          <w:p w:rsidR="00CE494B" w:rsidRPr="00036EE3" w:rsidRDefault="00CE494B" w:rsidP="006345E3">
            <w:pPr>
              <w:spacing w:before="30" w:after="30"/>
              <w:ind w:left="57"/>
              <w:jc w:val="left"/>
              <w:rPr>
                <w:b/>
                <w:bCs/>
                <w:sz w:val="20"/>
                <w:lang w:val="en-US"/>
              </w:rPr>
            </w:pPr>
            <w:r w:rsidRPr="00036EE3">
              <w:rPr>
                <w:b/>
                <w:bCs/>
                <w:sz w:val="20"/>
                <w:lang w:val="en-US"/>
              </w:rPr>
              <w:t>SNG</w:t>
            </w:r>
          </w:p>
        </w:tc>
        <w:tc>
          <w:tcPr>
            <w:tcW w:w="8220" w:type="dxa"/>
            <w:tcBorders>
              <w:top w:val="nil"/>
            </w:tcBorders>
          </w:tcPr>
          <w:p w:rsidR="00CE494B" w:rsidRPr="00036EE3" w:rsidRDefault="00CE494B" w:rsidP="006345E3">
            <w:pPr>
              <w:spacing w:before="30" w:after="30"/>
              <w:jc w:val="left"/>
              <w:rPr>
                <w:sz w:val="20"/>
                <w:lang w:val="en-US"/>
              </w:rPr>
            </w:pPr>
            <w:r w:rsidRPr="00036EE3">
              <w:rPr>
                <w:sz w:val="20"/>
                <w:lang w:val="en-US"/>
              </w:rPr>
              <w:t>Satellite news gathering</w:t>
            </w:r>
          </w:p>
        </w:tc>
      </w:tr>
      <w:tr w:rsidR="00CE494B" w:rsidRPr="001A02C5"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TF</w:t>
            </w:r>
          </w:p>
        </w:tc>
        <w:tc>
          <w:tcPr>
            <w:tcW w:w="8220" w:type="dxa"/>
          </w:tcPr>
          <w:p w:rsidR="00CE494B" w:rsidRPr="00036EE3" w:rsidRDefault="00CE494B" w:rsidP="006345E3">
            <w:pPr>
              <w:spacing w:before="30" w:after="30"/>
              <w:jc w:val="left"/>
              <w:rPr>
                <w:sz w:val="20"/>
                <w:lang w:val="en-US"/>
              </w:rPr>
            </w:pPr>
            <w:r w:rsidRPr="00036EE3">
              <w:rPr>
                <w:sz w:val="20"/>
                <w:lang w:val="en-US"/>
              </w:rPr>
              <w:t>Time signals and frequency standards emissions</w:t>
            </w:r>
          </w:p>
        </w:tc>
      </w:tr>
      <w:tr w:rsidR="00CE494B" w:rsidRPr="00036EE3" w:rsidTr="006345E3">
        <w:tc>
          <w:tcPr>
            <w:tcW w:w="1140" w:type="dxa"/>
          </w:tcPr>
          <w:p w:rsidR="00CE494B" w:rsidRPr="00036EE3" w:rsidRDefault="00CE494B" w:rsidP="006345E3">
            <w:pPr>
              <w:spacing w:before="30" w:after="30"/>
              <w:ind w:left="57"/>
              <w:jc w:val="left"/>
              <w:rPr>
                <w:b/>
                <w:bCs/>
                <w:sz w:val="20"/>
                <w:lang w:val="en-US"/>
              </w:rPr>
            </w:pPr>
            <w:r w:rsidRPr="00036EE3">
              <w:rPr>
                <w:b/>
                <w:bCs/>
                <w:sz w:val="20"/>
                <w:lang w:val="en-US"/>
              </w:rPr>
              <w:t>V</w:t>
            </w:r>
          </w:p>
        </w:tc>
        <w:tc>
          <w:tcPr>
            <w:tcW w:w="8220" w:type="dxa"/>
          </w:tcPr>
          <w:p w:rsidR="00CE494B" w:rsidRPr="00036EE3" w:rsidRDefault="00CE494B" w:rsidP="006345E3">
            <w:pPr>
              <w:spacing w:before="30" w:after="180"/>
              <w:jc w:val="left"/>
              <w:rPr>
                <w:sz w:val="20"/>
                <w:lang w:val="en-US"/>
              </w:rPr>
            </w:pPr>
            <w:r w:rsidRPr="00036EE3">
              <w:rPr>
                <w:sz w:val="20"/>
                <w:lang w:val="en-US"/>
              </w:rPr>
              <w:t>Vocabulary and related subjects</w:t>
            </w:r>
          </w:p>
        </w:tc>
      </w:tr>
    </w:tbl>
    <w:p w:rsidR="00CE494B" w:rsidRPr="00036EE3" w:rsidRDefault="00CE494B" w:rsidP="00CE494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494B" w:rsidTr="006345E3">
        <w:tc>
          <w:tcPr>
            <w:tcW w:w="720" w:type="dxa"/>
          </w:tcPr>
          <w:p w:rsidR="00CE494B" w:rsidRDefault="00CE494B" w:rsidP="006345E3">
            <w:pPr>
              <w:jc w:val="center"/>
              <w:rPr>
                <w:sz w:val="22"/>
                <w:lang w:val="en-US"/>
              </w:rPr>
            </w:pPr>
          </w:p>
        </w:tc>
      </w:tr>
    </w:tbl>
    <w:p w:rsidR="00CE494B" w:rsidRPr="00036EE3" w:rsidRDefault="00CE494B" w:rsidP="00CE494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E494B" w:rsidRPr="001A02C5" w:rsidTr="006345E3">
        <w:tc>
          <w:tcPr>
            <w:tcW w:w="9360" w:type="dxa"/>
          </w:tcPr>
          <w:p w:rsidR="00CE494B" w:rsidRPr="002F5199" w:rsidRDefault="00CE494B" w:rsidP="00CD38EE">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E494B" w:rsidRDefault="00CE494B" w:rsidP="00CE494B">
      <w:pPr>
        <w:spacing w:before="0"/>
        <w:jc w:val="center"/>
        <w:rPr>
          <w:sz w:val="22"/>
          <w:lang w:val="en-US"/>
        </w:rPr>
      </w:pPr>
    </w:p>
    <w:p w:rsidR="00CE494B" w:rsidRDefault="00CE494B" w:rsidP="00CE494B">
      <w:pPr>
        <w:spacing w:before="0"/>
        <w:jc w:val="center"/>
        <w:rPr>
          <w:sz w:val="22"/>
          <w:lang w:val="en-US"/>
        </w:rPr>
      </w:pPr>
    </w:p>
    <w:p w:rsidR="00CE494B" w:rsidRPr="002F5199" w:rsidRDefault="00CE494B" w:rsidP="00CE494B">
      <w:pPr>
        <w:spacing w:before="0"/>
        <w:jc w:val="right"/>
        <w:rPr>
          <w:i/>
          <w:iCs/>
          <w:sz w:val="20"/>
          <w:lang w:val="en-US"/>
        </w:rPr>
      </w:pPr>
      <w:r w:rsidRPr="002F5199">
        <w:rPr>
          <w:i/>
          <w:iCs/>
          <w:sz w:val="20"/>
          <w:lang w:val="en-US"/>
        </w:rPr>
        <w:t>Electronic Publication</w:t>
      </w:r>
    </w:p>
    <w:p w:rsidR="00CE494B" w:rsidRPr="002F5199" w:rsidRDefault="00CE494B" w:rsidP="00560A2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560A24">
        <w:rPr>
          <w:sz w:val="20"/>
          <w:lang w:val="en-US"/>
        </w:rPr>
        <w:t>6</w:t>
      </w:r>
    </w:p>
    <w:p w:rsidR="00CE494B" w:rsidRPr="00470E28" w:rsidRDefault="00CE494B" w:rsidP="00560A2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560A24">
        <w:rPr>
          <w:sz w:val="20"/>
          <w:lang w:val="en-US"/>
        </w:rPr>
        <w:t>6</w:t>
      </w:r>
    </w:p>
    <w:p w:rsidR="00CE494B" w:rsidRPr="00470E28" w:rsidRDefault="00CE494B" w:rsidP="00CE494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E494B" w:rsidRDefault="00CE494B" w:rsidP="00CE494B">
      <w:pPr>
        <w:spacing w:before="160"/>
        <w:rPr>
          <w:i/>
          <w:sz w:val="20"/>
          <w:lang w:val="en-US"/>
        </w:rPr>
        <w:sectPr w:rsidR="00CE494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E494B" w:rsidRPr="00052F66" w:rsidRDefault="00CE494B" w:rsidP="00CE494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2031-1</w:t>
      </w:r>
      <w:r w:rsidR="00211D4D" w:rsidRPr="004E20B0">
        <w:rPr>
          <w:position w:val="6"/>
          <w:sz w:val="18"/>
          <w:lang w:eastAsia="ja-JP"/>
        </w:rPr>
        <w:footnoteReference w:id="1"/>
      </w:r>
    </w:p>
    <w:p w:rsidR="00CE494B" w:rsidRPr="00CE494B" w:rsidRDefault="00CE494B" w:rsidP="00CE494B">
      <w:pPr>
        <w:pStyle w:val="Rectitle"/>
        <w:rPr>
          <w:caps/>
          <w:lang w:val="en-US"/>
        </w:rPr>
      </w:pPr>
      <w:r>
        <w:rPr>
          <w:lang w:val="en-US" w:eastAsia="zh-CN"/>
        </w:rPr>
        <w:t xml:space="preserve">Characteristics and protection criteria of receiving </w:t>
      </w:r>
      <w:r>
        <w:rPr>
          <w:rFonts w:hint="eastAsia"/>
          <w:lang w:val="en-US" w:eastAsia="ja-JP"/>
        </w:rPr>
        <w:t>earth</w:t>
      </w:r>
      <w:r>
        <w:rPr>
          <w:lang w:val="en-US" w:eastAsia="zh-CN"/>
        </w:rPr>
        <w:t xml:space="preserve"> stations</w:t>
      </w:r>
      <w:r>
        <w:rPr>
          <w:rFonts w:hint="eastAsia"/>
          <w:lang w:val="en-US" w:eastAsia="ja-JP"/>
        </w:rPr>
        <w:t xml:space="preserve"> </w:t>
      </w:r>
      <w:r>
        <w:rPr>
          <w:lang w:val="en-US" w:eastAsia="zh-CN"/>
        </w:rPr>
        <w:t xml:space="preserve">and characteristics of </w:t>
      </w:r>
      <w:r w:rsidRPr="00CE494B">
        <w:rPr>
          <w:lang w:val="en-US"/>
        </w:rPr>
        <w:t>transmitting</w:t>
      </w:r>
      <w:r>
        <w:rPr>
          <w:lang w:val="en-US" w:eastAsia="zh-CN"/>
        </w:rPr>
        <w:t xml:space="preserve"> </w:t>
      </w:r>
      <w:r>
        <w:rPr>
          <w:rFonts w:hint="eastAsia"/>
          <w:lang w:val="en-US" w:eastAsia="ja-JP"/>
        </w:rPr>
        <w:t>space</w:t>
      </w:r>
      <w:r>
        <w:rPr>
          <w:lang w:val="en-US" w:eastAsia="zh-CN"/>
        </w:rPr>
        <w:t xml:space="preserve"> stations in the</w:t>
      </w:r>
      <w:r>
        <w:rPr>
          <w:rFonts w:hint="eastAsia"/>
          <w:lang w:val="en-US" w:eastAsia="ja-JP"/>
        </w:rPr>
        <w:t xml:space="preserve"> </w:t>
      </w:r>
      <w:r>
        <w:rPr>
          <w:lang w:val="en-US" w:eastAsia="zh-CN"/>
        </w:rPr>
        <w:t>radionavigation-satellite service (space</w:t>
      </w:r>
      <w:r>
        <w:rPr>
          <w:rFonts w:hint="eastAsia"/>
          <w:lang w:val="en-US" w:eastAsia="ja-JP"/>
        </w:rPr>
        <w:t>-to-Earth</w:t>
      </w:r>
      <w:r>
        <w:rPr>
          <w:lang w:val="en-US" w:eastAsia="zh-CN"/>
        </w:rPr>
        <w:t>)</w:t>
      </w:r>
      <w:r>
        <w:rPr>
          <w:rFonts w:hint="eastAsia"/>
          <w:lang w:val="en-US" w:eastAsia="ja-JP"/>
        </w:rPr>
        <w:t xml:space="preserve"> </w:t>
      </w:r>
      <w:r>
        <w:rPr>
          <w:lang w:val="en-US" w:eastAsia="zh-CN"/>
        </w:rPr>
        <w:t>operating in the band 5 0</w:t>
      </w:r>
      <w:r>
        <w:rPr>
          <w:rFonts w:hint="eastAsia"/>
          <w:lang w:val="en-US" w:eastAsia="ja-JP"/>
        </w:rPr>
        <w:t>1</w:t>
      </w:r>
      <w:r>
        <w:rPr>
          <w:lang w:val="en-US" w:eastAsia="zh-CN"/>
        </w:rPr>
        <w:t>0-5 0</w:t>
      </w:r>
      <w:r>
        <w:rPr>
          <w:rFonts w:hint="eastAsia"/>
          <w:lang w:val="en-US" w:eastAsia="ja-JP"/>
        </w:rPr>
        <w:t>3</w:t>
      </w:r>
      <w:r>
        <w:rPr>
          <w:lang w:val="en-US" w:eastAsia="zh-CN"/>
        </w:rPr>
        <w:t>0 MH</w:t>
      </w:r>
      <w:r>
        <w:rPr>
          <w:rFonts w:hint="eastAsia"/>
          <w:lang w:val="en-US" w:eastAsia="ja-JP"/>
        </w:rPr>
        <w:t>z</w:t>
      </w:r>
    </w:p>
    <w:p w:rsidR="00CE494B" w:rsidRDefault="00CE494B" w:rsidP="00ED14C2">
      <w:pPr>
        <w:pStyle w:val="Recref"/>
        <w:rPr>
          <w:lang w:val="en-US"/>
        </w:rPr>
      </w:pPr>
      <w:r>
        <w:rPr>
          <w:lang w:val="en-US"/>
        </w:rPr>
        <w:t>(Question</w:t>
      </w:r>
      <w:r w:rsidRPr="00EE509F">
        <w:rPr>
          <w:lang w:val="en-US" w:eastAsia="ja-JP"/>
        </w:rPr>
        <w:t>s</w:t>
      </w:r>
      <w:r w:rsidRPr="000F27CB">
        <w:rPr>
          <w:lang w:val="en-US"/>
        </w:rPr>
        <w:t xml:space="preserve"> ITU</w:t>
      </w:r>
      <w:r w:rsidRPr="000F27CB">
        <w:rPr>
          <w:lang w:val="en-US"/>
        </w:rPr>
        <w:noBreakHyphen/>
        <w:t xml:space="preserve">R </w:t>
      </w:r>
      <w:r w:rsidRPr="00ED14C2">
        <w:rPr>
          <w:lang w:val="en-US"/>
        </w:rPr>
        <w:t>217</w:t>
      </w:r>
      <w:r>
        <w:rPr>
          <w:lang w:val="en-US"/>
        </w:rPr>
        <w:t>-</w:t>
      </w:r>
      <w:r>
        <w:rPr>
          <w:lang w:val="en-US" w:eastAsia="ja-JP"/>
        </w:rPr>
        <w:t>2</w:t>
      </w:r>
      <w:r>
        <w:rPr>
          <w:lang w:val="en-US"/>
        </w:rPr>
        <w:t xml:space="preserve">/4 </w:t>
      </w:r>
      <w:r w:rsidRPr="00EE509F">
        <w:rPr>
          <w:lang w:val="en-US"/>
        </w:rPr>
        <w:t>and ITU-R 2</w:t>
      </w:r>
      <w:r w:rsidRPr="00EE509F">
        <w:rPr>
          <w:lang w:val="en-US" w:eastAsia="ja-JP"/>
        </w:rPr>
        <w:t>88</w:t>
      </w:r>
      <w:r w:rsidRPr="00EE509F">
        <w:rPr>
          <w:lang w:val="en-US"/>
        </w:rPr>
        <w:t>/</w:t>
      </w:r>
      <w:r w:rsidRPr="00EE509F">
        <w:rPr>
          <w:lang w:val="en-US" w:eastAsia="ja-JP"/>
        </w:rPr>
        <w:t>4</w:t>
      </w:r>
      <w:r w:rsidRPr="000F27CB">
        <w:rPr>
          <w:lang w:val="en-US"/>
        </w:rPr>
        <w:t>)</w:t>
      </w:r>
    </w:p>
    <w:p w:rsidR="00CE494B" w:rsidRDefault="00CE494B" w:rsidP="00CE494B">
      <w:pPr>
        <w:pStyle w:val="Recdate"/>
        <w:rPr>
          <w:lang w:val="en-US"/>
        </w:rPr>
      </w:pPr>
      <w:r>
        <w:rPr>
          <w:lang w:val="en-US"/>
        </w:rPr>
        <w:t>(20</w:t>
      </w:r>
      <w:r>
        <w:rPr>
          <w:rFonts w:hint="eastAsia"/>
          <w:lang w:val="en-US" w:eastAsia="ja-JP"/>
        </w:rPr>
        <w:t>12</w:t>
      </w:r>
      <w:r w:rsidR="00B70DD6">
        <w:rPr>
          <w:lang w:val="en-US" w:eastAsia="ja-JP"/>
        </w:rPr>
        <w:t>-2015</w:t>
      </w:r>
      <w:r>
        <w:rPr>
          <w:lang w:val="en-US"/>
        </w:rPr>
        <w:t>)</w:t>
      </w:r>
    </w:p>
    <w:p w:rsidR="00CE494B" w:rsidRPr="00F113EC" w:rsidRDefault="00CE494B" w:rsidP="00816FB0">
      <w:pPr>
        <w:pStyle w:val="HeadingSum"/>
        <w:rPr>
          <w:lang w:val="en-US"/>
        </w:rPr>
      </w:pPr>
      <w:r w:rsidRPr="00F113EC">
        <w:rPr>
          <w:lang w:val="en-US"/>
        </w:rPr>
        <w:t>Scope</w:t>
      </w:r>
    </w:p>
    <w:p w:rsidR="00CE494B" w:rsidRPr="00ED14C2" w:rsidRDefault="00CE494B" w:rsidP="00ED14C2">
      <w:pPr>
        <w:pStyle w:val="Summary"/>
        <w:rPr>
          <w:lang w:val="en-US" w:eastAsia="zh-CN"/>
        </w:rPr>
      </w:pPr>
      <w:r w:rsidRPr="00ED14C2">
        <w:rPr>
          <w:lang w:val="en-US" w:eastAsia="zh-CN"/>
        </w:rPr>
        <w:t xml:space="preserve">Characteristics and protection criteria for radionavigation-satellite service (RNSS) receiving </w:t>
      </w:r>
      <w:r w:rsidRPr="00ED14C2">
        <w:rPr>
          <w:rFonts w:hint="eastAsia"/>
          <w:lang w:val="en-US" w:eastAsia="ja-JP"/>
        </w:rPr>
        <w:t>earth</w:t>
      </w:r>
      <w:r w:rsidRPr="00ED14C2">
        <w:rPr>
          <w:lang w:val="en-US" w:eastAsia="zh-CN"/>
        </w:rPr>
        <w:t xml:space="preserve"> stations,</w:t>
      </w:r>
      <w:r w:rsidRPr="00ED14C2">
        <w:rPr>
          <w:rFonts w:hint="eastAsia"/>
          <w:lang w:val="en-US" w:eastAsia="ja-JP"/>
        </w:rPr>
        <w:t xml:space="preserve"> </w:t>
      </w:r>
      <w:r w:rsidRPr="00ED14C2">
        <w:rPr>
          <w:lang w:val="en-US" w:eastAsia="zh-CN"/>
        </w:rPr>
        <w:t xml:space="preserve">and characteristics of RNSS transmitting </w:t>
      </w:r>
      <w:r w:rsidRPr="00ED14C2">
        <w:rPr>
          <w:rFonts w:hint="eastAsia"/>
          <w:lang w:val="en-US" w:eastAsia="ja-JP"/>
        </w:rPr>
        <w:t>space</w:t>
      </w:r>
      <w:r w:rsidRPr="00ED14C2">
        <w:rPr>
          <w:lang w:val="en-US" w:eastAsia="zh-CN"/>
        </w:rPr>
        <w:t xml:space="preserve"> stations planned or operating in the band 5 0</w:t>
      </w:r>
      <w:r w:rsidRPr="00ED14C2">
        <w:rPr>
          <w:rFonts w:hint="eastAsia"/>
          <w:lang w:val="en-US" w:eastAsia="ja-JP"/>
        </w:rPr>
        <w:t>1</w:t>
      </w:r>
      <w:r w:rsidRPr="00ED14C2">
        <w:rPr>
          <w:lang w:val="en-US" w:eastAsia="zh-CN"/>
        </w:rPr>
        <w:t>0-5 0</w:t>
      </w:r>
      <w:r w:rsidRPr="00ED14C2">
        <w:rPr>
          <w:rFonts w:hint="eastAsia"/>
          <w:lang w:val="en-US" w:eastAsia="ja-JP"/>
        </w:rPr>
        <w:t>3</w:t>
      </w:r>
      <w:r w:rsidRPr="00ED14C2">
        <w:rPr>
          <w:lang w:val="en-US" w:eastAsia="zh-CN"/>
        </w:rPr>
        <w:t>0 MHz</w:t>
      </w:r>
      <w:r w:rsidRPr="00ED14C2">
        <w:rPr>
          <w:rFonts w:hint="eastAsia"/>
          <w:lang w:val="en-US" w:eastAsia="ja-JP"/>
        </w:rPr>
        <w:t xml:space="preserve"> </w:t>
      </w:r>
      <w:r w:rsidRPr="00ED14C2">
        <w:rPr>
          <w:lang w:val="en-US" w:eastAsia="zh-CN"/>
        </w:rPr>
        <w:t xml:space="preserve">are presented in this Recommendation. This information is intended for performing </w:t>
      </w:r>
      <w:r w:rsidRPr="00ED14C2">
        <w:rPr>
          <w:rFonts w:hint="eastAsia"/>
          <w:lang w:val="en-US" w:eastAsia="ja-JP"/>
        </w:rPr>
        <w:t xml:space="preserve">sharing and compatibility </w:t>
      </w:r>
      <w:r w:rsidRPr="00ED14C2">
        <w:rPr>
          <w:lang w:val="en-US" w:eastAsia="zh-CN"/>
        </w:rPr>
        <w:t>analyses of radiofrequency</w:t>
      </w:r>
      <w:r w:rsidRPr="00ED14C2">
        <w:rPr>
          <w:rFonts w:hint="eastAsia"/>
          <w:lang w:val="en-US" w:eastAsia="ja-JP"/>
        </w:rPr>
        <w:t xml:space="preserve"> </w:t>
      </w:r>
      <w:r w:rsidRPr="00ED14C2">
        <w:rPr>
          <w:lang w:val="en-US" w:eastAsia="zh-CN"/>
        </w:rPr>
        <w:t>interference impact on systems and networks in the RNSS (space</w:t>
      </w:r>
      <w:r w:rsidRPr="00ED14C2">
        <w:rPr>
          <w:lang w:val="en-US" w:eastAsia="ja-JP"/>
        </w:rPr>
        <w:noBreakHyphen/>
      </w:r>
      <w:r w:rsidRPr="00ED14C2">
        <w:rPr>
          <w:rFonts w:hint="eastAsia"/>
          <w:lang w:val="en-US" w:eastAsia="ja-JP"/>
        </w:rPr>
        <w:t>to-Earth</w:t>
      </w:r>
      <w:r w:rsidRPr="00ED14C2">
        <w:rPr>
          <w:lang w:val="en-US" w:eastAsia="zh-CN"/>
        </w:rPr>
        <w:t xml:space="preserve">) operating in </w:t>
      </w:r>
      <w:r w:rsidRPr="00ED14C2">
        <w:rPr>
          <w:rFonts w:hint="eastAsia"/>
          <w:lang w:val="en-US" w:eastAsia="ja-JP"/>
        </w:rPr>
        <w:t xml:space="preserve">the </w:t>
      </w:r>
      <w:r w:rsidRPr="00ED14C2">
        <w:rPr>
          <w:lang w:val="en-US" w:eastAsia="zh-CN"/>
        </w:rPr>
        <w:t>band</w:t>
      </w:r>
      <w:r w:rsidRPr="00ED14C2">
        <w:rPr>
          <w:rFonts w:hint="eastAsia"/>
          <w:lang w:val="en-US" w:eastAsia="ja-JP"/>
        </w:rPr>
        <w:t xml:space="preserve"> 5 010-5 030 MHz </w:t>
      </w:r>
      <w:r w:rsidRPr="00ED14C2">
        <w:rPr>
          <w:lang w:val="en-US" w:eastAsia="zh-CN"/>
        </w:rPr>
        <w:t>from radio sources other than in the RNSS.</w:t>
      </w:r>
    </w:p>
    <w:p w:rsidR="00CE494B" w:rsidRPr="00B1566B" w:rsidRDefault="00CE494B" w:rsidP="00CE494B">
      <w:pPr>
        <w:pStyle w:val="Headingb"/>
        <w:rPr>
          <w:lang w:val="en-US"/>
        </w:rPr>
      </w:pPr>
      <w:r w:rsidRPr="00B1566B">
        <w:rPr>
          <w:lang w:val="en-US"/>
        </w:rPr>
        <w:t>Keywords</w:t>
      </w:r>
    </w:p>
    <w:p w:rsidR="00CE494B" w:rsidRPr="00CE494B" w:rsidRDefault="00CE494B" w:rsidP="00CE494B">
      <w:pPr>
        <w:rPr>
          <w:lang w:val="en-US"/>
        </w:rPr>
      </w:pPr>
      <w:r w:rsidRPr="00CE494B">
        <w:rPr>
          <w:lang w:val="en-US"/>
        </w:rPr>
        <w:t xml:space="preserve">RNSS, </w:t>
      </w:r>
      <w:r w:rsidRPr="008873F9">
        <w:rPr>
          <w:lang w:val="en-US"/>
        </w:rPr>
        <w:t>protection criteria</w:t>
      </w:r>
      <w:r w:rsidRPr="00CE494B">
        <w:rPr>
          <w:lang w:val="en-US"/>
        </w:rPr>
        <w:t xml:space="preserve">, </w:t>
      </w:r>
      <w:r w:rsidRPr="008873F9">
        <w:rPr>
          <w:lang w:val="en-US"/>
        </w:rPr>
        <w:t>radiofrequency interference impact</w:t>
      </w:r>
    </w:p>
    <w:p w:rsidR="00CE494B" w:rsidRPr="00B1566B" w:rsidRDefault="00CE494B" w:rsidP="00CE494B">
      <w:pPr>
        <w:pStyle w:val="Headingb"/>
        <w:rPr>
          <w:lang w:val="en-US"/>
        </w:rPr>
      </w:pPr>
      <w:r w:rsidRPr="00B1566B">
        <w:rPr>
          <w:lang w:val="en-US"/>
        </w:rPr>
        <w:t>Abbreviations/Glossary</w:t>
      </w:r>
    </w:p>
    <w:p w:rsidR="00CE494B" w:rsidRPr="00B70DD6" w:rsidRDefault="00B70DD6" w:rsidP="00A60CFE">
      <w:pPr>
        <w:rPr>
          <w:lang w:val="en-US"/>
        </w:rPr>
      </w:pPr>
      <w:r>
        <w:rPr>
          <w:lang w:val="en-US"/>
        </w:rPr>
        <w:t>AWGN</w:t>
      </w:r>
      <w:r>
        <w:rPr>
          <w:lang w:val="en-US"/>
        </w:rPr>
        <w:tab/>
      </w:r>
      <w:r>
        <w:rPr>
          <w:lang w:val="en-US"/>
        </w:rPr>
        <w:tab/>
      </w:r>
      <w:r w:rsidR="00B25DF1" w:rsidRPr="00B70DD6">
        <w:rPr>
          <w:lang w:val="en-US"/>
        </w:rPr>
        <w:t xml:space="preserve">additive white </w:t>
      </w:r>
      <w:r w:rsidR="00A60CFE">
        <w:rPr>
          <w:lang w:val="en-US"/>
        </w:rPr>
        <w:t>G</w:t>
      </w:r>
      <w:r w:rsidR="00B25DF1" w:rsidRPr="00B70DD6">
        <w:rPr>
          <w:lang w:val="en-US"/>
        </w:rPr>
        <w:t>aussian noise</w:t>
      </w:r>
    </w:p>
    <w:p w:rsidR="00CE494B" w:rsidRPr="00CE494B" w:rsidRDefault="00CE494B" w:rsidP="00B70DD6">
      <w:pPr>
        <w:rPr>
          <w:lang w:val="en-US"/>
        </w:rPr>
      </w:pPr>
      <w:r w:rsidRPr="00CE494B">
        <w:rPr>
          <w:lang w:val="en-US"/>
        </w:rPr>
        <w:t>PDC</w:t>
      </w:r>
      <w:r w:rsidR="00B70DD6">
        <w:rPr>
          <w:lang w:val="en-US"/>
        </w:rPr>
        <w:tab/>
      </w:r>
      <w:r w:rsidR="00B70DD6">
        <w:rPr>
          <w:lang w:val="en-US"/>
        </w:rPr>
        <w:tab/>
      </w:r>
      <w:r w:rsidR="00B25DF1" w:rsidRPr="00B70DD6">
        <w:rPr>
          <w:lang w:val="en-US"/>
        </w:rPr>
        <w:t>pulse duty cycle</w:t>
      </w:r>
    </w:p>
    <w:p w:rsidR="00CE494B" w:rsidRPr="00B70DD6" w:rsidRDefault="00CE494B" w:rsidP="00CE494B">
      <w:pPr>
        <w:rPr>
          <w:lang w:val="en-US"/>
        </w:rPr>
      </w:pPr>
      <w:r w:rsidRPr="00B70DD6">
        <w:rPr>
          <w:lang w:val="en-US"/>
        </w:rPr>
        <w:t>PNT</w:t>
      </w:r>
      <w:r w:rsidR="00B70DD6">
        <w:rPr>
          <w:lang w:val="en-US"/>
        </w:rPr>
        <w:tab/>
      </w:r>
      <w:r w:rsidR="00B70DD6">
        <w:rPr>
          <w:lang w:val="en-US"/>
        </w:rPr>
        <w:tab/>
      </w:r>
      <w:r w:rsidR="00B25DF1" w:rsidRPr="00B70DD6">
        <w:rPr>
          <w:lang w:val="en-US"/>
        </w:rPr>
        <w:t>position, navigation and timing</w:t>
      </w:r>
    </w:p>
    <w:p w:rsidR="00CE494B" w:rsidRPr="00B70DD6" w:rsidRDefault="00CE494B" w:rsidP="00B70DD6">
      <w:pPr>
        <w:rPr>
          <w:lang w:val="en-US"/>
        </w:rPr>
      </w:pPr>
      <w:r w:rsidRPr="00CE494B">
        <w:rPr>
          <w:lang w:val="en-US"/>
        </w:rPr>
        <w:t>PRF</w:t>
      </w:r>
      <w:r w:rsidR="00B70DD6">
        <w:rPr>
          <w:lang w:val="en-US"/>
        </w:rPr>
        <w:tab/>
      </w:r>
      <w:r w:rsidR="00B70DD6">
        <w:rPr>
          <w:lang w:val="en-US"/>
        </w:rPr>
        <w:tab/>
      </w:r>
      <w:r w:rsidR="00B25DF1" w:rsidRPr="00CE494B">
        <w:rPr>
          <w:lang w:val="en-US"/>
        </w:rPr>
        <w:t>pulse repetition frequency</w:t>
      </w:r>
    </w:p>
    <w:p w:rsidR="00CE494B" w:rsidRPr="00E56772" w:rsidRDefault="00CE494B" w:rsidP="00B70DD6">
      <w:pPr>
        <w:rPr>
          <w:lang w:val="en-US"/>
        </w:rPr>
      </w:pPr>
      <w:r w:rsidRPr="00B70DD6">
        <w:rPr>
          <w:lang w:val="en-US"/>
        </w:rPr>
        <w:t>RHCP</w:t>
      </w:r>
      <w:r w:rsidR="00B70DD6">
        <w:rPr>
          <w:lang w:val="en-US"/>
        </w:rPr>
        <w:tab/>
      </w:r>
      <w:r w:rsidR="00B70DD6">
        <w:rPr>
          <w:lang w:val="en-US"/>
        </w:rPr>
        <w:tab/>
      </w:r>
      <w:r w:rsidRPr="00B70DD6">
        <w:rPr>
          <w:lang w:val="en-US"/>
        </w:rPr>
        <w:t>Right-</w:t>
      </w:r>
      <w:r w:rsidR="00B25DF1" w:rsidRPr="00B70DD6">
        <w:rPr>
          <w:lang w:val="en-US"/>
        </w:rPr>
        <w:t>hand circular polarization</w:t>
      </w:r>
    </w:p>
    <w:p w:rsidR="00CE494B" w:rsidRPr="00CE494B" w:rsidRDefault="00B70DD6" w:rsidP="00635563">
      <w:pPr>
        <w:rPr>
          <w:lang w:val="en-US"/>
        </w:rPr>
      </w:pPr>
      <w:r>
        <w:rPr>
          <w:rFonts w:hint="eastAsia"/>
          <w:lang w:val="en-US"/>
        </w:rPr>
        <w:t>SQPN</w:t>
      </w:r>
      <w:r>
        <w:rPr>
          <w:lang w:val="en-US"/>
        </w:rPr>
        <w:tab/>
      </w:r>
      <w:r>
        <w:rPr>
          <w:lang w:val="en-US"/>
        </w:rPr>
        <w:tab/>
      </w:r>
      <w:r w:rsidR="00CE494B" w:rsidRPr="00FE4705">
        <w:rPr>
          <w:rFonts w:hint="eastAsia"/>
          <w:lang w:val="en-US"/>
        </w:rPr>
        <w:t xml:space="preserve">Staggered </w:t>
      </w:r>
      <w:r w:rsidR="00B25DF1">
        <w:rPr>
          <w:lang w:val="en-US"/>
        </w:rPr>
        <w:t>q</w:t>
      </w:r>
      <w:r w:rsidR="00B25DF1" w:rsidRPr="00FE4705">
        <w:rPr>
          <w:lang w:val="en-US"/>
        </w:rPr>
        <w:t xml:space="preserve">uadrature </w:t>
      </w:r>
      <w:r w:rsidR="00B25DF1">
        <w:rPr>
          <w:lang w:val="en-US"/>
        </w:rPr>
        <w:t>p</w:t>
      </w:r>
      <w:r w:rsidR="00B25DF1" w:rsidRPr="00FE4705">
        <w:rPr>
          <w:lang w:val="en-US"/>
        </w:rPr>
        <w:t>seudo-</w:t>
      </w:r>
      <w:r w:rsidR="00B25DF1">
        <w:rPr>
          <w:lang w:val="en-US"/>
        </w:rPr>
        <w:t>r</w:t>
      </w:r>
      <w:r w:rsidR="00B25DF1" w:rsidRPr="00FE4705">
        <w:rPr>
          <w:lang w:val="en-US"/>
        </w:rPr>
        <w:t xml:space="preserve">andom </w:t>
      </w:r>
      <w:r w:rsidR="00B25DF1">
        <w:rPr>
          <w:lang w:val="en-US"/>
        </w:rPr>
        <w:t>n</w:t>
      </w:r>
      <w:r w:rsidR="00B25DF1" w:rsidRPr="00FE4705">
        <w:rPr>
          <w:lang w:val="en-US"/>
        </w:rPr>
        <w:t>oise</w:t>
      </w:r>
    </w:p>
    <w:p w:rsidR="00CE494B" w:rsidRPr="00CE494B" w:rsidRDefault="00CE494B" w:rsidP="00CE494B">
      <w:pPr>
        <w:rPr>
          <w:lang w:val="en-US"/>
        </w:rPr>
      </w:pPr>
      <w:r w:rsidRPr="00CE494B">
        <w:rPr>
          <w:lang w:val="en-US"/>
        </w:rPr>
        <w:t>SQPSK</w:t>
      </w:r>
      <w:r w:rsidR="00B70DD6">
        <w:rPr>
          <w:lang w:val="en-US"/>
        </w:rPr>
        <w:tab/>
      </w:r>
      <w:r w:rsidR="00B70DD6">
        <w:rPr>
          <w:lang w:val="en-US"/>
        </w:rPr>
        <w:tab/>
      </w:r>
      <w:r w:rsidRPr="00CE494B">
        <w:rPr>
          <w:lang w:val="en-US"/>
        </w:rPr>
        <w:t xml:space="preserve">Staggered </w:t>
      </w:r>
      <w:r w:rsidR="00B25DF1" w:rsidRPr="00CE494B">
        <w:rPr>
          <w:lang w:val="en-US"/>
        </w:rPr>
        <w:t>quadrature phase-shift keying</w:t>
      </w:r>
    </w:p>
    <w:p w:rsidR="00CE494B" w:rsidRPr="00B70DD6" w:rsidRDefault="00CE494B" w:rsidP="00CE494B">
      <w:pPr>
        <w:rPr>
          <w:lang w:val="en-US"/>
        </w:rPr>
      </w:pPr>
      <w:r w:rsidRPr="00B70DD6">
        <w:rPr>
          <w:lang w:val="en-US"/>
        </w:rPr>
        <w:t>SSC</w:t>
      </w:r>
      <w:r w:rsidR="00B70DD6">
        <w:rPr>
          <w:lang w:val="en-US"/>
        </w:rPr>
        <w:tab/>
      </w:r>
      <w:r w:rsidR="00B70DD6">
        <w:rPr>
          <w:lang w:val="en-US"/>
        </w:rPr>
        <w:tab/>
      </w:r>
      <w:r w:rsidRPr="00B70DD6">
        <w:rPr>
          <w:lang w:val="en-US"/>
        </w:rPr>
        <w:t xml:space="preserve">Spectral </w:t>
      </w:r>
      <w:r w:rsidR="00B25DF1" w:rsidRPr="00B70DD6">
        <w:rPr>
          <w:lang w:val="en-US"/>
        </w:rPr>
        <w:t>separation coefficient</w:t>
      </w:r>
    </w:p>
    <w:p w:rsidR="00CE494B" w:rsidRPr="00B70DD6" w:rsidRDefault="00CE494B" w:rsidP="00CE494B">
      <w:pPr>
        <w:pStyle w:val="Headingb"/>
        <w:rPr>
          <w:lang w:val="en-US"/>
        </w:rPr>
      </w:pPr>
      <w:r w:rsidRPr="00B70DD6">
        <w:rPr>
          <w:lang w:val="en-US"/>
        </w:rPr>
        <w:t>Related ITU Recommendations, Reports</w:t>
      </w:r>
    </w:p>
    <w:p w:rsidR="00B70DD6" w:rsidRPr="00CE494B" w:rsidRDefault="00B70DD6" w:rsidP="00560A24">
      <w:pPr>
        <w:tabs>
          <w:tab w:val="clear" w:pos="794"/>
          <w:tab w:val="clear" w:pos="1191"/>
          <w:tab w:val="clear" w:pos="1588"/>
          <w:tab w:val="clear" w:pos="1985"/>
          <w:tab w:val="left" w:pos="3678"/>
        </w:tabs>
        <w:ind w:left="3623" w:hanging="3623"/>
        <w:rPr>
          <w:lang w:val="en-US"/>
        </w:rPr>
      </w:pPr>
      <w:r w:rsidRPr="00B70DD6">
        <w:rPr>
          <w:rFonts w:eastAsia="SimSun"/>
          <w:lang w:val="en-US"/>
        </w:rPr>
        <w:t>Recommendation ITU-R M</w:t>
      </w:r>
      <w:r w:rsidRPr="00B70DD6">
        <w:rPr>
          <w:lang w:val="en-US"/>
        </w:rPr>
        <w:t>.1318-1</w:t>
      </w:r>
      <w:r w:rsidRPr="00B70DD6">
        <w:rPr>
          <w:rFonts w:eastAsia="SimSun"/>
          <w:lang w:val="en-US"/>
        </w:rPr>
        <w:tab/>
      </w:r>
      <w:r w:rsidRPr="00CE494B">
        <w:rPr>
          <w:rFonts w:eastAsia="SimSun"/>
          <w:lang w:val="en-US"/>
        </w:rPr>
        <w:t>Evaluation model for continuous interference from radio sources other than in the radionavigation-satellite service to the radionavigation-satellite service systems and networks operating in the 1 164-1 215 MHz, 1 215-1 300 MHz, 1 559</w:t>
      </w:r>
      <w:r w:rsidRPr="00CE494B">
        <w:rPr>
          <w:rFonts w:eastAsia="SimSun"/>
          <w:lang w:val="en-US"/>
        </w:rPr>
        <w:noBreakHyphen/>
        <w:t>1 610 MHz and 5 010-5 030 MHz bands</w:t>
      </w:r>
    </w:p>
    <w:p w:rsidR="00B70DD6" w:rsidRPr="00CE494B" w:rsidRDefault="00B70DD6" w:rsidP="00560A24">
      <w:pPr>
        <w:tabs>
          <w:tab w:val="clear" w:pos="794"/>
          <w:tab w:val="clear" w:pos="1191"/>
          <w:tab w:val="clear" w:pos="1588"/>
          <w:tab w:val="clear" w:pos="1985"/>
          <w:tab w:val="left" w:pos="3678"/>
        </w:tabs>
        <w:ind w:left="3623" w:hanging="3623"/>
        <w:rPr>
          <w:lang w:val="en-US"/>
        </w:rPr>
      </w:pPr>
      <w:r w:rsidRPr="00B70DD6">
        <w:rPr>
          <w:rFonts w:eastAsia="SimSun"/>
          <w:lang w:val="en-US"/>
        </w:rPr>
        <w:t>Recommendation ITU-R M</w:t>
      </w:r>
      <w:r w:rsidRPr="00B70DD6">
        <w:rPr>
          <w:lang w:val="en-US"/>
        </w:rPr>
        <w:t>.1787-2</w:t>
      </w:r>
      <w:r w:rsidRPr="00B70DD6">
        <w:rPr>
          <w:rFonts w:eastAsia="SimSun"/>
          <w:lang w:val="en-US"/>
        </w:rPr>
        <w:tab/>
      </w:r>
      <w:r w:rsidRPr="00CE494B">
        <w:rPr>
          <w:rFonts w:eastAsia="SimSun"/>
          <w:lang w:val="en-US"/>
        </w:rPr>
        <w:t>Description of systems and networks in the radionavigation-satellite service (space-to-Earth and space-to-space) and technical characteristics of transmitting space stations operating in the bands 1 164-1 215 MHz,1 215-1 300 MHz and 1 559-1 610 MHz</w:t>
      </w:r>
    </w:p>
    <w:p w:rsidR="00B70DD6" w:rsidRPr="00CE494B" w:rsidRDefault="00B70DD6" w:rsidP="00560A24">
      <w:pPr>
        <w:tabs>
          <w:tab w:val="clear" w:pos="794"/>
          <w:tab w:val="clear" w:pos="1191"/>
          <w:tab w:val="clear" w:pos="1588"/>
          <w:tab w:val="clear" w:pos="1985"/>
          <w:tab w:val="left" w:pos="3678"/>
        </w:tabs>
        <w:ind w:left="3623" w:hanging="3623"/>
        <w:rPr>
          <w:lang w:val="en-US"/>
        </w:rPr>
      </w:pPr>
      <w:r w:rsidRPr="00B70DD6">
        <w:rPr>
          <w:rFonts w:eastAsia="SimSun"/>
          <w:lang w:val="en-US"/>
        </w:rPr>
        <w:t>Recommendation ITU-R M.1831-</w:t>
      </w:r>
      <w:r w:rsidR="00C41AA5">
        <w:rPr>
          <w:rFonts w:eastAsia="SimSun"/>
          <w:lang w:val="en-US"/>
        </w:rPr>
        <w:t>1</w:t>
      </w:r>
      <w:r w:rsidRPr="00B70DD6">
        <w:rPr>
          <w:rFonts w:eastAsia="SimSun"/>
          <w:lang w:val="en-US"/>
        </w:rPr>
        <w:tab/>
      </w:r>
      <w:r w:rsidRPr="008873F9">
        <w:rPr>
          <w:lang w:val="en-US"/>
        </w:rPr>
        <w:t>A coordination methodology for RNSS inter-system interference estimation</w:t>
      </w:r>
    </w:p>
    <w:p w:rsidR="00B70DD6" w:rsidRPr="00560A24"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lastRenderedPageBreak/>
        <w:t>Recommendation ITU-R M</w:t>
      </w:r>
      <w:r w:rsidRPr="00560A24">
        <w:rPr>
          <w:rFonts w:eastAsia="SimSun"/>
          <w:lang w:val="en-US"/>
        </w:rPr>
        <w:t>.1901-1</w:t>
      </w:r>
      <w:r w:rsidRPr="00B70DD6">
        <w:rPr>
          <w:rFonts w:eastAsia="SimSun"/>
          <w:lang w:val="en-US"/>
        </w:rPr>
        <w:tab/>
      </w:r>
      <w:r w:rsidRPr="00560A24">
        <w:rPr>
          <w:rFonts w:eastAsia="SimSun"/>
          <w:lang w:val="en-US"/>
        </w:rPr>
        <w:t>Guidance on ITU-R Recommendations related to systems and networks in the radionavigation-satellite service operating in the frequency bands 1 164-1 215 MHz, 1 215</w:t>
      </w:r>
      <w:r w:rsidRPr="00560A24">
        <w:rPr>
          <w:rFonts w:eastAsia="SimSun"/>
          <w:lang w:val="en-US"/>
        </w:rPr>
        <w:noBreakHyphen/>
        <w:t>1 300 MHz, 1 559-1 610 MHz, 5 000-5 010 MHz and 5 010-5 030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w:t>
      </w:r>
      <w:r w:rsidRPr="00560A24">
        <w:rPr>
          <w:rFonts w:eastAsia="SimSun"/>
          <w:lang w:val="en-US"/>
        </w:rPr>
        <w:t>.1902-0</w:t>
      </w:r>
      <w:r w:rsidRPr="00B70DD6">
        <w:rPr>
          <w:rFonts w:eastAsia="SimSun"/>
          <w:lang w:val="en-US"/>
        </w:rPr>
        <w:tab/>
      </w:r>
      <w:r w:rsidRPr="00CE494B">
        <w:rPr>
          <w:rFonts w:eastAsia="SimSun"/>
          <w:lang w:val="en-US"/>
        </w:rPr>
        <w:t>Characteristics and protection criteria for receiving earth stations in the radionavigation-satellite service (space-to-Earth) operating in the band 1 215-1 300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w:t>
      </w:r>
      <w:r w:rsidRPr="00560A24">
        <w:rPr>
          <w:rFonts w:eastAsia="SimSun"/>
          <w:lang w:val="en-US"/>
        </w:rPr>
        <w:t>1903-0</w:t>
      </w:r>
      <w:r w:rsidRPr="00B70DD6">
        <w:rPr>
          <w:rFonts w:eastAsia="SimSun"/>
          <w:lang w:val="en-US"/>
        </w:rPr>
        <w:tab/>
      </w:r>
      <w:r w:rsidRPr="00CE494B">
        <w:rPr>
          <w:rFonts w:eastAsia="SimSun"/>
          <w:lang w:val="en-US"/>
        </w:rPr>
        <w:t>Characteristics and protection criteria for receiving earth stations in the radionavigation-satellite service (space-to-Earth) and receivers in the aeronautical radionavigation service operating in the band 1 559-1 610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w:t>
      </w:r>
      <w:r w:rsidRPr="00560A24">
        <w:rPr>
          <w:rFonts w:eastAsia="SimSun"/>
          <w:lang w:val="en-US"/>
        </w:rPr>
        <w:t>1904-0</w:t>
      </w:r>
      <w:r w:rsidRPr="00B70DD6">
        <w:rPr>
          <w:rFonts w:eastAsia="SimSun"/>
          <w:lang w:val="en-US"/>
        </w:rPr>
        <w:tab/>
      </w:r>
      <w:r w:rsidRPr="00CE494B">
        <w:rPr>
          <w:rFonts w:eastAsia="SimSun"/>
          <w:lang w:val="en-US"/>
        </w:rPr>
        <w:t xml:space="preserve">Characteristics, performance requirements and protection criteria for receiving stations of the radionavigation-satellite service (space-to-space) operating in the frequency bands </w:t>
      </w:r>
      <w:r>
        <w:rPr>
          <w:rFonts w:eastAsia="SimSun"/>
          <w:lang w:val="en-US"/>
        </w:rPr>
        <w:t>1 </w:t>
      </w:r>
      <w:r w:rsidRPr="00CE494B">
        <w:rPr>
          <w:rFonts w:eastAsia="SimSun"/>
          <w:lang w:val="en-US"/>
        </w:rPr>
        <w:t>164-1 215 MHz, 1 215-1 300 MHz and 1 559-1 610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w:t>
      </w:r>
      <w:r w:rsidRPr="00560A24">
        <w:rPr>
          <w:rFonts w:eastAsia="SimSun"/>
          <w:lang w:val="en-US"/>
        </w:rPr>
        <w:t>.1905-0</w:t>
      </w:r>
      <w:r w:rsidRPr="00B70DD6">
        <w:rPr>
          <w:rFonts w:eastAsia="SimSun"/>
          <w:lang w:val="en-US"/>
        </w:rPr>
        <w:tab/>
      </w:r>
      <w:r w:rsidRPr="00CE494B">
        <w:rPr>
          <w:rFonts w:eastAsia="SimSun"/>
          <w:lang w:val="en-US"/>
        </w:rPr>
        <w:t>Characteristics and protection criteria for receiving earth stations in the radionavigation-satellite service (space-to-Earth) operating in the band 1 164-1 215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M.1906-</w:t>
      </w:r>
      <w:r w:rsidR="00C41AA5">
        <w:rPr>
          <w:rFonts w:eastAsia="SimSun"/>
          <w:lang w:val="en-US"/>
        </w:rPr>
        <w:t>1</w:t>
      </w:r>
      <w:r w:rsidRPr="00B70DD6">
        <w:rPr>
          <w:rFonts w:eastAsia="SimSun"/>
          <w:lang w:val="en-US"/>
        </w:rPr>
        <w:tab/>
      </w:r>
      <w:r w:rsidRPr="00CE494B">
        <w:rPr>
          <w:rFonts w:eastAsia="SimSun"/>
          <w:lang w:val="en-US"/>
        </w:rPr>
        <w:t>Characteristics and protection criteria of receiving space stations and characteristics of transmitting earth stations in the radionavigation-satellite service (Earth-to-space) operating in the band 5 000-5 010 MHz</w:t>
      </w:r>
    </w:p>
    <w:p w:rsidR="00B70DD6" w:rsidRPr="00CE494B" w:rsidRDefault="00B70DD6" w:rsidP="00560A24">
      <w:pPr>
        <w:tabs>
          <w:tab w:val="clear" w:pos="794"/>
          <w:tab w:val="clear" w:pos="1191"/>
          <w:tab w:val="clear" w:pos="1588"/>
          <w:tab w:val="clear" w:pos="1985"/>
          <w:tab w:val="left" w:pos="3678"/>
        </w:tabs>
        <w:ind w:left="3623" w:hanging="3623"/>
        <w:rPr>
          <w:rFonts w:eastAsia="SimSun"/>
          <w:lang w:val="en-US"/>
        </w:rPr>
      </w:pPr>
      <w:r w:rsidRPr="00B70DD6">
        <w:rPr>
          <w:rFonts w:eastAsia="SimSun"/>
          <w:lang w:val="en-US"/>
        </w:rPr>
        <w:t>Recommendation ITU-R M</w:t>
      </w:r>
      <w:r w:rsidRPr="00560A24">
        <w:rPr>
          <w:rFonts w:eastAsia="SimSun"/>
          <w:lang w:val="en-US"/>
        </w:rPr>
        <w:t>.2030-0</w:t>
      </w:r>
      <w:r w:rsidRPr="00B70DD6">
        <w:rPr>
          <w:rFonts w:eastAsia="SimSun"/>
          <w:lang w:val="en-US"/>
        </w:rPr>
        <w:tab/>
      </w:r>
      <w:r w:rsidRPr="00CE494B">
        <w:rPr>
          <w:rFonts w:eastAsia="SimSun"/>
          <w:lang w:val="en-US"/>
        </w:rPr>
        <w:t>Evaluation method for pulsed interference from relevant radio sources other than in the radionavigation-satellite service to the radionavigation-satellite service systems and networks operating in the 1 164-1 215 MHz, 1 215</w:t>
      </w:r>
      <w:r w:rsidRPr="00CE494B">
        <w:rPr>
          <w:rFonts w:eastAsia="SimSun"/>
          <w:lang w:val="en-US"/>
        </w:rPr>
        <w:noBreakHyphen/>
        <w:t>1 300 MHz and 1 559-1 610 MHz frequency bands</w:t>
      </w:r>
    </w:p>
    <w:p w:rsidR="00CE494B" w:rsidRPr="00CE494B" w:rsidRDefault="00CE494B" w:rsidP="00CE494B">
      <w:pPr>
        <w:pStyle w:val="Normalaftertitle"/>
        <w:rPr>
          <w:snapToGrid w:val="0"/>
          <w:lang w:val="en-US"/>
        </w:rPr>
      </w:pPr>
      <w:r>
        <w:rPr>
          <w:lang w:val="en-US" w:eastAsia="zh-CN"/>
        </w:rPr>
        <w:t>The ITU Radiocommunication Assembly,</w:t>
      </w:r>
      <w:r w:rsidRPr="00CE494B">
        <w:rPr>
          <w:snapToGrid w:val="0"/>
          <w:lang w:val="en-US"/>
        </w:rPr>
        <w:t xml:space="preserve"> </w:t>
      </w:r>
    </w:p>
    <w:p w:rsidR="00CE494B" w:rsidRPr="00CE494B" w:rsidRDefault="00CE494B" w:rsidP="00CE494B">
      <w:pPr>
        <w:pStyle w:val="Call"/>
        <w:rPr>
          <w:snapToGrid w:val="0"/>
          <w:lang w:val="en-US"/>
        </w:rPr>
      </w:pPr>
      <w:r w:rsidRPr="00CE494B">
        <w:rPr>
          <w:lang w:val="en-US"/>
        </w:rPr>
        <w:t>considering</w:t>
      </w:r>
    </w:p>
    <w:p w:rsidR="00CE494B" w:rsidRPr="00CE494B" w:rsidRDefault="00CE494B" w:rsidP="00CE494B">
      <w:pPr>
        <w:rPr>
          <w:szCs w:val="24"/>
          <w:lang w:val="en-US"/>
        </w:rPr>
      </w:pPr>
      <w:r w:rsidRPr="00CE494B">
        <w:rPr>
          <w:i/>
          <w:iCs/>
          <w:szCs w:val="24"/>
          <w:lang w:val="en-US"/>
        </w:rPr>
        <w:t>a)</w:t>
      </w:r>
      <w:r w:rsidRPr="00CE494B">
        <w:rPr>
          <w:szCs w:val="24"/>
          <w:lang w:val="en-US"/>
        </w:rPr>
        <w:tab/>
        <w:t xml:space="preserve">that systems and networks in the </w:t>
      </w:r>
      <w:r w:rsidRPr="00DE4F5A">
        <w:rPr>
          <w:lang w:val="en-US" w:eastAsia="ja-JP"/>
        </w:rPr>
        <w:t>radionavigation-satellite service</w:t>
      </w:r>
      <w:r w:rsidRPr="00CE494B">
        <w:rPr>
          <w:szCs w:val="24"/>
          <w:lang w:val="en-US"/>
        </w:rPr>
        <w:t xml:space="preserve"> </w:t>
      </w:r>
      <w:r w:rsidRPr="00CE494B">
        <w:rPr>
          <w:rFonts w:hint="eastAsia"/>
          <w:szCs w:val="24"/>
          <w:lang w:val="en-US" w:eastAsia="ja-JP"/>
        </w:rPr>
        <w:t>(</w:t>
      </w:r>
      <w:r w:rsidRPr="00CE494B">
        <w:rPr>
          <w:szCs w:val="24"/>
          <w:lang w:val="en-US"/>
        </w:rPr>
        <w:t>RNSS</w:t>
      </w:r>
      <w:r w:rsidRPr="00CE494B">
        <w:rPr>
          <w:rFonts w:hint="eastAsia"/>
          <w:szCs w:val="24"/>
          <w:lang w:val="en-US" w:eastAsia="ja-JP"/>
        </w:rPr>
        <w:t>)</w:t>
      </w:r>
      <w:r w:rsidRPr="00CE494B">
        <w:rPr>
          <w:szCs w:val="24"/>
          <w:lang w:val="en-US"/>
        </w:rPr>
        <w:t xml:space="preserve"> provide</w:t>
      </w:r>
      <w:r w:rsidRPr="00CE494B">
        <w:rPr>
          <w:rFonts w:hint="eastAsia"/>
          <w:szCs w:val="24"/>
          <w:lang w:val="en-US" w:eastAsia="ja-JP"/>
        </w:rPr>
        <w:t xml:space="preserve"> worldwide</w:t>
      </w:r>
      <w:r w:rsidRPr="00CE494B">
        <w:rPr>
          <w:szCs w:val="24"/>
          <w:lang w:val="en-US"/>
        </w:rPr>
        <w:t xml:space="preserve"> accurate </w:t>
      </w:r>
      <w:r w:rsidRPr="00CE494B">
        <w:rPr>
          <w:rFonts w:hint="eastAsia"/>
          <w:szCs w:val="24"/>
          <w:lang w:val="en-US" w:eastAsia="ja-JP"/>
        </w:rPr>
        <w:t xml:space="preserve">information for many </w:t>
      </w:r>
      <w:r w:rsidRPr="00CE494B">
        <w:rPr>
          <w:szCs w:val="24"/>
          <w:lang w:val="en-US"/>
        </w:rPr>
        <w:t>positioning</w:t>
      </w:r>
      <w:r w:rsidRPr="00CE494B">
        <w:rPr>
          <w:rFonts w:hint="eastAsia"/>
          <w:szCs w:val="24"/>
          <w:lang w:val="en-US" w:eastAsia="ja-JP"/>
        </w:rPr>
        <w:t>, navigation</w:t>
      </w:r>
      <w:r w:rsidRPr="00CE494B">
        <w:rPr>
          <w:szCs w:val="24"/>
          <w:lang w:val="en-US"/>
        </w:rPr>
        <w:t xml:space="preserve"> and timing applications, including</w:t>
      </w:r>
      <w:r w:rsidRPr="00CE494B">
        <w:rPr>
          <w:rFonts w:hint="eastAsia"/>
          <w:szCs w:val="24"/>
          <w:lang w:val="en-US" w:eastAsia="ja-JP"/>
        </w:rPr>
        <w:t xml:space="preserve"> safety aspects for</w:t>
      </w:r>
      <w:r w:rsidRPr="00CE494B">
        <w:rPr>
          <w:szCs w:val="24"/>
          <w:lang w:val="en-US"/>
        </w:rPr>
        <w:t xml:space="preserve"> in some </w:t>
      </w:r>
      <w:r w:rsidRPr="00CE494B">
        <w:rPr>
          <w:rFonts w:hint="eastAsia"/>
          <w:szCs w:val="24"/>
          <w:lang w:val="en-US" w:eastAsia="ja-JP"/>
        </w:rPr>
        <w:t xml:space="preserve">frequency </w:t>
      </w:r>
      <w:r w:rsidRPr="00CE494B">
        <w:rPr>
          <w:szCs w:val="24"/>
          <w:lang w:val="en-US"/>
        </w:rPr>
        <w:t>bands</w:t>
      </w:r>
      <w:r w:rsidRPr="00CE494B">
        <w:rPr>
          <w:rFonts w:hint="eastAsia"/>
          <w:szCs w:val="24"/>
          <w:lang w:val="en-US" w:eastAsia="ja-JP"/>
        </w:rPr>
        <w:t xml:space="preserve"> and under certain circumstances and applications</w:t>
      </w:r>
      <w:r w:rsidRPr="00CE494B">
        <w:rPr>
          <w:szCs w:val="24"/>
          <w:lang w:val="en-US"/>
        </w:rPr>
        <w:t xml:space="preserve">; </w:t>
      </w:r>
    </w:p>
    <w:p w:rsidR="00CE494B" w:rsidRPr="00CE494B" w:rsidRDefault="00CE494B" w:rsidP="00CE494B">
      <w:pPr>
        <w:rPr>
          <w:szCs w:val="24"/>
          <w:lang w:val="en-US"/>
        </w:rPr>
      </w:pPr>
      <w:r w:rsidRPr="00CE494B">
        <w:rPr>
          <w:i/>
          <w:iCs/>
          <w:szCs w:val="24"/>
          <w:lang w:val="en-US"/>
        </w:rPr>
        <w:t>b)</w:t>
      </w:r>
      <w:r w:rsidRPr="00CE494B">
        <w:rPr>
          <w:szCs w:val="24"/>
          <w:lang w:val="en-US"/>
        </w:rPr>
        <w:tab/>
        <w:t xml:space="preserve">that </w:t>
      </w:r>
      <w:r w:rsidRPr="00CE494B">
        <w:rPr>
          <w:szCs w:val="24"/>
          <w:lang w:val="en-US" w:eastAsia="ja-JP"/>
        </w:rPr>
        <w:t>there are various operating and planned</w:t>
      </w:r>
      <w:r w:rsidRPr="00CE494B">
        <w:rPr>
          <w:szCs w:val="24"/>
          <w:lang w:val="en-US"/>
        </w:rPr>
        <w:t xml:space="preserve"> systems and networks in the RNSS;</w:t>
      </w:r>
    </w:p>
    <w:p w:rsidR="00CE494B" w:rsidRPr="00CE494B" w:rsidRDefault="00CE494B" w:rsidP="00CE494B">
      <w:pPr>
        <w:rPr>
          <w:lang w:val="en-US"/>
        </w:rPr>
      </w:pPr>
      <w:r w:rsidRPr="00CE494B">
        <w:rPr>
          <w:i/>
          <w:iCs/>
          <w:lang w:val="en-US"/>
        </w:rPr>
        <w:t>c)</w:t>
      </w:r>
      <w:r w:rsidRPr="00CE494B">
        <w:rPr>
          <w:lang w:val="en-US"/>
        </w:rPr>
        <w:tab/>
        <w:t xml:space="preserve">that studies are being conducted on </w:t>
      </w:r>
      <w:r w:rsidRPr="00CE494B">
        <w:rPr>
          <w:lang w:val="en-US" w:eastAsia="ja-JP"/>
        </w:rPr>
        <w:t>the interference into</w:t>
      </w:r>
      <w:r w:rsidRPr="00CE494B">
        <w:rPr>
          <w:lang w:val="en-US"/>
        </w:rPr>
        <w:t xml:space="preserve"> RNSS </w:t>
      </w:r>
      <w:r w:rsidRPr="00CE494B">
        <w:rPr>
          <w:lang w:val="en-US" w:eastAsia="ja-JP"/>
        </w:rPr>
        <w:t>systems and networks from</w:t>
      </w:r>
      <w:r w:rsidRPr="00CE494B">
        <w:rPr>
          <w:lang w:val="en-US"/>
        </w:rPr>
        <w:t xml:space="preserve"> other radio services,</w:t>
      </w:r>
    </w:p>
    <w:p w:rsidR="00CE494B" w:rsidRPr="00CE494B" w:rsidRDefault="00CE494B" w:rsidP="00CE494B">
      <w:pPr>
        <w:pStyle w:val="Call"/>
        <w:rPr>
          <w:snapToGrid w:val="0"/>
          <w:lang w:val="en-US"/>
        </w:rPr>
      </w:pPr>
      <w:r w:rsidRPr="00CE494B">
        <w:rPr>
          <w:snapToGrid w:val="0"/>
          <w:lang w:val="en-US"/>
        </w:rPr>
        <w:t>recognizing</w:t>
      </w:r>
    </w:p>
    <w:p w:rsidR="00CE494B" w:rsidRPr="00CE494B" w:rsidRDefault="00CE494B" w:rsidP="00CE494B">
      <w:pPr>
        <w:rPr>
          <w:szCs w:val="24"/>
          <w:lang w:val="en-US"/>
        </w:rPr>
      </w:pPr>
      <w:r w:rsidRPr="00CE494B">
        <w:rPr>
          <w:i/>
          <w:iCs/>
          <w:szCs w:val="24"/>
          <w:lang w:val="en-US"/>
        </w:rPr>
        <w:t>a)</w:t>
      </w:r>
      <w:r w:rsidRPr="00CE494B">
        <w:rPr>
          <w:szCs w:val="24"/>
          <w:lang w:val="en-US"/>
        </w:rPr>
        <w:tab/>
        <w:t>that the band 5 0</w:t>
      </w:r>
      <w:r w:rsidRPr="00CE494B">
        <w:rPr>
          <w:rFonts w:hint="eastAsia"/>
          <w:szCs w:val="24"/>
          <w:lang w:val="en-US" w:eastAsia="ja-JP"/>
        </w:rPr>
        <w:t>1</w:t>
      </w:r>
      <w:r w:rsidRPr="00CE494B">
        <w:rPr>
          <w:szCs w:val="24"/>
          <w:lang w:val="en-US"/>
        </w:rPr>
        <w:t>0-5 0</w:t>
      </w:r>
      <w:r w:rsidRPr="00CE494B">
        <w:rPr>
          <w:rFonts w:hint="eastAsia"/>
          <w:szCs w:val="24"/>
          <w:lang w:val="en-US" w:eastAsia="ja-JP"/>
        </w:rPr>
        <w:t>3</w:t>
      </w:r>
      <w:r w:rsidRPr="00CE494B">
        <w:rPr>
          <w:szCs w:val="24"/>
          <w:lang w:val="en-US"/>
        </w:rPr>
        <w:t xml:space="preserve">0 MHz is allocated on a primary basis to </w:t>
      </w:r>
      <w:r w:rsidRPr="00CE494B">
        <w:rPr>
          <w:rFonts w:hint="eastAsia"/>
          <w:szCs w:val="24"/>
          <w:lang w:val="en-US" w:eastAsia="ja-JP"/>
        </w:rPr>
        <w:t xml:space="preserve">the </w:t>
      </w:r>
      <w:r w:rsidRPr="00CE494B">
        <w:rPr>
          <w:szCs w:val="24"/>
          <w:lang w:val="en-US"/>
        </w:rPr>
        <w:t>RNSS (space</w:t>
      </w:r>
      <w:r w:rsidRPr="00CE494B">
        <w:rPr>
          <w:rFonts w:hint="eastAsia"/>
          <w:szCs w:val="24"/>
          <w:lang w:val="en-US" w:eastAsia="ja-JP"/>
        </w:rPr>
        <w:t>-to-Earth and space-to-space</w:t>
      </w:r>
      <w:r w:rsidRPr="00CE494B">
        <w:rPr>
          <w:szCs w:val="24"/>
          <w:lang w:val="en-US"/>
        </w:rPr>
        <w:t>)</w:t>
      </w:r>
      <w:r w:rsidRPr="00CE494B">
        <w:rPr>
          <w:rFonts w:hint="eastAsia"/>
          <w:szCs w:val="24"/>
          <w:lang w:val="en-US" w:eastAsia="ja-JP"/>
        </w:rPr>
        <w:t xml:space="preserve"> in all three Regions</w:t>
      </w:r>
      <w:r w:rsidRPr="00CE494B">
        <w:rPr>
          <w:szCs w:val="24"/>
          <w:lang w:val="en-US"/>
        </w:rPr>
        <w:t>;</w:t>
      </w:r>
    </w:p>
    <w:p w:rsidR="00CE494B" w:rsidRPr="00CE494B" w:rsidRDefault="00CE494B" w:rsidP="00CE494B">
      <w:pPr>
        <w:rPr>
          <w:szCs w:val="24"/>
          <w:lang w:val="en-US"/>
        </w:rPr>
      </w:pPr>
      <w:r w:rsidRPr="00CE494B">
        <w:rPr>
          <w:i/>
          <w:iCs/>
          <w:szCs w:val="24"/>
          <w:lang w:val="en-US"/>
        </w:rPr>
        <w:t>b)</w:t>
      </w:r>
      <w:r w:rsidRPr="00CE494B">
        <w:rPr>
          <w:szCs w:val="24"/>
          <w:lang w:val="en-US"/>
        </w:rPr>
        <w:tab/>
        <w:t>that the band 5 0</w:t>
      </w:r>
      <w:r w:rsidRPr="00CE494B">
        <w:rPr>
          <w:rFonts w:hint="eastAsia"/>
          <w:szCs w:val="24"/>
          <w:lang w:val="en-US" w:eastAsia="ja-JP"/>
        </w:rPr>
        <w:t>1</w:t>
      </w:r>
      <w:r w:rsidRPr="00CE494B">
        <w:rPr>
          <w:szCs w:val="24"/>
          <w:lang w:val="en-US"/>
        </w:rPr>
        <w:t>0-5 0</w:t>
      </w:r>
      <w:r w:rsidRPr="00CE494B">
        <w:rPr>
          <w:rFonts w:hint="eastAsia"/>
          <w:szCs w:val="24"/>
          <w:lang w:val="en-US" w:eastAsia="ja-JP"/>
        </w:rPr>
        <w:t>3</w:t>
      </w:r>
      <w:r w:rsidRPr="00CE494B">
        <w:rPr>
          <w:szCs w:val="24"/>
          <w:lang w:val="en-US"/>
        </w:rPr>
        <w:t>0 MHz is also allocated on a primary basis to the aeronautical radionavigation service (ARNS)</w:t>
      </w:r>
      <w:r w:rsidRPr="00CE494B">
        <w:rPr>
          <w:rFonts w:hint="eastAsia"/>
          <w:szCs w:val="24"/>
          <w:lang w:val="en-US" w:eastAsia="ja-JP"/>
        </w:rPr>
        <w:t xml:space="preserve"> in all three Regions</w:t>
      </w:r>
      <w:r w:rsidRPr="00CE494B">
        <w:rPr>
          <w:szCs w:val="24"/>
          <w:lang w:val="en-US"/>
        </w:rPr>
        <w:t>;</w:t>
      </w:r>
    </w:p>
    <w:p w:rsidR="00CE494B" w:rsidRPr="00CE494B" w:rsidRDefault="00CE494B" w:rsidP="00CE494B">
      <w:pPr>
        <w:rPr>
          <w:szCs w:val="24"/>
          <w:lang w:val="en-US" w:eastAsia="ja-JP"/>
        </w:rPr>
      </w:pPr>
      <w:r w:rsidRPr="00CE494B">
        <w:rPr>
          <w:i/>
          <w:iCs/>
          <w:szCs w:val="24"/>
          <w:lang w:val="en-US"/>
        </w:rPr>
        <w:t>c)</w:t>
      </w:r>
      <w:r w:rsidRPr="00CE494B">
        <w:rPr>
          <w:szCs w:val="24"/>
          <w:lang w:val="en-US"/>
        </w:rPr>
        <w:tab/>
        <w:t>that the band 5 0</w:t>
      </w:r>
      <w:r w:rsidRPr="00CE494B">
        <w:rPr>
          <w:rFonts w:hint="eastAsia"/>
          <w:szCs w:val="24"/>
          <w:lang w:val="en-US" w:eastAsia="ja-JP"/>
        </w:rPr>
        <w:t>1</w:t>
      </w:r>
      <w:r w:rsidRPr="00CE494B">
        <w:rPr>
          <w:szCs w:val="24"/>
          <w:lang w:val="en-US"/>
        </w:rPr>
        <w:t>0-5 0</w:t>
      </w:r>
      <w:r w:rsidRPr="00CE494B">
        <w:rPr>
          <w:rFonts w:hint="eastAsia"/>
          <w:szCs w:val="24"/>
          <w:lang w:val="en-US" w:eastAsia="ja-JP"/>
        </w:rPr>
        <w:t>3</w:t>
      </w:r>
      <w:r w:rsidRPr="00CE494B">
        <w:rPr>
          <w:szCs w:val="24"/>
          <w:lang w:val="en-US"/>
        </w:rPr>
        <w:t xml:space="preserve">0 MHz is also allocated on a primary basis to the aeronautical mobile-satellite (route) service (AMS(R)S) </w:t>
      </w:r>
      <w:r w:rsidRPr="00CE494B">
        <w:rPr>
          <w:rFonts w:hint="eastAsia"/>
          <w:szCs w:val="24"/>
          <w:lang w:val="en-US" w:eastAsia="ja-JP"/>
        </w:rPr>
        <w:t xml:space="preserve">in all three Regions </w:t>
      </w:r>
      <w:r w:rsidRPr="00CE494B">
        <w:rPr>
          <w:szCs w:val="24"/>
          <w:lang w:val="en-US" w:eastAsia="ja-JP"/>
        </w:rPr>
        <w:t>subject to</w:t>
      </w:r>
      <w:r w:rsidRPr="00CE494B">
        <w:rPr>
          <w:rFonts w:hint="eastAsia"/>
          <w:szCs w:val="24"/>
          <w:lang w:val="en-US" w:eastAsia="ja-JP"/>
        </w:rPr>
        <w:t xml:space="preserve"> RR</w:t>
      </w:r>
      <w:r w:rsidRPr="00CE494B">
        <w:rPr>
          <w:szCs w:val="24"/>
          <w:lang w:val="en-US" w:eastAsia="ja-JP"/>
        </w:rPr>
        <w:t xml:space="preserve"> No. </w:t>
      </w:r>
      <w:r w:rsidRPr="00CE494B">
        <w:rPr>
          <w:b/>
          <w:bCs/>
          <w:szCs w:val="24"/>
          <w:lang w:val="en-US" w:eastAsia="ja-JP"/>
        </w:rPr>
        <w:t>9.21</w:t>
      </w:r>
      <w:r w:rsidRPr="00CE494B">
        <w:rPr>
          <w:rFonts w:hint="eastAsia"/>
          <w:szCs w:val="24"/>
          <w:lang w:val="en-US" w:eastAsia="ja-JP"/>
        </w:rPr>
        <w:t>;</w:t>
      </w:r>
    </w:p>
    <w:p w:rsidR="00CE494B" w:rsidRPr="00CE494B" w:rsidRDefault="00CE494B" w:rsidP="001A02C5">
      <w:pPr>
        <w:rPr>
          <w:szCs w:val="24"/>
          <w:lang w:val="en-US" w:eastAsia="ja-JP"/>
        </w:rPr>
      </w:pPr>
      <w:r w:rsidRPr="00CE494B">
        <w:rPr>
          <w:rFonts w:hint="eastAsia"/>
          <w:i/>
          <w:iCs/>
          <w:szCs w:val="24"/>
          <w:lang w:val="en-US" w:eastAsia="ja-JP"/>
        </w:rPr>
        <w:lastRenderedPageBreak/>
        <w:t>d</w:t>
      </w:r>
      <w:r w:rsidRPr="00CE494B">
        <w:rPr>
          <w:i/>
          <w:iCs/>
          <w:szCs w:val="24"/>
          <w:lang w:val="en-US"/>
        </w:rPr>
        <w:t>)</w:t>
      </w:r>
      <w:r w:rsidR="001A02C5">
        <w:rPr>
          <w:szCs w:val="24"/>
          <w:lang w:val="en-US"/>
        </w:rPr>
        <w:tab/>
        <w:t>that</w:t>
      </w:r>
      <w:r w:rsidRPr="00CE494B">
        <w:rPr>
          <w:rFonts w:hint="eastAsia"/>
          <w:szCs w:val="24"/>
          <w:lang w:val="en-US" w:eastAsia="ja-JP"/>
        </w:rPr>
        <w:t xml:space="preserve">, under RR No. </w:t>
      </w:r>
      <w:r w:rsidRPr="00CE494B">
        <w:rPr>
          <w:rFonts w:hint="eastAsia"/>
          <w:b/>
          <w:bCs/>
          <w:szCs w:val="24"/>
          <w:lang w:val="en-US" w:eastAsia="ja-JP"/>
        </w:rPr>
        <w:t>5328B</w:t>
      </w:r>
      <w:r w:rsidRPr="00CE494B">
        <w:rPr>
          <w:rFonts w:hint="eastAsia"/>
          <w:szCs w:val="24"/>
          <w:lang w:val="en-US" w:eastAsia="ja-JP"/>
        </w:rPr>
        <w:t xml:space="preserve">, </w:t>
      </w:r>
      <w:r w:rsidRPr="00CE494B">
        <w:rPr>
          <w:szCs w:val="24"/>
          <w:lang w:val="en-US" w:eastAsia="ja-JP"/>
        </w:rPr>
        <w:t>“</w:t>
      </w:r>
      <w:r w:rsidR="001A02C5" w:rsidRPr="001A02C5">
        <w:rPr>
          <w:szCs w:val="24"/>
          <w:lang w:val="en-GB" w:eastAsia="ja-JP"/>
        </w:rPr>
        <w:t>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001A02C5" w:rsidRPr="001A02C5">
        <w:rPr>
          <w:b/>
          <w:bCs/>
          <w:szCs w:val="24"/>
          <w:lang w:val="en-GB" w:eastAsia="ja-JP"/>
        </w:rPr>
        <w:t>9.12</w:t>
      </w:r>
      <w:r w:rsidR="001A02C5" w:rsidRPr="001A02C5">
        <w:rPr>
          <w:szCs w:val="24"/>
          <w:lang w:val="en-GB" w:eastAsia="ja-JP"/>
        </w:rPr>
        <w:t xml:space="preserve">, </w:t>
      </w:r>
      <w:r w:rsidR="001A02C5" w:rsidRPr="001A02C5">
        <w:rPr>
          <w:b/>
          <w:bCs/>
          <w:szCs w:val="24"/>
          <w:lang w:val="en-GB" w:eastAsia="ja-JP"/>
        </w:rPr>
        <w:t>9.12A</w:t>
      </w:r>
      <w:r w:rsidR="001A02C5" w:rsidRPr="001A02C5">
        <w:rPr>
          <w:szCs w:val="24"/>
          <w:lang w:val="en-GB" w:eastAsia="ja-JP"/>
        </w:rPr>
        <w:t xml:space="preserve"> and </w:t>
      </w:r>
      <w:r w:rsidR="001A02C5" w:rsidRPr="001A02C5">
        <w:rPr>
          <w:b/>
          <w:bCs/>
          <w:szCs w:val="24"/>
          <w:lang w:val="en-GB" w:eastAsia="ja-JP"/>
        </w:rPr>
        <w:t>9.13</w:t>
      </w:r>
      <w:r w:rsidRPr="00CE494B">
        <w:rPr>
          <w:rFonts w:hint="eastAsia"/>
          <w:szCs w:val="24"/>
          <w:lang w:val="en-US" w:eastAsia="ja-JP"/>
        </w:rPr>
        <w:t xml:space="preserve"> </w:t>
      </w:r>
      <w:r w:rsidRPr="00CE494B">
        <w:rPr>
          <w:szCs w:val="24"/>
          <w:lang w:val="en-US" w:eastAsia="ja-JP"/>
        </w:rPr>
        <w:t>…</w:t>
      </w:r>
      <w:r w:rsidRPr="00CE494B">
        <w:rPr>
          <w:rFonts w:hint="eastAsia"/>
          <w:szCs w:val="24"/>
          <w:lang w:val="en-US" w:eastAsia="ja-JP"/>
        </w:rPr>
        <w:t xml:space="preserve"> </w:t>
      </w:r>
      <w:r w:rsidRPr="00CE494B">
        <w:rPr>
          <w:szCs w:val="24"/>
          <w:lang w:val="en-US" w:eastAsia="ja-JP"/>
        </w:rPr>
        <w:t>”</w:t>
      </w:r>
      <w:r w:rsidRPr="00CE494B">
        <w:rPr>
          <w:rFonts w:hint="eastAsia"/>
          <w:szCs w:val="24"/>
          <w:lang w:val="en-US" w:eastAsia="ja-JP"/>
        </w:rPr>
        <w:t>, and studies to determine additional methodologies and criteria to facilitate such coordination are being planned;</w:t>
      </w:r>
    </w:p>
    <w:p w:rsidR="00CE494B" w:rsidRPr="00CE494B" w:rsidRDefault="00CE494B" w:rsidP="00CE494B">
      <w:pPr>
        <w:rPr>
          <w:szCs w:val="24"/>
          <w:lang w:val="en-US" w:eastAsia="ja-JP"/>
        </w:rPr>
      </w:pPr>
      <w:r w:rsidRPr="00CE494B">
        <w:rPr>
          <w:rFonts w:hint="eastAsia"/>
          <w:i/>
          <w:iCs/>
          <w:szCs w:val="24"/>
          <w:lang w:val="en-US" w:eastAsia="ja-JP"/>
        </w:rPr>
        <w:t>e</w:t>
      </w:r>
      <w:r w:rsidRPr="00CE494B">
        <w:rPr>
          <w:i/>
          <w:iCs/>
          <w:szCs w:val="24"/>
          <w:lang w:val="en-US"/>
        </w:rPr>
        <w:t>)</w:t>
      </w:r>
      <w:r w:rsidRPr="00CE494B">
        <w:rPr>
          <w:szCs w:val="24"/>
          <w:lang w:val="en-US"/>
        </w:rPr>
        <w:tab/>
        <w:t xml:space="preserve">that </w:t>
      </w:r>
      <w:r w:rsidRPr="00CE494B">
        <w:rPr>
          <w:rFonts w:hint="eastAsia"/>
          <w:szCs w:val="24"/>
          <w:lang w:val="en-US" w:eastAsia="ja-JP"/>
        </w:rPr>
        <w:t xml:space="preserve">RR No. </w:t>
      </w:r>
      <w:r w:rsidRPr="00CE494B">
        <w:rPr>
          <w:rFonts w:hint="eastAsia"/>
          <w:b/>
          <w:bCs/>
          <w:szCs w:val="24"/>
          <w:lang w:val="en-US" w:eastAsia="ja-JP"/>
        </w:rPr>
        <w:t>5.443B</w:t>
      </w:r>
      <w:r w:rsidRPr="00CE494B">
        <w:rPr>
          <w:rFonts w:hint="eastAsia"/>
          <w:szCs w:val="24"/>
          <w:lang w:val="en-US" w:eastAsia="ja-JP"/>
        </w:rPr>
        <w:t xml:space="preserve"> and Resolution </w:t>
      </w:r>
      <w:r w:rsidRPr="00CE494B">
        <w:rPr>
          <w:rFonts w:hint="eastAsia"/>
          <w:b/>
          <w:bCs/>
          <w:szCs w:val="24"/>
          <w:lang w:val="en-US" w:eastAsia="ja-JP"/>
        </w:rPr>
        <w:t>741 (Rev.WRC-12)</w:t>
      </w:r>
      <w:r w:rsidRPr="00CE494B">
        <w:rPr>
          <w:rFonts w:hint="eastAsia"/>
          <w:szCs w:val="24"/>
          <w:lang w:val="en-US" w:eastAsia="ja-JP"/>
        </w:rPr>
        <w:t xml:space="preserve"> provide aggregate power flux-density limits on space stations in the RNSS to prevent harmful interference to the radio astronomy service (RAS) operating in the </w:t>
      </w:r>
      <w:r w:rsidRPr="00CE494B">
        <w:rPr>
          <w:szCs w:val="24"/>
          <w:lang w:val="en-US"/>
        </w:rPr>
        <w:t xml:space="preserve">band </w:t>
      </w:r>
      <w:r w:rsidRPr="00CE494B">
        <w:rPr>
          <w:rFonts w:hint="eastAsia"/>
          <w:szCs w:val="24"/>
          <w:lang w:val="en-US" w:eastAsia="ja-JP"/>
        </w:rPr>
        <w:t>4</w:t>
      </w:r>
      <w:r w:rsidRPr="00CE494B">
        <w:rPr>
          <w:szCs w:val="24"/>
          <w:lang w:val="en-US"/>
        </w:rPr>
        <w:t> </w:t>
      </w:r>
      <w:r w:rsidRPr="00CE494B">
        <w:rPr>
          <w:rFonts w:hint="eastAsia"/>
          <w:szCs w:val="24"/>
          <w:lang w:val="en-US" w:eastAsia="ja-JP"/>
        </w:rPr>
        <w:t>99</w:t>
      </w:r>
      <w:r w:rsidRPr="00CE494B">
        <w:rPr>
          <w:szCs w:val="24"/>
          <w:lang w:val="en-US"/>
        </w:rPr>
        <w:t>0-5 0</w:t>
      </w:r>
      <w:r w:rsidRPr="00CE494B">
        <w:rPr>
          <w:rFonts w:hint="eastAsia"/>
          <w:szCs w:val="24"/>
          <w:lang w:val="en-US" w:eastAsia="ja-JP"/>
        </w:rPr>
        <w:t>0</w:t>
      </w:r>
      <w:r w:rsidRPr="00CE494B">
        <w:rPr>
          <w:szCs w:val="24"/>
          <w:lang w:val="en-US"/>
        </w:rPr>
        <w:t>0 MHz</w:t>
      </w:r>
      <w:r w:rsidRPr="00CE494B">
        <w:rPr>
          <w:rFonts w:hint="eastAsia"/>
          <w:szCs w:val="24"/>
          <w:lang w:val="en-US" w:eastAsia="ja-JP"/>
        </w:rPr>
        <w:t>;</w:t>
      </w:r>
    </w:p>
    <w:p w:rsidR="00CE494B" w:rsidRPr="00CE494B" w:rsidRDefault="00CE494B" w:rsidP="00CE494B">
      <w:pPr>
        <w:rPr>
          <w:i/>
          <w:iCs/>
          <w:szCs w:val="24"/>
          <w:lang w:val="en-US"/>
        </w:rPr>
      </w:pPr>
      <w:r w:rsidRPr="00CE494B">
        <w:rPr>
          <w:rFonts w:hint="eastAsia"/>
          <w:i/>
          <w:iCs/>
          <w:szCs w:val="24"/>
          <w:lang w:val="en-US" w:eastAsia="ja-JP"/>
        </w:rPr>
        <w:t>f</w:t>
      </w:r>
      <w:r w:rsidRPr="00CE494B">
        <w:rPr>
          <w:i/>
          <w:iCs/>
          <w:szCs w:val="24"/>
          <w:lang w:val="en-US"/>
        </w:rPr>
        <w:t>)</w:t>
      </w:r>
      <w:r w:rsidRPr="00CE494B">
        <w:rPr>
          <w:szCs w:val="24"/>
          <w:lang w:val="en-US"/>
        </w:rPr>
        <w:tab/>
        <w:t xml:space="preserve">that </w:t>
      </w:r>
      <w:r w:rsidRPr="00CE494B">
        <w:rPr>
          <w:rFonts w:hint="eastAsia"/>
          <w:szCs w:val="24"/>
          <w:lang w:val="en-US" w:eastAsia="ja-JP"/>
        </w:rPr>
        <w:t xml:space="preserve">RR No. </w:t>
      </w:r>
      <w:r w:rsidRPr="00CE494B">
        <w:rPr>
          <w:rFonts w:hint="eastAsia"/>
          <w:b/>
          <w:bCs/>
          <w:szCs w:val="24"/>
          <w:lang w:val="en-US" w:eastAsia="ja-JP"/>
        </w:rPr>
        <w:t>5.443B</w:t>
      </w:r>
      <w:r w:rsidRPr="00CE494B">
        <w:rPr>
          <w:rFonts w:hint="eastAsia"/>
          <w:szCs w:val="24"/>
          <w:lang w:val="en-US" w:eastAsia="ja-JP"/>
        </w:rPr>
        <w:t xml:space="preserve"> provides aggregate power flux-density limits on space stations in the RNSS to prevent harmful interference to the microwave landing system which operates in the ARNS above 5 030 MHz</w:t>
      </w:r>
      <w:r w:rsidRPr="00CE494B">
        <w:rPr>
          <w:szCs w:val="24"/>
          <w:lang w:val="en-US" w:eastAsia="ja-JP"/>
        </w:rPr>
        <w:t>;</w:t>
      </w:r>
      <w:r w:rsidRPr="00CE494B">
        <w:rPr>
          <w:i/>
          <w:iCs/>
          <w:szCs w:val="24"/>
          <w:lang w:val="en-US"/>
        </w:rPr>
        <w:t xml:space="preserve"> </w:t>
      </w:r>
    </w:p>
    <w:p w:rsidR="00CE494B" w:rsidRPr="00CE494B" w:rsidRDefault="00CE494B" w:rsidP="00CE494B">
      <w:pPr>
        <w:rPr>
          <w:szCs w:val="24"/>
          <w:lang w:val="en-US"/>
        </w:rPr>
      </w:pPr>
      <w:r w:rsidRPr="00CE494B">
        <w:rPr>
          <w:i/>
          <w:szCs w:val="24"/>
          <w:lang w:val="en-US"/>
        </w:rPr>
        <w:t>g)</w:t>
      </w:r>
      <w:r w:rsidRPr="00CE494B">
        <w:rPr>
          <w:szCs w:val="24"/>
          <w:lang w:val="en-US"/>
        </w:rPr>
        <w:tab/>
        <w:t>that Recommendation ITU</w:t>
      </w:r>
      <w:r w:rsidRPr="00CE494B">
        <w:rPr>
          <w:szCs w:val="24"/>
          <w:lang w:val="en-US"/>
        </w:rPr>
        <w:noBreakHyphen/>
        <w:t>R M.</w:t>
      </w:r>
      <w:r w:rsidRPr="00CE494B">
        <w:rPr>
          <w:rFonts w:hint="eastAsia"/>
          <w:szCs w:val="24"/>
          <w:lang w:val="en-US" w:eastAsia="ja-JP"/>
        </w:rPr>
        <w:t>1901</w:t>
      </w:r>
      <w:r w:rsidRPr="00CE494B">
        <w:rPr>
          <w:szCs w:val="24"/>
          <w:lang w:val="en-US"/>
        </w:rPr>
        <w:t xml:space="preserve"> provides guidance on ITU-R Recommendations related to systems and networks in the </w:t>
      </w:r>
      <w:r w:rsidRPr="00CE494B">
        <w:rPr>
          <w:rFonts w:hint="eastAsia"/>
          <w:szCs w:val="24"/>
          <w:lang w:val="en-US" w:eastAsia="ja-JP"/>
        </w:rPr>
        <w:t>RNSS</w:t>
      </w:r>
      <w:r w:rsidRPr="00CE494B">
        <w:rPr>
          <w:szCs w:val="24"/>
          <w:lang w:val="en-US"/>
        </w:rPr>
        <w:t>,</w:t>
      </w:r>
    </w:p>
    <w:p w:rsidR="00CE494B" w:rsidRDefault="00CE494B" w:rsidP="00CE494B">
      <w:pPr>
        <w:pStyle w:val="Call"/>
        <w:rPr>
          <w:lang w:val="en-US"/>
        </w:rPr>
      </w:pPr>
      <w:r>
        <w:rPr>
          <w:lang w:val="en-US"/>
        </w:rPr>
        <w:t>recommends</w:t>
      </w:r>
    </w:p>
    <w:p w:rsidR="00F113EC" w:rsidRPr="004E20B0" w:rsidRDefault="00F113EC" w:rsidP="00F113EC">
      <w:pPr>
        <w:rPr>
          <w:snapToGrid w:val="0"/>
          <w:lang w:val="en-GB"/>
        </w:rPr>
      </w:pPr>
      <w:r w:rsidRPr="004E20B0">
        <w:rPr>
          <w:b/>
          <w:bCs/>
          <w:snapToGrid w:val="0"/>
          <w:lang w:val="en-GB"/>
        </w:rPr>
        <w:t>1</w:t>
      </w:r>
      <w:r w:rsidRPr="004E20B0">
        <w:rPr>
          <w:b/>
          <w:bCs/>
          <w:snapToGrid w:val="0"/>
          <w:lang w:val="en-GB"/>
        </w:rPr>
        <w:tab/>
      </w:r>
      <w:r w:rsidRPr="004E20B0">
        <w:rPr>
          <w:snapToGrid w:val="0"/>
          <w:lang w:val="en-GB"/>
        </w:rPr>
        <w:t xml:space="preserve">that the characteristics and protection criteria of receiving earth stations </w:t>
      </w:r>
      <w:r w:rsidRPr="004E20B0">
        <w:rPr>
          <w:snapToGrid w:val="0"/>
          <w:lang w:val="en-GB" w:eastAsia="ja-JP"/>
        </w:rPr>
        <w:t>a</w:t>
      </w:r>
      <w:r w:rsidRPr="004E20B0">
        <w:rPr>
          <w:snapToGrid w:val="0"/>
          <w:lang w:val="en-GB"/>
        </w:rPr>
        <w:t>nd the characteristics of transmitting space stations</w:t>
      </w:r>
      <w:r w:rsidRPr="004E20B0">
        <w:rPr>
          <w:snapToGrid w:val="0"/>
          <w:lang w:val="en-GB" w:eastAsia="ja-JP"/>
        </w:rPr>
        <w:t xml:space="preserve"> </w:t>
      </w:r>
      <w:r w:rsidRPr="004E20B0">
        <w:rPr>
          <w:snapToGrid w:val="0"/>
          <w:lang w:val="en-GB"/>
        </w:rPr>
        <w:t xml:space="preserve">given in Annexes 1, 2 and 3 should be used in </w:t>
      </w:r>
      <w:r w:rsidRPr="004E20B0">
        <w:rPr>
          <w:lang w:val="en-GB"/>
        </w:rPr>
        <w:t xml:space="preserve">performing analyses of </w:t>
      </w:r>
      <w:r w:rsidRPr="004E20B0">
        <w:rPr>
          <w:snapToGrid w:val="0"/>
          <w:szCs w:val="24"/>
          <w:lang w:val="en-GB"/>
        </w:rPr>
        <w:t>radio frequency</w:t>
      </w:r>
      <w:r w:rsidRPr="004E20B0">
        <w:rPr>
          <w:snapToGrid w:val="0"/>
          <w:lang w:val="en-GB"/>
        </w:rPr>
        <w:t xml:space="preserve"> interference impact on systems and networks in the RNSS (space</w:t>
      </w:r>
      <w:r w:rsidRPr="004E20B0">
        <w:rPr>
          <w:snapToGrid w:val="0"/>
          <w:lang w:val="en-GB"/>
        </w:rPr>
        <w:noBreakHyphen/>
        <w:t>to</w:t>
      </w:r>
      <w:r w:rsidRPr="004E20B0">
        <w:rPr>
          <w:snapToGrid w:val="0"/>
          <w:lang w:val="en-GB"/>
        </w:rPr>
        <w:noBreakHyphen/>
        <w:t>Earth) operating in the band 5 010-5 030 MHz from radio sources other than in the RNSS;</w:t>
      </w:r>
    </w:p>
    <w:p w:rsidR="00F113EC" w:rsidRPr="004E20B0" w:rsidRDefault="00F113EC" w:rsidP="00F113EC">
      <w:pPr>
        <w:rPr>
          <w:lang w:val="en-GB" w:eastAsia="ja-JP"/>
        </w:rPr>
      </w:pPr>
      <w:r w:rsidRPr="004E20B0">
        <w:rPr>
          <w:b/>
          <w:bCs/>
          <w:snapToGrid w:val="0"/>
          <w:lang w:val="en-GB"/>
        </w:rPr>
        <w:t>2</w:t>
      </w:r>
      <w:r w:rsidRPr="004E20B0">
        <w:rPr>
          <w:snapToGrid w:val="0"/>
          <w:lang w:val="en-GB"/>
        </w:rPr>
        <w:tab/>
        <w:t xml:space="preserve">that the allowance for interference to service links of systems and networks in the RNSS (space-to-Earth) in </w:t>
      </w:r>
      <w:r w:rsidRPr="004E20B0">
        <w:rPr>
          <w:lang w:val="en-GB" w:eastAsia="ja-JP"/>
        </w:rPr>
        <w:t xml:space="preserve">Annexes 1 and 2 </w:t>
      </w:r>
      <w:r w:rsidRPr="004E20B0">
        <w:rPr>
          <w:snapToGrid w:val="0"/>
          <w:lang w:val="en-GB"/>
        </w:rPr>
        <w:t xml:space="preserve">operating in the band 5 010-5 030 MHz from all radio sources other than in the RNSS, not exceed the </w:t>
      </w:r>
      <w:r w:rsidRPr="004E20B0">
        <w:rPr>
          <w:lang w:val="en-GB" w:eastAsia="ja-JP"/>
        </w:rPr>
        <w:t>interference threshold values given in Tables 1-1 and 2-</w:t>
      </w:r>
      <w:r w:rsidRPr="004E20B0">
        <w:rPr>
          <w:lang w:val="en-GB"/>
        </w:rPr>
        <w:t>4</w:t>
      </w:r>
      <w:r w:rsidRPr="004E20B0">
        <w:rPr>
          <w:lang w:val="en-GB" w:eastAsia="ja-JP"/>
        </w:rPr>
        <w:t>.</w:t>
      </w:r>
    </w:p>
    <w:p w:rsidR="00F113EC" w:rsidRDefault="00F113EC" w:rsidP="00EB6347">
      <w:pPr>
        <w:rPr>
          <w:lang w:val="en-GB" w:eastAsia="ja-JP"/>
        </w:rPr>
      </w:pPr>
    </w:p>
    <w:p w:rsidR="00EB6347" w:rsidRPr="00F113EC" w:rsidRDefault="00EB6347" w:rsidP="00EB6347">
      <w:pPr>
        <w:rPr>
          <w:lang w:val="en-GB" w:eastAsia="ja-JP"/>
        </w:rPr>
      </w:pPr>
    </w:p>
    <w:p w:rsidR="00F113EC" w:rsidRPr="004E20B0" w:rsidRDefault="00F113EC" w:rsidP="00F113EC">
      <w:pPr>
        <w:pStyle w:val="AnnexNoTitle"/>
        <w:rPr>
          <w:rFonts w:eastAsia="MS Mincho"/>
          <w:lang w:val="en-GB"/>
        </w:rPr>
      </w:pPr>
      <w:r w:rsidRPr="004E20B0">
        <w:rPr>
          <w:rFonts w:eastAsia="MS Mincho"/>
          <w:lang w:val="en-GB"/>
        </w:rPr>
        <w:t>Annex 1</w:t>
      </w:r>
      <w:r w:rsidRPr="004E20B0">
        <w:rPr>
          <w:rFonts w:eastAsia="MS Mincho"/>
          <w:lang w:val="en-GB"/>
        </w:rPr>
        <w:br/>
      </w:r>
      <w:r w:rsidRPr="004E20B0">
        <w:rPr>
          <w:rFonts w:eastAsia="MS Mincho"/>
          <w:lang w:val="en-GB"/>
        </w:rPr>
        <w:br/>
        <w:t>Typical technical characteristics and protection criteria for Galileo receiving earth stations operating in the band 5 010-5 030 MHz</w:t>
      </w:r>
    </w:p>
    <w:p w:rsidR="00F113EC" w:rsidRPr="004E20B0" w:rsidRDefault="00F113EC" w:rsidP="00F113EC">
      <w:pPr>
        <w:pStyle w:val="Heading1"/>
        <w:rPr>
          <w:lang w:val="en-GB"/>
        </w:rPr>
      </w:pPr>
      <w:r w:rsidRPr="004E20B0">
        <w:rPr>
          <w:lang w:val="en-GB"/>
        </w:rPr>
        <w:t>1</w:t>
      </w:r>
      <w:r w:rsidRPr="004E20B0">
        <w:rPr>
          <w:lang w:val="en-GB"/>
        </w:rPr>
        <w:tab/>
        <w:t>Introduction</w:t>
      </w:r>
    </w:p>
    <w:p w:rsidR="00F113EC" w:rsidRPr="004E20B0" w:rsidRDefault="00F113EC" w:rsidP="00F113EC">
      <w:pPr>
        <w:rPr>
          <w:lang w:val="en-GB"/>
        </w:rPr>
      </w:pPr>
      <w:r w:rsidRPr="004E20B0">
        <w:rPr>
          <w:lang w:val="en-GB"/>
        </w:rPr>
        <w:t>The Galileo Positioning System service link provides information used to determine position, navigation and timing (PNT) by suitably equipped navigation receivers. This Annex focuses on the Galileo Positioning System service link receiving characteristics and does not address transmitting space stations of the same network. It is anticipated that this Annex will be updated in a future revision of this Recommendation once the transmitting space station characteristics are available.</w:t>
      </w:r>
    </w:p>
    <w:p w:rsidR="00F113EC" w:rsidRPr="004E20B0" w:rsidRDefault="00F113EC" w:rsidP="00F113EC">
      <w:pPr>
        <w:pStyle w:val="Heading1"/>
        <w:rPr>
          <w:lang w:val="en-GB"/>
        </w:rPr>
      </w:pPr>
      <w:r w:rsidRPr="004E20B0">
        <w:rPr>
          <w:lang w:val="en-GB"/>
        </w:rPr>
        <w:t>2</w:t>
      </w:r>
      <w:r w:rsidRPr="004E20B0">
        <w:rPr>
          <w:lang w:val="en-GB"/>
        </w:rPr>
        <w:tab/>
        <w:t>Galileo service link characteristics</w:t>
      </w:r>
    </w:p>
    <w:p w:rsidR="00F113EC" w:rsidRPr="004E20B0" w:rsidRDefault="00F113EC" w:rsidP="00F113EC">
      <w:pPr>
        <w:rPr>
          <w:lang w:val="en-GB" w:eastAsia="en-GB"/>
        </w:rPr>
      </w:pPr>
      <w:r w:rsidRPr="004E20B0">
        <w:rPr>
          <w:lang w:val="en-GB"/>
        </w:rPr>
        <w:t xml:space="preserve">The Galileo </w:t>
      </w:r>
      <w:r w:rsidRPr="004E20B0">
        <w:rPr>
          <w:lang w:val="en-GB" w:eastAsia="en-GB"/>
        </w:rPr>
        <w:t xml:space="preserve">PNT service provides downlinks in the 5 010-5 030 MHz band for the PNT requirements of mobile users (land, maritime, aeronautical). </w:t>
      </w:r>
    </w:p>
    <w:p w:rsidR="00F113EC" w:rsidRPr="004E20B0" w:rsidRDefault="00F113EC" w:rsidP="00F113EC">
      <w:pPr>
        <w:rPr>
          <w:lang w:val="en-GB" w:eastAsia="en-GB"/>
        </w:rPr>
      </w:pPr>
      <w:r w:rsidRPr="004E20B0">
        <w:rPr>
          <w:lang w:val="en-GB" w:eastAsia="en-GB"/>
        </w:rPr>
        <w:t xml:space="preserve">Galileo PNT offers two services: one with global coverage and one that makes use of spot beams, providing higher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eastAsia="en-GB"/>
        </w:rPr>
        <w:t xml:space="preserve"> in specific areas. To provide high ranging accuracies and positioning </w:t>
      </w:r>
      <w:r w:rsidRPr="004E20B0">
        <w:rPr>
          <w:lang w:val="en-GB"/>
        </w:rPr>
        <w:t>performances</w:t>
      </w:r>
      <w:r w:rsidRPr="004E20B0">
        <w:rPr>
          <w:lang w:val="en-GB" w:eastAsia="en-GB"/>
        </w:rPr>
        <w:t xml:space="preserve">, wideband signal transmissions are essential. Similar to the RNSS signal transmissions </w:t>
      </w:r>
      <w:r w:rsidRPr="004E20B0">
        <w:rPr>
          <w:lang w:val="en-GB" w:eastAsia="en-GB"/>
        </w:rPr>
        <w:lastRenderedPageBreak/>
        <w:t>in L-band, the transmissions in C-band are implemented as spread spectrum signals with multiplexed signal components.</w:t>
      </w:r>
    </w:p>
    <w:p w:rsidR="00F113EC" w:rsidRPr="004E20B0" w:rsidRDefault="00F113EC" w:rsidP="00F113EC">
      <w:pPr>
        <w:rPr>
          <w:lang w:val="en-GB"/>
        </w:rPr>
      </w:pPr>
      <w:r w:rsidRPr="004E20B0">
        <w:rPr>
          <w:lang w:val="en-GB"/>
        </w:rPr>
        <w:t>Compared to the sharing conditions in the RNSS allocations between 1 164 MHz and 1 610 MHz, the band 5 010-5 030 MHz offers significantly lower levels of potential interference that renders it attractive for safety critical and similar elevated service applications.</w:t>
      </w:r>
    </w:p>
    <w:p w:rsidR="00F113EC" w:rsidRPr="004E20B0" w:rsidRDefault="00F113EC" w:rsidP="000A0E5D">
      <w:pPr>
        <w:rPr>
          <w:lang w:val="en-GB"/>
        </w:rPr>
      </w:pPr>
      <w:r w:rsidRPr="004E20B0">
        <w:rPr>
          <w:lang w:val="en-GB" w:eastAsia="en-GB"/>
        </w:rPr>
        <w:t xml:space="preserve">The derived receiver protection criteria are given in Table 1-1 below, using the downlink conditions for a global coverage beam. The different signal components are multiplexed using constant envelope modulations. </w:t>
      </w:r>
      <w:r w:rsidRPr="004E20B0">
        <w:rPr>
          <w:lang w:val="en-GB"/>
        </w:rPr>
        <w:t>Full service quality, as required by market demands, has to be achieved for all elevation angles above</w:t>
      </w:r>
      <w:r w:rsidR="000A0E5D">
        <w:rPr>
          <w:lang w:val="en-GB"/>
        </w:rPr>
        <w:t> 5</w:t>
      </w:r>
      <w:r w:rsidRPr="004E20B0">
        <w:rPr>
          <w:lang w:val="en-GB"/>
        </w:rPr>
        <w:t xml:space="preserve">. </w:t>
      </w:r>
    </w:p>
    <w:p w:rsidR="00F113EC" w:rsidRPr="004E20B0" w:rsidRDefault="00F113EC" w:rsidP="00F113EC">
      <w:pPr>
        <w:rPr>
          <w:lang w:val="en-GB"/>
        </w:rPr>
      </w:pPr>
      <w:r w:rsidRPr="004E20B0">
        <w:rPr>
          <w:lang w:val="en-GB"/>
        </w:rPr>
        <w:t>The service link assumes to provide PNT services to mobile RNSS receivers from satellites visible above 5° elevation using hemispherical coverage antennas with a gain of −5 dBi. The gain for the assumed typical receive antenna varies from –5 dBi to +4 dBi for elevation angles between 5° and 90°.</w:t>
      </w:r>
    </w:p>
    <w:p w:rsidR="00F113EC" w:rsidRPr="004E20B0" w:rsidRDefault="00F113EC" w:rsidP="00F113EC">
      <w:pPr>
        <w:pStyle w:val="Heading1"/>
        <w:rPr>
          <w:lang w:val="en-GB"/>
        </w:rPr>
      </w:pPr>
      <w:r w:rsidRPr="004E20B0">
        <w:rPr>
          <w:lang w:val="en-GB"/>
        </w:rPr>
        <w:t>3</w:t>
      </w:r>
      <w:r w:rsidRPr="004E20B0">
        <w:rPr>
          <w:lang w:val="en-GB"/>
        </w:rPr>
        <w:tab/>
        <w:t>RNSS receiver protection criteria</w:t>
      </w:r>
    </w:p>
    <w:p w:rsidR="00F113EC" w:rsidRPr="004E20B0" w:rsidRDefault="00F113EC" w:rsidP="00F113EC">
      <w:pPr>
        <w:rPr>
          <w:lang w:val="en-GB"/>
        </w:rPr>
      </w:pPr>
      <w:r w:rsidRPr="004E20B0">
        <w:rPr>
          <w:lang w:val="en-GB"/>
        </w:rPr>
        <w:t xml:space="preserve">The aggregate interference threshold levels in Table 1-1 are calculated for interference of continuous transmissions only, assumed as white noise. </w:t>
      </w:r>
    </w:p>
    <w:p w:rsidR="00F113EC" w:rsidRPr="004E20B0" w:rsidRDefault="00F113EC" w:rsidP="00F113EC">
      <w:pPr>
        <w:rPr>
          <w:lang w:val="en-GB"/>
        </w:rPr>
      </w:pPr>
      <w:r w:rsidRPr="004E20B0">
        <w:rPr>
          <w:lang w:val="en-GB"/>
        </w:rPr>
        <w:t xml:space="preserve">The values of the aggregate narrow-band interference threshold levels in Table 1-1 are tentative. As outlined in Recommendation ITU-R M.1831, while there is an appropriate method to model continuous external wideband interference scenarios, additional methods need to be defined for narrow-band and pulsed interference and at this time there is no Recommendation that handles narrow-band interference. </w:t>
      </w:r>
    </w:p>
    <w:p w:rsidR="00F113EC" w:rsidRPr="004E20B0" w:rsidRDefault="00F113EC" w:rsidP="00F113EC">
      <w:pPr>
        <w:rPr>
          <w:lang w:val="en-GB"/>
        </w:rPr>
      </w:pPr>
      <w:r w:rsidRPr="004E20B0">
        <w:rPr>
          <w:lang w:val="en-GB"/>
        </w:rPr>
        <w:t xml:space="preserve">To provide PNT information, RNSS receivers apply several critical steps in the RF reception and processing of spread-spectrum signals. These process steps are signal (carrier and phase) acquisition, carrier and phase tracking, code and sub-carrier tracking and decoding of the navigation message. </w:t>
      </w:r>
    </w:p>
    <w:p w:rsidR="00F113EC" w:rsidRPr="004E20B0" w:rsidRDefault="00F113EC" w:rsidP="00F113EC">
      <w:pPr>
        <w:rPr>
          <w:lang w:val="en-GB"/>
        </w:rPr>
      </w:pPr>
      <w:r w:rsidRPr="004E20B0">
        <w:rPr>
          <w:lang w:val="en-GB"/>
        </w:rPr>
        <w:t xml:space="preserve">The protection of the performances for the aforementioned receiver processes require therefore special attention as it is not only the degrading of the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due to interferences simplified as white noise, but also the spectral shape of these interferences that could harmfully degrade the receiver performance. In other words, coloured noise can degrade the receiver performance even in the case of a presumably harmless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degradation based on an inappropriate additive white Gaussian noise (AWGN) interference model.</w:t>
      </w:r>
    </w:p>
    <w:p w:rsidR="00F113EC" w:rsidRPr="004E20B0" w:rsidRDefault="00F113EC" w:rsidP="00F113EC">
      <w:pPr>
        <w:rPr>
          <w:lang w:val="en-GB"/>
        </w:rPr>
      </w:pPr>
      <w:r w:rsidRPr="004E20B0">
        <w:rPr>
          <w:lang w:val="en-GB"/>
        </w:rPr>
        <w:t xml:space="preserve">Coloured noise also has an influence on the implementation of early-late decorrelators, which are an essential element in the RNSS receiver process. </w:t>
      </w:r>
    </w:p>
    <w:p w:rsidR="00F113EC" w:rsidRPr="004E20B0" w:rsidRDefault="00F113EC" w:rsidP="00F113EC">
      <w:pPr>
        <w:rPr>
          <w:lang w:val="en-GB"/>
        </w:rPr>
      </w:pPr>
      <w:r w:rsidRPr="004E20B0">
        <w:rPr>
          <w:lang w:val="en-GB"/>
        </w:rPr>
        <w:t xml:space="preserve">Recommendation ITU-R M.1831 describes the calculation process for coordination between RNSS systems taking the spectral signal characteristics into account by applying a Spectral Separation Coefficient (SSC). </w:t>
      </w:r>
    </w:p>
    <w:p w:rsidR="00F113EC" w:rsidRPr="004E20B0" w:rsidRDefault="00F113EC" w:rsidP="00F113EC">
      <w:pPr>
        <w:rPr>
          <w:lang w:val="en-GB"/>
        </w:rPr>
      </w:pPr>
      <w:r w:rsidRPr="004E20B0">
        <w:rPr>
          <w:lang w:val="en-GB"/>
        </w:rPr>
        <w:t xml:space="preserve">Similarly to continuous interferences, the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degradations computed with pulsed interferences and considering the white noise assumption are not representative of the real effects onto the receiver performances. Additionally to the continuous interferences new parameters, as the peak power, the pulse duty cycle (PDC) and the pulse repetition frequency (PRF) need to be taken into account for an adequate evaluation of receiver performance degradations. Closed-form expressions can consider these additional parameters, but the limits of modelling become apparent if non-linear effects on the receiver front-end have to be taken into account. </w:t>
      </w:r>
    </w:p>
    <w:p w:rsidR="00F113EC" w:rsidRPr="004E20B0" w:rsidRDefault="00F113EC" w:rsidP="00F113EC">
      <w:pPr>
        <w:rPr>
          <w:lang w:val="en-GB"/>
        </w:rPr>
      </w:pPr>
      <w:r w:rsidRPr="004E20B0">
        <w:rPr>
          <w:lang w:val="en-GB"/>
        </w:rPr>
        <w:t xml:space="preserve">In the case of pulsed interference, the time required to transit from a saturated receiver front-end during the pulse to a steady state, where linear equations are valid, highly depends on receiver </w:t>
      </w:r>
      <w:r w:rsidRPr="004E20B0">
        <w:rPr>
          <w:lang w:val="en-GB"/>
        </w:rPr>
        <w:lastRenderedPageBreak/>
        <w:t xml:space="preserve">implementations. During the time period of the pulse duration added to the previous recovery time, the samples provided to the correlator are useless for tracking or data-demodulation. </w:t>
      </w:r>
    </w:p>
    <w:p w:rsidR="00F113EC" w:rsidRPr="004E20B0" w:rsidRDefault="00F113EC" w:rsidP="00F113EC">
      <w:pPr>
        <w:rPr>
          <w:lang w:val="en-GB"/>
        </w:rPr>
      </w:pPr>
      <w:r w:rsidRPr="004E20B0">
        <w:rPr>
          <w:lang w:val="en-GB"/>
        </w:rPr>
        <w:t>The higher the number of pulses per coherent integration interval, the larger will be the degradation for a fixed PDC, due to accumulated effects of the recovery times. The pulse duration has to be only a small portion of the coherent integration period. In general, any time period showing strongly degraded samples caused by the saturation of the receiver front-end due to high power pulses, that are greater than or equal to a tenth of the receiver’s coherent integration time (usually about 1 ms), could harmfully degrade the integration process. In order to avoid repetition of the aforementioned effects it is necessary to have the PRF non-proportional to the symbol rate of the RNSS signals or any fraction of it.</w:t>
      </w:r>
    </w:p>
    <w:p w:rsidR="00F113EC" w:rsidRPr="004E20B0" w:rsidRDefault="00F113EC" w:rsidP="00F113EC">
      <w:pPr>
        <w:rPr>
          <w:lang w:val="en-GB"/>
        </w:rPr>
      </w:pPr>
      <w:r w:rsidRPr="004E20B0">
        <w:rPr>
          <w:lang w:val="en-GB"/>
        </w:rPr>
        <w:t xml:space="preserve">Mitigation strategies to protect the receiver against pulsed interference are considered to be left with receiver designers and manufacturers as a competitive asset rather than a limiting constraint imposed by Radio Regulations. </w:t>
      </w:r>
    </w:p>
    <w:p w:rsidR="00F113EC" w:rsidRPr="004E20B0" w:rsidRDefault="00F113EC" w:rsidP="00F113EC">
      <w:pPr>
        <w:pStyle w:val="TableNo"/>
        <w:rPr>
          <w:lang w:val="en-GB"/>
        </w:rPr>
      </w:pPr>
      <w:r w:rsidRPr="004E20B0">
        <w:rPr>
          <w:lang w:val="en-GB"/>
        </w:rPr>
        <w:t>TABLE 1-1</w:t>
      </w:r>
    </w:p>
    <w:p w:rsidR="00F113EC" w:rsidRPr="004E20B0" w:rsidRDefault="00F113EC" w:rsidP="00F113EC">
      <w:pPr>
        <w:pStyle w:val="Tabletitle"/>
        <w:rPr>
          <w:lang w:val="en-GB"/>
        </w:rPr>
      </w:pPr>
      <w:r w:rsidRPr="004E20B0">
        <w:rPr>
          <w:lang w:val="en-GB"/>
        </w:rPr>
        <w:t>Service link characteristics and protection criteria for Galileo receiving earth stations</w:t>
      </w:r>
      <w:r w:rsidRPr="004E20B0">
        <w:rPr>
          <w:lang w:val="en-GB"/>
        </w:rPr>
        <w:br/>
        <w:t>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9"/>
        <w:gridCol w:w="3330"/>
      </w:tblGrid>
      <w:tr w:rsidR="00F113EC" w:rsidRPr="004E20B0" w:rsidTr="00920BCB">
        <w:trPr>
          <w:cantSplit/>
          <w:tblHeader/>
          <w:jc w:val="center"/>
        </w:trPr>
        <w:tc>
          <w:tcPr>
            <w:tcW w:w="6176" w:type="dxa"/>
            <w:vAlign w:val="center"/>
          </w:tcPr>
          <w:p w:rsidR="00F113EC" w:rsidRPr="004E20B0" w:rsidRDefault="00F113EC" w:rsidP="00920BCB">
            <w:pPr>
              <w:pStyle w:val="Tablehead"/>
              <w:rPr>
                <w:rFonts w:eastAsia="MS PGothic"/>
                <w:lang w:val="en-GB"/>
              </w:rPr>
            </w:pPr>
            <w:r w:rsidRPr="004E20B0">
              <w:rPr>
                <w:rFonts w:eastAsia="MS PGothic"/>
                <w:lang w:val="en-GB"/>
              </w:rPr>
              <w:t>Parameter</w:t>
            </w:r>
          </w:p>
        </w:tc>
        <w:tc>
          <w:tcPr>
            <w:tcW w:w="3260" w:type="dxa"/>
            <w:vAlign w:val="center"/>
          </w:tcPr>
          <w:p w:rsidR="00F113EC" w:rsidRPr="004E20B0" w:rsidRDefault="00F113EC" w:rsidP="00920BCB">
            <w:pPr>
              <w:pStyle w:val="Tablehead"/>
              <w:rPr>
                <w:rFonts w:eastAsia="MS PGothic"/>
                <w:lang w:val="en-GB"/>
              </w:rPr>
            </w:pPr>
            <w:r w:rsidRPr="004E20B0">
              <w:rPr>
                <w:rFonts w:eastAsia="MS PGothic"/>
                <w:lang w:val="en-GB"/>
              </w:rPr>
              <w:t>RNSS parameter description</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Signal frequency range (MHz)</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5 010-5 030</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Maximum receiver antenna gain (dBi)</w:t>
            </w:r>
          </w:p>
        </w:tc>
        <w:tc>
          <w:tcPr>
            <w:tcW w:w="3260"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4</w:t>
            </w:r>
          </w:p>
        </w:tc>
      </w:tr>
      <w:tr w:rsidR="00F113EC" w:rsidRPr="004E20B0" w:rsidTr="00920BCB">
        <w:trPr>
          <w:cantSplit/>
          <w:jc w:val="center"/>
        </w:trPr>
        <w:tc>
          <w:tcPr>
            <w:tcW w:w="6176" w:type="dxa"/>
          </w:tcPr>
          <w:p w:rsidR="00F113EC" w:rsidRPr="00ED14C2" w:rsidRDefault="00F113EC" w:rsidP="00920BCB">
            <w:pPr>
              <w:pStyle w:val="Tabletext"/>
              <w:jc w:val="left"/>
              <w:rPr>
                <w:rFonts w:eastAsia="MS PGothic"/>
                <w:lang w:val="de-CH"/>
              </w:rPr>
            </w:pPr>
            <w:r w:rsidRPr="00ED14C2">
              <w:rPr>
                <w:rFonts w:eastAsia="MS PGothic"/>
                <w:lang w:val="de-CH"/>
              </w:rPr>
              <w:t>RF filter 3 dB bandwidth (MHz)</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20</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Pre-correlation filter 3 dB bandwidth (MHz)</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20</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Receiver system noise temperature (K)</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530</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Tracking mode threshold power level of aggregate narrow-band interference at the passive antenna output (dBW)</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–157.1</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Acquisition mode threshold power level of aggregate narrow-band interference at the passive antenna output (dBW)</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–160.1</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Tracking mode threshold power density level of aggregate wideband interference at the passive antenna output (dB(W/MHz))</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–147.1</w:t>
            </w:r>
          </w:p>
        </w:tc>
      </w:tr>
      <w:tr w:rsidR="00F113EC" w:rsidRPr="004E20B0" w:rsidTr="00920BCB">
        <w:trPr>
          <w:cantSplit/>
          <w:jc w:val="center"/>
        </w:trPr>
        <w:tc>
          <w:tcPr>
            <w:tcW w:w="6176" w:type="dxa"/>
          </w:tcPr>
          <w:p w:rsidR="00F113EC" w:rsidRPr="004E20B0" w:rsidRDefault="00F113EC" w:rsidP="00920BCB">
            <w:pPr>
              <w:pStyle w:val="Tabletext"/>
              <w:jc w:val="left"/>
              <w:rPr>
                <w:rFonts w:eastAsia="MS PGothic"/>
                <w:lang w:val="en-GB"/>
              </w:rPr>
            </w:pPr>
            <w:r w:rsidRPr="004E20B0">
              <w:rPr>
                <w:rFonts w:eastAsia="MS PGothic"/>
                <w:lang w:val="en-GB"/>
              </w:rPr>
              <w:t xml:space="preserve">Acquisition mode threshold power density level of aggregate wideband interference at the passive antenna output (dB(W/MHz)) </w:t>
            </w:r>
          </w:p>
        </w:tc>
        <w:tc>
          <w:tcPr>
            <w:tcW w:w="3260" w:type="dxa"/>
            <w:vAlign w:val="center"/>
          </w:tcPr>
          <w:p w:rsidR="00F113EC" w:rsidRPr="004E20B0" w:rsidRDefault="00F113EC" w:rsidP="00920BCB">
            <w:pPr>
              <w:pStyle w:val="Tabletext"/>
              <w:jc w:val="center"/>
              <w:rPr>
                <w:rFonts w:eastAsia="MS PGothic"/>
                <w:szCs w:val="21"/>
                <w:lang w:val="en-GB"/>
              </w:rPr>
            </w:pPr>
            <w:r w:rsidRPr="004E20B0">
              <w:rPr>
                <w:rFonts w:eastAsia="MS PGothic"/>
                <w:szCs w:val="21"/>
                <w:lang w:val="en-GB"/>
              </w:rPr>
              <w:t>–150.1</w:t>
            </w:r>
          </w:p>
        </w:tc>
      </w:tr>
    </w:tbl>
    <w:p w:rsidR="00F113EC" w:rsidRPr="004E20B0" w:rsidRDefault="00F113EC" w:rsidP="00F113EC">
      <w:pPr>
        <w:pStyle w:val="Tablefin"/>
        <w:rPr>
          <w:rFonts w:eastAsia="MS Mincho"/>
        </w:rPr>
      </w:pPr>
    </w:p>
    <w:p w:rsidR="00F113EC" w:rsidRPr="004E20B0" w:rsidRDefault="00F113EC" w:rsidP="00F113EC">
      <w:pPr>
        <w:rPr>
          <w:lang w:val="en-GB"/>
        </w:rPr>
      </w:pPr>
    </w:p>
    <w:p w:rsidR="00F113EC" w:rsidRPr="004E20B0" w:rsidRDefault="00F113EC" w:rsidP="00F113EC">
      <w:pPr>
        <w:pStyle w:val="AnnexNoTitle"/>
        <w:rPr>
          <w:rFonts w:eastAsia="MS Mincho"/>
          <w:snapToGrid w:val="0"/>
          <w:lang w:val="en-GB"/>
        </w:rPr>
      </w:pPr>
      <w:r w:rsidRPr="004E20B0">
        <w:rPr>
          <w:lang w:val="en-GB"/>
        </w:rPr>
        <w:t>Annex 2</w:t>
      </w:r>
      <w:r w:rsidRPr="004E20B0">
        <w:rPr>
          <w:lang w:val="en-GB"/>
        </w:rPr>
        <w:br/>
      </w:r>
      <w:r w:rsidRPr="004E20B0">
        <w:rPr>
          <w:lang w:val="en-GB"/>
        </w:rPr>
        <w:br/>
      </w:r>
      <w:r w:rsidRPr="004E20B0">
        <w:rPr>
          <w:rFonts w:eastAsia="MS Mincho"/>
          <w:lang w:val="en-GB"/>
        </w:rPr>
        <w:t>Technical characteristics and protection criteria of receiving earth stations and characteristics of transmitting space stations in the Global Positioning System (GPS) operating space-to-Earth in the band</w:t>
      </w:r>
      <w:r w:rsidRPr="004E20B0">
        <w:rPr>
          <w:rFonts w:eastAsia="MS Mincho"/>
          <w:caps/>
          <w:lang w:val="en-GB"/>
        </w:rPr>
        <w:t xml:space="preserve"> 5 010-5 030 MH</w:t>
      </w:r>
      <w:r w:rsidRPr="004E20B0">
        <w:rPr>
          <w:rFonts w:eastAsia="MS Mincho"/>
          <w:lang w:val="en-GB"/>
        </w:rPr>
        <w:t>z</w:t>
      </w:r>
    </w:p>
    <w:p w:rsidR="00F113EC" w:rsidRPr="004E20B0" w:rsidRDefault="00F113EC" w:rsidP="00F113EC">
      <w:pPr>
        <w:pStyle w:val="Heading1"/>
        <w:rPr>
          <w:lang w:val="en-GB"/>
        </w:rPr>
      </w:pPr>
      <w:r w:rsidRPr="004E20B0">
        <w:rPr>
          <w:lang w:val="en-GB"/>
        </w:rPr>
        <w:t>1</w:t>
      </w:r>
      <w:r w:rsidRPr="004E20B0">
        <w:rPr>
          <w:lang w:val="en-GB"/>
        </w:rPr>
        <w:tab/>
        <w:t>Introduction</w:t>
      </w:r>
    </w:p>
    <w:p w:rsidR="00F113EC" w:rsidRPr="004E20B0" w:rsidRDefault="00F113EC" w:rsidP="009534C1">
      <w:pPr>
        <w:rPr>
          <w:lang w:val="en-GB"/>
        </w:rPr>
      </w:pPr>
      <w:r w:rsidRPr="004E20B0">
        <w:rPr>
          <w:lang w:val="en-GB"/>
        </w:rPr>
        <w:t xml:space="preserve">The Global Positioning System (GPS) uplink and downlink feeder-links will provide communications for system and satellite monitoring, commanding and control; updates of orbit ephemerides; and clock synchronization. The minimum operational elevation angle for GPS feeder-link operations is </w:t>
      </w:r>
      <w:r w:rsidRPr="004E20B0">
        <w:rPr>
          <w:lang w:val="en-GB"/>
        </w:rPr>
        <w:lastRenderedPageBreak/>
        <w:t>5</w:t>
      </w:r>
      <w:r w:rsidR="009534C1">
        <w:rPr>
          <w:lang w:val="en-GB"/>
        </w:rPr>
        <w:t> </w:t>
      </w:r>
      <w:r w:rsidRPr="004E20B0">
        <w:rPr>
          <w:lang w:val="en-GB"/>
        </w:rPr>
        <w:t>degrees resulting in a maximum path length of 25 252 km. GPS service links will provide information used to determine PNT by suitably equipped navigation receivers.</w:t>
      </w:r>
    </w:p>
    <w:p w:rsidR="00F113EC" w:rsidRPr="004E20B0" w:rsidRDefault="00F113EC" w:rsidP="00F113EC">
      <w:pPr>
        <w:pStyle w:val="Heading1"/>
        <w:rPr>
          <w:lang w:val="en-GB"/>
        </w:rPr>
      </w:pPr>
      <w:r w:rsidRPr="004E20B0">
        <w:rPr>
          <w:lang w:val="en-GB"/>
        </w:rPr>
        <w:t>2</w:t>
      </w:r>
      <w:r w:rsidRPr="004E20B0">
        <w:rPr>
          <w:lang w:val="en-GB"/>
        </w:rPr>
        <w:tab/>
        <w:t>GPS feeder downli</w:t>
      </w:r>
      <w:r w:rsidR="000840D3">
        <w:rPr>
          <w:lang w:val="en-GB"/>
        </w:rPr>
        <w:t>nk characteristics</w:t>
      </w:r>
    </w:p>
    <w:p w:rsidR="00F113EC" w:rsidRPr="004E20B0" w:rsidRDefault="00F113EC" w:rsidP="00F113EC">
      <w:pPr>
        <w:rPr>
          <w:lang w:val="en-GB"/>
        </w:rPr>
      </w:pPr>
      <w:r w:rsidRPr="004E20B0">
        <w:rPr>
          <w:lang w:val="en-GB"/>
        </w:rPr>
        <w:t>GPS plans estimate the operational bandwidth of the feeder downlink to be 6.6 MHz, with an encoded data rate of 6.6 Mbit/s. The space station’s feeder downlink antenna is specified to be a centre-fed circular parabolic dish. However, due to the simultaneous use of the 5 000</w:t>
      </w:r>
      <w:r w:rsidRPr="004E20B0">
        <w:rPr>
          <w:lang w:val="en-GB"/>
        </w:rPr>
        <w:noBreakHyphen/>
        <w:t>5 010 MHz Earth-to-space band for feeder uplinks and the adjacent 5 010-5 030 MHz space</w:t>
      </w:r>
      <w:r w:rsidRPr="004E20B0">
        <w:rPr>
          <w:lang w:val="en-GB"/>
        </w:rPr>
        <w:noBreakHyphen/>
        <w:t xml:space="preserve">to-Earth band for service links and feeder downlinks, appropriate design features are necessary to avoid potential interference. Implementation of transmit filters with very sharp cut-offs in both the satellites and earth stations are an important element of this. Transmit filtering will be implemented for all GPS transmit signals and spurious transmissions are intended to be −60 dB from the peak. </w:t>
      </w:r>
    </w:p>
    <w:p w:rsidR="00F113EC" w:rsidRPr="004E20B0" w:rsidRDefault="00F113EC" w:rsidP="00F113EC">
      <w:pPr>
        <w:rPr>
          <w:lang w:val="en-GB"/>
        </w:rPr>
      </w:pPr>
      <w:r w:rsidRPr="004E20B0">
        <w:rPr>
          <w:lang w:val="en-GB"/>
        </w:rPr>
        <w:t xml:space="preserve">Table 2-1 provides </w:t>
      </w:r>
      <w:r w:rsidRPr="004E20B0">
        <w:rPr>
          <w:lang w:val="en-GB" w:eastAsia="ja-JP"/>
        </w:rPr>
        <w:t>c</w:t>
      </w:r>
      <w:r w:rsidRPr="004E20B0">
        <w:rPr>
          <w:lang w:val="en-GB"/>
        </w:rPr>
        <w:t xml:space="preserve">haracteristics for GPS receiving feeder-link earth stations operating in the band 5 010-5 030 MHz. Although parameters are derived from and consistent with GPS specifications, these values are still subject to change. Table 2-2 provides </w:t>
      </w:r>
      <w:r w:rsidRPr="004E20B0">
        <w:rPr>
          <w:lang w:val="en-GB" w:eastAsia="ja-JP"/>
        </w:rPr>
        <w:t>c</w:t>
      </w:r>
      <w:r w:rsidRPr="004E20B0">
        <w:rPr>
          <w:lang w:val="en-GB"/>
        </w:rPr>
        <w:t>haracteristics of the corresponding GPS space sta</w:t>
      </w:r>
      <w:r w:rsidR="000840D3">
        <w:rPr>
          <w:lang w:val="en-GB"/>
        </w:rPr>
        <w:t>tion feeder-link transmissions.</w:t>
      </w:r>
    </w:p>
    <w:p w:rsidR="00F113EC" w:rsidRPr="004E20B0" w:rsidRDefault="00F113EC" w:rsidP="00F113EC">
      <w:pPr>
        <w:rPr>
          <w:lang w:val="en-GB"/>
        </w:rPr>
      </w:pPr>
      <w:r w:rsidRPr="004E20B0">
        <w:rPr>
          <w:color w:val="0D0D0D" w:themeColor="text1" w:themeTint="F2"/>
          <w:lang w:val="en-GB"/>
        </w:rPr>
        <w:t xml:space="preserve">In countries where RNSS feeder downlink earth stations are deployed, national arrangements are likely to be required within national borders, by administrations wishing to also deploy terrestrial systems in these bands. If an administration wishes to ensure the protection of the receiving RNSS feeder downlink earth station located in its territory from the transmitting terrestrial station located </w:t>
      </w:r>
      <w:r w:rsidRPr="004E20B0">
        <w:rPr>
          <w:color w:val="000000"/>
          <w:lang w:val="en-GB"/>
        </w:rPr>
        <w:t xml:space="preserve">in the adjacent countries, specific earth stations located at the edge of the territory should be registered to the ITU through the coordination and notification procedure under the provisions of RR </w:t>
      </w:r>
      <w:r w:rsidRPr="006103DD">
        <w:rPr>
          <w:color w:val="000000"/>
          <w:lang w:val="en-GB"/>
        </w:rPr>
        <w:t>Articles 9 and 11.</w:t>
      </w:r>
      <w:r w:rsidRPr="006103DD">
        <w:rPr>
          <w:lang w:val="en-GB"/>
        </w:rPr>
        <w:t xml:space="preserve"> If</w:t>
      </w:r>
      <w:r w:rsidRPr="004E20B0">
        <w:rPr>
          <w:lang w:val="en-GB"/>
        </w:rPr>
        <w:t xml:space="preserve"> preliminary studies show that the aggregate interference in the receiver bandwidth of the feeder link, from all radio sources of primary services in the band other than in the RNSS, exceeds 6% of the RNSS feeder link receiver system noise temperature, referred to the output terminals of the receiving antenna, further studies should be performed to determine the potential for inter-system compatibility.</w:t>
      </w:r>
    </w:p>
    <w:p w:rsidR="00F113EC" w:rsidRPr="004E20B0" w:rsidRDefault="00F113EC" w:rsidP="00F113EC">
      <w:pPr>
        <w:pStyle w:val="TableNo"/>
        <w:rPr>
          <w:lang w:val="en-GB"/>
        </w:rPr>
      </w:pPr>
      <w:r w:rsidRPr="004E20B0">
        <w:rPr>
          <w:lang w:val="en-GB"/>
        </w:rPr>
        <w:t>TABLE 2-1</w:t>
      </w:r>
    </w:p>
    <w:p w:rsidR="00F113EC" w:rsidRPr="004E20B0" w:rsidRDefault="00F113EC" w:rsidP="00F113EC">
      <w:pPr>
        <w:pStyle w:val="Tabletitle"/>
        <w:rPr>
          <w:caps/>
          <w:lang w:val="en-GB"/>
        </w:rPr>
      </w:pPr>
      <w:r w:rsidRPr="004E20B0">
        <w:rPr>
          <w:lang w:val="en-GB"/>
        </w:rPr>
        <w:t>Characteristics of GPS receiving feeder-link earth stations</w:t>
      </w:r>
      <w:r w:rsidRPr="004E20B0">
        <w:rPr>
          <w:lang w:val="en-GB"/>
        </w:rPr>
        <w:br/>
        <w:t>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F113EC" w:rsidRPr="004E20B0" w:rsidTr="00920BCB">
        <w:trPr>
          <w:tblHeader/>
          <w:jc w:val="center"/>
        </w:trPr>
        <w:tc>
          <w:tcPr>
            <w:tcW w:w="4730" w:type="dxa"/>
            <w:vAlign w:val="center"/>
          </w:tcPr>
          <w:p w:rsidR="00F113EC" w:rsidRPr="004E20B0" w:rsidRDefault="00F113EC" w:rsidP="00920BCB">
            <w:pPr>
              <w:pStyle w:val="Tablehead"/>
              <w:rPr>
                <w:lang w:val="en-GB"/>
              </w:rPr>
            </w:pPr>
            <w:r w:rsidRPr="004E20B0">
              <w:rPr>
                <w:lang w:val="en-GB"/>
              </w:rPr>
              <w:t>Parameter</w:t>
            </w:r>
          </w:p>
        </w:tc>
        <w:tc>
          <w:tcPr>
            <w:tcW w:w="4064" w:type="dxa"/>
            <w:vAlign w:val="center"/>
          </w:tcPr>
          <w:p w:rsidR="00F113EC" w:rsidRPr="004E20B0" w:rsidRDefault="00F113EC" w:rsidP="00920BCB">
            <w:pPr>
              <w:pStyle w:val="Tablehead"/>
              <w:rPr>
                <w:lang w:val="en-GB"/>
              </w:rPr>
            </w:pPr>
            <w:r w:rsidRPr="004E20B0">
              <w:rPr>
                <w:lang w:val="en-GB"/>
              </w:rPr>
              <w:t>Parameter value</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Antenna diameter (m)</w:t>
            </w:r>
          </w:p>
        </w:tc>
        <w:tc>
          <w:tcPr>
            <w:tcW w:w="4064" w:type="dxa"/>
          </w:tcPr>
          <w:p w:rsidR="00F113EC" w:rsidRPr="004E20B0" w:rsidRDefault="00F113EC" w:rsidP="00920BCB">
            <w:pPr>
              <w:pStyle w:val="Tabletext"/>
              <w:jc w:val="center"/>
              <w:rPr>
                <w:lang w:val="en-GB"/>
              </w:rPr>
            </w:pPr>
            <w:r w:rsidRPr="004E20B0">
              <w:rPr>
                <w:lang w:val="en-GB"/>
              </w:rPr>
              <w:t>5.00</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Polarization</w:t>
            </w:r>
          </w:p>
        </w:tc>
        <w:tc>
          <w:tcPr>
            <w:tcW w:w="4064" w:type="dxa"/>
          </w:tcPr>
          <w:p w:rsidR="00F113EC" w:rsidRPr="004E20B0" w:rsidRDefault="00F113EC" w:rsidP="00920BCB">
            <w:pPr>
              <w:pStyle w:val="Tabletext"/>
              <w:jc w:val="center"/>
              <w:rPr>
                <w:lang w:val="en-GB"/>
              </w:rPr>
            </w:pPr>
            <w:r w:rsidRPr="004E20B0">
              <w:rPr>
                <w:lang w:val="en-GB"/>
              </w:rPr>
              <w:t>RHCP</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Antenna pattern</w:t>
            </w:r>
          </w:p>
        </w:tc>
        <w:tc>
          <w:tcPr>
            <w:tcW w:w="4064" w:type="dxa"/>
          </w:tcPr>
          <w:p w:rsidR="00F113EC" w:rsidRPr="004E20B0" w:rsidRDefault="00F113EC" w:rsidP="00920BCB">
            <w:pPr>
              <w:pStyle w:val="Tabletext"/>
              <w:jc w:val="center"/>
              <w:rPr>
                <w:lang w:val="en-GB"/>
              </w:rPr>
            </w:pPr>
            <w:r w:rsidRPr="004E20B0">
              <w:rPr>
                <w:lang w:val="en-GB"/>
              </w:rPr>
              <w:t>Centre-fed circular parabolic dish</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Theoretical antenna gain (dBi)</w:t>
            </w:r>
          </w:p>
        </w:tc>
        <w:tc>
          <w:tcPr>
            <w:tcW w:w="4064" w:type="dxa"/>
          </w:tcPr>
          <w:p w:rsidR="00F113EC" w:rsidRPr="004E20B0" w:rsidRDefault="00F113EC" w:rsidP="00920BCB">
            <w:pPr>
              <w:pStyle w:val="Tabletext"/>
              <w:jc w:val="center"/>
              <w:rPr>
                <w:lang w:val="en-GB"/>
              </w:rPr>
            </w:pPr>
            <w:r w:rsidRPr="004E20B0">
              <w:rPr>
                <w:lang w:val="en-GB"/>
              </w:rPr>
              <w:t>48.39</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Antenna efficiency loss (dB)</w:t>
            </w:r>
          </w:p>
        </w:tc>
        <w:tc>
          <w:tcPr>
            <w:tcW w:w="4064" w:type="dxa"/>
          </w:tcPr>
          <w:p w:rsidR="00F113EC" w:rsidRPr="004E20B0" w:rsidRDefault="00F113EC" w:rsidP="00920BCB">
            <w:pPr>
              <w:pStyle w:val="Tabletext"/>
              <w:jc w:val="center"/>
              <w:rPr>
                <w:lang w:val="en-GB"/>
              </w:rPr>
            </w:pPr>
            <w:r w:rsidRPr="004E20B0">
              <w:rPr>
                <w:lang w:val="en-GB"/>
              </w:rPr>
              <w:t>1.50</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Maximum receive antenna gain (dBi)</w:t>
            </w:r>
          </w:p>
        </w:tc>
        <w:tc>
          <w:tcPr>
            <w:tcW w:w="4064" w:type="dxa"/>
          </w:tcPr>
          <w:p w:rsidR="00F113EC" w:rsidRPr="004E20B0" w:rsidRDefault="00F113EC" w:rsidP="00920BCB">
            <w:pPr>
              <w:pStyle w:val="Tabletext"/>
              <w:jc w:val="center"/>
              <w:rPr>
                <w:i/>
                <w:snapToGrid w:val="0"/>
                <w:lang w:val="en-GB"/>
              </w:rPr>
            </w:pPr>
            <w:r w:rsidRPr="004E20B0">
              <w:rPr>
                <w:lang w:val="en-GB"/>
              </w:rPr>
              <w:t>46.63</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Receiver system noise temperature (K)</w:t>
            </w:r>
          </w:p>
        </w:tc>
        <w:tc>
          <w:tcPr>
            <w:tcW w:w="4064" w:type="dxa"/>
          </w:tcPr>
          <w:p w:rsidR="00F113EC" w:rsidRPr="004E20B0" w:rsidRDefault="00F113EC" w:rsidP="00920BCB">
            <w:pPr>
              <w:pStyle w:val="Tabletext"/>
              <w:jc w:val="center"/>
              <w:rPr>
                <w:lang w:val="en-GB"/>
              </w:rPr>
            </w:pPr>
            <w:r w:rsidRPr="004E20B0">
              <w:rPr>
                <w:lang w:val="en-GB"/>
              </w:rPr>
              <w:t>140</w:t>
            </w:r>
          </w:p>
        </w:tc>
      </w:tr>
      <w:tr w:rsidR="00F113EC" w:rsidRPr="004E20B0" w:rsidTr="00920BCB">
        <w:trPr>
          <w:jc w:val="center"/>
        </w:trPr>
        <w:tc>
          <w:tcPr>
            <w:tcW w:w="4730" w:type="dxa"/>
          </w:tcPr>
          <w:p w:rsidR="00F113EC" w:rsidRPr="004E20B0" w:rsidRDefault="00F113EC" w:rsidP="00920BCB">
            <w:pPr>
              <w:pStyle w:val="Tabletext"/>
              <w:jc w:val="left"/>
              <w:rPr>
                <w:lang w:val="en-GB"/>
              </w:rPr>
            </w:pPr>
            <w:r w:rsidRPr="004E20B0">
              <w:rPr>
                <w:lang w:val="en-GB"/>
              </w:rPr>
              <w:t>Minimum elevation (degrees)</w:t>
            </w:r>
          </w:p>
        </w:tc>
        <w:tc>
          <w:tcPr>
            <w:tcW w:w="4064" w:type="dxa"/>
          </w:tcPr>
          <w:p w:rsidR="00F113EC" w:rsidRPr="004E20B0" w:rsidRDefault="00F113EC" w:rsidP="00920BCB">
            <w:pPr>
              <w:pStyle w:val="Tabletext"/>
              <w:jc w:val="center"/>
              <w:rPr>
                <w:lang w:val="en-GB"/>
              </w:rPr>
            </w:pPr>
            <w:r w:rsidRPr="004E20B0">
              <w:rPr>
                <w:lang w:val="en-GB"/>
              </w:rPr>
              <w:t>5.0</w:t>
            </w:r>
          </w:p>
        </w:tc>
      </w:tr>
    </w:tbl>
    <w:p w:rsidR="00F113EC" w:rsidRPr="004E20B0" w:rsidRDefault="00F113EC" w:rsidP="00F113EC">
      <w:pPr>
        <w:pStyle w:val="Tablefin"/>
      </w:pPr>
    </w:p>
    <w:p w:rsidR="00F113EC" w:rsidRPr="004E20B0" w:rsidRDefault="00F113EC" w:rsidP="00F113EC">
      <w:pPr>
        <w:pStyle w:val="TableNo"/>
        <w:rPr>
          <w:lang w:val="en-GB"/>
        </w:rPr>
      </w:pPr>
      <w:r w:rsidRPr="004E20B0">
        <w:rPr>
          <w:lang w:val="en-GB"/>
        </w:rPr>
        <w:lastRenderedPageBreak/>
        <w:t>TABLE 2-2</w:t>
      </w:r>
    </w:p>
    <w:p w:rsidR="00F113EC" w:rsidRPr="004E20B0" w:rsidRDefault="00F113EC" w:rsidP="00F113EC">
      <w:pPr>
        <w:pStyle w:val="Tabletitle"/>
        <w:rPr>
          <w:lang w:val="en-GB"/>
        </w:rPr>
      </w:pPr>
      <w:r w:rsidRPr="004E20B0">
        <w:rPr>
          <w:lang w:val="en-GB"/>
        </w:rPr>
        <w:t>GPS feeder downlink transmissions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F113EC" w:rsidRPr="004E20B0" w:rsidTr="00920BCB">
        <w:trPr>
          <w:tblHeader/>
          <w:jc w:val="center"/>
        </w:trPr>
        <w:tc>
          <w:tcPr>
            <w:tcW w:w="4764" w:type="dxa"/>
            <w:vAlign w:val="center"/>
          </w:tcPr>
          <w:p w:rsidR="00F113EC" w:rsidRPr="004E20B0" w:rsidRDefault="00F113EC" w:rsidP="00920BCB">
            <w:pPr>
              <w:pStyle w:val="Tablehead"/>
              <w:rPr>
                <w:rFonts w:eastAsia="MS PGothic"/>
                <w:lang w:val="en-GB"/>
              </w:rPr>
            </w:pPr>
            <w:r w:rsidRPr="004E20B0">
              <w:rPr>
                <w:rFonts w:eastAsia="MS PGothic"/>
                <w:lang w:val="en-GB"/>
              </w:rPr>
              <w:t>Parameter</w:t>
            </w:r>
          </w:p>
        </w:tc>
        <w:tc>
          <w:tcPr>
            <w:tcW w:w="4098" w:type="dxa"/>
            <w:vAlign w:val="center"/>
          </w:tcPr>
          <w:p w:rsidR="00F113EC" w:rsidRPr="004E20B0" w:rsidRDefault="00F113EC" w:rsidP="00920BCB">
            <w:pPr>
              <w:pStyle w:val="Tablehead"/>
              <w:rPr>
                <w:rFonts w:eastAsia="MS PGothic"/>
                <w:lang w:val="en-GB"/>
              </w:rPr>
            </w:pPr>
            <w:r w:rsidRPr="004E20B0">
              <w:rPr>
                <w:rFonts w:eastAsia="MS PGothic"/>
                <w:lang w:val="en-GB"/>
              </w:rPr>
              <w:t>Parameter value</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Signal frequency range (MHz) (Note 1)</w:t>
            </w:r>
          </w:p>
        </w:tc>
        <w:tc>
          <w:tcPr>
            <w:tcW w:w="4098" w:type="dxa"/>
            <w:vAlign w:val="center"/>
          </w:tcPr>
          <w:p w:rsidR="00F113EC" w:rsidRPr="004E20B0" w:rsidRDefault="00F113EC" w:rsidP="00920BCB">
            <w:pPr>
              <w:pStyle w:val="Tabletext"/>
              <w:jc w:val="center"/>
              <w:rPr>
                <w:rFonts w:eastAsia="MS PGothic"/>
                <w:lang w:val="en-GB"/>
              </w:rPr>
            </w:pPr>
            <w:r w:rsidRPr="004E20B0">
              <w:rPr>
                <w:lang w:val="en-GB"/>
              </w:rPr>
              <w:t xml:space="preserve">5 013.63 </w:t>
            </w:r>
            <w:r w:rsidRPr="004E20B0">
              <w:rPr>
                <w:lang w:val="en-GB"/>
              </w:rPr>
              <w:sym w:font="Symbol" w:char="F0B1"/>
            </w:r>
            <w:r w:rsidRPr="004E20B0">
              <w:rPr>
                <w:lang w:val="en-GB"/>
              </w:rPr>
              <w:t xml:space="preserve"> 3.3</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Encoded bit rate (bit/s)</w:t>
            </w:r>
          </w:p>
        </w:tc>
        <w:tc>
          <w:tcPr>
            <w:tcW w:w="4098"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6 600</w:t>
            </w:r>
            <w:r w:rsidRPr="004E20B0">
              <w:rPr>
                <w:rFonts w:ascii="Times New Roman Bold" w:hAnsi="Times New Roman Bold"/>
                <w:b/>
                <w:lang w:val="en-GB"/>
              </w:rPr>
              <w:t> </w:t>
            </w:r>
            <w:r w:rsidRPr="004E20B0">
              <w:rPr>
                <w:rFonts w:eastAsia="MS PGothic"/>
                <w:lang w:val="en-GB"/>
              </w:rPr>
              <w:t>000</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Signal modulation method</w:t>
            </w:r>
          </w:p>
        </w:tc>
        <w:tc>
          <w:tcPr>
            <w:tcW w:w="4098" w:type="dxa"/>
            <w:vAlign w:val="center"/>
          </w:tcPr>
          <w:p w:rsidR="00F113EC" w:rsidRPr="004E20B0" w:rsidRDefault="00F113EC" w:rsidP="00920BCB">
            <w:pPr>
              <w:pStyle w:val="Tabletext"/>
              <w:jc w:val="center"/>
              <w:rPr>
                <w:rFonts w:eastAsia="MS PGothic"/>
                <w:lang w:val="en-GB"/>
              </w:rPr>
            </w:pPr>
            <w:r w:rsidRPr="004E20B0">
              <w:rPr>
                <w:lang w:val="en-GB"/>
              </w:rPr>
              <w:t>Filtered QPSK</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Polarization</w:t>
            </w:r>
          </w:p>
        </w:tc>
        <w:tc>
          <w:tcPr>
            <w:tcW w:w="4098"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Right-hand circular (RHCP)</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Ellipticity (dB)</w:t>
            </w:r>
          </w:p>
        </w:tc>
        <w:tc>
          <w:tcPr>
            <w:tcW w:w="4098"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1.5 maximum</w:t>
            </w:r>
          </w:p>
        </w:tc>
      </w:tr>
      <w:tr w:rsidR="00F113EC" w:rsidRPr="004E20B0" w:rsidTr="00920BCB">
        <w:trPr>
          <w:tblHeader/>
          <w:jc w:val="center"/>
        </w:trPr>
        <w:tc>
          <w:tcPr>
            <w:tcW w:w="4764"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Transmit e.i.r.p. (dBW)</w:t>
            </w:r>
          </w:p>
        </w:tc>
        <w:tc>
          <w:tcPr>
            <w:tcW w:w="4098"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34.6</w:t>
            </w:r>
          </w:p>
        </w:tc>
      </w:tr>
      <w:tr w:rsidR="00F113EC" w:rsidRPr="001A02C5" w:rsidTr="00920BCB">
        <w:trPr>
          <w:tblHeader/>
          <w:jc w:val="center"/>
        </w:trPr>
        <w:tc>
          <w:tcPr>
            <w:tcW w:w="8862" w:type="dxa"/>
            <w:gridSpan w:val="2"/>
            <w:tcBorders>
              <w:left w:val="nil"/>
              <w:bottom w:val="nil"/>
              <w:right w:val="nil"/>
            </w:tcBorders>
            <w:vAlign w:val="center"/>
          </w:tcPr>
          <w:p w:rsidR="00F113EC" w:rsidRPr="004E20B0" w:rsidRDefault="00F113EC" w:rsidP="00920BCB">
            <w:pPr>
              <w:pStyle w:val="Tablelegend"/>
              <w:rPr>
                <w:rFonts w:eastAsia="MS PGothic"/>
                <w:lang w:val="en-GB"/>
              </w:rPr>
            </w:pPr>
            <w:r w:rsidRPr="004E20B0">
              <w:rPr>
                <w:rFonts w:eastAsia="MS PGothic"/>
                <w:lang w:val="en-GB"/>
              </w:rPr>
              <w:t>NOTE 1 – Carrier frequency of the RNSS signal of interest ± half the signal bandwidth.</w:t>
            </w:r>
          </w:p>
        </w:tc>
      </w:tr>
    </w:tbl>
    <w:p w:rsidR="00F113EC" w:rsidRPr="004E20B0" w:rsidRDefault="00F113EC" w:rsidP="00F113EC">
      <w:pPr>
        <w:pStyle w:val="Heading1"/>
        <w:rPr>
          <w:lang w:val="en-GB"/>
        </w:rPr>
      </w:pPr>
      <w:r w:rsidRPr="004E20B0">
        <w:rPr>
          <w:lang w:val="en-GB"/>
        </w:rPr>
        <w:t>3</w:t>
      </w:r>
      <w:r w:rsidRPr="004E20B0">
        <w:rPr>
          <w:lang w:val="en-GB"/>
        </w:rPr>
        <w:tab/>
        <w:t>GPS PNT service link characteristics and protection criteria</w:t>
      </w:r>
    </w:p>
    <w:p w:rsidR="00F113EC" w:rsidRPr="004E20B0" w:rsidRDefault="00F113EC" w:rsidP="00F113EC">
      <w:pPr>
        <w:rPr>
          <w:lang w:val="en-GB"/>
        </w:rPr>
      </w:pPr>
      <w:r w:rsidRPr="004E20B0">
        <w:rPr>
          <w:lang w:val="en-GB"/>
        </w:rPr>
        <w:t>GPS PNT service downlinks for the 5 010-5 030 MHz band can be developed under current satellite technologies. A simple link budget calculation can show that it is well within current satellite technology to provide RNSS PNT services to RNSS users employing assumed antennas with an idealized uniform 3 dBi gain over hemispherical coverage.</w:t>
      </w:r>
    </w:p>
    <w:p w:rsidR="00F113EC" w:rsidRPr="004E20B0" w:rsidRDefault="00F113EC" w:rsidP="00F113EC">
      <w:pPr>
        <w:rPr>
          <w:lang w:val="en-GB"/>
        </w:rPr>
      </w:pPr>
      <w:r w:rsidRPr="004E20B0">
        <w:rPr>
          <w:lang w:val="en-GB"/>
        </w:rPr>
        <w:t>A downlink signal modulation, which meets 5 GHz service link requirements, is filtered staggered quadrature phase-shift-key (SQPSK) with a 10 Mbit/s pseudorandom spreading code (SQPSK(10)). The SQPSK signal could have a dataless component, to aid signal acquisition, in quadrature with a data component. The filtering would provide protection for services in other bands, while the filtered SQPSK(10) still provides good characteristics for PNT and transmit power and signal generation. The signal would be circularly polarized, but whether right- or left-handed is a design choice that could depend on the polarization of other signals in the band; viz., RNSS feeder links.</w:t>
      </w:r>
    </w:p>
    <w:p w:rsidR="00F113EC" w:rsidRPr="004E20B0" w:rsidRDefault="00F113EC" w:rsidP="00F113EC">
      <w:pPr>
        <w:rPr>
          <w:lang w:val="en-GB"/>
        </w:rPr>
      </w:pPr>
      <w:r w:rsidRPr="004E20B0">
        <w:rPr>
          <w:lang w:val="en-GB"/>
        </w:rPr>
        <w:t>The key parameters of the GPS 5-GHz service link transmissions are presented in Table 2-3. While the service link parameters presented in this section are derived from and consistent with GPS specifications, these values are still subject to change.</w:t>
      </w:r>
    </w:p>
    <w:p w:rsidR="00F113EC" w:rsidRPr="004E20B0" w:rsidRDefault="00F113EC" w:rsidP="00F113EC">
      <w:pPr>
        <w:pStyle w:val="TableNo"/>
        <w:rPr>
          <w:lang w:val="en-GB"/>
        </w:rPr>
      </w:pPr>
      <w:r w:rsidRPr="004E20B0">
        <w:rPr>
          <w:lang w:val="en-GB"/>
        </w:rPr>
        <w:t>TABLE 2-3</w:t>
      </w:r>
    </w:p>
    <w:p w:rsidR="00F113EC" w:rsidRPr="004E20B0" w:rsidRDefault="00F113EC" w:rsidP="00F113EC">
      <w:pPr>
        <w:pStyle w:val="Tabletitle"/>
        <w:rPr>
          <w:lang w:val="en-GB"/>
        </w:rPr>
      </w:pPr>
      <w:r w:rsidRPr="004E20B0">
        <w:rPr>
          <w:lang w:val="en-GB" w:eastAsia="ja-JP"/>
        </w:rPr>
        <w:t xml:space="preserve">GPS service link </w:t>
      </w:r>
      <w:r w:rsidRPr="004E20B0">
        <w:rPr>
          <w:lang w:val="en-GB"/>
        </w:rPr>
        <w:t>transmissions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F113EC" w:rsidRPr="004E20B0" w:rsidTr="00920BCB">
        <w:trPr>
          <w:tblHeader/>
          <w:jc w:val="center"/>
        </w:trPr>
        <w:tc>
          <w:tcPr>
            <w:tcW w:w="5502" w:type="dxa"/>
            <w:vAlign w:val="center"/>
          </w:tcPr>
          <w:p w:rsidR="00F113EC" w:rsidRPr="004E20B0" w:rsidRDefault="00F113EC" w:rsidP="00920BCB">
            <w:pPr>
              <w:pStyle w:val="Tablehead"/>
              <w:rPr>
                <w:rFonts w:eastAsia="MS PGothic"/>
                <w:lang w:val="en-GB"/>
              </w:rPr>
            </w:pPr>
            <w:r w:rsidRPr="004E20B0">
              <w:rPr>
                <w:rFonts w:eastAsia="MS PGothic"/>
                <w:lang w:val="en-GB"/>
              </w:rPr>
              <w:t>Parameter</w:t>
            </w:r>
          </w:p>
        </w:tc>
        <w:tc>
          <w:tcPr>
            <w:tcW w:w="3996" w:type="dxa"/>
            <w:vAlign w:val="center"/>
          </w:tcPr>
          <w:p w:rsidR="00F113EC" w:rsidRPr="004E20B0" w:rsidRDefault="00F113EC" w:rsidP="00920BCB">
            <w:pPr>
              <w:pStyle w:val="Tablehead"/>
              <w:rPr>
                <w:rFonts w:eastAsia="MS PGothic"/>
                <w:lang w:val="en-GB"/>
              </w:rPr>
            </w:pPr>
            <w:r w:rsidRPr="004E20B0">
              <w:rPr>
                <w:rFonts w:eastAsia="MS PGothic"/>
                <w:lang w:val="en-GB"/>
              </w:rPr>
              <w:t>Parameter value</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Signal frequency range (MHz)</w:t>
            </w:r>
          </w:p>
        </w:tc>
        <w:tc>
          <w:tcPr>
            <w:tcW w:w="3996" w:type="dxa"/>
            <w:vAlign w:val="center"/>
          </w:tcPr>
          <w:p w:rsidR="00F113EC" w:rsidRPr="004E20B0" w:rsidRDefault="00F113EC" w:rsidP="00920BCB">
            <w:pPr>
              <w:pStyle w:val="Tabletext"/>
              <w:jc w:val="center"/>
              <w:rPr>
                <w:rFonts w:eastAsia="MS PGothic"/>
                <w:lang w:val="en-GB"/>
              </w:rPr>
            </w:pPr>
            <w:r w:rsidRPr="004E20B0">
              <w:rPr>
                <w:lang w:val="en-GB"/>
              </w:rPr>
              <w:t xml:space="preserve">5 019.861 </w:t>
            </w:r>
            <w:r w:rsidRPr="004E20B0">
              <w:rPr>
                <w:lang w:val="en-GB"/>
              </w:rPr>
              <w:sym w:font="Symbol" w:char="F0B1"/>
            </w:r>
            <w:r w:rsidRPr="004E20B0">
              <w:rPr>
                <w:lang w:val="en-GB"/>
              </w:rPr>
              <w:t xml:space="preserve"> 9.86</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PRN code chip rate (Mchip/s)</w:t>
            </w:r>
          </w:p>
        </w:tc>
        <w:tc>
          <w:tcPr>
            <w:tcW w:w="3996"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10.23</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Navigation data bitrate (bit/s)</w:t>
            </w:r>
          </w:p>
        </w:tc>
        <w:tc>
          <w:tcPr>
            <w:tcW w:w="3996"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50 to 50 000</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Signal modulation method</w:t>
            </w:r>
          </w:p>
        </w:tc>
        <w:tc>
          <w:tcPr>
            <w:tcW w:w="3996" w:type="dxa"/>
            <w:vAlign w:val="center"/>
          </w:tcPr>
          <w:p w:rsidR="00F113EC" w:rsidRPr="004E20B0" w:rsidRDefault="00F113EC" w:rsidP="00920BCB">
            <w:pPr>
              <w:pStyle w:val="Tabletext"/>
              <w:jc w:val="center"/>
              <w:rPr>
                <w:rFonts w:eastAsia="MS PGothic"/>
                <w:lang w:val="en-GB"/>
              </w:rPr>
            </w:pPr>
            <w:r w:rsidRPr="004E20B0">
              <w:rPr>
                <w:lang w:val="en-GB"/>
              </w:rPr>
              <w:t>Filtered SQPSK</w:t>
            </w:r>
            <w:r w:rsidRPr="004E20B0">
              <w:rPr>
                <w:rFonts w:eastAsia="MS PGothic"/>
                <w:lang w:val="en-GB"/>
              </w:rPr>
              <w:t>(10)</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Polarization</w:t>
            </w:r>
          </w:p>
        </w:tc>
        <w:tc>
          <w:tcPr>
            <w:tcW w:w="3996"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Circular</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Ellipticity (dB)</w:t>
            </w:r>
          </w:p>
        </w:tc>
        <w:tc>
          <w:tcPr>
            <w:tcW w:w="3996"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1.5 maximum</w:t>
            </w:r>
          </w:p>
        </w:tc>
      </w:tr>
      <w:tr w:rsidR="00F113EC" w:rsidRPr="004E20B0" w:rsidTr="00920BCB">
        <w:trPr>
          <w:tblHeader/>
          <w:jc w:val="center"/>
        </w:trPr>
        <w:tc>
          <w:tcPr>
            <w:tcW w:w="5502" w:type="dxa"/>
            <w:vAlign w:val="center"/>
          </w:tcPr>
          <w:p w:rsidR="00F113EC" w:rsidRPr="004E20B0" w:rsidRDefault="00F113EC" w:rsidP="00920BCB">
            <w:pPr>
              <w:pStyle w:val="Tabletext"/>
              <w:jc w:val="left"/>
              <w:rPr>
                <w:rFonts w:eastAsia="MS PGothic"/>
                <w:lang w:val="en-GB"/>
              </w:rPr>
            </w:pPr>
            <w:r w:rsidRPr="004E20B0">
              <w:rPr>
                <w:rFonts w:eastAsia="MS PGothic"/>
                <w:lang w:val="en-GB"/>
              </w:rPr>
              <w:t>Minimum received power level at the output of the reference antenna (dBW)</w:t>
            </w:r>
          </w:p>
        </w:tc>
        <w:tc>
          <w:tcPr>
            <w:tcW w:w="3996" w:type="dxa"/>
            <w:vAlign w:val="center"/>
          </w:tcPr>
          <w:p w:rsidR="00F113EC" w:rsidRPr="004E20B0" w:rsidRDefault="00F113EC" w:rsidP="00920BCB">
            <w:pPr>
              <w:pStyle w:val="Tabletext"/>
              <w:jc w:val="center"/>
              <w:rPr>
                <w:rFonts w:eastAsia="MS PGothic"/>
                <w:lang w:val="en-GB"/>
              </w:rPr>
            </w:pPr>
            <w:r w:rsidRPr="004E20B0">
              <w:rPr>
                <w:rFonts w:eastAsia="MS PGothic"/>
                <w:lang w:val="en-GB"/>
              </w:rPr>
              <w:t>–171.6</w:t>
            </w:r>
          </w:p>
        </w:tc>
      </w:tr>
    </w:tbl>
    <w:p w:rsidR="00F113EC" w:rsidRPr="004E20B0" w:rsidRDefault="00F113EC" w:rsidP="00F113EC">
      <w:pPr>
        <w:pStyle w:val="Tablefin"/>
      </w:pPr>
    </w:p>
    <w:p w:rsidR="00F113EC" w:rsidRPr="004E20B0" w:rsidRDefault="00F113EC" w:rsidP="00A05D13">
      <w:pPr>
        <w:rPr>
          <w:lang w:val="en-GB"/>
        </w:rPr>
      </w:pPr>
      <w:r w:rsidRPr="004E20B0">
        <w:rPr>
          <w:lang w:val="en-GB"/>
        </w:rPr>
        <w:t xml:space="preserve">It is anticipated that receivers in the 5 010-5 030 MHz band will react to interference in a manner analogous to RNSS receivers using modernized PRN codes of PNT signals; e.g. GPS L1C, L2C, </w:t>
      </w:r>
      <w:r w:rsidRPr="004E20B0">
        <w:rPr>
          <w:lang w:val="en-GB"/>
        </w:rPr>
        <w:lastRenderedPageBreak/>
        <w:t>and</w:t>
      </w:r>
      <w:r w:rsidR="00A05D13">
        <w:rPr>
          <w:lang w:val="en-GB"/>
        </w:rPr>
        <w:t> </w:t>
      </w:r>
      <w:r w:rsidRPr="004E20B0">
        <w:rPr>
          <w:lang w:val="en-GB"/>
        </w:rPr>
        <w:t>L5, operating in the 1 164-1 300 MHz and 1 559-1 610 MHz bands, and studies for compatibility and sharing with non-RNSS services are expected to proceed along similar lines.</w:t>
      </w:r>
    </w:p>
    <w:p w:rsidR="00F113EC" w:rsidRPr="004E20B0" w:rsidRDefault="00F113EC" w:rsidP="00F113EC">
      <w:pPr>
        <w:rPr>
          <w:lang w:val="en-GB"/>
        </w:rPr>
      </w:pPr>
      <w:r w:rsidRPr="004E20B0">
        <w:rPr>
          <w:lang w:val="en-GB"/>
        </w:rPr>
        <w:t xml:space="preserve">The aggregate interference threshold levels in Table 2-4 are intended for continuously transmitting interference only. Although parameters are derived from and consistent with GPS specifications, these values are still subject to change. </w:t>
      </w:r>
    </w:p>
    <w:p w:rsidR="00F113EC" w:rsidRPr="004E20B0" w:rsidRDefault="00F113EC" w:rsidP="00F113EC">
      <w:pPr>
        <w:pStyle w:val="TableNo"/>
        <w:keepLines/>
        <w:rPr>
          <w:lang w:val="en-GB"/>
        </w:rPr>
      </w:pPr>
      <w:r w:rsidRPr="004E20B0">
        <w:rPr>
          <w:lang w:val="en-GB"/>
        </w:rPr>
        <w:t>TABLE 2-4</w:t>
      </w:r>
    </w:p>
    <w:p w:rsidR="00F113EC" w:rsidRPr="004E20B0" w:rsidRDefault="00F113EC" w:rsidP="00F113EC">
      <w:pPr>
        <w:pStyle w:val="Tabletitle"/>
        <w:keepLines/>
        <w:rPr>
          <w:lang w:val="en-GB"/>
        </w:rPr>
      </w:pPr>
      <w:r w:rsidRPr="004E20B0">
        <w:rPr>
          <w:lang w:val="en-GB"/>
        </w:rPr>
        <w:t xml:space="preserve">Service link </w:t>
      </w:r>
      <w:r w:rsidRPr="004E20B0">
        <w:rPr>
          <w:lang w:val="en-GB" w:eastAsia="ja-JP"/>
        </w:rPr>
        <w:t>c</w:t>
      </w:r>
      <w:r w:rsidRPr="004E20B0">
        <w:rPr>
          <w:lang w:val="en-GB"/>
        </w:rPr>
        <w:t xml:space="preserve">haracteristics and protection criteria of GPS receiving user </w:t>
      </w:r>
      <w:r w:rsidRPr="004E20B0">
        <w:rPr>
          <w:lang w:val="en-GB"/>
        </w:rPr>
        <w:br/>
        <w:t>ground stations for operation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1"/>
        <w:gridCol w:w="7"/>
        <w:gridCol w:w="4111"/>
      </w:tblGrid>
      <w:tr w:rsidR="00F113EC" w:rsidRPr="004E20B0" w:rsidTr="00920BCB">
        <w:trPr>
          <w:cantSplit/>
          <w:tblHeader/>
          <w:jc w:val="center"/>
        </w:trPr>
        <w:tc>
          <w:tcPr>
            <w:tcW w:w="5342" w:type="dxa"/>
            <w:gridSpan w:val="2"/>
          </w:tcPr>
          <w:p w:rsidR="00F113EC" w:rsidRPr="004E20B0" w:rsidRDefault="00F113EC" w:rsidP="00920BCB">
            <w:pPr>
              <w:pStyle w:val="Tablehead"/>
              <w:keepLines/>
              <w:rPr>
                <w:lang w:val="en-GB"/>
              </w:rPr>
            </w:pPr>
            <w:r w:rsidRPr="004E20B0">
              <w:rPr>
                <w:lang w:val="en-GB"/>
              </w:rPr>
              <w:t>Parameter</w:t>
            </w:r>
          </w:p>
        </w:tc>
        <w:tc>
          <w:tcPr>
            <w:tcW w:w="3972" w:type="dxa"/>
          </w:tcPr>
          <w:p w:rsidR="00F113EC" w:rsidRPr="004E20B0" w:rsidRDefault="00F113EC" w:rsidP="00920BCB">
            <w:pPr>
              <w:pStyle w:val="Tablehead"/>
              <w:keepLines/>
              <w:rPr>
                <w:lang w:val="en-GB"/>
              </w:rPr>
            </w:pPr>
            <w:r w:rsidRPr="004E20B0">
              <w:rPr>
                <w:lang w:val="en-GB"/>
              </w:rPr>
              <w:t>Parameter value</w:t>
            </w:r>
          </w:p>
        </w:tc>
      </w:tr>
      <w:tr w:rsidR="00F113EC" w:rsidRPr="004E20B0" w:rsidTr="00920BCB">
        <w:trPr>
          <w:cantSplit/>
          <w:jc w:val="center"/>
        </w:trPr>
        <w:tc>
          <w:tcPr>
            <w:tcW w:w="5342" w:type="dxa"/>
            <w:gridSpan w:val="2"/>
            <w:vAlign w:val="center"/>
          </w:tcPr>
          <w:p w:rsidR="00F113EC" w:rsidRPr="004E20B0" w:rsidRDefault="00F113EC" w:rsidP="00920BCB">
            <w:pPr>
              <w:pStyle w:val="Tabletext"/>
              <w:keepNext/>
              <w:keepLines/>
              <w:jc w:val="left"/>
              <w:rPr>
                <w:lang w:val="en-GB"/>
              </w:rPr>
            </w:pPr>
            <w:r w:rsidRPr="004E20B0">
              <w:rPr>
                <w:noProof/>
                <w:lang w:val="en-US" w:eastAsia="zh-CN"/>
              </w:rPr>
              <mc:AlternateContent>
                <mc:Choice Requires="wps">
                  <w:drawing>
                    <wp:anchor distT="0" distB="0" distL="114288" distR="114288" simplePos="0" relativeHeight="251659264" behindDoc="0" locked="0" layoutInCell="0" allowOverlap="1" wp14:anchorId="5F867D84" wp14:editId="458A29F6">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ADA97"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4E20B0">
              <w:rPr>
                <w:rFonts w:eastAsia="MS PGothic"/>
                <w:lang w:val="en-GB"/>
              </w:rPr>
              <w:t>Signal frequency range (MHz)</w:t>
            </w:r>
          </w:p>
        </w:tc>
        <w:tc>
          <w:tcPr>
            <w:tcW w:w="3972" w:type="dxa"/>
            <w:vAlign w:val="center"/>
          </w:tcPr>
          <w:p w:rsidR="00F113EC" w:rsidRPr="004E20B0" w:rsidRDefault="00F113EC" w:rsidP="00920BCB">
            <w:pPr>
              <w:pStyle w:val="Tabletext"/>
              <w:keepNext/>
              <w:keepLines/>
              <w:jc w:val="center"/>
              <w:rPr>
                <w:lang w:val="en-GB"/>
              </w:rPr>
            </w:pPr>
            <w:r w:rsidRPr="004E20B0">
              <w:rPr>
                <w:lang w:val="en-GB"/>
              </w:rPr>
              <w:t xml:space="preserve">5 019.861 </w:t>
            </w:r>
            <w:r w:rsidRPr="004E20B0">
              <w:rPr>
                <w:lang w:val="en-GB"/>
              </w:rPr>
              <w:sym w:font="Symbol" w:char="F0B1"/>
            </w:r>
            <w:r w:rsidRPr="004E20B0">
              <w:rPr>
                <w:lang w:val="en-GB"/>
              </w:rPr>
              <w:t xml:space="preserve"> 9.86</w:t>
            </w:r>
          </w:p>
        </w:tc>
      </w:tr>
      <w:tr w:rsidR="00F113EC" w:rsidRPr="004E20B0" w:rsidTr="00920BCB">
        <w:trPr>
          <w:cantSplit/>
          <w:jc w:val="center"/>
        </w:trPr>
        <w:tc>
          <w:tcPr>
            <w:tcW w:w="5342" w:type="dxa"/>
            <w:gridSpan w:val="2"/>
            <w:vAlign w:val="center"/>
          </w:tcPr>
          <w:p w:rsidR="00F113EC" w:rsidRPr="004E20B0" w:rsidRDefault="00F113EC" w:rsidP="00920BCB">
            <w:pPr>
              <w:pStyle w:val="Tabletext"/>
              <w:keepNext/>
              <w:keepLines/>
              <w:jc w:val="left"/>
              <w:rPr>
                <w:lang w:val="en-GB"/>
              </w:rPr>
            </w:pPr>
            <w:r w:rsidRPr="004E20B0">
              <w:rPr>
                <w:noProof/>
                <w:lang w:val="en-GB"/>
              </w:rPr>
              <w:t>Maximum receiver antenna gain in upper hemisphere (dBi)</w:t>
            </w:r>
          </w:p>
        </w:tc>
        <w:tc>
          <w:tcPr>
            <w:tcW w:w="3972" w:type="dxa"/>
            <w:vAlign w:val="center"/>
          </w:tcPr>
          <w:p w:rsidR="00F113EC" w:rsidRPr="004E20B0" w:rsidRDefault="00F113EC" w:rsidP="00920BCB">
            <w:pPr>
              <w:pStyle w:val="Tabletext"/>
              <w:keepNext/>
              <w:keepLines/>
              <w:jc w:val="center"/>
              <w:rPr>
                <w:lang w:val="en-GB"/>
              </w:rPr>
            </w:pPr>
            <w:r w:rsidRPr="004E20B0">
              <w:rPr>
                <w:noProof/>
                <w:lang w:val="en-GB"/>
              </w:rPr>
              <w:t>3</w:t>
            </w:r>
          </w:p>
        </w:tc>
      </w:tr>
      <w:tr w:rsidR="00F113EC" w:rsidRPr="004E20B0" w:rsidTr="00920BCB">
        <w:trPr>
          <w:cantSplit/>
          <w:jc w:val="center"/>
        </w:trPr>
        <w:tc>
          <w:tcPr>
            <w:tcW w:w="5342" w:type="dxa"/>
            <w:gridSpan w:val="2"/>
            <w:vAlign w:val="center"/>
          </w:tcPr>
          <w:p w:rsidR="00F113EC" w:rsidRPr="004E20B0" w:rsidRDefault="00F113EC" w:rsidP="00920BCB">
            <w:pPr>
              <w:pStyle w:val="Tabletext"/>
              <w:keepNext/>
              <w:keepLines/>
              <w:jc w:val="left"/>
              <w:rPr>
                <w:lang w:val="en-GB"/>
              </w:rPr>
            </w:pPr>
            <w:r w:rsidRPr="004E20B0">
              <w:rPr>
                <w:noProof/>
                <w:lang w:val="en-GB"/>
              </w:rPr>
              <w:t>Maximum receiver antenna gain in lower hemisphere (dBi)</w:t>
            </w:r>
          </w:p>
        </w:tc>
        <w:tc>
          <w:tcPr>
            <w:tcW w:w="3972" w:type="dxa"/>
            <w:vAlign w:val="center"/>
          </w:tcPr>
          <w:p w:rsidR="00F113EC" w:rsidRPr="004E20B0" w:rsidRDefault="00F113EC" w:rsidP="00920BCB">
            <w:pPr>
              <w:pStyle w:val="Tabletext"/>
              <w:keepNext/>
              <w:keepLines/>
              <w:jc w:val="center"/>
              <w:rPr>
                <w:lang w:val="en-GB"/>
              </w:rPr>
            </w:pPr>
            <w:r w:rsidRPr="004E20B0">
              <w:rPr>
                <w:noProof/>
                <w:lang w:val="en-GB"/>
              </w:rPr>
              <w:t>3 (see Note 2)</w:t>
            </w:r>
          </w:p>
        </w:tc>
      </w:tr>
      <w:tr w:rsidR="00F113EC" w:rsidRPr="004E20B0" w:rsidTr="00920BCB">
        <w:trPr>
          <w:cantSplit/>
          <w:jc w:val="center"/>
        </w:trPr>
        <w:tc>
          <w:tcPr>
            <w:tcW w:w="5342" w:type="dxa"/>
            <w:gridSpan w:val="2"/>
          </w:tcPr>
          <w:p w:rsidR="00F113EC" w:rsidRPr="004E20B0" w:rsidRDefault="00F113EC" w:rsidP="00920BCB">
            <w:pPr>
              <w:pStyle w:val="Tabletext"/>
              <w:jc w:val="left"/>
              <w:rPr>
                <w:lang w:val="en-GB"/>
              </w:rPr>
            </w:pPr>
            <w:r w:rsidRPr="004E20B0">
              <w:rPr>
                <w:lang w:val="en-GB"/>
              </w:rPr>
              <w:t xml:space="preserve">Receiver </w:t>
            </w:r>
            <w:r w:rsidRPr="004E20B0">
              <w:rPr>
                <w:rFonts w:eastAsia="MS PGothic"/>
                <w:lang w:val="en-GB"/>
              </w:rPr>
              <w:t>RF filter 3 dB bandwidth (MHz)</w:t>
            </w:r>
          </w:p>
        </w:tc>
        <w:tc>
          <w:tcPr>
            <w:tcW w:w="3972" w:type="dxa"/>
          </w:tcPr>
          <w:p w:rsidR="00F113EC" w:rsidRPr="004E20B0" w:rsidRDefault="00F113EC" w:rsidP="00920BCB">
            <w:pPr>
              <w:pStyle w:val="Tabletext"/>
              <w:jc w:val="center"/>
              <w:rPr>
                <w:lang w:val="en-GB"/>
              </w:rPr>
            </w:pPr>
            <w:r w:rsidRPr="004E20B0">
              <w:rPr>
                <w:rFonts w:eastAsia="MS PGothic"/>
                <w:lang w:val="en-GB"/>
              </w:rPr>
              <w:t>20</w:t>
            </w:r>
          </w:p>
        </w:tc>
      </w:tr>
      <w:tr w:rsidR="00F113EC" w:rsidRPr="004E20B0" w:rsidTr="00920BCB">
        <w:trPr>
          <w:cantSplit/>
          <w:jc w:val="center"/>
        </w:trPr>
        <w:tc>
          <w:tcPr>
            <w:tcW w:w="5342" w:type="dxa"/>
            <w:gridSpan w:val="2"/>
            <w:vAlign w:val="center"/>
          </w:tcPr>
          <w:p w:rsidR="00F113EC" w:rsidRPr="004E20B0" w:rsidRDefault="00F113EC" w:rsidP="00920BCB">
            <w:pPr>
              <w:pStyle w:val="Tabletext"/>
              <w:jc w:val="left"/>
              <w:rPr>
                <w:lang w:val="en-GB"/>
              </w:rPr>
            </w:pPr>
            <w:r w:rsidRPr="004E20B0">
              <w:rPr>
                <w:lang w:val="en-GB"/>
              </w:rPr>
              <w:t>Receiver pre-correlation 3 dB bandwidth (MHz)</w:t>
            </w:r>
          </w:p>
        </w:tc>
        <w:tc>
          <w:tcPr>
            <w:tcW w:w="3972" w:type="dxa"/>
            <w:vAlign w:val="center"/>
          </w:tcPr>
          <w:p w:rsidR="00F113EC" w:rsidRPr="004E20B0" w:rsidRDefault="00F113EC" w:rsidP="00920BCB">
            <w:pPr>
              <w:pStyle w:val="Tabletext"/>
              <w:jc w:val="center"/>
              <w:rPr>
                <w:lang w:val="en-GB"/>
              </w:rPr>
            </w:pPr>
            <w:r w:rsidRPr="004E20B0">
              <w:rPr>
                <w:lang w:val="en-GB"/>
              </w:rPr>
              <w:t>20</w:t>
            </w:r>
          </w:p>
        </w:tc>
      </w:tr>
      <w:tr w:rsidR="00F113EC" w:rsidRPr="004E20B0" w:rsidTr="00920BCB">
        <w:trPr>
          <w:cantSplit/>
          <w:jc w:val="center"/>
        </w:trPr>
        <w:tc>
          <w:tcPr>
            <w:tcW w:w="5342" w:type="dxa"/>
            <w:gridSpan w:val="2"/>
            <w:vAlign w:val="center"/>
          </w:tcPr>
          <w:p w:rsidR="00F113EC" w:rsidRPr="004E20B0" w:rsidRDefault="00F113EC" w:rsidP="00920BCB">
            <w:pPr>
              <w:pStyle w:val="Tabletext"/>
              <w:jc w:val="left"/>
              <w:rPr>
                <w:lang w:val="en-GB"/>
              </w:rPr>
            </w:pPr>
            <w:r w:rsidRPr="004E20B0">
              <w:rPr>
                <w:lang w:val="en-GB"/>
              </w:rPr>
              <w:t>Receiver system noise temperature (K)</w:t>
            </w:r>
          </w:p>
        </w:tc>
        <w:tc>
          <w:tcPr>
            <w:tcW w:w="3972" w:type="dxa"/>
            <w:vAlign w:val="center"/>
          </w:tcPr>
          <w:p w:rsidR="00F113EC" w:rsidRPr="004E20B0" w:rsidRDefault="00F113EC" w:rsidP="00920BCB">
            <w:pPr>
              <w:pStyle w:val="Tabletext"/>
              <w:jc w:val="center"/>
              <w:rPr>
                <w:lang w:val="en-GB"/>
              </w:rPr>
            </w:pPr>
            <w:r w:rsidRPr="004E20B0">
              <w:rPr>
                <w:lang w:val="en-GB"/>
              </w:rPr>
              <w:t>500</w:t>
            </w:r>
          </w:p>
        </w:tc>
      </w:tr>
      <w:tr w:rsidR="00F113EC" w:rsidRPr="004E20B0" w:rsidTr="00920BCB">
        <w:trPr>
          <w:cantSplit/>
          <w:jc w:val="center"/>
        </w:trPr>
        <w:tc>
          <w:tcPr>
            <w:tcW w:w="5342" w:type="dxa"/>
            <w:gridSpan w:val="2"/>
          </w:tcPr>
          <w:p w:rsidR="00F113EC" w:rsidRPr="004E20B0" w:rsidRDefault="00F113EC" w:rsidP="00920BCB">
            <w:pPr>
              <w:pStyle w:val="Tabletext"/>
              <w:jc w:val="left"/>
              <w:rPr>
                <w:lang w:val="en-GB"/>
              </w:rPr>
            </w:pPr>
            <w:r w:rsidRPr="004E20B0">
              <w:rPr>
                <w:rFonts w:eastAsia="MS PGothic"/>
                <w:lang w:val="en-GB"/>
              </w:rPr>
              <w:t>Tracking mode threshold power level of aggregate narrow-band interference at the passive antenna output (dBW)</w:t>
            </w:r>
          </w:p>
        </w:tc>
        <w:tc>
          <w:tcPr>
            <w:tcW w:w="3972" w:type="dxa"/>
            <w:vAlign w:val="center"/>
          </w:tcPr>
          <w:p w:rsidR="00F113EC" w:rsidRPr="004E20B0" w:rsidRDefault="00F113EC" w:rsidP="00920BCB">
            <w:pPr>
              <w:pStyle w:val="Tabletext"/>
              <w:jc w:val="center"/>
              <w:rPr>
                <w:lang w:val="en-GB"/>
              </w:rPr>
            </w:pPr>
            <w:r w:rsidRPr="004E20B0">
              <w:rPr>
                <w:noProof/>
                <w:lang w:val="en-GB"/>
              </w:rPr>
              <w:t>−154.6 (see Note 1)</w:t>
            </w:r>
          </w:p>
        </w:tc>
      </w:tr>
      <w:tr w:rsidR="00F113EC" w:rsidRPr="004E20B0" w:rsidTr="00920BCB">
        <w:trPr>
          <w:cantSplit/>
          <w:jc w:val="center"/>
        </w:trPr>
        <w:tc>
          <w:tcPr>
            <w:tcW w:w="5342" w:type="dxa"/>
            <w:gridSpan w:val="2"/>
          </w:tcPr>
          <w:p w:rsidR="00F113EC" w:rsidRPr="004E20B0" w:rsidRDefault="00F113EC" w:rsidP="00920BCB">
            <w:pPr>
              <w:pStyle w:val="Tabletext"/>
              <w:jc w:val="left"/>
              <w:rPr>
                <w:lang w:val="en-GB"/>
              </w:rPr>
            </w:pPr>
            <w:r w:rsidRPr="004E20B0">
              <w:rPr>
                <w:rFonts w:eastAsia="MS PGothic"/>
                <w:lang w:val="en-GB"/>
              </w:rPr>
              <w:t>Acquisition mode threshold power level of aggregate narrow</w:t>
            </w:r>
            <w:r w:rsidRPr="004E20B0">
              <w:rPr>
                <w:rFonts w:eastAsia="MS PGothic"/>
                <w:lang w:val="en-GB"/>
              </w:rPr>
              <w:noBreakHyphen/>
              <w:t>band interference at the passive antenna output (dBW)</w:t>
            </w:r>
          </w:p>
        </w:tc>
        <w:tc>
          <w:tcPr>
            <w:tcW w:w="3972" w:type="dxa"/>
            <w:vAlign w:val="center"/>
          </w:tcPr>
          <w:p w:rsidR="00F113EC" w:rsidRPr="004E20B0" w:rsidRDefault="00F113EC" w:rsidP="00920BCB">
            <w:pPr>
              <w:pStyle w:val="Tabletext"/>
              <w:jc w:val="center"/>
              <w:rPr>
                <w:lang w:val="en-GB"/>
              </w:rPr>
            </w:pPr>
            <w:r w:rsidRPr="004E20B0">
              <w:rPr>
                <w:noProof/>
                <w:lang w:val="en-GB"/>
              </w:rPr>
              <w:t>−157.6 (see Note 1)</w:t>
            </w:r>
          </w:p>
        </w:tc>
      </w:tr>
      <w:tr w:rsidR="00F113EC" w:rsidRPr="004E20B0" w:rsidTr="00920BCB">
        <w:trPr>
          <w:cantSplit/>
          <w:jc w:val="center"/>
        </w:trPr>
        <w:tc>
          <w:tcPr>
            <w:tcW w:w="5342" w:type="dxa"/>
            <w:gridSpan w:val="2"/>
          </w:tcPr>
          <w:p w:rsidR="00F113EC" w:rsidRPr="004E20B0" w:rsidRDefault="00F113EC" w:rsidP="00920BCB">
            <w:pPr>
              <w:pStyle w:val="Tabletext"/>
              <w:jc w:val="left"/>
              <w:rPr>
                <w:lang w:val="en-GB"/>
              </w:rPr>
            </w:pPr>
            <w:r w:rsidRPr="004E20B0">
              <w:rPr>
                <w:rFonts w:eastAsia="MS PGothic"/>
                <w:lang w:val="en-GB"/>
              </w:rPr>
              <w:t>Tracking mode threshold power density level of aggregate wideband interference at the passive antenna output (dB(W/MHz))</w:t>
            </w:r>
          </w:p>
        </w:tc>
        <w:tc>
          <w:tcPr>
            <w:tcW w:w="3972" w:type="dxa"/>
            <w:vAlign w:val="center"/>
          </w:tcPr>
          <w:p w:rsidR="00F113EC" w:rsidRPr="004E20B0" w:rsidRDefault="00F113EC" w:rsidP="00920BCB">
            <w:pPr>
              <w:pStyle w:val="Tabletext"/>
              <w:jc w:val="center"/>
              <w:rPr>
                <w:lang w:val="en-GB"/>
              </w:rPr>
            </w:pPr>
            <w:r w:rsidRPr="004E20B0">
              <w:rPr>
                <w:noProof/>
                <w:lang w:val="en-GB"/>
              </w:rPr>
              <w:t>−144.6 (see Note 1)</w:t>
            </w:r>
          </w:p>
        </w:tc>
      </w:tr>
      <w:tr w:rsidR="00F113EC" w:rsidRPr="004E20B0" w:rsidTr="00920BCB">
        <w:trPr>
          <w:cantSplit/>
          <w:jc w:val="center"/>
        </w:trPr>
        <w:tc>
          <w:tcPr>
            <w:tcW w:w="5335" w:type="dxa"/>
            <w:vAlign w:val="center"/>
          </w:tcPr>
          <w:p w:rsidR="00F113EC" w:rsidRPr="004E20B0" w:rsidRDefault="00F113EC" w:rsidP="00920BCB">
            <w:pPr>
              <w:pStyle w:val="Tabletext"/>
              <w:jc w:val="left"/>
              <w:rPr>
                <w:lang w:val="en-GB"/>
              </w:rPr>
            </w:pPr>
            <w:r w:rsidRPr="004E20B0">
              <w:rPr>
                <w:rFonts w:eastAsia="MS PGothic"/>
                <w:lang w:val="en-GB"/>
              </w:rPr>
              <w:t>Acquisition mode threshold power density level of aggregate wideband interference at the passive antenna output (dB(W/MHz))</w:t>
            </w:r>
          </w:p>
        </w:tc>
        <w:tc>
          <w:tcPr>
            <w:tcW w:w="3979" w:type="dxa"/>
            <w:gridSpan w:val="2"/>
            <w:vAlign w:val="center"/>
          </w:tcPr>
          <w:p w:rsidR="00F113EC" w:rsidRPr="004E20B0" w:rsidRDefault="00F113EC" w:rsidP="00920BCB">
            <w:pPr>
              <w:pStyle w:val="Tabletext"/>
              <w:jc w:val="center"/>
              <w:rPr>
                <w:lang w:val="en-GB"/>
              </w:rPr>
            </w:pPr>
            <w:r w:rsidRPr="004E20B0">
              <w:rPr>
                <w:noProof/>
                <w:lang w:val="en-GB"/>
              </w:rPr>
              <w:t>−147.6 (see Note 1)</w:t>
            </w:r>
          </w:p>
        </w:tc>
      </w:tr>
      <w:tr w:rsidR="00F113EC" w:rsidRPr="001A02C5" w:rsidTr="00920BCB">
        <w:trPr>
          <w:cantSplit/>
          <w:jc w:val="center"/>
        </w:trPr>
        <w:tc>
          <w:tcPr>
            <w:tcW w:w="9314" w:type="dxa"/>
            <w:gridSpan w:val="3"/>
            <w:tcBorders>
              <w:left w:val="nil"/>
              <w:bottom w:val="nil"/>
              <w:right w:val="nil"/>
            </w:tcBorders>
            <w:vAlign w:val="center"/>
          </w:tcPr>
          <w:p w:rsidR="00F113EC" w:rsidRPr="004E20B0" w:rsidRDefault="00F113EC" w:rsidP="00920BCB">
            <w:pPr>
              <w:pStyle w:val="Tablelegend"/>
              <w:ind w:left="-85" w:firstLine="0"/>
              <w:jc w:val="left"/>
              <w:rPr>
                <w:lang w:val="en-GB"/>
              </w:rPr>
            </w:pPr>
            <w:r w:rsidRPr="004E20B0">
              <w:rPr>
                <w:lang w:val="en-GB"/>
              </w:rPr>
              <w:t>NOTE 1 – Narrow-band continuous interference is considered to have a bandwidth of less than 700 Hz in the 5 010-5 030 MHz band. Wideband continuous interference is considered to have greater than 1 MHz bandwidth in the 5 010-5 030 MHz band. Threshold power levels for interference bandwidths between 700 Hz to 1 MHz are derived by log-linear interpolation between the narrow-band power limit in a 700 Hz bandwidth and the wideband power density limit in a 1 MHz bandwidth.</w:t>
            </w:r>
          </w:p>
          <w:p w:rsidR="00F113EC" w:rsidRPr="004E20B0" w:rsidRDefault="00F113EC" w:rsidP="00920BCB">
            <w:pPr>
              <w:pStyle w:val="Tablelegend"/>
              <w:ind w:left="-85" w:firstLine="0"/>
              <w:jc w:val="left"/>
              <w:rPr>
                <w:lang w:val="en-GB" w:eastAsia="ja-JP"/>
              </w:rPr>
            </w:pPr>
            <w:r w:rsidRPr="004E20B0">
              <w:rPr>
                <w:lang w:val="en-GB"/>
              </w:rPr>
              <w:t>NOTE 2</w:t>
            </w:r>
            <w:r w:rsidRPr="004E20B0">
              <w:rPr>
                <w:lang w:val="en-GB" w:eastAsia="ja-JP"/>
              </w:rPr>
              <w:t xml:space="preserve"> – Because the antenna in some RNSS receiver applications could potentially be pointed in almost any direction, the maximum antenna gain in the lower hemisphere could (under worst</w:t>
            </w:r>
            <w:r w:rsidRPr="004E20B0">
              <w:rPr>
                <w:lang w:val="en-GB"/>
              </w:rPr>
              <w:t>-</w:t>
            </w:r>
            <w:r w:rsidRPr="004E20B0">
              <w:rPr>
                <w:lang w:val="en-GB" w:eastAsia="ja-JP"/>
              </w:rPr>
              <w:t>case conditions) be equal to that for the upper hemisphere.</w:t>
            </w:r>
          </w:p>
        </w:tc>
      </w:tr>
    </w:tbl>
    <w:p w:rsidR="00F113EC" w:rsidRPr="004E20B0" w:rsidRDefault="00F113EC" w:rsidP="00F113EC">
      <w:pPr>
        <w:pStyle w:val="Tablefin"/>
      </w:pPr>
    </w:p>
    <w:p w:rsidR="00F113EC" w:rsidRPr="004E20B0" w:rsidRDefault="00F113EC" w:rsidP="00F113EC">
      <w:pPr>
        <w:rPr>
          <w:lang w:val="en-GB"/>
        </w:rPr>
      </w:pPr>
      <w:r w:rsidRPr="004E20B0">
        <w:rPr>
          <w:lang w:val="en-GB"/>
        </w:rPr>
        <w:t>Compared to similar systems implemented at 1.5 GHz, RNSS systems developed for the 5 GHz band would experience as much as 10 dB increased free-space path loss, as well as increased water vapour, rainfall and foliage attenuation. Also, the technology for 5 GHz is currently more expensive than for other RNSS bands.</w:t>
      </w:r>
    </w:p>
    <w:p w:rsidR="00F113EC" w:rsidRPr="004E20B0" w:rsidRDefault="00F113EC" w:rsidP="00F113EC">
      <w:pPr>
        <w:rPr>
          <w:lang w:val="en-GB"/>
        </w:rPr>
      </w:pPr>
      <w:r w:rsidRPr="004E20B0">
        <w:rPr>
          <w:lang w:val="en-GB"/>
        </w:rPr>
        <w:t>Offsetting these drawbacks, there are some benefits to a 5 GHz implementation. The primary benefit is that the shorter wavelength makes use of higher gain antennas and antenna arrays possible within a given antenna footprint. In fact, since the wavelength is about 30% of other RNSS bands, the diameter, physical aperture, and weight of antennas with the same gain patterns as a</w:t>
      </w:r>
      <w:r>
        <w:rPr>
          <w:lang w:val="en-GB"/>
        </w:rPr>
        <w:t xml:space="preserve"> </w:t>
      </w:r>
      <w:r w:rsidRPr="004E20B0">
        <w:rPr>
          <w:lang w:val="en-GB"/>
        </w:rPr>
        <w:t>similar antenna in the 1.5 GHz range is reduced by roughly factors of 0.3, (0.3)</w:t>
      </w:r>
      <w:r w:rsidRPr="004E20B0">
        <w:rPr>
          <w:vertAlign w:val="superscript"/>
          <w:lang w:val="en-GB"/>
        </w:rPr>
        <w:t>2</w:t>
      </w:r>
      <w:r w:rsidRPr="004E20B0">
        <w:rPr>
          <w:lang w:val="en-GB"/>
        </w:rPr>
        <w:t> = 0.09, and (0.3)</w:t>
      </w:r>
      <w:r w:rsidRPr="004E20B0">
        <w:rPr>
          <w:vertAlign w:val="superscript"/>
          <w:lang w:val="en-GB"/>
        </w:rPr>
        <w:t>3 </w:t>
      </w:r>
      <w:r w:rsidRPr="004E20B0">
        <w:rPr>
          <w:lang w:val="en-GB"/>
        </w:rPr>
        <w:t>= 0.027</w:t>
      </w:r>
      <w:r>
        <w:rPr>
          <w:lang w:val="en-GB"/>
        </w:rPr>
        <w:t>,</w:t>
      </w:r>
      <w:r w:rsidRPr="004E20B0">
        <w:rPr>
          <w:lang w:val="en-GB"/>
        </w:rPr>
        <w:t xml:space="preserve"> respectively. This may lend itself to applications for which size and weight are strong system constraints for both user equipment and satellite payloads. This, in turn, may enable the use of </w:t>
      </w:r>
      <w:r w:rsidRPr="004E20B0">
        <w:rPr>
          <w:lang w:val="en-GB"/>
        </w:rPr>
        <w:lastRenderedPageBreak/>
        <w:t xml:space="preserve">adaptive antennas with the capability to increase received signal power or put nulls on RFI sources or both. Such capabilities are useful since unwanted emissions from other services could interfere with RNSS signals at short range. Such antennas however may not be suitable for all applications. In addition, since such an antenna consists of a number of antenna elements, receiver front-ends and beam-forming/steering electronics, the receiver architecture becomes complex. </w:t>
      </w:r>
    </w:p>
    <w:p w:rsidR="00F113EC" w:rsidRPr="004E20B0" w:rsidRDefault="00F113EC" w:rsidP="00F113EC">
      <w:pPr>
        <w:rPr>
          <w:lang w:val="en-GB"/>
        </w:rPr>
      </w:pPr>
      <w:r w:rsidRPr="004E20B0">
        <w:rPr>
          <w:lang w:val="en-GB"/>
        </w:rPr>
        <w:t xml:space="preserve">Another benefit to a 5 GHz implementation is the potential for improved position and timing accuracy. This is due to the reduced variability in ionospheric propagation delay. </w:t>
      </w:r>
    </w:p>
    <w:p w:rsidR="00F113EC" w:rsidRPr="004E20B0" w:rsidRDefault="00F113EC" w:rsidP="00F113EC">
      <w:pPr>
        <w:rPr>
          <w:lang w:val="en-GB"/>
        </w:rPr>
      </w:pPr>
      <w:r w:rsidRPr="004E20B0">
        <w:rPr>
          <w:lang w:val="en-GB"/>
        </w:rPr>
        <w:t xml:space="preserve">As noted in </w:t>
      </w:r>
      <w:r>
        <w:rPr>
          <w:lang w:val="en-GB"/>
        </w:rPr>
        <w:t>§</w:t>
      </w:r>
      <w:r w:rsidRPr="004E20B0">
        <w:rPr>
          <w:lang w:val="en-GB"/>
        </w:rPr>
        <w:t> 2 above, no studies have concluded on how 5 GHz service links would work in the presence of RNSS feeder downlinks. Further study could include such techniques as orthogonal circular polarizations, modulations with low cross-correlation properties, and incorporating more link margin for RFI from feeder downlinks. Also, the compatibility of simultaneous feeder downlink and service link signals from different RNSS systems needs to be considered.</w:t>
      </w:r>
    </w:p>
    <w:p w:rsidR="00F113EC" w:rsidRPr="004E20B0" w:rsidRDefault="00F113EC" w:rsidP="00F113EC">
      <w:pPr>
        <w:rPr>
          <w:lang w:val="en-GB"/>
        </w:rPr>
      </w:pPr>
      <w:r w:rsidRPr="004E20B0">
        <w:rPr>
          <w:lang w:val="en-GB"/>
        </w:rPr>
        <w:t>Protection criteria for the service link signals need to be further developed as RNSS system designs mature. Those protection criteria should take into account the RNSS features necessary to ensure the receiver can operate in its intended environment, including any signal bandwidth and filtering constraints to ensure compatibility with radio astronomy. In addition, if the RNSS link will be fielded in an airport environment, it should be designed to tolerate unwanted emissions from the ICAO standard microwave landing system (MLS) operating in the adjacent band. More 5 GHz RNSS receiver details will become available after initial system designs are completed.</w:t>
      </w:r>
    </w:p>
    <w:p w:rsidR="006F515F" w:rsidRPr="00ED14C2" w:rsidRDefault="006F515F" w:rsidP="00ED14C2">
      <w:pPr>
        <w:rPr>
          <w:lang w:val="en-US"/>
        </w:rPr>
      </w:pPr>
    </w:p>
    <w:p w:rsidR="00ED14C2" w:rsidRPr="00ED14C2" w:rsidRDefault="00ED14C2" w:rsidP="00ED14C2">
      <w:pPr>
        <w:rPr>
          <w:lang w:val="en-US"/>
        </w:rPr>
      </w:pPr>
    </w:p>
    <w:p w:rsidR="00CE494B" w:rsidRPr="009A2780" w:rsidRDefault="006F515F" w:rsidP="00A05D13">
      <w:pPr>
        <w:pStyle w:val="AnnexNoTitle"/>
        <w:rPr>
          <w:lang w:val="en-GB"/>
        </w:rPr>
      </w:pPr>
      <w:r w:rsidRPr="009A2780">
        <w:rPr>
          <w:lang w:val="en-GB"/>
        </w:rPr>
        <w:t>Ann</w:t>
      </w:r>
      <w:r w:rsidR="00CE494B" w:rsidRPr="009A2780">
        <w:rPr>
          <w:lang w:val="en-GB"/>
        </w:rPr>
        <w:t xml:space="preserve">ex </w:t>
      </w:r>
      <w:r w:rsidR="00CE494B" w:rsidRPr="009A2780">
        <w:rPr>
          <w:rFonts w:hint="eastAsia"/>
          <w:lang w:val="en-GB" w:eastAsia="ja-JP"/>
        </w:rPr>
        <w:t>3</w:t>
      </w:r>
      <w:r w:rsidR="00A05D13" w:rsidRPr="009A2780">
        <w:rPr>
          <w:lang w:val="en-GB" w:eastAsia="ja-JP"/>
        </w:rPr>
        <w:br/>
      </w:r>
      <w:r w:rsidR="00A05D13" w:rsidRPr="009A2780">
        <w:rPr>
          <w:lang w:val="en-GB" w:eastAsia="ja-JP"/>
        </w:rPr>
        <w:br/>
      </w:r>
      <w:r w:rsidR="00CE494B" w:rsidRPr="009A2780">
        <w:rPr>
          <w:lang w:val="en-GB"/>
        </w:rPr>
        <w:t xml:space="preserve">Technical characteristics and protection criteria of receiving </w:t>
      </w:r>
      <w:r w:rsidR="00CE494B" w:rsidRPr="009A2780">
        <w:rPr>
          <w:rFonts w:hint="eastAsia"/>
          <w:lang w:val="en-GB" w:eastAsia="ja-JP"/>
        </w:rPr>
        <w:t>earth</w:t>
      </w:r>
      <w:r w:rsidR="00CE494B" w:rsidRPr="009A2780">
        <w:rPr>
          <w:lang w:val="en-GB"/>
        </w:rPr>
        <w:t xml:space="preserve"> stations </w:t>
      </w:r>
      <w:r w:rsidR="00CE494B" w:rsidRPr="009A2780">
        <w:rPr>
          <w:rFonts w:hint="eastAsia"/>
          <w:lang w:val="en-GB" w:eastAsia="ja-JP"/>
        </w:rPr>
        <w:t>and</w:t>
      </w:r>
      <w:r w:rsidR="00CE494B" w:rsidRPr="009A2780">
        <w:rPr>
          <w:rFonts w:hint="eastAsia"/>
          <w:lang w:val="en-GB" w:eastAsia="ja-JP"/>
        </w:rPr>
        <w:br/>
      </w:r>
      <w:r w:rsidR="00CE494B" w:rsidRPr="009A2780">
        <w:rPr>
          <w:lang w:val="en-GB"/>
        </w:rPr>
        <w:t xml:space="preserve">characteristics of transmitting </w:t>
      </w:r>
      <w:r w:rsidR="00CE494B" w:rsidRPr="009A2780">
        <w:rPr>
          <w:rFonts w:hint="eastAsia"/>
          <w:lang w:val="en-GB" w:eastAsia="ja-JP"/>
        </w:rPr>
        <w:t>space</w:t>
      </w:r>
      <w:r w:rsidR="00CE494B" w:rsidRPr="009A2780">
        <w:rPr>
          <w:lang w:val="en-GB"/>
        </w:rPr>
        <w:t xml:space="preserve"> stations</w:t>
      </w:r>
      <w:r w:rsidR="00CE494B" w:rsidRPr="009A2780">
        <w:rPr>
          <w:rFonts w:hint="eastAsia"/>
          <w:lang w:val="en-GB" w:eastAsia="ja-JP"/>
        </w:rPr>
        <w:t xml:space="preserve"> </w:t>
      </w:r>
      <w:r w:rsidR="00CE494B" w:rsidRPr="009A2780">
        <w:rPr>
          <w:lang w:val="en-GB"/>
        </w:rPr>
        <w:t xml:space="preserve">of </w:t>
      </w:r>
      <w:r w:rsidR="00CE494B" w:rsidRPr="009A2780">
        <w:rPr>
          <w:lang w:val="en-GB" w:eastAsia="ja-JP"/>
        </w:rPr>
        <w:t>the Quasi-Zenith Satellite</w:t>
      </w:r>
      <w:r w:rsidR="00CE494B" w:rsidRPr="009A2780">
        <w:rPr>
          <w:lang w:val="en-GB"/>
        </w:rPr>
        <w:t xml:space="preserve"> System (</w:t>
      </w:r>
      <w:r w:rsidR="00CE494B" w:rsidRPr="009A2780">
        <w:rPr>
          <w:lang w:val="en-GB" w:eastAsia="ja-JP"/>
        </w:rPr>
        <w:t>QZS</w:t>
      </w:r>
      <w:r w:rsidR="00CE494B" w:rsidRPr="009A2780">
        <w:rPr>
          <w:lang w:val="en-GB"/>
        </w:rPr>
        <w:t>S) operating</w:t>
      </w:r>
      <w:r w:rsidR="00CE494B" w:rsidRPr="009A2780">
        <w:rPr>
          <w:rFonts w:hint="eastAsia"/>
          <w:lang w:val="en-GB" w:eastAsia="ja-JP"/>
        </w:rPr>
        <w:t xml:space="preserve"> </w:t>
      </w:r>
      <w:r w:rsidR="00CE494B" w:rsidRPr="009A2780">
        <w:rPr>
          <w:lang w:val="en-GB"/>
        </w:rPr>
        <w:t>in the band</w:t>
      </w:r>
      <w:r w:rsidR="00CE494B" w:rsidRPr="009A2780">
        <w:rPr>
          <w:caps/>
          <w:lang w:val="en-GB"/>
        </w:rPr>
        <w:t xml:space="preserve"> 5 0</w:t>
      </w:r>
      <w:r w:rsidR="00CE494B" w:rsidRPr="009A2780">
        <w:rPr>
          <w:rFonts w:hint="eastAsia"/>
          <w:caps/>
          <w:lang w:val="en-GB" w:eastAsia="ja-JP"/>
        </w:rPr>
        <w:t>1</w:t>
      </w:r>
      <w:r w:rsidR="00CE494B" w:rsidRPr="009A2780">
        <w:rPr>
          <w:caps/>
          <w:lang w:val="en-GB"/>
        </w:rPr>
        <w:t>0-5 0</w:t>
      </w:r>
      <w:r w:rsidR="00CE494B" w:rsidRPr="009A2780">
        <w:rPr>
          <w:rFonts w:hint="eastAsia"/>
          <w:caps/>
          <w:lang w:val="en-GB" w:eastAsia="ja-JP"/>
        </w:rPr>
        <w:t>3</w:t>
      </w:r>
      <w:r w:rsidR="00CE494B" w:rsidRPr="009A2780">
        <w:rPr>
          <w:caps/>
          <w:lang w:val="en-GB"/>
        </w:rPr>
        <w:t>0 MH</w:t>
      </w:r>
      <w:r w:rsidR="00CE494B" w:rsidRPr="009A2780">
        <w:rPr>
          <w:lang w:val="en-GB"/>
        </w:rPr>
        <w:t>z</w:t>
      </w:r>
    </w:p>
    <w:p w:rsidR="00CE494B" w:rsidRPr="00CE494B" w:rsidRDefault="00CE494B" w:rsidP="00CE494B">
      <w:pPr>
        <w:pStyle w:val="Heading1"/>
        <w:rPr>
          <w:lang w:val="en-US"/>
        </w:rPr>
      </w:pPr>
      <w:r w:rsidRPr="00CE494B">
        <w:rPr>
          <w:lang w:val="en-US"/>
        </w:rPr>
        <w:t>1</w:t>
      </w:r>
      <w:r w:rsidRPr="00CE494B">
        <w:rPr>
          <w:lang w:val="en-US"/>
        </w:rPr>
        <w:tab/>
        <w:t>Introduction</w:t>
      </w:r>
    </w:p>
    <w:p w:rsidR="00CE494B" w:rsidRPr="00CE494B" w:rsidRDefault="00CE494B" w:rsidP="00CE494B">
      <w:pPr>
        <w:rPr>
          <w:lang w:val="en-US"/>
        </w:rPr>
      </w:pPr>
      <w:r w:rsidRPr="00CE494B">
        <w:rPr>
          <w:lang w:val="en-US"/>
        </w:rPr>
        <w:t xml:space="preserve">The </w:t>
      </w:r>
      <w:r w:rsidRPr="00CE494B">
        <w:rPr>
          <w:rFonts w:hint="eastAsia"/>
          <w:lang w:val="en-US" w:eastAsia="ja-JP"/>
        </w:rPr>
        <w:t>Quasi-Zenith Satellite System (</w:t>
      </w:r>
      <w:r w:rsidRPr="00CE494B">
        <w:rPr>
          <w:lang w:val="en-US" w:eastAsia="ja-JP"/>
        </w:rPr>
        <w:t>QZS</w:t>
      </w:r>
      <w:r w:rsidRPr="00CE494B">
        <w:rPr>
          <w:lang w:val="en-US"/>
        </w:rPr>
        <w:t>S</w:t>
      </w:r>
      <w:r w:rsidRPr="00CE494B">
        <w:rPr>
          <w:rFonts w:hint="eastAsia"/>
          <w:lang w:val="en-US" w:eastAsia="ja-JP"/>
        </w:rPr>
        <w:t>)</w:t>
      </w:r>
      <w:r w:rsidRPr="00CE494B">
        <w:rPr>
          <w:lang w:val="en-US"/>
        </w:rPr>
        <w:t xml:space="preserve"> uplink and downlink feeder links provide communications for system and satellite monitoring, command, control </w:t>
      </w:r>
      <w:r w:rsidRPr="00CE494B">
        <w:rPr>
          <w:lang w:val="en-US" w:eastAsia="ja-JP"/>
        </w:rPr>
        <w:t>and navigation message upload</w:t>
      </w:r>
      <w:r w:rsidRPr="00CE494B">
        <w:rPr>
          <w:lang w:val="en-US"/>
        </w:rPr>
        <w:t xml:space="preserve">. </w:t>
      </w:r>
      <w:r w:rsidRPr="00CE494B">
        <w:rPr>
          <w:lang w:val="en-US" w:eastAsia="ja-JP"/>
        </w:rPr>
        <w:t>The</w:t>
      </w:r>
      <w:r w:rsidRPr="00CE494B">
        <w:rPr>
          <w:lang w:val="en-US"/>
        </w:rPr>
        <w:t xml:space="preserve"> </w:t>
      </w:r>
      <w:r w:rsidRPr="00CE494B">
        <w:rPr>
          <w:lang w:val="en-US" w:eastAsia="ja-JP"/>
        </w:rPr>
        <w:t>QZS</w:t>
      </w:r>
      <w:r w:rsidRPr="00CE494B">
        <w:rPr>
          <w:lang w:val="en-US"/>
        </w:rPr>
        <w:t>S control station</w:t>
      </w:r>
      <w:r w:rsidRPr="00CE494B">
        <w:rPr>
          <w:lang w:val="en-US" w:eastAsia="ja-JP"/>
        </w:rPr>
        <w:t>s</w:t>
      </w:r>
      <w:r w:rsidRPr="00CE494B">
        <w:rPr>
          <w:lang w:val="en-US"/>
        </w:rPr>
        <w:t xml:space="preserve"> </w:t>
      </w:r>
      <w:r w:rsidRPr="00CE494B">
        <w:rPr>
          <w:lang w:val="en-US" w:eastAsia="ja-JP"/>
        </w:rPr>
        <w:t xml:space="preserve">are </w:t>
      </w:r>
      <w:r w:rsidRPr="00CE494B">
        <w:rPr>
          <w:lang w:val="en-US"/>
        </w:rPr>
        <w:t xml:space="preserve">located in </w:t>
      </w:r>
      <w:r w:rsidRPr="00CE494B">
        <w:rPr>
          <w:lang w:val="en-US" w:eastAsia="ja-JP"/>
        </w:rPr>
        <w:t>the Asia-Pacific Region</w:t>
      </w:r>
      <w:r w:rsidRPr="00CE494B">
        <w:rPr>
          <w:lang w:val="en-US"/>
        </w:rPr>
        <w:t>.</w:t>
      </w:r>
    </w:p>
    <w:p w:rsidR="00CE494B" w:rsidRPr="00CE494B" w:rsidRDefault="00CE494B" w:rsidP="00CE494B">
      <w:pPr>
        <w:pStyle w:val="Heading1"/>
        <w:rPr>
          <w:lang w:val="en-US"/>
        </w:rPr>
      </w:pPr>
      <w:r w:rsidRPr="00CE494B">
        <w:rPr>
          <w:lang w:val="en-US"/>
        </w:rPr>
        <w:t>2</w:t>
      </w:r>
      <w:r w:rsidRPr="00CE494B">
        <w:rPr>
          <w:lang w:val="en-US"/>
        </w:rPr>
        <w:tab/>
      </w:r>
      <w:r w:rsidRPr="00CE494B">
        <w:rPr>
          <w:lang w:val="en-US" w:eastAsia="ja-JP"/>
        </w:rPr>
        <w:t>QZS</w:t>
      </w:r>
      <w:r w:rsidRPr="00CE494B">
        <w:rPr>
          <w:lang w:val="en-US"/>
        </w:rPr>
        <w:t>S characteristics</w:t>
      </w:r>
    </w:p>
    <w:p w:rsidR="00CE494B" w:rsidRPr="00CE494B" w:rsidRDefault="00CE494B" w:rsidP="00CE494B">
      <w:pPr>
        <w:rPr>
          <w:lang w:val="en-US" w:eastAsia="ja-JP"/>
        </w:rPr>
      </w:pPr>
      <w:r w:rsidRPr="00CE494B">
        <w:rPr>
          <w:rFonts w:hint="eastAsia"/>
          <w:lang w:val="en-US" w:eastAsia="ja-JP"/>
        </w:rPr>
        <w:t xml:space="preserve">Characteristics of </w:t>
      </w:r>
      <w:r w:rsidRPr="00CE494B">
        <w:rPr>
          <w:lang w:val="en-US" w:eastAsia="ja-JP"/>
        </w:rPr>
        <w:t xml:space="preserve">QZSS </w:t>
      </w:r>
      <w:r w:rsidRPr="00CE494B">
        <w:rPr>
          <w:rFonts w:hint="eastAsia"/>
          <w:lang w:val="en-US" w:eastAsia="ja-JP"/>
        </w:rPr>
        <w:t>feeder-link receiving earth station operating in</w:t>
      </w:r>
      <w:r w:rsidRPr="00CE494B">
        <w:rPr>
          <w:lang w:val="en-US" w:eastAsia="ja-JP"/>
        </w:rPr>
        <w:t xml:space="preserve"> the </w:t>
      </w:r>
      <w:r w:rsidRPr="00CE494B">
        <w:rPr>
          <w:rFonts w:hint="eastAsia"/>
          <w:lang w:val="en-US" w:eastAsia="ja-JP"/>
        </w:rPr>
        <w:t xml:space="preserve">band </w:t>
      </w:r>
      <w:r w:rsidRPr="00CE494B">
        <w:rPr>
          <w:lang w:val="en-US" w:eastAsia="ja-JP"/>
        </w:rPr>
        <w:t>5 0</w:t>
      </w:r>
      <w:r w:rsidRPr="00CE494B">
        <w:rPr>
          <w:rFonts w:hint="eastAsia"/>
          <w:lang w:val="en-US" w:eastAsia="ja-JP"/>
        </w:rPr>
        <w:t>1</w:t>
      </w:r>
      <w:r w:rsidRPr="00CE494B">
        <w:rPr>
          <w:lang w:val="en-US" w:eastAsia="ja-JP"/>
        </w:rPr>
        <w:t>0-5 0</w:t>
      </w:r>
      <w:r w:rsidRPr="00CE494B">
        <w:rPr>
          <w:rFonts w:hint="eastAsia"/>
          <w:lang w:val="en-US" w:eastAsia="ja-JP"/>
        </w:rPr>
        <w:t>3</w:t>
      </w:r>
      <w:r w:rsidRPr="00CE494B">
        <w:rPr>
          <w:lang w:val="en-US" w:eastAsia="ja-JP"/>
        </w:rPr>
        <w:t>0 MHz</w:t>
      </w:r>
      <w:r w:rsidRPr="00CE494B">
        <w:rPr>
          <w:rFonts w:hint="eastAsia"/>
          <w:lang w:val="en-US" w:eastAsia="ja-JP"/>
        </w:rPr>
        <w:t xml:space="preserve"> are provided in Tables 3-1 and 3-2. Characteristics of </w:t>
      </w:r>
      <w:r w:rsidRPr="00CE494B">
        <w:rPr>
          <w:lang w:val="en-US" w:eastAsia="ja-JP"/>
        </w:rPr>
        <w:t xml:space="preserve">QZSS </w:t>
      </w:r>
      <w:r w:rsidRPr="00CE494B">
        <w:rPr>
          <w:rFonts w:hint="eastAsia"/>
          <w:lang w:val="en-US" w:eastAsia="ja-JP"/>
        </w:rPr>
        <w:t>feeder-link transmitting space station operating in</w:t>
      </w:r>
      <w:r w:rsidRPr="00CE494B">
        <w:rPr>
          <w:lang w:val="en-US" w:eastAsia="ja-JP"/>
        </w:rPr>
        <w:t xml:space="preserve"> the </w:t>
      </w:r>
      <w:r w:rsidRPr="00CE494B">
        <w:rPr>
          <w:rFonts w:hint="eastAsia"/>
          <w:lang w:val="en-US" w:eastAsia="ja-JP"/>
        </w:rPr>
        <w:t xml:space="preserve">band </w:t>
      </w:r>
      <w:r w:rsidRPr="00CE494B">
        <w:rPr>
          <w:lang w:val="en-US" w:eastAsia="ja-JP"/>
        </w:rPr>
        <w:t>5 0</w:t>
      </w:r>
      <w:r w:rsidRPr="00CE494B">
        <w:rPr>
          <w:rFonts w:hint="eastAsia"/>
          <w:lang w:val="en-US" w:eastAsia="ja-JP"/>
        </w:rPr>
        <w:t>1</w:t>
      </w:r>
      <w:r w:rsidRPr="00CE494B">
        <w:rPr>
          <w:lang w:val="en-US" w:eastAsia="ja-JP"/>
        </w:rPr>
        <w:t>0-5 0</w:t>
      </w:r>
      <w:r w:rsidRPr="00CE494B">
        <w:rPr>
          <w:rFonts w:hint="eastAsia"/>
          <w:lang w:val="en-US" w:eastAsia="ja-JP"/>
        </w:rPr>
        <w:t>3</w:t>
      </w:r>
      <w:r w:rsidRPr="00CE494B">
        <w:rPr>
          <w:lang w:val="en-US" w:eastAsia="ja-JP"/>
        </w:rPr>
        <w:t>0 MHz</w:t>
      </w:r>
      <w:r w:rsidRPr="00CE494B">
        <w:rPr>
          <w:rFonts w:hint="eastAsia"/>
          <w:lang w:val="en-US" w:eastAsia="ja-JP"/>
        </w:rPr>
        <w:t xml:space="preserve"> are provided in Tables 3-3 and 3-4.</w:t>
      </w:r>
    </w:p>
    <w:p w:rsidR="00CE494B" w:rsidRPr="00CE494B" w:rsidRDefault="00CE494B" w:rsidP="00CE494B">
      <w:pPr>
        <w:rPr>
          <w:lang w:val="en-US" w:eastAsia="ja-JP"/>
        </w:rPr>
      </w:pPr>
      <w:r w:rsidRPr="00CE494B">
        <w:rPr>
          <w:rFonts w:hint="eastAsia"/>
          <w:lang w:val="en-US" w:eastAsia="ja-JP"/>
        </w:rPr>
        <w:t xml:space="preserve">In order to avoid self-interference, a filtering technique will be implemented in QZSS satellites. </w:t>
      </w:r>
    </w:p>
    <w:p w:rsidR="00CE494B" w:rsidRPr="00CE494B" w:rsidRDefault="00CE494B" w:rsidP="00CE494B">
      <w:pPr>
        <w:rPr>
          <w:lang w:val="en-US" w:eastAsia="ja-JP"/>
        </w:rPr>
      </w:pPr>
      <w:r w:rsidRPr="00CE494B">
        <w:rPr>
          <w:rFonts w:hint="eastAsia"/>
          <w:lang w:val="en-US" w:eastAsia="ja-JP"/>
        </w:rPr>
        <w:t>The QZSS feeder downlink in the 5 010-5 030 MHz band includes telemetry and ranging functions.</w:t>
      </w:r>
    </w:p>
    <w:p w:rsidR="00CE494B" w:rsidRPr="00CE494B" w:rsidRDefault="00CE494B" w:rsidP="00CE494B">
      <w:pPr>
        <w:rPr>
          <w:lang w:val="en-US" w:eastAsia="ja-JP"/>
        </w:rPr>
      </w:pPr>
      <w:r w:rsidRPr="00CE494B">
        <w:rPr>
          <w:lang w:val="en-US" w:eastAsia="ja-JP"/>
        </w:rPr>
        <w:t xml:space="preserve">For evaluation of potential interference </w:t>
      </w:r>
      <w:r w:rsidRPr="00CE494B">
        <w:rPr>
          <w:rFonts w:hint="eastAsia"/>
          <w:lang w:val="en-US" w:eastAsia="ja-JP"/>
        </w:rPr>
        <w:t>in</w:t>
      </w:r>
      <w:r w:rsidRPr="00CE494B">
        <w:rPr>
          <w:lang w:val="en-US" w:eastAsia="ja-JP"/>
        </w:rPr>
        <w:t xml:space="preserve">to the QZSS </w:t>
      </w:r>
      <w:r w:rsidRPr="00CE494B">
        <w:rPr>
          <w:rFonts w:hint="eastAsia"/>
          <w:lang w:val="en-US" w:eastAsia="ja-JP"/>
        </w:rPr>
        <w:t>telemetry</w:t>
      </w:r>
      <w:r w:rsidRPr="00CE494B">
        <w:rPr>
          <w:lang w:val="en-US" w:eastAsia="ja-JP"/>
        </w:rPr>
        <w:t xml:space="preserve"> link</w:t>
      </w:r>
      <w:r w:rsidRPr="00CE494B">
        <w:rPr>
          <w:rFonts w:hint="eastAsia"/>
          <w:lang w:val="en-US" w:eastAsia="ja-JP"/>
        </w:rPr>
        <w:t xml:space="preserve">, the characteristics </w:t>
      </w:r>
      <w:r w:rsidRPr="00CE494B">
        <w:rPr>
          <w:lang w:val="en-US" w:eastAsia="ja-JP"/>
        </w:rPr>
        <w:t>in Tables </w:t>
      </w:r>
      <w:r w:rsidR="006F515F">
        <w:rPr>
          <w:lang w:val="en-US" w:eastAsia="ja-JP"/>
        </w:rPr>
        <w:t>3</w:t>
      </w:r>
      <w:r w:rsidR="006F515F">
        <w:rPr>
          <w:lang w:val="en-US" w:eastAsia="ja-JP"/>
        </w:rPr>
        <w:noBreakHyphen/>
      </w:r>
      <w:r w:rsidRPr="00CE494B">
        <w:rPr>
          <w:lang w:val="en-US" w:eastAsia="ja-JP"/>
        </w:rPr>
        <w:t>1</w:t>
      </w:r>
      <w:r w:rsidRPr="00CE494B">
        <w:rPr>
          <w:rFonts w:hint="eastAsia"/>
          <w:lang w:val="en-US" w:eastAsia="ja-JP"/>
        </w:rPr>
        <w:t>, 3-2, 3-3</w:t>
      </w:r>
      <w:r w:rsidRPr="00CE494B">
        <w:rPr>
          <w:lang w:val="en-US" w:eastAsia="ja-JP"/>
        </w:rPr>
        <w:t xml:space="preserve"> and 3-</w:t>
      </w:r>
      <w:r w:rsidRPr="00CE494B">
        <w:rPr>
          <w:rFonts w:hint="eastAsia"/>
          <w:lang w:val="en-US" w:eastAsia="ja-JP"/>
        </w:rPr>
        <w:t>4</w:t>
      </w:r>
      <w:r w:rsidRPr="00CE494B">
        <w:rPr>
          <w:lang w:val="en-US" w:eastAsia="ja-JP"/>
        </w:rPr>
        <w:t xml:space="preserve"> should be used.</w:t>
      </w:r>
    </w:p>
    <w:p w:rsidR="00CE494B" w:rsidRPr="00CE494B" w:rsidRDefault="00CE494B" w:rsidP="00EB6347">
      <w:pPr>
        <w:rPr>
          <w:lang w:val="en-US" w:eastAsia="ja-JP"/>
        </w:rPr>
      </w:pPr>
      <w:r w:rsidRPr="00CE494B">
        <w:rPr>
          <w:lang w:val="en-US" w:eastAsia="ja-JP"/>
        </w:rPr>
        <w:t xml:space="preserve">For evaluation of the ranging link, the characteristics and protection criteria should be exchanged in bilateral discussions as in the usual practice for satellite inter-system frequency coordination. This is </w:t>
      </w:r>
      <w:r w:rsidRPr="00CE494B">
        <w:rPr>
          <w:lang w:val="en-US" w:eastAsia="ja-JP"/>
        </w:rPr>
        <w:lastRenderedPageBreak/>
        <w:t xml:space="preserve">because proper assessment of any interference impact to the QZSS ranging link requires </w:t>
      </w:r>
      <w:r w:rsidRPr="00CE494B">
        <w:rPr>
          <w:rFonts w:hint="eastAsia"/>
          <w:lang w:val="en-US" w:eastAsia="ja-JP"/>
        </w:rPr>
        <w:t xml:space="preserve">an </w:t>
      </w:r>
      <w:r w:rsidRPr="00CE494B">
        <w:rPr>
          <w:lang w:val="en-US" w:eastAsia="ja-JP"/>
        </w:rPr>
        <w:t xml:space="preserve">overall </w:t>
      </w:r>
      <w:r w:rsidRPr="00CE494B">
        <w:rPr>
          <w:i/>
          <w:lang w:val="en-US" w:eastAsia="ja-JP"/>
        </w:rPr>
        <w:t>C/N</w:t>
      </w:r>
      <w:r w:rsidR="00EB6347" w:rsidRPr="00EB6347">
        <w:rPr>
          <w:iCs/>
          <w:vertAlign w:val="subscript"/>
          <w:lang w:val="en-US" w:eastAsia="ja-JP"/>
        </w:rPr>
        <w:t>0</w:t>
      </w:r>
      <w:r w:rsidRPr="00CE494B">
        <w:rPr>
          <w:lang w:val="en-US" w:eastAsia="ja-JP"/>
        </w:rPr>
        <w:t xml:space="preserve"> evaluation taking into account the uplink and downlink segments.</w:t>
      </w:r>
      <w:r w:rsidRPr="00CE494B">
        <w:rPr>
          <w:rFonts w:hint="eastAsia"/>
          <w:lang w:val="en-US" w:eastAsia="ja-JP"/>
        </w:rPr>
        <w:t xml:space="preserve"> </w:t>
      </w:r>
      <w:r w:rsidRPr="00CE494B">
        <w:rPr>
          <w:lang w:val="en-US" w:eastAsia="ja-JP"/>
        </w:rPr>
        <w:t>(It is not possible to evaluate the QZSS ranging link performance based only on interference to the</w:t>
      </w:r>
      <w:r w:rsidR="00631E1F">
        <w:rPr>
          <w:lang w:val="en-US" w:eastAsia="ja-JP"/>
        </w:rPr>
        <w:t xml:space="preserve"> </w:t>
      </w:r>
      <w:r w:rsidRPr="00CE494B">
        <w:rPr>
          <w:lang w:val="en-US" w:eastAsia="ja-JP"/>
        </w:rPr>
        <w:t xml:space="preserve">uplink.) </w:t>
      </w:r>
    </w:p>
    <w:p w:rsidR="00CE494B" w:rsidRPr="00CE494B" w:rsidRDefault="004C2445" w:rsidP="00CE494B">
      <w:pPr>
        <w:pStyle w:val="TableNo"/>
        <w:rPr>
          <w:lang w:val="en-US"/>
        </w:rPr>
      </w:pPr>
      <w:r>
        <w:rPr>
          <w:lang w:val="en-US"/>
        </w:rPr>
        <w:t>TABLE</w:t>
      </w:r>
      <w:r w:rsidR="00CE494B" w:rsidRPr="00CE494B">
        <w:rPr>
          <w:lang w:val="en-US"/>
        </w:rPr>
        <w:t xml:space="preserve"> </w:t>
      </w:r>
      <w:r w:rsidR="00CE494B" w:rsidRPr="00CE494B">
        <w:rPr>
          <w:lang w:val="en-US" w:eastAsia="ja-JP"/>
        </w:rPr>
        <w:t>3</w:t>
      </w:r>
      <w:r w:rsidR="00CE494B" w:rsidRPr="00CE494B">
        <w:rPr>
          <w:lang w:val="en-US"/>
        </w:rPr>
        <w:t>-1</w:t>
      </w:r>
    </w:p>
    <w:p w:rsidR="00CE494B" w:rsidRPr="00CE494B" w:rsidRDefault="00CE494B" w:rsidP="008B603D">
      <w:pPr>
        <w:pStyle w:val="Tabletitle"/>
        <w:rPr>
          <w:lang w:val="en-US" w:eastAsia="ja-JP"/>
        </w:rPr>
      </w:pPr>
      <w:r w:rsidRPr="00CE494B">
        <w:rPr>
          <w:lang w:val="en-US"/>
        </w:rPr>
        <w:t xml:space="preserve">Characteristics of </w:t>
      </w:r>
      <w:r w:rsidRPr="00CE494B">
        <w:rPr>
          <w:lang w:val="en-US" w:eastAsia="ja-JP"/>
        </w:rPr>
        <w:t>QZS</w:t>
      </w:r>
      <w:r w:rsidRPr="00CE494B">
        <w:rPr>
          <w:lang w:val="en-US"/>
        </w:rPr>
        <w:t xml:space="preserve">S </w:t>
      </w:r>
      <w:r w:rsidRPr="00CE494B">
        <w:rPr>
          <w:lang w:val="en-US" w:eastAsia="ja-JP"/>
        </w:rPr>
        <w:t xml:space="preserve">feeder-link </w:t>
      </w:r>
      <w:r w:rsidRPr="00CE494B">
        <w:rPr>
          <w:lang w:val="en-US"/>
        </w:rPr>
        <w:t>receiving earth stations</w:t>
      </w:r>
      <w:r w:rsidRPr="00CE494B">
        <w:rPr>
          <w:rFonts w:hint="eastAsia"/>
          <w:lang w:val="en-US" w:eastAsia="ja-JP"/>
        </w:rPr>
        <w:t xml:space="preserve"> </w:t>
      </w:r>
      <w:r w:rsidR="008B603D">
        <w:rPr>
          <w:lang w:val="en-US" w:eastAsia="ja-JP"/>
        </w:rPr>
        <w:br/>
      </w:r>
      <w:r w:rsidRPr="00CE494B">
        <w:rPr>
          <w:rFonts w:hint="eastAsia"/>
          <w:lang w:val="en-US" w:eastAsia="ja-JP"/>
        </w:rPr>
        <w:t xml:space="preserve">(for </w:t>
      </w:r>
      <w:r w:rsidRPr="00CE494B">
        <w:rPr>
          <w:lang w:val="en-US" w:eastAsia="ja-JP"/>
        </w:rPr>
        <w:t xml:space="preserve">the first </w:t>
      </w:r>
      <w:r w:rsidRPr="00ED14C2">
        <w:rPr>
          <w:rFonts w:hint="eastAsia"/>
          <w:lang w:val="en-US" w:eastAsia="ja-JP"/>
        </w:rPr>
        <w:t>QZSS</w:t>
      </w:r>
      <w:r w:rsidRPr="00EE509F">
        <w:rPr>
          <w:rFonts w:hint="eastAsia"/>
          <w:b w:val="0"/>
          <w:bCs/>
          <w:lang w:val="en-US" w:eastAsia="ja-JP"/>
        </w:rPr>
        <w:t xml:space="preserve"> </w:t>
      </w:r>
      <w:r w:rsidRPr="00CE494B">
        <w:rPr>
          <w:lang w:val="en-US" w:eastAsia="ja-JP"/>
        </w:rPr>
        <w:t>s</w:t>
      </w:r>
      <w:r w:rsidRPr="00CE494B">
        <w:rPr>
          <w:rFonts w:hint="eastAsia"/>
          <w:lang w:val="en-US" w:eastAsia="ja-JP"/>
        </w:rPr>
        <w:t>atellite)</w:t>
      </w:r>
      <w:r w:rsidRPr="00CE494B">
        <w:rPr>
          <w:lang w:val="en-US"/>
        </w:rPr>
        <w:t xml:space="preserve"> </w:t>
      </w:r>
      <w:r w:rsidRPr="00CE494B">
        <w:rPr>
          <w:lang w:val="en-US" w:eastAsia="ja-JP"/>
        </w:rPr>
        <w:t xml:space="preserve">operating </w:t>
      </w:r>
      <w:r w:rsidRPr="00CE494B">
        <w:rPr>
          <w:lang w:val="en-US"/>
        </w:rPr>
        <w:t>in the</w:t>
      </w:r>
      <w:r w:rsidRPr="00CE494B">
        <w:rPr>
          <w:lang w:val="en-US" w:eastAsia="ja-JP"/>
        </w:rPr>
        <w:t xml:space="preserve"> band </w:t>
      </w:r>
      <w:r w:rsidRPr="00CE494B">
        <w:rPr>
          <w:lang w:val="en-US"/>
        </w:rPr>
        <w:t>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552"/>
      </w:tblGrid>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CE494B" w:rsidRPr="000C15D8" w:rsidRDefault="00CE494B" w:rsidP="006345E3">
            <w:pPr>
              <w:pStyle w:val="Tablehead"/>
            </w:pPr>
            <w:r w:rsidRPr="000C15D8">
              <w:t>Parameter</w:t>
            </w:r>
          </w:p>
        </w:tc>
        <w:tc>
          <w:tcPr>
            <w:tcW w:w="2552" w:type="dxa"/>
            <w:tcBorders>
              <w:top w:val="single" w:sz="4" w:space="0" w:color="auto"/>
              <w:left w:val="single" w:sz="4" w:space="0" w:color="auto"/>
              <w:bottom w:val="single" w:sz="4" w:space="0" w:color="auto"/>
              <w:right w:val="single" w:sz="4" w:space="0" w:color="auto"/>
            </w:tcBorders>
            <w:vAlign w:val="center"/>
            <w:hideMark/>
          </w:tcPr>
          <w:p w:rsidR="00CE494B" w:rsidRPr="000C15D8" w:rsidRDefault="00CE494B" w:rsidP="006345E3">
            <w:pPr>
              <w:pStyle w:val="Tablehead"/>
            </w:pPr>
            <w:r w:rsidRPr="000C15D8">
              <w:t>Parameter value</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 xml:space="preserve">Antenna </w:t>
            </w:r>
            <w:r w:rsidRPr="000C15D8">
              <w:rPr>
                <w:lang w:eastAsia="ja-JP"/>
              </w:rPr>
              <w:t xml:space="preserve">pattern </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Rec. ITU-R S.465-5</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rPr>
                <w:lang w:eastAsia="ja-JP"/>
              </w:rPr>
              <w:t>Maximum a</w:t>
            </w:r>
            <w:r w:rsidRPr="000C15D8">
              <w:t>ntenna gain (dBi)</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49.0</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lang w:eastAsia="ja-JP"/>
              </w:rPr>
              <w:t>Necessary bandwidth (kHz)</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400</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lang w:eastAsia="ja-JP"/>
              </w:rPr>
              <w:t>Noise temperature (K)</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150</w:t>
            </w:r>
          </w:p>
        </w:tc>
      </w:tr>
      <w:tr w:rsidR="00CE494B" w:rsidRPr="001A02C5" w:rsidTr="006345E3">
        <w:trPr>
          <w:jc w:val="center"/>
        </w:trPr>
        <w:tc>
          <w:tcPr>
            <w:tcW w:w="6379" w:type="dxa"/>
            <w:gridSpan w:val="2"/>
            <w:tcBorders>
              <w:top w:val="single" w:sz="4" w:space="0" w:color="auto"/>
              <w:left w:val="nil"/>
              <w:bottom w:val="nil"/>
              <w:right w:val="nil"/>
            </w:tcBorders>
            <w:hideMark/>
          </w:tcPr>
          <w:p w:rsidR="00CE494B" w:rsidRPr="00A60CFE" w:rsidRDefault="00CE494B" w:rsidP="00ED14C2">
            <w:pPr>
              <w:pStyle w:val="Tabletext"/>
              <w:rPr>
                <w:lang w:val="en-US" w:eastAsia="ja-JP"/>
              </w:rPr>
            </w:pPr>
            <w:r w:rsidRPr="00A60CFE">
              <w:rPr>
                <w:lang w:val="en-US"/>
              </w:rPr>
              <w:t xml:space="preserve">NOTE 1 – </w:t>
            </w:r>
            <w:r w:rsidRPr="00A60CFE">
              <w:rPr>
                <w:lang w:val="en-US" w:eastAsia="ja-JP"/>
              </w:rPr>
              <w:t>Tables 3-1 and 3-</w:t>
            </w:r>
            <w:r w:rsidRPr="00A60CFE">
              <w:rPr>
                <w:rFonts w:hint="eastAsia"/>
                <w:lang w:val="en-US" w:eastAsia="ja-JP"/>
              </w:rPr>
              <w:t>3</w:t>
            </w:r>
            <w:r w:rsidRPr="00A60CFE">
              <w:rPr>
                <w:lang w:val="en-US" w:eastAsia="ja-JP"/>
              </w:rPr>
              <w:t xml:space="preserve"> only contain the characteristics of the QZSS telemetry link. The paragraph preceding Table 3-1 should be referenced regarding the characteristics and protection criteria of the QZSS ranging link.</w:t>
            </w:r>
          </w:p>
          <w:p w:rsidR="00CE494B" w:rsidRPr="00A60CFE" w:rsidRDefault="00CE494B" w:rsidP="00ED14C2">
            <w:pPr>
              <w:pStyle w:val="Tabletext"/>
              <w:rPr>
                <w:lang w:val="en-US"/>
              </w:rPr>
            </w:pPr>
            <w:r w:rsidRPr="00A60CFE">
              <w:rPr>
                <w:lang w:val="en-US" w:eastAsia="ja-JP"/>
              </w:rPr>
              <w:t xml:space="preserve">NOTE 2 – The characteristics in Table 3-1 can be used to perform the </w:t>
            </w:r>
            <w:r w:rsidRPr="00A60CFE">
              <w:rPr>
                <w:lang w:val="en-US"/>
              </w:rPr>
              <w:t>preliminary studies mentioned in the paragraph following</w:t>
            </w:r>
            <w:r w:rsidRPr="00A60CFE">
              <w:rPr>
                <w:lang w:val="en-US" w:eastAsia="ja-JP"/>
              </w:rPr>
              <w:t xml:space="preserve"> Table 3-</w:t>
            </w:r>
            <w:r w:rsidRPr="00A60CFE">
              <w:rPr>
                <w:rFonts w:hint="eastAsia"/>
                <w:lang w:val="en-US" w:eastAsia="ja-JP"/>
              </w:rPr>
              <w:t>2</w:t>
            </w:r>
            <w:r w:rsidRPr="00A60CFE">
              <w:rPr>
                <w:lang w:val="en-US" w:eastAsia="ja-JP"/>
              </w:rPr>
              <w:t>.</w:t>
            </w:r>
          </w:p>
        </w:tc>
      </w:tr>
    </w:tbl>
    <w:p w:rsidR="00CE494B" w:rsidRPr="00CE494B" w:rsidRDefault="00CE494B" w:rsidP="004C2445">
      <w:pPr>
        <w:pStyle w:val="TableNo"/>
        <w:rPr>
          <w:lang w:val="en-US" w:eastAsia="ja-JP"/>
        </w:rPr>
      </w:pPr>
      <w:r w:rsidRPr="00CE494B">
        <w:rPr>
          <w:lang w:val="en-US"/>
        </w:rPr>
        <w:t>T</w:t>
      </w:r>
      <w:r w:rsidR="004C2445">
        <w:rPr>
          <w:lang w:val="en-US"/>
        </w:rPr>
        <w:t>ABLE</w:t>
      </w:r>
      <w:r w:rsidRPr="00CE494B">
        <w:rPr>
          <w:lang w:val="en-US"/>
        </w:rPr>
        <w:t xml:space="preserve"> </w:t>
      </w:r>
      <w:r w:rsidRPr="00CE494B">
        <w:rPr>
          <w:lang w:val="en-US" w:eastAsia="ja-JP"/>
        </w:rPr>
        <w:t>3</w:t>
      </w:r>
      <w:r w:rsidRPr="00CE494B">
        <w:rPr>
          <w:lang w:val="en-US"/>
        </w:rPr>
        <w:t>-</w:t>
      </w:r>
      <w:r w:rsidRPr="00CE494B">
        <w:rPr>
          <w:rFonts w:hint="eastAsia"/>
          <w:lang w:val="en-US" w:eastAsia="ja-JP"/>
        </w:rPr>
        <w:t>2</w:t>
      </w:r>
    </w:p>
    <w:p w:rsidR="00CE494B" w:rsidRPr="00CE494B" w:rsidRDefault="00CE494B" w:rsidP="008B603D">
      <w:pPr>
        <w:pStyle w:val="Tabletitle"/>
        <w:rPr>
          <w:lang w:val="en-US" w:eastAsia="ja-JP"/>
        </w:rPr>
      </w:pPr>
      <w:r w:rsidRPr="00CE494B">
        <w:rPr>
          <w:lang w:val="en-US"/>
        </w:rPr>
        <w:t xml:space="preserve">Characteristics of </w:t>
      </w:r>
      <w:r w:rsidRPr="00CE494B">
        <w:rPr>
          <w:lang w:val="en-US" w:eastAsia="ja-JP"/>
        </w:rPr>
        <w:t>QZS</w:t>
      </w:r>
      <w:r w:rsidRPr="00CE494B">
        <w:rPr>
          <w:lang w:val="en-US"/>
        </w:rPr>
        <w:t xml:space="preserve">S </w:t>
      </w:r>
      <w:r w:rsidRPr="00CE494B">
        <w:rPr>
          <w:lang w:val="en-US" w:eastAsia="ja-JP"/>
        </w:rPr>
        <w:t xml:space="preserve">feeder-link </w:t>
      </w:r>
      <w:r w:rsidRPr="00CE494B">
        <w:rPr>
          <w:lang w:val="en-US"/>
        </w:rPr>
        <w:t xml:space="preserve">receiving earth stations </w:t>
      </w:r>
      <w:r w:rsidR="008B603D">
        <w:rPr>
          <w:lang w:val="en-US"/>
        </w:rPr>
        <w:br/>
      </w:r>
      <w:r w:rsidRPr="00CE494B">
        <w:rPr>
          <w:rFonts w:hint="eastAsia"/>
          <w:lang w:val="en-US" w:eastAsia="ja-JP"/>
        </w:rPr>
        <w:t>(</w:t>
      </w:r>
      <w:r w:rsidRPr="00CE494B">
        <w:rPr>
          <w:lang w:val="en-US" w:eastAsia="ja-JP"/>
        </w:rPr>
        <w:t>for subsequent satellites</w:t>
      </w:r>
      <w:r w:rsidRPr="00CE494B">
        <w:rPr>
          <w:rFonts w:hint="eastAsia"/>
          <w:lang w:val="en-US" w:eastAsia="ja-JP"/>
        </w:rPr>
        <w:t>)</w:t>
      </w:r>
      <w:r w:rsidR="008B603D">
        <w:rPr>
          <w:lang w:val="en-US" w:eastAsia="ja-JP"/>
        </w:rPr>
        <w:t xml:space="preserve"> </w:t>
      </w:r>
      <w:r w:rsidRPr="00CE494B">
        <w:rPr>
          <w:lang w:val="en-US" w:eastAsia="ja-JP"/>
        </w:rPr>
        <w:t xml:space="preserve">operating </w:t>
      </w:r>
      <w:r w:rsidRPr="00CE494B">
        <w:rPr>
          <w:lang w:val="en-US"/>
        </w:rPr>
        <w:t>in the</w:t>
      </w:r>
      <w:r w:rsidRPr="00CE494B">
        <w:rPr>
          <w:lang w:val="en-US" w:eastAsia="ja-JP"/>
        </w:rPr>
        <w:t xml:space="preserve"> band </w:t>
      </w:r>
      <w:r w:rsidRPr="00CE494B">
        <w:rPr>
          <w:lang w:val="en-US"/>
        </w:rPr>
        <w:t>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552"/>
      </w:tblGrid>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CE494B" w:rsidRPr="000C15D8" w:rsidRDefault="00CE494B" w:rsidP="006345E3">
            <w:pPr>
              <w:pStyle w:val="Tablehead"/>
            </w:pPr>
            <w:r w:rsidRPr="000C15D8">
              <w:t>Parameter</w:t>
            </w:r>
          </w:p>
        </w:tc>
        <w:tc>
          <w:tcPr>
            <w:tcW w:w="2552" w:type="dxa"/>
            <w:tcBorders>
              <w:top w:val="single" w:sz="4" w:space="0" w:color="auto"/>
              <w:left w:val="single" w:sz="4" w:space="0" w:color="auto"/>
              <w:bottom w:val="single" w:sz="4" w:space="0" w:color="auto"/>
              <w:right w:val="single" w:sz="4" w:space="0" w:color="auto"/>
            </w:tcBorders>
            <w:vAlign w:val="center"/>
            <w:hideMark/>
          </w:tcPr>
          <w:p w:rsidR="00CE494B" w:rsidRPr="000C15D8" w:rsidRDefault="00CE494B" w:rsidP="006345E3">
            <w:pPr>
              <w:pStyle w:val="Tablehead"/>
            </w:pPr>
            <w:r w:rsidRPr="000C15D8">
              <w:t>Parameter value</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 xml:space="preserve">Antenna </w:t>
            </w:r>
            <w:r w:rsidRPr="000C15D8">
              <w:rPr>
                <w:lang w:eastAsia="ja-JP"/>
              </w:rPr>
              <w:t xml:space="preserve">pattern </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Rec. ITU-R S.465-5</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rPr>
                <w:lang w:eastAsia="ja-JP"/>
              </w:rPr>
              <w:t>Maximum a</w:t>
            </w:r>
            <w:r w:rsidRPr="000C15D8">
              <w:t>ntenna gain (dBi)</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rFonts w:hint="eastAsia"/>
                <w:lang w:eastAsia="ja-JP"/>
              </w:rPr>
              <w:t>51.0</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lang w:eastAsia="ja-JP"/>
              </w:rPr>
              <w:t>Necessary bandwidth (kHz)</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rFonts w:hint="eastAsia"/>
                <w:lang w:eastAsia="ja-JP"/>
              </w:rPr>
              <w:t>10 000</w:t>
            </w:r>
          </w:p>
        </w:tc>
      </w:tr>
      <w:tr w:rsidR="00CE494B" w:rsidRPr="000C15D8" w:rsidTr="006345E3">
        <w:trPr>
          <w:jc w:val="center"/>
        </w:trPr>
        <w:tc>
          <w:tcPr>
            <w:tcW w:w="3827"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lang w:eastAsia="ja-JP"/>
              </w:rPr>
              <w:t>Noise temperature (K)</w:t>
            </w:r>
          </w:p>
        </w:tc>
        <w:tc>
          <w:tcPr>
            <w:tcW w:w="255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jc w:val="center"/>
              <w:rPr>
                <w:lang w:eastAsia="ja-JP"/>
              </w:rPr>
            </w:pPr>
            <w:r w:rsidRPr="000C15D8">
              <w:rPr>
                <w:lang w:eastAsia="ja-JP"/>
              </w:rPr>
              <w:t>150</w:t>
            </w:r>
          </w:p>
        </w:tc>
      </w:tr>
      <w:tr w:rsidR="00CE494B" w:rsidRPr="001A02C5" w:rsidTr="006345E3">
        <w:trPr>
          <w:jc w:val="center"/>
        </w:trPr>
        <w:tc>
          <w:tcPr>
            <w:tcW w:w="6379" w:type="dxa"/>
            <w:gridSpan w:val="2"/>
            <w:tcBorders>
              <w:top w:val="single" w:sz="4" w:space="0" w:color="auto"/>
              <w:left w:val="nil"/>
              <w:bottom w:val="nil"/>
              <w:right w:val="nil"/>
            </w:tcBorders>
            <w:hideMark/>
          </w:tcPr>
          <w:p w:rsidR="00CE494B" w:rsidRPr="00A60CFE" w:rsidRDefault="00CE494B" w:rsidP="00ED14C2">
            <w:pPr>
              <w:pStyle w:val="Tabletext"/>
              <w:rPr>
                <w:lang w:val="en-US" w:eastAsia="ja-JP"/>
              </w:rPr>
            </w:pPr>
            <w:r w:rsidRPr="00A60CFE">
              <w:rPr>
                <w:lang w:val="en-US"/>
              </w:rPr>
              <w:t>NOTE 1 – Tables 3-</w:t>
            </w:r>
            <w:r w:rsidRPr="00A60CFE">
              <w:rPr>
                <w:rFonts w:hint="eastAsia"/>
                <w:lang w:val="en-US" w:eastAsia="ja-JP"/>
              </w:rPr>
              <w:t>2</w:t>
            </w:r>
            <w:r w:rsidRPr="00A60CFE">
              <w:rPr>
                <w:lang w:val="en-US"/>
              </w:rPr>
              <w:t xml:space="preserve"> and 3-</w:t>
            </w:r>
            <w:r w:rsidRPr="00A60CFE">
              <w:rPr>
                <w:rFonts w:hint="eastAsia"/>
                <w:lang w:val="en-US" w:eastAsia="ja-JP"/>
              </w:rPr>
              <w:t>4</w:t>
            </w:r>
            <w:r w:rsidRPr="00A60CFE">
              <w:rPr>
                <w:lang w:val="en-US"/>
              </w:rPr>
              <w:t xml:space="preserve"> only contain the characteristics of the QZSS telemetry link. </w:t>
            </w:r>
            <w:r w:rsidRPr="00A60CFE">
              <w:rPr>
                <w:lang w:val="en-US" w:eastAsia="ja-JP"/>
              </w:rPr>
              <w:t>The paragraph preceding Table 3-1 should be referenced regarding the characteristics and protection criteria of the QZSS ranging link.</w:t>
            </w:r>
          </w:p>
          <w:p w:rsidR="00CE494B" w:rsidRPr="00A60CFE" w:rsidRDefault="00CE494B" w:rsidP="00ED14C2">
            <w:pPr>
              <w:pStyle w:val="Tabletext"/>
              <w:rPr>
                <w:lang w:val="en-US"/>
              </w:rPr>
            </w:pPr>
            <w:r w:rsidRPr="00A60CFE">
              <w:rPr>
                <w:lang w:val="en-US" w:eastAsia="ja-JP"/>
              </w:rPr>
              <w:t>NOTE 2 – The characteristics in Table 3-</w:t>
            </w:r>
            <w:r w:rsidRPr="00A60CFE">
              <w:rPr>
                <w:rFonts w:hint="eastAsia"/>
                <w:lang w:val="en-US" w:eastAsia="ja-JP"/>
              </w:rPr>
              <w:t>2</w:t>
            </w:r>
            <w:r w:rsidRPr="00A60CFE">
              <w:rPr>
                <w:lang w:val="en-US" w:eastAsia="ja-JP"/>
              </w:rPr>
              <w:t xml:space="preserve"> can be used to perform the </w:t>
            </w:r>
            <w:r w:rsidRPr="00A60CFE">
              <w:rPr>
                <w:lang w:val="en-US"/>
              </w:rPr>
              <w:t>preliminary studies mentioned in the paragraph following</w:t>
            </w:r>
            <w:r w:rsidRPr="00A60CFE">
              <w:rPr>
                <w:lang w:val="en-US" w:eastAsia="ja-JP"/>
              </w:rPr>
              <w:t xml:space="preserve"> Table 3-</w:t>
            </w:r>
            <w:r w:rsidRPr="00A60CFE">
              <w:rPr>
                <w:rFonts w:hint="eastAsia"/>
                <w:lang w:val="en-US" w:eastAsia="ja-JP"/>
              </w:rPr>
              <w:t>2</w:t>
            </w:r>
            <w:r w:rsidRPr="00A60CFE">
              <w:rPr>
                <w:lang w:val="en-US" w:eastAsia="ja-JP"/>
              </w:rPr>
              <w:t>.</w:t>
            </w:r>
          </w:p>
        </w:tc>
      </w:tr>
    </w:tbl>
    <w:p w:rsidR="00CE494B" w:rsidRPr="001025B1" w:rsidRDefault="00CE494B" w:rsidP="00CE494B">
      <w:pPr>
        <w:pStyle w:val="Tablefin"/>
      </w:pPr>
    </w:p>
    <w:p w:rsidR="00A679CD" w:rsidRPr="00635563" w:rsidRDefault="00CE494B" w:rsidP="00863A9D">
      <w:pPr>
        <w:rPr>
          <w:lang w:val="en-US"/>
        </w:rPr>
      </w:pPr>
      <w:r w:rsidRPr="00CE494B">
        <w:rPr>
          <w:color w:val="0D0D0D" w:themeColor="text1" w:themeTint="F2"/>
          <w:lang w:val="en-US"/>
        </w:rPr>
        <w:t xml:space="preserve">In countries where RNSS feeder downlink earth stations are deployed, national arrangements are likely to be required within national borders, by administrations wishing to also deploy terrestrial systems in these bands. If an administration wishes to ensure the protection of the receiving RNSS feeder downlink </w:t>
      </w:r>
      <w:r w:rsidRPr="00CE494B">
        <w:rPr>
          <w:lang w:val="en-US"/>
        </w:rPr>
        <w:t>earth station located in its territory from the transmitting</w:t>
      </w:r>
      <w:r w:rsidRPr="00CE494B">
        <w:rPr>
          <w:color w:val="000000"/>
          <w:lang w:val="en-US"/>
        </w:rPr>
        <w:t xml:space="preserve"> terrestrial station located in the adjacent countries, specific earth stations located at the edge of the territory should be registered to the ITU through the coordination and notification procedure under the provisions of RR Articles</w:t>
      </w:r>
      <w:r w:rsidR="00863A9D">
        <w:rPr>
          <w:color w:val="000000"/>
          <w:lang w:val="en-US"/>
        </w:rPr>
        <w:t> </w:t>
      </w:r>
      <w:r w:rsidRPr="00CE494B">
        <w:rPr>
          <w:b/>
          <w:bCs/>
          <w:color w:val="000000"/>
          <w:lang w:val="en-US"/>
        </w:rPr>
        <w:t>9</w:t>
      </w:r>
      <w:r w:rsidRPr="00CE494B">
        <w:rPr>
          <w:color w:val="000000"/>
          <w:lang w:val="en-US"/>
        </w:rPr>
        <w:t xml:space="preserve"> and </w:t>
      </w:r>
      <w:r w:rsidRPr="00CE494B">
        <w:rPr>
          <w:b/>
          <w:bCs/>
          <w:color w:val="000000"/>
          <w:lang w:val="en-US"/>
        </w:rPr>
        <w:t>11</w:t>
      </w:r>
      <w:r w:rsidRPr="00CE494B">
        <w:rPr>
          <w:color w:val="000000"/>
          <w:lang w:val="en-US"/>
        </w:rPr>
        <w:t>.</w:t>
      </w:r>
      <w:r w:rsidRPr="00CE494B">
        <w:rPr>
          <w:lang w:val="en-US"/>
        </w:rPr>
        <w:t xml:space="preserve"> If preliminary studies show that the aggregate interference in the receiver bandwidth of the feeder link, from all radio sources of primary services in the band other than in the RNSS, exceeds 6% of the RNSS feeder link receiver system noise temperature, referred to the output terminals of the receiving antenna, further studies should be performed to determine the potential for inter-system compatibility.</w:t>
      </w:r>
    </w:p>
    <w:p w:rsidR="00CE494B" w:rsidRPr="00635563" w:rsidRDefault="004C2445" w:rsidP="00CE494B">
      <w:pPr>
        <w:pStyle w:val="TableNo"/>
        <w:rPr>
          <w:lang w:val="en-US" w:eastAsia="ja-JP"/>
        </w:rPr>
      </w:pPr>
      <w:r>
        <w:rPr>
          <w:lang w:val="en-US"/>
        </w:rPr>
        <w:lastRenderedPageBreak/>
        <w:t>TABLE</w:t>
      </w:r>
      <w:r w:rsidR="00CE494B" w:rsidRPr="00635563">
        <w:rPr>
          <w:lang w:val="en-US"/>
        </w:rPr>
        <w:t xml:space="preserve"> 3-</w:t>
      </w:r>
      <w:r w:rsidR="00CE494B" w:rsidRPr="00635563">
        <w:rPr>
          <w:rFonts w:hint="eastAsia"/>
          <w:lang w:val="en-US" w:eastAsia="ja-JP"/>
        </w:rPr>
        <w:t>3</w:t>
      </w:r>
    </w:p>
    <w:p w:rsidR="00CE494B" w:rsidRPr="00CE494B" w:rsidRDefault="00CE494B" w:rsidP="002037D9">
      <w:pPr>
        <w:pStyle w:val="Tabletitle"/>
        <w:rPr>
          <w:lang w:val="en-US"/>
        </w:rPr>
      </w:pPr>
      <w:r w:rsidRPr="00CE494B">
        <w:rPr>
          <w:lang w:val="en-US"/>
        </w:rPr>
        <w:t xml:space="preserve">Characteristics of QZSS feeder-link transmitting space stations </w:t>
      </w:r>
      <w:r w:rsidR="002037D9">
        <w:rPr>
          <w:lang w:val="en-US"/>
        </w:rPr>
        <w:br/>
      </w:r>
      <w:r w:rsidRPr="00CE494B">
        <w:rPr>
          <w:rFonts w:hint="eastAsia"/>
          <w:lang w:val="en-US" w:eastAsia="ja-JP"/>
        </w:rPr>
        <w:t xml:space="preserve">(for </w:t>
      </w:r>
      <w:r w:rsidRPr="00CE494B">
        <w:rPr>
          <w:lang w:val="en-US" w:eastAsia="ja-JP"/>
        </w:rPr>
        <w:t xml:space="preserve">the first </w:t>
      </w:r>
      <w:r w:rsidRPr="00ED14C2">
        <w:rPr>
          <w:rFonts w:hint="eastAsia"/>
          <w:lang w:val="en-US" w:eastAsia="ja-JP"/>
        </w:rPr>
        <w:t>QZSS</w:t>
      </w:r>
      <w:r w:rsidRPr="00EE509F">
        <w:rPr>
          <w:rFonts w:hint="eastAsia"/>
          <w:b w:val="0"/>
          <w:bCs/>
          <w:lang w:val="en-US" w:eastAsia="ja-JP"/>
        </w:rPr>
        <w:t xml:space="preserve"> </w:t>
      </w:r>
      <w:r w:rsidRPr="00CE494B">
        <w:rPr>
          <w:lang w:val="en-US" w:eastAsia="ja-JP"/>
        </w:rPr>
        <w:t>satellite</w:t>
      </w:r>
      <w:r w:rsidRPr="00CE494B">
        <w:rPr>
          <w:rFonts w:hint="eastAsia"/>
          <w:lang w:val="en-US" w:eastAsia="ja-JP"/>
        </w:rPr>
        <w:t>)</w:t>
      </w:r>
      <w:r w:rsidR="002037D9">
        <w:rPr>
          <w:lang w:val="en-US" w:eastAsia="ja-JP"/>
        </w:rPr>
        <w:t xml:space="preserve"> </w:t>
      </w:r>
      <w:r w:rsidRPr="00CE494B">
        <w:rPr>
          <w:lang w:val="en-US"/>
        </w:rPr>
        <w:t>operating in the band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3402"/>
      </w:tblGrid>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head"/>
            </w:pPr>
            <w:r w:rsidRPr="000C15D8">
              <w:t>Parameter</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head"/>
            </w:pPr>
            <w:r w:rsidRPr="000C15D8">
              <w:t>Parameter value</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Antenna pattern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Global beam</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Polarization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RHCP</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val="sv-SE"/>
              </w:rPr>
            </w:pPr>
            <w:r w:rsidRPr="000C15D8">
              <w:rPr>
                <w:rFonts w:hint="eastAsia"/>
                <w:lang w:val="sv-SE" w:eastAsia="ja-JP"/>
              </w:rPr>
              <w:t>Minimum t</w:t>
            </w:r>
            <w:r w:rsidRPr="000C15D8">
              <w:rPr>
                <w:lang w:val="sv-SE"/>
              </w:rPr>
              <w:t>ransmit e.i.r.p. (dBW)</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t>9.8</w:t>
            </w:r>
            <w:r w:rsidRPr="000C15D8">
              <w:rPr>
                <w:rFonts w:hint="eastAsia"/>
                <w:lang w:eastAsia="ja-JP"/>
              </w:rPr>
              <w:t xml:space="preserve"> </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Modulation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t>PCM-PSK/PM</w:t>
            </w:r>
          </w:p>
        </w:tc>
      </w:tr>
      <w:tr w:rsidR="00CE494B" w:rsidRPr="001A02C5" w:rsidTr="006345E3">
        <w:trPr>
          <w:cantSplit/>
          <w:jc w:val="center"/>
        </w:trPr>
        <w:tc>
          <w:tcPr>
            <w:tcW w:w="6521" w:type="dxa"/>
            <w:gridSpan w:val="2"/>
            <w:tcBorders>
              <w:top w:val="single" w:sz="4" w:space="0" w:color="auto"/>
              <w:left w:val="nil"/>
              <w:bottom w:val="nil"/>
              <w:right w:val="nil"/>
            </w:tcBorders>
          </w:tcPr>
          <w:p w:rsidR="00CE494B" w:rsidRPr="00A60CFE" w:rsidRDefault="00CE494B" w:rsidP="00ED14C2">
            <w:pPr>
              <w:pStyle w:val="Tabletext"/>
              <w:rPr>
                <w:lang w:val="en-US" w:eastAsia="ja-JP"/>
              </w:rPr>
            </w:pPr>
            <w:r w:rsidRPr="00A60CFE">
              <w:rPr>
                <w:rFonts w:hint="eastAsia"/>
                <w:lang w:val="en-US" w:eastAsia="ja-JP"/>
              </w:rPr>
              <w:t>RHCP: Right</w:t>
            </w:r>
            <w:r w:rsidRPr="00A60CFE">
              <w:rPr>
                <w:lang w:val="en-US" w:eastAsia="ja-JP"/>
              </w:rPr>
              <w:t>-</w:t>
            </w:r>
            <w:r w:rsidRPr="00A60CFE">
              <w:rPr>
                <w:rFonts w:hint="eastAsia"/>
                <w:lang w:val="en-US"/>
              </w:rPr>
              <w:t>hand</w:t>
            </w:r>
            <w:r w:rsidRPr="00A60CFE">
              <w:rPr>
                <w:rFonts w:hint="eastAsia"/>
                <w:lang w:val="en-US" w:eastAsia="ja-JP"/>
              </w:rPr>
              <w:t xml:space="preserve"> circular polarization</w:t>
            </w:r>
          </w:p>
        </w:tc>
      </w:tr>
    </w:tbl>
    <w:p w:rsidR="00CE494B" w:rsidRDefault="00CE494B" w:rsidP="00CE494B">
      <w:pPr>
        <w:pStyle w:val="Tablefin"/>
        <w:rPr>
          <w:lang w:eastAsia="ja-JP"/>
        </w:rPr>
      </w:pPr>
    </w:p>
    <w:p w:rsidR="00CE494B" w:rsidRPr="00CE494B" w:rsidRDefault="004C2445" w:rsidP="00CE494B">
      <w:pPr>
        <w:pStyle w:val="TableNo"/>
        <w:rPr>
          <w:lang w:val="en-US" w:eastAsia="ja-JP"/>
        </w:rPr>
      </w:pPr>
      <w:r>
        <w:rPr>
          <w:lang w:val="en-US"/>
        </w:rPr>
        <w:t>TABLE</w:t>
      </w:r>
      <w:r w:rsidR="00CE494B" w:rsidRPr="00CE494B">
        <w:rPr>
          <w:lang w:val="en-US"/>
        </w:rPr>
        <w:t xml:space="preserve"> 3-</w:t>
      </w:r>
      <w:r w:rsidR="00CE494B" w:rsidRPr="00CE494B">
        <w:rPr>
          <w:rFonts w:hint="eastAsia"/>
          <w:lang w:val="en-US" w:eastAsia="ja-JP"/>
        </w:rPr>
        <w:t>4</w:t>
      </w:r>
    </w:p>
    <w:p w:rsidR="00CE494B" w:rsidRPr="00CE494B" w:rsidRDefault="00CE494B" w:rsidP="009A2780">
      <w:pPr>
        <w:pStyle w:val="Tabletitle"/>
        <w:rPr>
          <w:lang w:val="en-US"/>
        </w:rPr>
      </w:pPr>
      <w:r w:rsidRPr="00CE494B">
        <w:rPr>
          <w:lang w:val="en-US"/>
        </w:rPr>
        <w:t xml:space="preserve">Characteristics of QZSS feeder-link transmitting space stations </w:t>
      </w:r>
      <w:r w:rsidR="009A2780">
        <w:rPr>
          <w:lang w:val="en-US"/>
        </w:rPr>
        <w:br/>
      </w:r>
      <w:r w:rsidRPr="00CE494B">
        <w:rPr>
          <w:rFonts w:hint="eastAsia"/>
          <w:lang w:val="en-US" w:eastAsia="ja-JP"/>
        </w:rPr>
        <w:t>(</w:t>
      </w:r>
      <w:r w:rsidRPr="00CE494B">
        <w:rPr>
          <w:lang w:val="en-US" w:eastAsia="ja-JP"/>
        </w:rPr>
        <w:t xml:space="preserve">for subsequent </w:t>
      </w:r>
      <w:r w:rsidRPr="00CE494B">
        <w:rPr>
          <w:rFonts w:hint="eastAsia"/>
          <w:lang w:val="en-US" w:eastAsia="ja-JP"/>
        </w:rPr>
        <w:t>satellite</w:t>
      </w:r>
      <w:r w:rsidRPr="00CE494B">
        <w:rPr>
          <w:lang w:val="en-US" w:eastAsia="ja-JP"/>
        </w:rPr>
        <w:t>s</w:t>
      </w:r>
      <w:r w:rsidRPr="00CE494B">
        <w:rPr>
          <w:rFonts w:hint="eastAsia"/>
          <w:lang w:val="en-US" w:eastAsia="ja-JP"/>
        </w:rPr>
        <w:t>)</w:t>
      </w:r>
      <w:r w:rsidR="009A2780">
        <w:rPr>
          <w:lang w:val="en-US" w:eastAsia="ja-JP"/>
        </w:rPr>
        <w:t xml:space="preserve"> </w:t>
      </w:r>
      <w:r w:rsidRPr="00CE494B">
        <w:rPr>
          <w:lang w:val="en-US"/>
        </w:rPr>
        <w:t>operating in the band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3402"/>
      </w:tblGrid>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head"/>
            </w:pPr>
            <w:r w:rsidRPr="000C15D8">
              <w:t>Parameter</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head"/>
            </w:pPr>
            <w:r w:rsidRPr="000C15D8">
              <w:t>Parameter value</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Antenna pattern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Global beam</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Polarization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RHCP</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val="sv-SE"/>
              </w:rPr>
            </w:pPr>
            <w:r w:rsidRPr="000C15D8">
              <w:rPr>
                <w:rFonts w:hint="eastAsia"/>
                <w:lang w:val="sv-SE" w:eastAsia="ja-JP"/>
              </w:rPr>
              <w:t>Minimum t</w:t>
            </w:r>
            <w:r w:rsidRPr="000C15D8">
              <w:rPr>
                <w:lang w:val="sv-SE"/>
              </w:rPr>
              <w:t>ransmit e.i.r.p. (dBW)</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rFonts w:hint="eastAsia"/>
                <w:lang w:eastAsia="ja-JP"/>
              </w:rPr>
              <w:t xml:space="preserve">9.3 </w:t>
            </w:r>
          </w:p>
        </w:tc>
      </w:tr>
      <w:tr w:rsidR="00CE494B" w:rsidRPr="000C15D8" w:rsidTr="006345E3">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pPr>
            <w:r w:rsidRPr="000C15D8">
              <w:t>Modulation</w:t>
            </w:r>
          </w:p>
        </w:tc>
        <w:tc>
          <w:tcPr>
            <w:tcW w:w="3402" w:type="dxa"/>
            <w:tcBorders>
              <w:top w:val="single" w:sz="4" w:space="0" w:color="auto"/>
              <w:left w:val="single" w:sz="4" w:space="0" w:color="auto"/>
              <w:bottom w:val="single" w:sz="4" w:space="0" w:color="auto"/>
              <w:right w:val="single" w:sz="4" w:space="0" w:color="auto"/>
            </w:tcBorders>
            <w:hideMark/>
          </w:tcPr>
          <w:p w:rsidR="00CE494B" w:rsidRPr="000C15D8" w:rsidRDefault="00CE494B" w:rsidP="006345E3">
            <w:pPr>
              <w:pStyle w:val="Tabletext"/>
              <w:rPr>
                <w:lang w:eastAsia="ja-JP"/>
              </w:rPr>
            </w:pPr>
            <w:r w:rsidRPr="000C15D8">
              <w:rPr>
                <w:rFonts w:hint="eastAsia"/>
                <w:lang w:eastAsia="ja-JP"/>
              </w:rPr>
              <w:t xml:space="preserve">SQPN </w:t>
            </w:r>
          </w:p>
        </w:tc>
      </w:tr>
      <w:tr w:rsidR="00CE494B" w:rsidRPr="001A02C5" w:rsidTr="006345E3">
        <w:trPr>
          <w:cantSplit/>
          <w:jc w:val="center"/>
        </w:trPr>
        <w:tc>
          <w:tcPr>
            <w:tcW w:w="6521" w:type="dxa"/>
            <w:gridSpan w:val="2"/>
            <w:tcBorders>
              <w:top w:val="single" w:sz="4" w:space="0" w:color="auto"/>
              <w:left w:val="nil"/>
              <w:bottom w:val="nil"/>
              <w:right w:val="nil"/>
            </w:tcBorders>
          </w:tcPr>
          <w:p w:rsidR="00CE494B" w:rsidRPr="00A60CFE" w:rsidRDefault="00CE494B" w:rsidP="00ED14C2">
            <w:pPr>
              <w:pStyle w:val="Tabletext"/>
              <w:rPr>
                <w:lang w:val="en-US" w:eastAsia="ja-JP"/>
              </w:rPr>
            </w:pPr>
            <w:r w:rsidRPr="00A60CFE">
              <w:rPr>
                <w:rFonts w:hint="eastAsia"/>
                <w:lang w:val="en-US" w:eastAsia="ja-JP"/>
              </w:rPr>
              <w:t xml:space="preserve">SQPN: </w:t>
            </w:r>
            <w:r w:rsidRPr="00ED14C2">
              <w:rPr>
                <w:rFonts w:hint="eastAsia"/>
                <w:lang w:val="sv-SE"/>
              </w:rPr>
              <w:t>Staggered</w:t>
            </w:r>
            <w:r w:rsidRPr="00A60CFE">
              <w:rPr>
                <w:rFonts w:hint="eastAsia"/>
                <w:lang w:val="en-US" w:eastAsia="ja-JP"/>
              </w:rPr>
              <w:t xml:space="preserve"> Quadrature Pseudo-random Noise </w:t>
            </w:r>
            <w:r w:rsidR="00365ECE" w:rsidRPr="00A60CFE">
              <w:rPr>
                <w:lang w:val="en-US" w:eastAsia="ja-JP"/>
              </w:rPr>
              <w:t>–</w:t>
            </w:r>
            <w:r w:rsidRPr="00A60CFE">
              <w:rPr>
                <w:rFonts w:hint="eastAsia"/>
                <w:lang w:val="en-US" w:eastAsia="ja-JP"/>
              </w:rPr>
              <w:t xml:space="preserve"> </w:t>
            </w:r>
            <w:r w:rsidRPr="00A60CFE">
              <w:rPr>
                <w:lang w:val="en-US" w:eastAsia="zh-CN"/>
              </w:rPr>
              <w:t xml:space="preserve">A </w:t>
            </w:r>
            <w:r w:rsidRPr="00A60CFE">
              <w:rPr>
                <w:rFonts w:hint="eastAsia"/>
                <w:lang w:val="en-US" w:eastAsia="ja-JP"/>
              </w:rPr>
              <w:t xml:space="preserve">spread spectrum </w:t>
            </w:r>
            <w:r w:rsidRPr="00A60CFE">
              <w:rPr>
                <w:lang w:val="en-US" w:eastAsia="zh-CN"/>
              </w:rPr>
              <w:t xml:space="preserve">modulation format </w:t>
            </w:r>
            <w:r w:rsidRPr="00A60CFE">
              <w:rPr>
                <w:rFonts w:hint="eastAsia"/>
                <w:lang w:val="en-US" w:eastAsia="ja-JP"/>
              </w:rPr>
              <w:t>in which</w:t>
            </w:r>
            <w:r w:rsidRPr="00A60CFE">
              <w:rPr>
                <w:lang w:val="en-US" w:eastAsia="zh-CN"/>
              </w:rPr>
              <w:t xml:space="preserve"> the P</w:t>
            </w:r>
            <w:r w:rsidRPr="00A60CFE">
              <w:rPr>
                <w:rFonts w:hint="eastAsia"/>
                <w:lang w:val="en-US" w:eastAsia="ja-JP"/>
              </w:rPr>
              <w:t>seudo-random noise</w:t>
            </w:r>
            <w:r w:rsidRPr="00A60CFE">
              <w:rPr>
                <w:lang w:val="en-US" w:eastAsia="zh-CN"/>
              </w:rPr>
              <w:t xml:space="preserve"> data sequence is modulated onto an RF carrier using a variation of QPSK</w:t>
            </w:r>
            <w:r w:rsidRPr="00A60CFE">
              <w:rPr>
                <w:rFonts w:hint="eastAsia"/>
                <w:lang w:val="en-US" w:eastAsia="ja-JP"/>
              </w:rPr>
              <w:t xml:space="preserve"> </w:t>
            </w:r>
            <w:r w:rsidRPr="00A60CFE">
              <w:rPr>
                <w:lang w:val="en-US" w:eastAsia="zh-CN"/>
              </w:rPr>
              <w:t>modulation in which one channel is delayed by one half of a modulation symbol period with respect to the other channel (also referred to as Offset QPSK).</w:t>
            </w:r>
          </w:p>
        </w:tc>
      </w:tr>
    </w:tbl>
    <w:p w:rsidR="00CE494B" w:rsidRDefault="00CE494B" w:rsidP="00CE494B">
      <w:pPr>
        <w:pStyle w:val="Tablefin"/>
        <w:rPr>
          <w:lang w:eastAsia="ja-JP"/>
        </w:rPr>
      </w:pPr>
    </w:p>
    <w:p w:rsidR="00CE494B" w:rsidRDefault="00CE494B" w:rsidP="00CE494B">
      <w:pPr>
        <w:pStyle w:val="Reasons"/>
        <w:rPr>
          <w:lang w:eastAsia="ja-JP"/>
        </w:rPr>
      </w:pPr>
    </w:p>
    <w:p w:rsidR="007B091B" w:rsidRPr="00E724FF" w:rsidRDefault="007B091B" w:rsidP="00CE494B">
      <w:pPr>
        <w:pStyle w:val="Reasons"/>
        <w:rPr>
          <w:lang w:eastAsia="ja-JP"/>
        </w:rPr>
      </w:pPr>
    </w:p>
    <w:p w:rsidR="00A6617B" w:rsidRPr="00A6617B" w:rsidRDefault="00A6617B" w:rsidP="006F515F">
      <w:pPr>
        <w:pStyle w:val="Line"/>
      </w:pPr>
    </w:p>
    <w:sectPr w:rsidR="00A6617B" w:rsidRPr="00A6617B" w:rsidSect="007B3868">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94B" w:rsidRDefault="00CE494B">
      <w:r>
        <w:separator/>
      </w:r>
    </w:p>
  </w:endnote>
  <w:endnote w:type="continuationSeparator" w:id="0">
    <w:p w:rsidR="00CE494B" w:rsidRDefault="00CE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94B" w:rsidRDefault="00CE494B">
      <w:r>
        <w:separator/>
      </w:r>
    </w:p>
  </w:footnote>
  <w:footnote w:type="continuationSeparator" w:id="0">
    <w:p w:rsidR="00CE494B" w:rsidRDefault="00CE494B">
      <w:r>
        <w:continuationSeparator/>
      </w:r>
    </w:p>
  </w:footnote>
  <w:footnote w:id="1">
    <w:p w:rsidR="00211D4D" w:rsidRPr="004E20B0" w:rsidRDefault="00211D4D" w:rsidP="00211D4D">
      <w:pPr>
        <w:pStyle w:val="FootnoteText"/>
        <w:rPr>
          <w:lang w:val="en-US"/>
        </w:rPr>
      </w:pPr>
      <w:r>
        <w:rPr>
          <w:rStyle w:val="FootnoteReference"/>
        </w:rPr>
        <w:footnoteRef/>
      </w:r>
      <w:r w:rsidRPr="004E20B0">
        <w:rPr>
          <w:lang w:val="en-US"/>
        </w:rPr>
        <w:t xml:space="preserve"> </w:t>
      </w:r>
      <w:r w:rsidRPr="004E20B0">
        <w:rPr>
          <w:lang w:val="en-US"/>
        </w:rPr>
        <w:tab/>
        <w:t>This Recommendation should be brought to the attention of ITU-R Study Group 5 and the International Civil Aviation Organization (ICAO).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94B" w:rsidRDefault="00CE494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94B" w:rsidRDefault="00CE494B" w:rsidP="00B033C8">
    <w:pPr>
      <w:ind w:right="360" w:firstLine="360"/>
    </w:pPr>
    <w:r>
      <w:rPr>
        <w:noProof/>
        <w:lang w:val="en-US" w:eastAsia="zh-CN"/>
      </w:rPr>
      <w:drawing>
        <wp:anchor distT="0" distB="0" distL="114300" distR="114300" simplePos="0" relativeHeight="251659264" behindDoc="1" locked="0" layoutInCell="1" allowOverlap="1" wp14:anchorId="0657173E" wp14:editId="56235D1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94B" w:rsidRPr="00FC42AF" w:rsidRDefault="00CE494B" w:rsidP="007913D0">
    <w:pPr>
      <w:tabs>
        <w:tab w:val="clear" w:pos="794"/>
        <w:tab w:val="clear" w:pos="1191"/>
        <w:tab w:val="clear" w:pos="1588"/>
        <w:tab w:val="clear" w:pos="1985"/>
        <w:tab w:val="center" w:pos="4848"/>
        <w:tab w:val="center" w:pos="9696"/>
      </w:tabs>
      <w:jc w:val="left"/>
    </w:pPr>
    <w:r w:rsidRPr="00FC42AF">
      <w:tab/>
    </w:r>
    <w:r w:rsidR="00EB718B">
      <w:fldChar w:fldCharType="begin"/>
    </w:r>
    <w:r w:rsidR="00EB718B">
      <w:instrText xml:space="preserve"> DOCPROPERTY "Header" \* MERGEFORMAT </w:instrText>
    </w:r>
    <w:r w:rsidR="00EB718B">
      <w:fldChar w:fldCharType="separate"/>
    </w:r>
    <w:r w:rsidR="00EB718B" w:rsidRPr="00EB718B">
      <w:rPr>
        <w:b/>
        <w:bCs/>
      </w:rPr>
      <w:t xml:space="preserve">Rec. </w:t>
    </w:r>
    <w:r w:rsidR="00EB718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718B">
      <w:rPr>
        <w:b/>
        <w:bCs/>
        <w:noProof/>
      </w:rPr>
      <w:t>ITU-R  M.2031-1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94B" w:rsidRPr="00FC42AF" w:rsidRDefault="00CE494B"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718B">
      <w:rPr>
        <w:rStyle w:val="PageNumber"/>
        <w:b/>
        <w:bCs/>
        <w:noProof/>
      </w:rPr>
      <w:t>ii</w:t>
    </w:r>
    <w:r>
      <w:rPr>
        <w:rStyle w:val="PageNumber"/>
        <w:b/>
        <w:bCs/>
      </w:rPr>
      <w:fldChar w:fldCharType="end"/>
    </w:r>
    <w:r w:rsidRPr="00FC42AF">
      <w:tab/>
    </w:r>
    <w:r w:rsidR="00EB718B">
      <w:fldChar w:fldCharType="begin"/>
    </w:r>
    <w:r w:rsidR="00EB718B">
      <w:instrText xml:space="preserve"> DOCPROPERTY "Header" \* MERGEFORMAT </w:instrText>
    </w:r>
    <w:r w:rsidR="00EB718B">
      <w:fldChar w:fldCharType="separate"/>
    </w:r>
    <w:r w:rsidR="00EB718B" w:rsidRPr="00EB718B">
      <w:rPr>
        <w:b/>
        <w:bCs/>
      </w:rPr>
      <w:t xml:space="preserve">Rec. </w:t>
    </w:r>
    <w:r w:rsidR="00EB718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B718B">
      <w:rPr>
        <w:b/>
        <w:bCs/>
        <w:noProof/>
      </w:rPr>
      <w:t>ITU-R  M.2031-1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94B" w:rsidRDefault="00CE494B">
    <w:r>
      <w:tab/>
    </w:r>
    <w:r w:rsidR="00EB718B">
      <w:fldChar w:fldCharType="begin"/>
    </w:r>
    <w:r w:rsidR="00EB718B">
      <w:instrText xml:space="preserve"> DOCPROPERTY "Header" \* MERGEFORMAT </w:instrText>
    </w:r>
    <w:r w:rsidR="00EB718B">
      <w:fldChar w:fldCharType="separate"/>
    </w:r>
    <w:r w:rsidR="00EB718B" w:rsidRPr="00EB718B">
      <w:rPr>
        <w:b/>
        <w:bCs/>
      </w:rPr>
      <w:t xml:space="preserve">Rec. </w:t>
    </w:r>
    <w:r w:rsidR="00EB718B">
      <w:rPr>
        <w:b/>
        <w:bCs/>
      </w:rPr>
      <w:fldChar w:fldCharType="end"/>
    </w:r>
    <w:r>
      <w:rPr>
        <w:b/>
        <w:bCs/>
      </w:rPr>
      <w:t xml:space="preserve"> </w:t>
    </w:r>
    <w:r>
      <w:rPr>
        <w:b/>
        <w:bCs/>
      </w:rPr>
      <w:fldChar w:fldCharType="begin"/>
    </w:r>
    <w:r>
      <w:rPr>
        <w:b/>
        <w:bCs/>
      </w:rPr>
      <w:instrText>styleref href</w:instrText>
    </w:r>
    <w:r>
      <w:rPr>
        <w:b/>
        <w:bCs/>
      </w:rPr>
      <w:fldChar w:fldCharType="separate"/>
    </w:r>
    <w:r w:rsidR="00EB718B">
      <w:rPr>
        <w:b/>
        <w:bCs/>
        <w:noProof/>
      </w:rPr>
      <w:t>ITU-R  M.2031-1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0DD6">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718B">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B718B" w:rsidRPr="00EB718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B718B">
      <w:rPr>
        <w:b/>
        <w:bCs/>
        <w:noProof/>
      </w:rPr>
      <w:t>ITU-R  M.2031-1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B718B">
      <w:fldChar w:fldCharType="begin"/>
    </w:r>
    <w:r w:rsidR="00EB718B">
      <w:instrText xml:space="preserve"> DOCPROPERTY "Header" \* MERGEFORMAT </w:instrText>
    </w:r>
    <w:r w:rsidR="00EB718B">
      <w:fldChar w:fldCharType="separate"/>
    </w:r>
    <w:r w:rsidR="00EB718B" w:rsidRPr="00EB718B">
      <w:rPr>
        <w:b/>
        <w:bCs/>
      </w:rPr>
      <w:t xml:space="preserve">Rec. </w:t>
    </w:r>
    <w:r w:rsidR="00EB718B">
      <w:rPr>
        <w:b/>
        <w:bCs/>
      </w:rPr>
      <w:fldChar w:fldCharType="end"/>
    </w:r>
    <w:r>
      <w:rPr>
        <w:b/>
        <w:bCs/>
      </w:rPr>
      <w:t xml:space="preserve"> </w:t>
    </w:r>
    <w:r>
      <w:rPr>
        <w:b/>
        <w:bCs/>
      </w:rPr>
      <w:fldChar w:fldCharType="begin"/>
    </w:r>
    <w:r>
      <w:rPr>
        <w:b/>
        <w:bCs/>
      </w:rPr>
      <w:instrText>styleref href</w:instrText>
    </w:r>
    <w:r>
      <w:rPr>
        <w:b/>
        <w:bCs/>
      </w:rPr>
      <w:fldChar w:fldCharType="separate"/>
    </w:r>
    <w:r w:rsidR="00EB718B">
      <w:rPr>
        <w:b/>
        <w:bCs/>
        <w:noProof/>
      </w:rPr>
      <w:t>ITU-R  M.2031-1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718B">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94B"/>
    <w:rsid w:val="000840D3"/>
    <w:rsid w:val="000A0E5D"/>
    <w:rsid w:val="00102EA1"/>
    <w:rsid w:val="00143736"/>
    <w:rsid w:val="001546B7"/>
    <w:rsid w:val="001A02C5"/>
    <w:rsid w:val="001F34DD"/>
    <w:rsid w:val="002037D9"/>
    <w:rsid w:val="002100E1"/>
    <w:rsid w:val="00211D4D"/>
    <w:rsid w:val="00217EBF"/>
    <w:rsid w:val="00242AEE"/>
    <w:rsid w:val="002D76C4"/>
    <w:rsid w:val="00365ECE"/>
    <w:rsid w:val="004344F2"/>
    <w:rsid w:val="0044705B"/>
    <w:rsid w:val="00452ED9"/>
    <w:rsid w:val="004C2445"/>
    <w:rsid w:val="0052529D"/>
    <w:rsid w:val="00533F7B"/>
    <w:rsid w:val="00560A24"/>
    <w:rsid w:val="00562C2D"/>
    <w:rsid w:val="00593351"/>
    <w:rsid w:val="005D4EF4"/>
    <w:rsid w:val="005E4DDF"/>
    <w:rsid w:val="00607D68"/>
    <w:rsid w:val="00631E1F"/>
    <w:rsid w:val="00635563"/>
    <w:rsid w:val="006F515F"/>
    <w:rsid w:val="007468DA"/>
    <w:rsid w:val="00764310"/>
    <w:rsid w:val="007A5F27"/>
    <w:rsid w:val="007B091B"/>
    <w:rsid w:val="007B3868"/>
    <w:rsid w:val="00814EEC"/>
    <w:rsid w:val="00816FB0"/>
    <w:rsid w:val="00863A9D"/>
    <w:rsid w:val="0089069E"/>
    <w:rsid w:val="008B603D"/>
    <w:rsid w:val="009534C1"/>
    <w:rsid w:val="00956954"/>
    <w:rsid w:val="009621C7"/>
    <w:rsid w:val="00993DD5"/>
    <w:rsid w:val="009A2780"/>
    <w:rsid w:val="009C3455"/>
    <w:rsid w:val="009C7BC3"/>
    <w:rsid w:val="009E00A8"/>
    <w:rsid w:val="00A05D13"/>
    <w:rsid w:val="00A431D7"/>
    <w:rsid w:val="00A60CFE"/>
    <w:rsid w:val="00A6617B"/>
    <w:rsid w:val="00A679CD"/>
    <w:rsid w:val="00AB0DC8"/>
    <w:rsid w:val="00B11711"/>
    <w:rsid w:val="00B25DF1"/>
    <w:rsid w:val="00B270BE"/>
    <w:rsid w:val="00B44E24"/>
    <w:rsid w:val="00B70DD6"/>
    <w:rsid w:val="00C41AA5"/>
    <w:rsid w:val="00CD38EE"/>
    <w:rsid w:val="00CE494B"/>
    <w:rsid w:val="00DF4176"/>
    <w:rsid w:val="00E30C97"/>
    <w:rsid w:val="00E70ED2"/>
    <w:rsid w:val="00EB6347"/>
    <w:rsid w:val="00EB718B"/>
    <w:rsid w:val="00ED14C2"/>
    <w:rsid w:val="00F113EC"/>
    <w:rsid w:val="00F13E34"/>
    <w:rsid w:val="00FA7768"/>
    <w:rsid w:val="00FF53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2529"/>
    <o:shapelayout v:ext="edit">
      <o:idmap v:ext="edit" data="1"/>
    </o:shapelayout>
  </w:shapeDefaults>
  <w:decimalSymbol w:val="."/>
  <w:listSeparator w:val=","/>
  <w15:docId w15:val="{E17302AC-240F-4D87-9670-540C9D408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9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uiPriority w:val="99"/>
    <w:locked/>
    <w:rsid w:val="00CE494B"/>
    <w:rPr>
      <w:b/>
      <w:sz w:val="22"/>
      <w:lang w:val="fr-FR" w:eastAsia="en-US"/>
    </w:rPr>
  </w:style>
  <w:style w:type="character" w:customStyle="1" w:styleId="TabletextChar">
    <w:name w:val="Table_text Char"/>
    <w:basedOn w:val="DefaultParagraphFont"/>
    <w:link w:val="Tabletext"/>
    <w:uiPriority w:val="99"/>
    <w:locked/>
    <w:rsid w:val="00CE494B"/>
    <w:rPr>
      <w:sz w:val="22"/>
      <w:lang w:val="fr-FR" w:eastAsia="en-US"/>
    </w:rPr>
  </w:style>
  <w:style w:type="character" w:styleId="Hyperlink">
    <w:name w:val="Hyperlink"/>
    <w:basedOn w:val="DefaultParagraphFont"/>
    <w:rsid w:val="00CE494B"/>
    <w:rPr>
      <w:color w:val="0000FF"/>
      <w:u w:val="single"/>
    </w:rPr>
  </w:style>
  <w:style w:type="character" w:customStyle="1" w:styleId="FooterChar">
    <w:name w:val="Footer Char"/>
    <w:basedOn w:val="DefaultParagraphFont"/>
    <w:link w:val="Footer"/>
    <w:rsid w:val="00CE494B"/>
    <w:rPr>
      <w:noProof/>
      <w:sz w:val="18"/>
      <w:lang w:val="fr-FR" w:eastAsia="en-US"/>
    </w:rPr>
  </w:style>
  <w:style w:type="paragraph" w:customStyle="1" w:styleId="AnnexNo">
    <w:name w:val="Annex_No"/>
    <w:basedOn w:val="Normal"/>
    <w:next w:val="Normal"/>
    <w:link w:val="AnnexNoCar"/>
    <w:uiPriority w:val="99"/>
    <w:rsid w:val="00CE494B"/>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E494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CE494B"/>
    <w:pPr>
      <w:tabs>
        <w:tab w:val="clear" w:pos="794"/>
        <w:tab w:val="clear" w:pos="1191"/>
        <w:tab w:val="left" w:pos="1134"/>
      </w:tabs>
      <w:jc w:val="left"/>
    </w:pPr>
    <w:rPr>
      <w:rFonts w:eastAsia="MS Mincho"/>
      <w:lang w:val="en-GB"/>
    </w:rPr>
  </w:style>
  <w:style w:type="character" w:customStyle="1" w:styleId="Rectitle0">
    <w:name w:val="Rec_title Знак"/>
    <w:link w:val="Rectitle"/>
    <w:uiPriority w:val="99"/>
    <w:locked/>
    <w:rsid w:val="00CE494B"/>
    <w:rPr>
      <w:b/>
      <w:sz w:val="28"/>
      <w:lang w:val="fr-FR" w:eastAsia="en-US"/>
    </w:rPr>
  </w:style>
  <w:style w:type="character" w:customStyle="1" w:styleId="CallChar">
    <w:name w:val="Call Char"/>
    <w:basedOn w:val="DefaultParagraphFont"/>
    <w:link w:val="Call"/>
    <w:uiPriority w:val="99"/>
    <w:locked/>
    <w:rsid w:val="00CE494B"/>
    <w:rPr>
      <w:i/>
      <w:sz w:val="24"/>
      <w:lang w:val="fr-FR" w:eastAsia="en-US"/>
    </w:rPr>
  </w:style>
  <w:style w:type="character" w:customStyle="1" w:styleId="Tabletitle0">
    <w:name w:val="Table_title Знак"/>
    <w:basedOn w:val="DefaultParagraphFont"/>
    <w:link w:val="Tabletitle"/>
    <w:uiPriority w:val="99"/>
    <w:locked/>
    <w:rsid w:val="00CE494B"/>
    <w:rPr>
      <w:b/>
      <w:sz w:val="24"/>
      <w:lang w:val="fr-FR" w:eastAsia="en-US"/>
    </w:rPr>
  </w:style>
  <w:style w:type="character" w:customStyle="1" w:styleId="AnnexNoCar">
    <w:name w:val="Annex_No Car"/>
    <w:basedOn w:val="DefaultParagraphFont"/>
    <w:link w:val="AnnexNo"/>
    <w:uiPriority w:val="99"/>
    <w:locked/>
    <w:rsid w:val="00CE494B"/>
    <w:rPr>
      <w:rFonts w:eastAsia="MS Mincho"/>
      <w:caps/>
      <w:sz w:val="28"/>
      <w:lang w:val="en-GB" w:eastAsia="en-US"/>
    </w:rPr>
  </w:style>
  <w:style w:type="character" w:customStyle="1" w:styleId="TablelegendChar">
    <w:name w:val="Table_legend Char"/>
    <w:link w:val="Tablelegend"/>
    <w:uiPriority w:val="99"/>
    <w:locked/>
    <w:rsid w:val="00CE494B"/>
    <w:rPr>
      <w:sz w:val="22"/>
      <w:lang w:val="fr-FR" w:eastAsia="en-US"/>
    </w:rPr>
  </w:style>
  <w:style w:type="character" w:customStyle="1" w:styleId="TableNo0">
    <w:name w:val="Table_No Знак"/>
    <w:basedOn w:val="DefaultParagraphFont"/>
    <w:link w:val="TableNo"/>
    <w:uiPriority w:val="99"/>
    <w:locked/>
    <w:rsid w:val="00CE494B"/>
    <w:rPr>
      <w:sz w:val="24"/>
      <w:lang w:val="fr-FR" w:eastAsia="en-US"/>
    </w:rPr>
  </w:style>
  <w:style w:type="character" w:customStyle="1" w:styleId="HeadingbChar">
    <w:name w:val="Heading_b Char"/>
    <w:basedOn w:val="DefaultParagraphFont"/>
    <w:link w:val="Headingb"/>
    <w:uiPriority w:val="99"/>
    <w:locked/>
    <w:rsid w:val="00CE494B"/>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211D4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285</TotalTime>
  <Pages>1</Pages>
  <Words>4555</Words>
  <Characters>26538</Characters>
  <Application>Microsoft Office Word</Application>
  <DocSecurity>0</DocSecurity>
  <Lines>1396</Lines>
  <Paragraphs>241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58</cp:revision>
  <cp:lastPrinted>2016-11-15T10:04:00Z</cp:lastPrinted>
  <dcterms:created xsi:type="dcterms:W3CDTF">2015-08-17T14:14:00Z</dcterms:created>
  <dcterms:modified xsi:type="dcterms:W3CDTF">2016-11-15T10:04:00Z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