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517C" w:rsidRPr="00575CB8" w:rsidRDefault="00E7517C" w:rsidP="00E7517C">
      <w:pPr>
        <w:rPr>
          <w:lang w:val="en-US"/>
        </w:rPr>
      </w:pPr>
      <w:bookmarkStart w:id="0" w:name="_GoBack"/>
      <w:bookmarkEnd w:id="0"/>
    </w:p>
    <w:p w:rsidR="00E7517C" w:rsidRDefault="00E7517C" w:rsidP="00E7517C"/>
    <w:p w:rsidR="00E7517C" w:rsidRDefault="00E7517C" w:rsidP="00E7517C"/>
    <w:p w:rsidR="00E7517C" w:rsidRDefault="00E7517C" w:rsidP="00E7517C"/>
    <w:p w:rsidR="00E7517C" w:rsidRDefault="00E7517C" w:rsidP="00E7517C"/>
    <w:p w:rsidR="00E7517C" w:rsidRDefault="00E7517C" w:rsidP="00E7517C"/>
    <w:p w:rsidR="00E7517C" w:rsidRDefault="00E7517C" w:rsidP="00E7517C"/>
    <w:p w:rsidR="00E7517C" w:rsidRDefault="00E7517C" w:rsidP="00E7517C"/>
    <w:p w:rsidR="00E7517C" w:rsidRDefault="00E7517C" w:rsidP="00E7517C"/>
    <w:tbl>
      <w:tblPr>
        <w:tblW w:w="10089" w:type="dxa"/>
        <w:tblLook w:val="01E0" w:firstRow="1" w:lastRow="1" w:firstColumn="1" w:lastColumn="1" w:noHBand="0" w:noVBand="0"/>
      </w:tblPr>
      <w:tblGrid>
        <w:gridCol w:w="10089"/>
      </w:tblGrid>
      <w:tr w:rsidR="00E7517C" w:rsidRPr="00E7517C" w:rsidTr="00CC7782">
        <w:tc>
          <w:tcPr>
            <w:tcW w:w="10089" w:type="dxa"/>
          </w:tcPr>
          <w:p w:rsidR="00E7517C" w:rsidRPr="00A07AEB" w:rsidRDefault="00E7517C" w:rsidP="00CC7782">
            <w:pPr>
              <w:spacing w:before="380" w:line="280" w:lineRule="exact"/>
              <w:jc w:val="right"/>
              <w:rPr>
                <w:rFonts w:ascii="Tahoma" w:hAnsi="Tahoma" w:cs="Tahoma"/>
                <w:b/>
                <w:bCs/>
                <w:iCs/>
                <w:color w:val="243285"/>
                <w:sz w:val="32"/>
                <w:szCs w:val="32"/>
                <w:lang w:val="en-US"/>
              </w:rPr>
            </w:pPr>
          </w:p>
          <w:p w:rsidR="00E7517C" w:rsidRPr="00A07AEB" w:rsidRDefault="00E7517C" w:rsidP="00E7517C">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M.2030</w:t>
            </w:r>
          </w:p>
          <w:p w:rsidR="00E7517C" w:rsidRPr="00A07AEB" w:rsidRDefault="00E7517C" w:rsidP="00E7517C">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Pr>
                <w:rFonts w:ascii="Tahoma" w:hAnsi="Tahoma" w:cs="Tahoma"/>
                <w:b/>
                <w:bCs/>
                <w:iCs/>
                <w:color w:val="243285"/>
                <w:szCs w:val="24"/>
                <w:lang w:val="es-ES_tradnl"/>
              </w:rPr>
              <w:t>12/2012</w:t>
            </w:r>
            <w:r w:rsidRPr="00A07AEB">
              <w:rPr>
                <w:rFonts w:ascii="Tahoma" w:hAnsi="Tahoma" w:cs="Tahoma"/>
                <w:b/>
                <w:bCs/>
                <w:iCs/>
                <w:color w:val="243285"/>
                <w:szCs w:val="24"/>
                <w:lang w:val="es-ES_tradnl"/>
              </w:rPr>
              <w:t>)</w:t>
            </w:r>
          </w:p>
        </w:tc>
      </w:tr>
      <w:tr w:rsidR="00E7517C" w:rsidRPr="00D92AE2" w:rsidTr="00CC7782">
        <w:tc>
          <w:tcPr>
            <w:tcW w:w="10089" w:type="dxa"/>
          </w:tcPr>
          <w:p w:rsidR="00E7517C" w:rsidRPr="0010336F" w:rsidRDefault="00E7517C" w:rsidP="00CC7782">
            <w:pPr>
              <w:spacing w:before="80" w:line="500" w:lineRule="exact"/>
              <w:jc w:val="right"/>
              <w:rPr>
                <w:rFonts w:ascii="Tahoma" w:hAnsi="Tahoma" w:cs="Tahoma"/>
                <w:b/>
                <w:bCs/>
                <w:iCs/>
                <w:color w:val="243285"/>
                <w:sz w:val="44"/>
                <w:szCs w:val="44"/>
                <w:lang w:val="es-ES_tradnl"/>
              </w:rPr>
            </w:pPr>
          </w:p>
          <w:p w:rsidR="00E7517C" w:rsidRPr="00E7517C" w:rsidRDefault="00E7517C" w:rsidP="00E7517C">
            <w:pPr>
              <w:spacing w:before="80" w:line="500" w:lineRule="exact"/>
              <w:jc w:val="right"/>
              <w:rPr>
                <w:rFonts w:ascii="Tahoma" w:hAnsi="Tahoma" w:cs="Tahoma"/>
                <w:b/>
                <w:bCs/>
                <w:color w:val="243285"/>
                <w:sz w:val="44"/>
                <w:szCs w:val="44"/>
                <w:lang w:val="es-ES"/>
              </w:rPr>
            </w:pPr>
            <w:r w:rsidRPr="00E7517C">
              <w:rPr>
                <w:rFonts w:ascii="Tahoma" w:hAnsi="Tahoma" w:cs="Tahoma"/>
                <w:b/>
                <w:iCs/>
                <w:color w:val="243285"/>
                <w:sz w:val="44"/>
                <w:szCs w:val="44"/>
                <w:lang w:val="es-ES"/>
              </w:rPr>
              <w:t>Modelo de evaluación de la interferencia impulsiva causada por fuentes radioeléctricas pertinentes distintas</w:t>
            </w:r>
            <w:r>
              <w:rPr>
                <w:rFonts w:ascii="Tahoma" w:hAnsi="Tahoma" w:cs="Tahoma"/>
                <w:b/>
                <w:iCs/>
                <w:color w:val="243285"/>
                <w:sz w:val="44"/>
                <w:szCs w:val="44"/>
                <w:lang w:val="es-ES"/>
              </w:rPr>
              <w:t xml:space="preserve"> </w:t>
            </w:r>
            <w:r w:rsidRPr="00E7517C">
              <w:rPr>
                <w:rFonts w:ascii="Tahoma" w:hAnsi="Tahoma" w:cs="Tahoma"/>
                <w:b/>
                <w:iCs/>
                <w:color w:val="243285"/>
                <w:sz w:val="44"/>
                <w:szCs w:val="44"/>
                <w:lang w:val="es-ES"/>
              </w:rPr>
              <w:t>de</w:t>
            </w:r>
            <w:r>
              <w:rPr>
                <w:rFonts w:ascii="Tahoma" w:hAnsi="Tahoma" w:cs="Tahoma"/>
                <w:b/>
                <w:iCs/>
                <w:color w:val="243285"/>
                <w:sz w:val="44"/>
                <w:szCs w:val="44"/>
                <w:lang w:val="es-ES"/>
              </w:rPr>
              <w:br/>
            </w:r>
            <w:r w:rsidRPr="00E7517C">
              <w:rPr>
                <w:rFonts w:ascii="Tahoma" w:hAnsi="Tahoma" w:cs="Tahoma"/>
                <w:b/>
                <w:iCs/>
                <w:color w:val="243285"/>
                <w:sz w:val="44"/>
                <w:szCs w:val="44"/>
                <w:lang w:val="es-ES"/>
              </w:rPr>
              <w:t>las del servicio de radionavegación</w:t>
            </w:r>
            <w:r>
              <w:rPr>
                <w:rFonts w:ascii="Tahoma" w:hAnsi="Tahoma" w:cs="Tahoma"/>
                <w:b/>
                <w:iCs/>
                <w:color w:val="243285"/>
                <w:sz w:val="44"/>
                <w:szCs w:val="44"/>
                <w:lang w:val="es-ES"/>
              </w:rPr>
              <w:t xml:space="preserve"> </w:t>
            </w:r>
            <w:r w:rsidRPr="00E7517C">
              <w:rPr>
                <w:rFonts w:ascii="Tahoma" w:hAnsi="Tahoma" w:cs="Tahoma"/>
                <w:b/>
                <w:iCs/>
                <w:color w:val="243285"/>
                <w:sz w:val="44"/>
                <w:szCs w:val="44"/>
                <w:lang w:val="es-ES"/>
              </w:rPr>
              <w:t>por satélite a sistemas y redes del servicio</w:t>
            </w:r>
            <w:r>
              <w:rPr>
                <w:rFonts w:ascii="Tahoma" w:hAnsi="Tahoma" w:cs="Tahoma"/>
                <w:b/>
                <w:iCs/>
                <w:color w:val="243285"/>
                <w:sz w:val="44"/>
                <w:szCs w:val="44"/>
                <w:lang w:val="es-ES"/>
              </w:rPr>
              <w:br/>
            </w:r>
            <w:r w:rsidRPr="00E7517C">
              <w:rPr>
                <w:rFonts w:ascii="Tahoma" w:hAnsi="Tahoma" w:cs="Tahoma"/>
                <w:b/>
                <w:iCs/>
                <w:color w:val="243285"/>
                <w:sz w:val="44"/>
                <w:szCs w:val="44"/>
                <w:lang w:val="es-ES"/>
              </w:rPr>
              <w:t>de radionavegación por satélite que</w:t>
            </w:r>
            <w:r>
              <w:rPr>
                <w:rFonts w:ascii="Tahoma" w:hAnsi="Tahoma" w:cs="Tahoma"/>
                <w:b/>
                <w:iCs/>
                <w:color w:val="243285"/>
                <w:sz w:val="44"/>
                <w:szCs w:val="44"/>
                <w:lang w:val="es-ES"/>
              </w:rPr>
              <w:br/>
            </w:r>
            <w:r w:rsidRPr="00E7517C">
              <w:rPr>
                <w:rFonts w:ascii="Tahoma" w:hAnsi="Tahoma" w:cs="Tahoma"/>
                <w:b/>
                <w:iCs/>
                <w:color w:val="243285"/>
                <w:sz w:val="44"/>
                <w:szCs w:val="44"/>
                <w:lang w:val="es-ES"/>
              </w:rPr>
              <w:t>funcionan en las bandas de frecuencias</w:t>
            </w:r>
            <w:r w:rsidRPr="00E7517C">
              <w:rPr>
                <w:rFonts w:ascii="Tahoma" w:hAnsi="Tahoma" w:cs="Tahoma"/>
                <w:b/>
                <w:iCs/>
                <w:color w:val="243285"/>
                <w:sz w:val="44"/>
                <w:szCs w:val="44"/>
                <w:lang w:val="es-ES"/>
              </w:rPr>
              <w:br/>
              <w:t>1 164-1 215 MHz, 1 215-1 300 MHz</w:t>
            </w:r>
            <w:r w:rsidRPr="00E7517C">
              <w:rPr>
                <w:rFonts w:ascii="Tahoma" w:hAnsi="Tahoma" w:cs="Tahoma"/>
                <w:b/>
                <w:iCs/>
                <w:color w:val="243285"/>
                <w:sz w:val="44"/>
                <w:szCs w:val="44"/>
                <w:lang w:val="es-ES"/>
              </w:rPr>
              <w:br/>
            </w:r>
            <w:r w:rsidR="005D1D98" w:rsidRPr="005D1D98">
              <w:rPr>
                <w:rFonts w:ascii="Tahoma" w:hAnsi="Tahoma" w:cs="Tahoma"/>
                <w:b/>
                <w:iCs/>
                <w:color w:val="243285"/>
                <w:sz w:val="44"/>
                <w:szCs w:val="44"/>
                <w:lang w:val="es-ES"/>
              </w:rPr>
              <w:t>y 1 559-1 610 MHz</w:t>
            </w:r>
          </w:p>
        </w:tc>
      </w:tr>
      <w:tr w:rsidR="00E7517C" w:rsidRPr="00D92AE2" w:rsidTr="00CC7782">
        <w:tc>
          <w:tcPr>
            <w:tcW w:w="10089" w:type="dxa"/>
          </w:tcPr>
          <w:p w:rsidR="00E7517C" w:rsidRPr="00A07AEB" w:rsidRDefault="00E7517C" w:rsidP="00CC7782">
            <w:pPr>
              <w:spacing w:before="80" w:line="280" w:lineRule="exact"/>
              <w:ind w:right="640"/>
              <w:rPr>
                <w:rFonts w:ascii="Tahoma" w:hAnsi="Tahoma" w:cs="Tahoma"/>
                <w:b/>
                <w:bCs/>
                <w:iCs/>
                <w:color w:val="243285"/>
                <w:sz w:val="32"/>
                <w:szCs w:val="32"/>
                <w:lang w:val="es-ES_tradnl"/>
              </w:rPr>
            </w:pPr>
          </w:p>
          <w:p w:rsidR="00E7517C" w:rsidRPr="00A07AEB" w:rsidRDefault="00E7517C" w:rsidP="00CC7782">
            <w:pPr>
              <w:spacing w:before="80" w:after="180" w:line="360" w:lineRule="exact"/>
              <w:ind w:right="720"/>
              <w:rPr>
                <w:rFonts w:ascii="Tahoma" w:hAnsi="Tahoma" w:cs="Tahoma"/>
                <w:b/>
                <w:bCs/>
                <w:iCs/>
                <w:color w:val="243285"/>
                <w:sz w:val="36"/>
                <w:szCs w:val="36"/>
                <w:lang w:val="es-ES_tradnl"/>
              </w:rPr>
            </w:pPr>
          </w:p>
          <w:p w:rsidR="00E7517C" w:rsidRPr="00A07AEB" w:rsidRDefault="00E7517C" w:rsidP="00CC7782">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E7517C" w:rsidRPr="00A07AEB" w:rsidRDefault="00E7517C" w:rsidP="00CC7782">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E7517C" w:rsidRPr="0026666F" w:rsidRDefault="00E7517C" w:rsidP="00E7517C">
      <w:pPr>
        <w:spacing w:before="80"/>
        <w:rPr>
          <w:i/>
          <w:sz w:val="22"/>
          <w:lang w:val="es-ES_tradnl"/>
        </w:rPr>
      </w:pPr>
    </w:p>
    <w:p w:rsidR="00E7517C" w:rsidRPr="0026666F" w:rsidRDefault="00E7517C" w:rsidP="00E7517C">
      <w:pPr>
        <w:spacing w:before="80"/>
        <w:rPr>
          <w:i/>
          <w:sz w:val="22"/>
          <w:lang w:val="es-ES_tradnl"/>
        </w:rPr>
      </w:pPr>
    </w:p>
    <w:p w:rsidR="00E7517C" w:rsidRPr="0026666F" w:rsidRDefault="00E7517C" w:rsidP="00E7517C">
      <w:pPr>
        <w:spacing w:before="80"/>
        <w:rPr>
          <w:i/>
          <w:sz w:val="22"/>
          <w:lang w:val="es-ES_tradnl"/>
        </w:rPr>
      </w:pPr>
    </w:p>
    <w:p w:rsidR="00E7517C" w:rsidRPr="0026666F" w:rsidRDefault="00E7517C" w:rsidP="00E7517C">
      <w:pPr>
        <w:spacing w:before="80"/>
        <w:rPr>
          <w:i/>
          <w:sz w:val="22"/>
          <w:lang w:val="es-ES_tradnl"/>
        </w:rPr>
      </w:pPr>
    </w:p>
    <w:p w:rsidR="00E7517C" w:rsidRPr="0026666F" w:rsidRDefault="00E7517C" w:rsidP="00E7517C">
      <w:pPr>
        <w:spacing w:before="80"/>
        <w:rPr>
          <w:i/>
          <w:sz w:val="22"/>
          <w:lang w:val="es-ES_tradnl"/>
        </w:rPr>
      </w:pPr>
    </w:p>
    <w:p w:rsidR="00E7517C" w:rsidRPr="0026666F" w:rsidRDefault="00E7517C" w:rsidP="00E7517C">
      <w:pPr>
        <w:spacing w:before="80"/>
        <w:rPr>
          <w:i/>
          <w:sz w:val="22"/>
          <w:lang w:val="es-ES_tradnl"/>
        </w:rPr>
      </w:pPr>
    </w:p>
    <w:p w:rsidR="00E7517C" w:rsidRPr="0026666F" w:rsidRDefault="00E7517C" w:rsidP="00E7517C">
      <w:pPr>
        <w:pStyle w:val="Equation"/>
        <w:tabs>
          <w:tab w:val="clear" w:pos="4820"/>
          <w:tab w:val="clear" w:pos="9639"/>
          <w:tab w:val="left" w:pos="1191"/>
          <w:tab w:val="left" w:pos="1588"/>
          <w:tab w:val="left" w:pos="1985"/>
        </w:tabs>
        <w:rPr>
          <w:rFonts w:ascii="Palatino Linotype" w:hAnsi="Palatino Linotype"/>
          <w:lang w:val="es-ES_tradnl"/>
        </w:rPr>
        <w:sectPr w:rsidR="00E7517C" w:rsidRPr="0026666F">
          <w:headerReference w:type="even" r:id="rId7"/>
          <w:headerReference w:type="default" r:id="rId8"/>
          <w:pgSz w:w="11907" w:h="16840" w:code="9"/>
          <w:pgMar w:top="1089" w:right="1089" w:bottom="284" w:left="1089" w:header="567" w:footer="284" w:gutter="0"/>
          <w:pgNumType w:start="1"/>
          <w:cols w:space="720"/>
        </w:sectPr>
      </w:pPr>
    </w:p>
    <w:p w:rsidR="00E7517C" w:rsidRPr="006C718C" w:rsidRDefault="00E7517C" w:rsidP="00E751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E7517C" w:rsidRPr="006C718C" w:rsidRDefault="00E7517C" w:rsidP="00E7517C">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E7517C" w:rsidRPr="006C718C" w:rsidRDefault="00E7517C" w:rsidP="00E7517C">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E7517C" w:rsidRPr="00021E8A" w:rsidRDefault="00E7517C" w:rsidP="00E7517C">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E7517C" w:rsidRPr="00021E8A" w:rsidRDefault="00E7517C" w:rsidP="00E7517C">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E7517C" w:rsidRPr="007C36CA" w:rsidRDefault="00E7517C" w:rsidP="00E7517C">
      <w:pPr>
        <w:spacing w:before="0"/>
        <w:jc w:val="center"/>
        <w:rPr>
          <w:sz w:val="22"/>
          <w:lang w:val="es-ES_tradnl"/>
        </w:rPr>
      </w:pPr>
    </w:p>
    <w:p w:rsidR="00E7517C" w:rsidRPr="007C36CA" w:rsidRDefault="00E7517C" w:rsidP="00E7517C">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7517C" w:rsidRPr="00D92AE2" w:rsidTr="00CC7782">
        <w:tc>
          <w:tcPr>
            <w:tcW w:w="9360" w:type="dxa"/>
            <w:gridSpan w:val="2"/>
          </w:tcPr>
          <w:p w:rsidR="00E7517C" w:rsidRPr="00021E8A" w:rsidRDefault="00E7517C" w:rsidP="00CC7782">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E7517C" w:rsidRPr="00763D08" w:rsidRDefault="00E7517C" w:rsidP="00CC778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E7517C" w:rsidRPr="00036EE3" w:rsidTr="00CC7782">
        <w:tc>
          <w:tcPr>
            <w:tcW w:w="1140" w:type="dxa"/>
          </w:tcPr>
          <w:p w:rsidR="00E7517C" w:rsidRPr="00036EE3" w:rsidRDefault="00E7517C" w:rsidP="00CC7782">
            <w:pPr>
              <w:spacing w:before="180" w:after="100"/>
              <w:ind w:left="57"/>
              <w:rPr>
                <w:b/>
                <w:bCs/>
                <w:sz w:val="20"/>
                <w:lang w:val="en-US"/>
              </w:rPr>
            </w:pPr>
            <w:r w:rsidRPr="00036EE3">
              <w:rPr>
                <w:b/>
                <w:bCs/>
                <w:sz w:val="20"/>
                <w:lang w:val="en-US"/>
              </w:rPr>
              <w:t>Series</w:t>
            </w:r>
          </w:p>
        </w:tc>
        <w:tc>
          <w:tcPr>
            <w:tcW w:w="8220" w:type="dxa"/>
          </w:tcPr>
          <w:p w:rsidR="00E7517C" w:rsidRPr="00036EE3" w:rsidRDefault="00E7517C" w:rsidP="00CC778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E7517C" w:rsidRPr="00036EE3" w:rsidTr="00CC7782">
        <w:tc>
          <w:tcPr>
            <w:tcW w:w="1140" w:type="dxa"/>
          </w:tcPr>
          <w:p w:rsidR="00E7517C" w:rsidRPr="00036EE3" w:rsidRDefault="00E7517C" w:rsidP="00CC7782">
            <w:pPr>
              <w:spacing w:before="30" w:after="30"/>
              <w:ind w:left="57"/>
              <w:jc w:val="left"/>
              <w:rPr>
                <w:b/>
                <w:bCs/>
                <w:sz w:val="20"/>
                <w:lang w:val="en-US"/>
              </w:rPr>
            </w:pPr>
            <w:r w:rsidRPr="00036EE3">
              <w:rPr>
                <w:b/>
                <w:bCs/>
                <w:sz w:val="20"/>
                <w:lang w:val="en-US"/>
              </w:rPr>
              <w:t>BO</w:t>
            </w:r>
          </w:p>
        </w:tc>
        <w:tc>
          <w:tcPr>
            <w:tcW w:w="8220" w:type="dxa"/>
          </w:tcPr>
          <w:p w:rsidR="00E7517C" w:rsidRPr="00021E8A" w:rsidRDefault="00E7517C" w:rsidP="00CC778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E7517C" w:rsidRPr="00D92AE2" w:rsidTr="00CC7782">
        <w:tc>
          <w:tcPr>
            <w:tcW w:w="1140" w:type="dxa"/>
          </w:tcPr>
          <w:p w:rsidR="00E7517C" w:rsidRPr="00036EE3" w:rsidRDefault="00E7517C" w:rsidP="00CC7782">
            <w:pPr>
              <w:spacing w:before="30" w:after="30"/>
              <w:ind w:left="57"/>
              <w:jc w:val="left"/>
              <w:rPr>
                <w:b/>
                <w:bCs/>
                <w:sz w:val="20"/>
                <w:lang w:val="en-US"/>
              </w:rPr>
            </w:pPr>
            <w:r w:rsidRPr="00036EE3">
              <w:rPr>
                <w:b/>
                <w:bCs/>
                <w:sz w:val="20"/>
                <w:lang w:val="en-US"/>
              </w:rPr>
              <w:t>BR</w:t>
            </w:r>
          </w:p>
        </w:tc>
        <w:tc>
          <w:tcPr>
            <w:tcW w:w="8220" w:type="dxa"/>
          </w:tcPr>
          <w:p w:rsidR="00E7517C" w:rsidRPr="00021E8A" w:rsidRDefault="00E7517C" w:rsidP="00CC778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E7517C" w:rsidRPr="00036EE3" w:rsidTr="00CC7782">
        <w:tc>
          <w:tcPr>
            <w:tcW w:w="1140" w:type="dxa"/>
          </w:tcPr>
          <w:p w:rsidR="00E7517C" w:rsidRPr="00036EE3" w:rsidRDefault="00E7517C" w:rsidP="00CC7782">
            <w:pPr>
              <w:spacing w:before="30" w:after="30"/>
              <w:ind w:left="57"/>
              <w:jc w:val="left"/>
              <w:rPr>
                <w:b/>
                <w:bCs/>
                <w:sz w:val="20"/>
                <w:lang w:val="en-US"/>
              </w:rPr>
            </w:pPr>
            <w:r w:rsidRPr="00036EE3">
              <w:rPr>
                <w:b/>
                <w:bCs/>
                <w:sz w:val="20"/>
                <w:lang w:val="en-US"/>
              </w:rPr>
              <w:t>BS</w:t>
            </w:r>
          </w:p>
        </w:tc>
        <w:tc>
          <w:tcPr>
            <w:tcW w:w="8220" w:type="dxa"/>
          </w:tcPr>
          <w:p w:rsidR="00E7517C" w:rsidRPr="00021E8A" w:rsidRDefault="00E7517C" w:rsidP="00CC778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E7517C" w:rsidRPr="00ED2695" w:rsidTr="00CC7782">
        <w:tc>
          <w:tcPr>
            <w:tcW w:w="1140" w:type="dxa"/>
            <w:shd w:val="clear" w:color="auto" w:fill="auto"/>
          </w:tcPr>
          <w:p w:rsidR="00E7517C" w:rsidRPr="00ED2695" w:rsidRDefault="00E7517C" w:rsidP="00CC7782">
            <w:pPr>
              <w:spacing w:before="30" w:after="30"/>
              <w:ind w:left="57"/>
              <w:jc w:val="left"/>
              <w:rPr>
                <w:b/>
                <w:bCs/>
                <w:sz w:val="20"/>
                <w:lang w:val="en-US"/>
              </w:rPr>
            </w:pPr>
            <w:r w:rsidRPr="00ED2695">
              <w:rPr>
                <w:b/>
                <w:bCs/>
                <w:sz w:val="20"/>
                <w:lang w:val="en-US"/>
              </w:rPr>
              <w:t>BT</w:t>
            </w:r>
          </w:p>
        </w:tc>
        <w:tc>
          <w:tcPr>
            <w:tcW w:w="8220" w:type="dxa"/>
            <w:shd w:val="clear" w:color="auto" w:fill="auto"/>
          </w:tcPr>
          <w:p w:rsidR="00E7517C" w:rsidRPr="00021E8A" w:rsidRDefault="00E7517C" w:rsidP="00CC778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E7517C" w:rsidRPr="00036EE3" w:rsidTr="00CC7782">
        <w:tc>
          <w:tcPr>
            <w:tcW w:w="1140" w:type="dxa"/>
            <w:shd w:val="clear" w:color="auto" w:fill="auto"/>
          </w:tcPr>
          <w:p w:rsidR="00E7517C" w:rsidRPr="00036EE3" w:rsidRDefault="00E7517C" w:rsidP="00CC7782">
            <w:pPr>
              <w:spacing w:before="30" w:after="30"/>
              <w:ind w:left="57"/>
              <w:jc w:val="left"/>
              <w:rPr>
                <w:b/>
                <w:bCs/>
                <w:sz w:val="20"/>
                <w:lang w:val="fr-CH"/>
              </w:rPr>
            </w:pPr>
            <w:r w:rsidRPr="00036EE3">
              <w:rPr>
                <w:b/>
                <w:bCs/>
                <w:sz w:val="20"/>
                <w:lang w:val="fr-CH"/>
              </w:rPr>
              <w:t>F</w:t>
            </w:r>
          </w:p>
        </w:tc>
        <w:tc>
          <w:tcPr>
            <w:tcW w:w="8220" w:type="dxa"/>
            <w:shd w:val="clear" w:color="auto" w:fill="auto"/>
          </w:tcPr>
          <w:p w:rsidR="00E7517C" w:rsidRPr="00021E8A" w:rsidRDefault="00E7517C" w:rsidP="00CC778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E7517C" w:rsidRPr="00D92AE2" w:rsidTr="00CC7782">
        <w:tc>
          <w:tcPr>
            <w:tcW w:w="1140" w:type="dxa"/>
            <w:shd w:val="clear" w:color="auto" w:fill="F3F3F3"/>
          </w:tcPr>
          <w:p w:rsidR="00E7517C" w:rsidRPr="001240BC" w:rsidRDefault="00E7517C" w:rsidP="00CC7782">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E7517C" w:rsidRPr="001240BC" w:rsidRDefault="00E7517C" w:rsidP="00CC778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E7517C" w:rsidRPr="00D92AE2" w:rsidTr="00CC7782">
        <w:tc>
          <w:tcPr>
            <w:tcW w:w="1140" w:type="dxa"/>
          </w:tcPr>
          <w:p w:rsidR="00E7517C" w:rsidRPr="00036EE3" w:rsidRDefault="00E7517C" w:rsidP="00CC7782">
            <w:pPr>
              <w:spacing w:before="30" w:after="30"/>
              <w:ind w:left="57"/>
              <w:jc w:val="left"/>
              <w:rPr>
                <w:b/>
                <w:bCs/>
                <w:sz w:val="20"/>
                <w:lang w:val="fr-CH"/>
              </w:rPr>
            </w:pPr>
            <w:r w:rsidRPr="00036EE3">
              <w:rPr>
                <w:b/>
                <w:bCs/>
                <w:sz w:val="20"/>
                <w:lang w:val="fr-CH"/>
              </w:rPr>
              <w:t>P</w:t>
            </w:r>
          </w:p>
        </w:tc>
        <w:tc>
          <w:tcPr>
            <w:tcW w:w="8220" w:type="dxa"/>
          </w:tcPr>
          <w:p w:rsidR="00E7517C" w:rsidRPr="00021E8A" w:rsidRDefault="00E7517C" w:rsidP="00CC7782">
            <w:pPr>
              <w:spacing w:before="30" w:after="30"/>
              <w:jc w:val="left"/>
              <w:rPr>
                <w:bCs/>
                <w:sz w:val="20"/>
                <w:lang w:val="es-ES_tradnl"/>
              </w:rPr>
            </w:pPr>
            <w:r w:rsidRPr="00021E8A">
              <w:rPr>
                <w:bCs/>
                <w:sz w:val="20"/>
                <w:lang w:val="es-ES_tradnl"/>
              </w:rPr>
              <w:t>Propagación de las ondas radioeléctricas</w:t>
            </w:r>
          </w:p>
        </w:tc>
      </w:tr>
      <w:tr w:rsidR="00E7517C" w:rsidRPr="00036EE3" w:rsidTr="00CC7782">
        <w:tc>
          <w:tcPr>
            <w:tcW w:w="1140" w:type="dxa"/>
          </w:tcPr>
          <w:p w:rsidR="00E7517C" w:rsidRPr="00036EE3" w:rsidRDefault="00E7517C" w:rsidP="00CC7782">
            <w:pPr>
              <w:spacing w:before="30" w:after="30"/>
              <w:ind w:left="57"/>
              <w:jc w:val="left"/>
              <w:rPr>
                <w:b/>
                <w:bCs/>
                <w:sz w:val="20"/>
                <w:lang w:val="en-US"/>
              </w:rPr>
            </w:pPr>
            <w:r w:rsidRPr="00036EE3">
              <w:rPr>
                <w:b/>
                <w:bCs/>
                <w:sz w:val="20"/>
                <w:lang w:val="en-US"/>
              </w:rPr>
              <w:t>RA</w:t>
            </w:r>
          </w:p>
        </w:tc>
        <w:tc>
          <w:tcPr>
            <w:tcW w:w="8220" w:type="dxa"/>
          </w:tcPr>
          <w:p w:rsidR="00E7517C" w:rsidRPr="00021E8A" w:rsidRDefault="00E7517C" w:rsidP="00CC778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E7517C" w:rsidRPr="00D92AE2" w:rsidTr="00CC7782">
        <w:tc>
          <w:tcPr>
            <w:tcW w:w="1140" w:type="dxa"/>
          </w:tcPr>
          <w:p w:rsidR="00E7517C" w:rsidRPr="00036EE3" w:rsidRDefault="00E7517C" w:rsidP="00CC7782">
            <w:pPr>
              <w:spacing w:before="30" w:after="30"/>
              <w:ind w:left="57"/>
              <w:jc w:val="left"/>
              <w:rPr>
                <w:b/>
                <w:bCs/>
                <w:sz w:val="20"/>
                <w:lang w:val="en-US"/>
              </w:rPr>
            </w:pPr>
            <w:r w:rsidRPr="00036EE3">
              <w:rPr>
                <w:b/>
                <w:bCs/>
                <w:sz w:val="20"/>
                <w:lang w:val="en-US"/>
              </w:rPr>
              <w:t>RS</w:t>
            </w:r>
          </w:p>
        </w:tc>
        <w:tc>
          <w:tcPr>
            <w:tcW w:w="8220" w:type="dxa"/>
          </w:tcPr>
          <w:p w:rsidR="00E7517C" w:rsidRPr="00021E8A" w:rsidRDefault="00E7517C" w:rsidP="00CC778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E7517C" w:rsidRPr="00036EE3" w:rsidTr="00CC7782">
        <w:tc>
          <w:tcPr>
            <w:tcW w:w="1140" w:type="dxa"/>
          </w:tcPr>
          <w:p w:rsidR="00E7517C" w:rsidRPr="00036EE3" w:rsidRDefault="00E7517C" w:rsidP="00CC7782">
            <w:pPr>
              <w:spacing w:before="30" w:after="30"/>
              <w:ind w:left="57"/>
              <w:jc w:val="left"/>
              <w:rPr>
                <w:b/>
                <w:bCs/>
                <w:sz w:val="20"/>
                <w:lang w:val="en-US"/>
              </w:rPr>
            </w:pPr>
            <w:r w:rsidRPr="00036EE3">
              <w:rPr>
                <w:b/>
                <w:bCs/>
                <w:sz w:val="20"/>
                <w:lang w:val="en-US"/>
              </w:rPr>
              <w:t>S</w:t>
            </w:r>
          </w:p>
        </w:tc>
        <w:tc>
          <w:tcPr>
            <w:tcW w:w="8220" w:type="dxa"/>
          </w:tcPr>
          <w:p w:rsidR="00E7517C" w:rsidRPr="00021E8A" w:rsidRDefault="00E7517C" w:rsidP="00CC7782">
            <w:pPr>
              <w:spacing w:before="30" w:after="30"/>
              <w:jc w:val="left"/>
              <w:rPr>
                <w:bCs/>
                <w:sz w:val="20"/>
                <w:lang w:val="en-US"/>
              </w:rPr>
            </w:pPr>
            <w:r w:rsidRPr="00021E8A">
              <w:rPr>
                <w:bCs/>
                <w:sz w:val="20"/>
              </w:rPr>
              <w:t>Servicio fijo por satélite</w:t>
            </w:r>
          </w:p>
        </w:tc>
      </w:tr>
      <w:tr w:rsidR="00E7517C" w:rsidRPr="00036EE3" w:rsidTr="00CC7782">
        <w:tc>
          <w:tcPr>
            <w:tcW w:w="1140" w:type="dxa"/>
          </w:tcPr>
          <w:p w:rsidR="00E7517C" w:rsidRPr="00036EE3" w:rsidRDefault="00E7517C" w:rsidP="00CC7782">
            <w:pPr>
              <w:spacing w:before="30" w:after="30"/>
              <w:ind w:left="57"/>
              <w:jc w:val="left"/>
              <w:rPr>
                <w:b/>
                <w:bCs/>
                <w:sz w:val="20"/>
                <w:lang w:val="en-US"/>
              </w:rPr>
            </w:pPr>
            <w:r w:rsidRPr="00036EE3">
              <w:rPr>
                <w:b/>
                <w:bCs/>
                <w:sz w:val="20"/>
                <w:lang w:val="en-US"/>
              </w:rPr>
              <w:t>SA</w:t>
            </w:r>
          </w:p>
        </w:tc>
        <w:tc>
          <w:tcPr>
            <w:tcW w:w="8220" w:type="dxa"/>
          </w:tcPr>
          <w:p w:rsidR="00E7517C" w:rsidRPr="00021E8A" w:rsidRDefault="00E7517C" w:rsidP="00CC7782">
            <w:pPr>
              <w:spacing w:before="30" w:after="30"/>
              <w:jc w:val="left"/>
              <w:rPr>
                <w:bCs/>
                <w:sz w:val="20"/>
                <w:lang w:val="en-US"/>
              </w:rPr>
            </w:pPr>
            <w:r w:rsidRPr="00021E8A">
              <w:rPr>
                <w:bCs/>
                <w:sz w:val="20"/>
              </w:rPr>
              <w:t>Aplicaciones espaciales y meteorología</w:t>
            </w:r>
          </w:p>
        </w:tc>
      </w:tr>
      <w:tr w:rsidR="00E7517C" w:rsidRPr="00D92AE2" w:rsidTr="00CC7782">
        <w:tc>
          <w:tcPr>
            <w:tcW w:w="1140" w:type="dxa"/>
          </w:tcPr>
          <w:p w:rsidR="00E7517C" w:rsidRPr="00036EE3" w:rsidRDefault="00E7517C" w:rsidP="00CC7782">
            <w:pPr>
              <w:spacing w:before="30" w:after="30"/>
              <w:ind w:left="57"/>
              <w:jc w:val="left"/>
              <w:rPr>
                <w:b/>
                <w:bCs/>
                <w:sz w:val="20"/>
                <w:lang w:val="en-US"/>
              </w:rPr>
            </w:pPr>
            <w:r w:rsidRPr="00036EE3">
              <w:rPr>
                <w:b/>
                <w:bCs/>
                <w:sz w:val="20"/>
                <w:lang w:val="en-US"/>
              </w:rPr>
              <w:t>SF</w:t>
            </w:r>
          </w:p>
        </w:tc>
        <w:tc>
          <w:tcPr>
            <w:tcW w:w="8220" w:type="dxa"/>
          </w:tcPr>
          <w:p w:rsidR="00E7517C" w:rsidRPr="00021E8A" w:rsidRDefault="00E7517C" w:rsidP="00CC7782">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E7517C" w:rsidRPr="00036EE3" w:rsidTr="00CC7782">
        <w:tc>
          <w:tcPr>
            <w:tcW w:w="1140" w:type="dxa"/>
            <w:shd w:val="clear" w:color="auto" w:fill="auto"/>
          </w:tcPr>
          <w:p w:rsidR="00E7517C" w:rsidRPr="001240BC" w:rsidRDefault="00E7517C" w:rsidP="00CC7782">
            <w:pPr>
              <w:spacing w:before="30" w:after="30"/>
              <w:ind w:left="57"/>
              <w:jc w:val="left"/>
              <w:rPr>
                <w:b/>
                <w:bCs/>
                <w:sz w:val="20"/>
                <w:lang w:val="en-US"/>
              </w:rPr>
            </w:pPr>
            <w:r w:rsidRPr="001240BC">
              <w:rPr>
                <w:b/>
                <w:bCs/>
                <w:sz w:val="20"/>
                <w:lang w:val="en-US"/>
              </w:rPr>
              <w:t>SM</w:t>
            </w:r>
          </w:p>
        </w:tc>
        <w:tc>
          <w:tcPr>
            <w:tcW w:w="8220" w:type="dxa"/>
            <w:shd w:val="clear" w:color="auto" w:fill="auto"/>
          </w:tcPr>
          <w:p w:rsidR="00E7517C" w:rsidRPr="001240BC" w:rsidRDefault="00E7517C" w:rsidP="00CC7782">
            <w:pPr>
              <w:spacing w:before="30" w:after="30"/>
              <w:jc w:val="left"/>
              <w:rPr>
                <w:sz w:val="20"/>
                <w:lang w:val="en-US"/>
              </w:rPr>
            </w:pPr>
            <w:r w:rsidRPr="001240BC">
              <w:rPr>
                <w:sz w:val="20"/>
              </w:rPr>
              <w:t>Gestión del espectro</w:t>
            </w:r>
          </w:p>
        </w:tc>
      </w:tr>
      <w:tr w:rsidR="00E7517C" w:rsidRPr="00036EE3" w:rsidTr="00CC7782">
        <w:tc>
          <w:tcPr>
            <w:tcW w:w="1140" w:type="dxa"/>
          </w:tcPr>
          <w:p w:rsidR="00E7517C" w:rsidRPr="00036EE3" w:rsidRDefault="00E7517C" w:rsidP="00CC7782">
            <w:pPr>
              <w:spacing w:before="30" w:after="30"/>
              <w:ind w:left="57"/>
              <w:jc w:val="left"/>
              <w:rPr>
                <w:b/>
                <w:bCs/>
                <w:sz w:val="20"/>
                <w:lang w:val="en-US"/>
              </w:rPr>
            </w:pPr>
            <w:r w:rsidRPr="00036EE3">
              <w:rPr>
                <w:b/>
                <w:bCs/>
                <w:sz w:val="20"/>
                <w:lang w:val="en-US"/>
              </w:rPr>
              <w:t>SNG</w:t>
            </w:r>
          </w:p>
        </w:tc>
        <w:tc>
          <w:tcPr>
            <w:tcW w:w="8220" w:type="dxa"/>
          </w:tcPr>
          <w:p w:rsidR="00E7517C" w:rsidRPr="00021E8A" w:rsidRDefault="00E7517C" w:rsidP="00CC7782">
            <w:pPr>
              <w:spacing w:before="30" w:after="30"/>
              <w:jc w:val="left"/>
              <w:rPr>
                <w:bCs/>
                <w:sz w:val="20"/>
                <w:lang w:val="en-US"/>
              </w:rPr>
            </w:pPr>
            <w:r w:rsidRPr="00021E8A">
              <w:rPr>
                <w:bCs/>
                <w:sz w:val="20"/>
              </w:rPr>
              <w:t>Periodismo electrónico por satélite</w:t>
            </w:r>
          </w:p>
        </w:tc>
      </w:tr>
      <w:tr w:rsidR="00E7517C" w:rsidRPr="00D92AE2" w:rsidTr="00CC7782">
        <w:tc>
          <w:tcPr>
            <w:tcW w:w="1140" w:type="dxa"/>
          </w:tcPr>
          <w:p w:rsidR="00E7517C" w:rsidRPr="00036EE3" w:rsidRDefault="00E7517C" w:rsidP="00CC7782">
            <w:pPr>
              <w:spacing w:before="30" w:after="30"/>
              <w:ind w:left="57"/>
              <w:jc w:val="left"/>
              <w:rPr>
                <w:b/>
                <w:bCs/>
                <w:sz w:val="20"/>
                <w:lang w:val="en-US"/>
              </w:rPr>
            </w:pPr>
            <w:r w:rsidRPr="00036EE3">
              <w:rPr>
                <w:b/>
                <w:bCs/>
                <w:sz w:val="20"/>
                <w:lang w:val="en-US"/>
              </w:rPr>
              <w:t>TF</w:t>
            </w:r>
          </w:p>
        </w:tc>
        <w:tc>
          <w:tcPr>
            <w:tcW w:w="8220" w:type="dxa"/>
          </w:tcPr>
          <w:p w:rsidR="00E7517C" w:rsidRPr="00021E8A" w:rsidRDefault="00E7517C" w:rsidP="00CC7782">
            <w:pPr>
              <w:spacing w:before="30" w:after="30"/>
              <w:jc w:val="left"/>
              <w:rPr>
                <w:bCs/>
                <w:sz w:val="20"/>
                <w:lang w:val="es-ES_tradnl"/>
              </w:rPr>
            </w:pPr>
            <w:r w:rsidRPr="00021E8A">
              <w:rPr>
                <w:bCs/>
                <w:sz w:val="20"/>
                <w:lang w:val="es-ES_tradnl"/>
              </w:rPr>
              <w:t>Emisiones de frecuencias patrón y señales horarias</w:t>
            </w:r>
          </w:p>
        </w:tc>
      </w:tr>
      <w:tr w:rsidR="00E7517C" w:rsidRPr="00036EE3" w:rsidTr="00CC7782">
        <w:tc>
          <w:tcPr>
            <w:tcW w:w="1140" w:type="dxa"/>
          </w:tcPr>
          <w:p w:rsidR="00E7517C" w:rsidRPr="00036EE3" w:rsidRDefault="00E7517C" w:rsidP="00CC7782">
            <w:pPr>
              <w:spacing w:before="30" w:after="30"/>
              <w:ind w:left="57"/>
              <w:jc w:val="left"/>
              <w:rPr>
                <w:b/>
                <w:bCs/>
                <w:sz w:val="20"/>
                <w:lang w:val="en-US"/>
              </w:rPr>
            </w:pPr>
            <w:r w:rsidRPr="00036EE3">
              <w:rPr>
                <w:b/>
                <w:bCs/>
                <w:sz w:val="20"/>
                <w:lang w:val="en-US"/>
              </w:rPr>
              <w:t>V</w:t>
            </w:r>
          </w:p>
        </w:tc>
        <w:tc>
          <w:tcPr>
            <w:tcW w:w="8220" w:type="dxa"/>
          </w:tcPr>
          <w:p w:rsidR="00E7517C" w:rsidRPr="00021E8A" w:rsidRDefault="00E7517C" w:rsidP="00CC7782">
            <w:pPr>
              <w:spacing w:before="30" w:after="140"/>
              <w:jc w:val="left"/>
              <w:rPr>
                <w:bCs/>
                <w:sz w:val="20"/>
                <w:lang w:val="en-US"/>
              </w:rPr>
            </w:pPr>
            <w:r w:rsidRPr="00021E8A">
              <w:rPr>
                <w:bCs/>
                <w:sz w:val="20"/>
              </w:rPr>
              <w:t>Vocabulario y cuestiones afines</w:t>
            </w:r>
          </w:p>
        </w:tc>
      </w:tr>
    </w:tbl>
    <w:p w:rsidR="00E7517C" w:rsidRPr="00036EE3" w:rsidRDefault="00E7517C" w:rsidP="00E7517C">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7517C" w:rsidTr="00CC7782">
        <w:tc>
          <w:tcPr>
            <w:tcW w:w="720" w:type="dxa"/>
          </w:tcPr>
          <w:p w:rsidR="00E7517C" w:rsidRDefault="00E7517C" w:rsidP="00CC7782">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E7517C" w:rsidRPr="00D92AE2" w:rsidTr="00CC7782">
        <w:tc>
          <w:tcPr>
            <w:tcW w:w="9360" w:type="dxa"/>
          </w:tcPr>
          <w:p w:rsidR="00E7517C" w:rsidRPr="00A07AEB" w:rsidRDefault="00E7517C" w:rsidP="00CC7782">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E7517C" w:rsidRPr="00763D08" w:rsidRDefault="00E7517C" w:rsidP="00E7517C">
      <w:pPr>
        <w:spacing w:before="0"/>
        <w:jc w:val="center"/>
        <w:rPr>
          <w:sz w:val="22"/>
          <w:lang w:val="es-ES_tradnl"/>
        </w:rPr>
      </w:pPr>
    </w:p>
    <w:p w:rsidR="00E7517C" w:rsidRPr="00763D08" w:rsidRDefault="00E7517C" w:rsidP="00E7517C">
      <w:pPr>
        <w:spacing w:before="60"/>
        <w:jc w:val="right"/>
        <w:rPr>
          <w:i/>
          <w:iCs/>
          <w:sz w:val="20"/>
          <w:lang w:val="es-ES_tradnl"/>
        </w:rPr>
      </w:pPr>
      <w:r w:rsidRPr="00763D08">
        <w:rPr>
          <w:i/>
          <w:iCs/>
          <w:sz w:val="20"/>
          <w:lang w:val="es-ES_tradnl"/>
        </w:rPr>
        <w:t>Publicación electrónica</w:t>
      </w:r>
    </w:p>
    <w:p w:rsidR="00E7517C" w:rsidRPr="00763D08" w:rsidRDefault="00E7517C" w:rsidP="00E7517C">
      <w:pPr>
        <w:spacing w:before="0" w:after="40"/>
        <w:jc w:val="right"/>
        <w:rPr>
          <w:sz w:val="20"/>
          <w:lang w:val="es-ES_tradnl"/>
        </w:rPr>
      </w:pPr>
      <w:r w:rsidRPr="00763D08">
        <w:rPr>
          <w:sz w:val="20"/>
          <w:lang w:val="es-ES_tradnl"/>
        </w:rPr>
        <w:t>Ginebra, 20</w:t>
      </w:r>
      <w:r>
        <w:rPr>
          <w:sz w:val="20"/>
          <w:lang w:val="es-ES_tradnl"/>
        </w:rPr>
        <w:t>14</w:t>
      </w:r>
    </w:p>
    <w:p w:rsidR="00E7517C" w:rsidRPr="00763D08" w:rsidRDefault="00E7517C" w:rsidP="00E7517C">
      <w:pPr>
        <w:spacing w:before="0"/>
        <w:jc w:val="center"/>
        <w:rPr>
          <w:sz w:val="22"/>
          <w:lang w:val="es-ES_tradnl"/>
        </w:rPr>
      </w:pPr>
    </w:p>
    <w:p w:rsidR="00E7517C" w:rsidRPr="00763D08" w:rsidRDefault="00E7517C" w:rsidP="00E7517C">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14</w:t>
      </w:r>
    </w:p>
    <w:p w:rsidR="00E7517C" w:rsidRPr="006C718C" w:rsidRDefault="00E7517C" w:rsidP="00E7517C">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E7517C" w:rsidRPr="006C718C" w:rsidRDefault="00E7517C" w:rsidP="00E7517C">
      <w:pPr>
        <w:spacing w:before="160"/>
        <w:rPr>
          <w:i/>
          <w:sz w:val="20"/>
          <w:highlight w:val="yellow"/>
          <w:lang w:val="es-ES_tradnl"/>
        </w:rPr>
        <w:sectPr w:rsidR="00E7517C" w:rsidRPr="006C718C" w:rsidSect="00CC7782">
          <w:headerReference w:type="even" r:id="rId11"/>
          <w:headerReference w:type="default" r:id="rId12"/>
          <w:pgSz w:w="11907" w:h="16834" w:code="9"/>
          <w:pgMar w:top="1418" w:right="1134" w:bottom="1134" w:left="1134" w:header="720" w:footer="482" w:gutter="0"/>
          <w:pgNumType w:fmt="lowerRoman" w:start="2"/>
          <w:cols w:space="720"/>
        </w:sectPr>
      </w:pPr>
    </w:p>
    <w:p w:rsidR="00E7517C" w:rsidRPr="0010336F" w:rsidRDefault="00E7517C" w:rsidP="00E7517C">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Pr>
          <w:rStyle w:val="href"/>
          <w:lang w:val="es-ES_tradnl"/>
        </w:rPr>
        <w:t>2030</w:t>
      </w:r>
    </w:p>
    <w:p w:rsidR="00E7517C" w:rsidRPr="00392CD2" w:rsidRDefault="00E7517C" w:rsidP="005D1D98">
      <w:pPr>
        <w:pStyle w:val="Rectitle"/>
        <w:rPr>
          <w:rFonts w:asciiTheme="majorBidi" w:hAnsiTheme="majorBidi" w:cstheme="majorBidi"/>
          <w:sz w:val="24"/>
          <w:szCs w:val="24"/>
          <w:lang w:val="es-ES"/>
        </w:rPr>
      </w:pPr>
      <w:r w:rsidRPr="00392CD2">
        <w:rPr>
          <w:rFonts w:asciiTheme="majorBidi" w:hAnsiTheme="majorBidi" w:cstheme="majorBidi"/>
          <w:sz w:val="24"/>
          <w:szCs w:val="24"/>
          <w:lang w:val="es-ES"/>
        </w:rPr>
        <w:t>Modelo de evaluación de la interferencia impulsiva causada por fuentes radioeléctricas</w:t>
      </w:r>
      <w:r w:rsidR="005D1D98">
        <w:rPr>
          <w:rFonts w:asciiTheme="majorBidi" w:hAnsiTheme="majorBidi" w:cstheme="majorBidi"/>
          <w:sz w:val="24"/>
          <w:szCs w:val="24"/>
          <w:lang w:val="es-ES"/>
        </w:rPr>
        <w:br/>
      </w:r>
      <w:r w:rsidRPr="00392CD2">
        <w:rPr>
          <w:rFonts w:asciiTheme="majorBidi" w:hAnsiTheme="majorBidi" w:cstheme="majorBidi"/>
          <w:sz w:val="24"/>
          <w:szCs w:val="24"/>
          <w:lang w:val="es-ES"/>
        </w:rPr>
        <w:t>pertinentes distintas de las del servicio de radionavegación</w:t>
      </w:r>
      <w:r w:rsidR="005D1D98">
        <w:rPr>
          <w:rFonts w:asciiTheme="majorBidi" w:hAnsiTheme="majorBidi" w:cstheme="majorBidi"/>
          <w:sz w:val="24"/>
          <w:szCs w:val="24"/>
          <w:lang w:val="es-ES"/>
        </w:rPr>
        <w:t xml:space="preserve"> </w:t>
      </w:r>
      <w:r w:rsidRPr="00392CD2">
        <w:rPr>
          <w:rFonts w:asciiTheme="majorBidi" w:hAnsiTheme="majorBidi" w:cstheme="majorBidi"/>
          <w:sz w:val="24"/>
          <w:szCs w:val="24"/>
          <w:lang w:val="es-ES"/>
        </w:rPr>
        <w:t>por satélite a sistemas</w:t>
      </w:r>
      <w:r w:rsidR="005D1D98">
        <w:rPr>
          <w:rFonts w:asciiTheme="majorBidi" w:hAnsiTheme="majorBidi" w:cstheme="majorBidi"/>
          <w:sz w:val="24"/>
          <w:szCs w:val="24"/>
          <w:lang w:val="es-ES"/>
        </w:rPr>
        <w:br/>
      </w:r>
      <w:r w:rsidRPr="00392CD2">
        <w:rPr>
          <w:rFonts w:asciiTheme="majorBidi" w:hAnsiTheme="majorBidi" w:cstheme="majorBidi"/>
          <w:sz w:val="24"/>
          <w:szCs w:val="24"/>
          <w:lang w:val="es-ES"/>
        </w:rPr>
        <w:t>y redes del servicio de radionavegación por satélite que funcionan en las bandas</w:t>
      </w:r>
      <w:r w:rsidR="005D1D98">
        <w:rPr>
          <w:rFonts w:asciiTheme="majorBidi" w:hAnsiTheme="majorBidi" w:cstheme="majorBidi"/>
          <w:sz w:val="24"/>
          <w:szCs w:val="24"/>
          <w:lang w:val="es-ES"/>
        </w:rPr>
        <w:br/>
      </w:r>
      <w:r w:rsidRPr="00392CD2">
        <w:rPr>
          <w:rFonts w:asciiTheme="majorBidi" w:hAnsiTheme="majorBidi" w:cstheme="majorBidi"/>
          <w:sz w:val="24"/>
          <w:szCs w:val="24"/>
          <w:lang w:val="es-ES"/>
        </w:rPr>
        <w:t>de frecuencias</w:t>
      </w:r>
      <w:r w:rsidR="005D1D98">
        <w:rPr>
          <w:rFonts w:asciiTheme="majorBidi" w:hAnsiTheme="majorBidi" w:cstheme="majorBidi"/>
          <w:sz w:val="24"/>
          <w:szCs w:val="24"/>
          <w:lang w:val="es-ES"/>
        </w:rPr>
        <w:t xml:space="preserve"> </w:t>
      </w:r>
      <w:r w:rsidRPr="00392CD2">
        <w:rPr>
          <w:rFonts w:asciiTheme="majorBidi" w:hAnsiTheme="majorBidi" w:cstheme="majorBidi"/>
          <w:sz w:val="24"/>
          <w:szCs w:val="24"/>
          <w:lang w:val="es-ES"/>
        </w:rPr>
        <w:t>1 164-1 215 MHz, 1 215-1 300 MHz</w:t>
      </w:r>
      <w:r w:rsidR="005D1D98">
        <w:rPr>
          <w:rFonts w:asciiTheme="majorBidi" w:hAnsiTheme="majorBidi" w:cstheme="majorBidi"/>
          <w:sz w:val="24"/>
          <w:szCs w:val="24"/>
          <w:lang w:val="es-ES"/>
        </w:rPr>
        <w:t xml:space="preserve"> </w:t>
      </w:r>
      <w:r w:rsidRPr="00392CD2">
        <w:rPr>
          <w:rFonts w:asciiTheme="majorBidi" w:hAnsiTheme="majorBidi" w:cstheme="majorBidi"/>
          <w:sz w:val="24"/>
          <w:szCs w:val="24"/>
          <w:lang w:val="es-ES"/>
        </w:rPr>
        <w:t>y 1 559-1 610 MHz</w:t>
      </w:r>
    </w:p>
    <w:p w:rsidR="00E7517C" w:rsidRDefault="00E7517C" w:rsidP="005D1D98">
      <w:pPr>
        <w:pStyle w:val="Recref"/>
        <w:rPr>
          <w:snapToGrid w:val="0"/>
          <w:lang w:val="es-ES"/>
        </w:rPr>
      </w:pPr>
      <w:r w:rsidRPr="00392CD2">
        <w:rPr>
          <w:snapToGrid w:val="0"/>
          <w:lang w:val="es-ES"/>
        </w:rPr>
        <w:t xml:space="preserve">(Cuestiones UIT-R 217-2/4 </w:t>
      </w:r>
      <w:r>
        <w:rPr>
          <w:snapToGrid w:val="0"/>
          <w:lang w:val="es-ES"/>
        </w:rPr>
        <w:t>y</w:t>
      </w:r>
      <w:r w:rsidRPr="00392CD2">
        <w:rPr>
          <w:snapToGrid w:val="0"/>
          <w:lang w:val="es-ES"/>
        </w:rPr>
        <w:t xml:space="preserve"> UIT-R 288/4)</w:t>
      </w:r>
    </w:p>
    <w:p w:rsidR="005D1D98" w:rsidRPr="000E4C61" w:rsidRDefault="005D1D98" w:rsidP="005D1D98">
      <w:pPr>
        <w:pStyle w:val="Blanc"/>
        <w:rPr>
          <w:lang w:val="es-ES_tradnl"/>
        </w:rPr>
      </w:pPr>
    </w:p>
    <w:p w:rsidR="00E7517C" w:rsidRPr="00392CD2" w:rsidRDefault="00E7517C" w:rsidP="00E7517C">
      <w:pPr>
        <w:pStyle w:val="Recdate"/>
        <w:rPr>
          <w:lang w:val="es-ES"/>
        </w:rPr>
      </w:pPr>
      <w:r w:rsidRPr="00392CD2">
        <w:rPr>
          <w:lang w:val="es-ES"/>
        </w:rPr>
        <w:t>(2012)</w:t>
      </w:r>
    </w:p>
    <w:p w:rsidR="005D1D98" w:rsidRPr="000E4C61" w:rsidRDefault="005D1D98" w:rsidP="005D1D98">
      <w:pPr>
        <w:pStyle w:val="Blanc"/>
        <w:rPr>
          <w:lang w:val="es-ES_tradnl"/>
        </w:rPr>
      </w:pPr>
    </w:p>
    <w:p w:rsidR="00E7517C" w:rsidRPr="00392CD2" w:rsidRDefault="00E7517C" w:rsidP="00E7517C">
      <w:pPr>
        <w:pStyle w:val="Headingb"/>
        <w:rPr>
          <w:lang w:val="es-ES"/>
        </w:rPr>
      </w:pPr>
      <w:r w:rsidRPr="00392CD2">
        <w:rPr>
          <w:lang w:val="es-ES"/>
        </w:rPr>
        <w:t>Cometido</w:t>
      </w:r>
    </w:p>
    <w:p w:rsidR="00E7517C" w:rsidRPr="00392CD2" w:rsidRDefault="00E7517C" w:rsidP="005D1D98">
      <w:pPr>
        <w:pStyle w:val="Summary"/>
        <w:rPr>
          <w:lang w:val="es-ES"/>
        </w:rPr>
      </w:pPr>
      <w:r w:rsidRPr="00392CD2">
        <w:rPr>
          <w:lang w:val="es-ES"/>
        </w:rPr>
        <w:t>Esta Recomendación presenta un método que debe utilizarse en la evaluación inicial de la posibilidad de que otras fuentes radioeléctricas pertinentes</w:t>
      </w:r>
      <w:r w:rsidRPr="005F3886">
        <w:rPr>
          <w:rStyle w:val="FootnoteReference"/>
          <w:szCs w:val="18"/>
          <w:lang w:val="es-ES"/>
        </w:rPr>
        <w:footnoteReference w:id="1"/>
      </w:r>
      <w:r w:rsidRPr="00392CD2">
        <w:rPr>
          <w:lang w:val="es-ES"/>
        </w:rPr>
        <w:t xml:space="preserve"> distintas a las del servicio de radionavegación por satélite (SRNS) causen interferencia impulsiva</w:t>
      </w:r>
      <w:r w:rsidRPr="00392CD2">
        <w:rPr>
          <w:rStyle w:val="FootnoteReference"/>
          <w:lang w:val="es-ES"/>
        </w:rPr>
        <w:footnoteReference w:id="2"/>
      </w:r>
      <w:r w:rsidRPr="00392CD2">
        <w:rPr>
          <w:lang w:val="es-ES"/>
        </w:rPr>
        <w:t xml:space="preserve"> a un sistema o una red de este servicio que funciona en las bandas de f</w:t>
      </w:r>
      <w:r>
        <w:rPr>
          <w:lang w:val="es-ES"/>
        </w:rPr>
        <w:t>recuencia 1</w:t>
      </w:r>
      <w:r w:rsidR="005D1D98">
        <w:rPr>
          <w:lang w:val="es-ES"/>
        </w:rPr>
        <w:t> </w:t>
      </w:r>
      <w:r>
        <w:rPr>
          <w:lang w:val="es-ES"/>
        </w:rPr>
        <w:t>164-1 215 MHz, 1 215</w:t>
      </w:r>
      <w:r w:rsidRPr="00392CD2">
        <w:rPr>
          <w:lang w:val="es-ES"/>
        </w:rPr>
        <w:t>-1 300 MHz y 1 559-1 610 MHz. Los componentes del método de evaluación son un conjunto de ecuaciones y un cuadro de parámetros recomendados y de relaciones de degradación admisibles</w:t>
      </w:r>
      <w:r w:rsidRPr="00392CD2">
        <w:rPr>
          <w:rStyle w:val="FootnoteReference"/>
          <w:lang w:val="es-ES"/>
        </w:rPr>
        <w:footnoteReference w:id="3"/>
      </w:r>
      <w:r w:rsidRPr="00392CD2">
        <w:rPr>
          <w:lang w:val="es-ES"/>
        </w:rPr>
        <w:t xml:space="preserve"> para cada banda de frecuencias y cada tipo de receptor del SRNS. Aunque las ecuaciones del método de evaluación son aplicables a los receptores del SRNS en la banda 1 559-1 610 MHz, se necesitan más estudios para elaborar el cuadro pertinente de parámetros del método recomendados y relaciones de degradación admisibles para esa banda de frecuencias antes de que el método de evaluación quede completamente definido para la citada banda 1 559-1 610 MHz</w:t>
      </w:r>
      <w:r>
        <w:rPr>
          <w:lang w:val="es-ES"/>
        </w:rPr>
        <w:t>.</w:t>
      </w:r>
    </w:p>
    <w:p w:rsidR="00E7517C" w:rsidRPr="00392CD2" w:rsidRDefault="00E7517C" w:rsidP="00E7517C">
      <w:pPr>
        <w:pStyle w:val="Normalaftertitle"/>
        <w:rPr>
          <w:lang w:val="es-ES"/>
        </w:rPr>
      </w:pPr>
      <w:r w:rsidRPr="00392CD2">
        <w:rPr>
          <w:lang w:val="es-ES"/>
        </w:rPr>
        <w:t>La Asamblea de Radiocomunicaciones de la UIT,</w:t>
      </w:r>
    </w:p>
    <w:p w:rsidR="00E7517C" w:rsidRPr="00392CD2" w:rsidRDefault="00E7517C" w:rsidP="00E7517C">
      <w:pPr>
        <w:pStyle w:val="Call"/>
        <w:rPr>
          <w:lang w:val="es-ES"/>
        </w:rPr>
      </w:pPr>
      <w:r w:rsidRPr="00392CD2">
        <w:rPr>
          <w:lang w:val="es-ES"/>
        </w:rPr>
        <w:t>considerando</w:t>
      </w:r>
    </w:p>
    <w:p w:rsidR="00E7517C" w:rsidRPr="00392CD2" w:rsidRDefault="00E7517C" w:rsidP="00E7517C">
      <w:pPr>
        <w:rPr>
          <w:lang w:val="es-ES"/>
        </w:rPr>
      </w:pPr>
      <w:r w:rsidRPr="005D1D98">
        <w:rPr>
          <w:i/>
          <w:iCs/>
          <w:lang w:val="es-ES"/>
        </w:rPr>
        <w:t>a)</w:t>
      </w:r>
      <w:r w:rsidRPr="00392CD2">
        <w:rPr>
          <w:lang w:val="es-ES"/>
        </w:rPr>
        <w:tab/>
        <w:t>que los sistemas y redes del servicio de radionavegación por satélite (SRNS) proporcionan en todo el mundo información exacta para numerosas aplicaciones de determinación de la posición, navegación y temporización, con inclusión de aspectos relativos a la seguridad para algunas bandas de frecuencias y en determinadas circunstancias y aplicaciones;</w:t>
      </w:r>
    </w:p>
    <w:p w:rsidR="00E7517C" w:rsidRPr="00392CD2" w:rsidRDefault="00E7517C" w:rsidP="00E7517C">
      <w:pPr>
        <w:rPr>
          <w:lang w:val="es-ES"/>
        </w:rPr>
      </w:pPr>
      <w:r w:rsidRPr="00392CD2">
        <w:rPr>
          <w:lang w:val="es-ES"/>
        </w:rPr>
        <w:t>b)</w:t>
      </w:r>
      <w:r w:rsidRPr="00392CD2">
        <w:rPr>
          <w:lang w:val="es-ES"/>
        </w:rPr>
        <w:tab/>
        <w:t>que, por regla general, los transmisores radioeléctricos emiten un nivel de emisiones fuera de banda que depende de las condiciones de su utilización;</w:t>
      </w:r>
    </w:p>
    <w:p w:rsidR="00E7517C" w:rsidRPr="00392CD2" w:rsidRDefault="00E7517C" w:rsidP="00E7517C">
      <w:pPr>
        <w:rPr>
          <w:lang w:val="es-ES"/>
        </w:rPr>
      </w:pPr>
      <w:r w:rsidRPr="005D1D98">
        <w:rPr>
          <w:i/>
          <w:iCs/>
          <w:lang w:val="es-ES"/>
        </w:rPr>
        <w:t>c)</w:t>
      </w:r>
      <w:r w:rsidRPr="00392CD2">
        <w:rPr>
          <w:lang w:val="es-ES"/>
        </w:rPr>
        <w:tab/>
        <w:t>que si bien el Apéndice 3 del Reglamento de Radiocomunicaciones (RR) estipula los niveles máximos de potencia permitidos de las emisiones no esenciales, también indica que, como en ciertos casos, esos niveles quizás no proporcionen una protección suficiente a las estaciones receptoras en los servicios espaciales y podría ser necesario considerar niveles más estrictos en cada caso particular, según la posición geográfica de las estaciones de que se trate, y que esos niveles pueden no ser aplicables a sistemas que utilizan técnicas de modulación digital;</w:t>
      </w:r>
    </w:p>
    <w:p w:rsidR="00E7517C" w:rsidRPr="00392CD2" w:rsidRDefault="00E7517C" w:rsidP="00FB7FD9">
      <w:pPr>
        <w:keepNext/>
        <w:keepLines/>
        <w:rPr>
          <w:lang w:val="es-ES"/>
        </w:rPr>
      </w:pPr>
      <w:r w:rsidRPr="005D1D98">
        <w:rPr>
          <w:i/>
          <w:iCs/>
          <w:lang w:val="es-ES"/>
        </w:rPr>
        <w:lastRenderedPageBreak/>
        <w:t>d)</w:t>
      </w:r>
      <w:r w:rsidRPr="00392CD2">
        <w:rPr>
          <w:lang w:val="es-ES"/>
        </w:rPr>
        <w:tab/>
        <w:t>que las bandas 1 164</w:t>
      </w:r>
      <w:r w:rsidRPr="00392CD2">
        <w:rPr>
          <w:lang w:val="es-ES"/>
        </w:rPr>
        <w:noBreakHyphen/>
        <w:t>1 215 MHz, 1 215</w:t>
      </w:r>
      <w:r w:rsidRPr="00392CD2">
        <w:rPr>
          <w:lang w:val="es-ES"/>
        </w:rPr>
        <w:noBreakHyphen/>
        <w:t>1 300 MHz, 1 559</w:t>
      </w:r>
      <w:r w:rsidRPr="00392CD2">
        <w:rPr>
          <w:lang w:val="es-ES"/>
        </w:rPr>
        <w:noBreakHyphen/>
        <w:t>1 610 MHz y 5 010</w:t>
      </w:r>
      <w:r w:rsidRPr="00392CD2">
        <w:rPr>
          <w:lang w:val="es-ES"/>
        </w:rPr>
        <w:noBreakHyphen/>
        <w:t>5 030 MHz también son atribuidas, a título primario o secundario, a otros servicios aparte del SRNS;</w:t>
      </w:r>
    </w:p>
    <w:p w:rsidR="00E7517C" w:rsidRPr="00392CD2" w:rsidRDefault="00E7517C" w:rsidP="00E7517C">
      <w:pPr>
        <w:rPr>
          <w:lang w:val="es-ES"/>
        </w:rPr>
      </w:pPr>
      <w:r w:rsidRPr="005D1D98">
        <w:rPr>
          <w:i/>
          <w:iCs/>
          <w:lang w:val="es-ES"/>
        </w:rPr>
        <w:t>e)</w:t>
      </w:r>
      <w:r w:rsidRPr="00392CD2">
        <w:rPr>
          <w:lang w:val="es-ES"/>
        </w:rPr>
        <w:tab/>
        <w:t>que las emisiones procedentes de otros sistemas y redes del SRNS, y de otros servicios y fuentes, en las bandas atribuidas al SRNS, así como las emisiones no deseadas, pueden causar interferencia a receptores de un sistema o de una red del SRNS y deberían incluirse en una</w:t>
      </w:r>
      <w:r>
        <w:rPr>
          <w:lang w:val="es-ES"/>
        </w:rPr>
        <w:t xml:space="preserve"> evaluación de la interferencia;</w:t>
      </w:r>
    </w:p>
    <w:p w:rsidR="00E7517C" w:rsidRPr="00392CD2" w:rsidRDefault="00E7517C" w:rsidP="00E7517C">
      <w:pPr>
        <w:pStyle w:val="Call"/>
        <w:ind w:left="0"/>
        <w:rPr>
          <w:i w:val="0"/>
          <w:lang w:val="es-ES"/>
        </w:rPr>
      </w:pPr>
      <w:r w:rsidRPr="005D1D98">
        <w:rPr>
          <w:rFonts w:eastAsia="SimSun"/>
          <w:iCs/>
          <w:szCs w:val="24"/>
          <w:lang w:val="es-ES" w:eastAsia="zh-CN"/>
        </w:rPr>
        <w:t>f)</w:t>
      </w:r>
      <w:r w:rsidRPr="00392CD2">
        <w:rPr>
          <w:rFonts w:eastAsia="SimSun"/>
          <w:i w:val="0"/>
          <w:szCs w:val="24"/>
          <w:lang w:val="es-ES" w:eastAsia="zh-CN"/>
        </w:rPr>
        <w:tab/>
        <w:t xml:space="preserve">que se necesitan más estudios para caracterizar de forma adecuada los efectos de la interferencia causada a los receptores </w:t>
      </w:r>
      <w:r>
        <w:rPr>
          <w:rFonts w:eastAsia="SimSun"/>
          <w:i w:val="0"/>
          <w:szCs w:val="24"/>
          <w:lang w:val="es-ES" w:eastAsia="zh-CN"/>
        </w:rPr>
        <w:t>d</w:t>
      </w:r>
      <w:r w:rsidRPr="00392CD2">
        <w:rPr>
          <w:rFonts w:eastAsia="SimSun"/>
          <w:i w:val="0"/>
          <w:szCs w:val="24"/>
          <w:lang w:val="es-ES" w:eastAsia="zh-CN"/>
        </w:rPr>
        <w:t>el SRNS por las emisiones procedentes de fuentes de RF impulsiva que funcionan en las bandas 1 559-1 610 MHz y 5 010-5 030 MHz y cerca de ellas,</w:t>
      </w:r>
    </w:p>
    <w:p w:rsidR="00E7517C" w:rsidRPr="00392CD2" w:rsidRDefault="00E7517C" w:rsidP="00E7517C">
      <w:pPr>
        <w:pStyle w:val="Call"/>
        <w:rPr>
          <w:lang w:val="es-ES"/>
        </w:rPr>
      </w:pPr>
      <w:r w:rsidRPr="00392CD2">
        <w:rPr>
          <w:lang w:val="es-ES"/>
        </w:rPr>
        <w:t>observando</w:t>
      </w:r>
    </w:p>
    <w:p w:rsidR="00E7517C" w:rsidRPr="00392CD2" w:rsidRDefault="00E7517C" w:rsidP="00E7517C">
      <w:pPr>
        <w:rPr>
          <w:i/>
          <w:iCs/>
          <w:lang w:val="es-ES"/>
        </w:rPr>
      </w:pPr>
      <w:r w:rsidRPr="005D1D98">
        <w:rPr>
          <w:i/>
          <w:iCs/>
          <w:lang w:val="es-ES"/>
        </w:rPr>
        <w:t>a)</w:t>
      </w:r>
      <w:r w:rsidRPr="00392CD2">
        <w:rPr>
          <w:lang w:val="es-ES"/>
        </w:rPr>
        <w:tab/>
        <w:t>que varias Recomendaciones UIT-R proporcionan datos técnicos y criterios de protección para el funcionamiento de los sistemas y redes del SRNS;</w:t>
      </w:r>
    </w:p>
    <w:p w:rsidR="00E7517C" w:rsidRPr="00392CD2" w:rsidRDefault="00E7517C" w:rsidP="00E7517C">
      <w:pPr>
        <w:rPr>
          <w:lang w:val="es-ES"/>
        </w:rPr>
      </w:pPr>
      <w:r w:rsidRPr="005D1D98">
        <w:rPr>
          <w:i/>
          <w:iCs/>
          <w:lang w:val="es-ES"/>
        </w:rPr>
        <w:t>b)</w:t>
      </w:r>
      <w:r w:rsidRPr="00392CD2">
        <w:rPr>
          <w:lang w:val="es-ES"/>
        </w:rPr>
        <w:tab/>
      </w:r>
      <w:r>
        <w:rPr>
          <w:lang w:val="es-ES"/>
        </w:rPr>
        <w:t>que la Recomendación UIT-R RS.</w:t>
      </w:r>
      <w:r w:rsidRPr="00392CD2">
        <w:rPr>
          <w:lang w:val="es-ES"/>
        </w:rPr>
        <w:t>1347 también proporciona una metodología de evaluación de la interferencia impulsiva causada a</w:t>
      </w:r>
      <w:r>
        <w:rPr>
          <w:lang w:val="es-ES"/>
        </w:rPr>
        <w:t xml:space="preserve"> un receptor del SRNS por los ra</w:t>
      </w:r>
      <w:r w:rsidRPr="00392CD2">
        <w:rPr>
          <w:lang w:val="es-ES"/>
        </w:rPr>
        <w:t>dares de apertura sintética y los resultados de las pruebas de medición en la banda 1 215-1 300 MHz;</w:t>
      </w:r>
    </w:p>
    <w:p w:rsidR="00E7517C" w:rsidRPr="00392CD2" w:rsidRDefault="00E7517C" w:rsidP="00E7517C">
      <w:pPr>
        <w:rPr>
          <w:lang w:val="es-ES"/>
        </w:rPr>
      </w:pPr>
      <w:r w:rsidRPr="005D1D98">
        <w:rPr>
          <w:i/>
          <w:iCs/>
          <w:lang w:val="es-ES"/>
        </w:rPr>
        <w:t>c)</w:t>
      </w:r>
      <w:r w:rsidRPr="00392CD2">
        <w:rPr>
          <w:lang w:val="es-ES"/>
        </w:rPr>
        <w:tab/>
        <w:t>que el Informe UIT-R M.2220 presenta un método para calcular ciertos parámetros utilizados por esta Recomendación junto con texto y ejemplos de apoyo,</w:t>
      </w:r>
    </w:p>
    <w:p w:rsidR="00E7517C" w:rsidRPr="00392CD2" w:rsidRDefault="00E7517C" w:rsidP="00E7517C">
      <w:pPr>
        <w:pStyle w:val="Call"/>
        <w:keepNext w:val="0"/>
        <w:keepLines w:val="0"/>
        <w:jc w:val="left"/>
        <w:rPr>
          <w:lang w:val="es-ES"/>
        </w:rPr>
      </w:pPr>
      <w:r w:rsidRPr="00392CD2">
        <w:rPr>
          <w:lang w:val="es-ES"/>
        </w:rPr>
        <w:t>reconociendo</w:t>
      </w:r>
    </w:p>
    <w:p w:rsidR="00E7517C" w:rsidRPr="00392CD2" w:rsidRDefault="00E7517C" w:rsidP="00E7517C">
      <w:pPr>
        <w:rPr>
          <w:lang w:val="es-ES"/>
        </w:rPr>
      </w:pPr>
      <w:r w:rsidRPr="00392CD2">
        <w:rPr>
          <w:lang w:val="es-ES"/>
        </w:rPr>
        <w:t>que el número 4.5 del RR establece «la frecuencia asignada a una estación de un servicio dado deberá hallarse suficientemente separada de los límites de la banda atribuida a dicho servicio para que, teniendo en cuenta la banda de frecuencias asignada a dicha estación, no cause interferencia perjudicial a aquellos servicios a los que se hayan atribuido las bandas adyacentes»,</w:t>
      </w:r>
    </w:p>
    <w:p w:rsidR="00E7517C" w:rsidRPr="00392CD2" w:rsidRDefault="00E7517C" w:rsidP="00E7517C">
      <w:pPr>
        <w:pStyle w:val="Call"/>
        <w:keepNext w:val="0"/>
        <w:keepLines w:val="0"/>
        <w:jc w:val="left"/>
        <w:rPr>
          <w:lang w:val="es-ES"/>
        </w:rPr>
      </w:pPr>
      <w:r w:rsidRPr="00392CD2">
        <w:rPr>
          <w:lang w:val="es-ES"/>
        </w:rPr>
        <w:t>recomienda</w:t>
      </w:r>
    </w:p>
    <w:p w:rsidR="00E7517C" w:rsidRPr="00392CD2" w:rsidRDefault="00E7517C" w:rsidP="00F170A1">
      <w:pPr>
        <w:rPr>
          <w:lang w:val="es-ES"/>
        </w:rPr>
      </w:pPr>
      <w:r w:rsidRPr="00392CD2">
        <w:rPr>
          <w:b/>
          <w:lang w:val="es-ES"/>
        </w:rPr>
        <w:t>1</w:t>
      </w:r>
      <w:r w:rsidRPr="00392CD2">
        <w:rPr>
          <w:b/>
          <w:lang w:val="es-ES"/>
        </w:rPr>
        <w:tab/>
      </w:r>
      <w:r w:rsidRPr="00392CD2">
        <w:rPr>
          <w:lang w:val="es-ES"/>
        </w:rPr>
        <w:t>que se utilice el modelo analítico que figura en el Anexo 1 a la presente Recomendación en la evaluación preliminar de la posibilidad de que otras fuentes radioeléctricas distintas a las del SRNS causen interferencia impulsiva en sistemas o redes del SRNS que funcionan en las bandas 1 164</w:t>
      </w:r>
      <w:r w:rsidRPr="00392CD2">
        <w:rPr>
          <w:lang w:val="es-ES"/>
        </w:rPr>
        <w:noBreakHyphen/>
        <w:t>1 215 MHz</w:t>
      </w:r>
      <w:r w:rsidR="00F170A1">
        <w:rPr>
          <w:lang w:val="es-ES"/>
        </w:rPr>
        <w:t xml:space="preserve"> o</w:t>
      </w:r>
      <w:r w:rsidRPr="00392CD2">
        <w:rPr>
          <w:lang w:val="es-ES"/>
        </w:rPr>
        <w:t xml:space="preserve"> 1 215</w:t>
      </w:r>
      <w:r w:rsidRPr="00392CD2">
        <w:rPr>
          <w:lang w:val="es-ES"/>
        </w:rPr>
        <w:noBreakHyphen/>
        <w:t>1 300 MHz;</w:t>
      </w:r>
    </w:p>
    <w:p w:rsidR="00E7517C" w:rsidRPr="00392CD2" w:rsidRDefault="00E7517C" w:rsidP="00E7517C">
      <w:pPr>
        <w:rPr>
          <w:lang w:val="es-ES"/>
        </w:rPr>
      </w:pPr>
      <w:r w:rsidRPr="00392CD2">
        <w:rPr>
          <w:b/>
          <w:lang w:val="es-ES"/>
        </w:rPr>
        <w:t>2</w:t>
      </w:r>
      <w:r w:rsidRPr="00392CD2">
        <w:rPr>
          <w:lang w:val="es-ES"/>
        </w:rPr>
        <w:tab/>
        <w:t>que si la aplicación de este método indicase que existe la posibilidad de que se produzca una interferencia impulsiva que pudiera dañar la capacidad de funcionamiento de sistemas o redes del SRNS, se lleve a</w:t>
      </w:r>
      <w:r>
        <w:rPr>
          <w:lang w:val="es-ES"/>
        </w:rPr>
        <w:t xml:space="preserve"> cabo un análisis más detallado;</w:t>
      </w:r>
    </w:p>
    <w:p w:rsidR="00E7517C" w:rsidRPr="00392CD2" w:rsidRDefault="00E7517C" w:rsidP="00E7517C">
      <w:pPr>
        <w:rPr>
          <w:lang w:val="es-ES"/>
        </w:rPr>
      </w:pPr>
      <w:r w:rsidRPr="00392CD2">
        <w:rPr>
          <w:b/>
          <w:bCs/>
          <w:lang w:val="es-ES"/>
        </w:rPr>
        <w:t>3</w:t>
      </w:r>
      <w:r w:rsidRPr="00392CD2">
        <w:rPr>
          <w:lang w:val="es-ES"/>
        </w:rPr>
        <w:tab/>
        <w:t>que se lleven a cabo estudios a fin de desarrollar parámetros que se incluyan en el método analítico para realizar una evaluación preliminar de la posibilidad de que fuentes radioeléctricas pertinentes distintas a las del SRNS causen interferencia impulsiva en sistemas o redes del SRNS que funcionan en la banda de frecuencias 1 559-1 610 MHz (véase la Nota).</w:t>
      </w:r>
    </w:p>
    <w:p w:rsidR="00E7517C" w:rsidRDefault="00E7517C" w:rsidP="005D1D98">
      <w:pPr>
        <w:rPr>
          <w:lang w:val="es-ES"/>
        </w:rPr>
      </w:pPr>
      <w:r w:rsidRPr="00392CD2">
        <w:rPr>
          <w:lang w:val="es-ES"/>
        </w:rPr>
        <w:t>NOTA – Las ecuaciones del método analítico del Anexo 1 son ap</w:t>
      </w:r>
      <w:r>
        <w:rPr>
          <w:lang w:val="es-ES"/>
        </w:rPr>
        <w:t>licables a la banda 1 559-1 610 </w:t>
      </w:r>
      <w:r w:rsidRPr="00392CD2">
        <w:rPr>
          <w:lang w:val="es-ES"/>
        </w:rPr>
        <w:t>MHz.</w:t>
      </w:r>
    </w:p>
    <w:p w:rsidR="00E7517C" w:rsidRPr="00392CD2" w:rsidRDefault="00E7517C" w:rsidP="00FB7FD9">
      <w:pPr>
        <w:pStyle w:val="AnnexNoTitle"/>
        <w:rPr>
          <w:b w:val="0"/>
          <w:bCs/>
          <w:lang w:val="es-ES"/>
        </w:rPr>
      </w:pPr>
      <w:r w:rsidRPr="00392CD2">
        <w:rPr>
          <w:lang w:val="es-ES"/>
        </w:rPr>
        <w:lastRenderedPageBreak/>
        <w:t>Anexo 1</w:t>
      </w:r>
      <w:r w:rsidRPr="00392CD2">
        <w:rPr>
          <w:lang w:val="es-ES"/>
        </w:rPr>
        <w:br/>
      </w:r>
      <w:r w:rsidRPr="00392CD2">
        <w:rPr>
          <w:lang w:val="es-ES"/>
        </w:rPr>
        <w:br/>
        <w:t xml:space="preserve">Método analítico para realizar una evaluación preliminar de la posibilidad de </w:t>
      </w:r>
      <w:r>
        <w:rPr>
          <w:lang w:val="es-ES"/>
        </w:rPr>
        <w:t>q</w:t>
      </w:r>
      <w:r w:rsidRPr="00392CD2">
        <w:rPr>
          <w:lang w:val="es-ES"/>
        </w:rPr>
        <w:t xml:space="preserve">ue otras fuentes radioeléctricas pertinentes distintas a las del SRNS </w:t>
      </w:r>
      <w:r>
        <w:rPr>
          <w:lang w:val="es-ES"/>
        </w:rPr>
        <w:br/>
      </w:r>
      <w:r w:rsidRPr="00392CD2">
        <w:rPr>
          <w:lang w:val="es-ES"/>
        </w:rPr>
        <w:t>causen interferencia impulsiva a sistemas o redes del SRNS</w:t>
      </w:r>
      <w:r w:rsidR="00FB7FD9">
        <w:rPr>
          <w:lang w:val="es-ES"/>
        </w:rPr>
        <w:br/>
      </w:r>
      <w:r w:rsidRPr="00392CD2">
        <w:rPr>
          <w:lang w:val="es-ES"/>
        </w:rPr>
        <w:t>que funcionan en las bandas 1 164-1 215 MHz,</w:t>
      </w:r>
      <w:r w:rsidR="00FB7FD9">
        <w:rPr>
          <w:lang w:val="es-ES"/>
        </w:rPr>
        <w:br/>
      </w:r>
      <w:r w:rsidRPr="00392CD2">
        <w:rPr>
          <w:lang w:val="es-ES"/>
        </w:rPr>
        <w:t>1 215-1 300 MHz y 1 559-1 610 MHz</w:t>
      </w:r>
    </w:p>
    <w:p w:rsidR="00E7517C" w:rsidRPr="00392CD2" w:rsidRDefault="00E7517C" w:rsidP="00E7517C">
      <w:pPr>
        <w:pStyle w:val="Heading1"/>
        <w:rPr>
          <w:bCs/>
          <w:lang w:val="es-ES"/>
        </w:rPr>
      </w:pPr>
      <w:r w:rsidRPr="00392CD2">
        <w:rPr>
          <w:lang w:val="es-ES"/>
        </w:rPr>
        <w:t>1</w:t>
      </w:r>
      <w:r w:rsidRPr="00392CD2">
        <w:rPr>
          <w:lang w:val="es-ES"/>
        </w:rPr>
        <w:tab/>
        <w:t>Introducción</w:t>
      </w:r>
    </w:p>
    <w:p w:rsidR="00E7517C" w:rsidRPr="00392CD2" w:rsidRDefault="00E7517C" w:rsidP="00FB7FD9">
      <w:pPr>
        <w:rPr>
          <w:lang w:val="es-ES"/>
        </w:rPr>
      </w:pPr>
      <w:r w:rsidRPr="00392CD2">
        <w:rPr>
          <w:lang w:val="es-ES"/>
        </w:rPr>
        <w:t>En la Recomendación UIT-R M</w:t>
      </w:r>
      <w:r>
        <w:rPr>
          <w:lang w:val="es-ES"/>
        </w:rPr>
        <w:t>.</w:t>
      </w:r>
      <w:r w:rsidRPr="00392CD2">
        <w:rPr>
          <w:lang w:val="es-ES"/>
        </w:rPr>
        <w:t>1318-1 se ha desarrollado un modelo de evaluación de la interferencia de RF (RFI) continua</w:t>
      </w:r>
      <w:r w:rsidRPr="00392CD2">
        <w:rPr>
          <w:rStyle w:val="FootnoteReference"/>
          <w:lang w:val="es-ES"/>
        </w:rPr>
        <w:footnoteReference w:id="4"/>
      </w:r>
      <w:r w:rsidRPr="00392CD2">
        <w:rPr>
          <w:lang w:val="es-ES"/>
        </w:rPr>
        <w:t xml:space="preserve"> causada a receptores del SRNS, pero el UIT-R también ha reconocido la necesidad de abordar la interferencia de RF impulsiva. A partir de conceptos básicos, el presente Anexo deduce un método de evaluación general de la RFI impulsiva para su utilización con los receptore</w:t>
      </w:r>
      <w:r>
        <w:rPr>
          <w:lang w:val="es-ES"/>
        </w:rPr>
        <w:t>s del SRNS. El Informe UIT-R M.</w:t>
      </w:r>
      <w:r w:rsidRPr="00392CD2">
        <w:rPr>
          <w:lang w:val="es-ES"/>
        </w:rPr>
        <w:t xml:space="preserve">2220 contiene material de fondo y una metodología de cálculo de los parámetros de interferencia impulsiva compuesta utilizados para evaluar la interferencia. El siguiente </w:t>
      </w:r>
      <w:r w:rsidR="00FB7FD9">
        <w:rPr>
          <w:lang w:val="es-ES_tradnl"/>
        </w:rPr>
        <w:t>§</w:t>
      </w:r>
      <w:r w:rsidR="00FB7FD9">
        <w:rPr>
          <w:lang w:val="es-ES"/>
        </w:rPr>
        <w:t> </w:t>
      </w:r>
      <w:r w:rsidRPr="00392CD2">
        <w:rPr>
          <w:lang w:val="es-ES"/>
        </w:rPr>
        <w:t xml:space="preserve">2 proporciona algunos conceptos fundamentales y describe las ecuaciones de degradación por RFI para dos tipos básicos de receptores del SRNS. El </w:t>
      </w:r>
      <w:r w:rsidR="00FB7FD9">
        <w:rPr>
          <w:lang w:val="es-ES_tradnl"/>
        </w:rPr>
        <w:t>§</w:t>
      </w:r>
      <w:r w:rsidR="00FB7FD9">
        <w:rPr>
          <w:lang w:val="es-ES"/>
        </w:rPr>
        <w:t> </w:t>
      </w:r>
      <w:r w:rsidRPr="00392CD2">
        <w:rPr>
          <w:lang w:val="es-ES"/>
        </w:rPr>
        <w:t xml:space="preserve">3 describe la forma de utilizar las ecuaciones de degradación a fin de evaluar la repercusión de la RFI impulsiva adicional. El </w:t>
      </w:r>
      <w:r w:rsidR="00FB7FD9">
        <w:rPr>
          <w:lang w:val="es-ES_tradnl"/>
        </w:rPr>
        <w:t>§</w:t>
      </w:r>
      <w:r w:rsidR="00FB7FD9">
        <w:rPr>
          <w:lang w:val="es-ES"/>
        </w:rPr>
        <w:t> </w:t>
      </w:r>
      <w:r w:rsidRPr="00392CD2">
        <w:rPr>
          <w:lang w:val="es-ES"/>
        </w:rPr>
        <w:t>4 señala los parámetros del método de RFI básica recomendados y las relaciones de degradación admisibles para evaluar la RFI impulsiva.</w:t>
      </w:r>
    </w:p>
    <w:p w:rsidR="00E7517C" w:rsidRPr="00392CD2" w:rsidRDefault="00E7517C" w:rsidP="00E7517C">
      <w:pPr>
        <w:pStyle w:val="Heading1"/>
        <w:rPr>
          <w:lang w:val="es-ES"/>
        </w:rPr>
      </w:pPr>
      <w:r w:rsidRPr="00392CD2">
        <w:rPr>
          <w:lang w:val="es-ES"/>
        </w:rPr>
        <w:t>2</w:t>
      </w:r>
      <w:r w:rsidRPr="00392CD2">
        <w:rPr>
          <w:lang w:val="es-ES"/>
        </w:rPr>
        <w:tab/>
        <w:t>Caracterización de los efectos de la RFI impulsiva sobre los receptores del SRNS</w:t>
      </w:r>
    </w:p>
    <w:p w:rsidR="00E7517C" w:rsidRPr="00392CD2" w:rsidRDefault="00E7517C" w:rsidP="00FB7FD9">
      <w:pPr>
        <w:rPr>
          <w:lang w:val="es-ES"/>
        </w:rPr>
      </w:pPr>
      <w:r w:rsidRPr="00392CD2">
        <w:rPr>
          <w:lang w:val="es-ES"/>
        </w:rPr>
        <w:t>Los estudios de dos organizaciones de normas de aviación</w:t>
      </w:r>
      <w:r w:rsidRPr="00392CD2">
        <w:rPr>
          <w:rStyle w:val="FootnoteReference"/>
          <w:lang w:val="es-ES"/>
        </w:rPr>
        <w:footnoteReference w:id="5"/>
      </w:r>
      <w:r w:rsidRPr="00392CD2">
        <w:rPr>
          <w:lang w:val="es-ES"/>
        </w:rPr>
        <w:t xml:space="preserve"> han demostrado que los niveles más elevados de RFI impulsiva que afecta a los receptores de navegación aérea del SRNS que funciona en la banda 1 164-1 215 MHz a un nivel de vuelo 200 o superior (6 096 m sobre el nivel del mar) se producen en varias regiones localizadas alrededor del mundo. Estos estudios han desarrollado un modelo de un método de procesamiento general de la señal del receptor del SRNS utilizado para reducir la RFI impulsiva intensa y una ecuación asociada</w:t>
      </w:r>
      <w:r w:rsidRPr="00392CD2">
        <w:rPr>
          <w:rStyle w:val="FootnoteReference"/>
          <w:lang w:val="es-ES"/>
        </w:rPr>
        <w:footnoteReference w:id="6"/>
      </w:r>
      <w:r w:rsidRPr="00392CD2">
        <w:rPr>
          <w:lang w:val="es-ES"/>
        </w:rPr>
        <w:t xml:space="preserve"> para expresar el volumen de degradación de la medida de la calidad de la señal posterior al correlador (</w:t>
      </w:r>
      <w:r w:rsidRPr="00392CD2">
        <w:rPr>
          <w:i/>
          <w:iCs/>
          <w:lang w:val="es-ES"/>
        </w:rPr>
        <w:t>C</w:t>
      </w:r>
      <w:r w:rsidRPr="00392CD2">
        <w:rPr>
          <w:lang w:val="es-ES"/>
        </w:rPr>
        <w:t>/</w:t>
      </w:r>
      <w:r w:rsidRPr="00392CD2">
        <w:rPr>
          <w:i/>
          <w:iCs/>
          <w:lang w:val="es-ES"/>
        </w:rPr>
        <w:t>N</w:t>
      </w:r>
      <w:r w:rsidRPr="00392CD2">
        <w:rPr>
          <w:vertAlign w:val="subscript"/>
          <w:lang w:val="es-ES"/>
        </w:rPr>
        <w:t>0,</w:t>
      </w:r>
      <w:r w:rsidRPr="00392CD2">
        <w:rPr>
          <w:i/>
          <w:iCs/>
          <w:vertAlign w:val="subscript"/>
          <w:lang w:val="es-ES"/>
        </w:rPr>
        <w:t>EFF</w:t>
      </w:r>
      <w:r w:rsidRPr="00392CD2">
        <w:rPr>
          <w:lang w:val="es-ES"/>
        </w:rPr>
        <w:t>) de dicho receptor. Un estudio</w:t>
      </w:r>
      <w:r w:rsidRPr="00392CD2">
        <w:rPr>
          <w:rStyle w:val="FootnoteReference"/>
          <w:lang w:val="es-ES"/>
        </w:rPr>
        <w:footnoteReference w:id="7"/>
      </w:r>
      <w:r w:rsidRPr="00392CD2">
        <w:rPr>
          <w:lang w:val="es-ES"/>
        </w:rPr>
        <w:t xml:space="preserve"> también elaboró una ecuación de degradación comparable para receptores convencionales sin reducción especial de la RFI impulsiva. Ambas ecuaciones de degradación incluyen la RFI continua presente junto con la RFI impulsiva. Por tanto, pueden ser útiles a la hora de determinar los criterios de protección contra la RFI así como para analizar los efectos de cualquier nueva RFI continua o impulsiva más allá del caso básico inicial. Los siguientes </w:t>
      </w:r>
      <w:r w:rsidR="00FB7FD9">
        <w:rPr>
          <w:lang w:val="es-ES_tradnl"/>
        </w:rPr>
        <w:t>§</w:t>
      </w:r>
      <w:r w:rsidRPr="00392CD2">
        <w:rPr>
          <w:lang w:val="es-ES"/>
        </w:rPr>
        <w:t xml:space="preserve"> 2.1 y 2.2 describen los detalles de las ecuaciones de degradación </w:t>
      </w:r>
      <w:r>
        <w:rPr>
          <w:lang w:val="es-ES"/>
        </w:rPr>
        <w:t>por</w:t>
      </w:r>
      <w:r w:rsidRPr="00392CD2">
        <w:rPr>
          <w:lang w:val="es-ES"/>
        </w:rPr>
        <w:t xml:space="preserve"> RFI.</w:t>
      </w:r>
    </w:p>
    <w:p w:rsidR="00E7517C" w:rsidRPr="00392CD2" w:rsidRDefault="00E7517C" w:rsidP="00E7517C">
      <w:pPr>
        <w:pStyle w:val="Heading2"/>
        <w:rPr>
          <w:lang w:val="es-ES"/>
        </w:rPr>
      </w:pPr>
      <w:r w:rsidRPr="00392CD2">
        <w:rPr>
          <w:lang w:val="es-ES"/>
        </w:rPr>
        <w:lastRenderedPageBreak/>
        <w:t>2.1</w:t>
      </w:r>
      <w:r w:rsidRPr="00392CD2">
        <w:rPr>
          <w:lang w:val="es-ES"/>
        </w:rPr>
        <w:tab/>
        <w:t>Método de cálculo de la densidad de ruido efectivo (supresión de impulsos en el receptor)</w:t>
      </w:r>
    </w:p>
    <w:p w:rsidR="00E7517C" w:rsidRPr="00392CD2" w:rsidRDefault="00E7517C" w:rsidP="00E7517C">
      <w:pPr>
        <w:rPr>
          <w:lang w:val="es-ES"/>
        </w:rPr>
      </w:pPr>
      <w:r w:rsidRPr="00392CD2">
        <w:rPr>
          <w:lang w:val="es-ES"/>
        </w:rPr>
        <w:t>Un medio eficaz para reducir la fuerte RFI impulsiva en, por ejemplo, un receptor de navegación aérea es utilizar el supresor de impulsos. Una característica del supresor es que las señales de RFI impulsiva con niveles de potencia de cresta por debajo del umbral del supresor se combinan con el ruido del receptor y los componentes si</w:t>
      </w:r>
      <w:r>
        <w:rPr>
          <w:lang w:val="es-ES"/>
        </w:rPr>
        <w:t>n</w:t>
      </w:r>
      <w:r w:rsidRPr="00392CD2">
        <w:rPr>
          <w:lang w:val="es-ES"/>
        </w:rPr>
        <w:t xml:space="preserve"> suprimir de la RFI continua. El otro aspecto importante es que el supresor anula la señal y el ruido en los correladores mientras están presentes impulsos intensos con niveles de potencia superiores al umbral del supresor. La ecuación que figura a continuación estima el valor e</w:t>
      </w:r>
      <w:r>
        <w:rPr>
          <w:lang w:val="es-ES"/>
        </w:rPr>
        <w:t>fectivo de la densidad de ruido-más-</w:t>
      </w:r>
      <w:r w:rsidRPr="00392CD2">
        <w:rPr>
          <w:lang w:val="es-ES"/>
        </w:rPr>
        <w:t>interferencia (</w:t>
      </w:r>
      <w:r w:rsidRPr="00392CD2">
        <w:rPr>
          <w:i/>
          <w:iCs/>
          <w:lang w:val="es-ES"/>
        </w:rPr>
        <w:t>N</w:t>
      </w:r>
      <w:r w:rsidRPr="00392CD2">
        <w:rPr>
          <w:vertAlign w:val="subscript"/>
          <w:lang w:val="es-ES"/>
        </w:rPr>
        <w:t>0,</w:t>
      </w:r>
      <w:r w:rsidRPr="00392CD2">
        <w:rPr>
          <w:i/>
          <w:iCs/>
          <w:vertAlign w:val="subscript"/>
          <w:lang w:val="es-ES"/>
        </w:rPr>
        <w:t>EFF</w:t>
      </w:r>
      <w:r w:rsidRPr="00392CD2">
        <w:rPr>
          <w:lang w:val="es-ES"/>
        </w:rPr>
        <w:t>) a la salida de los correladores de señal debido al supresor de impulsos. (</w:t>
      </w:r>
      <w:r w:rsidRPr="00392CD2">
        <w:rPr>
          <w:i/>
          <w:iCs/>
          <w:lang w:val="es-ES"/>
        </w:rPr>
        <w:t>N</w:t>
      </w:r>
      <w:r w:rsidRPr="00392CD2">
        <w:rPr>
          <w:vertAlign w:val="subscript"/>
          <w:lang w:val="es-ES"/>
        </w:rPr>
        <w:t>0,</w:t>
      </w:r>
      <w:r w:rsidRPr="00392CD2">
        <w:rPr>
          <w:i/>
          <w:iCs/>
          <w:vertAlign w:val="subscript"/>
          <w:lang w:val="es-ES"/>
        </w:rPr>
        <w:t>EFF</w:t>
      </w:r>
      <w:r w:rsidRPr="00392CD2">
        <w:rPr>
          <w:lang w:val="es-ES"/>
        </w:rPr>
        <w:t xml:space="preserve">) es bastante general y puede aplicarse en todos los entornos de RFI para un receptor del SRNS porque las variables de partida de la ecuación cuantifican el entorno de la RFI a medida que cambia. El valor efectivo de la densidad de ruido más interferencia después del correlador, </w:t>
      </w:r>
      <w:r w:rsidRPr="00392CD2">
        <w:rPr>
          <w:i/>
          <w:iCs/>
          <w:lang w:val="es-ES"/>
        </w:rPr>
        <w:t>N</w:t>
      </w:r>
      <w:r w:rsidRPr="00392CD2">
        <w:rPr>
          <w:vertAlign w:val="subscript"/>
          <w:lang w:val="es-ES"/>
        </w:rPr>
        <w:t>0,</w:t>
      </w:r>
      <w:r w:rsidRPr="00392CD2">
        <w:rPr>
          <w:i/>
          <w:iCs/>
          <w:vertAlign w:val="subscript"/>
          <w:lang w:val="es-ES"/>
        </w:rPr>
        <w:t>EFF</w:t>
      </w:r>
      <w:r w:rsidRPr="00392CD2">
        <w:rPr>
          <w:lang w:val="es-ES"/>
        </w:rPr>
        <w:t>, se define como:</w:t>
      </w:r>
    </w:p>
    <w:p w:rsidR="00DD2438" w:rsidRPr="000E4C61" w:rsidRDefault="00DD2438" w:rsidP="00DD2438">
      <w:pPr>
        <w:pStyle w:val="Blanc"/>
        <w:rPr>
          <w:lang w:val="es-ES_tradnl"/>
        </w:rPr>
      </w:pPr>
    </w:p>
    <w:p w:rsidR="00E7517C" w:rsidRPr="00392CD2" w:rsidRDefault="00E7517C" w:rsidP="00E7517C">
      <w:pPr>
        <w:pStyle w:val="Equation"/>
        <w:rPr>
          <w:lang w:val="es-ES"/>
        </w:rPr>
      </w:pPr>
      <w:r w:rsidRPr="00392CD2">
        <w:rPr>
          <w:lang w:val="es-ES"/>
        </w:rPr>
        <w:tab/>
      </w:r>
      <w:r w:rsidRPr="00392CD2">
        <w:rPr>
          <w:lang w:val="es-ES"/>
        </w:rPr>
        <w:tab/>
      </w:r>
      <w:r w:rsidRPr="00392CD2">
        <w:rPr>
          <w:position w:val="-32"/>
          <w:lang w:val="es-ES"/>
        </w:rPr>
        <w:object w:dxaOrig="3519"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pt;height:40pt" o:ole="">
            <v:imagedata r:id="rId13" o:title=""/>
          </v:shape>
          <o:OLEObject Type="Embed" ProgID="Equation.3" ShapeID="_x0000_i1025" DrawAspect="Content" ObjectID="_1475048261" r:id="rId14"/>
        </w:object>
      </w:r>
      <w:r w:rsidRPr="00392CD2">
        <w:rPr>
          <w:lang w:val="es-ES"/>
        </w:rPr>
        <w:tab/>
        <w:t>(1)</w:t>
      </w:r>
    </w:p>
    <w:p w:rsidR="00DD2438" w:rsidRPr="000E4C61" w:rsidRDefault="00DD2438" w:rsidP="00DD2438">
      <w:pPr>
        <w:pStyle w:val="Blanc"/>
        <w:rPr>
          <w:lang w:val="es-ES_tradnl"/>
        </w:rPr>
      </w:pPr>
      <w:bookmarkStart w:id="4" w:name="_Ref75928826"/>
    </w:p>
    <w:p w:rsidR="00E7517C" w:rsidRPr="00392CD2" w:rsidRDefault="00E7517C" w:rsidP="00E7517C">
      <w:pPr>
        <w:rPr>
          <w:lang w:val="es-ES"/>
        </w:rPr>
      </w:pPr>
      <w:r w:rsidRPr="00392CD2">
        <w:rPr>
          <w:lang w:val="es-ES"/>
        </w:rPr>
        <w:t>donde:</w:t>
      </w:r>
    </w:p>
    <w:p w:rsidR="00DD2438" w:rsidRPr="000E4C61" w:rsidRDefault="00DD2438" w:rsidP="00DD2438">
      <w:pPr>
        <w:pStyle w:val="Blanc"/>
        <w:rPr>
          <w:lang w:val="es-ES_tradnl"/>
        </w:rPr>
      </w:pPr>
    </w:p>
    <w:p w:rsidR="00E7517C" w:rsidRPr="00392CD2" w:rsidRDefault="00E7517C" w:rsidP="00E7517C">
      <w:pPr>
        <w:pStyle w:val="Equation"/>
        <w:rPr>
          <w:lang w:val="es-ES"/>
        </w:rPr>
      </w:pPr>
      <w:r w:rsidRPr="00392CD2">
        <w:rPr>
          <w:lang w:val="es-ES"/>
        </w:rPr>
        <w:tab/>
      </w:r>
      <w:r w:rsidRPr="00392CD2">
        <w:rPr>
          <w:lang w:val="es-ES"/>
        </w:rPr>
        <w:tab/>
      </w:r>
      <w:r w:rsidRPr="00392CD2">
        <w:rPr>
          <w:position w:val="-32"/>
          <w:lang w:val="es-ES"/>
        </w:rPr>
        <w:object w:dxaOrig="2659" w:dyaOrig="760">
          <v:shape id="_x0000_i1026" type="#_x0000_t75" style="width:132.4pt;height:38pt" o:ole="">
            <v:imagedata r:id="rId15" o:title=""/>
          </v:shape>
          <o:OLEObject Type="Embed" ProgID="Equation.3" ShapeID="_x0000_i1026" DrawAspect="Content" ObjectID="_1475048262" r:id="rId16"/>
        </w:object>
      </w:r>
      <w:r w:rsidRPr="00392CD2">
        <w:rPr>
          <w:lang w:val="es-ES"/>
        </w:rPr>
        <w:tab/>
        <w:t>(2)</w:t>
      </w:r>
    </w:p>
    <w:p w:rsidR="00DD2438" w:rsidRPr="000E4C61" w:rsidRDefault="00DD2438" w:rsidP="00DD2438">
      <w:pPr>
        <w:pStyle w:val="Blanc"/>
        <w:rPr>
          <w:lang w:val="es-ES_tradnl"/>
        </w:rPr>
      </w:pPr>
    </w:p>
    <w:p w:rsidR="00E7517C" w:rsidRPr="00392CD2" w:rsidRDefault="00E7517C" w:rsidP="00E7517C">
      <w:pPr>
        <w:pStyle w:val="Equationlegend"/>
        <w:rPr>
          <w:lang w:val="es-ES"/>
        </w:rPr>
      </w:pPr>
      <w:r w:rsidRPr="00392CD2">
        <w:rPr>
          <w:lang w:val="es-ES"/>
        </w:rPr>
        <w:t>En las anteriores ecuaciones:</w:t>
      </w:r>
    </w:p>
    <w:p w:rsidR="00E7517C" w:rsidRPr="00392CD2" w:rsidRDefault="00E7517C" w:rsidP="00E7517C">
      <w:pPr>
        <w:pStyle w:val="Equationlegend"/>
        <w:rPr>
          <w:lang w:val="es-ES"/>
        </w:rPr>
      </w:pPr>
      <w:r w:rsidRPr="00392CD2">
        <w:rPr>
          <w:lang w:val="es-ES"/>
        </w:rPr>
        <w:tab/>
      </w:r>
      <w:r w:rsidRPr="00392CD2">
        <w:rPr>
          <w:i/>
          <w:iCs/>
          <w:lang w:val="es-ES"/>
        </w:rPr>
        <w:t>R</w:t>
      </w:r>
      <w:r w:rsidRPr="00392CD2">
        <w:rPr>
          <w:i/>
          <w:iCs/>
          <w:vertAlign w:val="subscript"/>
          <w:lang w:val="es-ES"/>
        </w:rPr>
        <w:t>I</w:t>
      </w:r>
      <w:r w:rsidRPr="00392CD2">
        <w:rPr>
          <w:lang w:val="es-ES"/>
        </w:rPr>
        <w:t>:</w:t>
      </w:r>
      <w:r w:rsidRPr="00392CD2">
        <w:rPr>
          <w:lang w:val="es-ES"/>
        </w:rPr>
        <w:tab/>
        <w:t>es la relación de densidad de potencia después del correlador entre la RFI impulsiva media umbral por debajo del supresor combinada y el ruido térmico del receptor (relación adimensional)</w:t>
      </w:r>
    </w:p>
    <w:p w:rsidR="00E7517C" w:rsidRPr="00392CD2" w:rsidRDefault="00E7517C" w:rsidP="00E7517C">
      <w:pPr>
        <w:pStyle w:val="Equationlegend"/>
        <w:rPr>
          <w:lang w:val="es-ES"/>
        </w:rPr>
      </w:pPr>
      <w:r w:rsidRPr="00392CD2">
        <w:rPr>
          <w:noProof/>
          <w:lang w:val="es-ES"/>
        </w:rPr>
        <w:tab/>
      </w:r>
      <w:r w:rsidRPr="00392CD2">
        <w:rPr>
          <w:i/>
          <w:iCs/>
          <w:noProof/>
          <w:lang w:val="es-ES"/>
        </w:rPr>
        <w:t>PDC</w:t>
      </w:r>
      <w:r w:rsidRPr="00392CD2">
        <w:rPr>
          <w:i/>
          <w:iCs/>
          <w:noProof/>
          <w:vertAlign w:val="subscript"/>
          <w:lang w:val="es-ES"/>
        </w:rPr>
        <w:t>B</w:t>
      </w:r>
      <w:r w:rsidRPr="00392CD2">
        <w:rPr>
          <w:noProof/>
          <w:lang w:val="es-ES"/>
        </w:rPr>
        <w:t>:</w:t>
      </w:r>
      <w:r w:rsidRPr="00392CD2">
        <w:rPr>
          <w:noProof/>
          <w:lang w:val="es-ES"/>
        </w:rPr>
        <w:tab/>
      </w:r>
      <w:r w:rsidRPr="00392CD2">
        <w:rPr>
          <w:lang w:val="es-ES"/>
        </w:rPr>
        <w:t>(ciclo de trabajo impulsivo del supresor) es el ciclo de trabajo combinado neto de todos los impulsos que rebasan el umbral del supresor (fracción adimensional)</w:t>
      </w:r>
    </w:p>
    <w:p w:rsidR="00E7517C" w:rsidRPr="00392CD2" w:rsidRDefault="00E7517C" w:rsidP="00E7517C">
      <w:pPr>
        <w:pStyle w:val="Equationlegend"/>
        <w:rPr>
          <w:lang w:val="es-ES"/>
        </w:rPr>
      </w:pPr>
      <w:r w:rsidRPr="00392CD2">
        <w:rPr>
          <w:lang w:val="es-ES"/>
        </w:rPr>
        <w:tab/>
      </w:r>
      <w:r w:rsidRPr="00392CD2">
        <w:rPr>
          <w:i/>
          <w:iCs/>
          <w:lang w:val="es-ES"/>
        </w:rPr>
        <w:t>N</w:t>
      </w:r>
      <w:r w:rsidRPr="00392CD2">
        <w:rPr>
          <w:vertAlign w:val="subscript"/>
          <w:lang w:val="es-ES"/>
        </w:rPr>
        <w:t>0</w:t>
      </w:r>
      <w:r w:rsidRPr="00392CD2">
        <w:rPr>
          <w:lang w:val="es-ES"/>
        </w:rPr>
        <w:t>:</w:t>
      </w:r>
      <w:r w:rsidRPr="00392CD2">
        <w:rPr>
          <w:lang w:val="es-ES"/>
        </w:rPr>
        <w:tab/>
        <w:t>es la densidad espectral de potencia del ruido térmico del sistema receptor del SRNS en W/Hz (= kT</w:t>
      </w:r>
      <w:r w:rsidRPr="00392CD2">
        <w:rPr>
          <w:vertAlign w:val="subscript"/>
          <w:lang w:val="es-ES"/>
        </w:rPr>
        <w:t>sys</w:t>
      </w:r>
      <w:r w:rsidRPr="00392CD2">
        <w:rPr>
          <w:lang w:val="es-ES"/>
        </w:rPr>
        <w:t>)</w:t>
      </w:r>
    </w:p>
    <w:p w:rsidR="00E7517C" w:rsidRPr="00392CD2" w:rsidRDefault="00E7517C" w:rsidP="00E7517C">
      <w:pPr>
        <w:pStyle w:val="Equationlegend"/>
        <w:rPr>
          <w:lang w:val="es-ES"/>
        </w:rPr>
      </w:pPr>
      <w:r w:rsidRPr="00392CD2">
        <w:rPr>
          <w:lang w:val="es-ES"/>
        </w:rPr>
        <w:tab/>
      </w:r>
      <w:r w:rsidRPr="00392CD2">
        <w:rPr>
          <w:i/>
          <w:iCs/>
          <w:lang w:val="es-ES"/>
        </w:rPr>
        <w:t>I</w:t>
      </w:r>
      <w:r w:rsidRPr="00392CD2">
        <w:rPr>
          <w:vertAlign w:val="subscript"/>
          <w:lang w:val="es-ES"/>
        </w:rPr>
        <w:t>0,</w:t>
      </w:r>
      <w:r w:rsidRPr="00392CD2">
        <w:rPr>
          <w:i/>
          <w:iCs/>
          <w:vertAlign w:val="subscript"/>
          <w:lang w:val="es-ES"/>
        </w:rPr>
        <w:t>WB</w:t>
      </w:r>
      <w:r w:rsidRPr="00392CD2">
        <w:rPr>
          <w:lang w:val="es-ES"/>
        </w:rPr>
        <w:t>:</w:t>
      </w:r>
      <w:r w:rsidRPr="00392CD2">
        <w:rPr>
          <w:lang w:val="es-ES"/>
        </w:rPr>
        <w:tab/>
        <w:t>es la densidad espectral de potencia de la RFI continua equivalente de banda amplia (W/Hz) para la aplicación del receptor del SRNS particular</w:t>
      </w:r>
      <w:r w:rsidRPr="00392CD2">
        <w:rPr>
          <w:rStyle w:val="FootnoteReference"/>
          <w:lang w:val="es-ES"/>
        </w:rPr>
        <w:footnoteReference w:id="8"/>
      </w:r>
    </w:p>
    <w:p w:rsidR="00E7517C" w:rsidRPr="00392CD2" w:rsidRDefault="00E7517C" w:rsidP="00E7517C">
      <w:pPr>
        <w:pStyle w:val="Equationlegend"/>
        <w:rPr>
          <w:noProof/>
          <w:lang w:val="es-ES"/>
        </w:rPr>
      </w:pPr>
      <w:r w:rsidRPr="00392CD2">
        <w:rPr>
          <w:noProof/>
          <w:lang w:val="es-ES"/>
        </w:rPr>
        <w:tab/>
      </w:r>
      <w:r w:rsidRPr="00392CD2">
        <w:rPr>
          <w:i/>
          <w:iCs/>
          <w:noProof/>
          <w:lang w:val="es-ES"/>
        </w:rPr>
        <w:t>BW</w:t>
      </w:r>
      <w:r w:rsidRPr="00392CD2">
        <w:rPr>
          <w:noProof/>
          <w:lang w:val="es-ES"/>
        </w:rPr>
        <w:t>:</w:t>
      </w:r>
      <w:r w:rsidRPr="00392CD2">
        <w:rPr>
          <w:noProof/>
          <w:lang w:val="es-ES"/>
        </w:rPr>
        <w:tab/>
      </w:r>
      <w:r w:rsidRPr="00392CD2">
        <w:rPr>
          <w:lang w:val="es-ES"/>
        </w:rPr>
        <w:t>es la anchura de banda en RF/FI del precorrelador (Hz)</w:t>
      </w:r>
    </w:p>
    <w:p w:rsidR="00E7517C" w:rsidRPr="00392CD2" w:rsidRDefault="00E7517C" w:rsidP="00E7517C">
      <w:pPr>
        <w:pStyle w:val="Equationlegend"/>
        <w:rPr>
          <w:lang w:val="es-ES"/>
        </w:rPr>
      </w:pPr>
      <w:r w:rsidRPr="00392CD2">
        <w:rPr>
          <w:noProof/>
          <w:lang w:val="es-ES"/>
        </w:rPr>
        <w:tab/>
      </w:r>
      <w:r w:rsidRPr="00392CD2">
        <w:rPr>
          <w:i/>
          <w:iCs/>
          <w:noProof/>
          <w:lang w:val="es-ES"/>
        </w:rPr>
        <w:t>P</w:t>
      </w:r>
      <w:r w:rsidRPr="00392CD2">
        <w:rPr>
          <w:i/>
          <w:iCs/>
          <w:noProof/>
          <w:vertAlign w:val="subscript"/>
          <w:lang w:val="es-ES"/>
        </w:rPr>
        <w:t>i</w:t>
      </w:r>
      <w:r w:rsidRPr="00392CD2">
        <w:rPr>
          <w:noProof/>
          <w:lang w:val="es-ES"/>
        </w:rPr>
        <w:t>:</w:t>
      </w:r>
      <w:r w:rsidRPr="00392CD2">
        <w:rPr>
          <w:noProof/>
          <w:lang w:val="es-ES"/>
        </w:rPr>
        <w:tab/>
      </w:r>
      <w:r w:rsidRPr="00392CD2">
        <w:rPr>
          <w:lang w:val="es-ES"/>
        </w:rPr>
        <w:t xml:space="preserve">es la potencia de cresta recibida (W) de la i-ésima fuente impulsiva (con referencia a la salida de </w:t>
      </w:r>
      <w:r>
        <w:rPr>
          <w:lang w:val="es-ES"/>
        </w:rPr>
        <w:t xml:space="preserve">la </w:t>
      </w:r>
      <w:r w:rsidRPr="00392CD2">
        <w:rPr>
          <w:lang w:val="es-ES"/>
        </w:rPr>
        <w:t>antena) con un nivel de cresta por debajo del umbral del supresor</w:t>
      </w:r>
    </w:p>
    <w:p w:rsidR="00E7517C" w:rsidRPr="00392CD2" w:rsidRDefault="00E7517C" w:rsidP="00E7517C">
      <w:pPr>
        <w:pStyle w:val="Equationlegend"/>
        <w:rPr>
          <w:lang w:val="es-ES"/>
        </w:rPr>
      </w:pPr>
      <w:r w:rsidRPr="00392CD2">
        <w:rPr>
          <w:lang w:val="es-ES"/>
        </w:rPr>
        <w:tab/>
      </w:r>
      <w:r w:rsidRPr="00392CD2">
        <w:rPr>
          <w:i/>
          <w:iCs/>
          <w:lang w:val="es-ES"/>
        </w:rPr>
        <w:t>dc</w:t>
      </w:r>
      <w:r w:rsidRPr="00392CD2">
        <w:rPr>
          <w:i/>
          <w:iCs/>
          <w:vertAlign w:val="subscript"/>
          <w:lang w:val="es-ES"/>
        </w:rPr>
        <w:t>i</w:t>
      </w:r>
      <w:r w:rsidRPr="00392CD2">
        <w:rPr>
          <w:lang w:val="es-ES"/>
        </w:rPr>
        <w:t>:</w:t>
      </w:r>
      <w:r w:rsidRPr="00392CD2">
        <w:rPr>
          <w:lang w:val="es-ES"/>
        </w:rPr>
        <w:tab/>
        <w:t>es el ciclo de trabajo (fracción adimensional) de la i-ésima fuente impulsiva por debajo del supresor</w:t>
      </w:r>
    </w:p>
    <w:p w:rsidR="00E7517C" w:rsidRPr="00392CD2" w:rsidRDefault="00E7517C" w:rsidP="00E7517C">
      <w:pPr>
        <w:pStyle w:val="Equationlegend"/>
        <w:rPr>
          <w:lang w:val="es-ES"/>
        </w:rPr>
      </w:pPr>
      <w:r w:rsidRPr="00392CD2">
        <w:rPr>
          <w:lang w:val="es-ES"/>
        </w:rPr>
        <w:tab/>
      </w:r>
      <w:r w:rsidRPr="00392CD2">
        <w:rPr>
          <w:i/>
          <w:iCs/>
          <w:lang w:val="es-ES"/>
        </w:rPr>
        <w:t>N</w:t>
      </w:r>
      <w:r w:rsidRPr="00392CD2">
        <w:rPr>
          <w:lang w:val="es-ES"/>
        </w:rPr>
        <w:t>:</w:t>
      </w:r>
      <w:r w:rsidRPr="00392CD2">
        <w:rPr>
          <w:lang w:val="es-ES"/>
        </w:rPr>
        <w:tab/>
        <w:t>es el número total de emisores que generan impulsos recibidos con un nivel de cresta inferior al umbral del supresor.</w:t>
      </w:r>
    </w:p>
    <w:bookmarkEnd w:id="4"/>
    <w:p w:rsidR="00E7517C" w:rsidRPr="00392CD2" w:rsidRDefault="00E7517C" w:rsidP="00E7517C">
      <w:pPr>
        <w:spacing w:before="240"/>
        <w:rPr>
          <w:lang w:val="es-ES"/>
        </w:rPr>
      </w:pPr>
      <w:r w:rsidRPr="00392CD2">
        <w:rPr>
          <w:lang w:val="es-ES"/>
        </w:rPr>
        <w:lastRenderedPageBreak/>
        <w:t xml:space="preserve">Como antes se definió, </w:t>
      </w:r>
      <w:r w:rsidRPr="00392CD2">
        <w:rPr>
          <w:i/>
          <w:iCs/>
          <w:lang w:val="es-ES"/>
        </w:rPr>
        <w:t>N</w:t>
      </w:r>
      <w:r w:rsidRPr="00392CD2">
        <w:rPr>
          <w:vertAlign w:val="subscript"/>
          <w:lang w:val="es-ES"/>
        </w:rPr>
        <w:t>0,</w:t>
      </w:r>
      <w:r w:rsidRPr="00392CD2">
        <w:rPr>
          <w:i/>
          <w:iCs/>
          <w:vertAlign w:val="subscript"/>
          <w:lang w:val="es-ES"/>
        </w:rPr>
        <w:t>EFF</w:t>
      </w:r>
      <w:r w:rsidRPr="00392CD2">
        <w:rPr>
          <w:lang w:val="es-ES"/>
        </w:rPr>
        <w:t xml:space="preserve"> combina todos los efectos de la RFI impulsiva sobre la densidad de ruido térmico, la densidad de la RFI continua de banda amplia y las pérdidas de señal del SRNS.</w:t>
      </w:r>
      <w:r w:rsidRPr="00392CD2">
        <w:rPr>
          <w:rStyle w:val="FootnoteReference"/>
          <w:lang w:val="es-ES"/>
        </w:rPr>
        <w:footnoteReference w:id="9"/>
      </w:r>
      <w:r w:rsidRPr="00392CD2">
        <w:rPr>
          <w:lang w:val="es-ES"/>
        </w:rPr>
        <w:t xml:space="preserve"> Todos los parámetros del ruido y la interferencia de las ecuaciones (1) y (2) son con referencia a los terminales de antena pasivos del sistema de recepción. Obsérvese que en la ecuación (1) sin la RFI impulsiva (es decir, </w:t>
      </w:r>
      <w:r w:rsidRPr="00392CD2">
        <w:rPr>
          <w:i/>
          <w:iCs/>
          <w:lang w:val="es-ES"/>
        </w:rPr>
        <w:t>R</w:t>
      </w:r>
      <w:r w:rsidRPr="00392CD2">
        <w:rPr>
          <w:i/>
          <w:iCs/>
          <w:vertAlign w:val="subscript"/>
          <w:lang w:val="es-ES"/>
        </w:rPr>
        <w:t>I</w:t>
      </w:r>
      <w:r w:rsidRPr="00392CD2">
        <w:rPr>
          <w:lang w:val="es-ES"/>
        </w:rPr>
        <w:t xml:space="preserve"> </w:t>
      </w:r>
      <w:r>
        <w:rPr>
          <w:lang w:val="es-ES"/>
        </w:rPr>
        <w:t>y</w:t>
      </w:r>
      <w:r w:rsidRPr="00392CD2">
        <w:rPr>
          <w:lang w:val="es-ES"/>
        </w:rPr>
        <w:t xml:space="preserve"> </w:t>
      </w:r>
      <w:r w:rsidRPr="00392CD2">
        <w:rPr>
          <w:i/>
          <w:iCs/>
          <w:lang w:val="es-ES"/>
        </w:rPr>
        <w:t>PDC</w:t>
      </w:r>
      <w:r w:rsidRPr="00392CD2">
        <w:rPr>
          <w:i/>
          <w:iCs/>
          <w:vertAlign w:val="subscript"/>
          <w:lang w:val="es-ES"/>
        </w:rPr>
        <w:t>B </w:t>
      </w:r>
      <w:r w:rsidRPr="00392CD2">
        <w:rPr>
          <w:lang w:val="es-ES"/>
        </w:rPr>
        <w:t xml:space="preserve">= 0), la ecuación de </w:t>
      </w:r>
      <w:r w:rsidRPr="00392CD2">
        <w:rPr>
          <w:i/>
          <w:iCs/>
          <w:lang w:val="es-ES"/>
        </w:rPr>
        <w:t>N</w:t>
      </w:r>
      <w:r w:rsidRPr="00392CD2">
        <w:rPr>
          <w:vertAlign w:val="subscript"/>
          <w:lang w:val="es-ES"/>
        </w:rPr>
        <w:t>0,</w:t>
      </w:r>
      <w:r w:rsidRPr="00392CD2">
        <w:rPr>
          <w:i/>
          <w:iCs/>
          <w:vertAlign w:val="subscript"/>
          <w:lang w:val="es-ES"/>
        </w:rPr>
        <w:t>EFF</w:t>
      </w:r>
      <w:r w:rsidRPr="00392CD2">
        <w:rPr>
          <w:lang w:val="es-ES"/>
        </w:rPr>
        <w:t xml:space="preserve"> se reduce a la expresión más sencilla utilizada en los análisis de la RFI continua en el SRNS (</w:t>
      </w:r>
      <w:r w:rsidRPr="00392CD2">
        <w:rPr>
          <w:i/>
          <w:iCs/>
          <w:lang w:val="es-ES"/>
        </w:rPr>
        <w:t>N</w:t>
      </w:r>
      <w:r w:rsidRPr="00392CD2">
        <w:rPr>
          <w:vertAlign w:val="subscript"/>
          <w:lang w:val="es-ES"/>
        </w:rPr>
        <w:t>0,</w:t>
      </w:r>
      <w:r w:rsidRPr="00392CD2">
        <w:rPr>
          <w:i/>
          <w:iCs/>
          <w:vertAlign w:val="subscript"/>
          <w:lang w:val="es-ES"/>
        </w:rPr>
        <w:t>EFF</w:t>
      </w:r>
      <w:r w:rsidRPr="00392CD2">
        <w:rPr>
          <w:lang w:val="es-ES"/>
        </w:rPr>
        <w:t xml:space="preserve"> = </w:t>
      </w:r>
      <w:r w:rsidRPr="00392CD2">
        <w:rPr>
          <w:i/>
          <w:iCs/>
          <w:lang w:val="es-ES"/>
        </w:rPr>
        <w:t>N</w:t>
      </w:r>
      <w:r w:rsidRPr="00392CD2">
        <w:rPr>
          <w:vertAlign w:val="subscript"/>
          <w:lang w:val="es-ES"/>
        </w:rPr>
        <w:t>0</w:t>
      </w:r>
      <w:r w:rsidRPr="00392CD2">
        <w:rPr>
          <w:lang w:val="es-ES"/>
        </w:rPr>
        <w:t xml:space="preserve"> + </w:t>
      </w:r>
      <w:r w:rsidRPr="00392CD2">
        <w:rPr>
          <w:i/>
          <w:iCs/>
          <w:lang w:val="es-ES"/>
        </w:rPr>
        <w:t>I</w:t>
      </w:r>
      <w:r w:rsidRPr="00392CD2">
        <w:rPr>
          <w:vertAlign w:val="subscript"/>
          <w:lang w:val="es-ES"/>
        </w:rPr>
        <w:t>0,</w:t>
      </w:r>
      <w:r w:rsidRPr="00392CD2">
        <w:rPr>
          <w:i/>
          <w:iCs/>
          <w:vertAlign w:val="subscript"/>
          <w:lang w:val="es-ES"/>
        </w:rPr>
        <w:t>WB</w:t>
      </w:r>
      <w:r w:rsidRPr="00392CD2">
        <w:rPr>
          <w:lang w:val="es-ES"/>
        </w:rPr>
        <w:t>).</w:t>
      </w:r>
    </w:p>
    <w:p w:rsidR="00E7517C" w:rsidRPr="00392CD2" w:rsidRDefault="00E7517C" w:rsidP="00E7517C">
      <w:pPr>
        <w:rPr>
          <w:noProof/>
          <w:lang w:val="es-ES"/>
        </w:rPr>
      </w:pPr>
      <w:r w:rsidRPr="00392CD2">
        <w:rPr>
          <w:lang w:val="es-ES"/>
        </w:rPr>
        <w:t xml:space="preserve">El parámetro de la RFI impulsiva combinada, </w:t>
      </w:r>
      <w:r w:rsidRPr="00392CD2">
        <w:rPr>
          <w:i/>
          <w:iCs/>
          <w:noProof/>
          <w:lang w:val="es-ES"/>
        </w:rPr>
        <w:t>PDC</w:t>
      </w:r>
      <w:r w:rsidRPr="00392CD2">
        <w:rPr>
          <w:i/>
          <w:iCs/>
          <w:noProof/>
          <w:vertAlign w:val="subscript"/>
          <w:lang w:val="es-ES"/>
        </w:rPr>
        <w:t>B</w:t>
      </w:r>
      <w:r w:rsidRPr="00392CD2">
        <w:rPr>
          <w:noProof/>
          <w:lang w:val="es-ES"/>
        </w:rPr>
        <w:t>,</w:t>
      </w:r>
      <w:r w:rsidRPr="00392CD2">
        <w:rPr>
          <w:lang w:val="es-ES"/>
        </w:rPr>
        <w:t xml:space="preserve"> se crea a partir de los componentes de los sistemas del transmisor impulsivo heterogéneo separado </w:t>
      </w:r>
      <w:r>
        <w:rPr>
          <w:noProof/>
          <w:lang w:val="es-ES"/>
        </w:rPr>
        <w:t>«</w:t>
      </w:r>
      <w:r w:rsidRPr="00392CD2">
        <w:rPr>
          <w:i/>
          <w:iCs/>
          <w:noProof/>
          <w:lang w:val="es-ES"/>
        </w:rPr>
        <w:t>a</w:t>
      </w:r>
      <w:r>
        <w:rPr>
          <w:noProof/>
          <w:lang w:val="es-ES"/>
        </w:rPr>
        <w:t>», «</w:t>
      </w:r>
      <w:r w:rsidRPr="00392CD2">
        <w:rPr>
          <w:i/>
          <w:iCs/>
          <w:noProof/>
          <w:lang w:val="es-ES"/>
        </w:rPr>
        <w:t>b</w:t>
      </w:r>
      <w:r>
        <w:rPr>
          <w:noProof/>
          <w:lang w:val="es-ES"/>
        </w:rPr>
        <w:t>»</w:t>
      </w:r>
      <w:r w:rsidRPr="00392CD2">
        <w:rPr>
          <w:noProof/>
          <w:lang w:val="es-ES"/>
        </w:rPr>
        <w:t xml:space="preserve"> y</w:t>
      </w:r>
      <w:r>
        <w:rPr>
          <w:noProof/>
          <w:lang w:val="es-ES"/>
        </w:rPr>
        <w:t xml:space="preserve"> «</w:t>
      </w:r>
      <w:r w:rsidRPr="00392CD2">
        <w:rPr>
          <w:i/>
          <w:iCs/>
          <w:noProof/>
          <w:lang w:val="es-ES"/>
        </w:rPr>
        <w:t>c</w:t>
      </w:r>
      <w:r>
        <w:rPr>
          <w:noProof/>
          <w:lang w:val="es-ES"/>
        </w:rPr>
        <w:t>»</w:t>
      </w:r>
      <w:r w:rsidRPr="00392CD2">
        <w:rPr>
          <w:noProof/>
          <w:lang w:val="es-ES"/>
        </w:rPr>
        <w:t xml:space="preserve"> como sigue:</w:t>
      </w:r>
    </w:p>
    <w:p w:rsidR="00DD2438" w:rsidRPr="000E4C61" w:rsidRDefault="00DD2438" w:rsidP="00DD2438">
      <w:pPr>
        <w:pStyle w:val="Blanc"/>
        <w:rPr>
          <w:lang w:val="es-ES_tradnl"/>
        </w:rPr>
      </w:pPr>
    </w:p>
    <w:p w:rsidR="00DD2438" w:rsidRPr="00392CD2" w:rsidRDefault="00DD2438" w:rsidP="00DD2438">
      <w:pPr>
        <w:pStyle w:val="Equation"/>
        <w:rPr>
          <w:noProof/>
          <w:lang w:val="es-ES"/>
        </w:rPr>
      </w:pPr>
      <w:r w:rsidRPr="00392CD2">
        <w:rPr>
          <w:b/>
          <w:lang w:val="es-ES"/>
        </w:rPr>
        <w:tab/>
      </w:r>
      <w:r w:rsidRPr="00392CD2">
        <w:rPr>
          <w:b/>
          <w:lang w:val="es-ES"/>
        </w:rPr>
        <w:tab/>
      </w:r>
      <w:r w:rsidRPr="00392CD2">
        <w:rPr>
          <w:lang w:val="es-ES"/>
        </w:rPr>
        <w:t>(</w:t>
      </w:r>
      <w:r w:rsidRPr="00392CD2">
        <w:rPr>
          <w:i/>
          <w:iCs/>
          <w:lang w:val="es-ES"/>
        </w:rPr>
        <w:t>PDC</w:t>
      </w:r>
      <w:r w:rsidRPr="00392CD2">
        <w:rPr>
          <w:i/>
          <w:iCs/>
          <w:vertAlign w:val="subscript"/>
          <w:lang w:val="es-ES"/>
        </w:rPr>
        <w:t>B</w:t>
      </w:r>
      <w:r w:rsidRPr="00392CD2">
        <w:rPr>
          <w:lang w:val="es-ES"/>
        </w:rPr>
        <w:t xml:space="preserve">) = </w:t>
      </w:r>
      <w:r>
        <w:rPr>
          <w:lang w:val="es-ES"/>
        </w:rPr>
        <w:t xml:space="preserve">1 – </w:t>
      </w:r>
      <w:r w:rsidRPr="00392CD2">
        <w:rPr>
          <w:noProof/>
          <w:lang w:val="es-ES"/>
        </w:rPr>
        <w:t>(1</w:t>
      </w:r>
      <w:r w:rsidRPr="00392CD2">
        <w:rPr>
          <w:b/>
          <w:lang w:val="es-ES"/>
        </w:rPr>
        <w:t>–</w:t>
      </w:r>
      <w:r w:rsidRPr="00392CD2">
        <w:rPr>
          <w:i/>
          <w:iCs/>
          <w:noProof/>
          <w:lang w:val="es-ES"/>
        </w:rPr>
        <w:t>PDC</w:t>
      </w:r>
      <w:r w:rsidRPr="00392CD2">
        <w:rPr>
          <w:i/>
          <w:iCs/>
          <w:noProof/>
          <w:vertAlign w:val="subscript"/>
          <w:lang w:val="es-ES"/>
        </w:rPr>
        <w:t>a</w:t>
      </w:r>
      <w:r w:rsidRPr="00392CD2">
        <w:rPr>
          <w:noProof/>
          <w:lang w:val="es-ES"/>
        </w:rPr>
        <w:t>)(1</w:t>
      </w:r>
      <w:r w:rsidRPr="00392CD2">
        <w:rPr>
          <w:b/>
          <w:lang w:val="es-ES"/>
        </w:rPr>
        <w:t>–</w:t>
      </w:r>
      <w:r w:rsidRPr="00392CD2">
        <w:rPr>
          <w:i/>
          <w:iCs/>
          <w:noProof/>
          <w:lang w:val="es-ES"/>
        </w:rPr>
        <w:t>PDC</w:t>
      </w:r>
      <w:r w:rsidRPr="00392CD2">
        <w:rPr>
          <w:i/>
          <w:iCs/>
          <w:noProof/>
          <w:vertAlign w:val="subscript"/>
          <w:lang w:val="es-ES"/>
        </w:rPr>
        <w:t>b</w:t>
      </w:r>
      <w:r w:rsidRPr="00392CD2">
        <w:rPr>
          <w:noProof/>
          <w:lang w:val="es-ES"/>
        </w:rPr>
        <w:t>)(1</w:t>
      </w:r>
      <w:r w:rsidRPr="00392CD2">
        <w:rPr>
          <w:b/>
          <w:lang w:val="es-ES"/>
        </w:rPr>
        <w:t>–</w:t>
      </w:r>
      <w:r w:rsidRPr="00392CD2">
        <w:rPr>
          <w:i/>
          <w:iCs/>
          <w:noProof/>
          <w:lang w:val="es-ES"/>
        </w:rPr>
        <w:t>PDC</w:t>
      </w:r>
      <w:r w:rsidRPr="00392CD2">
        <w:rPr>
          <w:i/>
          <w:iCs/>
          <w:noProof/>
          <w:vertAlign w:val="subscript"/>
          <w:lang w:val="es-ES"/>
        </w:rPr>
        <w:t>c</w:t>
      </w:r>
      <w:r w:rsidRPr="00392CD2">
        <w:rPr>
          <w:noProof/>
          <w:lang w:val="es-ES"/>
        </w:rPr>
        <w:t>)</w:t>
      </w:r>
      <w:r>
        <w:rPr>
          <w:noProof/>
          <w:lang w:val="es-ES"/>
        </w:rPr>
        <w:tab/>
      </w:r>
      <w:r w:rsidRPr="00392CD2">
        <w:rPr>
          <w:noProof/>
          <w:lang w:val="es-ES"/>
        </w:rPr>
        <w:t>(3)</w:t>
      </w:r>
    </w:p>
    <w:p w:rsidR="00DD2438" w:rsidRPr="000E4C61" w:rsidRDefault="00DD2438" w:rsidP="00DD2438">
      <w:pPr>
        <w:pStyle w:val="Blanc"/>
        <w:rPr>
          <w:lang w:val="es-ES_tradnl"/>
        </w:rPr>
      </w:pPr>
    </w:p>
    <w:p w:rsidR="00E7517C" w:rsidRPr="00392CD2" w:rsidRDefault="00E7517C" w:rsidP="00E7517C">
      <w:pPr>
        <w:rPr>
          <w:noProof/>
          <w:lang w:val="es-ES"/>
        </w:rPr>
      </w:pPr>
      <w:r w:rsidRPr="00392CD2">
        <w:rPr>
          <w:noProof/>
          <w:lang w:val="es-ES"/>
        </w:rPr>
        <w:t>siendo:</w:t>
      </w:r>
    </w:p>
    <w:p w:rsidR="00E7517C" w:rsidRPr="00392CD2" w:rsidRDefault="00E7517C" w:rsidP="00E7517C">
      <w:pPr>
        <w:pStyle w:val="Equationlegend"/>
        <w:rPr>
          <w:szCs w:val="24"/>
          <w:lang w:val="es-ES"/>
        </w:rPr>
      </w:pPr>
      <w:r w:rsidRPr="00392CD2">
        <w:rPr>
          <w:noProof/>
          <w:szCs w:val="24"/>
          <w:lang w:val="es-ES"/>
        </w:rPr>
        <w:tab/>
      </w:r>
      <w:r w:rsidRPr="00392CD2">
        <w:rPr>
          <w:i/>
          <w:iCs/>
          <w:noProof/>
          <w:szCs w:val="24"/>
          <w:lang w:val="es-ES"/>
        </w:rPr>
        <w:t>PDC</w:t>
      </w:r>
      <w:r w:rsidRPr="00392CD2">
        <w:rPr>
          <w:i/>
          <w:iCs/>
          <w:noProof/>
          <w:szCs w:val="24"/>
          <w:vertAlign w:val="subscript"/>
          <w:lang w:val="es-ES"/>
        </w:rPr>
        <w:t>a</w:t>
      </w:r>
      <w:r w:rsidRPr="00392CD2">
        <w:rPr>
          <w:szCs w:val="24"/>
          <w:lang w:val="es-ES"/>
        </w:rPr>
        <w:t>:</w:t>
      </w:r>
      <w:r w:rsidRPr="00392CD2">
        <w:rPr>
          <w:szCs w:val="24"/>
          <w:lang w:val="es-ES"/>
        </w:rPr>
        <w:tab/>
      </w:r>
      <w:r w:rsidRPr="00392CD2">
        <w:rPr>
          <w:lang w:val="es-ES"/>
        </w:rPr>
        <w:t>ciclo de trabajo impulsivo umbral por encima del supresor</w:t>
      </w:r>
      <w:r>
        <w:rPr>
          <w:lang w:val="es-ES"/>
        </w:rPr>
        <w:t xml:space="preserve"> para los impulsos del sistema «</w:t>
      </w:r>
      <w:r w:rsidRPr="0048661B">
        <w:rPr>
          <w:i/>
          <w:iCs/>
          <w:lang w:val="es-ES"/>
        </w:rPr>
        <w:t>a</w:t>
      </w:r>
      <w:r>
        <w:rPr>
          <w:lang w:val="es-ES"/>
        </w:rPr>
        <w:t>»</w:t>
      </w:r>
      <w:r w:rsidRPr="00392CD2">
        <w:rPr>
          <w:lang w:val="es-ES"/>
        </w:rPr>
        <w:t xml:space="preserve"> (por ejemplo, </w:t>
      </w:r>
      <w:r>
        <w:rPr>
          <w:lang w:val="es-ES"/>
        </w:rPr>
        <w:t>E</w:t>
      </w:r>
      <w:r w:rsidRPr="00392CD2">
        <w:rPr>
          <w:lang w:val="es-ES"/>
        </w:rPr>
        <w:t>quipo de Medición de Distancias/Navegación Aérea Táctica (DME/TACAN))</w:t>
      </w:r>
    </w:p>
    <w:p w:rsidR="00E7517C" w:rsidRPr="00392CD2" w:rsidRDefault="00E7517C" w:rsidP="00E7517C">
      <w:pPr>
        <w:pStyle w:val="Equationlegend"/>
        <w:rPr>
          <w:szCs w:val="24"/>
          <w:lang w:val="es-ES"/>
        </w:rPr>
      </w:pPr>
      <w:r w:rsidRPr="00392CD2">
        <w:rPr>
          <w:noProof/>
          <w:szCs w:val="24"/>
          <w:lang w:val="es-ES"/>
        </w:rPr>
        <w:tab/>
      </w:r>
      <w:r w:rsidRPr="00392CD2">
        <w:rPr>
          <w:i/>
          <w:iCs/>
          <w:noProof/>
          <w:szCs w:val="24"/>
          <w:lang w:val="es-ES"/>
        </w:rPr>
        <w:t>PDC</w:t>
      </w:r>
      <w:r w:rsidRPr="00392CD2">
        <w:rPr>
          <w:i/>
          <w:iCs/>
          <w:noProof/>
          <w:szCs w:val="24"/>
          <w:vertAlign w:val="subscript"/>
          <w:lang w:val="es-ES"/>
        </w:rPr>
        <w:t>b</w:t>
      </w:r>
      <w:r w:rsidRPr="00392CD2">
        <w:rPr>
          <w:lang w:val="es-ES"/>
        </w:rPr>
        <w:t>:</w:t>
      </w:r>
      <w:r w:rsidRPr="00392CD2">
        <w:rPr>
          <w:lang w:val="es-ES"/>
        </w:rPr>
        <w:tab/>
        <w:t xml:space="preserve">ciclo de trabajo impulsivo umbral por encima del supresor para impulsos </w:t>
      </w:r>
      <w:r>
        <w:rPr>
          <w:lang w:val="es-ES"/>
        </w:rPr>
        <w:t>del sistema «</w:t>
      </w:r>
      <w:r w:rsidRPr="0048661B">
        <w:rPr>
          <w:i/>
          <w:iCs/>
          <w:lang w:val="es-ES"/>
        </w:rPr>
        <w:t>b</w:t>
      </w:r>
      <w:r>
        <w:rPr>
          <w:lang w:val="es-ES"/>
        </w:rPr>
        <w:t>»</w:t>
      </w:r>
      <w:r w:rsidRPr="00392CD2">
        <w:rPr>
          <w:lang w:val="es-ES"/>
        </w:rPr>
        <w:t xml:space="preserve"> (por ejemplo, un sistema de identificación de comunicación sobre navegación (CNI)); y</w:t>
      </w:r>
    </w:p>
    <w:p w:rsidR="00E7517C" w:rsidRPr="00392CD2" w:rsidRDefault="00E7517C" w:rsidP="00E7517C">
      <w:pPr>
        <w:pStyle w:val="Equationlegend"/>
        <w:rPr>
          <w:szCs w:val="24"/>
          <w:lang w:val="es-ES"/>
        </w:rPr>
      </w:pPr>
      <w:r w:rsidRPr="00392CD2">
        <w:rPr>
          <w:noProof/>
          <w:szCs w:val="24"/>
          <w:lang w:val="es-ES"/>
        </w:rPr>
        <w:tab/>
      </w:r>
      <w:r w:rsidRPr="00392CD2">
        <w:rPr>
          <w:i/>
          <w:iCs/>
          <w:noProof/>
          <w:szCs w:val="24"/>
          <w:lang w:val="es-ES"/>
        </w:rPr>
        <w:t>PDC</w:t>
      </w:r>
      <w:r w:rsidRPr="00392CD2">
        <w:rPr>
          <w:i/>
          <w:iCs/>
          <w:noProof/>
          <w:szCs w:val="24"/>
          <w:vertAlign w:val="subscript"/>
          <w:lang w:val="es-ES"/>
        </w:rPr>
        <w:t>c</w:t>
      </w:r>
      <w:r w:rsidRPr="00392CD2">
        <w:rPr>
          <w:noProof/>
          <w:szCs w:val="24"/>
          <w:lang w:val="es-ES"/>
        </w:rPr>
        <w:t>:</w:t>
      </w:r>
      <w:r w:rsidRPr="00392CD2">
        <w:rPr>
          <w:noProof/>
          <w:szCs w:val="24"/>
          <w:lang w:val="es-ES"/>
        </w:rPr>
        <w:tab/>
      </w:r>
      <w:r w:rsidRPr="00392CD2">
        <w:rPr>
          <w:lang w:val="es-ES"/>
        </w:rPr>
        <w:t>ciclo de trabajo impulsivo umbral por encima del supr</w:t>
      </w:r>
      <w:r>
        <w:rPr>
          <w:lang w:val="es-ES"/>
        </w:rPr>
        <w:t>esor para impulsos del sistema «</w:t>
      </w:r>
      <w:r w:rsidRPr="0048661B">
        <w:rPr>
          <w:i/>
          <w:iCs/>
          <w:lang w:val="es-ES"/>
        </w:rPr>
        <w:t>c</w:t>
      </w:r>
      <w:r>
        <w:rPr>
          <w:lang w:val="es-ES"/>
        </w:rPr>
        <w:t>»</w:t>
      </w:r>
      <w:r w:rsidRPr="00392CD2">
        <w:rPr>
          <w:lang w:val="es-ES"/>
        </w:rPr>
        <w:t xml:space="preserve"> (por ejemplo, Servicio de Radionavegación Aeronáutica/Control de Tráfico Aéreo </w:t>
      </w:r>
      <w:r w:rsidRPr="00392CD2">
        <w:rPr>
          <w:szCs w:val="24"/>
          <w:lang w:val="es-ES"/>
        </w:rPr>
        <w:t>(</w:t>
      </w:r>
      <w:r>
        <w:rPr>
          <w:noProof/>
          <w:szCs w:val="24"/>
          <w:lang w:val="es-ES"/>
        </w:rPr>
        <w:t>SRNA</w:t>
      </w:r>
      <w:r w:rsidRPr="00392CD2">
        <w:rPr>
          <w:noProof/>
          <w:szCs w:val="24"/>
          <w:lang w:val="es-ES"/>
        </w:rPr>
        <w:t>/ATC))</w:t>
      </w:r>
      <w:r w:rsidRPr="00392CD2">
        <w:rPr>
          <w:szCs w:val="24"/>
          <w:lang w:val="es-ES"/>
        </w:rPr>
        <w:t>.</w:t>
      </w:r>
    </w:p>
    <w:p w:rsidR="00E7517C" w:rsidRPr="00392CD2" w:rsidRDefault="00E7517C" w:rsidP="00E7517C">
      <w:pPr>
        <w:rPr>
          <w:noProof/>
          <w:lang w:val="es-ES"/>
        </w:rPr>
      </w:pPr>
      <w:r w:rsidRPr="00392CD2">
        <w:rPr>
          <w:lang w:val="es-ES"/>
        </w:rPr>
        <w:t xml:space="preserve">Para cada fuente individual, </w:t>
      </w:r>
      <w:r w:rsidRPr="00392CD2">
        <w:rPr>
          <w:i/>
          <w:iCs/>
          <w:lang w:val="es-ES"/>
        </w:rPr>
        <w:t>i</w:t>
      </w:r>
      <w:r w:rsidRPr="00392CD2">
        <w:rPr>
          <w:lang w:val="es-ES"/>
        </w:rPr>
        <w:t xml:space="preserve">, de un sistema, </w:t>
      </w:r>
      <w:r w:rsidRPr="00392CD2">
        <w:rPr>
          <w:i/>
          <w:iCs/>
          <w:lang w:val="es-ES"/>
        </w:rPr>
        <w:t>x</w:t>
      </w:r>
      <w:r w:rsidRPr="00392CD2">
        <w:rPr>
          <w:lang w:val="es-ES"/>
        </w:rPr>
        <w:t xml:space="preserve">, el ciclo de trabajo impulsivo umbral por encima del supresor </w:t>
      </w:r>
      <w:r w:rsidRPr="00392CD2">
        <w:rPr>
          <w:i/>
          <w:noProof/>
          <w:lang w:val="es-ES"/>
        </w:rPr>
        <w:t>PDC</w:t>
      </w:r>
      <w:r w:rsidRPr="00392CD2">
        <w:rPr>
          <w:i/>
          <w:noProof/>
          <w:vertAlign w:val="subscript"/>
          <w:lang w:val="es-ES"/>
        </w:rPr>
        <w:t>x,i</w:t>
      </w:r>
      <w:r w:rsidRPr="00392CD2">
        <w:rPr>
          <w:noProof/>
          <w:lang w:val="es-ES"/>
        </w:rPr>
        <w:t xml:space="preserve"> </w:t>
      </w:r>
      <w:r w:rsidRPr="00392CD2">
        <w:rPr>
          <w:lang w:val="es-ES"/>
        </w:rPr>
        <w:t>bien dado generalmente por la expresión</w:t>
      </w:r>
      <w:r w:rsidRPr="00392CD2">
        <w:rPr>
          <w:noProof/>
          <w:lang w:val="es-ES"/>
        </w:rPr>
        <w:t>:</w:t>
      </w:r>
    </w:p>
    <w:p w:rsidR="00DD2438" w:rsidRPr="000E4C61" w:rsidRDefault="00DD2438" w:rsidP="00DD2438">
      <w:pPr>
        <w:pStyle w:val="Blanc"/>
        <w:rPr>
          <w:lang w:val="es-ES_tradnl"/>
        </w:rPr>
      </w:pPr>
    </w:p>
    <w:p w:rsidR="00E7517C" w:rsidRPr="00506031" w:rsidRDefault="00E7517C" w:rsidP="000E4C61">
      <w:pPr>
        <w:pStyle w:val="Equation"/>
        <w:rPr>
          <w:lang w:val="en-US" w:eastAsia="ru-RU"/>
        </w:rPr>
      </w:pPr>
      <w:r w:rsidRPr="00392CD2">
        <w:rPr>
          <w:lang w:val="es-ES" w:eastAsia="ru-RU"/>
        </w:rPr>
        <w:tab/>
      </w:r>
      <w:r w:rsidRPr="00392CD2">
        <w:rPr>
          <w:lang w:val="es-ES" w:eastAsia="ru-RU"/>
        </w:rPr>
        <w:tab/>
      </w:r>
      <w:r w:rsidRPr="00506031">
        <w:rPr>
          <w:i/>
          <w:lang w:val="en-US" w:eastAsia="ru-RU"/>
        </w:rPr>
        <w:t>PDC</w:t>
      </w:r>
      <w:r w:rsidRPr="00506031">
        <w:rPr>
          <w:i/>
          <w:vertAlign w:val="subscript"/>
          <w:lang w:val="en-US" w:eastAsia="ru-RU"/>
        </w:rPr>
        <w:t>x,i</w:t>
      </w:r>
      <w:r w:rsidRPr="00506031">
        <w:rPr>
          <w:i/>
          <w:lang w:val="en-US" w:eastAsia="ru-RU"/>
        </w:rPr>
        <w:t xml:space="preserve"> = </w:t>
      </w:r>
      <w:r w:rsidRPr="00D92AE2">
        <w:rPr>
          <w:lang w:val="en-US"/>
        </w:rPr>
        <w:t>(</w:t>
      </w:r>
      <w:r w:rsidRPr="00506031">
        <w:rPr>
          <w:i/>
          <w:lang w:val="en-US" w:eastAsia="ru-RU"/>
        </w:rPr>
        <w:t>PW</w:t>
      </w:r>
      <w:r w:rsidRPr="00506031">
        <w:rPr>
          <w:i/>
          <w:vertAlign w:val="subscript"/>
          <w:lang w:val="en-US" w:eastAsia="ru-RU"/>
        </w:rPr>
        <w:t>x</w:t>
      </w:r>
      <w:r w:rsidRPr="00506031">
        <w:rPr>
          <w:i/>
          <w:lang w:val="en-US" w:eastAsia="ru-RU"/>
        </w:rPr>
        <w:t>,</w:t>
      </w:r>
      <w:r w:rsidRPr="00506031">
        <w:rPr>
          <w:i/>
          <w:vertAlign w:val="subscript"/>
          <w:lang w:val="en-US" w:eastAsia="ru-RU"/>
        </w:rPr>
        <w:t>i</w:t>
      </w:r>
      <w:r w:rsidRPr="00506031">
        <w:rPr>
          <w:i/>
          <w:lang w:val="en-US" w:eastAsia="ru-RU"/>
        </w:rPr>
        <w:t xml:space="preserve"> + </w:t>
      </w:r>
      <w:r w:rsidRPr="00392CD2">
        <w:rPr>
          <w:iCs/>
          <w:szCs w:val="24"/>
          <w:lang w:val="es-ES" w:eastAsia="ru-RU"/>
        </w:rPr>
        <w:sym w:font="Symbol" w:char="F074"/>
      </w:r>
      <w:r w:rsidRPr="00506031">
        <w:rPr>
          <w:i/>
          <w:vertAlign w:val="subscript"/>
          <w:lang w:val="en-US" w:eastAsia="ru-RU"/>
        </w:rPr>
        <w:t>REC</w:t>
      </w:r>
      <w:r w:rsidRPr="00D92AE2">
        <w:rPr>
          <w:lang w:val="en-US"/>
        </w:rPr>
        <w:t>)</w:t>
      </w:r>
      <w:r w:rsidR="000E4C61" w:rsidRPr="000E4C61">
        <w:rPr>
          <w:lang w:val="en-US"/>
        </w:rPr>
        <w:t> </w:t>
      </w:r>
      <w:r w:rsidR="000E4C61" w:rsidRPr="000E4C61">
        <w:rPr>
          <w:i/>
          <w:szCs w:val="24"/>
          <w:lang w:val="en-US" w:eastAsia="ru-RU"/>
        </w:rPr>
        <w:t xml:space="preserve"> </w:t>
      </w:r>
      <w:r w:rsidR="000E4C61">
        <w:rPr>
          <w:i/>
          <w:szCs w:val="24"/>
          <w:lang w:val="en-US" w:eastAsia="ru-RU"/>
        </w:rPr>
        <w:t> </w:t>
      </w:r>
      <w:r w:rsidRPr="00506031">
        <w:rPr>
          <w:i/>
          <w:lang w:val="en-US" w:eastAsia="ru-RU"/>
        </w:rPr>
        <w:t>PRF</w:t>
      </w:r>
      <w:r w:rsidRPr="00506031">
        <w:rPr>
          <w:i/>
          <w:vertAlign w:val="subscript"/>
          <w:lang w:val="en-US" w:eastAsia="ru-RU"/>
        </w:rPr>
        <w:t>x,i</w:t>
      </w:r>
      <w:r w:rsidRPr="00506031">
        <w:rPr>
          <w:lang w:val="en-US" w:eastAsia="ru-RU"/>
        </w:rPr>
        <w:tab/>
        <w:t>(3a)</w:t>
      </w:r>
    </w:p>
    <w:p w:rsidR="00E7517C" w:rsidRPr="00392CD2" w:rsidRDefault="00E7517C" w:rsidP="00E7517C">
      <w:pPr>
        <w:rPr>
          <w:lang w:val="es-ES" w:eastAsia="ru-RU"/>
        </w:rPr>
      </w:pPr>
      <w:r w:rsidRPr="00392CD2">
        <w:rPr>
          <w:lang w:val="es-ES" w:eastAsia="ru-RU"/>
        </w:rPr>
        <w:t xml:space="preserve">siendo: </w:t>
      </w:r>
    </w:p>
    <w:p w:rsidR="00E7517C" w:rsidRPr="00392CD2" w:rsidRDefault="00E7517C" w:rsidP="00E7517C">
      <w:pPr>
        <w:pStyle w:val="Equationlegend"/>
        <w:rPr>
          <w:lang w:val="es-ES" w:eastAsia="ru-RU"/>
        </w:rPr>
      </w:pPr>
      <w:r w:rsidRPr="00392CD2">
        <w:rPr>
          <w:lang w:val="es-ES" w:eastAsia="ru-RU"/>
        </w:rPr>
        <w:tab/>
      </w:r>
      <w:r w:rsidRPr="00392CD2">
        <w:rPr>
          <w:i/>
          <w:lang w:val="es-ES" w:eastAsia="ru-RU"/>
        </w:rPr>
        <w:t>PW</w:t>
      </w:r>
      <w:r w:rsidRPr="00392CD2">
        <w:rPr>
          <w:i/>
          <w:vertAlign w:val="subscript"/>
          <w:lang w:val="es-ES" w:eastAsia="ru-RU"/>
        </w:rPr>
        <w:t>x,i</w:t>
      </w:r>
      <w:r w:rsidRPr="00392CD2">
        <w:rPr>
          <w:lang w:val="es-ES"/>
        </w:rPr>
        <w:t>:</w:t>
      </w:r>
      <w:r w:rsidRPr="00392CD2">
        <w:rPr>
          <w:lang w:val="es-ES" w:eastAsia="ru-RU"/>
        </w:rPr>
        <w:tab/>
      </w:r>
      <w:r w:rsidRPr="00392CD2">
        <w:rPr>
          <w:lang w:val="es-ES"/>
        </w:rPr>
        <w:t>la anchura efectiva del impulso umbral por encima del supresor recibido (s)</w:t>
      </w:r>
    </w:p>
    <w:p w:rsidR="00E7517C" w:rsidRPr="00392CD2" w:rsidRDefault="00E7517C" w:rsidP="00E7517C">
      <w:pPr>
        <w:pStyle w:val="Equationlegend"/>
        <w:rPr>
          <w:lang w:val="es-ES" w:eastAsia="ru-RU"/>
        </w:rPr>
      </w:pPr>
      <w:r w:rsidRPr="00392CD2">
        <w:rPr>
          <w:lang w:val="es-ES" w:eastAsia="ru-RU"/>
        </w:rPr>
        <w:tab/>
      </w:r>
      <w:r w:rsidRPr="00392CD2">
        <w:rPr>
          <w:iCs/>
          <w:szCs w:val="24"/>
          <w:lang w:val="es-ES" w:eastAsia="ru-RU"/>
        </w:rPr>
        <w:sym w:font="Symbol" w:char="F074"/>
      </w:r>
      <w:r w:rsidRPr="00392CD2">
        <w:rPr>
          <w:i/>
          <w:vertAlign w:val="subscript"/>
          <w:lang w:val="es-ES" w:eastAsia="ru-RU"/>
        </w:rPr>
        <w:t>REC</w:t>
      </w:r>
      <w:r w:rsidRPr="00392CD2">
        <w:rPr>
          <w:lang w:val="es-ES"/>
        </w:rPr>
        <w:t>:</w:t>
      </w:r>
      <w:r w:rsidRPr="00392CD2">
        <w:rPr>
          <w:lang w:val="es-ES" w:eastAsia="ru-RU"/>
        </w:rPr>
        <w:tab/>
      </w:r>
      <w:r w:rsidRPr="00392CD2">
        <w:rPr>
          <w:lang w:val="es-ES"/>
        </w:rPr>
        <w:t>el tiempo de recuperación de sobrecarga del receptor (s); y</w:t>
      </w:r>
    </w:p>
    <w:p w:rsidR="00E7517C" w:rsidRPr="00392CD2" w:rsidRDefault="00E7517C" w:rsidP="00E7517C">
      <w:pPr>
        <w:pStyle w:val="Equationlegend"/>
        <w:rPr>
          <w:noProof/>
          <w:lang w:val="es-ES"/>
        </w:rPr>
      </w:pPr>
      <w:r w:rsidRPr="00392CD2">
        <w:rPr>
          <w:lang w:val="es-ES" w:eastAsia="ru-RU"/>
        </w:rPr>
        <w:tab/>
      </w:r>
      <w:r w:rsidRPr="00392CD2">
        <w:rPr>
          <w:i/>
          <w:lang w:val="es-ES" w:eastAsia="ru-RU"/>
        </w:rPr>
        <w:t>PRF</w:t>
      </w:r>
      <w:r w:rsidRPr="00392CD2">
        <w:rPr>
          <w:i/>
          <w:vertAlign w:val="subscript"/>
          <w:lang w:val="es-ES" w:eastAsia="ru-RU"/>
        </w:rPr>
        <w:t>x,i</w:t>
      </w:r>
      <w:r w:rsidRPr="00392CD2">
        <w:rPr>
          <w:lang w:val="es-ES"/>
        </w:rPr>
        <w:t>:</w:t>
      </w:r>
      <w:r w:rsidRPr="00392CD2">
        <w:rPr>
          <w:lang w:val="es-ES" w:eastAsia="ru-RU"/>
        </w:rPr>
        <w:tab/>
      </w:r>
      <w:r w:rsidRPr="00392CD2">
        <w:rPr>
          <w:lang w:val="es-ES"/>
        </w:rPr>
        <w:t>la tasa de repetición de impulsos (Hz).</w:t>
      </w:r>
    </w:p>
    <w:p w:rsidR="00E7517C" w:rsidRPr="00392CD2" w:rsidRDefault="00E7517C" w:rsidP="00E7517C">
      <w:pPr>
        <w:rPr>
          <w:noProof/>
          <w:lang w:val="es-ES"/>
        </w:rPr>
      </w:pPr>
      <w:r w:rsidRPr="00392CD2">
        <w:rPr>
          <w:lang w:val="es-ES"/>
        </w:rPr>
        <w:t xml:space="preserve">El parámetro de RFI impulsiva combinada, </w:t>
      </w:r>
      <w:r w:rsidRPr="00392CD2">
        <w:rPr>
          <w:i/>
          <w:iCs/>
          <w:noProof/>
          <w:lang w:val="es-ES"/>
        </w:rPr>
        <w:t>R</w:t>
      </w:r>
      <w:r w:rsidRPr="00392CD2">
        <w:rPr>
          <w:i/>
          <w:iCs/>
          <w:noProof/>
          <w:vertAlign w:val="subscript"/>
          <w:lang w:val="es-ES"/>
        </w:rPr>
        <w:t>I</w:t>
      </w:r>
      <w:r w:rsidRPr="00392CD2">
        <w:rPr>
          <w:noProof/>
          <w:lang w:val="es-ES"/>
        </w:rPr>
        <w:t xml:space="preserve"> </w:t>
      </w:r>
      <w:r w:rsidRPr="00392CD2">
        <w:rPr>
          <w:lang w:val="es-ES"/>
        </w:rPr>
        <w:t xml:space="preserve">se crea a partir de los componentes de los sistemas del transmisor impulsivo heterogéneo separado </w:t>
      </w:r>
      <w:r>
        <w:rPr>
          <w:noProof/>
          <w:lang w:val="es-ES"/>
        </w:rPr>
        <w:t>«</w:t>
      </w:r>
      <w:r w:rsidRPr="00392CD2">
        <w:rPr>
          <w:i/>
          <w:iCs/>
          <w:noProof/>
          <w:lang w:val="es-ES"/>
        </w:rPr>
        <w:t>a</w:t>
      </w:r>
      <w:r>
        <w:rPr>
          <w:noProof/>
          <w:lang w:val="es-ES"/>
        </w:rPr>
        <w:t>», «</w:t>
      </w:r>
      <w:r w:rsidRPr="00392CD2">
        <w:rPr>
          <w:i/>
          <w:iCs/>
          <w:noProof/>
          <w:lang w:val="es-ES"/>
        </w:rPr>
        <w:t>b</w:t>
      </w:r>
      <w:r>
        <w:rPr>
          <w:noProof/>
          <w:lang w:val="es-ES"/>
        </w:rPr>
        <w:t>» y «</w:t>
      </w:r>
      <w:r w:rsidRPr="00392CD2">
        <w:rPr>
          <w:i/>
          <w:iCs/>
          <w:noProof/>
          <w:lang w:val="es-ES"/>
        </w:rPr>
        <w:t>c</w:t>
      </w:r>
      <w:r>
        <w:rPr>
          <w:noProof/>
          <w:lang w:val="es-ES"/>
        </w:rPr>
        <w:t>»</w:t>
      </w:r>
      <w:r w:rsidRPr="00392CD2">
        <w:rPr>
          <w:noProof/>
          <w:lang w:val="es-ES"/>
        </w:rPr>
        <w:t xml:space="preserve"> </w:t>
      </w:r>
      <w:r w:rsidRPr="00392CD2">
        <w:rPr>
          <w:lang w:val="es-ES"/>
        </w:rPr>
        <w:t>, como sigue:</w:t>
      </w:r>
    </w:p>
    <w:p w:rsidR="00DD2438" w:rsidRPr="000E4C61" w:rsidRDefault="00DD2438" w:rsidP="00DD2438">
      <w:pPr>
        <w:pStyle w:val="Blanc"/>
        <w:rPr>
          <w:lang w:val="es-ES_tradnl"/>
        </w:rPr>
      </w:pPr>
    </w:p>
    <w:p w:rsidR="00E7517C" w:rsidRPr="00392CD2" w:rsidRDefault="00E7517C" w:rsidP="00DD2438">
      <w:pPr>
        <w:pStyle w:val="Equation"/>
        <w:rPr>
          <w:noProof/>
          <w:lang w:val="es-ES"/>
        </w:rPr>
      </w:pPr>
      <w:r w:rsidRPr="000E4C61">
        <w:rPr>
          <w:lang w:val="es-ES_tradnl"/>
        </w:rPr>
        <w:tab/>
      </w:r>
      <w:r w:rsidRPr="000E4C61">
        <w:rPr>
          <w:lang w:val="es-ES_tradnl"/>
        </w:rPr>
        <w:tab/>
      </w:r>
      <w:r w:rsidR="00DD2438" w:rsidRPr="000E4C61">
        <w:rPr>
          <w:i/>
          <w:iCs/>
          <w:noProof/>
          <w:lang w:val="es-ES_tradnl"/>
        </w:rPr>
        <w:t>R</w:t>
      </w:r>
      <w:r w:rsidR="00DD2438" w:rsidRPr="000E4C61">
        <w:rPr>
          <w:i/>
          <w:iCs/>
          <w:noProof/>
          <w:vertAlign w:val="subscript"/>
          <w:lang w:val="es-ES_tradnl"/>
        </w:rPr>
        <w:t>I</w:t>
      </w:r>
      <w:r w:rsidR="00DD2438" w:rsidRPr="000E4C61">
        <w:rPr>
          <w:noProof/>
          <w:lang w:val="es-ES_tradnl"/>
        </w:rPr>
        <w:t xml:space="preserve"> = </w:t>
      </w:r>
      <w:r w:rsidR="00DD2438" w:rsidRPr="000E4C61">
        <w:rPr>
          <w:i/>
          <w:iCs/>
          <w:noProof/>
          <w:lang w:val="es-ES_tradnl"/>
        </w:rPr>
        <w:t>R</w:t>
      </w:r>
      <w:r w:rsidR="00DD2438" w:rsidRPr="000E4C61">
        <w:rPr>
          <w:i/>
          <w:iCs/>
          <w:noProof/>
          <w:vertAlign w:val="subscript"/>
          <w:lang w:val="es-ES_tradnl"/>
        </w:rPr>
        <w:t>a</w:t>
      </w:r>
      <w:r w:rsidR="00DD2438" w:rsidRPr="000E4C61">
        <w:rPr>
          <w:noProof/>
          <w:lang w:val="es-ES_tradnl"/>
        </w:rPr>
        <w:t xml:space="preserve"> + </w:t>
      </w:r>
      <w:r w:rsidR="00DD2438" w:rsidRPr="000E4C61">
        <w:rPr>
          <w:i/>
          <w:iCs/>
          <w:noProof/>
          <w:lang w:val="es-ES_tradnl"/>
        </w:rPr>
        <w:t>R</w:t>
      </w:r>
      <w:r w:rsidR="00DD2438" w:rsidRPr="000E4C61">
        <w:rPr>
          <w:i/>
          <w:iCs/>
          <w:noProof/>
          <w:vertAlign w:val="subscript"/>
          <w:lang w:val="es-ES_tradnl"/>
        </w:rPr>
        <w:t>b</w:t>
      </w:r>
      <w:r w:rsidR="00DD2438" w:rsidRPr="000E4C61">
        <w:rPr>
          <w:noProof/>
          <w:lang w:val="es-ES_tradnl"/>
        </w:rPr>
        <w:t xml:space="preserve"> + </w:t>
      </w:r>
      <w:r w:rsidR="00DD2438" w:rsidRPr="000E4C61">
        <w:rPr>
          <w:i/>
          <w:iCs/>
          <w:noProof/>
          <w:lang w:val="es-ES_tradnl"/>
        </w:rPr>
        <w:t>R</w:t>
      </w:r>
      <w:r w:rsidR="00DD2438" w:rsidRPr="000E4C61">
        <w:rPr>
          <w:i/>
          <w:iCs/>
          <w:noProof/>
          <w:vertAlign w:val="subscript"/>
          <w:lang w:val="es-ES_tradnl"/>
        </w:rPr>
        <w:t>c</w:t>
      </w:r>
      <w:r w:rsidRPr="00392CD2">
        <w:rPr>
          <w:lang w:val="es-ES"/>
        </w:rPr>
        <w:tab/>
      </w:r>
      <w:r w:rsidRPr="00392CD2">
        <w:rPr>
          <w:noProof/>
          <w:lang w:val="es-ES"/>
        </w:rPr>
        <w:t>(4)</w:t>
      </w:r>
    </w:p>
    <w:p w:rsidR="00E7517C" w:rsidRPr="00392CD2" w:rsidRDefault="00E7517C" w:rsidP="00E7517C">
      <w:pPr>
        <w:rPr>
          <w:noProof/>
          <w:lang w:val="es-ES"/>
        </w:rPr>
      </w:pPr>
      <w:r w:rsidRPr="00392CD2">
        <w:rPr>
          <w:noProof/>
          <w:lang w:val="es-ES"/>
        </w:rPr>
        <w:t xml:space="preserve">donde </w:t>
      </w:r>
      <w:r w:rsidRPr="00392CD2">
        <w:rPr>
          <w:i/>
          <w:iCs/>
          <w:noProof/>
          <w:lang w:val="es-ES"/>
        </w:rPr>
        <w:t>R</w:t>
      </w:r>
      <w:r w:rsidRPr="00392CD2">
        <w:rPr>
          <w:i/>
          <w:iCs/>
          <w:noProof/>
          <w:vertAlign w:val="subscript"/>
          <w:lang w:val="es-ES"/>
        </w:rPr>
        <w:t>a</w:t>
      </w:r>
      <w:r w:rsidRPr="00392CD2">
        <w:rPr>
          <w:noProof/>
          <w:lang w:val="es-ES"/>
        </w:rPr>
        <w:t xml:space="preserve">, </w:t>
      </w:r>
      <w:r w:rsidRPr="00392CD2">
        <w:rPr>
          <w:i/>
          <w:iCs/>
          <w:noProof/>
          <w:lang w:val="es-ES"/>
        </w:rPr>
        <w:t>R</w:t>
      </w:r>
      <w:r w:rsidRPr="00392CD2">
        <w:rPr>
          <w:i/>
          <w:iCs/>
          <w:noProof/>
          <w:vertAlign w:val="subscript"/>
          <w:lang w:val="es-ES"/>
        </w:rPr>
        <w:t>b</w:t>
      </w:r>
      <w:r w:rsidRPr="00392CD2">
        <w:rPr>
          <w:noProof/>
          <w:lang w:val="es-ES"/>
        </w:rPr>
        <w:t xml:space="preserve"> y </w:t>
      </w:r>
      <w:r w:rsidRPr="00392CD2">
        <w:rPr>
          <w:i/>
          <w:iCs/>
          <w:noProof/>
          <w:lang w:val="es-ES"/>
        </w:rPr>
        <w:t>R</w:t>
      </w:r>
      <w:r w:rsidRPr="00392CD2">
        <w:rPr>
          <w:i/>
          <w:iCs/>
          <w:noProof/>
          <w:vertAlign w:val="subscript"/>
          <w:lang w:val="es-ES"/>
        </w:rPr>
        <w:t>c</w:t>
      </w:r>
      <w:r w:rsidRPr="00392CD2">
        <w:rPr>
          <w:noProof/>
          <w:lang w:val="es-ES"/>
        </w:rPr>
        <w:t xml:space="preserve"> </w:t>
      </w:r>
      <w:r w:rsidRPr="00392CD2">
        <w:rPr>
          <w:lang w:val="es-ES"/>
        </w:rPr>
        <w:t xml:space="preserve">son la relación entre la señal y la densidad de ruido del receptor por debajo del supresor para los sistemas </w:t>
      </w:r>
      <w:r>
        <w:rPr>
          <w:lang w:val="es-ES"/>
        </w:rPr>
        <w:t>«</w:t>
      </w:r>
      <w:r w:rsidRPr="00392CD2">
        <w:rPr>
          <w:i/>
          <w:iCs/>
          <w:lang w:val="es-ES"/>
        </w:rPr>
        <w:t>a</w:t>
      </w:r>
      <w:r>
        <w:rPr>
          <w:i/>
          <w:iCs/>
          <w:lang w:val="es-ES"/>
        </w:rPr>
        <w:t>»</w:t>
      </w:r>
      <w:r>
        <w:rPr>
          <w:lang w:val="es-ES"/>
        </w:rPr>
        <w:t>, «</w:t>
      </w:r>
      <w:r w:rsidRPr="00392CD2">
        <w:rPr>
          <w:i/>
          <w:iCs/>
          <w:lang w:val="es-ES"/>
        </w:rPr>
        <w:t>b</w:t>
      </w:r>
      <w:r>
        <w:rPr>
          <w:i/>
          <w:iCs/>
          <w:lang w:val="es-ES"/>
        </w:rPr>
        <w:t>»</w:t>
      </w:r>
      <w:r w:rsidRPr="00392CD2">
        <w:rPr>
          <w:lang w:val="es-ES"/>
        </w:rPr>
        <w:t xml:space="preserve"> y</w:t>
      </w:r>
      <w:r>
        <w:rPr>
          <w:lang w:val="es-ES"/>
        </w:rPr>
        <w:t xml:space="preserve"> «</w:t>
      </w:r>
      <w:r w:rsidRPr="00392CD2">
        <w:rPr>
          <w:i/>
          <w:iCs/>
          <w:lang w:val="es-ES"/>
        </w:rPr>
        <w:t>c</w:t>
      </w:r>
      <w:r>
        <w:rPr>
          <w:i/>
          <w:iCs/>
          <w:lang w:val="es-ES"/>
        </w:rPr>
        <w:t>»</w:t>
      </w:r>
      <w:r w:rsidRPr="00392CD2">
        <w:rPr>
          <w:lang w:val="es-ES"/>
        </w:rPr>
        <w:t xml:space="preserve"> respectivamente.</w:t>
      </w:r>
    </w:p>
    <w:p w:rsidR="00E7517C" w:rsidRPr="00392CD2" w:rsidRDefault="00E7517C" w:rsidP="00E7517C">
      <w:pPr>
        <w:rPr>
          <w:noProof/>
          <w:lang w:val="es-ES"/>
        </w:rPr>
      </w:pPr>
      <w:r w:rsidRPr="00392CD2">
        <w:rPr>
          <w:lang w:val="es-ES"/>
        </w:rPr>
        <w:t>Estas relaciones se calculan sin tener en cuenta la presencia de cualquier otro impulso que se solape en el tiempo procedente de varias fuentes de RFI impulsiva individuales. El ciclo de trabajo impulsivo de una fuente individual,</w:t>
      </w:r>
      <w:r w:rsidRPr="00392CD2">
        <w:rPr>
          <w:i/>
          <w:iCs/>
          <w:lang w:val="es-ES"/>
        </w:rPr>
        <w:t xml:space="preserve"> j</w:t>
      </w:r>
      <w:r w:rsidRPr="00392CD2">
        <w:rPr>
          <w:lang w:val="es-ES"/>
        </w:rPr>
        <w:t xml:space="preserve">, de un sistema, </w:t>
      </w:r>
      <w:r w:rsidRPr="00392CD2">
        <w:rPr>
          <w:i/>
          <w:iCs/>
          <w:lang w:val="es-ES"/>
        </w:rPr>
        <w:t>y</w:t>
      </w:r>
      <w:r w:rsidRPr="00392CD2">
        <w:rPr>
          <w:lang w:val="es-ES"/>
        </w:rPr>
        <w:t xml:space="preserve">, para impulsos recibidos umbral por debajo del supresor, </w:t>
      </w:r>
      <w:r w:rsidRPr="00392CD2">
        <w:rPr>
          <w:i/>
          <w:lang w:val="es-ES" w:eastAsia="ru-RU"/>
        </w:rPr>
        <w:t>dc</w:t>
      </w:r>
      <w:r w:rsidRPr="00392CD2">
        <w:rPr>
          <w:i/>
          <w:vertAlign w:val="subscript"/>
          <w:lang w:val="es-ES" w:eastAsia="ru-RU"/>
        </w:rPr>
        <w:t>y,j</w:t>
      </w:r>
      <w:r w:rsidRPr="00392CD2">
        <w:rPr>
          <w:i/>
          <w:lang w:val="es-ES" w:eastAsia="ru-RU"/>
        </w:rPr>
        <w:t>,</w:t>
      </w:r>
      <w:r w:rsidRPr="00392CD2">
        <w:rPr>
          <w:lang w:val="es-ES"/>
        </w:rPr>
        <w:t>,</w:t>
      </w:r>
      <w:r w:rsidRPr="00392CD2">
        <w:rPr>
          <w:noProof/>
          <w:lang w:val="es-ES"/>
        </w:rPr>
        <w:t xml:space="preserve"> </w:t>
      </w:r>
      <w:r w:rsidRPr="00392CD2">
        <w:rPr>
          <w:lang w:val="es-ES"/>
        </w:rPr>
        <w:t>se define mediante la expresión:</w:t>
      </w:r>
    </w:p>
    <w:p w:rsidR="00E7517C" w:rsidRPr="00506031" w:rsidRDefault="00E7517C" w:rsidP="00E7517C">
      <w:pPr>
        <w:pStyle w:val="Equation"/>
        <w:rPr>
          <w:lang w:val="en-US" w:eastAsia="ru-RU"/>
        </w:rPr>
      </w:pPr>
      <w:r w:rsidRPr="00392CD2">
        <w:rPr>
          <w:lang w:val="es-ES" w:eastAsia="ru-RU"/>
        </w:rPr>
        <w:tab/>
      </w:r>
      <w:r w:rsidRPr="00392CD2">
        <w:rPr>
          <w:lang w:val="es-ES" w:eastAsia="ru-RU"/>
        </w:rPr>
        <w:tab/>
      </w:r>
      <w:r w:rsidRPr="00506031">
        <w:rPr>
          <w:i/>
          <w:lang w:val="en-US" w:eastAsia="ru-RU"/>
        </w:rPr>
        <w:t>dc</w:t>
      </w:r>
      <w:r w:rsidRPr="00506031">
        <w:rPr>
          <w:i/>
          <w:vertAlign w:val="subscript"/>
          <w:lang w:val="en-US" w:eastAsia="ru-RU"/>
        </w:rPr>
        <w:t>y,j</w:t>
      </w:r>
      <w:r w:rsidRPr="00506031">
        <w:rPr>
          <w:i/>
          <w:lang w:val="en-US" w:eastAsia="ru-RU"/>
        </w:rPr>
        <w:t xml:space="preserve"> = PW</w:t>
      </w:r>
      <w:r w:rsidRPr="00506031">
        <w:rPr>
          <w:i/>
          <w:vertAlign w:val="subscript"/>
          <w:lang w:val="en-US" w:eastAsia="ru-RU"/>
        </w:rPr>
        <w:t>y</w:t>
      </w:r>
      <w:r w:rsidRPr="00506031">
        <w:rPr>
          <w:i/>
          <w:lang w:val="en-US" w:eastAsia="ru-RU"/>
        </w:rPr>
        <w:t>,</w:t>
      </w:r>
      <w:r w:rsidRPr="00506031">
        <w:rPr>
          <w:i/>
          <w:vertAlign w:val="subscript"/>
          <w:lang w:val="en-US" w:eastAsia="ru-RU"/>
        </w:rPr>
        <w:t>j</w:t>
      </w:r>
      <w:r w:rsidRPr="00392CD2">
        <w:rPr>
          <w:i/>
          <w:szCs w:val="24"/>
          <w:lang w:val="es-ES" w:eastAsia="ru-RU"/>
        </w:rPr>
        <w:sym w:font="Symbol" w:char="F0D7"/>
      </w:r>
      <w:r w:rsidRPr="00506031">
        <w:rPr>
          <w:i/>
          <w:lang w:val="en-US" w:eastAsia="ru-RU"/>
        </w:rPr>
        <w:t>PRF</w:t>
      </w:r>
      <w:r w:rsidRPr="00506031">
        <w:rPr>
          <w:i/>
          <w:vertAlign w:val="subscript"/>
          <w:lang w:val="en-US" w:eastAsia="ru-RU"/>
        </w:rPr>
        <w:t>y,j</w:t>
      </w:r>
      <w:r w:rsidRPr="00506031">
        <w:rPr>
          <w:lang w:val="en-US" w:eastAsia="ru-RU"/>
        </w:rPr>
        <w:tab/>
        <w:t>(4a)</w:t>
      </w:r>
    </w:p>
    <w:p w:rsidR="00E7517C" w:rsidRPr="00392CD2" w:rsidRDefault="00E7517C" w:rsidP="00E7517C">
      <w:pPr>
        <w:spacing w:before="240"/>
        <w:rPr>
          <w:noProof/>
          <w:lang w:val="es-ES"/>
        </w:rPr>
      </w:pPr>
      <w:r w:rsidRPr="00392CD2">
        <w:rPr>
          <w:lang w:val="es-ES"/>
        </w:rPr>
        <w:t>en la que los términos de la derecha de la ecuación se definen de forma similar a (3a) salvo que en este caso son con respecto a las características impulsivas umbral por encima del supresor.</w:t>
      </w:r>
    </w:p>
    <w:p w:rsidR="00E7517C" w:rsidRPr="00392CD2" w:rsidRDefault="00E7517C" w:rsidP="00E7517C">
      <w:pPr>
        <w:pStyle w:val="Heading2"/>
        <w:rPr>
          <w:lang w:val="es-ES"/>
        </w:rPr>
      </w:pPr>
      <w:r w:rsidRPr="00392CD2">
        <w:rPr>
          <w:lang w:val="es-ES"/>
        </w:rPr>
        <w:lastRenderedPageBreak/>
        <w:t>2.2</w:t>
      </w:r>
      <w:r w:rsidRPr="00392CD2">
        <w:rPr>
          <w:lang w:val="es-ES"/>
        </w:rPr>
        <w:tab/>
        <w:t>Cálculo de la densidad de ruido efectiva (saturación del impulso del receptor)</w:t>
      </w:r>
    </w:p>
    <w:p w:rsidR="00E7517C" w:rsidRPr="00392CD2" w:rsidRDefault="00E7517C" w:rsidP="00CC7782">
      <w:pPr>
        <w:rPr>
          <w:lang w:val="es-ES"/>
        </w:rPr>
      </w:pPr>
      <w:r w:rsidRPr="00392CD2">
        <w:rPr>
          <w:lang w:val="es-ES"/>
        </w:rPr>
        <w:t>Algunos receptores del SRNS que funcionan en las bandas de este servicio en, por ejemplo, aplicaciones basadas en tierra puede que no estén sujetos a valores significativos de RFI impulsiva en banda y en la banda adyacente como sucede con los receptores de navegación aérea y similares. En consecuencia, no contienen circuitería de supresión de impulsos como se describe en el §</w:t>
      </w:r>
      <w:r w:rsidR="00CC7782">
        <w:rPr>
          <w:lang w:val="es-ES"/>
        </w:rPr>
        <w:t> </w:t>
      </w:r>
      <w:r w:rsidRPr="00392CD2">
        <w:rPr>
          <w:lang w:val="es-ES"/>
        </w:rPr>
        <w:t xml:space="preserve">2.1 anterior sino que se saturarán brevemente por impulsos de RFI procedentes de una fuente cercana. La presencia de RFI impulsiva reduce la cantidad de RFI continua que puede tolerar un receptor del SRNS. Los efectos de la RFI impulsiva y continua para un receptor del SRNS que trabaja en saturación pueden cuantificarse definiendo una densidad espectral efectiva de potencia de ruido después del correlador, </w:t>
      </w:r>
      <w:r w:rsidRPr="00392CD2">
        <w:rPr>
          <w:i/>
          <w:iCs/>
          <w:lang w:val="es-ES"/>
        </w:rPr>
        <w:t>N</w:t>
      </w:r>
      <w:r w:rsidRPr="00392CD2">
        <w:rPr>
          <w:vertAlign w:val="subscript"/>
          <w:lang w:val="es-ES"/>
        </w:rPr>
        <w:t>0,</w:t>
      </w:r>
      <w:r w:rsidRPr="00392CD2">
        <w:rPr>
          <w:i/>
          <w:iCs/>
          <w:vertAlign w:val="subscript"/>
          <w:lang w:val="es-ES"/>
        </w:rPr>
        <w:t>EFF</w:t>
      </w:r>
      <w:r w:rsidRPr="00392CD2">
        <w:rPr>
          <w:lang w:val="es-ES"/>
        </w:rPr>
        <w:t>, como sigue:</w:t>
      </w:r>
    </w:p>
    <w:p w:rsidR="00E7517C" w:rsidRPr="000E4C61" w:rsidRDefault="00E7517C" w:rsidP="00CC7782">
      <w:pPr>
        <w:pStyle w:val="Blanc"/>
        <w:rPr>
          <w:lang w:val="es-ES_tradnl"/>
        </w:rPr>
      </w:pPr>
    </w:p>
    <w:p w:rsidR="00E7517C" w:rsidRPr="00392CD2" w:rsidRDefault="00E7517C" w:rsidP="00E7517C">
      <w:pPr>
        <w:pStyle w:val="Equation"/>
        <w:spacing w:before="240"/>
        <w:rPr>
          <w:lang w:val="es-ES"/>
        </w:rPr>
      </w:pPr>
      <w:r w:rsidRPr="00392CD2">
        <w:rPr>
          <w:lang w:val="es-ES"/>
        </w:rPr>
        <w:tab/>
      </w:r>
      <w:r w:rsidRPr="00392CD2">
        <w:rPr>
          <w:lang w:val="es-ES"/>
        </w:rPr>
        <w:tab/>
      </w:r>
      <w:r w:rsidRPr="00392CD2">
        <w:rPr>
          <w:position w:val="-28"/>
          <w:lang w:val="es-ES"/>
        </w:rPr>
        <w:object w:dxaOrig="5130" w:dyaOrig="1200">
          <v:shape id="_x0000_i1027" type="#_x0000_t75" style="width:258pt;height:61.2pt" o:ole="">
            <v:imagedata r:id="rId17" o:title=""/>
          </v:shape>
          <o:OLEObject Type="Embed" ProgID="Equation.DSMT4" ShapeID="_x0000_i1027" DrawAspect="Content" ObjectID="_1475048263" r:id="rId18"/>
        </w:object>
      </w:r>
      <w:r w:rsidRPr="00392CD2">
        <w:rPr>
          <w:lang w:val="es-ES"/>
        </w:rPr>
        <w:tab/>
      </w:r>
      <w:r w:rsidRPr="00392CD2">
        <w:rPr>
          <w:szCs w:val="24"/>
          <w:lang w:val="es-ES"/>
        </w:rPr>
        <w:t>(5)</w:t>
      </w:r>
    </w:p>
    <w:p w:rsidR="00E7517C" w:rsidRPr="00392CD2" w:rsidRDefault="00E7517C" w:rsidP="00E7517C">
      <w:pPr>
        <w:rPr>
          <w:lang w:val="es-ES"/>
        </w:rPr>
      </w:pPr>
      <w:r w:rsidRPr="00392CD2">
        <w:rPr>
          <w:lang w:val="es-ES"/>
        </w:rPr>
        <w:t>siendo:</w:t>
      </w:r>
    </w:p>
    <w:p w:rsidR="00E7517C" w:rsidRPr="00392CD2" w:rsidRDefault="00E7517C" w:rsidP="00E7517C">
      <w:pPr>
        <w:pStyle w:val="Equationlegend"/>
        <w:rPr>
          <w:lang w:val="es-ES"/>
        </w:rPr>
      </w:pPr>
      <w:r w:rsidRPr="00392CD2">
        <w:rPr>
          <w:lang w:val="es-ES"/>
        </w:rPr>
        <w:tab/>
      </w:r>
      <w:r w:rsidRPr="00392CD2">
        <w:rPr>
          <w:i/>
          <w:iCs/>
          <w:lang w:val="es-ES"/>
        </w:rPr>
        <w:t>N</w:t>
      </w:r>
      <w:r w:rsidRPr="00392CD2">
        <w:rPr>
          <w:vertAlign w:val="subscript"/>
          <w:lang w:val="es-ES"/>
        </w:rPr>
        <w:t>0</w:t>
      </w:r>
      <w:r w:rsidRPr="00392CD2">
        <w:rPr>
          <w:lang w:val="es-ES"/>
        </w:rPr>
        <w:t>:</w:t>
      </w:r>
      <w:r w:rsidRPr="00392CD2">
        <w:rPr>
          <w:lang w:val="es-ES"/>
        </w:rPr>
        <w:tab/>
        <w:t xml:space="preserve">densidad espectral de potencia del ruido </w:t>
      </w:r>
      <w:r>
        <w:rPr>
          <w:lang w:val="es-ES"/>
        </w:rPr>
        <w:t>térmico</w:t>
      </w:r>
      <w:r w:rsidRPr="00392CD2">
        <w:rPr>
          <w:lang w:val="es-ES"/>
        </w:rPr>
        <w:t xml:space="preserve"> del sistema de recepción en W/Hz (= kT</w:t>
      </w:r>
      <w:r w:rsidRPr="00392CD2">
        <w:rPr>
          <w:vertAlign w:val="subscript"/>
          <w:lang w:val="es-ES"/>
        </w:rPr>
        <w:t>SYS</w:t>
      </w:r>
      <w:r w:rsidRPr="00392CD2">
        <w:rPr>
          <w:lang w:val="es-ES"/>
        </w:rPr>
        <w:t>)</w:t>
      </w:r>
    </w:p>
    <w:p w:rsidR="00E7517C" w:rsidRPr="00392CD2" w:rsidRDefault="00E7517C" w:rsidP="00E7517C">
      <w:pPr>
        <w:pStyle w:val="Equationlegend"/>
        <w:rPr>
          <w:lang w:val="es-ES"/>
        </w:rPr>
      </w:pPr>
      <w:r w:rsidRPr="00392CD2">
        <w:rPr>
          <w:lang w:val="es-ES"/>
        </w:rPr>
        <w:tab/>
      </w:r>
      <w:r w:rsidRPr="00392CD2">
        <w:rPr>
          <w:i/>
          <w:iCs/>
          <w:lang w:val="es-ES"/>
        </w:rPr>
        <w:t>I</w:t>
      </w:r>
      <w:r w:rsidRPr="00392CD2">
        <w:rPr>
          <w:vertAlign w:val="subscript"/>
          <w:lang w:val="es-ES"/>
        </w:rPr>
        <w:t>0,</w:t>
      </w:r>
      <w:r w:rsidRPr="00392CD2">
        <w:rPr>
          <w:i/>
          <w:iCs/>
          <w:vertAlign w:val="subscript"/>
          <w:lang w:val="es-ES"/>
        </w:rPr>
        <w:t>WB</w:t>
      </w:r>
      <w:r w:rsidRPr="00392CD2">
        <w:rPr>
          <w:lang w:val="es-ES"/>
        </w:rPr>
        <w:t>:</w:t>
      </w:r>
      <w:r w:rsidRPr="00392CD2">
        <w:rPr>
          <w:lang w:val="es-ES"/>
        </w:rPr>
        <w:tab/>
        <w:t>densidad espectral de potencia de la RFI continua equivalente de banda amplia total (W/Hz)</w:t>
      </w:r>
    </w:p>
    <w:p w:rsidR="00E7517C" w:rsidRPr="00392CD2" w:rsidRDefault="00E7517C" w:rsidP="00E7517C">
      <w:pPr>
        <w:pStyle w:val="Equationlegend"/>
        <w:rPr>
          <w:lang w:val="es-ES"/>
        </w:rPr>
      </w:pPr>
      <w:r w:rsidRPr="00392CD2">
        <w:rPr>
          <w:i/>
          <w:iCs/>
          <w:lang w:val="es-ES"/>
        </w:rPr>
        <w:tab/>
        <w:t>PDC</w:t>
      </w:r>
      <w:r w:rsidRPr="00392CD2">
        <w:rPr>
          <w:i/>
          <w:iCs/>
          <w:vertAlign w:val="subscript"/>
          <w:lang w:val="es-ES"/>
        </w:rPr>
        <w:t>LIM</w:t>
      </w:r>
      <w:r w:rsidRPr="00392CD2">
        <w:rPr>
          <w:lang w:val="es-ES"/>
        </w:rPr>
        <w:t>:</w:t>
      </w:r>
      <w:r w:rsidRPr="00392CD2">
        <w:rPr>
          <w:lang w:val="es-ES"/>
        </w:rPr>
        <w:tab/>
        <w:t>ciclo de trabajo fraccionado combinado de los impulsos de RFI de saturación (adimensional)</w:t>
      </w:r>
    </w:p>
    <w:p w:rsidR="00E7517C" w:rsidRPr="00392CD2" w:rsidRDefault="00E7517C" w:rsidP="00E7517C">
      <w:pPr>
        <w:pStyle w:val="Equationlegend"/>
        <w:rPr>
          <w:lang w:val="es-ES"/>
        </w:rPr>
      </w:pPr>
      <w:r w:rsidRPr="00392CD2">
        <w:rPr>
          <w:lang w:val="es-ES"/>
        </w:rPr>
        <w:tab/>
      </w:r>
      <w:r w:rsidRPr="00392CD2">
        <w:rPr>
          <w:i/>
          <w:iCs/>
          <w:lang w:val="es-ES"/>
        </w:rPr>
        <w:t>R</w:t>
      </w:r>
      <w:r w:rsidRPr="00392CD2">
        <w:rPr>
          <w:i/>
          <w:iCs/>
          <w:vertAlign w:val="subscript"/>
          <w:lang w:val="es-ES"/>
        </w:rPr>
        <w:t>I</w:t>
      </w:r>
      <w:r w:rsidRPr="00392CD2">
        <w:rPr>
          <w:lang w:val="es-ES"/>
        </w:rPr>
        <w:t>:</w:t>
      </w:r>
      <w:r w:rsidRPr="00392CD2">
        <w:rPr>
          <w:lang w:val="es-ES"/>
        </w:rPr>
        <w:tab/>
        <w:t xml:space="preserve">relación (adimensional) entre la densidad de potencia de la RFI impulsiva promediada combinada por debajo de la saturación </w:t>
      </w:r>
      <w:r w:rsidRPr="00392CD2">
        <w:rPr>
          <w:i/>
          <w:iCs/>
          <w:lang w:val="es-ES"/>
        </w:rPr>
        <w:t>N</w:t>
      </w:r>
      <w:r w:rsidRPr="00392CD2">
        <w:rPr>
          <w:vertAlign w:val="subscript"/>
          <w:lang w:val="es-ES"/>
        </w:rPr>
        <w:t>0</w:t>
      </w:r>
      <w:r w:rsidRPr="00392CD2">
        <w:rPr>
          <w:lang w:val="es-ES"/>
        </w:rPr>
        <w:t>; y</w:t>
      </w:r>
    </w:p>
    <w:p w:rsidR="00E7517C" w:rsidRPr="00392CD2" w:rsidRDefault="00E7517C" w:rsidP="00E7517C">
      <w:pPr>
        <w:pStyle w:val="Equationlegend"/>
        <w:rPr>
          <w:lang w:val="es-ES"/>
        </w:rPr>
      </w:pPr>
      <w:r w:rsidRPr="00392CD2">
        <w:rPr>
          <w:i/>
          <w:iCs/>
          <w:lang w:val="es-ES"/>
        </w:rPr>
        <w:tab/>
        <w:t>N</w:t>
      </w:r>
      <w:r w:rsidRPr="00392CD2">
        <w:rPr>
          <w:i/>
          <w:iCs/>
          <w:vertAlign w:val="subscript"/>
          <w:lang w:val="es-ES"/>
        </w:rPr>
        <w:t>LIM</w:t>
      </w:r>
      <w:r w:rsidRPr="00392CD2">
        <w:rPr>
          <w:lang w:val="es-ES"/>
        </w:rPr>
        <w:t>:</w:t>
      </w:r>
      <w:r w:rsidRPr="00392CD2">
        <w:rPr>
          <w:lang w:val="es-ES"/>
        </w:rPr>
        <w:tab/>
        <w:t>relación (adimensional) entre el nivel de saturación analógica/digital (A/D) del receptor y la tensión de ruido establecida por control automático de ganancia (CAG).</w:t>
      </w:r>
    </w:p>
    <w:p w:rsidR="00E7517C" w:rsidRPr="00392CD2" w:rsidRDefault="00E7517C" w:rsidP="00CC7782">
      <w:pPr>
        <w:rPr>
          <w:lang w:val="es-ES"/>
        </w:rPr>
      </w:pPr>
      <w:r w:rsidRPr="00392CD2">
        <w:rPr>
          <w:lang w:val="es-ES"/>
        </w:rPr>
        <w:t xml:space="preserve">Todos los términos de ruido e interferencia de la ecuación (5) lo son con referencia a los terminales de antena pasivos del sistema de recepción. El parámetro </w:t>
      </w:r>
      <w:r w:rsidRPr="00392CD2">
        <w:rPr>
          <w:i/>
          <w:iCs/>
          <w:lang w:val="es-ES"/>
        </w:rPr>
        <w:t>N</w:t>
      </w:r>
      <w:r w:rsidRPr="00392CD2">
        <w:rPr>
          <w:i/>
          <w:iCs/>
          <w:vertAlign w:val="subscript"/>
          <w:lang w:val="es-ES"/>
        </w:rPr>
        <w:t>LIM</w:t>
      </w:r>
      <w:r w:rsidRPr="00392CD2">
        <w:rPr>
          <w:lang w:val="es-ES"/>
        </w:rPr>
        <w:t xml:space="preserve"> es un parámetro del receptor determinado por la implementación de la conversión A/D. Para el receptor del SRNS con límite estricto más sencillo (con un cuantificador de </w:t>
      </w:r>
      <w:r>
        <w:rPr>
          <w:lang w:val="es-ES"/>
        </w:rPr>
        <w:t>«</w:t>
      </w:r>
      <w:r w:rsidRPr="00392CD2">
        <w:rPr>
          <w:lang w:val="es-ES"/>
        </w:rPr>
        <w:t>1 bit</w:t>
      </w:r>
      <w:r>
        <w:rPr>
          <w:lang w:val="es-ES"/>
        </w:rPr>
        <w:t>»</w:t>
      </w:r>
      <w:r w:rsidRPr="00392CD2">
        <w:rPr>
          <w:lang w:val="es-ES"/>
        </w:rPr>
        <w:t xml:space="preserve">), </w:t>
      </w:r>
      <w:r w:rsidRPr="00392CD2">
        <w:rPr>
          <w:i/>
          <w:iCs/>
          <w:lang w:val="es-ES"/>
        </w:rPr>
        <w:t>N</w:t>
      </w:r>
      <w:r w:rsidRPr="00392CD2">
        <w:rPr>
          <w:i/>
          <w:iCs/>
          <w:vertAlign w:val="subscript"/>
          <w:lang w:val="es-ES"/>
        </w:rPr>
        <w:t>LIM</w:t>
      </w:r>
      <w:r w:rsidRPr="00392CD2">
        <w:rPr>
          <w:lang w:val="es-ES"/>
        </w:rPr>
        <w:t xml:space="preserve"> = unidad. Como en ese caso el receptor limita el ruido, el parámetro de la RFI </w:t>
      </w:r>
      <w:r w:rsidRPr="00392CD2">
        <w:rPr>
          <w:i/>
          <w:iCs/>
          <w:lang w:val="es-ES"/>
        </w:rPr>
        <w:t>R</w:t>
      </w:r>
      <w:r w:rsidRPr="00392CD2">
        <w:rPr>
          <w:i/>
          <w:iCs/>
          <w:vertAlign w:val="subscript"/>
          <w:lang w:val="es-ES"/>
        </w:rPr>
        <w:t>I</w:t>
      </w:r>
      <w:r w:rsidRPr="00392CD2">
        <w:rPr>
          <w:lang w:val="es-ES"/>
        </w:rPr>
        <w:t xml:space="preserve"> es esencialmente cero. En casos más generales, </w:t>
      </w:r>
      <w:r w:rsidRPr="00392CD2">
        <w:rPr>
          <w:i/>
          <w:iCs/>
          <w:lang w:val="es-ES"/>
        </w:rPr>
        <w:t>R</w:t>
      </w:r>
      <w:r w:rsidRPr="00392CD2">
        <w:rPr>
          <w:i/>
          <w:iCs/>
          <w:vertAlign w:val="subscript"/>
          <w:lang w:val="es-ES"/>
        </w:rPr>
        <w:t>I</w:t>
      </w:r>
      <w:r w:rsidRPr="00392CD2">
        <w:rPr>
          <w:lang w:val="es-ES"/>
        </w:rPr>
        <w:t xml:space="preserve"> está relacionada con el nivel de saturación A/D del receptor y la potencia de cresta y el ciclo de trabajo impulsivo de los impulsos de RFI por debajo de la saturación con la misma definición</w:t>
      </w:r>
      <w:r>
        <w:rPr>
          <w:lang w:val="es-ES"/>
        </w:rPr>
        <w:t xml:space="preserve"> como</w:t>
      </w:r>
      <w:r w:rsidRPr="00392CD2">
        <w:rPr>
          <w:lang w:val="es-ES"/>
        </w:rPr>
        <w:t xml:space="preserve"> se representan en la ecuación (2). Como en la ecuación (1), los términos </w:t>
      </w:r>
      <w:r w:rsidRPr="00392CD2">
        <w:rPr>
          <w:i/>
          <w:iCs/>
          <w:lang w:val="es-ES"/>
        </w:rPr>
        <w:t>PDC</w:t>
      </w:r>
      <w:r w:rsidRPr="00392CD2">
        <w:rPr>
          <w:i/>
          <w:iCs/>
          <w:vertAlign w:val="subscript"/>
          <w:lang w:val="es-ES"/>
        </w:rPr>
        <w:t>LIM</w:t>
      </w:r>
      <w:r w:rsidRPr="00392CD2">
        <w:rPr>
          <w:lang w:val="es-ES"/>
        </w:rPr>
        <w:t xml:space="preserve"> y </w:t>
      </w:r>
      <w:r w:rsidRPr="00392CD2">
        <w:rPr>
          <w:i/>
          <w:iCs/>
          <w:lang w:val="es-ES"/>
        </w:rPr>
        <w:t>R</w:t>
      </w:r>
      <w:r w:rsidRPr="00392CD2">
        <w:rPr>
          <w:i/>
          <w:iCs/>
          <w:vertAlign w:val="subscript"/>
          <w:lang w:val="es-ES"/>
        </w:rPr>
        <w:t>I</w:t>
      </w:r>
      <w:r w:rsidRPr="00392CD2">
        <w:rPr>
          <w:lang w:val="es-ES"/>
        </w:rPr>
        <w:t xml:space="preserve"> representan los valores combinados de las fuentes de RFI impulsiva implicadas. Obsérvese también que cuando no está presente ninguna RFI impulsiva, los parámetros de </w:t>
      </w:r>
      <w:r>
        <w:rPr>
          <w:lang w:val="es-ES"/>
        </w:rPr>
        <w:t xml:space="preserve">la </w:t>
      </w:r>
      <w:r w:rsidRPr="00392CD2">
        <w:rPr>
          <w:lang w:val="es-ES"/>
        </w:rPr>
        <w:t xml:space="preserve">RFI, </w:t>
      </w:r>
      <w:r w:rsidRPr="00392CD2">
        <w:rPr>
          <w:i/>
          <w:iCs/>
          <w:lang w:val="es-ES"/>
        </w:rPr>
        <w:t>PDC</w:t>
      </w:r>
      <w:r w:rsidRPr="00392CD2">
        <w:rPr>
          <w:i/>
          <w:iCs/>
          <w:vertAlign w:val="subscript"/>
          <w:lang w:val="es-ES"/>
        </w:rPr>
        <w:t>LIM</w:t>
      </w:r>
      <w:r w:rsidRPr="00392CD2">
        <w:rPr>
          <w:lang w:val="es-ES"/>
        </w:rPr>
        <w:t xml:space="preserve"> y </w:t>
      </w:r>
      <w:r w:rsidRPr="00392CD2">
        <w:rPr>
          <w:i/>
          <w:iCs/>
          <w:lang w:val="es-ES"/>
        </w:rPr>
        <w:t>R</w:t>
      </w:r>
      <w:r w:rsidRPr="00392CD2">
        <w:rPr>
          <w:i/>
          <w:iCs/>
          <w:vertAlign w:val="subscript"/>
          <w:lang w:val="es-ES"/>
        </w:rPr>
        <w:t>I</w:t>
      </w:r>
      <w:r w:rsidRPr="00392CD2">
        <w:rPr>
          <w:lang w:val="es-ES"/>
        </w:rPr>
        <w:t xml:space="preserve"> son cero y la ecuación</w:t>
      </w:r>
      <w:r w:rsidR="00CC7782">
        <w:rPr>
          <w:lang w:val="es-ES"/>
        </w:rPr>
        <w:t> </w:t>
      </w:r>
      <w:r w:rsidRPr="00392CD2">
        <w:rPr>
          <w:lang w:val="es-ES"/>
        </w:rPr>
        <w:t xml:space="preserve">(5) se reduce a </w:t>
      </w:r>
      <w:r w:rsidRPr="00392CD2">
        <w:rPr>
          <w:i/>
          <w:iCs/>
          <w:lang w:val="es-ES"/>
        </w:rPr>
        <w:t>N</w:t>
      </w:r>
      <w:r w:rsidRPr="00392CD2">
        <w:rPr>
          <w:vertAlign w:val="subscript"/>
          <w:lang w:val="es-ES"/>
        </w:rPr>
        <w:t>0,</w:t>
      </w:r>
      <w:r w:rsidRPr="00392CD2">
        <w:rPr>
          <w:i/>
          <w:iCs/>
          <w:vertAlign w:val="subscript"/>
          <w:lang w:val="es-ES"/>
        </w:rPr>
        <w:t>EFF</w:t>
      </w:r>
      <w:r w:rsidRPr="00392CD2">
        <w:rPr>
          <w:lang w:val="es-ES"/>
        </w:rPr>
        <w:t xml:space="preserve"> = </w:t>
      </w:r>
      <w:r w:rsidRPr="00392CD2">
        <w:rPr>
          <w:i/>
          <w:iCs/>
          <w:lang w:val="es-ES"/>
        </w:rPr>
        <w:t>N</w:t>
      </w:r>
      <w:r w:rsidRPr="00392CD2">
        <w:rPr>
          <w:vertAlign w:val="subscript"/>
          <w:lang w:val="es-ES"/>
        </w:rPr>
        <w:t>0</w:t>
      </w:r>
      <w:r w:rsidRPr="00392CD2">
        <w:rPr>
          <w:lang w:val="es-ES"/>
        </w:rPr>
        <w:t xml:space="preserve"> + </w:t>
      </w:r>
      <w:r w:rsidRPr="00392CD2">
        <w:rPr>
          <w:i/>
          <w:iCs/>
          <w:lang w:val="es-ES"/>
        </w:rPr>
        <w:t>I</w:t>
      </w:r>
      <w:r w:rsidRPr="00392CD2">
        <w:rPr>
          <w:vertAlign w:val="subscript"/>
          <w:lang w:val="es-ES"/>
        </w:rPr>
        <w:t>0,</w:t>
      </w:r>
      <w:r w:rsidRPr="00392CD2">
        <w:rPr>
          <w:i/>
          <w:iCs/>
          <w:vertAlign w:val="subscript"/>
          <w:lang w:val="es-ES"/>
        </w:rPr>
        <w:t>WB</w:t>
      </w:r>
      <w:r w:rsidRPr="00392CD2">
        <w:rPr>
          <w:lang w:val="es-ES"/>
        </w:rPr>
        <w:t>, que es una definición familiar para el análisis de la RFI continua.</w:t>
      </w:r>
    </w:p>
    <w:p w:rsidR="00E7517C" w:rsidRPr="00392CD2" w:rsidRDefault="00E7517C" w:rsidP="00E7517C">
      <w:pPr>
        <w:rPr>
          <w:lang w:val="es-ES"/>
        </w:rPr>
      </w:pPr>
      <w:r w:rsidRPr="00392CD2">
        <w:rPr>
          <w:lang w:val="es-ES"/>
        </w:rPr>
        <w:t xml:space="preserve">El ciclo de trabajo impulsivo saturado de la fuente individual, </w:t>
      </w:r>
      <w:r w:rsidRPr="00392CD2">
        <w:rPr>
          <w:i/>
          <w:iCs/>
          <w:lang w:val="es-ES"/>
        </w:rPr>
        <w:t>PDC</w:t>
      </w:r>
      <w:r w:rsidRPr="00392CD2">
        <w:rPr>
          <w:i/>
          <w:iCs/>
          <w:vertAlign w:val="subscript"/>
          <w:lang w:val="es-ES"/>
        </w:rPr>
        <w:t>LIM</w:t>
      </w:r>
      <w:r w:rsidRPr="00392CD2">
        <w:rPr>
          <w:lang w:val="es-ES"/>
        </w:rPr>
        <w:t xml:space="preserve"> , que constituye el ciclo de trabajo combinado, se define de la misma forma que en la ecuación (</w:t>
      </w:r>
      <w:r w:rsidRPr="00392CD2">
        <w:rPr>
          <w:iCs/>
          <w:lang w:val="es-ES"/>
        </w:rPr>
        <w:t>3a</w:t>
      </w:r>
      <w:r w:rsidRPr="00392CD2">
        <w:rPr>
          <w:lang w:val="es-ES"/>
        </w:rPr>
        <w:t>), salvo con respecto al nivel de saturación de entrada del receptor (aproximado mediante el nivel de compresión a la entrada del receptor tabulado). El ciclo de trabajo por debajo de la saturación de una fuente individual se define de la misma forma que en la ecuación (4a).</w:t>
      </w:r>
    </w:p>
    <w:p w:rsidR="00E7517C" w:rsidRPr="00392CD2" w:rsidRDefault="00E7517C" w:rsidP="00E7517C">
      <w:pPr>
        <w:rPr>
          <w:lang w:val="es-ES"/>
        </w:rPr>
      </w:pPr>
      <w:r w:rsidRPr="00392CD2">
        <w:rPr>
          <w:lang w:val="es-ES"/>
        </w:rPr>
        <w:t xml:space="preserve">Dado </w:t>
      </w:r>
      <w:r>
        <w:rPr>
          <w:lang w:val="es-ES"/>
        </w:rPr>
        <w:t>un</w:t>
      </w:r>
      <w:r w:rsidRPr="00392CD2">
        <w:rPr>
          <w:lang w:val="es-ES"/>
        </w:rPr>
        <w:t xml:space="preserve"> máximo valor para </w:t>
      </w:r>
      <w:r w:rsidRPr="00392CD2">
        <w:rPr>
          <w:i/>
          <w:iCs/>
          <w:lang w:val="es-ES"/>
        </w:rPr>
        <w:t>N</w:t>
      </w:r>
      <w:r w:rsidRPr="00392CD2">
        <w:rPr>
          <w:vertAlign w:val="subscript"/>
          <w:lang w:val="es-ES"/>
        </w:rPr>
        <w:t>0,</w:t>
      </w:r>
      <w:r w:rsidRPr="00392CD2">
        <w:rPr>
          <w:i/>
          <w:iCs/>
          <w:vertAlign w:val="subscript"/>
          <w:lang w:val="es-ES"/>
        </w:rPr>
        <w:t>EFF</w:t>
      </w:r>
      <w:r w:rsidRPr="00392CD2">
        <w:rPr>
          <w:lang w:val="es-ES"/>
        </w:rPr>
        <w:t xml:space="preserve"> y el conjunto de parámetros de la RFI impulsiva, la ecuación (5) puede resolverse para la densidad espectral de potencia de banda amplia continua combinada admisible de la componente de interferencia no SRNS.</w:t>
      </w:r>
    </w:p>
    <w:p w:rsidR="00E7517C" w:rsidRPr="00392CD2" w:rsidRDefault="00E7517C" w:rsidP="00E7517C">
      <w:pPr>
        <w:pStyle w:val="Heading2"/>
        <w:rPr>
          <w:lang w:val="es-ES"/>
        </w:rPr>
      </w:pPr>
      <w:r w:rsidRPr="00392CD2">
        <w:rPr>
          <w:lang w:val="es-ES"/>
        </w:rPr>
        <w:lastRenderedPageBreak/>
        <w:t>2.3</w:t>
      </w:r>
      <w:r w:rsidRPr="00392CD2">
        <w:rPr>
          <w:lang w:val="es-ES"/>
        </w:rPr>
        <w:tab/>
        <w:t>Límites utilizados en las ecuaciones para la densidad espectra</w:t>
      </w:r>
      <w:r>
        <w:rPr>
          <w:lang w:val="es-ES"/>
        </w:rPr>
        <w:t>l de potencia del ruido efectivo</w:t>
      </w:r>
      <w:r w:rsidRPr="00392CD2">
        <w:rPr>
          <w:lang w:val="es-ES"/>
        </w:rPr>
        <w:t xml:space="preserve"> (</w:t>
      </w:r>
      <w:r w:rsidRPr="00392CD2">
        <w:rPr>
          <w:i/>
          <w:iCs/>
          <w:lang w:val="es-ES"/>
        </w:rPr>
        <w:t>N</w:t>
      </w:r>
      <w:r w:rsidRPr="00392CD2">
        <w:rPr>
          <w:vertAlign w:val="subscript"/>
          <w:lang w:val="es-ES"/>
        </w:rPr>
        <w:t>0,</w:t>
      </w:r>
      <w:r w:rsidRPr="00392CD2">
        <w:rPr>
          <w:i/>
          <w:iCs/>
          <w:vertAlign w:val="subscript"/>
          <w:lang w:val="es-ES"/>
        </w:rPr>
        <w:t>EFF</w:t>
      </w:r>
      <w:r>
        <w:rPr>
          <w:lang w:val="es-ES"/>
        </w:rPr>
        <w:t>)</w:t>
      </w:r>
    </w:p>
    <w:p w:rsidR="00E7517C" w:rsidRPr="00392CD2" w:rsidRDefault="00E7517C" w:rsidP="00E7517C">
      <w:pPr>
        <w:rPr>
          <w:lang w:val="es-ES"/>
        </w:rPr>
      </w:pPr>
      <w:r w:rsidRPr="00392CD2">
        <w:rPr>
          <w:lang w:val="es-ES"/>
        </w:rPr>
        <w:t xml:space="preserve">Para valores de anchura del impulso de la RFI de 0,1 a 1 000 microsegundos, se ha demostrado que las ecuaciones que definen </w:t>
      </w:r>
      <w:r w:rsidRPr="00392CD2">
        <w:rPr>
          <w:i/>
          <w:iCs/>
          <w:lang w:val="es-ES"/>
        </w:rPr>
        <w:t>N</w:t>
      </w:r>
      <w:r w:rsidRPr="00392CD2">
        <w:rPr>
          <w:vertAlign w:val="subscript"/>
          <w:lang w:val="es-ES"/>
        </w:rPr>
        <w:t>0,</w:t>
      </w:r>
      <w:r w:rsidRPr="00392CD2">
        <w:rPr>
          <w:i/>
          <w:iCs/>
          <w:vertAlign w:val="subscript"/>
          <w:lang w:val="es-ES"/>
        </w:rPr>
        <w:t>EFF</w:t>
      </w:r>
      <w:r w:rsidR="00CC7782">
        <w:rPr>
          <w:lang w:val="es-ES"/>
        </w:rPr>
        <w:t xml:space="preserve"> descritas en los §</w:t>
      </w:r>
      <w:r w:rsidRPr="00392CD2">
        <w:rPr>
          <w:lang w:val="es-ES"/>
        </w:rPr>
        <w:t xml:space="preserve"> 2.1 y 2.2 representan adecuadamente el efecto de la RFI impulsiva sobre los receptores del SRNS que funcionan en modo de seguimiento de señal en las bandas 1 164-1 215 MHz y 1 215-1 300 MHz. Para algunos receptores del SRNS que funcionan en modo adquisición de señal las ecuaciones también representan adecuadamente el efecto de la RFI impulsiva sobre la misma gama de anchura del impulso de RFI siempre que los ciclos de trabajo impulsivos asociados sean moderados.</w:t>
      </w:r>
    </w:p>
    <w:p w:rsidR="00E7517C" w:rsidRPr="00392CD2" w:rsidRDefault="00E7517C" w:rsidP="00E7517C">
      <w:pPr>
        <w:ind w:right="-284"/>
        <w:rPr>
          <w:lang w:val="es-ES" w:eastAsia="ru-RU"/>
        </w:rPr>
      </w:pPr>
      <w:r w:rsidRPr="00392CD2">
        <w:rPr>
          <w:lang w:val="es-ES"/>
        </w:rPr>
        <w:t>Para algunos receptores del SRNS que funcionan en modo adquisición con tiempo de integración corto (aproximadamente 1-2 ms), pu</w:t>
      </w:r>
      <w:r w:rsidR="00DD2438">
        <w:rPr>
          <w:lang w:val="es-ES"/>
        </w:rPr>
        <w:t>ede que las ecuaciones de los §</w:t>
      </w:r>
      <w:r w:rsidRPr="00392CD2">
        <w:rPr>
          <w:lang w:val="es-ES"/>
        </w:rPr>
        <w:t xml:space="preserve"> 2.1 y 2.2 no representen convenientemente el efecto de la RFI impulsiva sobre la misma gama de anchura del impulso de la RFI con ciclo</w:t>
      </w:r>
      <w:r>
        <w:rPr>
          <w:lang w:val="es-ES"/>
        </w:rPr>
        <w:t>s</w:t>
      </w:r>
      <w:r w:rsidRPr="00392CD2">
        <w:rPr>
          <w:lang w:val="es-ES"/>
        </w:rPr>
        <w:t xml:space="preserve"> de trabajo impulsivos elevados (incluida la banda 1 559-1 610 MHz). Por tanto, se necesitan más</w:t>
      </w:r>
      <w:r>
        <w:rPr>
          <w:lang w:val="es-ES"/>
        </w:rPr>
        <w:t xml:space="preserve"> estudios para determinar los lí</w:t>
      </w:r>
      <w:r w:rsidRPr="00392CD2">
        <w:rPr>
          <w:lang w:val="es-ES"/>
        </w:rPr>
        <w:t>mites utilizados para ciclos de trabajo elevados y grandes anchuras de los impulsos de interferencia y para verificar las predicciones de las ecuaciones.</w:t>
      </w:r>
    </w:p>
    <w:p w:rsidR="00E7517C" w:rsidRPr="00392CD2" w:rsidRDefault="00E7517C" w:rsidP="00E7517C">
      <w:pPr>
        <w:pStyle w:val="Heading1"/>
        <w:rPr>
          <w:lang w:val="es-ES"/>
        </w:rPr>
      </w:pPr>
      <w:r w:rsidRPr="00392CD2">
        <w:rPr>
          <w:lang w:val="es-ES"/>
        </w:rPr>
        <w:t>3</w:t>
      </w:r>
      <w:r w:rsidRPr="00392CD2">
        <w:rPr>
          <w:lang w:val="es-ES"/>
        </w:rPr>
        <w:tab/>
        <w:t>Conceptos del método de evaluación de la RFI impulsiva</w:t>
      </w:r>
    </w:p>
    <w:p w:rsidR="00E7517C" w:rsidRPr="00392CD2" w:rsidRDefault="00E7517C" w:rsidP="00E7517C">
      <w:pPr>
        <w:rPr>
          <w:lang w:val="es-ES"/>
        </w:rPr>
      </w:pPr>
      <w:r w:rsidRPr="00392CD2">
        <w:rPr>
          <w:lang w:val="es-ES"/>
        </w:rPr>
        <w:t xml:space="preserve">Los efectos combinados de la RFI continua e impulsiva sobre dos tipos básicos de receptores del SRNS se describen en el anterior § 2. El efecto de la RFI combinada se captura en forma de una densidad espectral de potencia efectiva del ruido más interferencia, </w:t>
      </w:r>
      <w:r w:rsidRPr="00392CD2">
        <w:rPr>
          <w:i/>
          <w:iCs/>
          <w:lang w:val="es-ES"/>
        </w:rPr>
        <w:t>N</w:t>
      </w:r>
      <w:r w:rsidRPr="00392CD2">
        <w:rPr>
          <w:vertAlign w:val="subscript"/>
          <w:lang w:val="es-ES"/>
        </w:rPr>
        <w:t>0,</w:t>
      </w:r>
      <w:r w:rsidRPr="00392CD2">
        <w:rPr>
          <w:i/>
          <w:iCs/>
          <w:vertAlign w:val="subscript"/>
          <w:lang w:val="es-ES"/>
        </w:rPr>
        <w:t>EFF</w:t>
      </w:r>
      <w:r w:rsidRPr="00392CD2">
        <w:rPr>
          <w:lang w:val="es-ES"/>
        </w:rPr>
        <w:t xml:space="preserve">, para el receptor del SRNS. La RFI recibida se caracteriza por los tres parámetros relacionados con la fuente de RF descritos anteriormente (los parámetros impulsivos, </w:t>
      </w:r>
      <w:r w:rsidRPr="00392CD2">
        <w:rPr>
          <w:i/>
          <w:iCs/>
          <w:lang w:val="es-ES"/>
        </w:rPr>
        <w:t>PDC</w:t>
      </w:r>
      <w:r w:rsidRPr="00392CD2">
        <w:rPr>
          <w:lang w:val="es-ES"/>
        </w:rPr>
        <w:t xml:space="preserve"> y </w:t>
      </w:r>
      <w:r w:rsidRPr="00392CD2">
        <w:rPr>
          <w:i/>
          <w:iCs/>
          <w:lang w:val="es-ES"/>
        </w:rPr>
        <w:t>R</w:t>
      </w:r>
      <w:r w:rsidRPr="00392CD2">
        <w:rPr>
          <w:i/>
          <w:iCs/>
          <w:vertAlign w:val="subscript"/>
          <w:lang w:val="es-ES"/>
        </w:rPr>
        <w:t>I</w:t>
      </w:r>
      <w:r w:rsidRPr="00392CD2">
        <w:rPr>
          <w:lang w:val="es-ES"/>
        </w:rPr>
        <w:t xml:space="preserve"> y el parámetro continuo, (</w:t>
      </w:r>
      <w:r w:rsidRPr="00392CD2">
        <w:rPr>
          <w:i/>
          <w:lang w:val="es-ES"/>
        </w:rPr>
        <w:t>I</w:t>
      </w:r>
      <w:r w:rsidRPr="00392CD2">
        <w:rPr>
          <w:vertAlign w:val="subscript"/>
          <w:lang w:val="es-ES"/>
        </w:rPr>
        <w:t>0</w:t>
      </w:r>
      <w:r w:rsidRPr="00392CD2">
        <w:rPr>
          <w:i/>
          <w:vertAlign w:val="subscript"/>
          <w:lang w:val="es-ES"/>
        </w:rPr>
        <w:t>,WB</w:t>
      </w:r>
      <w:r w:rsidRPr="00392CD2">
        <w:rPr>
          <w:i/>
          <w:lang w:val="es-ES"/>
        </w:rPr>
        <w:t>/N</w:t>
      </w:r>
      <w:r w:rsidRPr="00392CD2">
        <w:rPr>
          <w:vertAlign w:val="subscript"/>
          <w:lang w:val="es-ES"/>
        </w:rPr>
        <w:t>0</w:t>
      </w:r>
      <w:r w:rsidRPr="00392CD2">
        <w:rPr>
          <w:lang w:val="es-ES"/>
        </w:rPr>
        <w:t xml:space="preserve">)). Como se ha indicado en la definición anterior, el termino </w:t>
      </w:r>
      <w:r w:rsidRPr="00392CD2">
        <w:rPr>
          <w:i/>
          <w:lang w:val="es-ES"/>
        </w:rPr>
        <w:t>I</w:t>
      </w:r>
      <w:r w:rsidRPr="00392CD2">
        <w:rPr>
          <w:vertAlign w:val="subscript"/>
          <w:lang w:val="es-ES"/>
        </w:rPr>
        <w:t>0</w:t>
      </w:r>
      <w:r w:rsidRPr="00392CD2">
        <w:rPr>
          <w:i/>
          <w:vertAlign w:val="subscript"/>
          <w:lang w:val="es-ES"/>
        </w:rPr>
        <w:t>,WB</w:t>
      </w:r>
      <w:r w:rsidRPr="00392CD2">
        <w:rPr>
          <w:lang w:val="es-ES"/>
        </w:rPr>
        <w:t xml:space="preserve"> se utiliza para representar la densidad espectral de potencia de la RFI continua equivalente de banda amplia presente en la antena del receptor del SRNS. Para minimizar la complejidad del análisis de la RFI impulsiva, se supone que el termino </w:t>
      </w:r>
      <w:r w:rsidRPr="00392CD2">
        <w:rPr>
          <w:i/>
          <w:lang w:val="es-ES"/>
        </w:rPr>
        <w:t>I</w:t>
      </w:r>
      <w:r w:rsidRPr="00392CD2">
        <w:rPr>
          <w:vertAlign w:val="subscript"/>
          <w:lang w:val="es-ES"/>
        </w:rPr>
        <w:t>0</w:t>
      </w:r>
      <w:r w:rsidRPr="00392CD2">
        <w:rPr>
          <w:i/>
          <w:vertAlign w:val="subscript"/>
          <w:lang w:val="es-ES"/>
        </w:rPr>
        <w:t>,WB</w:t>
      </w:r>
      <w:r w:rsidRPr="00392CD2">
        <w:rPr>
          <w:lang w:val="es-ES"/>
        </w:rPr>
        <w:t xml:space="preserve"> es un valor fijo que representa la condición básica.</w:t>
      </w:r>
    </w:p>
    <w:p w:rsidR="00E7517C" w:rsidRPr="00392CD2" w:rsidRDefault="00E7517C" w:rsidP="00E7517C">
      <w:pPr>
        <w:rPr>
          <w:lang w:val="es-ES"/>
        </w:rPr>
      </w:pPr>
      <w:r w:rsidRPr="00392CD2">
        <w:rPr>
          <w:lang w:val="es-ES"/>
        </w:rPr>
        <w:t xml:space="preserve">Algunas características técnicas del receptor también intervienen tanto directamente (por ejemplo, la densidad espectral de potencia del ruido térmico del sistema receptor, </w:t>
      </w:r>
      <w:r w:rsidRPr="00392CD2">
        <w:rPr>
          <w:i/>
          <w:iCs/>
          <w:lang w:val="es-ES"/>
        </w:rPr>
        <w:t>N</w:t>
      </w:r>
      <w:r w:rsidRPr="00392CD2">
        <w:rPr>
          <w:vertAlign w:val="subscript"/>
          <w:lang w:val="es-ES"/>
        </w:rPr>
        <w:t>0</w:t>
      </w:r>
      <w:r w:rsidRPr="00392CD2">
        <w:rPr>
          <w:lang w:val="es-ES"/>
        </w:rPr>
        <w:t xml:space="preserve">) como indirectamente. El efecto de la RFI impulsiva añadida a una línea de base predeterminada puede calcularse en términos de una relación entre la </w:t>
      </w:r>
      <w:r w:rsidRPr="00392CD2">
        <w:rPr>
          <w:i/>
          <w:iCs/>
          <w:lang w:val="es-ES"/>
        </w:rPr>
        <w:t>N</w:t>
      </w:r>
      <w:r w:rsidRPr="00392CD2">
        <w:rPr>
          <w:vertAlign w:val="subscript"/>
          <w:lang w:val="es-ES"/>
        </w:rPr>
        <w:t>0,</w:t>
      </w:r>
      <w:r w:rsidRPr="00392CD2">
        <w:rPr>
          <w:i/>
          <w:iCs/>
          <w:vertAlign w:val="subscript"/>
          <w:lang w:val="es-ES"/>
        </w:rPr>
        <w:t>EFF</w:t>
      </w:r>
      <w:r w:rsidRPr="00392CD2">
        <w:rPr>
          <w:lang w:val="es-ES"/>
        </w:rPr>
        <w:t xml:space="preserve"> con la nueva fuente incluida, </w:t>
      </w:r>
      <w:r w:rsidRPr="00392CD2">
        <w:rPr>
          <w:i/>
          <w:iCs/>
          <w:lang w:val="es-ES"/>
        </w:rPr>
        <w:t>N</w:t>
      </w:r>
      <w:r w:rsidRPr="00392CD2">
        <w:rPr>
          <w:vertAlign w:val="subscript"/>
          <w:lang w:val="es-ES"/>
        </w:rPr>
        <w:t>0,</w:t>
      </w:r>
      <w:r w:rsidRPr="00392CD2">
        <w:rPr>
          <w:i/>
          <w:iCs/>
          <w:vertAlign w:val="subscript"/>
          <w:lang w:val="es-ES"/>
        </w:rPr>
        <w:t>EFF-New</w:t>
      </w:r>
      <w:r w:rsidRPr="00392CD2">
        <w:rPr>
          <w:lang w:val="es-ES"/>
        </w:rPr>
        <w:t xml:space="preserve">, y el valor básico de </w:t>
      </w:r>
      <w:r w:rsidRPr="00392CD2">
        <w:rPr>
          <w:i/>
          <w:iCs/>
          <w:lang w:val="es-ES"/>
        </w:rPr>
        <w:t>N</w:t>
      </w:r>
      <w:r w:rsidRPr="00392CD2">
        <w:rPr>
          <w:vertAlign w:val="subscript"/>
          <w:lang w:val="es-ES"/>
        </w:rPr>
        <w:t>0,</w:t>
      </w:r>
      <w:r w:rsidRPr="00392CD2">
        <w:rPr>
          <w:i/>
          <w:iCs/>
          <w:vertAlign w:val="subscript"/>
          <w:lang w:val="es-ES"/>
        </w:rPr>
        <w:t>EFF</w:t>
      </w:r>
      <w:r w:rsidRPr="00392CD2">
        <w:rPr>
          <w:lang w:val="es-ES"/>
        </w:rPr>
        <w:t>.</w:t>
      </w:r>
    </w:p>
    <w:p w:rsidR="00E7517C" w:rsidRPr="00392CD2" w:rsidRDefault="00E7517C" w:rsidP="00E7517C">
      <w:pPr>
        <w:pStyle w:val="Heading2"/>
        <w:rPr>
          <w:lang w:val="es-ES"/>
        </w:rPr>
      </w:pPr>
      <w:r w:rsidRPr="00392CD2">
        <w:rPr>
          <w:lang w:val="es-ES"/>
        </w:rPr>
        <w:t>3.1</w:t>
      </w:r>
      <w:r w:rsidRPr="00392CD2">
        <w:rPr>
          <w:lang w:val="es-ES"/>
        </w:rPr>
        <w:tab/>
        <w:t>RFI impulsiva adicional a un receptor del SRNS con supresión de impulsos (caso 1)</w:t>
      </w:r>
    </w:p>
    <w:p w:rsidR="00E7517C" w:rsidRPr="00392CD2" w:rsidRDefault="00E7517C" w:rsidP="00E7517C">
      <w:pPr>
        <w:pStyle w:val="Equation"/>
        <w:rPr>
          <w:lang w:val="es-ES"/>
        </w:rPr>
      </w:pPr>
      <w:r w:rsidRPr="00392CD2">
        <w:rPr>
          <w:lang w:val="es-ES"/>
        </w:rPr>
        <w:t xml:space="preserve">Se define la </w:t>
      </w:r>
      <w:r w:rsidRPr="00392CD2">
        <w:rPr>
          <w:i/>
          <w:iCs/>
          <w:lang w:val="es-ES"/>
        </w:rPr>
        <w:t>N</w:t>
      </w:r>
      <w:r w:rsidRPr="00392CD2">
        <w:rPr>
          <w:vertAlign w:val="subscript"/>
          <w:lang w:val="es-ES"/>
        </w:rPr>
        <w:t>0,</w:t>
      </w:r>
      <w:r w:rsidRPr="00392CD2">
        <w:rPr>
          <w:i/>
          <w:iCs/>
          <w:vertAlign w:val="subscript"/>
          <w:lang w:val="es-ES"/>
        </w:rPr>
        <w:t>EFF</w:t>
      </w:r>
      <w:r w:rsidRPr="00392CD2">
        <w:rPr>
          <w:lang w:val="es-ES"/>
        </w:rPr>
        <w:t xml:space="preserve"> básica (suponiendo presente una RFI impulsiva distinta de cero) utilizando las ecuaciones (1) y (2) como sigue:</w:t>
      </w:r>
    </w:p>
    <w:p w:rsidR="00DD2438" w:rsidRPr="000E4C61" w:rsidRDefault="00DD2438" w:rsidP="00DD2438">
      <w:pPr>
        <w:pStyle w:val="Blanc"/>
        <w:rPr>
          <w:lang w:val="es-ES_tradnl"/>
        </w:rPr>
      </w:pPr>
    </w:p>
    <w:p w:rsidR="00E7517C" w:rsidRPr="00392CD2" w:rsidRDefault="00E7517C" w:rsidP="00E7517C">
      <w:pPr>
        <w:pStyle w:val="Equation"/>
        <w:rPr>
          <w:lang w:val="es-ES"/>
        </w:rPr>
      </w:pPr>
      <w:r w:rsidRPr="00392CD2">
        <w:rPr>
          <w:lang w:val="es-ES"/>
        </w:rPr>
        <w:tab/>
      </w:r>
      <w:r w:rsidRPr="00392CD2">
        <w:rPr>
          <w:position w:val="-32"/>
          <w:lang w:val="es-ES"/>
        </w:rPr>
        <w:object w:dxaOrig="3480" w:dyaOrig="760">
          <v:shape id="_x0000_i1028" type="#_x0000_t75" style="width:173.2pt;height:40pt" o:ole="">
            <v:imagedata r:id="rId19" o:title=""/>
          </v:shape>
          <o:OLEObject Type="Embed" ProgID="Equation.3" ShapeID="_x0000_i1028" DrawAspect="Content" ObjectID="_1475048264" r:id="rId20"/>
        </w:object>
      </w:r>
      <w:r w:rsidRPr="00392CD2">
        <w:rPr>
          <w:position w:val="-32"/>
          <w:lang w:val="es-ES"/>
        </w:rPr>
        <w:t xml:space="preserve"> </w:t>
      </w:r>
      <w:r>
        <w:rPr>
          <w:position w:val="-32"/>
          <w:lang w:val="es-ES"/>
        </w:rPr>
        <w:t xml:space="preserve"> </w:t>
      </w:r>
      <w:r>
        <w:rPr>
          <w:lang w:val="es-ES"/>
        </w:rPr>
        <w:t>con</w:t>
      </w:r>
      <w:r w:rsidRPr="00392CD2">
        <w:rPr>
          <w:lang w:val="es-ES"/>
        </w:rPr>
        <w:t xml:space="preserve"> </w:t>
      </w:r>
      <w:r w:rsidRPr="00392CD2">
        <w:rPr>
          <w:position w:val="-32"/>
          <w:lang w:val="es-ES"/>
        </w:rPr>
        <w:object w:dxaOrig="2680" w:dyaOrig="760">
          <v:shape id="_x0000_i1029" type="#_x0000_t75" style="width:133.2pt;height:38pt" o:ole="">
            <v:imagedata r:id="rId21" o:title=""/>
          </v:shape>
          <o:OLEObject Type="Embed" ProgID="Equation.3" ShapeID="_x0000_i1029" DrawAspect="Content" ObjectID="_1475048265" r:id="rId22"/>
        </w:object>
      </w:r>
    </w:p>
    <w:p w:rsidR="00E7517C" w:rsidRPr="00392CD2" w:rsidRDefault="00E7517C" w:rsidP="00CC7782">
      <w:pPr>
        <w:rPr>
          <w:noProof/>
          <w:lang w:val="es-ES"/>
        </w:rPr>
      </w:pPr>
      <w:r w:rsidRPr="00392CD2">
        <w:rPr>
          <w:lang w:val="es-ES"/>
        </w:rPr>
        <w:t>donde, por las ecuaciones (3) y (4),</w:t>
      </w:r>
      <w:r w:rsidR="00CC7782">
        <w:rPr>
          <w:lang w:val="es-ES"/>
        </w:rPr>
        <w:t xml:space="preserve"> (1 –</w:t>
      </w:r>
      <w:r w:rsidR="00CC7782" w:rsidRPr="00CC7782">
        <w:rPr>
          <w:i/>
          <w:iCs/>
          <w:lang w:val="es-ES"/>
        </w:rPr>
        <w:t>PDC</w:t>
      </w:r>
      <w:r w:rsidR="00CC7782" w:rsidRPr="00CC7782">
        <w:rPr>
          <w:i/>
          <w:iCs/>
          <w:vertAlign w:val="subscript"/>
          <w:lang w:val="es-ES"/>
        </w:rPr>
        <w:t>B</w:t>
      </w:r>
      <w:r w:rsidR="00CC7782">
        <w:rPr>
          <w:lang w:val="es-ES"/>
        </w:rPr>
        <w:t>) = (1 –</w:t>
      </w:r>
      <w:r w:rsidR="00CC7782" w:rsidRPr="00CC7782">
        <w:rPr>
          <w:i/>
          <w:iCs/>
          <w:lang w:val="es-ES"/>
        </w:rPr>
        <w:t>PDC</w:t>
      </w:r>
      <w:r w:rsidR="00CC7782">
        <w:rPr>
          <w:i/>
          <w:iCs/>
          <w:vertAlign w:val="subscript"/>
          <w:lang w:val="es-ES"/>
        </w:rPr>
        <w:t>a</w:t>
      </w:r>
      <w:r w:rsidR="00CC7782">
        <w:rPr>
          <w:lang w:val="es-ES"/>
        </w:rPr>
        <w:t>)(1 –</w:t>
      </w:r>
      <w:r w:rsidR="00CC7782" w:rsidRPr="00CC7782">
        <w:rPr>
          <w:i/>
          <w:iCs/>
          <w:lang w:val="es-ES"/>
        </w:rPr>
        <w:t>PDC</w:t>
      </w:r>
      <w:r w:rsidR="00CC7782" w:rsidRPr="00CC7782">
        <w:rPr>
          <w:i/>
          <w:iCs/>
          <w:vertAlign w:val="subscript"/>
          <w:lang w:val="es-ES"/>
        </w:rPr>
        <w:t>b</w:t>
      </w:r>
      <w:r w:rsidR="00CC7782">
        <w:rPr>
          <w:lang w:val="es-ES"/>
        </w:rPr>
        <w:t>)(1 –</w:t>
      </w:r>
      <w:r w:rsidR="00CC7782" w:rsidRPr="00CC7782">
        <w:rPr>
          <w:i/>
          <w:iCs/>
          <w:lang w:val="es-ES"/>
        </w:rPr>
        <w:t>PDC</w:t>
      </w:r>
      <w:r w:rsidR="00CC7782">
        <w:rPr>
          <w:i/>
          <w:iCs/>
          <w:vertAlign w:val="subscript"/>
          <w:lang w:val="es-ES"/>
        </w:rPr>
        <w:t>c</w:t>
      </w:r>
      <w:r w:rsidR="00CC7782">
        <w:rPr>
          <w:lang w:val="es-ES"/>
        </w:rPr>
        <w:t xml:space="preserve">) </w:t>
      </w:r>
      <w:r w:rsidRPr="00392CD2">
        <w:rPr>
          <w:noProof/>
          <w:lang w:val="es-ES"/>
        </w:rPr>
        <w:t xml:space="preserve">y </w:t>
      </w:r>
      <w:r w:rsidR="00CC7782" w:rsidRPr="00CC7782">
        <w:rPr>
          <w:i/>
          <w:iCs/>
          <w:noProof/>
          <w:lang w:val="es-ES"/>
        </w:rPr>
        <w:t>R</w:t>
      </w:r>
      <w:r w:rsidR="00CC7782" w:rsidRPr="00CC7782">
        <w:rPr>
          <w:i/>
          <w:iCs/>
          <w:noProof/>
          <w:vertAlign w:val="subscript"/>
          <w:lang w:val="es-ES"/>
        </w:rPr>
        <w:t>I</w:t>
      </w:r>
      <w:r w:rsidR="00CC7782">
        <w:rPr>
          <w:noProof/>
          <w:lang w:val="es-ES"/>
        </w:rPr>
        <w:t xml:space="preserve"> = </w:t>
      </w:r>
      <w:r w:rsidR="00CC7782" w:rsidRPr="00CC7782">
        <w:rPr>
          <w:i/>
          <w:iCs/>
          <w:noProof/>
          <w:lang w:val="es-ES"/>
        </w:rPr>
        <w:t>R</w:t>
      </w:r>
      <w:r w:rsidR="00CC7782" w:rsidRPr="00CC7782">
        <w:rPr>
          <w:i/>
          <w:iCs/>
          <w:noProof/>
          <w:vertAlign w:val="subscript"/>
          <w:lang w:val="es-ES"/>
        </w:rPr>
        <w:t>a</w:t>
      </w:r>
      <w:r w:rsidR="00CC7782">
        <w:rPr>
          <w:noProof/>
          <w:lang w:val="es-ES"/>
        </w:rPr>
        <w:t xml:space="preserve"> + </w:t>
      </w:r>
      <w:r w:rsidR="00CC7782" w:rsidRPr="00CC7782">
        <w:rPr>
          <w:i/>
          <w:iCs/>
          <w:noProof/>
          <w:lang w:val="es-ES"/>
        </w:rPr>
        <w:t>R</w:t>
      </w:r>
      <w:r w:rsidR="00CC7782" w:rsidRPr="00CC7782">
        <w:rPr>
          <w:i/>
          <w:iCs/>
          <w:noProof/>
          <w:vertAlign w:val="subscript"/>
          <w:lang w:val="es-ES"/>
        </w:rPr>
        <w:t>b</w:t>
      </w:r>
      <w:r w:rsidR="00CC7782">
        <w:rPr>
          <w:noProof/>
          <w:lang w:val="es-ES"/>
        </w:rPr>
        <w:t xml:space="preserve"> + </w:t>
      </w:r>
      <w:r w:rsidR="00CC7782" w:rsidRPr="00CC7782">
        <w:rPr>
          <w:i/>
          <w:iCs/>
          <w:noProof/>
          <w:lang w:val="es-ES"/>
        </w:rPr>
        <w:t>R</w:t>
      </w:r>
      <w:r w:rsidR="00CC7782" w:rsidRPr="00CC7782">
        <w:rPr>
          <w:i/>
          <w:iCs/>
          <w:noProof/>
          <w:vertAlign w:val="subscript"/>
          <w:lang w:val="es-ES"/>
        </w:rPr>
        <w:t>c</w:t>
      </w:r>
      <w:r w:rsidR="00CC7782">
        <w:rPr>
          <w:i/>
          <w:iCs/>
          <w:noProof/>
          <w:vertAlign w:val="subscript"/>
          <w:lang w:val="es-ES"/>
        </w:rPr>
        <w:t xml:space="preserve"> </w:t>
      </w:r>
      <w:r w:rsidRPr="00392CD2">
        <w:rPr>
          <w:lang w:val="es-ES"/>
        </w:rPr>
        <w:t xml:space="preserve"> de los grupos </w:t>
      </w:r>
      <w:r>
        <w:rPr>
          <w:lang w:val="es-ES"/>
        </w:rPr>
        <w:t>d</w:t>
      </w:r>
      <w:r w:rsidRPr="00392CD2">
        <w:rPr>
          <w:lang w:val="es-ES"/>
        </w:rPr>
        <w:t>e fuente impulsiva básica, a, b y c.</w:t>
      </w:r>
      <w:r w:rsidRPr="00392CD2">
        <w:rPr>
          <w:noProof/>
          <w:lang w:val="es-ES"/>
        </w:rPr>
        <w:t xml:space="preserve"> </w:t>
      </w:r>
    </w:p>
    <w:p w:rsidR="00E7517C" w:rsidRPr="00392CD2" w:rsidRDefault="00E7517C" w:rsidP="00E7517C">
      <w:pPr>
        <w:pStyle w:val="Equation"/>
        <w:rPr>
          <w:lang w:val="es-ES"/>
        </w:rPr>
      </w:pPr>
      <w:r w:rsidRPr="00392CD2">
        <w:rPr>
          <w:lang w:val="es-ES"/>
        </w:rPr>
        <w:t>Si se introduce una fuente impulsiva adicional (o un grupo de fuentes), entonces, por extensión:</w:t>
      </w:r>
    </w:p>
    <w:p w:rsidR="00DD2438" w:rsidRPr="000E4C61" w:rsidRDefault="00DD2438" w:rsidP="00DD2438">
      <w:pPr>
        <w:pStyle w:val="Blanc"/>
        <w:rPr>
          <w:lang w:val="es-ES_tradnl"/>
        </w:rPr>
      </w:pPr>
    </w:p>
    <w:p w:rsidR="00E7517C" w:rsidRPr="00392CD2" w:rsidRDefault="00E7517C" w:rsidP="00E7517C">
      <w:pPr>
        <w:pStyle w:val="Equation"/>
        <w:rPr>
          <w:noProof/>
          <w:lang w:val="es-ES"/>
        </w:rPr>
      </w:pPr>
      <w:r w:rsidRPr="00392CD2">
        <w:rPr>
          <w:b/>
          <w:lang w:val="es-ES"/>
        </w:rPr>
        <w:tab/>
      </w:r>
      <w:r w:rsidRPr="00392CD2">
        <w:rPr>
          <w:b/>
          <w:lang w:val="es-ES"/>
        </w:rPr>
        <w:tab/>
      </w:r>
      <w:r w:rsidRPr="00392CD2">
        <w:rPr>
          <w:lang w:val="es-ES"/>
        </w:rPr>
        <w:t>(1–</w:t>
      </w:r>
      <w:r w:rsidRPr="00392CD2">
        <w:rPr>
          <w:i/>
          <w:iCs/>
          <w:lang w:val="es-ES"/>
        </w:rPr>
        <w:t>PDC</w:t>
      </w:r>
      <w:r w:rsidRPr="00392CD2">
        <w:rPr>
          <w:i/>
          <w:iCs/>
          <w:vertAlign w:val="subscript"/>
          <w:lang w:val="es-ES"/>
        </w:rPr>
        <w:t>B</w:t>
      </w:r>
      <w:r w:rsidRPr="00392CD2">
        <w:rPr>
          <w:vertAlign w:val="subscript"/>
          <w:lang w:val="es-ES"/>
        </w:rPr>
        <w:t>+</w:t>
      </w:r>
      <w:r w:rsidRPr="00392CD2">
        <w:rPr>
          <w:i/>
          <w:iCs/>
          <w:vertAlign w:val="subscript"/>
          <w:lang w:val="es-ES"/>
        </w:rPr>
        <w:t>Y</w:t>
      </w:r>
      <w:r w:rsidRPr="00392CD2">
        <w:rPr>
          <w:lang w:val="es-ES"/>
        </w:rPr>
        <w:t xml:space="preserve">) = </w:t>
      </w:r>
      <w:r w:rsidRPr="00392CD2">
        <w:rPr>
          <w:noProof/>
          <w:lang w:val="es-ES"/>
        </w:rPr>
        <w:t>(1</w:t>
      </w:r>
      <w:r w:rsidRPr="00392CD2">
        <w:rPr>
          <w:b/>
          <w:lang w:val="es-ES"/>
        </w:rPr>
        <w:t>–</w:t>
      </w:r>
      <w:r w:rsidRPr="00392CD2">
        <w:rPr>
          <w:i/>
          <w:iCs/>
          <w:noProof/>
          <w:lang w:val="es-ES"/>
        </w:rPr>
        <w:t>PDC</w:t>
      </w:r>
      <w:r w:rsidRPr="00392CD2">
        <w:rPr>
          <w:i/>
          <w:iCs/>
          <w:noProof/>
          <w:vertAlign w:val="subscript"/>
          <w:lang w:val="es-ES"/>
        </w:rPr>
        <w:t>a</w:t>
      </w:r>
      <w:r w:rsidRPr="00392CD2">
        <w:rPr>
          <w:noProof/>
          <w:lang w:val="es-ES"/>
        </w:rPr>
        <w:t>)(1</w:t>
      </w:r>
      <w:r w:rsidRPr="00392CD2">
        <w:rPr>
          <w:b/>
          <w:lang w:val="es-ES"/>
        </w:rPr>
        <w:t>–</w:t>
      </w:r>
      <w:r w:rsidRPr="00392CD2">
        <w:rPr>
          <w:i/>
          <w:iCs/>
          <w:noProof/>
          <w:lang w:val="es-ES"/>
        </w:rPr>
        <w:t>PDC</w:t>
      </w:r>
      <w:r w:rsidRPr="00392CD2">
        <w:rPr>
          <w:i/>
          <w:iCs/>
          <w:noProof/>
          <w:vertAlign w:val="subscript"/>
          <w:lang w:val="es-ES"/>
        </w:rPr>
        <w:t>b</w:t>
      </w:r>
      <w:r w:rsidRPr="00392CD2">
        <w:rPr>
          <w:noProof/>
          <w:lang w:val="es-ES"/>
        </w:rPr>
        <w:t>)(1</w:t>
      </w:r>
      <w:r w:rsidRPr="00392CD2">
        <w:rPr>
          <w:b/>
          <w:lang w:val="es-ES"/>
        </w:rPr>
        <w:t>–</w:t>
      </w:r>
      <w:r w:rsidRPr="00392CD2">
        <w:rPr>
          <w:i/>
          <w:iCs/>
          <w:noProof/>
          <w:lang w:val="es-ES"/>
        </w:rPr>
        <w:t>PDC</w:t>
      </w:r>
      <w:r w:rsidRPr="00392CD2">
        <w:rPr>
          <w:i/>
          <w:iCs/>
          <w:noProof/>
          <w:vertAlign w:val="subscript"/>
          <w:lang w:val="es-ES"/>
        </w:rPr>
        <w:t>c</w:t>
      </w:r>
      <w:r w:rsidRPr="00392CD2">
        <w:rPr>
          <w:noProof/>
          <w:lang w:val="es-ES"/>
        </w:rPr>
        <w:t>)(1</w:t>
      </w:r>
      <w:r w:rsidRPr="00392CD2">
        <w:rPr>
          <w:b/>
          <w:lang w:val="es-ES"/>
        </w:rPr>
        <w:t>–</w:t>
      </w:r>
      <w:r w:rsidRPr="00392CD2">
        <w:rPr>
          <w:i/>
          <w:iCs/>
          <w:noProof/>
          <w:lang w:val="es-ES"/>
        </w:rPr>
        <w:t>PDC</w:t>
      </w:r>
      <w:r w:rsidRPr="00392CD2">
        <w:rPr>
          <w:i/>
          <w:iCs/>
          <w:noProof/>
          <w:vertAlign w:val="subscript"/>
          <w:lang w:val="es-ES"/>
        </w:rPr>
        <w:t>Y</w:t>
      </w:r>
      <w:r w:rsidRPr="00392CD2">
        <w:rPr>
          <w:noProof/>
          <w:lang w:val="es-ES"/>
        </w:rPr>
        <w:t xml:space="preserve">) = </w:t>
      </w:r>
      <w:r w:rsidRPr="00392CD2">
        <w:rPr>
          <w:lang w:val="es-ES"/>
        </w:rPr>
        <w:t>(1–</w:t>
      </w:r>
      <w:r w:rsidRPr="00392CD2">
        <w:rPr>
          <w:i/>
          <w:iCs/>
          <w:noProof/>
          <w:lang w:val="es-ES"/>
        </w:rPr>
        <w:t>PDC</w:t>
      </w:r>
      <w:r w:rsidRPr="00392CD2">
        <w:rPr>
          <w:i/>
          <w:iCs/>
          <w:noProof/>
          <w:vertAlign w:val="subscript"/>
          <w:lang w:val="es-ES"/>
        </w:rPr>
        <w:t>B</w:t>
      </w:r>
      <w:r w:rsidRPr="00392CD2">
        <w:rPr>
          <w:noProof/>
          <w:lang w:val="es-ES"/>
        </w:rPr>
        <w:t>)(1</w:t>
      </w:r>
      <w:r w:rsidRPr="00392CD2">
        <w:rPr>
          <w:lang w:val="es-ES"/>
        </w:rPr>
        <w:t>–</w:t>
      </w:r>
      <w:r w:rsidRPr="00392CD2">
        <w:rPr>
          <w:i/>
          <w:iCs/>
          <w:noProof/>
          <w:lang w:val="es-ES"/>
        </w:rPr>
        <w:t>PDC</w:t>
      </w:r>
      <w:r w:rsidRPr="00392CD2">
        <w:rPr>
          <w:i/>
          <w:iCs/>
          <w:noProof/>
          <w:vertAlign w:val="subscript"/>
          <w:lang w:val="es-ES"/>
        </w:rPr>
        <w:t>Y</w:t>
      </w:r>
      <w:r w:rsidRPr="00392CD2">
        <w:rPr>
          <w:noProof/>
          <w:lang w:val="es-ES"/>
        </w:rPr>
        <w:t>) y</w:t>
      </w:r>
    </w:p>
    <w:p w:rsidR="00E7517C" w:rsidRPr="00392CD2" w:rsidRDefault="00E7517C" w:rsidP="00E7517C">
      <w:pPr>
        <w:pStyle w:val="Equation"/>
        <w:rPr>
          <w:noProof/>
          <w:lang w:val="es-ES"/>
        </w:rPr>
      </w:pPr>
      <w:r w:rsidRPr="00392CD2">
        <w:rPr>
          <w:b/>
          <w:noProof/>
          <w:lang w:val="es-ES"/>
        </w:rPr>
        <w:tab/>
      </w:r>
      <w:r w:rsidRPr="00392CD2">
        <w:rPr>
          <w:b/>
          <w:noProof/>
          <w:lang w:val="es-ES"/>
        </w:rPr>
        <w:tab/>
      </w:r>
      <w:r w:rsidRPr="00392CD2">
        <w:rPr>
          <w:i/>
          <w:iCs/>
          <w:noProof/>
          <w:lang w:val="es-ES"/>
        </w:rPr>
        <w:t>R</w:t>
      </w:r>
      <w:r w:rsidRPr="00392CD2">
        <w:rPr>
          <w:i/>
          <w:iCs/>
          <w:noProof/>
          <w:vertAlign w:val="subscript"/>
          <w:lang w:val="es-ES"/>
        </w:rPr>
        <w:t>I</w:t>
      </w:r>
      <w:r w:rsidRPr="00392CD2">
        <w:rPr>
          <w:noProof/>
          <w:vertAlign w:val="subscript"/>
          <w:lang w:val="es-ES"/>
        </w:rPr>
        <w:t>+</w:t>
      </w:r>
      <w:r w:rsidRPr="00392CD2">
        <w:rPr>
          <w:i/>
          <w:iCs/>
          <w:noProof/>
          <w:vertAlign w:val="subscript"/>
          <w:lang w:val="es-ES"/>
        </w:rPr>
        <w:t>Y</w:t>
      </w:r>
      <w:r w:rsidRPr="00392CD2">
        <w:rPr>
          <w:noProof/>
          <w:lang w:val="es-ES"/>
        </w:rPr>
        <w:t xml:space="preserve"> = </w:t>
      </w:r>
      <w:r w:rsidRPr="00392CD2">
        <w:rPr>
          <w:i/>
          <w:iCs/>
          <w:noProof/>
          <w:lang w:val="es-ES"/>
        </w:rPr>
        <w:t>R</w:t>
      </w:r>
      <w:r w:rsidRPr="00392CD2">
        <w:rPr>
          <w:i/>
          <w:iCs/>
          <w:noProof/>
          <w:vertAlign w:val="subscript"/>
          <w:lang w:val="es-ES"/>
        </w:rPr>
        <w:t>a</w:t>
      </w:r>
      <w:r w:rsidRPr="00392CD2">
        <w:rPr>
          <w:noProof/>
          <w:lang w:val="es-ES"/>
        </w:rPr>
        <w:t xml:space="preserve"> + </w:t>
      </w:r>
      <w:r w:rsidRPr="00392CD2">
        <w:rPr>
          <w:i/>
          <w:iCs/>
          <w:noProof/>
          <w:lang w:val="es-ES"/>
        </w:rPr>
        <w:t>R</w:t>
      </w:r>
      <w:r w:rsidRPr="00392CD2">
        <w:rPr>
          <w:i/>
          <w:iCs/>
          <w:noProof/>
          <w:vertAlign w:val="subscript"/>
          <w:lang w:val="es-ES"/>
        </w:rPr>
        <w:t>b</w:t>
      </w:r>
      <w:r w:rsidRPr="00392CD2">
        <w:rPr>
          <w:noProof/>
          <w:lang w:val="es-ES"/>
        </w:rPr>
        <w:t xml:space="preserve"> + </w:t>
      </w:r>
      <w:r w:rsidRPr="00392CD2">
        <w:rPr>
          <w:i/>
          <w:iCs/>
          <w:noProof/>
          <w:lang w:val="es-ES"/>
        </w:rPr>
        <w:t>R</w:t>
      </w:r>
      <w:r w:rsidRPr="00392CD2">
        <w:rPr>
          <w:i/>
          <w:iCs/>
          <w:noProof/>
          <w:vertAlign w:val="subscript"/>
          <w:lang w:val="es-ES"/>
        </w:rPr>
        <w:t xml:space="preserve">c </w:t>
      </w:r>
      <w:r w:rsidRPr="00392CD2">
        <w:rPr>
          <w:noProof/>
          <w:lang w:val="es-ES"/>
        </w:rPr>
        <w:t xml:space="preserve">+ </w:t>
      </w:r>
      <w:r w:rsidRPr="00392CD2">
        <w:rPr>
          <w:i/>
          <w:iCs/>
          <w:noProof/>
          <w:lang w:val="es-ES"/>
        </w:rPr>
        <w:t>R</w:t>
      </w:r>
      <w:r w:rsidRPr="00392CD2">
        <w:rPr>
          <w:i/>
          <w:iCs/>
          <w:noProof/>
          <w:vertAlign w:val="subscript"/>
          <w:lang w:val="es-ES"/>
        </w:rPr>
        <w:t>Y</w:t>
      </w:r>
      <w:r w:rsidRPr="00392CD2">
        <w:rPr>
          <w:noProof/>
          <w:lang w:val="es-ES"/>
        </w:rPr>
        <w:t xml:space="preserve"> = </w:t>
      </w:r>
      <w:r w:rsidRPr="00392CD2">
        <w:rPr>
          <w:i/>
          <w:iCs/>
          <w:noProof/>
          <w:lang w:val="es-ES"/>
        </w:rPr>
        <w:t>R</w:t>
      </w:r>
      <w:r w:rsidRPr="00392CD2">
        <w:rPr>
          <w:i/>
          <w:iCs/>
          <w:noProof/>
          <w:vertAlign w:val="subscript"/>
          <w:lang w:val="es-ES"/>
        </w:rPr>
        <w:t>I</w:t>
      </w:r>
      <w:r w:rsidRPr="00392CD2">
        <w:rPr>
          <w:noProof/>
          <w:lang w:val="es-ES"/>
        </w:rPr>
        <w:t xml:space="preserve"> + </w:t>
      </w:r>
      <w:r w:rsidRPr="00392CD2">
        <w:rPr>
          <w:i/>
          <w:iCs/>
          <w:noProof/>
          <w:lang w:val="es-ES"/>
        </w:rPr>
        <w:t>R</w:t>
      </w:r>
      <w:r w:rsidRPr="00392CD2">
        <w:rPr>
          <w:i/>
          <w:iCs/>
          <w:noProof/>
          <w:vertAlign w:val="subscript"/>
          <w:lang w:val="es-ES"/>
        </w:rPr>
        <w:t>Y</w:t>
      </w:r>
    </w:p>
    <w:p w:rsidR="00E7517C" w:rsidRPr="00392CD2" w:rsidRDefault="00E7517C" w:rsidP="00DD2438">
      <w:pPr>
        <w:keepNext/>
        <w:keepLines/>
        <w:rPr>
          <w:noProof/>
          <w:lang w:val="es-ES"/>
        </w:rPr>
      </w:pPr>
      <w:r w:rsidRPr="00392CD2">
        <w:rPr>
          <w:lang w:val="es-ES"/>
        </w:rPr>
        <w:lastRenderedPageBreak/>
        <w:t>Además, por similitud</w:t>
      </w:r>
      <w:r w:rsidRPr="00392CD2">
        <w:rPr>
          <w:noProof/>
          <w:lang w:val="es-ES"/>
        </w:rPr>
        <w:t>,</w:t>
      </w:r>
    </w:p>
    <w:p w:rsidR="00E7517C" w:rsidRPr="00392CD2" w:rsidRDefault="00E7517C" w:rsidP="00E7517C">
      <w:pPr>
        <w:pStyle w:val="Equation"/>
        <w:rPr>
          <w:noProof/>
          <w:lang w:val="es-ES"/>
        </w:rPr>
      </w:pPr>
      <w:r w:rsidRPr="00392CD2">
        <w:rPr>
          <w:lang w:val="es-ES"/>
        </w:rPr>
        <w:tab/>
      </w:r>
      <w:r w:rsidRPr="00392CD2">
        <w:rPr>
          <w:lang w:val="es-ES"/>
        </w:rPr>
        <w:tab/>
      </w:r>
      <w:r w:rsidRPr="00392CD2">
        <w:rPr>
          <w:position w:val="-32"/>
          <w:lang w:val="es-ES"/>
        </w:rPr>
        <w:object w:dxaOrig="3980" w:dyaOrig="760">
          <v:shape id="_x0000_i1030" type="#_x0000_t75" style="width:198.4pt;height:40pt" o:ole="">
            <v:imagedata r:id="rId23" o:title=""/>
          </v:shape>
          <o:OLEObject Type="Embed" ProgID="Equation.3" ShapeID="_x0000_i1030" DrawAspect="Content" ObjectID="_1475048266" r:id="rId24"/>
        </w:object>
      </w:r>
    </w:p>
    <w:p w:rsidR="00E7517C" w:rsidRDefault="00E7517C" w:rsidP="00CC7782">
      <w:pPr>
        <w:keepNext/>
        <w:keepLines/>
        <w:rPr>
          <w:lang w:val="es-ES"/>
        </w:rPr>
      </w:pPr>
      <w:r w:rsidRPr="00392CD2">
        <w:rPr>
          <w:lang w:val="es-ES"/>
        </w:rPr>
        <w:t xml:space="preserve">La degradación por RFI con respecto a la básica puede calcularse como la relación </w:t>
      </w:r>
      <w:r w:rsidRPr="00392CD2">
        <w:rPr>
          <w:position w:val="-26"/>
          <w:lang w:val="es-ES"/>
        </w:rPr>
        <w:object w:dxaOrig="1500" w:dyaOrig="639">
          <v:shape id="_x0000_i1031" type="#_x0000_t75" style="width:76pt;height:32.4pt" o:ole="">
            <v:imagedata r:id="rId25" o:title=""/>
          </v:shape>
          <o:OLEObject Type="Embed" ProgID="Equation.3" ShapeID="_x0000_i1031" DrawAspect="Content" ObjectID="_1475048267" r:id="rId26"/>
        </w:object>
      </w:r>
      <w:r w:rsidRPr="00392CD2">
        <w:rPr>
          <w:lang w:val="es-ES"/>
        </w:rPr>
        <w:t>:</w:t>
      </w:r>
    </w:p>
    <w:p w:rsidR="00E7517C" w:rsidRPr="00392CD2" w:rsidRDefault="00E7517C" w:rsidP="00E7517C">
      <w:pPr>
        <w:pStyle w:val="Equation"/>
        <w:rPr>
          <w:lang w:val="es-ES"/>
        </w:rPr>
      </w:pPr>
      <w:r w:rsidRPr="00392CD2">
        <w:rPr>
          <w:position w:val="-70"/>
          <w:lang w:val="es-ES"/>
        </w:rPr>
        <w:object w:dxaOrig="8100" w:dyaOrig="1520">
          <v:shape id="_x0000_i1032" type="#_x0000_t75" style="width:407.2pt;height:76pt" o:ole="">
            <v:imagedata r:id="rId27" o:title=""/>
          </v:shape>
          <o:OLEObject Type="Embed" ProgID="Equation.3" ShapeID="_x0000_i1032" DrawAspect="Content" ObjectID="_1475048268" r:id="rId28"/>
        </w:object>
      </w:r>
      <w:r w:rsidRPr="00392CD2">
        <w:rPr>
          <w:lang w:val="es-ES"/>
        </w:rPr>
        <w:tab/>
        <w:t>(6)</w:t>
      </w:r>
    </w:p>
    <w:p w:rsidR="004F3B27" w:rsidRPr="000E4C61" w:rsidRDefault="004F3B27" w:rsidP="004F3B27">
      <w:pPr>
        <w:pStyle w:val="Blanc"/>
        <w:rPr>
          <w:lang w:val="es-ES_tradnl"/>
        </w:rPr>
      </w:pPr>
    </w:p>
    <w:p w:rsidR="00E7517C" w:rsidRPr="00392CD2" w:rsidRDefault="00E7517C" w:rsidP="00E7517C">
      <w:pPr>
        <w:rPr>
          <w:lang w:val="es-ES"/>
        </w:rPr>
      </w:pPr>
      <w:r w:rsidRPr="00392CD2">
        <w:rPr>
          <w:lang w:val="es-ES"/>
        </w:rPr>
        <w:t xml:space="preserve">Obsérvese que tanto </w:t>
      </w:r>
      <w:r w:rsidRPr="00392CD2">
        <w:rPr>
          <w:i/>
          <w:iCs/>
          <w:lang w:val="es-ES"/>
        </w:rPr>
        <w:t>PDC</w:t>
      </w:r>
      <w:r w:rsidRPr="00392CD2">
        <w:rPr>
          <w:i/>
          <w:iCs/>
          <w:vertAlign w:val="subscript"/>
          <w:lang w:val="es-ES"/>
        </w:rPr>
        <w:t>Y</w:t>
      </w:r>
      <w:r w:rsidRPr="00392CD2">
        <w:rPr>
          <w:lang w:val="es-ES"/>
        </w:rPr>
        <w:t xml:space="preserve"> como </w:t>
      </w:r>
      <w:r w:rsidRPr="00392CD2">
        <w:rPr>
          <w:i/>
          <w:iCs/>
          <w:lang w:val="es-ES"/>
        </w:rPr>
        <w:t>R</w:t>
      </w:r>
      <w:r w:rsidRPr="00392CD2">
        <w:rPr>
          <w:i/>
          <w:iCs/>
          <w:vertAlign w:val="subscript"/>
          <w:lang w:val="es-ES"/>
        </w:rPr>
        <w:t>Y</w:t>
      </w:r>
      <w:r w:rsidRPr="00392CD2">
        <w:rPr>
          <w:lang w:val="es-ES"/>
        </w:rPr>
        <w:t xml:space="preserve"> se determinan utilizando el nivel de compresión a la entrada del receptor del SRNS como punto de referencia de potencia (límite superior al umbral del supresor). En el cálculo del ciclo de trabajo de los impulsos umbral por encima del supresor (</w:t>
      </w:r>
      <w:r w:rsidRPr="00392CD2">
        <w:rPr>
          <w:i/>
          <w:iCs/>
          <w:lang w:val="es-ES"/>
        </w:rPr>
        <w:t>PDC</w:t>
      </w:r>
      <w:r w:rsidRPr="00392CD2">
        <w:rPr>
          <w:i/>
          <w:iCs/>
          <w:vertAlign w:val="subscript"/>
          <w:lang w:val="es-ES"/>
        </w:rPr>
        <w:t>Y</w:t>
      </w:r>
      <w:r w:rsidRPr="00392CD2">
        <w:rPr>
          <w:lang w:val="es-ES"/>
        </w:rPr>
        <w:t>) se hace uso del tiempo de recuperación de sobrecarga del receptor que se describe en la ecuación (3a).</w:t>
      </w:r>
    </w:p>
    <w:p w:rsidR="00E7517C" w:rsidRPr="00392CD2" w:rsidRDefault="00E7517C" w:rsidP="00E7517C">
      <w:pPr>
        <w:pStyle w:val="Heading2"/>
        <w:rPr>
          <w:lang w:val="es-ES"/>
        </w:rPr>
      </w:pPr>
      <w:r w:rsidRPr="00392CD2">
        <w:rPr>
          <w:lang w:val="es-ES"/>
        </w:rPr>
        <w:t>3.2</w:t>
      </w:r>
      <w:r w:rsidRPr="00392CD2">
        <w:rPr>
          <w:lang w:val="es-ES"/>
        </w:rPr>
        <w:tab/>
        <w:t>RFI impulsiva adicional a un receptor del SRNS que trabaja en saturación (caso 2)</w:t>
      </w:r>
    </w:p>
    <w:p w:rsidR="00E7517C" w:rsidRPr="00392CD2" w:rsidRDefault="00E7517C" w:rsidP="00E7517C">
      <w:pPr>
        <w:pStyle w:val="Heading3"/>
        <w:rPr>
          <w:lang w:val="es-ES"/>
        </w:rPr>
      </w:pPr>
      <w:r w:rsidRPr="00392CD2">
        <w:rPr>
          <w:lang w:val="es-ES"/>
        </w:rPr>
        <w:t>3.2.1</w:t>
      </w:r>
      <w:r w:rsidRPr="00392CD2">
        <w:rPr>
          <w:lang w:val="es-ES"/>
        </w:rPr>
        <w:tab/>
        <w:t>Receptor del SRNS que trabaja en saturación – R</w:t>
      </w:r>
      <w:r>
        <w:rPr>
          <w:lang w:val="es-ES"/>
        </w:rPr>
        <w:t>F</w:t>
      </w:r>
      <w:r w:rsidRPr="00392CD2">
        <w:rPr>
          <w:lang w:val="es-ES"/>
        </w:rPr>
        <w:t>I impulsiva básica distinta de cero (caso 2a)</w:t>
      </w:r>
    </w:p>
    <w:p w:rsidR="00E7517C" w:rsidRPr="00392CD2" w:rsidRDefault="00E7517C" w:rsidP="00E7517C">
      <w:pPr>
        <w:rPr>
          <w:lang w:val="es-ES"/>
        </w:rPr>
      </w:pPr>
      <w:r w:rsidRPr="00392CD2">
        <w:rPr>
          <w:lang w:val="es-ES"/>
        </w:rPr>
        <w:t xml:space="preserve">En este caso se supone que la RFI impulsiva está presente en el entorno básico (es decir, </w:t>
      </w:r>
      <w:r w:rsidRPr="00392CD2">
        <w:rPr>
          <w:i/>
          <w:iCs/>
          <w:lang w:val="es-ES"/>
        </w:rPr>
        <w:t>PDC</w:t>
      </w:r>
      <w:r w:rsidRPr="00392CD2">
        <w:rPr>
          <w:lang w:val="es-ES"/>
        </w:rPr>
        <w:t xml:space="preserve"> básico y/o </w:t>
      </w:r>
      <w:r w:rsidRPr="00392CD2">
        <w:rPr>
          <w:i/>
          <w:lang w:val="es-ES"/>
        </w:rPr>
        <w:t>R</w:t>
      </w:r>
      <w:r w:rsidRPr="00392CD2">
        <w:rPr>
          <w:i/>
          <w:vertAlign w:val="subscript"/>
          <w:lang w:val="es-ES"/>
        </w:rPr>
        <w:t>I</w:t>
      </w:r>
      <w:r w:rsidRPr="00392CD2">
        <w:rPr>
          <w:lang w:val="es-ES"/>
        </w:rPr>
        <w:t xml:space="preserve"> &gt; 0). Si se introduce un grupo de fuentes impulsivas con saturación adicional Y, los nuevos parámetros de la RFI impulsiva del SRNS compuesta</w:t>
      </w:r>
      <w:r>
        <w:rPr>
          <w:lang w:val="es-ES"/>
        </w:rPr>
        <w:t>,</w:t>
      </w:r>
      <w:r w:rsidRPr="00392CD2">
        <w:rPr>
          <w:lang w:val="es-ES"/>
        </w:rPr>
        <w:t xml:space="preserve"> </w:t>
      </w:r>
      <w:r w:rsidRPr="00392CD2">
        <w:rPr>
          <w:i/>
          <w:iCs/>
          <w:lang w:val="es-ES"/>
        </w:rPr>
        <w:t>PDC</w:t>
      </w:r>
      <w:r w:rsidRPr="00392CD2">
        <w:rPr>
          <w:i/>
          <w:iCs/>
          <w:vertAlign w:val="subscript"/>
          <w:lang w:val="es-ES"/>
        </w:rPr>
        <w:t>LIM</w:t>
      </w:r>
      <w:r w:rsidRPr="00392CD2">
        <w:rPr>
          <w:vertAlign w:val="subscript"/>
          <w:lang w:val="es-ES"/>
        </w:rPr>
        <w:t>+</w:t>
      </w:r>
      <w:r w:rsidRPr="00392CD2">
        <w:rPr>
          <w:i/>
          <w:iCs/>
          <w:vertAlign w:val="subscript"/>
          <w:lang w:val="es-ES"/>
        </w:rPr>
        <w:t>Y</w:t>
      </w:r>
      <w:r w:rsidRPr="00392CD2">
        <w:rPr>
          <w:lang w:val="es-ES"/>
        </w:rPr>
        <w:t xml:space="preserve"> y </w:t>
      </w:r>
      <w:r w:rsidRPr="00392CD2">
        <w:rPr>
          <w:i/>
          <w:iCs/>
          <w:noProof/>
          <w:lang w:val="es-ES"/>
        </w:rPr>
        <w:t>R</w:t>
      </w:r>
      <w:r w:rsidRPr="00392CD2">
        <w:rPr>
          <w:i/>
          <w:iCs/>
          <w:noProof/>
          <w:vertAlign w:val="subscript"/>
          <w:lang w:val="es-ES"/>
        </w:rPr>
        <w:t>I</w:t>
      </w:r>
      <w:r w:rsidRPr="00392CD2">
        <w:rPr>
          <w:noProof/>
          <w:vertAlign w:val="subscript"/>
          <w:lang w:val="es-ES"/>
        </w:rPr>
        <w:t>+</w:t>
      </w:r>
      <w:r w:rsidRPr="00392CD2">
        <w:rPr>
          <w:i/>
          <w:iCs/>
          <w:noProof/>
          <w:vertAlign w:val="subscript"/>
          <w:lang w:val="es-ES"/>
        </w:rPr>
        <w:t>Y</w:t>
      </w:r>
      <w:r>
        <w:rPr>
          <w:lang w:val="es-ES"/>
        </w:rPr>
        <w:t>,</w:t>
      </w:r>
      <w:r w:rsidRPr="00392CD2">
        <w:rPr>
          <w:lang w:val="es-ES"/>
        </w:rPr>
        <w:t xml:space="preserve"> pueden definirse de manera similar al </w:t>
      </w:r>
      <w:r w:rsidR="00CC7942" w:rsidRPr="00392CD2">
        <w:rPr>
          <w:lang w:val="es-ES"/>
        </w:rPr>
        <w:t xml:space="preserve">caso </w:t>
      </w:r>
      <w:r w:rsidRPr="00392CD2">
        <w:rPr>
          <w:lang w:val="es-ES"/>
        </w:rPr>
        <w:t>1 como:</w:t>
      </w:r>
    </w:p>
    <w:p w:rsidR="00E7517C" w:rsidRPr="00506031" w:rsidRDefault="00E7517C" w:rsidP="00E7517C">
      <w:pPr>
        <w:pStyle w:val="Equation"/>
        <w:rPr>
          <w:noProof/>
          <w:lang w:val="en-US"/>
        </w:rPr>
      </w:pPr>
      <w:r w:rsidRPr="00392CD2">
        <w:rPr>
          <w:b/>
          <w:lang w:val="es-ES"/>
        </w:rPr>
        <w:tab/>
      </w:r>
      <w:r w:rsidRPr="00392CD2">
        <w:rPr>
          <w:b/>
          <w:lang w:val="es-ES"/>
        </w:rPr>
        <w:tab/>
      </w:r>
      <w:r w:rsidRPr="00506031">
        <w:rPr>
          <w:lang w:val="en-US"/>
        </w:rPr>
        <w:t>(1–</w:t>
      </w:r>
      <w:r w:rsidRPr="00506031">
        <w:rPr>
          <w:i/>
          <w:iCs/>
          <w:lang w:val="en-US"/>
        </w:rPr>
        <w:t>PDC</w:t>
      </w:r>
      <w:r w:rsidRPr="00506031">
        <w:rPr>
          <w:i/>
          <w:iCs/>
          <w:vertAlign w:val="subscript"/>
          <w:lang w:val="en-US"/>
        </w:rPr>
        <w:t>LIM</w:t>
      </w:r>
      <w:r w:rsidRPr="00506031">
        <w:rPr>
          <w:vertAlign w:val="subscript"/>
          <w:lang w:val="en-US"/>
        </w:rPr>
        <w:t>+</w:t>
      </w:r>
      <w:r w:rsidRPr="00506031">
        <w:rPr>
          <w:i/>
          <w:iCs/>
          <w:vertAlign w:val="subscript"/>
          <w:lang w:val="en-US"/>
        </w:rPr>
        <w:t>Y</w:t>
      </w:r>
      <w:r w:rsidRPr="00506031">
        <w:rPr>
          <w:lang w:val="en-US"/>
        </w:rPr>
        <w:t xml:space="preserve">) = </w:t>
      </w:r>
      <w:r w:rsidRPr="00506031">
        <w:rPr>
          <w:noProof/>
          <w:lang w:val="en-US"/>
        </w:rPr>
        <w:t>(1</w:t>
      </w:r>
      <w:r w:rsidRPr="00506031">
        <w:rPr>
          <w:b/>
          <w:lang w:val="en-US"/>
        </w:rPr>
        <w:t>–</w:t>
      </w:r>
      <w:r w:rsidRPr="00506031">
        <w:rPr>
          <w:i/>
          <w:iCs/>
          <w:noProof/>
          <w:lang w:val="en-US"/>
        </w:rPr>
        <w:t>PDC</w:t>
      </w:r>
      <w:r w:rsidRPr="00506031">
        <w:rPr>
          <w:i/>
          <w:iCs/>
          <w:noProof/>
          <w:vertAlign w:val="subscript"/>
          <w:lang w:val="en-US"/>
        </w:rPr>
        <w:t>LIM</w:t>
      </w:r>
      <w:r w:rsidRPr="00506031">
        <w:rPr>
          <w:noProof/>
          <w:lang w:val="en-US"/>
        </w:rPr>
        <w:t>)(1</w:t>
      </w:r>
      <w:r w:rsidRPr="00506031">
        <w:rPr>
          <w:b/>
          <w:lang w:val="en-US"/>
        </w:rPr>
        <w:t>–</w:t>
      </w:r>
      <w:r w:rsidRPr="00506031">
        <w:rPr>
          <w:i/>
          <w:iCs/>
          <w:noProof/>
          <w:lang w:val="en-US"/>
        </w:rPr>
        <w:t>PDC</w:t>
      </w:r>
      <w:r w:rsidRPr="00506031">
        <w:rPr>
          <w:i/>
          <w:iCs/>
          <w:noProof/>
          <w:vertAlign w:val="subscript"/>
          <w:lang w:val="en-US"/>
        </w:rPr>
        <w:t>Y</w:t>
      </w:r>
      <w:r w:rsidRPr="00506031">
        <w:rPr>
          <w:noProof/>
          <w:lang w:val="en-US"/>
        </w:rPr>
        <w:t xml:space="preserve">) and </w:t>
      </w:r>
      <w:r w:rsidRPr="00506031">
        <w:rPr>
          <w:i/>
          <w:iCs/>
          <w:noProof/>
          <w:lang w:val="en-US"/>
        </w:rPr>
        <w:t>R</w:t>
      </w:r>
      <w:r w:rsidRPr="00506031">
        <w:rPr>
          <w:i/>
          <w:iCs/>
          <w:noProof/>
          <w:vertAlign w:val="subscript"/>
          <w:lang w:val="en-US"/>
        </w:rPr>
        <w:t>I</w:t>
      </w:r>
      <w:r w:rsidRPr="00506031">
        <w:rPr>
          <w:noProof/>
          <w:vertAlign w:val="subscript"/>
          <w:lang w:val="en-US"/>
        </w:rPr>
        <w:t>+</w:t>
      </w:r>
      <w:r w:rsidRPr="00506031">
        <w:rPr>
          <w:i/>
          <w:iCs/>
          <w:noProof/>
          <w:vertAlign w:val="subscript"/>
          <w:lang w:val="en-US"/>
        </w:rPr>
        <w:t>Y</w:t>
      </w:r>
      <w:r w:rsidRPr="00506031">
        <w:rPr>
          <w:noProof/>
          <w:lang w:val="en-US"/>
        </w:rPr>
        <w:t xml:space="preserve"> = </w:t>
      </w:r>
      <w:r w:rsidRPr="00506031">
        <w:rPr>
          <w:i/>
          <w:iCs/>
          <w:noProof/>
          <w:lang w:val="en-US"/>
        </w:rPr>
        <w:t>R</w:t>
      </w:r>
      <w:r w:rsidRPr="00506031">
        <w:rPr>
          <w:i/>
          <w:iCs/>
          <w:noProof/>
          <w:vertAlign w:val="subscript"/>
          <w:lang w:val="en-US"/>
        </w:rPr>
        <w:t>I</w:t>
      </w:r>
      <w:r w:rsidRPr="00506031">
        <w:rPr>
          <w:noProof/>
          <w:lang w:val="en-US"/>
        </w:rPr>
        <w:t xml:space="preserve"> + </w:t>
      </w:r>
      <w:r w:rsidRPr="00506031">
        <w:rPr>
          <w:i/>
          <w:iCs/>
          <w:noProof/>
          <w:lang w:val="en-US"/>
        </w:rPr>
        <w:t>R</w:t>
      </w:r>
      <w:r w:rsidRPr="00506031">
        <w:rPr>
          <w:i/>
          <w:iCs/>
          <w:noProof/>
          <w:vertAlign w:val="subscript"/>
          <w:lang w:val="en-US"/>
        </w:rPr>
        <w:t>Y</w:t>
      </w:r>
    </w:p>
    <w:p w:rsidR="00E7517C" w:rsidRDefault="00E7517C" w:rsidP="00FB7FD9">
      <w:pPr>
        <w:spacing w:before="240"/>
        <w:rPr>
          <w:lang w:val="es-ES"/>
        </w:rPr>
      </w:pPr>
      <w:r w:rsidRPr="00392CD2">
        <w:rPr>
          <w:lang w:val="es-ES"/>
        </w:rPr>
        <w:t xml:space="preserve">donde </w:t>
      </w:r>
      <w:r w:rsidRPr="00392CD2">
        <w:rPr>
          <w:i/>
          <w:iCs/>
          <w:lang w:val="es-ES"/>
        </w:rPr>
        <w:t>PDC</w:t>
      </w:r>
      <w:r w:rsidRPr="00392CD2">
        <w:rPr>
          <w:i/>
          <w:iCs/>
          <w:vertAlign w:val="subscript"/>
          <w:lang w:val="es-ES"/>
        </w:rPr>
        <w:t>LIM</w:t>
      </w:r>
      <w:r w:rsidRPr="00392CD2">
        <w:rPr>
          <w:lang w:val="es-ES"/>
        </w:rPr>
        <w:t xml:space="preserve"> </w:t>
      </w:r>
      <w:r>
        <w:rPr>
          <w:lang w:val="es-ES"/>
        </w:rPr>
        <w:t>y</w:t>
      </w:r>
      <w:r w:rsidRPr="00392CD2">
        <w:rPr>
          <w:lang w:val="es-ES"/>
        </w:rPr>
        <w:t xml:space="preserve"> </w:t>
      </w:r>
      <w:r w:rsidRPr="00392CD2">
        <w:rPr>
          <w:i/>
          <w:iCs/>
          <w:noProof/>
          <w:lang w:val="es-ES"/>
        </w:rPr>
        <w:t>R</w:t>
      </w:r>
      <w:r w:rsidRPr="00392CD2">
        <w:rPr>
          <w:i/>
          <w:iCs/>
          <w:noProof/>
          <w:vertAlign w:val="subscript"/>
          <w:lang w:val="es-ES"/>
        </w:rPr>
        <w:t>I</w:t>
      </w:r>
      <w:r w:rsidRPr="00392CD2">
        <w:rPr>
          <w:lang w:val="es-ES"/>
        </w:rPr>
        <w:t xml:space="preserve"> representan los parámetros de la RFI impulsiva del entorno básico y </w:t>
      </w:r>
      <w:r w:rsidRPr="00392CD2">
        <w:rPr>
          <w:i/>
          <w:iCs/>
          <w:lang w:val="es-ES"/>
        </w:rPr>
        <w:t>PDC</w:t>
      </w:r>
      <w:r w:rsidRPr="00392CD2">
        <w:rPr>
          <w:i/>
          <w:iCs/>
          <w:vertAlign w:val="subscript"/>
          <w:lang w:val="es-ES"/>
        </w:rPr>
        <w:t>Y</w:t>
      </w:r>
      <w:r w:rsidRPr="00392CD2">
        <w:rPr>
          <w:lang w:val="es-ES"/>
        </w:rPr>
        <w:t xml:space="preserve"> y </w:t>
      </w:r>
      <w:r w:rsidRPr="00392CD2">
        <w:rPr>
          <w:i/>
          <w:iCs/>
          <w:noProof/>
          <w:lang w:val="es-ES"/>
        </w:rPr>
        <w:t>R</w:t>
      </w:r>
      <w:r w:rsidRPr="00392CD2">
        <w:rPr>
          <w:i/>
          <w:iCs/>
          <w:noProof/>
          <w:vertAlign w:val="subscript"/>
          <w:lang w:val="es-ES"/>
        </w:rPr>
        <w:t>Y</w:t>
      </w:r>
      <w:r w:rsidRPr="00392CD2">
        <w:rPr>
          <w:lang w:val="es-ES"/>
        </w:rPr>
        <w:t xml:space="preserve"> son los parámetros de la RFI impulsiva del grupo </w:t>
      </w:r>
      <w:r>
        <w:rPr>
          <w:lang w:val="es-ES"/>
        </w:rPr>
        <w:t xml:space="preserve">de </w:t>
      </w:r>
      <w:r w:rsidRPr="00392CD2">
        <w:rPr>
          <w:lang w:val="es-ES"/>
        </w:rPr>
        <w:t xml:space="preserve">fuentes adicionales. De manera similar al </w:t>
      </w:r>
      <w:r w:rsidR="00CC7942" w:rsidRPr="00392CD2">
        <w:rPr>
          <w:lang w:val="es-ES"/>
        </w:rPr>
        <w:t>caso</w:t>
      </w:r>
      <w:r w:rsidR="00CC7942">
        <w:rPr>
          <w:lang w:val="es-ES"/>
        </w:rPr>
        <w:t> </w:t>
      </w:r>
      <w:r w:rsidRPr="00392CD2">
        <w:rPr>
          <w:lang w:val="es-ES"/>
        </w:rPr>
        <w:t>1, la relación de degradación se define por extensión haciendo uso de la ecuación (5), como sigue:</w:t>
      </w:r>
    </w:p>
    <w:p w:rsidR="004F3B27" w:rsidRPr="00CC7942" w:rsidRDefault="004F3B27" w:rsidP="004F3B27">
      <w:pPr>
        <w:pStyle w:val="Blanc"/>
        <w:rPr>
          <w:lang w:val="es-ES_tradnl"/>
        </w:rPr>
      </w:pPr>
    </w:p>
    <w:tbl>
      <w:tblPr>
        <w:tblW w:w="9729" w:type="dxa"/>
        <w:tblLook w:val="04A0" w:firstRow="1" w:lastRow="0" w:firstColumn="1" w:lastColumn="0" w:noHBand="0" w:noVBand="1"/>
      </w:tblPr>
      <w:tblGrid>
        <w:gridCol w:w="8935"/>
        <w:gridCol w:w="794"/>
      </w:tblGrid>
      <w:tr w:rsidR="004F3B27" w:rsidTr="004F3B27">
        <w:tc>
          <w:tcPr>
            <w:tcW w:w="8935" w:type="dxa"/>
          </w:tcPr>
          <w:p w:rsidR="004F3B27" w:rsidRDefault="004F3B27" w:rsidP="004F3B27">
            <w:pPr>
              <w:pStyle w:val="Equation"/>
              <w:rPr>
                <w:lang w:val="es-ES"/>
              </w:rPr>
            </w:pPr>
            <w:r w:rsidRPr="00392CD2">
              <w:rPr>
                <w:lang w:val="es-ES"/>
              </w:rPr>
              <w:object w:dxaOrig="8745" w:dyaOrig="3045">
                <v:shape id="_x0000_i1033" type="#_x0000_t75" style="width:436pt;height:152pt" o:ole="">
                  <v:imagedata r:id="rId29" o:title=""/>
                </v:shape>
                <o:OLEObject Type="Embed" ProgID="Equation.DSMT4" ShapeID="_x0000_i1033" DrawAspect="Content" ObjectID="_1475048269" r:id="rId30"/>
              </w:object>
            </w:r>
          </w:p>
        </w:tc>
        <w:tc>
          <w:tcPr>
            <w:tcW w:w="794" w:type="dxa"/>
            <w:vAlign w:val="center"/>
          </w:tcPr>
          <w:p w:rsidR="004F3B27" w:rsidRDefault="004F3B27" w:rsidP="004F3B27">
            <w:pPr>
              <w:pStyle w:val="Equation"/>
              <w:jc w:val="right"/>
              <w:rPr>
                <w:lang w:val="es-ES"/>
              </w:rPr>
            </w:pPr>
            <w:r w:rsidRPr="004F3B27">
              <w:t>(7)</w:t>
            </w:r>
          </w:p>
        </w:tc>
      </w:tr>
    </w:tbl>
    <w:p w:rsidR="00E7517C" w:rsidRPr="00392CD2" w:rsidRDefault="00E7517C" w:rsidP="00DD2438">
      <w:pPr>
        <w:keepNext/>
        <w:keepLines/>
        <w:rPr>
          <w:lang w:val="es-ES"/>
        </w:rPr>
      </w:pPr>
      <w:r w:rsidRPr="00392CD2">
        <w:rPr>
          <w:lang w:val="es-ES"/>
        </w:rPr>
        <w:t xml:space="preserve">Si además el receptor del SRNS es del tipo de límite estricto, </w:t>
      </w:r>
      <w:r w:rsidRPr="00392CD2">
        <w:rPr>
          <w:i/>
          <w:iCs/>
          <w:lang w:val="es-ES"/>
        </w:rPr>
        <w:t>N</w:t>
      </w:r>
      <w:r w:rsidRPr="00392CD2">
        <w:rPr>
          <w:i/>
          <w:iCs/>
          <w:vertAlign w:val="subscript"/>
          <w:lang w:val="es-ES"/>
        </w:rPr>
        <w:t>LIM</w:t>
      </w:r>
      <w:r w:rsidRPr="00392CD2">
        <w:rPr>
          <w:lang w:val="es-ES"/>
        </w:rPr>
        <w:t xml:space="preserve"> = 1 y </w:t>
      </w:r>
      <w:r w:rsidRPr="00392CD2">
        <w:rPr>
          <w:i/>
          <w:iCs/>
          <w:lang w:val="es-ES"/>
        </w:rPr>
        <w:t>R</w:t>
      </w:r>
      <w:r w:rsidRPr="00392CD2">
        <w:rPr>
          <w:i/>
          <w:iCs/>
          <w:vertAlign w:val="subscript"/>
          <w:lang w:val="es-ES"/>
        </w:rPr>
        <w:t>I</w:t>
      </w:r>
      <w:r w:rsidRPr="00392CD2">
        <w:rPr>
          <w:lang w:val="es-ES"/>
        </w:rPr>
        <w:t xml:space="preserve"> = </w:t>
      </w:r>
      <w:r w:rsidRPr="00392CD2">
        <w:rPr>
          <w:i/>
          <w:iCs/>
          <w:lang w:val="es-ES"/>
        </w:rPr>
        <w:t>R</w:t>
      </w:r>
      <w:r w:rsidRPr="00392CD2">
        <w:rPr>
          <w:i/>
          <w:iCs/>
          <w:vertAlign w:val="subscript"/>
          <w:lang w:val="es-ES"/>
        </w:rPr>
        <w:t>Y</w:t>
      </w:r>
      <w:r w:rsidRPr="00392CD2">
        <w:rPr>
          <w:lang w:val="es-ES"/>
        </w:rPr>
        <w:t xml:space="preserve"> </w:t>
      </w:r>
      <w:r w:rsidRPr="00392CD2">
        <w:rPr>
          <w:lang w:val="es-ES"/>
        </w:rPr>
        <w:sym w:font="Symbol" w:char="F040"/>
      </w:r>
      <w:r w:rsidRPr="00392CD2">
        <w:rPr>
          <w:lang w:val="es-ES"/>
        </w:rPr>
        <w:t xml:space="preserve"> 0, entonces la relación de degradación se simplifica pasando a ser:</w:t>
      </w:r>
    </w:p>
    <w:p w:rsidR="004F3B27" w:rsidRPr="00DD2438" w:rsidRDefault="004F3B27" w:rsidP="004F3B27">
      <w:pPr>
        <w:pStyle w:val="Blanc"/>
        <w:rPr>
          <w:lang w:val="es-ES_tradnl"/>
        </w:rPr>
      </w:pPr>
    </w:p>
    <w:p w:rsidR="00E7517C" w:rsidRPr="00392CD2" w:rsidRDefault="00E7517C" w:rsidP="00E7517C">
      <w:pPr>
        <w:pStyle w:val="Equation"/>
        <w:rPr>
          <w:lang w:val="es-ES"/>
        </w:rPr>
      </w:pPr>
      <w:r w:rsidRPr="00392CD2">
        <w:rPr>
          <w:lang w:val="es-ES"/>
        </w:rPr>
        <w:tab/>
      </w:r>
      <w:r w:rsidRPr="00392CD2">
        <w:rPr>
          <w:lang w:val="es-ES"/>
        </w:rPr>
        <w:tab/>
      </w:r>
      <w:r w:rsidRPr="00392CD2">
        <w:rPr>
          <w:position w:val="-32"/>
          <w:lang w:val="es-ES"/>
        </w:rPr>
        <w:object w:dxaOrig="2940" w:dyaOrig="700">
          <v:shape id="_x0000_i1034" type="#_x0000_t75" style="width:147.6pt;height:36pt" o:ole="">
            <v:imagedata r:id="rId31" o:title=""/>
          </v:shape>
          <o:OLEObject Type="Embed" ProgID="Equation.3" ShapeID="_x0000_i1034" DrawAspect="Content" ObjectID="_1475048270" r:id="rId32"/>
        </w:object>
      </w:r>
      <w:r w:rsidRPr="00392CD2">
        <w:rPr>
          <w:lang w:val="es-ES"/>
        </w:rPr>
        <w:tab/>
        <w:t>(7a)</w:t>
      </w:r>
    </w:p>
    <w:p w:rsidR="00E7517C" w:rsidRPr="00392CD2" w:rsidRDefault="00E7517C" w:rsidP="00E7517C">
      <w:pPr>
        <w:pStyle w:val="Heading3"/>
        <w:rPr>
          <w:lang w:val="es-ES"/>
        </w:rPr>
      </w:pPr>
      <w:r w:rsidRPr="00392CD2">
        <w:rPr>
          <w:lang w:val="es-ES"/>
        </w:rPr>
        <w:lastRenderedPageBreak/>
        <w:t>3.2.2</w:t>
      </w:r>
      <w:r w:rsidRPr="00392CD2">
        <w:rPr>
          <w:lang w:val="es-ES"/>
        </w:rPr>
        <w:tab/>
        <w:t>Receptor del SRNS que trabaja en saturación – RFI impulsiva básica cero (caso 2b)</w:t>
      </w:r>
    </w:p>
    <w:p w:rsidR="00E7517C" w:rsidRPr="00392CD2" w:rsidRDefault="00E7517C" w:rsidP="004F3B27">
      <w:pPr>
        <w:keepNext/>
        <w:keepLines/>
        <w:rPr>
          <w:lang w:val="es-ES"/>
        </w:rPr>
      </w:pPr>
      <w:r w:rsidRPr="00392CD2">
        <w:rPr>
          <w:lang w:val="es-ES"/>
        </w:rPr>
        <w:t xml:space="preserve">Para el caso en que no se supone RFI impulsiva en el entorno básico (es decir, </w:t>
      </w:r>
      <w:r w:rsidRPr="00392CD2">
        <w:rPr>
          <w:i/>
          <w:lang w:val="es-ES"/>
        </w:rPr>
        <w:t>PDC</w:t>
      </w:r>
      <w:r w:rsidRPr="00392CD2">
        <w:rPr>
          <w:lang w:val="es-ES"/>
        </w:rPr>
        <w:t xml:space="preserve"> básico y </w:t>
      </w:r>
      <w:r w:rsidRPr="00392CD2">
        <w:rPr>
          <w:i/>
          <w:lang w:val="es-ES"/>
        </w:rPr>
        <w:t>R</w:t>
      </w:r>
      <w:r w:rsidRPr="00392CD2">
        <w:rPr>
          <w:i/>
          <w:vertAlign w:val="subscript"/>
          <w:lang w:val="es-ES"/>
        </w:rPr>
        <w:t>I</w:t>
      </w:r>
      <w:r w:rsidRPr="00392CD2">
        <w:rPr>
          <w:lang w:val="es-ES"/>
        </w:rPr>
        <w:t xml:space="preserve"> = 0) y se introduce un grupo de fuentes impulsivas en saturación Y (parámetros de la RFI impulsiva </w:t>
      </w:r>
      <w:r w:rsidRPr="00392CD2">
        <w:rPr>
          <w:i/>
          <w:iCs/>
          <w:lang w:val="es-ES"/>
        </w:rPr>
        <w:t>PDC</w:t>
      </w:r>
      <w:r w:rsidRPr="00392CD2">
        <w:rPr>
          <w:i/>
          <w:iCs/>
          <w:vertAlign w:val="subscript"/>
          <w:lang w:val="es-ES"/>
        </w:rPr>
        <w:t>Y</w:t>
      </w:r>
      <w:r w:rsidRPr="00392CD2">
        <w:rPr>
          <w:lang w:val="es-ES"/>
        </w:rPr>
        <w:t xml:space="preserve"> y </w:t>
      </w:r>
      <w:r w:rsidRPr="00392CD2">
        <w:rPr>
          <w:i/>
          <w:iCs/>
          <w:noProof/>
          <w:lang w:val="es-ES"/>
        </w:rPr>
        <w:t>R</w:t>
      </w:r>
      <w:r w:rsidRPr="00392CD2">
        <w:rPr>
          <w:i/>
          <w:iCs/>
          <w:noProof/>
          <w:vertAlign w:val="subscript"/>
          <w:lang w:val="es-ES"/>
        </w:rPr>
        <w:t>Y</w:t>
      </w:r>
      <w:r w:rsidRPr="00392CD2">
        <w:rPr>
          <w:iCs/>
          <w:noProof/>
          <w:lang w:val="es-ES"/>
        </w:rPr>
        <w:t>)</w:t>
      </w:r>
      <w:r w:rsidRPr="00392CD2">
        <w:rPr>
          <w:lang w:val="es-ES"/>
        </w:rPr>
        <w:t>, la relación de degradación se define como sigue:</w:t>
      </w:r>
    </w:p>
    <w:p w:rsidR="00DD2438" w:rsidRPr="000E4C61" w:rsidRDefault="00DD2438" w:rsidP="00DD2438">
      <w:pPr>
        <w:pStyle w:val="Blanc"/>
        <w:rPr>
          <w:lang w:val="es-ES_tradnl"/>
        </w:rPr>
      </w:pPr>
    </w:p>
    <w:p w:rsidR="00E7517C" w:rsidRPr="00392CD2" w:rsidRDefault="00E7517C" w:rsidP="00E7517C">
      <w:pPr>
        <w:pStyle w:val="Equation"/>
        <w:rPr>
          <w:lang w:val="es-ES"/>
        </w:rPr>
      </w:pPr>
      <w:r w:rsidRPr="00392CD2">
        <w:rPr>
          <w:lang w:val="es-ES"/>
        </w:rPr>
        <w:tab/>
      </w:r>
      <w:r w:rsidRPr="00392CD2">
        <w:rPr>
          <w:lang w:val="es-ES"/>
        </w:rPr>
        <w:tab/>
      </w:r>
      <w:r w:rsidRPr="00392CD2">
        <w:rPr>
          <w:position w:val="-146"/>
          <w:lang w:val="es-ES"/>
        </w:rPr>
        <w:object w:dxaOrig="6195" w:dyaOrig="3045">
          <v:shape id="_x0000_i1035" type="#_x0000_t75" style="width:309.6pt;height:152pt" o:ole="">
            <v:imagedata r:id="rId33" o:title=""/>
          </v:shape>
          <o:OLEObject Type="Embed" ProgID="Equation.DSMT4" ShapeID="_x0000_i1035" DrawAspect="Content" ObjectID="_1475048271" r:id="rId34"/>
        </w:object>
      </w:r>
      <w:r w:rsidRPr="00392CD2">
        <w:rPr>
          <w:lang w:val="es-ES"/>
        </w:rPr>
        <w:tab/>
        <w:t>(8)</w:t>
      </w:r>
    </w:p>
    <w:p w:rsidR="00DD2438" w:rsidRPr="000E4C61" w:rsidRDefault="00DD2438" w:rsidP="00DD2438">
      <w:pPr>
        <w:pStyle w:val="Blanc"/>
        <w:rPr>
          <w:lang w:val="es-ES_tradnl"/>
        </w:rPr>
      </w:pPr>
    </w:p>
    <w:p w:rsidR="00E7517C" w:rsidRPr="00392CD2" w:rsidRDefault="00E7517C" w:rsidP="00E7517C">
      <w:pPr>
        <w:rPr>
          <w:lang w:val="es-ES"/>
        </w:rPr>
      </w:pPr>
      <w:r w:rsidRPr="00392CD2">
        <w:rPr>
          <w:lang w:val="es-ES"/>
        </w:rPr>
        <w:t xml:space="preserve">Si además el receptor es del tipo de límite estricto, </w:t>
      </w:r>
      <w:r w:rsidRPr="00392CD2">
        <w:rPr>
          <w:i/>
          <w:iCs/>
          <w:lang w:val="es-ES"/>
        </w:rPr>
        <w:t>N</w:t>
      </w:r>
      <w:r w:rsidRPr="00392CD2">
        <w:rPr>
          <w:i/>
          <w:iCs/>
          <w:vertAlign w:val="subscript"/>
          <w:lang w:val="es-ES"/>
        </w:rPr>
        <w:t>LIM</w:t>
      </w:r>
      <w:r w:rsidRPr="00392CD2">
        <w:rPr>
          <w:lang w:val="es-ES"/>
        </w:rPr>
        <w:t xml:space="preserve"> = 1 y </w:t>
      </w:r>
      <w:r w:rsidRPr="00392CD2">
        <w:rPr>
          <w:i/>
          <w:iCs/>
          <w:lang w:val="es-ES"/>
        </w:rPr>
        <w:t>R</w:t>
      </w:r>
      <w:r w:rsidRPr="00392CD2">
        <w:rPr>
          <w:i/>
          <w:iCs/>
          <w:vertAlign w:val="subscript"/>
          <w:lang w:val="es-ES"/>
        </w:rPr>
        <w:t>Y</w:t>
      </w:r>
      <w:r w:rsidRPr="00392CD2">
        <w:rPr>
          <w:lang w:val="es-ES"/>
        </w:rPr>
        <w:t xml:space="preserve"> </w:t>
      </w:r>
      <w:r w:rsidRPr="00392CD2">
        <w:rPr>
          <w:lang w:val="es-ES"/>
        </w:rPr>
        <w:sym w:font="Symbol" w:char="F040"/>
      </w:r>
      <w:r w:rsidRPr="00392CD2">
        <w:rPr>
          <w:lang w:val="es-ES"/>
        </w:rPr>
        <w:t xml:space="preserve"> 0, entonces la relación de degradación pasa a ser idéntica a la ecuación (7a), es decir:</w:t>
      </w:r>
    </w:p>
    <w:p w:rsidR="00DD2438" w:rsidRPr="000E4C61" w:rsidRDefault="00DD2438" w:rsidP="00DD2438">
      <w:pPr>
        <w:pStyle w:val="Blanc"/>
        <w:rPr>
          <w:lang w:val="es-ES_tradnl"/>
        </w:rPr>
      </w:pPr>
    </w:p>
    <w:p w:rsidR="00E7517C" w:rsidRPr="00392CD2" w:rsidRDefault="00E7517C" w:rsidP="00E7517C">
      <w:pPr>
        <w:pStyle w:val="Equation"/>
        <w:rPr>
          <w:lang w:val="es-ES"/>
        </w:rPr>
      </w:pPr>
      <w:r w:rsidRPr="00392CD2">
        <w:rPr>
          <w:lang w:val="es-ES"/>
        </w:rPr>
        <w:tab/>
      </w:r>
      <w:r w:rsidRPr="00392CD2">
        <w:rPr>
          <w:lang w:val="es-ES"/>
        </w:rPr>
        <w:tab/>
      </w:r>
      <w:r w:rsidRPr="00392CD2">
        <w:rPr>
          <w:position w:val="-32"/>
          <w:lang w:val="es-ES"/>
        </w:rPr>
        <w:object w:dxaOrig="2940" w:dyaOrig="700">
          <v:shape id="_x0000_i1036" type="#_x0000_t75" style="width:147.6pt;height:36pt" o:ole="">
            <v:imagedata r:id="rId35" o:title=""/>
          </v:shape>
          <o:OLEObject Type="Embed" ProgID="Equation.3" ShapeID="_x0000_i1036" DrawAspect="Content" ObjectID="_1475048272" r:id="rId36"/>
        </w:object>
      </w:r>
      <w:r w:rsidRPr="00392CD2">
        <w:rPr>
          <w:lang w:val="es-ES"/>
        </w:rPr>
        <w:tab/>
      </w:r>
    </w:p>
    <w:p w:rsidR="00DD2438" w:rsidRDefault="00DD2438" w:rsidP="00DD2438">
      <w:pPr>
        <w:pStyle w:val="Blanc"/>
      </w:pPr>
    </w:p>
    <w:p w:rsidR="00E7517C" w:rsidRPr="00392CD2" w:rsidRDefault="00E7517C" w:rsidP="00E7517C">
      <w:pPr>
        <w:pStyle w:val="Heading1"/>
        <w:rPr>
          <w:lang w:val="es-ES"/>
        </w:rPr>
      </w:pPr>
      <w:r w:rsidRPr="00392CD2">
        <w:rPr>
          <w:lang w:val="es-ES"/>
        </w:rPr>
        <w:t>4</w:t>
      </w:r>
      <w:r w:rsidRPr="00392CD2">
        <w:rPr>
          <w:lang w:val="es-ES"/>
        </w:rPr>
        <w:tab/>
        <w:t>Relaciones de degradación admisibles y parámetros del método de evaluación asociado</w:t>
      </w:r>
    </w:p>
    <w:p w:rsidR="00E7517C" w:rsidRPr="00392CD2" w:rsidRDefault="00E7517C" w:rsidP="00E7517C">
      <w:pPr>
        <w:ind w:right="-142"/>
        <w:rPr>
          <w:lang w:val="es-ES"/>
        </w:rPr>
      </w:pPr>
      <w:r w:rsidRPr="00392CD2">
        <w:rPr>
          <w:lang w:val="es-ES"/>
        </w:rPr>
        <w:t>El Cuadro 1 presenta los parámetros del método básico y las relaciones de degradación admisible</w:t>
      </w:r>
      <w:r w:rsidRPr="00392CD2">
        <w:rPr>
          <w:rStyle w:val="FootnoteReference"/>
          <w:lang w:val="es-ES"/>
        </w:rPr>
        <w:footnoteReference w:id="10"/>
      </w:r>
      <w:r w:rsidRPr="00392CD2">
        <w:rPr>
          <w:lang w:val="es-ES"/>
        </w:rPr>
        <w:t xml:space="preserve"> que deben utilizarse para realizar una evaluación preliminar de la posible interferencia impulsiva causada por fuentes radioeléctricas pertinentes distintas de las del SRNS a un sistema o una red del SRNS que funciona en la banda 1 164-1 215 MHz. Los tipos de receptor del SRNS del cuadro se han extraí</w:t>
      </w:r>
      <w:r>
        <w:rPr>
          <w:lang w:val="es-ES"/>
        </w:rPr>
        <w:t>do de la Recomendación UIT-R M.</w:t>
      </w:r>
      <w:r w:rsidRPr="00392CD2">
        <w:rPr>
          <w:lang w:val="es-ES"/>
        </w:rPr>
        <w:t>1905. Si el análisis de una fuente de interferencia impulsiva adicional arroja un valor de la relación de degradación en dB (10 log</w:t>
      </w:r>
      <w:r w:rsidRPr="00392CD2">
        <w:rPr>
          <w:vertAlign w:val="subscript"/>
          <w:lang w:val="es-ES"/>
        </w:rPr>
        <w:t>10</w:t>
      </w:r>
      <w:r w:rsidRPr="00392CD2">
        <w:rPr>
          <w:lang w:val="es-ES"/>
        </w:rPr>
        <w:t>(</w:t>
      </w:r>
      <w:r w:rsidRPr="00392CD2">
        <w:rPr>
          <w:i/>
          <w:lang w:val="es-ES"/>
        </w:rPr>
        <w:t>N</w:t>
      </w:r>
      <w:r w:rsidRPr="00392CD2">
        <w:rPr>
          <w:vertAlign w:val="subscript"/>
          <w:lang w:val="es-ES"/>
        </w:rPr>
        <w:t>0</w:t>
      </w:r>
      <w:r w:rsidRPr="00392CD2">
        <w:rPr>
          <w:i/>
          <w:vertAlign w:val="subscript"/>
          <w:lang w:val="es-ES"/>
        </w:rPr>
        <w:t>,EFF+Y</w:t>
      </w:r>
      <w:r w:rsidRPr="00392CD2">
        <w:rPr>
          <w:i/>
          <w:lang w:val="es-ES"/>
        </w:rPr>
        <w:t>/N</w:t>
      </w:r>
      <w:r w:rsidRPr="00392CD2">
        <w:rPr>
          <w:vertAlign w:val="subscript"/>
          <w:lang w:val="es-ES"/>
        </w:rPr>
        <w:t>0</w:t>
      </w:r>
      <w:r w:rsidRPr="00392CD2">
        <w:rPr>
          <w:i/>
          <w:vertAlign w:val="subscript"/>
          <w:lang w:val="es-ES"/>
        </w:rPr>
        <w:t>,EFF</w:t>
      </w:r>
      <w:r w:rsidRPr="00392CD2">
        <w:rPr>
          <w:lang w:val="es-ES"/>
        </w:rPr>
        <w:t xml:space="preserve">)) que rebasa la relación de degradación admisible de un receptor del SRNS en el Cuadro 1, puede que sea necesario realizar un análisis más detallado de la repercusión de la interferencia impulsiva adicional a fin de determinar si la nueva interferencia es aceptable o no por el receptor del SRNS víctima. Los parámetros del método de RFI impulsiva básica indicados, </w:t>
      </w:r>
      <w:r w:rsidRPr="00392CD2">
        <w:rPr>
          <w:i/>
          <w:lang w:val="es-ES"/>
        </w:rPr>
        <w:t>PDC</w:t>
      </w:r>
      <w:r w:rsidRPr="00392CD2">
        <w:rPr>
          <w:lang w:val="es-ES"/>
        </w:rPr>
        <w:t xml:space="preserve"> y </w:t>
      </w:r>
      <w:r w:rsidRPr="00392CD2">
        <w:rPr>
          <w:i/>
          <w:lang w:val="es-ES"/>
        </w:rPr>
        <w:t>R</w:t>
      </w:r>
      <w:r w:rsidRPr="00392CD2">
        <w:rPr>
          <w:i/>
          <w:vertAlign w:val="subscript"/>
          <w:lang w:val="es-ES"/>
        </w:rPr>
        <w:t>I</w:t>
      </w:r>
      <w:r w:rsidRPr="00392CD2">
        <w:rPr>
          <w:lang w:val="es-ES"/>
        </w:rPr>
        <w:t xml:space="preserve">, y los parámetros continuos, </w:t>
      </w:r>
      <w:r w:rsidRPr="00392CD2">
        <w:rPr>
          <w:i/>
          <w:lang w:val="es-ES"/>
        </w:rPr>
        <w:t>I</w:t>
      </w:r>
      <w:r w:rsidRPr="00392CD2">
        <w:rPr>
          <w:vertAlign w:val="subscript"/>
          <w:lang w:val="es-ES"/>
        </w:rPr>
        <w:t>0</w:t>
      </w:r>
      <w:r w:rsidRPr="00392CD2">
        <w:rPr>
          <w:i/>
          <w:vertAlign w:val="subscript"/>
          <w:lang w:val="es-ES"/>
        </w:rPr>
        <w:t>,WB</w:t>
      </w:r>
      <w:r w:rsidRPr="00392CD2">
        <w:rPr>
          <w:i/>
          <w:lang w:val="es-ES"/>
        </w:rPr>
        <w:t>/N</w:t>
      </w:r>
      <w:r w:rsidRPr="00392CD2">
        <w:rPr>
          <w:vertAlign w:val="subscript"/>
          <w:lang w:val="es-ES"/>
        </w:rPr>
        <w:t>0</w:t>
      </w:r>
      <w:r w:rsidRPr="00392CD2">
        <w:rPr>
          <w:lang w:val="es-ES"/>
        </w:rPr>
        <w:t>, deben emplearse en la ecuación de relación de degradación adecuada (ecuación 6 para los receptores del SRNS con supresión de impulsos (</w:t>
      </w:r>
      <w:r w:rsidRPr="00392CD2">
        <w:rPr>
          <w:i/>
          <w:lang w:val="es-ES"/>
        </w:rPr>
        <w:t>N</w:t>
      </w:r>
      <w:r w:rsidRPr="00392CD2">
        <w:rPr>
          <w:i/>
          <w:vertAlign w:val="subscript"/>
          <w:lang w:val="es-ES"/>
        </w:rPr>
        <w:t>LIM</w:t>
      </w:r>
      <w:r w:rsidRPr="00392CD2">
        <w:rPr>
          <w:lang w:val="es-ES"/>
        </w:rPr>
        <w:t xml:space="preserve"> =</w:t>
      </w:r>
      <w:r w:rsidR="001A461C">
        <w:rPr>
          <w:lang w:val="es-ES"/>
        </w:rPr>
        <w:t xml:space="preserve"> </w:t>
      </w:r>
      <w:r w:rsidRPr="00392CD2">
        <w:rPr>
          <w:lang w:val="es-ES"/>
        </w:rPr>
        <w:t>0)</w:t>
      </w:r>
      <w:r w:rsidRPr="00D23F8A">
        <w:rPr>
          <w:lang w:val="es-ES"/>
        </w:rPr>
        <w:t xml:space="preserve"> </w:t>
      </w:r>
      <w:r w:rsidRPr="00392CD2">
        <w:rPr>
          <w:lang w:val="es-ES"/>
        </w:rPr>
        <w:t>, o ecuación 7, 7a u 8 para receptores del SRNS en saturación (</w:t>
      </w:r>
      <w:r w:rsidRPr="00392CD2">
        <w:rPr>
          <w:i/>
          <w:lang w:val="es-ES"/>
        </w:rPr>
        <w:t>N</w:t>
      </w:r>
      <w:r w:rsidRPr="00392CD2">
        <w:rPr>
          <w:i/>
          <w:vertAlign w:val="subscript"/>
          <w:lang w:val="es-ES"/>
        </w:rPr>
        <w:t>LIM</w:t>
      </w:r>
      <w:r w:rsidRPr="00392CD2">
        <w:rPr>
          <w:lang w:val="es-ES"/>
        </w:rPr>
        <w:t> </w:t>
      </w:r>
      <w:r w:rsidRPr="00392CD2">
        <w:rPr>
          <w:lang w:val="es-ES"/>
        </w:rPr>
        <w:sym w:font="Symbol" w:char="F0B3"/>
      </w:r>
      <w:r w:rsidRPr="00392CD2">
        <w:rPr>
          <w:lang w:val="es-ES"/>
        </w:rPr>
        <w:t xml:space="preserve"> 1)). Los parámetros del impulso para la nueva fuente (o grupo de fuentes) de RFI impulsiva en las ecuaciones de degradación pueden calcularse haciendo uso de un método </w:t>
      </w:r>
      <w:r>
        <w:rPr>
          <w:lang w:val="es-ES"/>
        </w:rPr>
        <w:t>descrito en el Informe UIT-R M.</w:t>
      </w:r>
      <w:r w:rsidRPr="00392CD2">
        <w:rPr>
          <w:lang w:val="es-ES"/>
        </w:rPr>
        <w:t>2220.</w:t>
      </w:r>
    </w:p>
    <w:p w:rsidR="00E7517C" w:rsidRPr="00392CD2" w:rsidRDefault="00E7517C" w:rsidP="00E7517C">
      <w:pPr>
        <w:pStyle w:val="TableNo"/>
        <w:rPr>
          <w:lang w:val="es-ES" w:eastAsia="ru-RU"/>
        </w:rPr>
      </w:pPr>
      <w:r w:rsidRPr="00392CD2">
        <w:rPr>
          <w:lang w:val="es-ES" w:eastAsia="ru-RU"/>
        </w:rPr>
        <w:lastRenderedPageBreak/>
        <w:t>CUADRO 1</w:t>
      </w:r>
    </w:p>
    <w:p w:rsidR="00E7517C" w:rsidRPr="00392CD2" w:rsidRDefault="00E7517C" w:rsidP="00FB0FDC">
      <w:pPr>
        <w:pStyle w:val="Tabletitle"/>
        <w:rPr>
          <w:lang w:val="es-ES"/>
        </w:rPr>
      </w:pPr>
      <w:r w:rsidRPr="00392CD2">
        <w:rPr>
          <w:lang w:val="es-ES"/>
        </w:rPr>
        <w:t>Parámetros del método de la RFI impulsiva básica y relaciones</w:t>
      </w:r>
      <w:r w:rsidR="00A84FE2">
        <w:rPr>
          <w:lang w:val="es-ES"/>
        </w:rPr>
        <w:t xml:space="preserve"> </w:t>
      </w:r>
      <w:r w:rsidRPr="00392CD2">
        <w:rPr>
          <w:lang w:val="es-ES"/>
        </w:rPr>
        <w:t>de</w:t>
      </w:r>
      <w:r w:rsidR="00FB0FDC">
        <w:rPr>
          <w:lang w:val="es-ES"/>
        </w:rPr>
        <w:t xml:space="preserve"> </w:t>
      </w:r>
      <w:r w:rsidRPr="00392CD2">
        <w:rPr>
          <w:lang w:val="es-ES"/>
        </w:rPr>
        <w:t>degradación</w:t>
      </w:r>
      <w:r w:rsidR="00FB0FDC">
        <w:rPr>
          <w:lang w:val="es-ES"/>
        </w:rPr>
        <w:br/>
      </w:r>
      <w:r w:rsidRPr="00392CD2">
        <w:rPr>
          <w:lang w:val="es-ES"/>
        </w:rPr>
        <w:t>admisibles para receptores del SRNS (espacio-Tierra)</w:t>
      </w:r>
      <w:r w:rsidR="00A84FE2">
        <w:rPr>
          <w:lang w:val="es-ES"/>
        </w:rPr>
        <w:br/>
      </w:r>
      <w:r w:rsidRPr="00392CD2">
        <w:rPr>
          <w:lang w:val="es-ES"/>
        </w:rPr>
        <w:t>que funcionan en la banda 1 164</w:t>
      </w:r>
      <w:r w:rsidRPr="00392CD2">
        <w:rPr>
          <w:lang w:val="es-ES"/>
        </w:rPr>
        <w:noBreakHyphen/>
        <w:t>1 215 MHz*</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8"/>
        <w:gridCol w:w="1078"/>
        <w:gridCol w:w="1192"/>
        <w:gridCol w:w="1192"/>
        <w:gridCol w:w="1192"/>
        <w:gridCol w:w="2552"/>
      </w:tblGrid>
      <w:tr w:rsidR="00E7517C" w:rsidRPr="00D92AE2" w:rsidTr="003C088F">
        <w:trPr>
          <w:jc w:val="center"/>
        </w:trPr>
        <w:tc>
          <w:tcPr>
            <w:tcW w:w="2438" w:type="dxa"/>
            <w:tcBorders>
              <w:top w:val="single" w:sz="4" w:space="0" w:color="auto"/>
              <w:left w:val="single" w:sz="4" w:space="0" w:color="auto"/>
              <w:bottom w:val="single" w:sz="4" w:space="0" w:color="auto"/>
              <w:right w:val="single" w:sz="4" w:space="0" w:color="auto"/>
            </w:tcBorders>
            <w:vAlign w:val="center"/>
          </w:tcPr>
          <w:p w:rsidR="00E7517C" w:rsidRPr="00392CD2" w:rsidRDefault="00E7517C" w:rsidP="003C088F">
            <w:pPr>
              <w:pStyle w:val="Tablehead"/>
              <w:spacing w:before="40" w:after="40"/>
              <w:rPr>
                <w:lang w:val="es-ES" w:eastAsia="zh-CN"/>
              </w:rPr>
            </w:pPr>
            <w:r w:rsidRPr="00392CD2">
              <w:rPr>
                <w:lang w:val="es-ES" w:eastAsia="zh-CN"/>
              </w:rPr>
              <w:t>Tipo de receptor</w:t>
            </w:r>
          </w:p>
        </w:tc>
        <w:tc>
          <w:tcPr>
            <w:tcW w:w="1077" w:type="dxa"/>
            <w:tcBorders>
              <w:top w:val="single" w:sz="4" w:space="0" w:color="auto"/>
              <w:left w:val="single" w:sz="4" w:space="0" w:color="auto"/>
              <w:bottom w:val="single" w:sz="4" w:space="0" w:color="auto"/>
              <w:right w:val="single" w:sz="4" w:space="0" w:color="auto"/>
            </w:tcBorders>
          </w:tcPr>
          <w:p w:rsidR="00E7517C" w:rsidRPr="00392CD2" w:rsidRDefault="00E7517C" w:rsidP="003C088F">
            <w:pPr>
              <w:pStyle w:val="Tablehead"/>
              <w:spacing w:before="40" w:after="40"/>
              <w:rPr>
                <w:lang w:val="es-ES" w:eastAsia="zh-CN"/>
              </w:rPr>
            </w:pPr>
            <w:r w:rsidRPr="00392CD2">
              <w:rPr>
                <w:i/>
                <w:iCs/>
                <w:lang w:val="es-ES" w:eastAsia="zh-CN"/>
              </w:rPr>
              <w:t>N</w:t>
            </w:r>
            <w:r w:rsidRPr="00392CD2">
              <w:rPr>
                <w:i/>
                <w:iCs/>
                <w:vertAlign w:val="subscript"/>
                <w:lang w:val="es-ES" w:eastAsia="zh-CN"/>
              </w:rPr>
              <w:t>LIM</w:t>
            </w:r>
            <w:r w:rsidRPr="00392CD2">
              <w:rPr>
                <w:iCs/>
                <w:vertAlign w:val="subscript"/>
                <w:lang w:val="es-ES" w:eastAsia="zh-CN"/>
              </w:rPr>
              <w:br/>
            </w:r>
            <w:r w:rsidRPr="00392CD2">
              <w:rPr>
                <w:iCs/>
                <w:lang w:val="es-ES" w:eastAsia="zh-CN"/>
              </w:rPr>
              <w:t>(adimen</w:t>
            </w:r>
            <w:r>
              <w:rPr>
                <w:iCs/>
                <w:lang w:val="es-ES" w:eastAsia="zh-CN"/>
              </w:rPr>
              <w:t>-</w:t>
            </w:r>
            <w:r w:rsidRPr="00392CD2">
              <w:rPr>
                <w:iCs/>
                <w:lang w:val="es-ES" w:eastAsia="zh-CN"/>
              </w:rPr>
              <w:t xml:space="preserve">sional) </w:t>
            </w:r>
            <w:r w:rsidRPr="00392CD2">
              <w:rPr>
                <w:iCs/>
                <w:lang w:val="es-ES" w:eastAsia="zh-CN"/>
              </w:rPr>
              <w:br/>
              <w:t>(Nota 4)</w:t>
            </w:r>
          </w:p>
        </w:tc>
        <w:tc>
          <w:tcPr>
            <w:tcW w:w="1191" w:type="dxa"/>
            <w:tcBorders>
              <w:top w:val="single" w:sz="4" w:space="0" w:color="auto"/>
              <w:left w:val="single" w:sz="4" w:space="0" w:color="auto"/>
              <w:bottom w:val="single" w:sz="4" w:space="0" w:color="auto"/>
              <w:right w:val="single" w:sz="4" w:space="0" w:color="auto"/>
            </w:tcBorders>
          </w:tcPr>
          <w:p w:rsidR="00E7517C" w:rsidRPr="00392CD2" w:rsidRDefault="00E7517C" w:rsidP="00916361">
            <w:pPr>
              <w:pStyle w:val="Tablehead"/>
              <w:spacing w:before="40" w:after="40"/>
              <w:rPr>
                <w:lang w:val="es-ES" w:eastAsia="zh-CN"/>
              </w:rPr>
            </w:pPr>
            <w:r w:rsidRPr="00392CD2">
              <w:rPr>
                <w:i/>
                <w:lang w:val="es-ES" w:eastAsia="zh-CN"/>
              </w:rPr>
              <w:t>PDC</w:t>
            </w:r>
            <w:r w:rsidRPr="00392CD2">
              <w:rPr>
                <w:lang w:val="es-ES" w:eastAsia="zh-CN"/>
              </w:rPr>
              <w:t xml:space="preserve"> básico</w:t>
            </w:r>
            <w:r w:rsidR="00916361">
              <w:rPr>
                <w:lang w:val="es-ES" w:eastAsia="zh-CN"/>
              </w:rPr>
              <w:br/>
            </w:r>
            <w:r w:rsidRPr="00392CD2">
              <w:rPr>
                <w:iCs/>
                <w:lang w:val="es-ES" w:eastAsia="zh-CN"/>
              </w:rPr>
              <w:t>(adimen</w:t>
            </w:r>
            <w:r>
              <w:rPr>
                <w:iCs/>
                <w:lang w:val="es-ES" w:eastAsia="zh-CN"/>
              </w:rPr>
              <w:t>-</w:t>
            </w:r>
            <w:r w:rsidRPr="00392CD2">
              <w:rPr>
                <w:iCs/>
                <w:lang w:val="es-ES" w:eastAsia="zh-CN"/>
              </w:rPr>
              <w:t>sional)</w:t>
            </w:r>
          </w:p>
        </w:tc>
        <w:tc>
          <w:tcPr>
            <w:tcW w:w="1191" w:type="dxa"/>
            <w:tcBorders>
              <w:top w:val="single" w:sz="4" w:space="0" w:color="auto"/>
              <w:left w:val="single" w:sz="4" w:space="0" w:color="auto"/>
              <w:bottom w:val="single" w:sz="4" w:space="0" w:color="auto"/>
              <w:right w:val="single" w:sz="4" w:space="0" w:color="auto"/>
            </w:tcBorders>
          </w:tcPr>
          <w:p w:rsidR="00E7517C" w:rsidRPr="00392CD2" w:rsidRDefault="00E7517C" w:rsidP="00CC7782">
            <w:pPr>
              <w:pStyle w:val="Tablehead"/>
              <w:spacing w:before="40" w:after="40"/>
              <w:rPr>
                <w:iCs/>
                <w:lang w:val="es-ES" w:eastAsia="zh-CN"/>
              </w:rPr>
            </w:pPr>
            <w:r w:rsidRPr="00392CD2">
              <w:rPr>
                <w:i/>
                <w:lang w:val="es-ES" w:eastAsia="zh-CN"/>
              </w:rPr>
              <w:t>R</w:t>
            </w:r>
            <w:r w:rsidRPr="00392CD2">
              <w:rPr>
                <w:i/>
                <w:vertAlign w:val="subscript"/>
                <w:lang w:val="es-ES" w:eastAsia="zh-CN"/>
              </w:rPr>
              <w:t xml:space="preserve">I </w:t>
            </w:r>
            <w:r w:rsidRPr="00392CD2">
              <w:rPr>
                <w:iCs/>
                <w:lang w:val="es-ES" w:eastAsia="zh-CN"/>
              </w:rPr>
              <w:t>básica (adimen</w:t>
            </w:r>
            <w:r>
              <w:rPr>
                <w:iCs/>
                <w:lang w:val="es-ES" w:eastAsia="zh-CN"/>
              </w:rPr>
              <w:t>-</w:t>
            </w:r>
            <w:r w:rsidRPr="00392CD2">
              <w:rPr>
                <w:iCs/>
                <w:lang w:val="es-ES" w:eastAsia="zh-CN"/>
              </w:rPr>
              <w:t>sional)</w:t>
            </w:r>
          </w:p>
        </w:tc>
        <w:tc>
          <w:tcPr>
            <w:tcW w:w="1191" w:type="dxa"/>
            <w:tcBorders>
              <w:top w:val="single" w:sz="4" w:space="0" w:color="auto"/>
              <w:left w:val="single" w:sz="4" w:space="0" w:color="auto"/>
              <w:bottom w:val="single" w:sz="4" w:space="0" w:color="auto"/>
              <w:right w:val="single" w:sz="4" w:space="0" w:color="auto"/>
            </w:tcBorders>
          </w:tcPr>
          <w:p w:rsidR="00E7517C" w:rsidRPr="00392CD2" w:rsidRDefault="00E7517C" w:rsidP="00CC7782">
            <w:pPr>
              <w:pStyle w:val="Tablehead"/>
              <w:spacing w:before="40" w:after="40"/>
              <w:rPr>
                <w:lang w:val="es-ES" w:eastAsia="zh-CN"/>
              </w:rPr>
            </w:pPr>
            <w:r w:rsidRPr="00392CD2">
              <w:rPr>
                <w:lang w:val="es-ES" w:eastAsia="zh-CN"/>
              </w:rPr>
              <w:t xml:space="preserve">Relación </w:t>
            </w:r>
            <w:r w:rsidRPr="00392CD2">
              <w:rPr>
                <w:i/>
                <w:lang w:val="es-ES" w:eastAsia="zh-CN"/>
              </w:rPr>
              <w:t>I</w:t>
            </w:r>
            <w:r w:rsidRPr="00392CD2">
              <w:rPr>
                <w:i/>
                <w:vertAlign w:val="subscript"/>
                <w:lang w:val="es-ES" w:eastAsia="zh-CN"/>
              </w:rPr>
              <w:t>0,WB</w:t>
            </w:r>
            <w:r w:rsidRPr="00392CD2">
              <w:rPr>
                <w:i/>
                <w:lang w:val="es-ES" w:eastAsia="zh-CN"/>
              </w:rPr>
              <w:t>/N</w:t>
            </w:r>
            <w:r w:rsidRPr="00392CD2">
              <w:rPr>
                <w:i/>
                <w:vertAlign w:val="subscript"/>
                <w:lang w:val="es-ES" w:eastAsia="zh-CN"/>
              </w:rPr>
              <w:t>0</w:t>
            </w:r>
            <w:r w:rsidRPr="00392CD2">
              <w:rPr>
                <w:lang w:val="es-ES" w:eastAsia="zh-CN"/>
              </w:rPr>
              <w:t xml:space="preserve"> básica </w:t>
            </w:r>
            <w:r w:rsidRPr="00392CD2">
              <w:rPr>
                <w:iCs/>
                <w:lang w:val="es-ES" w:eastAsia="zh-CN"/>
              </w:rPr>
              <w:t>(adimen</w:t>
            </w:r>
            <w:r>
              <w:rPr>
                <w:iCs/>
                <w:lang w:val="es-ES" w:eastAsia="zh-CN"/>
              </w:rPr>
              <w:t>-</w:t>
            </w:r>
            <w:r w:rsidRPr="00392CD2">
              <w:rPr>
                <w:iCs/>
                <w:lang w:val="es-ES" w:eastAsia="zh-CN"/>
              </w:rPr>
              <w:t>sional)</w:t>
            </w:r>
          </w:p>
        </w:tc>
        <w:tc>
          <w:tcPr>
            <w:tcW w:w="2551" w:type="dxa"/>
            <w:tcBorders>
              <w:top w:val="single" w:sz="4" w:space="0" w:color="auto"/>
              <w:left w:val="single" w:sz="4" w:space="0" w:color="auto"/>
              <w:bottom w:val="single" w:sz="4" w:space="0" w:color="auto"/>
              <w:right w:val="single" w:sz="4" w:space="0" w:color="auto"/>
            </w:tcBorders>
          </w:tcPr>
          <w:p w:rsidR="00E7517C" w:rsidRPr="00392CD2" w:rsidRDefault="00E7517C" w:rsidP="003C088F">
            <w:pPr>
              <w:pStyle w:val="Tablehead"/>
              <w:spacing w:before="40" w:after="40"/>
              <w:rPr>
                <w:lang w:val="es-ES" w:eastAsia="zh-CN"/>
              </w:rPr>
            </w:pPr>
            <w:r>
              <w:rPr>
                <w:lang w:val="es-ES" w:eastAsia="zh-CN"/>
              </w:rPr>
              <w:t>Relación de degradación</w:t>
            </w:r>
            <w:r w:rsidRPr="00392CD2">
              <w:rPr>
                <w:lang w:val="es-ES" w:eastAsia="zh-CN"/>
              </w:rPr>
              <w:t xml:space="preserve"> admisible para fuentes de impulsos</w:t>
            </w:r>
            <w:r w:rsidR="003C088F">
              <w:rPr>
                <w:lang w:val="es-ES" w:eastAsia="zh-CN"/>
              </w:rPr>
              <w:br/>
            </w:r>
            <w:r w:rsidRPr="00392CD2">
              <w:rPr>
                <w:lang w:val="es-ES" w:eastAsia="zh-CN"/>
              </w:rPr>
              <w:t>(dB)</w:t>
            </w:r>
            <w:r w:rsidRPr="00392CD2">
              <w:rPr>
                <w:lang w:val="es-ES" w:eastAsia="zh-CN"/>
              </w:rPr>
              <w:br/>
              <w:t>(Notas 2, 3)</w:t>
            </w:r>
          </w:p>
        </w:tc>
      </w:tr>
      <w:tr w:rsidR="00E7517C" w:rsidRPr="00392CD2" w:rsidTr="003C088F">
        <w:trPr>
          <w:jc w:val="center"/>
        </w:trPr>
        <w:tc>
          <w:tcPr>
            <w:tcW w:w="2438" w:type="dxa"/>
            <w:tcBorders>
              <w:top w:val="single" w:sz="4" w:space="0" w:color="auto"/>
              <w:left w:val="single" w:sz="4" w:space="0" w:color="auto"/>
              <w:bottom w:val="single" w:sz="4" w:space="0" w:color="auto"/>
              <w:right w:val="single" w:sz="4" w:space="0" w:color="auto"/>
            </w:tcBorders>
          </w:tcPr>
          <w:p w:rsidR="00E7517C" w:rsidRPr="00392CD2" w:rsidRDefault="00E7517C" w:rsidP="00CC7782">
            <w:pPr>
              <w:pStyle w:val="Tabletext"/>
              <w:jc w:val="left"/>
              <w:rPr>
                <w:lang w:val="es-ES" w:eastAsia="zh-CN"/>
              </w:rPr>
            </w:pPr>
            <w:r w:rsidRPr="00392CD2">
              <w:rPr>
                <w:lang w:val="es-ES" w:eastAsia="zh-CN"/>
              </w:rPr>
              <w:t>Receptor de navegación aérea #1 (AMDC) (Notas 1, 5)</w:t>
            </w:r>
          </w:p>
        </w:tc>
        <w:tc>
          <w:tcPr>
            <w:tcW w:w="1077" w:type="dxa"/>
            <w:tcBorders>
              <w:top w:val="single" w:sz="4" w:space="0" w:color="auto"/>
              <w:left w:val="single" w:sz="4" w:space="0" w:color="auto"/>
              <w:bottom w:val="single" w:sz="4" w:space="0" w:color="auto"/>
              <w:right w:val="single" w:sz="4" w:space="0" w:color="auto"/>
            </w:tcBorders>
          </w:tcPr>
          <w:p w:rsidR="00E7517C" w:rsidRPr="00392CD2" w:rsidRDefault="00E7517C" w:rsidP="00CC7782">
            <w:pPr>
              <w:pStyle w:val="Tabletext"/>
              <w:jc w:val="center"/>
              <w:rPr>
                <w:lang w:val="es-ES" w:eastAsia="zh-CN"/>
              </w:rPr>
            </w:pPr>
            <w:r w:rsidRPr="00392CD2">
              <w:rPr>
                <w:lang w:val="es-ES" w:eastAsia="zh-CN"/>
              </w:rPr>
              <w:t>0</w:t>
            </w:r>
          </w:p>
        </w:tc>
        <w:tc>
          <w:tcPr>
            <w:tcW w:w="1191" w:type="dxa"/>
            <w:tcBorders>
              <w:top w:val="single" w:sz="4" w:space="0" w:color="auto"/>
              <w:left w:val="single" w:sz="4" w:space="0" w:color="auto"/>
              <w:bottom w:val="single" w:sz="4" w:space="0" w:color="auto"/>
              <w:right w:val="single" w:sz="4" w:space="0" w:color="auto"/>
            </w:tcBorders>
          </w:tcPr>
          <w:p w:rsidR="00E7517C" w:rsidRPr="00392CD2" w:rsidRDefault="00E7517C" w:rsidP="00CC7782">
            <w:pPr>
              <w:pStyle w:val="Tabletext"/>
              <w:jc w:val="center"/>
              <w:rPr>
                <w:lang w:val="es-ES" w:eastAsia="zh-CN"/>
              </w:rPr>
            </w:pPr>
            <w:r w:rsidRPr="00392CD2">
              <w:rPr>
                <w:lang w:val="es-ES" w:eastAsia="zh-CN"/>
              </w:rPr>
              <w:t>0,6527</w:t>
            </w:r>
          </w:p>
        </w:tc>
        <w:tc>
          <w:tcPr>
            <w:tcW w:w="1191" w:type="dxa"/>
            <w:tcBorders>
              <w:top w:val="single" w:sz="4" w:space="0" w:color="auto"/>
              <w:left w:val="single" w:sz="4" w:space="0" w:color="auto"/>
              <w:bottom w:val="single" w:sz="4" w:space="0" w:color="auto"/>
              <w:right w:val="single" w:sz="4" w:space="0" w:color="auto"/>
            </w:tcBorders>
          </w:tcPr>
          <w:p w:rsidR="00E7517C" w:rsidRPr="00392CD2" w:rsidRDefault="00E7517C" w:rsidP="00CC7782">
            <w:pPr>
              <w:pStyle w:val="Tabletext"/>
              <w:jc w:val="center"/>
              <w:rPr>
                <w:lang w:val="es-ES" w:eastAsia="zh-CN"/>
              </w:rPr>
            </w:pPr>
            <w:r w:rsidRPr="00392CD2">
              <w:rPr>
                <w:lang w:val="es-ES" w:eastAsia="zh-CN"/>
              </w:rPr>
              <w:t>0,9628</w:t>
            </w:r>
          </w:p>
        </w:tc>
        <w:tc>
          <w:tcPr>
            <w:tcW w:w="1191" w:type="dxa"/>
            <w:tcBorders>
              <w:top w:val="single" w:sz="4" w:space="0" w:color="auto"/>
              <w:left w:val="single" w:sz="4" w:space="0" w:color="auto"/>
              <w:bottom w:val="single" w:sz="4" w:space="0" w:color="auto"/>
              <w:right w:val="single" w:sz="4" w:space="0" w:color="auto"/>
            </w:tcBorders>
          </w:tcPr>
          <w:p w:rsidR="00E7517C" w:rsidRPr="00392CD2" w:rsidRDefault="00E7517C" w:rsidP="00CC7782">
            <w:pPr>
              <w:pStyle w:val="Tabletext"/>
              <w:jc w:val="center"/>
              <w:rPr>
                <w:lang w:val="es-ES" w:eastAsia="zh-CN"/>
              </w:rPr>
            </w:pPr>
            <w:r w:rsidRPr="00392CD2">
              <w:rPr>
                <w:lang w:val="es-ES" w:eastAsia="zh-CN"/>
              </w:rPr>
              <w:t>1,0551</w:t>
            </w:r>
          </w:p>
        </w:tc>
        <w:tc>
          <w:tcPr>
            <w:tcW w:w="2551" w:type="dxa"/>
            <w:tcBorders>
              <w:top w:val="single" w:sz="4" w:space="0" w:color="auto"/>
              <w:left w:val="single" w:sz="4" w:space="0" w:color="auto"/>
              <w:bottom w:val="single" w:sz="4" w:space="0" w:color="auto"/>
              <w:right w:val="single" w:sz="4" w:space="0" w:color="auto"/>
            </w:tcBorders>
          </w:tcPr>
          <w:p w:rsidR="00E7517C" w:rsidRPr="00392CD2" w:rsidRDefault="00E7517C" w:rsidP="00CC7782">
            <w:pPr>
              <w:pStyle w:val="Tabletext"/>
              <w:jc w:val="center"/>
              <w:rPr>
                <w:lang w:val="es-ES" w:eastAsia="zh-CN"/>
              </w:rPr>
            </w:pPr>
            <w:r w:rsidRPr="00392CD2">
              <w:rPr>
                <w:lang w:val="es-ES" w:eastAsia="zh-CN"/>
              </w:rPr>
              <w:t xml:space="preserve">0,1 </w:t>
            </w:r>
            <w:r w:rsidRPr="00392CD2">
              <w:rPr>
                <w:lang w:val="es-ES" w:eastAsia="zh-CN"/>
              </w:rPr>
              <w:br/>
            </w:r>
          </w:p>
        </w:tc>
      </w:tr>
      <w:tr w:rsidR="00E7517C" w:rsidRPr="00392CD2" w:rsidTr="003C088F">
        <w:trPr>
          <w:jc w:val="center"/>
        </w:trPr>
        <w:tc>
          <w:tcPr>
            <w:tcW w:w="2438" w:type="dxa"/>
            <w:tcBorders>
              <w:top w:val="single" w:sz="4" w:space="0" w:color="auto"/>
              <w:left w:val="single" w:sz="4" w:space="0" w:color="auto"/>
              <w:bottom w:val="single" w:sz="4" w:space="0" w:color="auto"/>
              <w:right w:val="single" w:sz="4" w:space="0" w:color="auto"/>
            </w:tcBorders>
          </w:tcPr>
          <w:p w:rsidR="00E7517C" w:rsidRPr="00392CD2" w:rsidRDefault="00E7517C" w:rsidP="003C088F">
            <w:pPr>
              <w:pStyle w:val="Tabletext"/>
              <w:jc w:val="left"/>
              <w:rPr>
                <w:lang w:val="es-ES" w:eastAsia="zh-CN"/>
              </w:rPr>
            </w:pPr>
            <w:r w:rsidRPr="00392CD2">
              <w:rPr>
                <w:lang w:val="es-ES" w:eastAsia="zh-CN"/>
              </w:rPr>
              <w:t>Receptor de navegación aérea #1 (AMDF) (Notas</w:t>
            </w:r>
            <w:r w:rsidR="003C088F">
              <w:rPr>
                <w:lang w:val="es-ES" w:eastAsia="zh-CN"/>
              </w:rPr>
              <w:t> </w:t>
            </w:r>
            <w:r w:rsidRPr="00392CD2">
              <w:rPr>
                <w:lang w:val="es-ES" w:eastAsia="zh-CN"/>
              </w:rPr>
              <w:t>1, 5)</w:t>
            </w:r>
          </w:p>
        </w:tc>
        <w:tc>
          <w:tcPr>
            <w:tcW w:w="1077" w:type="dxa"/>
            <w:tcBorders>
              <w:top w:val="single" w:sz="4" w:space="0" w:color="auto"/>
              <w:left w:val="single" w:sz="4" w:space="0" w:color="auto"/>
              <w:bottom w:val="single" w:sz="4" w:space="0" w:color="auto"/>
              <w:right w:val="single" w:sz="4" w:space="0" w:color="auto"/>
            </w:tcBorders>
          </w:tcPr>
          <w:p w:rsidR="00E7517C" w:rsidRPr="00392CD2" w:rsidRDefault="00E7517C" w:rsidP="00CC7782">
            <w:pPr>
              <w:pStyle w:val="Tabletext"/>
              <w:jc w:val="center"/>
              <w:rPr>
                <w:lang w:val="es-ES" w:eastAsia="zh-CN"/>
              </w:rPr>
            </w:pPr>
            <w:r w:rsidRPr="00392CD2">
              <w:rPr>
                <w:lang w:val="es-ES" w:eastAsia="zh-CN"/>
              </w:rPr>
              <w:t>1</w:t>
            </w:r>
          </w:p>
        </w:tc>
        <w:tc>
          <w:tcPr>
            <w:tcW w:w="1191" w:type="dxa"/>
            <w:tcBorders>
              <w:top w:val="single" w:sz="4" w:space="0" w:color="auto"/>
              <w:left w:val="single" w:sz="4" w:space="0" w:color="auto"/>
              <w:bottom w:val="single" w:sz="4" w:space="0" w:color="auto"/>
              <w:right w:val="single" w:sz="4" w:space="0" w:color="auto"/>
            </w:tcBorders>
          </w:tcPr>
          <w:p w:rsidR="00E7517C" w:rsidRPr="00392CD2" w:rsidRDefault="00E7517C" w:rsidP="00CC7782">
            <w:pPr>
              <w:pStyle w:val="Tabletext"/>
              <w:jc w:val="center"/>
              <w:rPr>
                <w:lang w:val="es-ES" w:eastAsia="zh-CN"/>
              </w:rPr>
            </w:pPr>
            <w:r w:rsidRPr="00392CD2">
              <w:rPr>
                <w:lang w:val="es-ES" w:eastAsia="zh-CN"/>
              </w:rPr>
              <w:t>0,6527</w:t>
            </w:r>
          </w:p>
        </w:tc>
        <w:tc>
          <w:tcPr>
            <w:tcW w:w="1191" w:type="dxa"/>
            <w:tcBorders>
              <w:top w:val="single" w:sz="4" w:space="0" w:color="auto"/>
              <w:left w:val="single" w:sz="4" w:space="0" w:color="auto"/>
              <w:bottom w:val="single" w:sz="4" w:space="0" w:color="auto"/>
              <w:right w:val="single" w:sz="4" w:space="0" w:color="auto"/>
            </w:tcBorders>
          </w:tcPr>
          <w:p w:rsidR="00E7517C" w:rsidRPr="00392CD2" w:rsidRDefault="00E7517C" w:rsidP="00CC7782">
            <w:pPr>
              <w:pStyle w:val="Tabletext"/>
              <w:jc w:val="center"/>
              <w:rPr>
                <w:lang w:val="es-ES" w:eastAsia="zh-CN"/>
              </w:rPr>
            </w:pPr>
            <w:r w:rsidRPr="00392CD2">
              <w:rPr>
                <w:lang w:val="es-ES" w:eastAsia="zh-CN"/>
              </w:rPr>
              <w:t>0,9628</w:t>
            </w:r>
          </w:p>
        </w:tc>
        <w:tc>
          <w:tcPr>
            <w:tcW w:w="1191" w:type="dxa"/>
            <w:tcBorders>
              <w:top w:val="single" w:sz="4" w:space="0" w:color="auto"/>
              <w:left w:val="single" w:sz="4" w:space="0" w:color="auto"/>
              <w:bottom w:val="single" w:sz="4" w:space="0" w:color="auto"/>
              <w:right w:val="single" w:sz="4" w:space="0" w:color="auto"/>
            </w:tcBorders>
          </w:tcPr>
          <w:p w:rsidR="00E7517C" w:rsidRPr="00392CD2" w:rsidRDefault="00E7517C" w:rsidP="00CC7782">
            <w:pPr>
              <w:pStyle w:val="Tabletext"/>
              <w:jc w:val="center"/>
              <w:rPr>
                <w:lang w:val="es-ES" w:eastAsia="zh-CN"/>
              </w:rPr>
            </w:pPr>
            <w:r w:rsidRPr="00392CD2">
              <w:rPr>
                <w:lang w:val="es-ES" w:eastAsia="zh-CN"/>
              </w:rPr>
              <w:t>0,455</w:t>
            </w:r>
          </w:p>
        </w:tc>
        <w:tc>
          <w:tcPr>
            <w:tcW w:w="2551" w:type="dxa"/>
            <w:tcBorders>
              <w:top w:val="single" w:sz="4" w:space="0" w:color="auto"/>
              <w:left w:val="single" w:sz="4" w:space="0" w:color="auto"/>
              <w:bottom w:val="single" w:sz="4" w:space="0" w:color="auto"/>
              <w:right w:val="single" w:sz="4" w:space="0" w:color="auto"/>
            </w:tcBorders>
          </w:tcPr>
          <w:p w:rsidR="00E7517C" w:rsidRPr="00392CD2" w:rsidRDefault="00E7517C" w:rsidP="00CC7782">
            <w:pPr>
              <w:pStyle w:val="Tabletext"/>
              <w:jc w:val="center"/>
              <w:rPr>
                <w:lang w:val="es-ES" w:eastAsia="zh-CN"/>
              </w:rPr>
            </w:pPr>
            <w:r w:rsidRPr="00392CD2">
              <w:rPr>
                <w:lang w:val="es-ES" w:eastAsia="zh-CN"/>
              </w:rPr>
              <w:t>0,1</w:t>
            </w:r>
          </w:p>
        </w:tc>
      </w:tr>
      <w:tr w:rsidR="00E7517C" w:rsidRPr="00392CD2" w:rsidTr="003C088F">
        <w:trPr>
          <w:jc w:val="center"/>
        </w:trPr>
        <w:tc>
          <w:tcPr>
            <w:tcW w:w="2438" w:type="dxa"/>
            <w:tcBorders>
              <w:top w:val="single" w:sz="4" w:space="0" w:color="auto"/>
              <w:left w:val="single" w:sz="4" w:space="0" w:color="auto"/>
              <w:bottom w:val="single" w:sz="4" w:space="0" w:color="auto"/>
              <w:right w:val="single" w:sz="4" w:space="0" w:color="auto"/>
            </w:tcBorders>
          </w:tcPr>
          <w:p w:rsidR="00E7517C" w:rsidRPr="00392CD2" w:rsidRDefault="00E7517C" w:rsidP="00CC7782">
            <w:pPr>
              <w:pStyle w:val="Tabletext"/>
              <w:jc w:val="left"/>
              <w:rPr>
                <w:lang w:val="es-ES" w:eastAsia="zh-CN"/>
              </w:rPr>
            </w:pPr>
            <w:r w:rsidRPr="00392CD2">
              <w:rPr>
                <w:lang w:val="es-ES" w:eastAsia="zh-CN"/>
              </w:rPr>
              <w:t>Alta precisión (AMDC) (Nota 5)</w:t>
            </w:r>
          </w:p>
        </w:tc>
        <w:tc>
          <w:tcPr>
            <w:tcW w:w="1077" w:type="dxa"/>
            <w:tcBorders>
              <w:top w:val="single" w:sz="4" w:space="0" w:color="auto"/>
              <w:left w:val="single" w:sz="4" w:space="0" w:color="auto"/>
              <w:bottom w:val="single" w:sz="4" w:space="0" w:color="auto"/>
              <w:right w:val="single" w:sz="4" w:space="0" w:color="auto"/>
            </w:tcBorders>
          </w:tcPr>
          <w:p w:rsidR="00E7517C" w:rsidRPr="00392CD2" w:rsidRDefault="00E7517C" w:rsidP="00CC7782">
            <w:pPr>
              <w:pStyle w:val="Tabletext"/>
              <w:jc w:val="center"/>
              <w:rPr>
                <w:lang w:val="es-ES" w:eastAsia="zh-CN"/>
              </w:rPr>
            </w:pPr>
            <w:r w:rsidRPr="00392CD2">
              <w:rPr>
                <w:lang w:val="es-ES" w:eastAsia="zh-CN"/>
              </w:rPr>
              <w:t>2</w:t>
            </w:r>
          </w:p>
        </w:tc>
        <w:tc>
          <w:tcPr>
            <w:tcW w:w="1191" w:type="dxa"/>
            <w:tcBorders>
              <w:top w:val="single" w:sz="4" w:space="0" w:color="auto"/>
              <w:left w:val="single" w:sz="4" w:space="0" w:color="auto"/>
              <w:bottom w:val="single" w:sz="4" w:space="0" w:color="auto"/>
              <w:right w:val="single" w:sz="4" w:space="0" w:color="auto"/>
            </w:tcBorders>
          </w:tcPr>
          <w:p w:rsidR="00E7517C" w:rsidRPr="00392CD2" w:rsidRDefault="00E7517C" w:rsidP="00CC7782">
            <w:pPr>
              <w:pStyle w:val="Tabletext"/>
              <w:jc w:val="center"/>
              <w:rPr>
                <w:lang w:val="es-ES" w:eastAsia="zh-CN"/>
              </w:rPr>
            </w:pPr>
            <w:r w:rsidRPr="00392CD2">
              <w:rPr>
                <w:lang w:val="es-ES" w:eastAsia="zh-CN"/>
              </w:rPr>
              <w:t>0,0941</w:t>
            </w:r>
          </w:p>
        </w:tc>
        <w:tc>
          <w:tcPr>
            <w:tcW w:w="1191" w:type="dxa"/>
            <w:tcBorders>
              <w:top w:val="single" w:sz="4" w:space="0" w:color="auto"/>
              <w:left w:val="single" w:sz="4" w:space="0" w:color="auto"/>
              <w:bottom w:val="single" w:sz="4" w:space="0" w:color="auto"/>
              <w:right w:val="single" w:sz="4" w:space="0" w:color="auto"/>
            </w:tcBorders>
          </w:tcPr>
          <w:p w:rsidR="00E7517C" w:rsidRPr="00392CD2" w:rsidRDefault="00E7517C" w:rsidP="00CC7782">
            <w:pPr>
              <w:pStyle w:val="Tabletext"/>
              <w:jc w:val="center"/>
              <w:rPr>
                <w:lang w:val="es-ES" w:eastAsia="zh-CN"/>
              </w:rPr>
            </w:pPr>
            <w:r w:rsidRPr="00392CD2">
              <w:rPr>
                <w:lang w:val="es-ES" w:eastAsia="zh-CN"/>
              </w:rPr>
              <w:t>0</w:t>
            </w:r>
          </w:p>
        </w:tc>
        <w:tc>
          <w:tcPr>
            <w:tcW w:w="1191" w:type="dxa"/>
            <w:tcBorders>
              <w:top w:val="single" w:sz="4" w:space="0" w:color="auto"/>
              <w:left w:val="single" w:sz="4" w:space="0" w:color="auto"/>
              <w:bottom w:val="single" w:sz="4" w:space="0" w:color="auto"/>
              <w:right w:val="single" w:sz="4" w:space="0" w:color="auto"/>
            </w:tcBorders>
          </w:tcPr>
          <w:p w:rsidR="00E7517C" w:rsidRPr="00392CD2" w:rsidRDefault="00E7517C" w:rsidP="00CC7782">
            <w:pPr>
              <w:pStyle w:val="Tabletext"/>
              <w:jc w:val="center"/>
              <w:rPr>
                <w:lang w:val="es-ES" w:eastAsia="zh-CN"/>
              </w:rPr>
            </w:pPr>
            <w:r w:rsidRPr="00392CD2">
              <w:rPr>
                <w:lang w:val="es-ES" w:eastAsia="zh-CN"/>
              </w:rPr>
              <w:t>0,5012</w:t>
            </w:r>
          </w:p>
        </w:tc>
        <w:tc>
          <w:tcPr>
            <w:tcW w:w="2551" w:type="dxa"/>
            <w:tcBorders>
              <w:top w:val="single" w:sz="4" w:space="0" w:color="auto"/>
              <w:left w:val="single" w:sz="4" w:space="0" w:color="auto"/>
              <w:bottom w:val="single" w:sz="4" w:space="0" w:color="auto"/>
              <w:right w:val="single" w:sz="4" w:space="0" w:color="auto"/>
            </w:tcBorders>
          </w:tcPr>
          <w:p w:rsidR="00E7517C" w:rsidRPr="00392CD2" w:rsidRDefault="00E7517C" w:rsidP="00CC7782">
            <w:pPr>
              <w:pStyle w:val="Tabletext"/>
              <w:jc w:val="center"/>
              <w:rPr>
                <w:lang w:val="es-ES" w:eastAsia="zh-CN"/>
              </w:rPr>
            </w:pPr>
            <w:r w:rsidRPr="00392CD2">
              <w:rPr>
                <w:lang w:val="es-ES" w:eastAsia="zh-CN"/>
              </w:rPr>
              <w:t>0,2</w:t>
            </w:r>
            <w:r w:rsidRPr="00392CD2">
              <w:rPr>
                <w:lang w:val="es-ES" w:eastAsia="zh-CN"/>
              </w:rPr>
              <w:br/>
            </w:r>
          </w:p>
        </w:tc>
      </w:tr>
      <w:tr w:rsidR="00E7517C" w:rsidRPr="00392CD2" w:rsidTr="003C088F">
        <w:trPr>
          <w:jc w:val="center"/>
        </w:trPr>
        <w:tc>
          <w:tcPr>
            <w:tcW w:w="2438" w:type="dxa"/>
            <w:tcBorders>
              <w:top w:val="single" w:sz="4" w:space="0" w:color="auto"/>
              <w:left w:val="single" w:sz="4" w:space="0" w:color="auto"/>
              <w:bottom w:val="single" w:sz="4" w:space="0" w:color="auto"/>
              <w:right w:val="single" w:sz="4" w:space="0" w:color="auto"/>
            </w:tcBorders>
          </w:tcPr>
          <w:p w:rsidR="00E7517C" w:rsidRPr="00392CD2" w:rsidRDefault="00E7517C" w:rsidP="00CC7782">
            <w:pPr>
              <w:pStyle w:val="Tabletext"/>
              <w:jc w:val="left"/>
              <w:rPr>
                <w:lang w:val="es-ES" w:eastAsia="zh-CN"/>
              </w:rPr>
            </w:pPr>
            <w:r w:rsidRPr="00392CD2">
              <w:rPr>
                <w:lang w:val="es-ES" w:eastAsia="zh-CN"/>
              </w:rPr>
              <w:t>Alta precisión (AMDF) (Nota 5)</w:t>
            </w:r>
          </w:p>
        </w:tc>
        <w:tc>
          <w:tcPr>
            <w:tcW w:w="1077" w:type="dxa"/>
            <w:tcBorders>
              <w:top w:val="single" w:sz="4" w:space="0" w:color="auto"/>
              <w:left w:val="single" w:sz="4" w:space="0" w:color="auto"/>
              <w:bottom w:val="single" w:sz="4" w:space="0" w:color="auto"/>
              <w:right w:val="single" w:sz="4" w:space="0" w:color="auto"/>
            </w:tcBorders>
          </w:tcPr>
          <w:p w:rsidR="00E7517C" w:rsidRPr="00392CD2" w:rsidRDefault="00E7517C" w:rsidP="00CC7782">
            <w:pPr>
              <w:pStyle w:val="Tabletext"/>
              <w:jc w:val="center"/>
              <w:rPr>
                <w:lang w:val="es-ES" w:eastAsia="zh-CN"/>
              </w:rPr>
            </w:pPr>
            <w:r w:rsidRPr="00392CD2">
              <w:rPr>
                <w:lang w:val="es-ES" w:eastAsia="zh-CN"/>
              </w:rPr>
              <w:t>2</w:t>
            </w:r>
          </w:p>
        </w:tc>
        <w:tc>
          <w:tcPr>
            <w:tcW w:w="1191" w:type="dxa"/>
            <w:tcBorders>
              <w:top w:val="single" w:sz="4" w:space="0" w:color="auto"/>
              <w:left w:val="single" w:sz="4" w:space="0" w:color="auto"/>
              <w:bottom w:val="single" w:sz="4" w:space="0" w:color="auto"/>
              <w:right w:val="single" w:sz="4" w:space="0" w:color="auto"/>
            </w:tcBorders>
          </w:tcPr>
          <w:p w:rsidR="00E7517C" w:rsidRPr="00392CD2" w:rsidRDefault="00E7517C" w:rsidP="00CC7782">
            <w:pPr>
              <w:pStyle w:val="Tabletext"/>
              <w:jc w:val="center"/>
              <w:rPr>
                <w:lang w:val="es-ES" w:eastAsia="zh-CN"/>
              </w:rPr>
            </w:pPr>
            <w:r w:rsidRPr="00392CD2">
              <w:rPr>
                <w:lang w:val="es-ES" w:eastAsia="zh-CN"/>
              </w:rPr>
              <w:t>0,0941</w:t>
            </w:r>
          </w:p>
        </w:tc>
        <w:tc>
          <w:tcPr>
            <w:tcW w:w="1191" w:type="dxa"/>
            <w:tcBorders>
              <w:top w:val="single" w:sz="4" w:space="0" w:color="auto"/>
              <w:left w:val="single" w:sz="4" w:space="0" w:color="auto"/>
              <w:bottom w:val="single" w:sz="4" w:space="0" w:color="auto"/>
              <w:right w:val="single" w:sz="4" w:space="0" w:color="auto"/>
            </w:tcBorders>
          </w:tcPr>
          <w:p w:rsidR="00E7517C" w:rsidRPr="00392CD2" w:rsidRDefault="00E7517C" w:rsidP="00CC7782">
            <w:pPr>
              <w:pStyle w:val="Tabletext"/>
              <w:jc w:val="center"/>
              <w:rPr>
                <w:lang w:val="es-ES" w:eastAsia="zh-CN"/>
              </w:rPr>
            </w:pPr>
            <w:r w:rsidRPr="00392CD2">
              <w:rPr>
                <w:lang w:val="es-ES" w:eastAsia="zh-CN"/>
              </w:rPr>
              <w:t>0</w:t>
            </w:r>
          </w:p>
        </w:tc>
        <w:tc>
          <w:tcPr>
            <w:tcW w:w="1191" w:type="dxa"/>
            <w:tcBorders>
              <w:top w:val="single" w:sz="4" w:space="0" w:color="auto"/>
              <w:left w:val="single" w:sz="4" w:space="0" w:color="auto"/>
              <w:bottom w:val="single" w:sz="4" w:space="0" w:color="auto"/>
              <w:right w:val="single" w:sz="4" w:space="0" w:color="auto"/>
            </w:tcBorders>
          </w:tcPr>
          <w:p w:rsidR="00E7517C" w:rsidRPr="00392CD2" w:rsidRDefault="00E7517C" w:rsidP="00CC7782">
            <w:pPr>
              <w:pStyle w:val="Tabletext"/>
              <w:jc w:val="center"/>
              <w:rPr>
                <w:lang w:val="es-ES" w:eastAsia="zh-CN"/>
              </w:rPr>
            </w:pPr>
            <w:r w:rsidRPr="00392CD2">
              <w:rPr>
                <w:lang w:val="es-ES" w:eastAsia="zh-CN"/>
              </w:rPr>
              <w:t>0,5012</w:t>
            </w:r>
          </w:p>
        </w:tc>
        <w:tc>
          <w:tcPr>
            <w:tcW w:w="2551" w:type="dxa"/>
            <w:tcBorders>
              <w:top w:val="single" w:sz="4" w:space="0" w:color="auto"/>
              <w:left w:val="single" w:sz="4" w:space="0" w:color="auto"/>
              <w:bottom w:val="single" w:sz="4" w:space="0" w:color="auto"/>
              <w:right w:val="single" w:sz="4" w:space="0" w:color="auto"/>
            </w:tcBorders>
          </w:tcPr>
          <w:p w:rsidR="00E7517C" w:rsidRPr="00392CD2" w:rsidRDefault="00E7517C" w:rsidP="00CC7782">
            <w:pPr>
              <w:pStyle w:val="Tabletext"/>
              <w:jc w:val="center"/>
              <w:rPr>
                <w:lang w:val="es-ES" w:eastAsia="zh-CN"/>
              </w:rPr>
            </w:pPr>
            <w:r w:rsidRPr="00392CD2">
              <w:rPr>
                <w:lang w:val="es-ES" w:eastAsia="zh-CN"/>
              </w:rPr>
              <w:t>0,2</w:t>
            </w:r>
          </w:p>
        </w:tc>
      </w:tr>
      <w:tr w:rsidR="00E7517C" w:rsidRPr="00D92AE2" w:rsidTr="003C088F">
        <w:trPr>
          <w:jc w:val="center"/>
        </w:trPr>
        <w:tc>
          <w:tcPr>
            <w:tcW w:w="9639" w:type="dxa"/>
            <w:gridSpan w:val="6"/>
            <w:tcBorders>
              <w:top w:val="single" w:sz="4" w:space="0" w:color="auto"/>
              <w:left w:val="nil"/>
              <w:bottom w:val="nil"/>
              <w:right w:val="nil"/>
            </w:tcBorders>
          </w:tcPr>
          <w:p w:rsidR="00E7517C" w:rsidRPr="00392CD2" w:rsidRDefault="00E7517C" w:rsidP="003C088F">
            <w:pPr>
              <w:pStyle w:val="Tablelegend"/>
              <w:rPr>
                <w:lang w:val="es-ES"/>
              </w:rPr>
            </w:pPr>
            <w:r w:rsidRPr="00392CD2">
              <w:rPr>
                <w:lang w:val="es-ES"/>
              </w:rPr>
              <w:t>*</w:t>
            </w:r>
            <w:r w:rsidRPr="00392CD2">
              <w:rPr>
                <w:lang w:val="es-ES"/>
              </w:rPr>
              <w:tab/>
              <w:t>Aún deben determinarse los valores de los parámetros para otros tipos de receptores del SRNS. Las ecuaciones de relación de degradación del §  3 de este Anexo pueden utilizarse para predecir el carácter general de los efectos de la interferencia impulsiva en los receptores del SRNS para los que no se indican los parámetros.</w:t>
            </w:r>
          </w:p>
          <w:p w:rsidR="00E7517C" w:rsidRPr="000E4C61" w:rsidRDefault="00E7517C" w:rsidP="003C088F">
            <w:pPr>
              <w:pStyle w:val="TableLegendNote"/>
              <w:rPr>
                <w:lang w:val="es-ES_tradnl"/>
              </w:rPr>
            </w:pPr>
            <w:r w:rsidRPr="000E4C61">
              <w:rPr>
                <w:lang w:val="es-ES_tradnl"/>
              </w:rPr>
              <w:t>NOTA 1-–Los parámetros básicos indicados son para el caso de punto caliente de EE.UU. de elevada altitud que incluyen las actuales fuentes impulsivas DME/TACAN, CNI y SRNA/ATC. El límite de degradación se aplica al efecto procedente de una nueva fuente o grupo de fuentes impulsivas no aeronáuticas.</w:t>
            </w:r>
          </w:p>
          <w:p w:rsidR="00E7517C" w:rsidRPr="000E4C61" w:rsidRDefault="00E7517C" w:rsidP="003C088F">
            <w:pPr>
              <w:pStyle w:val="TableLegendNote"/>
              <w:rPr>
                <w:lang w:val="es-ES_tradnl"/>
              </w:rPr>
            </w:pPr>
            <w:r w:rsidRPr="000E4C61">
              <w:rPr>
                <w:lang w:val="es-ES_tradnl"/>
              </w:rPr>
              <w:t>NOTA 2 – Las emisiones no deseadas procedentes de fuentes continuas, a las que se aplica la Recomendación UIT-R M.1318-1, no afectarán la relación de degradación admisible para las fuentes impulsivas.</w:t>
            </w:r>
          </w:p>
          <w:p w:rsidR="00E7517C" w:rsidRPr="000E4C61" w:rsidRDefault="00E7517C" w:rsidP="003C088F">
            <w:pPr>
              <w:pStyle w:val="TableLegendNote"/>
              <w:rPr>
                <w:lang w:val="es-ES_tradnl"/>
              </w:rPr>
            </w:pPr>
            <w:r w:rsidRPr="000E4C61">
              <w:rPr>
                <w:lang w:val="es-ES_tradnl"/>
              </w:rPr>
              <w:t>NOTA 3 – La relación de degradación admisible para las nuevas fuentes impulsivas sin la condición de RFI básica deben considerar la repercusión acumulativa sobre un receptor del SRNS procedente de múltiples fuentes impulsivas que iluminan de manera simultánea el receptor del SRNS.</w:t>
            </w:r>
          </w:p>
          <w:p w:rsidR="00E7517C" w:rsidRPr="000E4C61" w:rsidRDefault="00E7517C" w:rsidP="00FB0FDC">
            <w:pPr>
              <w:pStyle w:val="TableLegendNote"/>
              <w:rPr>
                <w:lang w:val="es-ES_tradnl"/>
              </w:rPr>
            </w:pPr>
            <w:r w:rsidRPr="000E4C61">
              <w:rPr>
                <w:lang w:val="es-ES_tradnl"/>
              </w:rPr>
              <w:t xml:space="preserve">NOTA 4 – Un receptor con supresión de impulsos tiene un valor de </w:t>
            </w:r>
            <w:r w:rsidRPr="000E4C61">
              <w:rPr>
                <w:i/>
                <w:iCs/>
                <w:lang w:val="es-ES_tradnl" w:eastAsia="zh-CN"/>
              </w:rPr>
              <w:t>N</w:t>
            </w:r>
            <w:r w:rsidRPr="000E4C61">
              <w:rPr>
                <w:i/>
                <w:iCs/>
                <w:vertAlign w:val="subscript"/>
                <w:lang w:val="es-ES_tradnl" w:eastAsia="zh-CN"/>
              </w:rPr>
              <w:t>LIM</w:t>
            </w:r>
            <w:r w:rsidRPr="000E4C61">
              <w:rPr>
                <w:lang w:val="es-ES_tradnl"/>
              </w:rPr>
              <w:t xml:space="preserve"> igual a cero.</w:t>
            </w:r>
          </w:p>
          <w:p w:rsidR="00E7517C" w:rsidRPr="000E4C61" w:rsidRDefault="00E7517C" w:rsidP="00FB0FDC">
            <w:pPr>
              <w:pStyle w:val="TableLegendNote"/>
              <w:rPr>
                <w:lang w:val="es-ES_tradnl" w:eastAsia="zh-CN"/>
              </w:rPr>
            </w:pPr>
            <w:r w:rsidRPr="000E4C61">
              <w:rPr>
                <w:lang w:val="es-ES_tradnl"/>
              </w:rPr>
              <w:t>NOTA 5 – Basado en un tiempo de recuperación de sobrecarga de 1 microsegundo.</w:t>
            </w:r>
          </w:p>
        </w:tc>
      </w:tr>
    </w:tbl>
    <w:p w:rsidR="001A461C" w:rsidRPr="000E4C61" w:rsidRDefault="001A461C" w:rsidP="001A461C">
      <w:pPr>
        <w:pStyle w:val="Tablefin"/>
        <w:rPr>
          <w:lang w:val="es-ES_tradnl"/>
        </w:rPr>
      </w:pPr>
    </w:p>
    <w:p w:rsidR="00E7517C" w:rsidRPr="00392CD2" w:rsidRDefault="00E7517C" w:rsidP="003C088F">
      <w:pPr>
        <w:spacing w:before="240"/>
        <w:rPr>
          <w:lang w:val="es-ES"/>
        </w:rPr>
      </w:pPr>
      <w:r w:rsidRPr="00392CD2">
        <w:rPr>
          <w:lang w:val="es-ES"/>
        </w:rPr>
        <w:t>El Cuadro 2 presenta información similar sobre la banda de frecuencias 1</w:t>
      </w:r>
      <w:r w:rsidR="003C088F">
        <w:rPr>
          <w:lang w:val="es-ES"/>
        </w:rPr>
        <w:t> </w:t>
      </w:r>
      <w:r w:rsidRPr="00392CD2">
        <w:rPr>
          <w:lang w:val="es-ES"/>
        </w:rPr>
        <w:t>215-1</w:t>
      </w:r>
      <w:r w:rsidR="003C088F">
        <w:rPr>
          <w:lang w:val="es-ES"/>
        </w:rPr>
        <w:t> </w:t>
      </w:r>
      <w:r w:rsidRPr="00392CD2">
        <w:rPr>
          <w:lang w:val="es-ES"/>
        </w:rPr>
        <w:t>300 MHz. Los tipos de receptor del SRNS del cuadro se han extraí</w:t>
      </w:r>
      <w:r>
        <w:rPr>
          <w:lang w:val="es-ES"/>
        </w:rPr>
        <w:t>do de la Recomendación UIT-R M.</w:t>
      </w:r>
      <w:r w:rsidRPr="00392CD2">
        <w:rPr>
          <w:lang w:val="es-ES"/>
        </w:rPr>
        <w:t xml:space="preserve">1902. De forma similar al proceso del Cuadro 1 los parámetros de la RFI impulsiva del modelo básico, </w:t>
      </w:r>
      <w:r w:rsidRPr="00392CD2">
        <w:rPr>
          <w:i/>
          <w:lang w:val="es-ES"/>
        </w:rPr>
        <w:t>PDC</w:t>
      </w:r>
      <w:r w:rsidRPr="00392CD2">
        <w:rPr>
          <w:lang w:val="es-ES"/>
        </w:rPr>
        <w:t xml:space="preserve"> y </w:t>
      </w:r>
      <w:r w:rsidRPr="00392CD2">
        <w:rPr>
          <w:i/>
          <w:lang w:val="es-ES"/>
        </w:rPr>
        <w:t>R</w:t>
      </w:r>
      <w:r w:rsidRPr="00392CD2">
        <w:rPr>
          <w:i/>
          <w:vertAlign w:val="subscript"/>
          <w:lang w:val="es-ES"/>
        </w:rPr>
        <w:t>I</w:t>
      </w:r>
      <w:r w:rsidRPr="00392CD2">
        <w:rPr>
          <w:lang w:val="es-ES"/>
        </w:rPr>
        <w:t xml:space="preserve">, y los parámetros continuos, </w:t>
      </w:r>
      <w:r w:rsidRPr="00392CD2">
        <w:rPr>
          <w:i/>
          <w:lang w:val="es-ES"/>
        </w:rPr>
        <w:t>I</w:t>
      </w:r>
      <w:r w:rsidRPr="00392CD2">
        <w:rPr>
          <w:vertAlign w:val="subscript"/>
          <w:lang w:val="es-ES"/>
        </w:rPr>
        <w:t>0</w:t>
      </w:r>
      <w:r w:rsidRPr="00392CD2">
        <w:rPr>
          <w:i/>
          <w:vertAlign w:val="subscript"/>
          <w:lang w:val="es-ES"/>
        </w:rPr>
        <w:t>,WB</w:t>
      </w:r>
      <w:r w:rsidRPr="00392CD2">
        <w:rPr>
          <w:i/>
          <w:lang w:val="es-ES"/>
        </w:rPr>
        <w:t>/N</w:t>
      </w:r>
      <w:r w:rsidRPr="00392CD2">
        <w:rPr>
          <w:vertAlign w:val="subscript"/>
          <w:lang w:val="es-ES"/>
        </w:rPr>
        <w:t>0</w:t>
      </w:r>
      <w:r w:rsidRPr="00392CD2">
        <w:rPr>
          <w:lang w:val="es-ES"/>
        </w:rPr>
        <w:t>, indicados deben utilizarse en la ecuación de relación de degradación adecuada (ecuación 6 para los receptores del SRNS con supresión de impulsos (</w:t>
      </w:r>
      <w:r w:rsidRPr="00392CD2">
        <w:rPr>
          <w:i/>
          <w:lang w:val="es-ES"/>
        </w:rPr>
        <w:t>N</w:t>
      </w:r>
      <w:r w:rsidRPr="00392CD2">
        <w:rPr>
          <w:i/>
          <w:vertAlign w:val="subscript"/>
          <w:lang w:val="es-ES"/>
        </w:rPr>
        <w:t>LIM</w:t>
      </w:r>
      <w:r>
        <w:rPr>
          <w:lang w:val="es-ES"/>
        </w:rPr>
        <w:t> </w:t>
      </w:r>
      <w:r w:rsidRPr="00392CD2">
        <w:rPr>
          <w:lang w:val="es-ES"/>
        </w:rPr>
        <w:t>=</w:t>
      </w:r>
      <w:r>
        <w:rPr>
          <w:lang w:val="es-ES"/>
        </w:rPr>
        <w:t> </w:t>
      </w:r>
      <w:r w:rsidRPr="00392CD2">
        <w:rPr>
          <w:lang w:val="es-ES"/>
        </w:rPr>
        <w:t>0), o ecuación 7, 7a u 8 para los receptores del SRNS con saturación (</w:t>
      </w:r>
      <w:r w:rsidRPr="00392CD2">
        <w:rPr>
          <w:i/>
          <w:lang w:val="es-ES"/>
        </w:rPr>
        <w:t>N</w:t>
      </w:r>
      <w:r w:rsidRPr="00392CD2">
        <w:rPr>
          <w:i/>
          <w:vertAlign w:val="subscript"/>
          <w:lang w:val="es-ES"/>
        </w:rPr>
        <w:t>LIM</w:t>
      </w:r>
      <w:r w:rsidRPr="00392CD2">
        <w:rPr>
          <w:lang w:val="es-ES"/>
        </w:rPr>
        <w:t xml:space="preserve"> </w:t>
      </w:r>
      <w:r w:rsidRPr="00392CD2">
        <w:rPr>
          <w:lang w:val="es-ES"/>
        </w:rPr>
        <w:sym w:font="Symbol" w:char="F0B3"/>
      </w:r>
      <w:r w:rsidRPr="00392CD2">
        <w:rPr>
          <w:lang w:val="es-ES"/>
        </w:rPr>
        <w:t xml:space="preserve"> 1)). El resultado de la ecuación para la relación de degradación real se compara con el valor de la relación de degradación admisible del Cuadro 2.</w:t>
      </w:r>
    </w:p>
    <w:p w:rsidR="00E7517C" w:rsidRPr="00392CD2" w:rsidRDefault="00E7517C" w:rsidP="00E7517C">
      <w:pPr>
        <w:pStyle w:val="TableNo"/>
        <w:spacing w:before="240"/>
        <w:rPr>
          <w:lang w:val="es-ES" w:eastAsia="ru-RU"/>
        </w:rPr>
      </w:pPr>
      <w:r w:rsidRPr="00392CD2">
        <w:rPr>
          <w:lang w:val="es-ES"/>
        </w:rPr>
        <w:lastRenderedPageBreak/>
        <w:t>CUADRO</w:t>
      </w:r>
      <w:r w:rsidRPr="00392CD2">
        <w:rPr>
          <w:lang w:val="es-ES" w:eastAsia="ru-RU"/>
        </w:rPr>
        <w:t xml:space="preserve"> 2</w:t>
      </w:r>
    </w:p>
    <w:p w:rsidR="00E7517C" w:rsidRDefault="00E7517C" w:rsidP="00FB0FDC">
      <w:pPr>
        <w:pStyle w:val="Tabletitle"/>
        <w:rPr>
          <w:lang w:val="es-ES"/>
        </w:rPr>
      </w:pPr>
      <w:r w:rsidRPr="00392CD2">
        <w:rPr>
          <w:lang w:val="es-ES"/>
        </w:rPr>
        <w:t>Parámetros del método de la RFI impulsiva básica y relaciones de</w:t>
      </w:r>
      <w:r w:rsidR="00FB0FDC">
        <w:rPr>
          <w:lang w:val="es-ES"/>
        </w:rPr>
        <w:t xml:space="preserve"> </w:t>
      </w:r>
      <w:r w:rsidRPr="00392CD2">
        <w:rPr>
          <w:lang w:val="es-ES"/>
        </w:rPr>
        <w:t>degradación</w:t>
      </w:r>
      <w:r w:rsidR="00FB0FDC">
        <w:rPr>
          <w:lang w:val="es-ES"/>
        </w:rPr>
        <w:br/>
      </w:r>
      <w:r w:rsidRPr="00392CD2">
        <w:rPr>
          <w:lang w:val="es-ES"/>
        </w:rPr>
        <w:t>admisibles para receptores del SRNS (espacio-Tierra)</w:t>
      </w:r>
      <w:r w:rsidR="00A84FE2">
        <w:rPr>
          <w:lang w:val="es-ES"/>
        </w:rPr>
        <w:br/>
      </w:r>
      <w:r w:rsidRPr="00392CD2">
        <w:rPr>
          <w:lang w:val="es-ES"/>
        </w:rPr>
        <w:t>que funcionan en la banda 1 215</w:t>
      </w:r>
      <w:r w:rsidRPr="00392CD2">
        <w:rPr>
          <w:lang w:val="es-ES"/>
        </w:rPr>
        <w:noBreakHyphen/>
        <w:t>1 300 MHz*</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1134"/>
        <w:gridCol w:w="1134"/>
        <w:gridCol w:w="1134"/>
        <w:gridCol w:w="1134"/>
        <w:gridCol w:w="2557"/>
      </w:tblGrid>
      <w:tr w:rsidR="00A84FE2" w:rsidRPr="00D92AE2" w:rsidTr="001A461C">
        <w:trPr>
          <w:jc w:val="center"/>
        </w:trPr>
        <w:tc>
          <w:tcPr>
            <w:tcW w:w="2551" w:type="dxa"/>
            <w:tcBorders>
              <w:top w:val="single" w:sz="4" w:space="0" w:color="auto"/>
              <w:left w:val="single" w:sz="4" w:space="0" w:color="auto"/>
              <w:bottom w:val="single" w:sz="4" w:space="0" w:color="auto"/>
              <w:right w:val="single" w:sz="4" w:space="0" w:color="auto"/>
            </w:tcBorders>
            <w:vAlign w:val="center"/>
          </w:tcPr>
          <w:p w:rsidR="00A84FE2" w:rsidRPr="00392CD2" w:rsidRDefault="00A84FE2" w:rsidP="00B51D4A">
            <w:pPr>
              <w:pStyle w:val="Tablehead"/>
              <w:spacing w:before="40" w:after="40"/>
              <w:rPr>
                <w:lang w:val="es-ES" w:eastAsia="zh-CN"/>
              </w:rPr>
            </w:pPr>
            <w:r w:rsidRPr="00392CD2">
              <w:rPr>
                <w:lang w:val="es-ES" w:eastAsia="zh-CN"/>
              </w:rPr>
              <w:t>Tipo de receptor</w:t>
            </w:r>
          </w:p>
        </w:tc>
        <w:tc>
          <w:tcPr>
            <w:tcW w:w="1134" w:type="dxa"/>
            <w:tcBorders>
              <w:top w:val="single" w:sz="4" w:space="0" w:color="auto"/>
              <w:left w:val="single" w:sz="4" w:space="0" w:color="auto"/>
              <w:bottom w:val="single" w:sz="4" w:space="0" w:color="auto"/>
              <w:right w:val="single" w:sz="4" w:space="0" w:color="auto"/>
            </w:tcBorders>
          </w:tcPr>
          <w:p w:rsidR="00A84FE2" w:rsidRPr="00392CD2" w:rsidRDefault="00A84FE2" w:rsidP="00B51D4A">
            <w:pPr>
              <w:pStyle w:val="Tablehead"/>
              <w:spacing w:before="40" w:after="40"/>
              <w:rPr>
                <w:lang w:val="es-ES" w:eastAsia="zh-CN"/>
              </w:rPr>
            </w:pPr>
            <w:r w:rsidRPr="00392CD2">
              <w:rPr>
                <w:i/>
                <w:iCs/>
                <w:lang w:val="es-ES" w:eastAsia="zh-CN"/>
              </w:rPr>
              <w:t>N</w:t>
            </w:r>
            <w:r w:rsidRPr="00392CD2">
              <w:rPr>
                <w:i/>
                <w:iCs/>
                <w:vertAlign w:val="subscript"/>
                <w:lang w:val="es-ES" w:eastAsia="zh-CN"/>
              </w:rPr>
              <w:t>LIM</w:t>
            </w:r>
            <w:r w:rsidRPr="00392CD2">
              <w:rPr>
                <w:iCs/>
                <w:vertAlign w:val="subscript"/>
                <w:lang w:val="es-ES" w:eastAsia="zh-CN"/>
              </w:rPr>
              <w:br/>
            </w:r>
            <w:r w:rsidRPr="00392CD2">
              <w:rPr>
                <w:iCs/>
                <w:lang w:val="es-ES" w:eastAsia="zh-CN"/>
              </w:rPr>
              <w:t>(adimen</w:t>
            </w:r>
            <w:r>
              <w:rPr>
                <w:iCs/>
                <w:lang w:val="es-ES" w:eastAsia="zh-CN"/>
              </w:rPr>
              <w:t>-</w:t>
            </w:r>
            <w:r w:rsidRPr="00392CD2">
              <w:rPr>
                <w:iCs/>
                <w:lang w:val="es-ES" w:eastAsia="zh-CN"/>
              </w:rPr>
              <w:t xml:space="preserve">sional) </w:t>
            </w:r>
            <w:r w:rsidRPr="00392CD2">
              <w:rPr>
                <w:iCs/>
                <w:lang w:val="es-ES" w:eastAsia="zh-CN"/>
              </w:rPr>
              <w:br/>
              <w:t xml:space="preserve">(Nota </w:t>
            </w:r>
            <w:r>
              <w:rPr>
                <w:iCs/>
                <w:lang w:val="es-ES" w:eastAsia="zh-CN"/>
              </w:rPr>
              <w:t>1</w:t>
            </w:r>
            <w:r w:rsidRPr="00392CD2">
              <w:rPr>
                <w:iCs/>
                <w:lang w:val="es-ES" w:eastAsia="zh-CN"/>
              </w:rPr>
              <w:t>)</w:t>
            </w:r>
          </w:p>
        </w:tc>
        <w:tc>
          <w:tcPr>
            <w:tcW w:w="1134" w:type="dxa"/>
            <w:tcBorders>
              <w:top w:val="single" w:sz="4" w:space="0" w:color="auto"/>
              <w:left w:val="single" w:sz="4" w:space="0" w:color="auto"/>
              <w:bottom w:val="single" w:sz="4" w:space="0" w:color="auto"/>
              <w:right w:val="single" w:sz="4" w:space="0" w:color="auto"/>
            </w:tcBorders>
          </w:tcPr>
          <w:p w:rsidR="00A84FE2" w:rsidRPr="00392CD2" w:rsidRDefault="00A84FE2" w:rsidP="00B51D4A">
            <w:pPr>
              <w:pStyle w:val="Tablehead"/>
              <w:spacing w:before="40" w:after="40"/>
              <w:rPr>
                <w:lang w:val="es-ES" w:eastAsia="zh-CN"/>
              </w:rPr>
            </w:pPr>
            <w:r w:rsidRPr="00392CD2">
              <w:rPr>
                <w:i/>
                <w:lang w:val="es-ES" w:eastAsia="zh-CN"/>
              </w:rPr>
              <w:t>PDC</w:t>
            </w:r>
            <w:r w:rsidRPr="00392CD2">
              <w:rPr>
                <w:lang w:val="es-ES" w:eastAsia="zh-CN"/>
              </w:rPr>
              <w:t xml:space="preserve"> básico</w:t>
            </w:r>
            <w:r>
              <w:rPr>
                <w:lang w:val="es-ES" w:eastAsia="zh-CN"/>
              </w:rPr>
              <w:br/>
            </w:r>
            <w:r w:rsidRPr="00392CD2">
              <w:rPr>
                <w:iCs/>
                <w:lang w:val="es-ES" w:eastAsia="zh-CN"/>
              </w:rPr>
              <w:t>(adimen</w:t>
            </w:r>
            <w:r>
              <w:rPr>
                <w:iCs/>
                <w:lang w:val="es-ES" w:eastAsia="zh-CN"/>
              </w:rPr>
              <w:t>-</w:t>
            </w:r>
            <w:r w:rsidRPr="00392CD2">
              <w:rPr>
                <w:iCs/>
                <w:lang w:val="es-ES" w:eastAsia="zh-CN"/>
              </w:rPr>
              <w:t>sional)</w:t>
            </w:r>
            <w:r>
              <w:rPr>
                <w:iCs/>
                <w:lang w:val="es-ES" w:eastAsia="zh-CN"/>
              </w:rPr>
              <w:br/>
            </w:r>
            <w:r w:rsidRPr="00392CD2">
              <w:rPr>
                <w:iCs/>
                <w:lang w:val="es-ES" w:eastAsia="zh-CN"/>
              </w:rPr>
              <w:t xml:space="preserve">(Nota </w:t>
            </w:r>
            <w:r>
              <w:rPr>
                <w:iCs/>
                <w:lang w:val="es-ES" w:eastAsia="zh-CN"/>
              </w:rPr>
              <w:t>2</w:t>
            </w:r>
            <w:r w:rsidRPr="00392CD2">
              <w:rPr>
                <w:iCs/>
                <w:lang w:val="es-ES" w:eastAsia="zh-CN"/>
              </w:rPr>
              <w:t>)</w:t>
            </w:r>
          </w:p>
        </w:tc>
        <w:tc>
          <w:tcPr>
            <w:tcW w:w="1134" w:type="dxa"/>
            <w:tcBorders>
              <w:top w:val="single" w:sz="4" w:space="0" w:color="auto"/>
              <w:left w:val="single" w:sz="4" w:space="0" w:color="auto"/>
              <w:bottom w:val="single" w:sz="4" w:space="0" w:color="auto"/>
              <w:right w:val="single" w:sz="4" w:space="0" w:color="auto"/>
            </w:tcBorders>
          </w:tcPr>
          <w:p w:rsidR="00A84FE2" w:rsidRPr="00392CD2" w:rsidRDefault="00A84FE2" w:rsidP="00B51D4A">
            <w:pPr>
              <w:pStyle w:val="Tablehead"/>
              <w:spacing w:before="40" w:after="40"/>
              <w:rPr>
                <w:iCs/>
                <w:lang w:val="es-ES" w:eastAsia="zh-CN"/>
              </w:rPr>
            </w:pPr>
            <w:r w:rsidRPr="00392CD2">
              <w:rPr>
                <w:i/>
                <w:lang w:val="es-ES" w:eastAsia="zh-CN"/>
              </w:rPr>
              <w:t>R</w:t>
            </w:r>
            <w:r w:rsidRPr="00392CD2">
              <w:rPr>
                <w:i/>
                <w:vertAlign w:val="subscript"/>
                <w:lang w:val="es-ES" w:eastAsia="zh-CN"/>
              </w:rPr>
              <w:t xml:space="preserve">I </w:t>
            </w:r>
            <w:r w:rsidRPr="00392CD2">
              <w:rPr>
                <w:iCs/>
                <w:lang w:val="es-ES" w:eastAsia="zh-CN"/>
              </w:rPr>
              <w:t>básica (adimen</w:t>
            </w:r>
            <w:r>
              <w:rPr>
                <w:iCs/>
                <w:lang w:val="es-ES" w:eastAsia="zh-CN"/>
              </w:rPr>
              <w:t>-</w:t>
            </w:r>
            <w:r w:rsidRPr="00392CD2">
              <w:rPr>
                <w:iCs/>
                <w:lang w:val="es-ES" w:eastAsia="zh-CN"/>
              </w:rPr>
              <w:t>sional)</w:t>
            </w:r>
            <w:r>
              <w:rPr>
                <w:iCs/>
                <w:lang w:val="es-ES" w:eastAsia="zh-CN"/>
              </w:rPr>
              <w:br/>
            </w:r>
            <w:r w:rsidRPr="00392CD2">
              <w:rPr>
                <w:iCs/>
                <w:lang w:val="es-ES" w:eastAsia="zh-CN"/>
              </w:rPr>
              <w:t xml:space="preserve">(Nota </w:t>
            </w:r>
            <w:r>
              <w:rPr>
                <w:iCs/>
                <w:lang w:val="es-ES" w:eastAsia="zh-CN"/>
              </w:rPr>
              <w:t>2</w:t>
            </w:r>
            <w:r w:rsidRPr="00392CD2">
              <w:rPr>
                <w:iCs/>
                <w:lang w:val="es-ES" w:eastAsia="zh-CN"/>
              </w:rPr>
              <w:t>)</w:t>
            </w:r>
          </w:p>
        </w:tc>
        <w:tc>
          <w:tcPr>
            <w:tcW w:w="1134" w:type="dxa"/>
            <w:tcBorders>
              <w:top w:val="single" w:sz="4" w:space="0" w:color="auto"/>
              <w:left w:val="single" w:sz="4" w:space="0" w:color="auto"/>
              <w:bottom w:val="single" w:sz="4" w:space="0" w:color="auto"/>
              <w:right w:val="single" w:sz="4" w:space="0" w:color="auto"/>
            </w:tcBorders>
          </w:tcPr>
          <w:p w:rsidR="00A84FE2" w:rsidRPr="00392CD2" w:rsidRDefault="00A84FE2" w:rsidP="00B51D4A">
            <w:pPr>
              <w:pStyle w:val="Tablehead"/>
              <w:spacing w:before="40" w:after="40"/>
              <w:rPr>
                <w:lang w:val="es-ES" w:eastAsia="zh-CN"/>
              </w:rPr>
            </w:pPr>
            <w:r w:rsidRPr="00392CD2">
              <w:rPr>
                <w:lang w:val="es-ES" w:eastAsia="zh-CN"/>
              </w:rPr>
              <w:t xml:space="preserve">Relación </w:t>
            </w:r>
            <w:r w:rsidRPr="00392CD2">
              <w:rPr>
                <w:i/>
                <w:lang w:val="es-ES" w:eastAsia="zh-CN"/>
              </w:rPr>
              <w:t>I</w:t>
            </w:r>
            <w:r w:rsidRPr="00392CD2">
              <w:rPr>
                <w:i/>
                <w:vertAlign w:val="subscript"/>
                <w:lang w:val="es-ES" w:eastAsia="zh-CN"/>
              </w:rPr>
              <w:t>0,WB</w:t>
            </w:r>
            <w:r w:rsidRPr="00392CD2">
              <w:rPr>
                <w:i/>
                <w:lang w:val="es-ES" w:eastAsia="zh-CN"/>
              </w:rPr>
              <w:t>/N</w:t>
            </w:r>
            <w:r w:rsidRPr="00392CD2">
              <w:rPr>
                <w:i/>
                <w:vertAlign w:val="subscript"/>
                <w:lang w:val="es-ES" w:eastAsia="zh-CN"/>
              </w:rPr>
              <w:t>0</w:t>
            </w:r>
            <w:r w:rsidRPr="00392CD2">
              <w:rPr>
                <w:lang w:val="es-ES" w:eastAsia="zh-CN"/>
              </w:rPr>
              <w:t xml:space="preserve"> básica </w:t>
            </w:r>
            <w:r w:rsidRPr="00392CD2">
              <w:rPr>
                <w:iCs/>
                <w:lang w:val="es-ES" w:eastAsia="zh-CN"/>
              </w:rPr>
              <w:t>(adimen</w:t>
            </w:r>
            <w:r>
              <w:rPr>
                <w:iCs/>
                <w:lang w:val="es-ES" w:eastAsia="zh-CN"/>
              </w:rPr>
              <w:t>-</w:t>
            </w:r>
            <w:r w:rsidRPr="00392CD2">
              <w:rPr>
                <w:iCs/>
                <w:lang w:val="es-ES" w:eastAsia="zh-CN"/>
              </w:rPr>
              <w:t>sional)</w:t>
            </w:r>
          </w:p>
        </w:tc>
        <w:tc>
          <w:tcPr>
            <w:tcW w:w="2557" w:type="dxa"/>
            <w:tcBorders>
              <w:top w:val="single" w:sz="4" w:space="0" w:color="auto"/>
              <w:left w:val="single" w:sz="4" w:space="0" w:color="auto"/>
              <w:bottom w:val="single" w:sz="4" w:space="0" w:color="auto"/>
              <w:right w:val="single" w:sz="4" w:space="0" w:color="auto"/>
            </w:tcBorders>
          </w:tcPr>
          <w:p w:rsidR="00A84FE2" w:rsidRPr="00392CD2" w:rsidRDefault="00A84FE2" w:rsidP="00A84FE2">
            <w:pPr>
              <w:pStyle w:val="Tablehead"/>
              <w:spacing w:before="40" w:after="40"/>
              <w:rPr>
                <w:lang w:val="es-ES" w:eastAsia="zh-CN"/>
              </w:rPr>
            </w:pPr>
            <w:r>
              <w:rPr>
                <w:lang w:val="es-ES" w:eastAsia="zh-CN"/>
              </w:rPr>
              <w:t>Relación de degradación</w:t>
            </w:r>
            <w:r w:rsidRPr="00392CD2">
              <w:rPr>
                <w:lang w:val="es-ES" w:eastAsia="zh-CN"/>
              </w:rPr>
              <w:t xml:space="preserve"> admisible para fuentes de impulsos</w:t>
            </w:r>
            <w:r>
              <w:rPr>
                <w:lang w:val="es-ES" w:eastAsia="zh-CN"/>
              </w:rPr>
              <w:br/>
            </w:r>
            <w:r w:rsidRPr="00392CD2">
              <w:rPr>
                <w:lang w:val="es-ES" w:eastAsia="zh-CN"/>
              </w:rPr>
              <w:t>(dB)</w:t>
            </w:r>
            <w:r w:rsidRPr="00392CD2">
              <w:rPr>
                <w:lang w:val="es-ES" w:eastAsia="zh-CN"/>
              </w:rPr>
              <w:br/>
              <w:t>(Notas 3)</w:t>
            </w:r>
          </w:p>
        </w:tc>
      </w:tr>
      <w:tr w:rsidR="00A84FE2" w:rsidRPr="00392CD2" w:rsidTr="001A461C">
        <w:trPr>
          <w:jc w:val="center"/>
        </w:trPr>
        <w:tc>
          <w:tcPr>
            <w:tcW w:w="2551" w:type="dxa"/>
            <w:tcBorders>
              <w:top w:val="single" w:sz="4" w:space="0" w:color="auto"/>
              <w:left w:val="single" w:sz="4" w:space="0" w:color="auto"/>
              <w:bottom w:val="single" w:sz="4" w:space="0" w:color="auto"/>
              <w:right w:val="single" w:sz="4" w:space="0" w:color="auto"/>
            </w:tcBorders>
          </w:tcPr>
          <w:p w:rsidR="00A84FE2" w:rsidRPr="00392CD2" w:rsidRDefault="00A84FE2" w:rsidP="00A84FE2">
            <w:pPr>
              <w:pStyle w:val="Tabletext"/>
              <w:jc w:val="left"/>
              <w:rPr>
                <w:lang w:val="es-ES"/>
              </w:rPr>
            </w:pPr>
            <w:r w:rsidRPr="00392CD2">
              <w:rPr>
                <w:lang w:val="es-ES"/>
              </w:rPr>
              <w:t>Receptor de referencia en tierra SBAS</w:t>
            </w:r>
            <w:r w:rsidRPr="00392CD2">
              <w:rPr>
                <w:rStyle w:val="FootnoteReference"/>
                <w:sz w:val="20"/>
                <w:vertAlign w:val="superscript"/>
                <w:lang w:val="es-ES"/>
              </w:rPr>
              <w:footnoteReference w:id="11"/>
            </w:r>
          </w:p>
        </w:tc>
        <w:tc>
          <w:tcPr>
            <w:tcW w:w="1134" w:type="dxa"/>
            <w:tcBorders>
              <w:top w:val="single" w:sz="4" w:space="0" w:color="auto"/>
              <w:left w:val="single" w:sz="4" w:space="0" w:color="auto"/>
              <w:bottom w:val="single" w:sz="4" w:space="0" w:color="auto"/>
              <w:right w:val="single" w:sz="4" w:space="0" w:color="auto"/>
            </w:tcBorders>
          </w:tcPr>
          <w:p w:rsidR="00A84FE2" w:rsidRPr="00392CD2" w:rsidRDefault="00A84FE2" w:rsidP="00A84FE2">
            <w:pPr>
              <w:pStyle w:val="Tabletext"/>
              <w:jc w:val="center"/>
              <w:rPr>
                <w:lang w:val="es-ES"/>
              </w:rPr>
            </w:pPr>
            <w:r w:rsidRPr="00392CD2">
              <w:rPr>
                <w:lang w:val="es-ES"/>
              </w:rPr>
              <w:t>1</w:t>
            </w:r>
          </w:p>
        </w:tc>
        <w:tc>
          <w:tcPr>
            <w:tcW w:w="1134" w:type="dxa"/>
            <w:tcBorders>
              <w:top w:val="single" w:sz="4" w:space="0" w:color="auto"/>
              <w:left w:val="single" w:sz="4" w:space="0" w:color="auto"/>
              <w:bottom w:val="single" w:sz="4" w:space="0" w:color="auto"/>
              <w:right w:val="single" w:sz="4" w:space="0" w:color="auto"/>
            </w:tcBorders>
          </w:tcPr>
          <w:p w:rsidR="00A84FE2" w:rsidRPr="00392CD2" w:rsidRDefault="00A84FE2" w:rsidP="00A84FE2">
            <w:pPr>
              <w:pStyle w:val="Tabletext"/>
              <w:jc w:val="center"/>
              <w:rPr>
                <w:lang w:val="es-ES"/>
              </w:rPr>
            </w:pPr>
            <w:r w:rsidRPr="00392CD2">
              <w:rPr>
                <w:lang w:val="es-ES"/>
              </w:rPr>
              <w:t>0,0793</w:t>
            </w:r>
            <w:r w:rsidRPr="00392CD2">
              <w:rPr>
                <w:lang w:val="es-ES"/>
              </w:rPr>
              <w:br/>
              <w:t>(Nota 4)</w:t>
            </w:r>
          </w:p>
        </w:tc>
        <w:tc>
          <w:tcPr>
            <w:tcW w:w="1134" w:type="dxa"/>
            <w:tcBorders>
              <w:top w:val="single" w:sz="4" w:space="0" w:color="auto"/>
              <w:left w:val="single" w:sz="4" w:space="0" w:color="auto"/>
              <w:bottom w:val="single" w:sz="4" w:space="0" w:color="auto"/>
              <w:right w:val="single" w:sz="4" w:space="0" w:color="auto"/>
            </w:tcBorders>
          </w:tcPr>
          <w:p w:rsidR="00A84FE2" w:rsidRPr="00392CD2" w:rsidRDefault="00A84FE2" w:rsidP="00A84FE2">
            <w:pPr>
              <w:pStyle w:val="Tabletext"/>
              <w:jc w:val="center"/>
              <w:rPr>
                <w:lang w:val="es-ES"/>
              </w:rPr>
            </w:pPr>
            <w:r w:rsidRPr="00392CD2">
              <w:rPr>
                <w:lang w:val="es-ES"/>
              </w:rPr>
              <w:t>0</w:t>
            </w:r>
          </w:p>
        </w:tc>
        <w:tc>
          <w:tcPr>
            <w:tcW w:w="1134" w:type="dxa"/>
            <w:tcBorders>
              <w:top w:val="single" w:sz="4" w:space="0" w:color="auto"/>
              <w:left w:val="single" w:sz="4" w:space="0" w:color="auto"/>
              <w:bottom w:val="single" w:sz="4" w:space="0" w:color="auto"/>
              <w:right w:val="single" w:sz="4" w:space="0" w:color="auto"/>
            </w:tcBorders>
          </w:tcPr>
          <w:p w:rsidR="00A84FE2" w:rsidRPr="00392CD2" w:rsidRDefault="00A84FE2" w:rsidP="00A84FE2">
            <w:pPr>
              <w:pStyle w:val="Tabletext"/>
              <w:jc w:val="center"/>
              <w:rPr>
                <w:lang w:val="es-ES"/>
              </w:rPr>
            </w:pPr>
            <w:r w:rsidRPr="00392CD2">
              <w:rPr>
                <w:lang w:val="es-ES"/>
              </w:rPr>
              <w:t>0,3925</w:t>
            </w:r>
          </w:p>
        </w:tc>
        <w:tc>
          <w:tcPr>
            <w:tcW w:w="2557" w:type="dxa"/>
            <w:tcBorders>
              <w:top w:val="single" w:sz="4" w:space="0" w:color="auto"/>
              <w:left w:val="single" w:sz="4" w:space="0" w:color="auto"/>
              <w:bottom w:val="single" w:sz="4" w:space="0" w:color="auto"/>
              <w:right w:val="single" w:sz="4" w:space="0" w:color="auto"/>
            </w:tcBorders>
          </w:tcPr>
          <w:p w:rsidR="00A84FE2" w:rsidRPr="00392CD2" w:rsidRDefault="00A84FE2" w:rsidP="00A84FE2">
            <w:pPr>
              <w:pStyle w:val="Tabletext"/>
              <w:jc w:val="center"/>
              <w:rPr>
                <w:lang w:val="es-ES"/>
              </w:rPr>
            </w:pPr>
            <w:r w:rsidRPr="00392CD2">
              <w:rPr>
                <w:lang w:val="es-ES"/>
              </w:rPr>
              <w:t>0,2</w:t>
            </w:r>
          </w:p>
        </w:tc>
      </w:tr>
      <w:tr w:rsidR="00A84FE2" w:rsidRPr="00392CD2" w:rsidTr="001A461C">
        <w:trPr>
          <w:jc w:val="center"/>
        </w:trPr>
        <w:tc>
          <w:tcPr>
            <w:tcW w:w="2551" w:type="dxa"/>
            <w:tcBorders>
              <w:top w:val="single" w:sz="4" w:space="0" w:color="auto"/>
              <w:left w:val="single" w:sz="4" w:space="0" w:color="auto"/>
              <w:bottom w:val="single" w:sz="4" w:space="0" w:color="auto"/>
              <w:right w:val="single" w:sz="4" w:space="0" w:color="auto"/>
            </w:tcBorders>
          </w:tcPr>
          <w:p w:rsidR="00A84FE2" w:rsidRPr="00392CD2" w:rsidRDefault="00A84FE2" w:rsidP="00A84FE2">
            <w:pPr>
              <w:pStyle w:val="Tabletext"/>
              <w:jc w:val="left"/>
              <w:rPr>
                <w:lang w:val="es-ES"/>
              </w:rPr>
            </w:pPr>
            <w:r w:rsidRPr="00392CD2">
              <w:rPr>
                <w:lang w:val="es-ES"/>
              </w:rPr>
              <w:t>Receptor con codificación parcial de alta precisión</w:t>
            </w:r>
          </w:p>
        </w:tc>
        <w:tc>
          <w:tcPr>
            <w:tcW w:w="1134" w:type="dxa"/>
            <w:tcBorders>
              <w:top w:val="single" w:sz="4" w:space="0" w:color="auto"/>
              <w:left w:val="single" w:sz="4" w:space="0" w:color="auto"/>
              <w:bottom w:val="single" w:sz="4" w:space="0" w:color="auto"/>
              <w:right w:val="single" w:sz="4" w:space="0" w:color="auto"/>
            </w:tcBorders>
          </w:tcPr>
          <w:p w:rsidR="00A84FE2" w:rsidRPr="00392CD2" w:rsidRDefault="00A84FE2" w:rsidP="00A84FE2">
            <w:pPr>
              <w:pStyle w:val="Tabletext"/>
              <w:jc w:val="center"/>
              <w:rPr>
                <w:lang w:val="es-ES"/>
              </w:rPr>
            </w:pPr>
            <w:r w:rsidRPr="00392CD2">
              <w:rPr>
                <w:lang w:val="es-ES"/>
              </w:rPr>
              <w:t>2</w:t>
            </w:r>
          </w:p>
        </w:tc>
        <w:tc>
          <w:tcPr>
            <w:tcW w:w="1134" w:type="dxa"/>
            <w:tcBorders>
              <w:top w:val="single" w:sz="4" w:space="0" w:color="auto"/>
              <w:left w:val="single" w:sz="4" w:space="0" w:color="auto"/>
              <w:bottom w:val="single" w:sz="4" w:space="0" w:color="auto"/>
              <w:right w:val="single" w:sz="4" w:space="0" w:color="auto"/>
            </w:tcBorders>
          </w:tcPr>
          <w:p w:rsidR="00A84FE2" w:rsidRPr="00392CD2" w:rsidRDefault="00A84FE2" w:rsidP="00A84FE2">
            <w:pPr>
              <w:pStyle w:val="Tabletext"/>
              <w:jc w:val="center"/>
              <w:rPr>
                <w:lang w:val="es-ES"/>
              </w:rPr>
            </w:pPr>
            <w:r w:rsidRPr="00392CD2">
              <w:rPr>
                <w:lang w:val="es-ES"/>
              </w:rPr>
              <w:t>0,0765</w:t>
            </w:r>
            <w:r w:rsidRPr="00392CD2">
              <w:rPr>
                <w:lang w:val="es-ES"/>
              </w:rPr>
              <w:br/>
              <w:t>(Nota 4)</w:t>
            </w:r>
          </w:p>
        </w:tc>
        <w:tc>
          <w:tcPr>
            <w:tcW w:w="1134" w:type="dxa"/>
            <w:tcBorders>
              <w:top w:val="single" w:sz="4" w:space="0" w:color="auto"/>
              <w:left w:val="single" w:sz="4" w:space="0" w:color="auto"/>
              <w:bottom w:val="single" w:sz="4" w:space="0" w:color="auto"/>
              <w:right w:val="single" w:sz="4" w:space="0" w:color="auto"/>
            </w:tcBorders>
          </w:tcPr>
          <w:p w:rsidR="00A84FE2" w:rsidRPr="00392CD2" w:rsidRDefault="00A84FE2" w:rsidP="00A84FE2">
            <w:pPr>
              <w:pStyle w:val="Tabletext"/>
              <w:jc w:val="center"/>
              <w:rPr>
                <w:lang w:val="es-ES"/>
              </w:rPr>
            </w:pPr>
            <w:r w:rsidRPr="00392CD2">
              <w:rPr>
                <w:lang w:val="es-ES"/>
              </w:rPr>
              <w:t>0</w:t>
            </w:r>
          </w:p>
        </w:tc>
        <w:tc>
          <w:tcPr>
            <w:tcW w:w="1134" w:type="dxa"/>
            <w:tcBorders>
              <w:top w:val="single" w:sz="4" w:space="0" w:color="auto"/>
              <w:left w:val="single" w:sz="4" w:space="0" w:color="auto"/>
              <w:bottom w:val="single" w:sz="4" w:space="0" w:color="auto"/>
              <w:right w:val="single" w:sz="4" w:space="0" w:color="auto"/>
            </w:tcBorders>
          </w:tcPr>
          <w:p w:rsidR="00A84FE2" w:rsidRPr="00392CD2" w:rsidRDefault="00A84FE2" w:rsidP="00A84FE2">
            <w:pPr>
              <w:pStyle w:val="Tabletext"/>
              <w:jc w:val="center"/>
              <w:rPr>
                <w:lang w:val="es-ES"/>
              </w:rPr>
            </w:pPr>
            <w:r w:rsidRPr="00392CD2">
              <w:rPr>
                <w:lang w:val="es-ES"/>
              </w:rPr>
              <w:t>0,3983</w:t>
            </w:r>
          </w:p>
        </w:tc>
        <w:tc>
          <w:tcPr>
            <w:tcW w:w="2557" w:type="dxa"/>
            <w:tcBorders>
              <w:top w:val="single" w:sz="4" w:space="0" w:color="auto"/>
              <w:left w:val="single" w:sz="4" w:space="0" w:color="auto"/>
              <w:bottom w:val="single" w:sz="4" w:space="0" w:color="auto"/>
              <w:right w:val="single" w:sz="4" w:space="0" w:color="auto"/>
            </w:tcBorders>
          </w:tcPr>
          <w:p w:rsidR="00A84FE2" w:rsidRPr="00392CD2" w:rsidRDefault="00A84FE2" w:rsidP="00A84FE2">
            <w:pPr>
              <w:pStyle w:val="Tabletext"/>
              <w:jc w:val="center"/>
              <w:rPr>
                <w:lang w:val="es-ES"/>
              </w:rPr>
            </w:pPr>
            <w:r w:rsidRPr="00392CD2">
              <w:rPr>
                <w:lang w:val="es-ES"/>
              </w:rPr>
              <w:t>0,2</w:t>
            </w:r>
          </w:p>
        </w:tc>
      </w:tr>
      <w:tr w:rsidR="00A84FE2" w:rsidRPr="00392CD2" w:rsidTr="001A461C">
        <w:trPr>
          <w:jc w:val="center"/>
        </w:trPr>
        <w:tc>
          <w:tcPr>
            <w:tcW w:w="2551" w:type="dxa"/>
            <w:tcBorders>
              <w:top w:val="single" w:sz="4" w:space="0" w:color="auto"/>
              <w:left w:val="single" w:sz="4" w:space="0" w:color="auto"/>
              <w:bottom w:val="single" w:sz="4" w:space="0" w:color="auto"/>
              <w:right w:val="single" w:sz="4" w:space="0" w:color="auto"/>
            </w:tcBorders>
          </w:tcPr>
          <w:p w:rsidR="00A84FE2" w:rsidRPr="00392CD2" w:rsidRDefault="00A84FE2" w:rsidP="00A84FE2">
            <w:pPr>
              <w:pStyle w:val="Tabletext"/>
              <w:jc w:val="left"/>
              <w:rPr>
                <w:lang w:val="es-ES"/>
              </w:rPr>
            </w:pPr>
            <w:r w:rsidRPr="00392CD2">
              <w:rPr>
                <w:rFonts w:eastAsia="MS PGothic"/>
                <w:lang w:val="es-ES"/>
              </w:rPr>
              <w:t>Receptor de navegación aérea (AMDF)</w:t>
            </w:r>
          </w:p>
        </w:tc>
        <w:tc>
          <w:tcPr>
            <w:tcW w:w="1134" w:type="dxa"/>
            <w:tcBorders>
              <w:top w:val="single" w:sz="4" w:space="0" w:color="auto"/>
              <w:left w:val="single" w:sz="4" w:space="0" w:color="auto"/>
              <w:bottom w:val="single" w:sz="4" w:space="0" w:color="auto"/>
              <w:right w:val="single" w:sz="4" w:space="0" w:color="auto"/>
            </w:tcBorders>
          </w:tcPr>
          <w:p w:rsidR="00A84FE2" w:rsidRPr="00392CD2" w:rsidRDefault="00A84FE2" w:rsidP="00A84FE2">
            <w:pPr>
              <w:pStyle w:val="Tabletext"/>
              <w:jc w:val="center"/>
              <w:rPr>
                <w:lang w:val="es-ES"/>
              </w:rPr>
            </w:pPr>
            <w:r w:rsidRPr="00392CD2">
              <w:rPr>
                <w:lang w:val="es-ES"/>
              </w:rPr>
              <w:t>1</w:t>
            </w:r>
          </w:p>
        </w:tc>
        <w:tc>
          <w:tcPr>
            <w:tcW w:w="1134" w:type="dxa"/>
            <w:tcBorders>
              <w:top w:val="single" w:sz="4" w:space="0" w:color="auto"/>
              <w:left w:val="single" w:sz="4" w:space="0" w:color="auto"/>
              <w:bottom w:val="single" w:sz="4" w:space="0" w:color="auto"/>
              <w:right w:val="single" w:sz="4" w:space="0" w:color="auto"/>
            </w:tcBorders>
          </w:tcPr>
          <w:p w:rsidR="00A84FE2" w:rsidRPr="00392CD2" w:rsidRDefault="00A84FE2" w:rsidP="00A84FE2">
            <w:pPr>
              <w:pStyle w:val="Tabletext"/>
              <w:jc w:val="center"/>
              <w:rPr>
                <w:lang w:val="es-ES"/>
              </w:rPr>
            </w:pPr>
            <w:r w:rsidRPr="00392CD2">
              <w:rPr>
                <w:lang w:val="es-ES"/>
              </w:rPr>
              <w:t>0,1327</w:t>
            </w:r>
            <w:r w:rsidRPr="00392CD2">
              <w:rPr>
                <w:lang w:val="es-ES"/>
              </w:rPr>
              <w:br/>
              <w:t>(Nota 4)</w:t>
            </w:r>
          </w:p>
        </w:tc>
        <w:tc>
          <w:tcPr>
            <w:tcW w:w="1134" w:type="dxa"/>
            <w:tcBorders>
              <w:top w:val="single" w:sz="4" w:space="0" w:color="auto"/>
              <w:left w:val="single" w:sz="4" w:space="0" w:color="auto"/>
              <w:bottom w:val="single" w:sz="4" w:space="0" w:color="auto"/>
              <w:right w:val="single" w:sz="4" w:space="0" w:color="auto"/>
            </w:tcBorders>
          </w:tcPr>
          <w:p w:rsidR="00A84FE2" w:rsidRPr="00392CD2" w:rsidRDefault="00A84FE2" w:rsidP="00A84FE2">
            <w:pPr>
              <w:pStyle w:val="Tabletext"/>
              <w:jc w:val="center"/>
              <w:rPr>
                <w:lang w:val="es-ES"/>
              </w:rPr>
            </w:pPr>
            <w:r w:rsidRPr="00392CD2">
              <w:rPr>
                <w:lang w:val="es-ES"/>
              </w:rPr>
              <w:t>0</w:t>
            </w:r>
          </w:p>
        </w:tc>
        <w:tc>
          <w:tcPr>
            <w:tcW w:w="1134" w:type="dxa"/>
            <w:tcBorders>
              <w:top w:val="single" w:sz="4" w:space="0" w:color="auto"/>
              <w:left w:val="single" w:sz="4" w:space="0" w:color="auto"/>
              <w:bottom w:val="single" w:sz="4" w:space="0" w:color="auto"/>
              <w:right w:val="single" w:sz="4" w:space="0" w:color="auto"/>
            </w:tcBorders>
          </w:tcPr>
          <w:p w:rsidR="00A84FE2" w:rsidRPr="00392CD2" w:rsidRDefault="00A84FE2" w:rsidP="00A84FE2">
            <w:pPr>
              <w:pStyle w:val="Tabletext"/>
              <w:jc w:val="center"/>
              <w:rPr>
                <w:lang w:val="es-ES"/>
              </w:rPr>
            </w:pPr>
            <w:r w:rsidRPr="00392CD2">
              <w:rPr>
                <w:lang w:val="es-ES"/>
              </w:rPr>
              <w:t>0,455</w:t>
            </w:r>
          </w:p>
        </w:tc>
        <w:tc>
          <w:tcPr>
            <w:tcW w:w="2557" w:type="dxa"/>
            <w:tcBorders>
              <w:top w:val="single" w:sz="4" w:space="0" w:color="auto"/>
              <w:left w:val="single" w:sz="4" w:space="0" w:color="auto"/>
              <w:bottom w:val="single" w:sz="4" w:space="0" w:color="auto"/>
              <w:right w:val="single" w:sz="4" w:space="0" w:color="auto"/>
            </w:tcBorders>
          </w:tcPr>
          <w:p w:rsidR="00A84FE2" w:rsidRPr="00392CD2" w:rsidRDefault="00A84FE2" w:rsidP="00A84FE2">
            <w:pPr>
              <w:pStyle w:val="Tabletext"/>
              <w:jc w:val="center"/>
              <w:rPr>
                <w:lang w:val="es-ES"/>
              </w:rPr>
            </w:pPr>
            <w:r w:rsidRPr="00392CD2">
              <w:rPr>
                <w:lang w:val="es-ES"/>
              </w:rPr>
              <w:t>0,1</w:t>
            </w:r>
          </w:p>
        </w:tc>
      </w:tr>
      <w:tr w:rsidR="00A84FE2" w:rsidRPr="00392CD2" w:rsidTr="001A461C">
        <w:trPr>
          <w:jc w:val="center"/>
        </w:trPr>
        <w:tc>
          <w:tcPr>
            <w:tcW w:w="2551" w:type="dxa"/>
            <w:tcBorders>
              <w:top w:val="single" w:sz="4" w:space="0" w:color="auto"/>
              <w:left w:val="single" w:sz="4" w:space="0" w:color="auto"/>
              <w:bottom w:val="single" w:sz="4" w:space="0" w:color="auto"/>
              <w:right w:val="single" w:sz="4" w:space="0" w:color="auto"/>
            </w:tcBorders>
          </w:tcPr>
          <w:p w:rsidR="00A84FE2" w:rsidRPr="00392CD2" w:rsidRDefault="00A84FE2" w:rsidP="00A84FE2">
            <w:pPr>
              <w:pStyle w:val="Tabletext"/>
              <w:jc w:val="left"/>
              <w:rPr>
                <w:lang w:val="es-ES"/>
              </w:rPr>
            </w:pPr>
            <w:r w:rsidRPr="00392CD2">
              <w:rPr>
                <w:rFonts w:eastAsia="MS PGothic"/>
                <w:lang w:val="es-ES"/>
              </w:rPr>
              <w:t>Receptor de navegación aérea (AMDF)</w:t>
            </w:r>
          </w:p>
        </w:tc>
        <w:tc>
          <w:tcPr>
            <w:tcW w:w="1134" w:type="dxa"/>
            <w:tcBorders>
              <w:top w:val="single" w:sz="4" w:space="0" w:color="auto"/>
              <w:left w:val="single" w:sz="4" w:space="0" w:color="auto"/>
              <w:bottom w:val="single" w:sz="4" w:space="0" w:color="auto"/>
              <w:right w:val="single" w:sz="4" w:space="0" w:color="auto"/>
            </w:tcBorders>
          </w:tcPr>
          <w:p w:rsidR="00A84FE2" w:rsidRPr="00392CD2" w:rsidRDefault="00A84FE2" w:rsidP="00A84FE2">
            <w:pPr>
              <w:pStyle w:val="Tabletext"/>
              <w:jc w:val="center"/>
              <w:rPr>
                <w:lang w:val="es-ES"/>
              </w:rPr>
            </w:pPr>
            <w:r w:rsidRPr="00392CD2">
              <w:rPr>
                <w:lang w:val="es-ES"/>
              </w:rPr>
              <w:t>1</w:t>
            </w:r>
          </w:p>
        </w:tc>
        <w:tc>
          <w:tcPr>
            <w:tcW w:w="1134" w:type="dxa"/>
            <w:tcBorders>
              <w:top w:val="single" w:sz="4" w:space="0" w:color="auto"/>
              <w:left w:val="single" w:sz="4" w:space="0" w:color="auto"/>
              <w:bottom w:val="single" w:sz="4" w:space="0" w:color="auto"/>
              <w:right w:val="single" w:sz="4" w:space="0" w:color="auto"/>
            </w:tcBorders>
          </w:tcPr>
          <w:p w:rsidR="00A84FE2" w:rsidRPr="00392CD2" w:rsidRDefault="00A84FE2" w:rsidP="00A84FE2">
            <w:pPr>
              <w:pStyle w:val="Tabletext"/>
              <w:jc w:val="center"/>
              <w:rPr>
                <w:lang w:val="es-ES"/>
              </w:rPr>
            </w:pPr>
            <w:r w:rsidRPr="00392CD2">
              <w:rPr>
                <w:lang w:val="es-ES"/>
              </w:rPr>
              <w:t>0,1723</w:t>
            </w:r>
            <w:r w:rsidRPr="00392CD2">
              <w:rPr>
                <w:lang w:val="es-ES"/>
              </w:rPr>
              <w:br/>
              <w:t>(Nota 5)</w:t>
            </w:r>
          </w:p>
        </w:tc>
        <w:tc>
          <w:tcPr>
            <w:tcW w:w="1134" w:type="dxa"/>
            <w:tcBorders>
              <w:top w:val="single" w:sz="4" w:space="0" w:color="auto"/>
              <w:left w:val="single" w:sz="4" w:space="0" w:color="auto"/>
              <w:bottom w:val="single" w:sz="4" w:space="0" w:color="auto"/>
              <w:right w:val="single" w:sz="4" w:space="0" w:color="auto"/>
            </w:tcBorders>
          </w:tcPr>
          <w:p w:rsidR="00A84FE2" w:rsidRPr="00392CD2" w:rsidRDefault="00A84FE2" w:rsidP="00A84FE2">
            <w:pPr>
              <w:pStyle w:val="Tabletext"/>
              <w:jc w:val="center"/>
              <w:rPr>
                <w:lang w:val="es-ES"/>
              </w:rPr>
            </w:pPr>
            <w:r w:rsidRPr="00392CD2">
              <w:rPr>
                <w:lang w:val="es-ES"/>
              </w:rPr>
              <w:t>0</w:t>
            </w:r>
          </w:p>
        </w:tc>
        <w:tc>
          <w:tcPr>
            <w:tcW w:w="1134" w:type="dxa"/>
            <w:tcBorders>
              <w:top w:val="single" w:sz="4" w:space="0" w:color="auto"/>
              <w:left w:val="single" w:sz="4" w:space="0" w:color="auto"/>
              <w:bottom w:val="single" w:sz="4" w:space="0" w:color="auto"/>
              <w:right w:val="single" w:sz="4" w:space="0" w:color="auto"/>
            </w:tcBorders>
          </w:tcPr>
          <w:p w:rsidR="00A84FE2" w:rsidRPr="00392CD2" w:rsidRDefault="00A84FE2" w:rsidP="00A84FE2">
            <w:pPr>
              <w:pStyle w:val="Tabletext"/>
              <w:jc w:val="center"/>
              <w:rPr>
                <w:lang w:val="es-ES"/>
              </w:rPr>
            </w:pPr>
            <w:r w:rsidRPr="00392CD2">
              <w:rPr>
                <w:lang w:val="es-ES"/>
              </w:rPr>
              <w:t>0,455</w:t>
            </w:r>
          </w:p>
        </w:tc>
        <w:tc>
          <w:tcPr>
            <w:tcW w:w="2557" w:type="dxa"/>
            <w:tcBorders>
              <w:top w:val="single" w:sz="4" w:space="0" w:color="auto"/>
              <w:left w:val="single" w:sz="4" w:space="0" w:color="auto"/>
              <w:bottom w:val="single" w:sz="4" w:space="0" w:color="auto"/>
              <w:right w:val="single" w:sz="4" w:space="0" w:color="auto"/>
            </w:tcBorders>
          </w:tcPr>
          <w:p w:rsidR="00A84FE2" w:rsidRPr="00392CD2" w:rsidRDefault="00A84FE2" w:rsidP="00A84FE2">
            <w:pPr>
              <w:pStyle w:val="Tabletext"/>
              <w:jc w:val="center"/>
              <w:rPr>
                <w:lang w:val="es-ES"/>
              </w:rPr>
            </w:pPr>
            <w:r w:rsidRPr="00392CD2">
              <w:rPr>
                <w:lang w:val="es-ES"/>
              </w:rPr>
              <w:t>0,1</w:t>
            </w:r>
          </w:p>
        </w:tc>
      </w:tr>
      <w:tr w:rsidR="00A84FE2" w:rsidRPr="00D92AE2" w:rsidTr="00180DAD">
        <w:trPr>
          <w:jc w:val="center"/>
        </w:trPr>
        <w:tc>
          <w:tcPr>
            <w:tcW w:w="9644" w:type="dxa"/>
            <w:gridSpan w:val="6"/>
            <w:tcBorders>
              <w:top w:val="single" w:sz="4" w:space="0" w:color="auto"/>
              <w:left w:val="nil"/>
              <w:bottom w:val="nil"/>
              <w:right w:val="nil"/>
            </w:tcBorders>
          </w:tcPr>
          <w:p w:rsidR="00A84FE2" w:rsidRDefault="00A84FE2" w:rsidP="00A84FE2">
            <w:pPr>
              <w:pStyle w:val="Tablelegend"/>
              <w:rPr>
                <w:lang w:val="es-ES"/>
              </w:rPr>
            </w:pPr>
            <w:r w:rsidRPr="00392CD2">
              <w:rPr>
                <w:lang w:val="es-ES"/>
              </w:rPr>
              <w:t>*</w:t>
            </w:r>
            <w:r w:rsidRPr="00392CD2">
              <w:rPr>
                <w:lang w:val="es-ES"/>
              </w:rPr>
              <w:tab/>
              <w:t>Aún deben determinarse los valores de los parámetros para otros tipos de receptores del SRNS. Las ecuaciones de relación de degradación del §  3 de este Anexo pueden utilizarse para predecir el carácter general de los efectos de la interferencia impulsiva en los receptores del SRNS para los que no se indican los parámetros.</w:t>
            </w:r>
          </w:p>
          <w:p w:rsidR="00A84FE2" w:rsidRPr="00A84FE2" w:rsidRDefault="00A84FE2" w:rsidP="00A84FE2">
            <w:pPr>
              <w:pStyle w:val="TableLegendNote"/>
              <w:rPr>
                <w:lang w:val="es-ES_tradnl"/>
              </w:rPr>
            </w:pPr>
            <w:r w:rsidRPr="00A84FE2">
              <w:rPr>
                <w:lang w:val="es-ES_tradnl"/>
              </w:rPr>
              <w:t>NOTA 1 – Un receptor con supresión de impulsos tiene un NLIM de valor cero.</w:t>
            </w:r>
          </w:p>
          <w:p w:rsidR="00A84FE2" w:rsidRPr="00A84FE2" w:rsidRDefault="00A84FE2" w:rsidP="00A84FE2">
            <w:pPr>
              <w:pStyle w:val="TableLegendNote"/>
              <w:rPr>
                <w:lang w:val="es-ES_tradnl"/>
              </w:rPr>
            </w:pPr>
            <w:r w:rsidRPr="00A84FE2">
              <w:rPr>
                <w:lang w:val="es-ES_tradnl"/>
              </w:rPr>
              <w:t>NOTA 2 – Los parámetros para las fuentes impulsivas básicas que aparecen en este Cuadro se consideran valores de caso más desfavorable. Cabe esperar que, en la mayoría de los entornos reales, puede haber varios tipos de fuentes de interferencia impulsiva con valores individuales más bajos para PDC y, por tanto, el PDC de la interferencia impulsiva básica combinada sería inferior al indicado en el cuadro. Estas condiciones reales deben tenerse en cuenta cuando se lleve a cabo el análisis detallado solicitado por él recomienda 2.</w:t>
            </w:r>
          </w:p>
          <w:p w:rsidR="00A84FE2" w:rsidRPr="00A84FE2" w:rsidRDefault="00A84FE2" w:rsidP="00A84FE2">
            <w:pPr>
              <w:pStyle w:val="TableLegendNote"/>
              <w:rPr>
                <w:lang w:val="es-ES_tradnl"/>
              </w:rPr>
            </w:pPr>
            <w:r w:rsidRPr="00A84FE2">
              <w:rPr>
                <w:lang w:val="es-ES_tradnl"/>
              </w:rPr>
              <w:t>NOTA 3 – La relación de degradación admisible para las nuevas fuentes impulsivas sin la condición de RFI básica exigen que se considere la repercusión acumulativa sobre un receptor del SRNS procedente de múltiples fuentes impulsivas que iluminan simultáneamente el receptor del SRNS.</w:t>
            </w:r>
          </w:p>
          <w:p w:rsidR="00A84FE2" w:rsidRPr="00A84FE2" w:rsidRDefault="00A84FE2" w:rsidP="00A84FE2">
            <w:pPr>
              <w:pStyle w:val="TableLegendNote"/>
              <w:rPr>
                <w:lang w:val="es-ES_tradnl"/>
              </w:rPr>
            </w:pPr>
            <w:r w:rsidRPr="00A84FE2">
              <w:rPr>
                <w:lang w:val="es-ES_tradnl"/>
              </w:rPr>
              <w:t>NOTA 4 – Basado en un tiempo de recuperación de sobrecarga de 1 microsegundo.</w:t>
            </w:r>
          </w:p>
          <w:p w:rsidR="00A84FE2" w:rsidRPr="00A84FE2" w:rsidRDefault="00A84FE2" w:rsidP="00A84FE2">
            <w:pPr>
              <w:pStyle w:val="TableLegendNote"/>
              <w:rPr>
                <w:lang w:val="es-ES_tradnl"/>
              </w:rPr>
            </w:pPr>
            <w:r w:rsidRPr="00A84FE2">
              <w:rPr>
                <w:lang w:val="es-ES_tradnl"/>
              </w:rPr>
              <w:t>NOTA 5 – Basado en un tiempo de recuperación de sobrecarga de 30 microsegundos.</w:t>
            </w:r>
          </w:p>
        </w:tc>
      </w:tr>
    </w:tbl>
    <w:p w:rsidR="001A461C" w:rsidRPr="000E4C61" w:rsidRDefault="001A461C" w:rsidP="001A461C">
      <w:pPr>
        <w:pStyle w:val="Tablefin"/>
        <w:rPr>
          <w:lang w:val="es-ES_tradnl"/>
        </w:rPr>
      </w:pPr>
    </w:p>
    <w:p w:rsidR="00E7517C" w:rsidRPr="00392CD2" w:rsidRDefault="00E7517C" w:rsidP="00A746BF">
      <w:pPr>
        <w:rPr>
          <w:szCs w:val="24"/>
          <w:highlight w:val="yellow"/>
          <w:lang w:val="es-ES"/>
        </w:rPr>
      </w:pPr>
      <w:r w:rsidRPr="00392CD2">
        <w:rPr>
          <w:lang w:val="es-ES"/>
        </w:rPr>
        <w:t>Las ecuaciones de relación de degradación del §</w:t>
      </w:r>
      <w:r w:rsidR="00A746BF">
        <w:rPr>
          <w:lang w:val="es-ES"/>
        </w:rPr>
        <w:t> </w:t>
      </w:r>
      <w:r w:rsidRPr="00392CD2">
        <w:rPr>
          <w:lang w:val="es-ES"/>
        </w:rPr>
        <w:t>3 de este Anexo también pueden utilizarse para predecir el carácter general de los efectos de la interferencia impulsiva sobre los receptores del SRNS que funcionan en la banda de frecuencias 1 559-1 610 MHz. Sin embargo, aún está por elaborar el cuadro sobre parámetros del método de evaluación y límites de degradación admisibles recome</w:t>
      </w:r>
      <w:r>
        <w:rPr>
          <w:lang w:val="es-ES"/>
        </w:rPr>
        <w:t>ndados para la banda 1</w:t>
      </w:r>
      <w:r w:rsidR="00A746BF">
        <w:rPr>
          <w:lang w:val="es-ES"/>
        </w:rPr>
        <w:t> </w:t>
      </w:r>
      <w:r>
        <w:rPr>
          <w:lang w:val="es-ES"/>
        </w:rPr>
        <w:t>559-1</w:t>
      </w:r>
      <w:r w:rsidR="00A746BF">
        <w:rPr>
          <w:lang w:val="es-ES"/>
        </w:rPr>
        <w:t> </w:t>
      </w:r>
      <w:r>
        <w:rPr>
          <w:lang w:val="es-ES"/>
        </w:rPr>
        <w:t>610</w:t>
      </w:r>
      <w:r w:rsidRPr="00392CD2">
        <w:rPr>
          <w:lang w:val="es-ES"/>
        </w:rPr>
        <w:t xml:space="preserve"> MHz</w:t>
      </w:r>
      <w:r>
        <w:rPr>
          <w:lang w:val="es-ES"/>
        </w:rPr>
        <w:t>,</w:t>
      </w:r>
      <w:r w:rsidRPr="00392CD2">
        <w:rPr>
          <w:lang w:val="es-ES"/>
        </w:rPr>
        <w:t xml:space="preserve"> necesarios para evaluar la repercusión de la interferencia impulsiva. El punto de partida para esa elaboración puede ser el método básico </w:t>
      </w:r>
      <w:r>
        <w:rPr>
          <w:lang w:val="es-ES"/>
        </w:rPr>
        <w:t>descrito en el Informe UIT-R M.</w:t>
      </w:r>
      <w:r w:rsidRPr="00392CD2">
        <w:rPr>
          <w:lang w:val="es-ES"/>
        </w:rPr>
        <w:t>2220 adaptado para determinar los parámetros de interferencia combinada de los sistemas de RF impulsiva en la banda 1 559-1 610 MHz y cerca de ella, teniendo en cuenta a la vez las fuentes de interferencia continua en esa banda de frecuencias o próximas a ella.</w:t>
      </w:r>
    </w:p>
    <w:p w:rsidR="00E7517C" w:rsidRPr="00392CD2" w:rsidRDefault="00E7517C" w:rsidP="003877FE">
      <w:pPr>
        <w:pStyle w:val="AnnexNoTitle"/>
        <w:rPr>
          <w:lang w:val="es-ES"/>
        </w:rPr>
      </w:pPr>
      <w:r w:rsidRPr="00392CD2">
        <w:rPr>
          <w:lang w:val="es-ES"/>
        </w:rPr>
        <w:lastRenderedPageBreak/>
        <w:t>Anexo 2</w:t>
      </w:r>
      <w:r w:rsidRPr="00392CD2">
        <w:rPr>
          <w:lang w:val="es-ES"/>
        </w:rPr>
        <w:br/>
      </w:r>
      <w:r w:rsidRPr="00392CD2">
        <w:rPr>
          <w:lang w:val="es-ES"/>
        </w:rPr>
        <w:br/>
        <w:t>Ejemplos de aplicación del método de evaluación analítica</w:t>
      </w:r>
      <w:r w:rsidR="003877FE">
        <w:rPr>
          <w:lang w:val="es-ES"/>
        </w:rPr>
        <w:br/>
      </w:r>
      <w:r w:rsidRPr="00392CD2">
        <w:rPr>
          <w:lang w:val="es-ES"/>
        </w:rPr>
        <w:t>de la RFI impulsiva</w:t>
      </w:r>
    </w:p>
    <w:p w:rsidR="00E7517C" w:rsidRPr="00392CD2" w:rsidRDefault="00E7517C" w:rsidP="003877FE">
      <w:pPr>
        <w:pStyle w:val="Normalaftertitle"/>
        <w:rPr>
          <w:lang w:val="es-ES" w:eastAsia="zh-CN"/>
        </w:rPr>
      </w:pPr>
      <w:r w:rsidRPr="00392CD2">
        <w:rPr>
          <w:lang w:val="es-ES"/>
        </w:rPr>
        <w:t>Este Anexo presenta dos ejemplos de la aplicación del método de evaluación analítica del Anexo</w:t>
      </w:r>
      <w:r w:rsidR="003877FE">
        <w:rPr>
          <w:lang w:val="es-ES"/>
        </w:rPr>
        <w:t> </w:t>
      </w:r>
      <w:r w:rsidRPr="00392CD2">
        <w:rPr>
          <w:lang w:val="es-ES"/>
        </w:rPr>
        <w:t>1 para determinar la repercusión de la interferencia impulsiva procedente de la misma nueva fuente de</w:t>
      </w:r>
      <w:r w:rsidR="003877FE">
        <w:rPr>
          <w:lang w:val="es-ES"/>
        </w:rPr>
        <w:t> </w:t>
      </w:r>
      <w:r w:rsidRPr="00392CD2">
        <w:rPr>
          <w:lang w:val="es-ES"/>
        </w:rPr>
        <w:t>RF impulsiva sobre dos tipos de receptor del SRNS distintos que funciona</w:t>
      </w:r>
      <w:r>
        <w:rPr>
          <w:lang w:val="es-ES"/>
        </w:rPr>
        <w:t>n</w:t>
      </w:r>
      <w:r w:rsidRPr="00392CD2">
        <w:rPr>
          <w:lang w:val="es-ES"/>
        </w:rPr>
        <w:t xml:space="preserve"> en la banda de frecuencias 1</w:t>
      </w:r>
      <w:r w:rsidR="003877FE">
        <w:rPr>
          <w:lang w:val="es-ES"/>
        </w:rPr>
        <w:t> </w:t>
      </w:r>
      <w:r w:rsidRPr="00392CD2">
        <w:rPr>
          <w:lang w:val="es-ES"/>
        </w:rPr>
        <w:t>215-1 300 MHz.</w:t>
      </w:r>
    </w:p>
    <w:p w:rsidR="00E7517C" w:rsidRPr="00392CD2" w:rsidRDefault="00E7517C" w:rsidP="003877FE">
      <w:pPr>
        <w:pStyle w:val="Heading1"/>
        <w:rPr>
          <w:lang w:val="es-ES"/>
        </w:rPr>
      </w:pPr>
      <w:r w:rsidRPr="00392CD2">
        <w:rPr>
          <w:lang w:val="es-ES"/>
        </w:rPr>
        <w:t>1</w:t>
      </w:r>
      <w:r w:rsidRPr="00392CD2">
        <w:rPr>
          <w:lang w:val="es-ES"/>
        </w:rPr>
        <w:tab/>
        <w:t>Descripción del caso básico operacional del receptor del SRNS</w:t>
      </w:r>
    </w:p>
    <w:p w:rsidR="00E7517C" w:rsidRDefault="00E7517C" w:rsidP="003877FE">
      <w:pPr>
        <w:rPr>
          <w:lang w:val="es-ES"/>
        </w:rPr>
      </w:pPr>
      <w:r w:rsidRPr="00392CD2">
        <w:rPr>
          <w:lang w:val="es-ES"/>
        </w:rPr>
        <w:t>Se supone que los dos tipos de receptores del SRNS, un receptor de referencia en tierra SBAS y algunos receptores con codificación parcial de alta precisión (banda 1</w:t>
      </w:r>
      <w:r w:rsidR="003877FE">
        <w:rPr>
          <w:lang w:val="es-ES"/>
        </w:rPr>
        <w:t> </w:t>
      </w:r>
      <w:r w:rsidRPr="00392CD2">
        <w:rPr>
          <w:lang w:val="es-ES"/>
        </w:rPr>
        <w:t>215-1</w:t>
      </w:r>
      <w:r w:rsidR="003877FE">
        <w:rPr>
          <w:lang w:val="es-ES"/>
        </w:rPr>
        <w:t> </w:t>
      </w:r>
      <w:r w:rsidRPr="00392CD2">
        <w:rPr>
          <w:lang w:val="es-ES"/>
        </w:rPr>
        <w:t>300 MHz) funcionan normalmente en las proximidades de un único sistema de radar de impulsos. Se supone que este radar produce señales impulsivas que caen dentro de las bandas de paso del filtro del precorrelador de los dos tipos de receptores que los satura plenamente. Como figura en el Anexo 1, Cuadro 2, fila 2, se supone que el radar básico produce los siguientes factores de la RFI impulsiva recibidos:</w:t>
      </w:r>
    </w:p>
    <w:p w:rsidR="003877FE" w:rsidRPr="000E4C61" w:rsidRDefault="003877FE" w:rsidP="003877FE">
      <w:pPr>
        <w:pStyle w:val="Blanc"/>
        <w:rPr>
          <w:lang w:val="es-ES_tradnl"/>
        </w:rPr>
      </w:pPr>
    </w:p>
    <w:p w:rsidR="00E7517C" w:rsidRPr="00392CD2" w:rsidRDefault="00E7517C" w:rsidP="00E7517C">
      <w:pPr>
        <w:pStyle w:val="Equation"/>
        <w:rPr>
          <w:lang w:val="es-ES"/>
        </w:rPr>
      </w:pPr>
      <w:r w:rsidRPr="00392CD2">
        <w:rPr>
          <w:lang w:val="es-ES"/>
        </w:rPr>
        <w:tab/>
      </w:r>
      <w:r w:rsidRPr="00392CD2">
        <w:rPr>
          <w:lang w:val="es-ES"/>
        </w:rPr>
        <w:tab/>
      </w:r>
      <w:r w:rsidRPr="00392CD2">
        <w:rPr>
          <w:i/>
          <w:lang w:val="es-ES"/>
        </w:rPr>
        <w:t>PDC</w:t>
      </w:r>
      <w:r>
        <w:rPr>
          <w:lang w:val="es-ES"/>
        </w:rPr>
        <w:t xml:space="preserve"> = 0,</w:t>
      </w:r>
      <w:r w:rsidR="0014348A">
        <w:rPr>
          <w:lang w:val="es-ES"/>
        </w:rPr>
        <w:t>0765</w:t>
      </w:r>
      <w:r w:rsidRPr="00392CD2">
        <w:rPr>
          <w:lang w:val="es-ES"/>
        </w:rPr>
        <w:br/>
      </w:r>
      <w:r w:rsidRPr="00392CD2">
        <w:rPr>
          <w:lang w:val="es-ES"/>
        </w:rPr>
        <w:tab/>
      </w:r>
      <w:r w:rsidRPr="00392CD2">
        <w:rPr>
          <w:lang w:val="es-ES"/>
        </w:rPr>
        <w:tab/>
      </w:r>
      <w:r w:rsidRPr="00392CD2">
        <w:rPr>
          <w:i/>
          <w:lang w:val="es-ES"/>
        </w:rPr>
        <w:t>R</w:t>
      </w:r>
      <w:r w:rsidRPr="00392CD2">
        <w:rPr>
          <w:i/>
          <w:vertAlign w:val="subscript"/>
          <w:lang w:val="es-ES"/>
        </w:rPr>
        <w:t>I</w:t>
      </w:r>
      <w:r w:rsidR="00EF004C">
        <w:rPr>
          <w:lang w:val="es-ES"/>
        </w:rPr>
        <w:t xml:space="preserve"> =0</w:t>
      </w:r>
    </w:p>
    <w:p w:rsidR="003877FE" w:rsidRPr="000E4C61" w:rsidRDefault="003877FE" w:rsidP="003877FE">
      <w:pPr>
        <w:pStyle w:val="Blanc"/>
        <w:rPr>
          <w:lang w:val="es-ES_tradnl"/>
        </w:rPr>
      </w:pPr>
    </w:p>
    <w:p w:rsidR="00E7517C" w:rsidRPr="00392CD2" w:rsidRDefault="00E7517C" w:rsidP="00E7517C">
      <w:pPr>
        <w:rPr>
          <w:lang w:val="es-ES"/>
        </w:rPr>
      </w:pPr>
      <w:r w:rsidRPr="00392CD2">
        <w:rPr>
          <w:lang w:val="es-ES"/>
        </w:rPr>
        <w:t>Los parámetros pertinentes del receptor de referencia en tierra SBAS son</w:t>
      </w:r>
      <w:r>
        <w:rPr>
          <w:lang w:val="es-ES"/>
        </w:rPr>
        <w:t>:</w:t>
      </w:r>
    </w:p>
    <w:p w:rsidR="003877FE" w:rsidRPr="000E4C61" w:rsidRDefault="003877FE" w:rsidP="003877FE">
      <w:pPr>
        <w:pStyle w:val="Blanc"/>
        <w:rPr>
          <w:lang w:val="es-ES_tradnl"/>
        </w:rPr>
      </w:pPr>
    </w:p>
    <w:p w:rsidR="00E7517C" w:rsidRPr="00392CD2" w:rsidRDefault="00E7517C" w:rsidP="00E7517C">
      <w:pPr>
        <w:pStyle w:val="Equation"/>
        <w:rPr>
          <w:lang w:val="es-ES"/>
        </w:rPr>
      </w:pPr>
      <w:r w:rsidRPr="00392CD2">
        <w:rPr>
          <w:lang w:val="es-ES"/>
        </w:rPr>
        <w:tab/>
      </w:r>
      <w:r w:rsidRPr="00392CD2">
        <w:rPr>
          <w:lang w:val="es-ES"/>
        </w:rPr>
        <w:tab/>
      </w:r>
      <w:r w:rsidRPr="00392CD2">
        <w:rPr>
          <w:i/>
          <w:lang w:val="es-ES"/>
        </w:rPr>
        <w:t>N</w:t>
      </w:r>
      <w:r w:rsidRPr="00392CD2">
        <w:rPr>
          <w:i/>
          <w:vertAlign w:val="subscript"/>
          <w:lang w:val="es-ES"/>
        </w:rPr>
        <w:t>LIM</w:t>
      </w:r>
      <w:r w:rsidRPr="00392CD2">
        <w:rPr>
          <w:lang w:val="es-ES"/>
        </w:rPr>
        <w:t xml:space="preserve"> = 1</w:t>
      </w:r>
      <w:r>
        <w:rPr>
          <w:lang w:val="es-ES"/>
        </w:rPr>
        <w:t>,</w:t>
      </w:r>
      <w:r w:rsidRPr="00392CD2">
        <w:rPr>
          <w:lang w:val="es-ES"/>
        </w:rPr>
        <w:t>0</w:t>
      </w:r>
      <w:r w:rsidRPr="00392CD2">
        <w:rPr>
          <w:lang w:val="es-ES"/>
        </w:rPr>
        <w:br/>
      </w:r>
      <w:r w:rsidRPr="00392CD2">
        <w:rPr>
          <w:lang w:val="es-ES"/>
        </w:rPr>
        <w:tab/>
      </w:r>
      <w:r w:rsidRPr="00392CD2">
        <w:rPr>
          <w:lang w:val="es-ES"/>
        </w:rPr>
        <w:tab/>
      </w:r>
      <w:r w:rsidRPr="00392CD2">
        <w:rPr>
          <w:iCs/>
          <w:szCs w:val="24"/>
          <w:lang w:val="es-ES"/>
        </w:rPr>
        <w:sym w:font="Symbol" w:char="F074"/>
      </w:r>
      <w:r w:rsidRPr="00392CD2">
        <w:rPr>
          <w:i/>
          <w:vertAlign w:val="subscript"/>
          <w:lang w:val="es-ES"/>
        </w:rPr>
        <w:t>REC</w:t>
      </w:r>
      <w:r>
        <w:rPr>
          <w:lang w:val="es-ES"/>
        </w:rPr>
        <w:t xml:space="preserve"> = 1,</w:t>
      </w:r>
      <w:r w:rsidR="00EF004C">
        <w:rPr>
          <w:lang w:val="es-ES"/>
        </w:rPr>
        <w:t>0 µs</w:t>
      </w:r>
    </w:p>
    <w:p w:rsidR="003877FE" w:rsidRPr="000E4C61" w:rsidRDefault="003877FE" w:rsidP="003877FE">
      <w:pPr>
        <w:pStyle w:val="Blanc"/>
        <w:rPr>
          <w:lang w:val="es-ES_tradnl"/>
        </w:rPr>
      </w:pPr>
    </w:p>
    <w:p w:rsidR="00E7517C" w:rsidRPr="00392CD2" w:rsidRDefault="00E7517C" w:rsidP="00E7517C">
      <w:pPr>
        <w:rPr>
          <w:lang w:val="es-ES"/>
        </w:rPr>
      </w:pPr>
      <w:r w:rsidRPr="00392CD2">
        <w:rPr>
          <w:lang w:val="es-ES"/>
        </w:rPr>
        <w:t>Los parámetros pertinentes del receptor con codificación parcial de alta precisión son:</w:t>
      </w:r>
    </w:p>
    <w:p w:rsidR="003877FE" w:rsidRPr="000E4C61" w:rsidRDefault="003877FE" w:rsidP="003877FE">
      <w:pPr>
        <w:pStyle w:val="Blanc"/>
        <w:rPr>
          <w:lang w:val="es-ES_tradnl"/>
        </w:rPr>
      </w:pPr>
    </w:p>
    <w:p w:rsidR="00E7517C" w:rsidRPr="00392CD2" w:rsidRDefault="00E7517C" w:rsidP="00E7517C">
      <w:pPr>
        <w:pStyle w:val="Equation"/>
        <w:rPr>
          <w:lang w:val="es-ES"/>
        </w:rPr>
      </w:pPr>
      <w:r w:rsidRPr="00392CD2">
        <w:rPr>
          <w:lang w:val="es-ES"/>
        </w:rPr>
        <w:tab/>
      </w:r>
      <w:r w:rsidRPr="00392CD2">
        <w:rPr>
          <w:lang w:val="es-ES"/>
        </w:rPr>
        <w:tab/>
      </w:r>
      <w:r w:rsidRPr="00392CD2">
        <w:rPr>
          <w:i/>
          <w:lang w:val="es-ES"/>
        </w:rPr>
        <w:t>N</w:t>
      </w:r>
      <w:r w:rsidRPr="00392CD2">
        <w:rPr>
          <w:i/>
          <w:vertAlign w:val="subscript"/>
          <w:lang w:val="es-ES"/>
        </w:rPr>
        <w:t>LIM</w:t>
      </w:r>
      <w:r>
        <w:rPr>
          <w:lang w:val="es-ES"/>
        </w:rPr>
        <w:t xml:space="preserve"> = 2,</w:t>
      </w:r>
      <w:r w:rsidRPr="00392CD2">
        <w:rPr>
          <w:lang w:val="es-ES"/>
        </w:rPr>
        <w:t>0</w:t>
      </w:r>
      <w:r w:rsidRPr="00392CD2">
        <w:rPr>
          <w:lang w:val="es-ES"/>
        </w:rPr>
        <w:br/>
      </w:r>
      <w:r w:rsidRPr="00392CD2">
        <w:rPr>
          <w:lang w:val="es-ES"/>
        </w:rPr>
        <w:tab/>
      </w:r>
      <w:r w:rsidRPr="00392CD2">
        <w:rPr>
          <w:lang w:val="es-ES"/>
        </w:rPr>
        <w:tab/>
      </w:r>
      <w:r w:rsidRPr="00392CD2">
        <w:rPr>
          <w:iCs/>
          <w:szCs w:val="24"/>
          <w:lang w:val="es-ES"/>
        </w:rPr>
        <w:sym w:font="Symbol" w:char="F074"/>
      </w:r>
      <w:r w:rsidRPr="00392CD2">
        <w:rPr>
          <w:i/>
          <w:vertAlign w:val="subscript"/>
          <w:lang w:val="es-ES"/>
        </w:rPr>
        <w:t>REC</w:t>
      </w:r>
      <w:r>
        <w:rPr>
          <w:lang w:val="es-ES"/>
        </w:rPr>
        <w:t xml:space="preserve"> = 1,</w:t>
      </w:r>
      <w:r w:rsidR="00EF004C">
        <w:rPr>
          <w:lang w:val="es-ES"/>
        </w:rPr>
        <w:t>0 µs</w:t>
      </w:r>
    </w:p>
    <w:p w:rsidR="003877FE" w:rsidRPr="000E4C61" w:rsidRDefault="003877FE" w:rsidP="003877FE">
      <w:pPr>
        <w:pStyle w:val="Blanc"/>
        <w:rPr>
          <w:lang w:val="es-ES_tradnl"/>
        </w:rPr>
      </w:pPr>
    </w:p>
    <w:p w:rsidR="00E7517C" w:rsidRPr="00392CD2" w:rsidRDefault="00E7517C" w:rsidP="00E7517C">
      <w:pPr>
        <w:rPr>
          <w:lang w:val="es-ES"/>
        </w:rPr>
      </w:pPr>
      <w:r w:rsidRPr="00392CD2">
        <w:rPr>
          <w:lang w:val="es-ES"/>
        </w:rPr>
        <w:t>Se supone que cada uno funciona en presencia simultánea de interferencia continua con una relación de densidad I</w:t>
      </w:r>
      <w:r w:rsidRPr="00392CD2">
        <w:rPr>
          <w:vertAlign w:val="subscript"/>
          <w:lang w:val="es-ES"/>
        </w:rPr>
        <w:t>0</w:t>
      </w:r>
      <w:r w:rsidRPr="00392CD2">
        <w:rPr>
          <w:lang w:val="es-ES"/>
        </w:rPr>
        <w:t>/N</w:t>
      </w:r>
      <w:r w:rsidRPr="00392CD2">
        <w:rPr>
          <w:vertAlign w:val="subscript"/>
          <w:lang w:val="es-ES"/>
        </w:rPr>
        <w:t>0</w:t>
      </w:r>
      <w:r w:rsidRPr="00392CD2">
        <w:rPr>
          <w:lang w:val="es-ES"/>
        </w:rPr>
        <w:t xml:space="preserve"> del Anexo 1, Cuadro 2.</w:t>
      </w:r>
    </w:p>
    <w:p w:rsidR="00E7517C" w:rsidRPr="00392CD2" w:rsidRDefault="00E7517C" w:rsidP="00E7517C">
      <w:pPr>
        <w:pStyle w:val="Heading1"/>
        <w:rPr>
          <w:lang w:val="es-ES"/>
        </w:rPr>
      </w:pPr>
      <w:r w:rsidRPr="00392CD2">
        <w:rPr>
          <w:lang w:val="es-ES"/>
        </w:rPr>
        <w:t>2</w:t>
      </w:r>
      <w:r w:rsidRPr="00392CD2">
        <w:rPr>
          <w:lang w:val="es-ES"/>
        </w:rPr>
        <w:tab/>
        <w:t xml:space="preserve">Ejemplos de cálculo de la relación de degradación de la RFI impulsiva por el método analítico </w:t>
      </w:r>
    </w:p>
    <w:p w:rsidR="00E7517C" w:rsidRPr="00392CD2" w:rsidRDefault="00E7517C" w:rsidP="00E7517C">
      <w:pPr>
        <w:tabs>
          <w:tab w:val="clear" w:pos="1191"/>
          <w:tab w:val="left" w:pos="1170"/>
        </w:tabs>
        <w:rPr>
          <w:lang w:val="es-ES"/>
        </w:rPr>
      </w:pPr>
      <w:r w:rsidRPr="00392CD2">
        <w:rPr>
          <w:lang w:val="es-ES"/>
        </w:rPr>
        <w:t>Se propone situar un único nuevo transmisor de RF</w:t>
      </w:r>
      <w:r>
        <w:rPr>
          <w:lang w:val="es-ES"/>
        </w:rPr>
        <w:t xml:space="preserve"> impulsiva</w:t>
      </w:r>
      <w:r w:rsidRPr="00392CD2">
        <w:rPr>
          <w:lang w:val="es-ES"/>
        </w:rPr>
        <w:t xml:space="preserve"> en el caso operacional básico antes descrito. Se supone que recibe una potencia de cresta suficientemente elevada como para saturar ambos tipos de receptor del SRNS en funcionamiento. Los parámetros del impulso transmitido propuestos para la nueva fuente son:</w:t>
      </w:r>
    </w:p>
    <w:p w:rsidR="003877FE" w:rsidRPr="000E4C61" w:rsidRDefault="003877FE" w:rsidP="003877FE">
      <w:pPr>
        <w:pStyle w:val="Blanc"/>
        <w:rPr>
          <w:lang w:val="es-ES_tradnl"/>
        </w:rPr>
      </w:pPr>
    </w:p>
    <w:p w:rsidR="00E7517C" w:rsidRPr="00392CD2" w:rsidRDefault="00E7517C" w:rsidP="00E7517C">
      <w:pPr>
        <w:pStyle w:val="Equation"/>
        <w:rPr>
          <w:lang w:val="es-ES"/>
        </w:rPr>
      </w:pPr>
      <w:r w:rsidRPr="00392CD2">
        <w:rPr>
          <w:lang w:val="es-ES"/>
        </w:rPr>
        <w:tab/>
      </w:r>
      <w:r w:rsidRPr="00392CD2">
        <w:rPr>
          <w:lang w:val="es-ES"/>
        </w:rPr>
        <w:tab/>
      </w:r>
      <w:r w:rsidRPr="00392CD2">
        <w:rPr>
          <w:i/>
          <w:lang w:val="es-ES"/>
        </w:rPr>
        <w:t>PW</w:t>
      </w:r>
      <w:r w:rsidRPr="00392CD2">
        <w:rPr>
          <w:i/>
          <w:vertAlign w:val="subscript"/>
          <w:lang w:val="es-ES"/>
        </w:rPr>
        <w:t>Y</w:t>
      </w:r>
      <w:r w:rsidRPr="00392CD2">
        <w:rPr>
          <w:lang w:val="es-ES"/>
        </w:rPr>
        <w:t xml:space="preserve"> = 44</w:t>
      </w:r>
      <w:r>
        <w:rPr>
          <w:lang w:val="es-ES"/>
        </w:rPr>
        <w:t>,</w:t>
      </w:r>
      <w:r w:rsidR="0014348A">
        <w:rPr>
          <w:lang w:val="es-ES"/>
        </w:rPr>
        <w:t>0 µs</w:t>
      </w:r>
      <w:r w:rsidRPr="00392CD2">
        <w:rPr>
          <w:lang w:val="es-ES"/>
        </w:rPr>
        <w:br/>
      </w:r>
      <w:r w:rsidRPr="00392CD2">
        <w:rPr>
          <w:lang w:val="es-ES"/>
        </w:rPr>
        <w:tab/>
      </w:r>
      <w:r w:rsidRPr="00392CD2">
        <w:rPr>
          <w:lang w:val="es-ES"/>
        </w:rPr>
        <w:tab/>
      </w:r>
      <w:r w:rsidRPr="00392CD2">
        <w:rPr>
          <w:i/>
          <w:lang w:val="es-ES"/>
        </w:rPr>
        <w:t>PRF</w:t>
      </w:r>
      <w:r w:rsidRPr="00392CD2">
        <w:rPr>
          <w:i/>
          <w:vertAlign w:val="subscript"/>
          <w:lang w:val="es-ES"/>
        </w:rPr>
        <w:t>Y</w:t>
      </w:r>
      <w:r w:rsidR="00EF004C">
        <w:rPr>
          <w:lang w:val="es-ES"/>
        </w:rPr>
        <w:t xml:space="preserve"> = 500 Hz</w:t>
      </w:r>
    </w:p>
    <w:p w:rsidR="00E7517C" w:rsidRPr="00392CD2" w:rsidRDefault="00E7517C" w:rsidP="00E7517C">
      <w:pPr>
        <w:pStyle w:val="Heading2"/>
        <w:rPr>
          <w:lang w:val="es-ES"/>
        </w:rPr>
      </w:pPr>
      <w:r w:rsidRPr="00392CD2">
        <w:rPr>
          <w:lang w:val="es-ES"/>
        </w:rPr>
        <w:lastRenderedPageBreak/>
        <w:t>2.1</w:t>
      </w:r>
      <w:r w:rsidRPr="00392CD2">
        <w:rPr>
          <w:lang w:val="es-ES"/>
        </w:rPr>
        <w:tab/>
        <w:t>Cálculo de la relación de degradación por RFI impulsiva del receptor de referencia en tierra SBAS</w:t>
      </w:r>
    </w:p>
    <w:p w:rsidR="00E7517C" w:rsidRPr="00392CD2" w:rsidRDefault="00E7517C" w:rsidP="00E7517C">
      <w:pPr>
        <w:rPr>
          <w:lang w:val="es-ES"/>
        </w:rPr>
      </w:pPr>
      <w:r w:rsidRPr="00392CD2">
        <w:rPr>
          <w:lang w:val="es-ES"/>
        </w:rPr>
        <w:t xml:space="preserve">Para el receptor de referencia en tierra SBAS, el ciclo de trabajo impulsivo recibido saturado efectivo a la nueva fuente propuesta, </w:t>
      </w:r>
      <w:r w:rsidRPr="00392CD2">
        <w:rPr>
          <w:i/>
          <w:lang w:val="es-ES"/>
        </w:rPr>
        <w:t>PDC</w:t>
      </w:r>
      <w:r w:rsidRPr="00392CD2">
        <w:rPr>
          <w:i/>
          <w:vertAlign w:val="subscript"/>
          <w:lang w:val="es-ES"/>
        </w:rPr>
        <w:t>Y</w:t>
      </w:r>
      <w:r w:rsidRPr="00392CD2">
        <w:rPr>
          <w:lang w:val="es-ES"/>
        </w:rPr>
        <w:t xml:space="preserve"> es, con arreglo al Anexo 1, ecuación (3a):</w:t>
      </w:r>
    </w:p>
    <w:p w:rsidR="00E7517C" w:rsidRPr="00392CD2" w:rsidRDefault="00E7517C" w:rsidP="00377DB9">
      <w:pPr>
        <w:pStyle w:val="Equation"/>
        <w:rPr>
          <w:lang w:val="es-ES"/>
        </w:rPr>
      </w:pPr>
      <w:r w:rsidRPr="00392CD2">
        <w:rPr>
          <w:lang w:val="es-ES"/>
        </w:rPr>
        <w:tab/>
      </w:r>
      <w:r w:rsidRPr="00392CD2">
        <w:rPr>
          <w:lang w:val="es-ES"/>
        </w:rPr>
        <w:tab/>
      </w:r>
      <w:r w:rsidRPr="00392CD2">
        <w:rPr>
          <w:i/>
          <w:lang w:val="es-ES"/>
        </w:rPr>
        <w:t>PDC</w:t>
      </w:r>
      <w:r w:rsidRPr="00392CD2">
        <w:rPr>
          <w:i/>
          <w:vertAlign w:val="subscript"/>
          <w:lang w:val="es-ES"/>
        </w:rPr>
        <w:t>Y</w:t>
      </w:r>
      <w:r w:rsidRPr="00392CD2">
        <w:rPr>
          <w:i/>
          <w:lang w:val="es-ES"/>
        </w:rPr>
        <w:t xml:space="preserve"> = (PW</w:t>
      </w:r>
      <w:r w:rsidRPr="00392CD2">
        <w:rPr>
          <w:i/>
          <w:vertAlign w:val="subscript"/>
          <w:lang w:val="es-ES"/>
        </w:rPr>
        <w:t>Y</w:t>
      </w:r>
      <w:r w:rsidRPr="00392CD2">
        <w:rPr>
          <w:i/>
          <w:lang w:val="es-ES"/>
        </w:rPr>
        <w:t xml:space="preserve"> + </w:t>
      </w:r>
      <w:r w:rsidRPr="00392CD2">
        <w:rPr>
          <w:iCs/>
          <w:szCs w:val="24"/>
          <w:lang w:val="es-ES"/>
        </w:rPr>
        <w:sym w:font="Symbol" w:char="F074"/>
      </w:r>
      <w:r w:rsidRPr="00392CD2">
        <w:rPr>
          <w:i/>
          <w:vertAlign w:val="subscript"/>
          <w:lang w:val="es-ES"/>
        </w:rPr>
        <w:t>REC</w:t>
      </w:r>
      <w:r w:rsidRPr="00392CD2">
        <w:rPr>
          <w:i/>
          <w:lang w:val="es-ES"/>
        </w:rPr>
        <w:t>)</w:t>
      </w:r>
      <w:r w:rsidRPr="00392CD2">
        <w:rPr>
          <w:i/>
          <w:szCs w:val="24"/>
          <w:lang w:val="es-ES"/>
        </w:rPr>
        <w:sym w:font="Symbol" w:char="F0D7"/>
      </w:r>
      <w:r w:rsidRPr="00392CD2">
        <w:rPr>
          <w:i/>
          <w:lang w:val="es-ES"/>
        </w:rPr>
        <w:t>PRF</w:t>
      </w:r>
      <w:r w:rsidRPr="00392CD2">
        <w:rPr>
          <w:i/>
          <w:vertAlign w:val="subscript"/>
          <w:lang w:val="es-ES"/>
        </w:rPr>
        <w:t>Y</w:t>
      </w:r>
      <w:r w:rsidRPr="00392CD2">
        <w:rPr>
          <w:i/>
          <w:lang w:val="es-ES"/>
        </w:rPr>
        <w:t xml:space="preserve"> = </w:t>
      </w:r>
      <w:r w:rsidR="00377DB9">
        <w:rPr>
          <w:lang w:val="es-ES"/>
        </w:rPr>
        <w:t>(44 + 1,</w:t>
      </w:r>
      <w:r w:rsidRPr="00392CD2">
        <w:rPr>
          <w:lang w:val="es-ES"/>
        </w:rPr>
        <w:t>0)</w:t>
      </w:r>
      <w:r w:rsidRPr="00392CD2">
        <w:rPr>
          <w:szCs w:val="24"/>
          <w:lang w:val="es-ES"/>
        </w:rPr>
        <w:sym w:font="Symbol" w:char="F0D7"/>
      </w:r>
      <w:r w:rsidRPr="00392CD2">
        <w:rPr>
          <w:lang w:val="es-ES"/>
        </w:rPr>
        <w:t>500</w:t>
      </w:r>
      <w:r w:rsidR="00377DB9">
        <w:rPr>
          <w:lang w:val="es-ES"/>
        </w:rPr>
        <w:t> </w:t>
      </w:r>
      <w:r w:rsidR="00377DB9">
        <w:rPr>
          <w:szCs w:val="24"/>
          <w:lang w:val="es-ES"/>
        </w:rPr>
        <w:sym w:font="Symbol" w:char="F0D7"/>
      </w:r>
      <w:r w:rsidR="00377DB9">
        <w:rPr>
          <w:szCs w:val="24"/>
          <w:lang w:val="es-ES"/>
        </w:rPr>
        <w:t> </w:t>
      </w:r>
      <w:r w:rsidRPr="00392CD2">
        <w:rPr>
          <w:lang w:val="es-ES"/>
        </w:rPr>
        <w:t>10</w:t>
      </w:r>
      <w:r w:rsidRPr="00392CD2">
        <w:rPr>
          <w:vertAlign w:val="superscript"/>
          <w:lang w:val="es-ES"/>
        </w:rPr>
        <w:t>–6</w:t>
      </w:r>
      <w:r w:rsidRPr="00392CD2">
        <w:rPr>
          <w:lang w:val="es-ES"/>
        </w:rPr>
        <w:t xml:space="preserve"> = 0</w:t>
      </w:r>
      <w:r w:rsidR="00EF004C">
        <w:rPr>
          <w:lang w:val="es-ES"/>
        </w:rPr>
        <w:t>,</w:t>
      </w:r>
      <w:r w:rsidRPr="00392CD2">
        <w:rPr>
          <w:lang w:val="es-ES"/>
        </w:rPr>
        <w:t>02250</w:t>
      </w:r>
    </w:p>
    <w:p w:rsidR="00E7517C" w:rsidRPr="00392CD2" w:rsidRDefault="00E7517C" w:rsidP="00E7517C">
      <w:pPr>
        <w:rPr>
          <w:lang w:val="es-ES"/>
        </w:rPr>
      </w:pPr>
      <w:r w:rsidRPr="00392CD2">
        <w:rPr>
          <w:lang w:val="es-ES"/>
        </w:rPr>
        <w:t>Como los nuevos impulsos de la fuente saturan completamente al receptor,</w:t>
      </w:r>
    </w:p>
    <w:p w:rsidR="00E7517C" w:rsidRPr="00392CD2" w:rsidRDefault="00E7517C" w:rsidP="00E7517C">
      <w:pPr>
        <w:pStyle w:val="Equation"/>
        <w:rPr>
          <w:lang w:val="es-ES"/>
        </w:rPr>
      </w:pPr>
      <w:r w:rsidRPr="00392CD2">
        <w:rPr>
          <w:lang w:val="es-ES"/>
        </w:rPr>
        <w:tab/>
      </w:r>
      <w:r w:rsidRPr="00392CD2">
        <w:rPr>
          <w:lang w:val="es-ES"/>
        </w:rPr>
        <w:tab/>
      </w:r>
      <w:r w:rsidRPr="00392CD2">
        <w:rPr>
          <w:i/>
          <w:lang w:val="es-ES"/>
        </w:rPr>
        <w:t>R</w:t>
      </w:r>
      <w:r w:rsidRPr="00392CD2">
        <w:rPr>
          <w:i/>
          <w:vertAlign w:val="subscript"/>
          <w:lang w:val="es-ES"/>
        </w:rPr>
        <w:t>Y</w:t>
      </w:r>
      <w:r w:rsidRPr="00392CD2">
        <w:rPr>
          <w:lang w:val="es-ES"/>
        </w:rPr>
        <w:t xml:space="preserve"> = 0</w:t>
      </w:r>
    </w:p>
    <w:p w:rsidR="00E7517C" w:rsidRPr="00392CD2" w:rsidRDefault="00E7517C" w:rsidP="00E7517C">
      <w:pPr>
        <w:tabs>
          <w:tab w:val="left" w:pos="1080"/>
        </w:tabs>
        <w:rPr>
          <w:lang w:val="es-ES"/>
        </w:rPr>
      </w:pPr>
      <w:r w:rsidRPr="00392CD2">
        <w:rPr>
          <w:lang w:val="es-ES"/>
        </w:rPr>
        <w:t xml:space="preserve">De acuerdo con el Anexo 1, Cuadro 2 para el receptor de referencia en tierra SBAS, </w:t>
      </w:r>
      <w:r w:rsidRPr="00392CD2">
        <w:rPr>
          <w:i/>
          <w:lang w:val="es-ES"/>
        </w:rPr>
        <w:t>N</w:t>
      </w:r>
      <w:r w:rsidRPr="00392CD2">
        <w:rPr>
          <w:i/>
          <w:vertAlign w:val="subscript"/>
          <w:lang w:val="es-ES"/>
        </w:rPr>
        <w:t>LIM</w:t>
      </w:r>
      <w:r w:rsidRPr="00392CD2">
        <w:rPr>
          <w:lang w:val="es-ES"/>
        </w:rPr>
        <w:t xml:space="preserve"> = 1. Como para la nueva fuente de RF impulsiva, </w:t>
      </w:r>
      <w:r w:rsidRPr="00392CD2">
        <w:rPr>
          <w:i/>
          <w:lang w:val="es-ES"/>
        </w:rPr>
        <w:t>R</w:t>
      </w:r>
      <w:r w:rsidRPr="00392CD2">
        <w:rPr>
          <w:i/>
          <w:vertAlign w:val="subscript"/>
          <w:lang w:val="es-ES"/>
        </w:rPr>
        <w:t>Y</w:t>
      </w:r>
      <w:r w:rsidRPr="00392CD2">
        <w:rPr>
          <w:i/>
          <w:lang w:val="es-ES"/>
        </w:rPr>
        <w:t xml:space="preserve"> = </w:t>
      </w:r>
      <w:r w:rsidRPr="00392CD2">
        <w:rPr>
          <w:lang w:val="es-ES"/>
        </w:rPr>
        <w:t>0, la ecuación de la degradación por la RFI impulsiva es la ecuación (7a) del Anexo 1. Por consiguiente,</w:t>
      </w:r>
    </w:p>
    <w:p w:rsidR="005B5D30" w:rsidRPr="000E4C61" w:rsidRDefault="005B5D30" w:rsidP="005B5D30">
      <w:pPr>
        <w:pStyle w:val="Blanc"/>
        <w:rPr>
          <w:lang w:val="es-ES_tradnl"/>
        </w:rPr>
      </w:pPr>
    </w:p>
    <w:p w:rsidR="00E7517C" w:rsidRPr="00392CD2" w:rsidRDefault="00E7517C" w:rsidP="00E7517C">
      <w:pPr>
        <w:pStyle w:val="Equation"/>
        <w:rPr>
          <w:lang w:val="es-ES"/>
        </w:rPr>
      </w:pPr>
      <w:r w:rsidRPr="00392CD2">
        <w:rPr>
          <w:lang w:val="es-ES"/>
        </w:rPr>
        <w:tab/>
      </w:r>
      <w:r w:rsidRPr="00392CD2">
        <w:rPr>
          <w:position w:val="-32"/>
          <w:lang w:val="es-ES"/>
        </w:rPr>
        <w:object w:dxaOrig="2940" w:dyaOrig="700">
          <v:shape id="_x0000_i1037" type="#_x0000_t75" style="width:147.6pt;height:36pt" o:ole="">
            <v:imagedata r:id="rId35" o:title=""/>
          </v:shape>
          <o:OLEObject Type="Embed" ProgID="Equation.3" ShapeID="_x0000_i1037" DrawAspect="Content" ObjectID="_1475048273" r:id="rId37"/>
        </w:object>
      </w:r>
      <w:r w:rsidRPr="00392CD2">
        <w:rPr>
          <w:lang w:val="es-ES"/>
        </w:rPr>
        <w:tab/>
        <w:t>= 1/(1 – 0</w:t>
      </w:r>
      <w:r>
        <w:rPr>
          <w:lang w:val="es-ES"/>
        </w:rPr>
        <w:t>,</w:t>
      </w:r>
      <w:r w:rsidRPr="00392CD2">
        <w:rPr>
          <w:lang w:val="es-ES"/>
        </w:rPr>
        <w:t>0225)</w:t>
      </w:r>
      <w:r w:rsidRPr="00392CD2">
        <w:rPr>
          <w:vertAlign w:val="superscript"/>
          <w:lang w:val="es-ES"/>
        </w:rPr>
        <w:t>2</w:t>
      </w:r>
      <w:r w:rsidRPr="00392CD2">
        <w:rPr>
          <w:lang w:val="es-ES"/>
        </w:rPr>
        <w:t xml:space="preserve"> = </w:t>
      </w:r>
      <w:r w:rsidRPr="00392CD2">
        <w:rPr>
          <w:b/>
          <w:lang w:val="es-ES"/>
        </w:rPr>
        <w:t>1</w:t>
      </w:r>
      <w:r>
        <w:rPr>
          <w:b/>
          <w:lang w:val="es-ES"/>
        </w:rPr>
        <w:t>,</w:t>
      </w:r>
      <w:r w:rsidRPr="00392CD2">
        <w:rPr>
          <w:b/>
          <w:lang w:val="es-ES"/>
        </w:rPr>
        <w:t>04657</w:t>
      </w:r>
      <w:r w:rsidR="00377DB9">
        <w:rPr>
          <w:lang w:val="es-ES"/>
        </w:rPr>
        <w:t xml:space="preserve"> (relación algebraica)</w:t>
      </w:r>
    </w:p>
    <w:p w:rsidR="005B5D30" w:rsidRPr="000E4C61" w:rsidRDefault="005B5D30" w:rsidP="005B5D30">
      <w:pPr>
        <w:pStyle w:val="Blanc"/>
        <w:rPr>
          <w:lang w:val="es-ES_tradnl"/>
        </w:rPr>
      </w:pPr>
    </w:p>
    <w:p w:rsidR="00E7517C" w:rsidRPr="00392CD2" w:rsidRDefault="00E7517C" w:rsidP="00E7517C">
      <w:pPr>
        <w:rPr>
          <w:lang w:val="es-ES"/>
        </w:rPr>
      </w:pPr>
      <w:r w:rsidRPr="00392CD2">
        <w:rPr>
          <w:lang w:val="es-ES"/>
        </w:rPr>
        <w:t>Para comparar la relación de degradación calculada con el factor de degradación admisible (0,2 dB) del Anexo 1, Cuadro 2, se convierte la relación algebraica a dB:</w:t>
      </w:r>
    </w:p>
    <w:p w:rsidR="00E7517C" w:rsidRPr="00392CD2" w:rsidRDefault="00E7517C" w:rsidP="00E7517C">
      <w:pPr>
        <w:pStyle w:val="Equation"/>
        <w:rPr>
          <w:lang w:val="es-ES"/>
        </w:rPr>
      </w:pPr>
      <w:r w:rsidRPr="00392CD2">
        <w:rPr>
          <w:lang w:val="es-ES"/>
        </w:rPr>
        <w:tab/>
      </w:r>
      <w:r w:rsidRPr="00392CD2">
        <w:rPr>
          <w:lang w:val="es-ES"/>
        </w:rPr>
        <w:tab/>
        <w:t>10</w:t>
      </w:r>
      <w:r w:rsidRPr="00392CD2">
        <w:rPr>
          <w:szCs w:val="24"/>
          <w:lang w:val="es-ES"/>
        </w:rPr>
        <w:sym w:font="Symbol" w:char="F0D7"/>
      </w:r>
      <w:r w:rsidRPr="00392CD2">
        <w:rPr>
          <w:lang w:val="es-ES"/>
        </w:rPr>
        <w:t>log</w:t>
      </w:r>
      <w:r w:rsidRPr="00392CD2">
        <w:rPr>
          <w:vertAlign w:val="subscript"/>
          <w:lang w:val="es-ES"/>
        </w:rPr>
        <w:t>10</w:t>
      </w:r>
      <w:r w:rsidRPr="00392CD2">
        <w:rPr>
          <w:lang w:val="es-ES"/>
        </w:rPr>
        <w:t>(1</w:t>
      </w:r>
      <w:r>
        <w:rPr>
          <w:lang w:val="es-ES"/>
        </w:rPr>
        <w:t>,</w:t>
      </w:r>
      <w:r w:rsidRPr="00392CD2">
        <w:rPr>
          <w:lang w:val="es-ES"/>
        </w:rPr>
        <w:t xml:space="preserve">04657) = </w:t>
      </w:r>
      <w:r w:rsidRPr="00392CD2">
        <w:rPr>
          <w:b/>
          <w:lang w:val="es-ES"/>
        </w:rPr>
        <w:t>0</w:t>
      </w:r>
      <w:r>
        <w:rPr>
          <w:b/>
          <w:lang w:val="es-ES"/>
        </w:rPr>
        <w:t>,</w:t>
      </w:r>
      <w:r w:rsidRPr="00392CD2">
        <w:rPr>
          <w:b/>
          <w:lang w:val="es-ES"/>
        </w:rPr>
        <w:t>198 dB</w:t>
      </w:r>
    </w:p>
    <w:p w:rsidR="00E7517C" w:rsidRPr="00392CD2" w:rsidRDefault="00E7517C" w:rsidP="00E7517C">
      <w:pPr>
        <w:rPr>
          <w:lang w:val="es-ES"/>
        </w:rPr>
      </w:pPr>
      <w:r w:rsidRPr="00392CD2">
        <w:rPr>
          <w:lang w:val="es-ES"/>
        </w:rPr>
        <w:t>Por tanto, la nueva fuente propuesta produce una degradación inferior, por un pequeño margen, al límite de degradación admisible del receptor de referencia en tierra SBAS.</w:t>
      </w:r>
    </w:p>
    <w:p w:rsidR="00E7517C" w:rsidRPr="00392CD2" w:rsidRDefault="00E7517C" w:rsidP="00E7517C">
      <w:pPr>
        <w:pStyle w:val="Heading2"/>
        <w:rPr>
          <w:lang w:val="es-ES"/>
        </w:rPr>
      </w:pPr>
      <w:r w:rsidRPr="00392CD2">
        <w:rPr>
          <w:lang w:val="es-ES"/>
        </w:rPr>
        <w:t>2.2</w:t>
      </w:r>
      <w:r w:rsidRPr="00392CD2">
        <w:rPr>
          <w:lang w:val="es-ES"/>
        </w:rPr>
        <w:tab/>
        <w:t>Cálculo de la relación de degradación por RFI impulsiva del receptor con codificación parcial de alta precisión</w:t>
      </w:r>
    </w:p>
    <w:p w:rsidR="00E7517C" w:rsidRPr="00392CD2" w:rsidRDefault="00E7517C" w:rsidP="00E7517C">
      <w:pPr>
        <w:rPr>
          <w:lang w:val="es-ES"/>
        </w:rPr>
      </w:pPr>
      <w:r w:rsidRPr="00392CD2">
        <w:rPr>
          <w:lang w:val="es-ES"/>
        </w:rPr>
        <w:t>Como se supone que el receptor con codificación parcial de alta precisión tiene el mismo tiempo de recuperación de sobrecarga impulsiva (1</w:t>
      </w:r>
      <w:r>
        <w:rPr>
          <w:lang w:val="es-ES"/>
        </w:rPr>
        <w:t>,</w:t>
      </w:r>
      <w:r w:rsidRPr="00392CD2">
        <w:rPr>
          <w:lang w:val="es-ES"/>
        </w:rPr>
        <w:t>0 µs) que el receptor de referencia en tierra SBAS, el nuevo ciclo de trabajo impulsivo recibido de saturación de fuente también es el mismo (</w:t>
      </w:r>
      <w:r w:rsidRPr="00392CD2">
        <w:rPr>
          <w:i/>
          <w:lang w:val="es-ES"/>
        </w:rPr>
        <w:t>PDC</w:t>
      </w:r>
      <w:r w:rsidRPr="00392CD2">
        <w:rPr>
          <w:i/>
          <w:vertAlign w:val="subscript"/>
          <w:lang w:val="es-ES"/>
        </w:rPr>
        <w:t>Y</w:t>
      </w:r>
      <w:r w:rsidRPr="00392CD2">
        <w:rPr>
          <w:lang w:val="es-ES"/>
        </w:rPr>
        <w:t xml:space="preserve"> = 0</w:t>
      </w:r>
      <w:r>
        <w:rPr>
          <w:lang w:val="es-ES"/>
        </w:rPr>
        <w:t>,</w:t>
      </w:r>
      <w:r w:rsidRPr="00392CD2">
        <w:rPr>
          <w:lang w:val="es-ES"/>
        </w:rPr>
        <w:t xml:space="preserve">0225). Como no hay impulsos por debajo de la saturación recibidos por el receptor con codificación parcial de alta precisión, </w:t>
      </w:r>
      <w:r w:rsidRPr="00392CD2">
        <w:rPr>
          <w:i/>
          <w:lang w:val="es-ES"/>
        </w:rPr>
        <w:t>R</w:t>
      </w:r>
      <w:r w:rsidRPr="00392CD2">
        <w:rPr>
          <w:i/>
          <w:vertAlign w:val="subscript"/>
          <w:lang w:val="es-ES"/>
        </w:rPr>
        <w:t>Y</w:t>
      </w:r>
      <w:r w:rsidRPr="000E4C61">
        <w:rPr>
          <w:lang w:val="es-ES_tradnl"/>
        </w:rPr>
        <w:t xml:space="preserve"> </w:t>
      </w:r>
      <w:r w:rsidRPr="00392CD2">
        <w:rPr>
          <w:i/>
          <w:lang w:val="es-ES"/>
        </w:rPr>
        <w:t xml:space="preserve">= </w:t>
      </w:r>
      <w:r w:rsidRPr="00392CD2">
        <w:rPr>
          <w:lang w:val="es-ES"/>
        </w:rPr>
        <w:t xml:space="preserve">0 también. El ciclo de trabajo impulsivo básico, </w:t>
      </w:r>
      <w:r w:rsidRPr="00392CD2">
        <w:rPr>
          <w:i/>
          <w:lang w:val="es-ES"/>
        </w:rPr>
        <w:t>PDC</w:t>
      </w:r>
      <w:r w:rsidRPr="00392CD2">
        <w:rPr>
          <w:i/>
          <w:vertAlign w:val="subscript"/>
          <w:lang w:val="es-ES"/>
        </w:rPr>
        <w:t>LIM</w:t>
      </w:r>
      <w:r w:rsidRPr="00392CD2">
        <w:rPr>
          <w:lang w:val="es-ES"/>
        </w:rPr>
        <w:t>,</w:t>
      </w:r>
      <w:r>
        <w:rPr>
          <w:lang w:val="es-ES"/>
        </w:rPr>
        <w:t xml:space="preserve"> del Anexo 1, Cuadro </w:t>
      </w:r>
      <w:r w:rsidRPr="00392CD2">
        <w:rPr>
          <w:lang w:val="es-ES"/>
        </w:rPr>
        <w:t xml:space="preserve">2 es 0,0765. Como el receptor tiene un valor de </w:t>
      </w:r>
      <w:r w:rsidRPr="00392CD2">
        <w:rPr>
          <w:i/>
          <w:lang w:val="es-ES"/>
        </w:rPr>
        <w:t>N</w:t>
      </w:r>
      <w:r w:rsidRPr="00392CD2">
        <w:rPr>
          <w:i/>
          <w:vertAlign w:val="subscript"/>
          <w:lang w:val="es-ES"/>
        </w:rPr>
        <w:t>LIM</w:t>
      </w:r>
      <w:r w:rsidRPr="00392CD2">
        <w:rPr>
          <w:lang w:val="es-ES"/>
        </w:rPr>
        <w:t xml:space="preserve"> = 2, la ecuación de degradación por RFI impulsiva que debe utilizarse es la del Anexo 1, ecuación 7. Por tanto, tras sustituir los valores de los parámetros </w:t>
      </w:r>
      <w:r w:rsidRPr="00392CD2">
        <w:rPr>
          <w:i/>
          <w:lang w:val="es-ES"/>
        </w:rPr>
        <w:t>PDC</w:t>
      </w:r>
      <w:r w:rsidRPr="00392CD2">
        <w:rPr>
          <w:i/>
          <w:vertAlign w:val="subscript"/>
          <w:lang w:val="es-ES"/>
        </w:rPr>
        <w:t>LIM</w:t>
      </w:r>
      <w:r w:rsidRPr="00392CD2">
        <w:rPr>
          <w:lang w:val="es-ES"/>
        </w:rPr>
        <w:t xml:space="preserve">, </w:t>
      </w:r>
      <w:r w:rsidRPr="00392CD2">
        <w:rPr>
          <w:i/>
          <w:lang w:val="es-ES"/>
        </w:rPr>
        <w:t>N</w:t>
      </w:r>
      <w:r w:rsidRPr="00392CD2">
        <w:rPr>
          <w:i/>
          <w:vertAlign w:val="subscript"/>
          <w:lang w:val="es-ES"/>
        </w:rPr>
        <w:t>LIM</w:t>
      </w:r>
      <w:r w:rsidRPr="00392CD2">
        <w:rPr>
          <w:lang w:val="es-ES"/>
        </w:rPr>
        <w:t xml:space="preserve"> y </w:t>
      </w:r>
      <w:r w:rsidRPr="00392CD2">
        <w:rPr>
          <w:i/>
          <w:lang w:val="es-ES"/>
        </w:rPr>
        <w:t>R</w:t>
      </w:r>
      <w:r w:rsidRPr="00392CD2">
        <w:rPr>
          <w:i/>
          <w:vertAlign w:val="subscript"/>
          <w:lang w:val="es-ES"/>
        </w:rPr>
        <w:t>Y</w:t>
      </w:r>
      <w:r w:rsidRPr="00392CD2">
        <w:rPr>
          <w:lang w:val="es-ES"/>
        </w:rPr>
        <w:t xml:space="preserve"> en la ecuación y simplificar, la relación de degradación calculada es:</w:t>
      </w:r>
    </w:p>
    <w:p w:rsidR="003877FE" w:rsidRPr="000E4C61" w:rsidRDefault="003877FE" w:rsidP="003877FE">
      <w:pPr>
        <w:pStyle w:val="Blanc"/>
        <w:rPr>
          <w:lang w:val="es-ES_tradnl"/>
        </w:rPr>
      </w:pPr>
    </w:p>
    <w:p w:rsidR="003877FE" w:rsidRDefault="003877FE" w:rsidP="003877FE">
      <w:pPr>
        <w:pStyle w:val="Equation"/>
        <w:rPr>
          <w:lang w:val="es-ES"/>
        </w:rPr>
      </w:pPr>
      <w:r>
        <w:rPr>
          <w:lang w:val="es-ES"/>
        </w:rPr>
        <w:tab/>
      </w:r>
      <w:r>
        <w:rPr>
          <w:lang w:val="es-ES"/>
        </w:rPr>
        <w:tab/>
      </w:r>
      <w:r w:rsidRPr="00392CD2">
        <w:rPr>
          <w:i/>
          <w:lang w:val="es-ES"/>
        </w:rPr>
        <w:t>N</w:t>
      </w:r>
      <w:r w:rsidRPr="00392CD2">
        <w:rPr>
          <w:vertAlign w:val="subscript"/>
          <w:lang w:val="es-ES"/>
        </w:rPr>
        <w:t>0</w:t>
      </w:r>
      <w:r w:rsidRPr="00392CD2">
        <w:rPr>
          <w:i/>
          <w:vertAlign w:val="subscript"/>
          <w:lang w:val="es-ES"/>
        </w:rPr>
        <w:t>,EFF+Y</w:t>
      </w:r>
      <w:r w:rsidRPr="00392CD2">
        <w:rPr>
          <w:i/>
          <w:lang w:val="es-ES"/>
        </w:rPr>
        <w:t>/N</w:t>
      </w:r>
      <w:r w:rsidRPr="00392CD2">
        <w:rPr>
          <w:vertAlign w:val="subscript"/>
          <w:lang w:val="es-ES"/>
        </w:rPr>
        <w:t>0</w:t>
      </w:r>
      <w:r w:rsidRPr="00392CD2">
        <w:rPr>
          <w:i/>
          <w:vertAlign w:val="subscript"/>
          <w:lang w:val="es-ES"/>
        </w:rPr>
        <w:t>,EFF</w:t>
      </w:r>
      <w:r w:rsidRPr="00392CD2">
        <w:rPr>
          <w:lang w:val="es-ES"/>
        </w:rPr>
        <w:t xml:space="preserve"> = {1/(1-</w:t>
      </w:r>
      <w:r w:rsidRPr="00392CD2">
        <w:rPr>
          <w:i/>
          <w:lang w:val="es-ES"/>
        </w:rPr>
        <w:t>PDC</w:t>
      </w:r>
      <w:r w:rsidRPr="00392CD2">
        <w:rPr>
          <w:i/>
          <w:vertAlign w:val="subscript"/>
          <w:lang w:val="es-ES"/>
        </w:rPr>
        <w:t>Y</w:t>
      </w:r>
      <w:r w:rsidRPr="00392CD2">
        <w:rPr>
          <w:lang w:val="es-ES"/>
        </w:rPr>
        <w:t>)}</w:t>
      </w:r>
      <w:r w:rsidRPr="00392CD2">
        <w:rPr>
          <w:szCs w:val="24"/>
          <w:lang w:val="es-ES"/>
        </w:rPr>
        <w:sym w:font="Symbol" w:char="F0D7"/>
      </w:r>
      <w:r w:rsidRPr="00392CD2">
        <w:rPr>
          <w:lang w:val="es-ES"/>
        </w:rPr>
        <w:t>(1)</w:t>
      </w:r>
      <w:r w:rsidRPr="00392CD2">
        <w:rPr>
          <w:szCs w:val="24"/>
          <w:lang w:val="es-ES"/>
        </w:rPr>
        <w:sym w:font="Symbol" w:char="F0D7"/>
      </w:r>
      <w:r w:rsidRPr="00392CD2">
        <w:rPr>
          <w:lang w:val="es-ES"/>
        </w:rPr>
        <w:t>{1+(4</w:t>
      </w:r>
      <w:r w:rsidRPr="00392CD2">
        <w:rPr>
          <w:szCs w:val="24"/>
          <w:lang w:val="es-ES"/>
        </w:rPr>
        <w:sym w:font="Symbol" w:char="F0D7"/>
      </w:r>
      <w:r w:rsidRPr="00392CD2">
        <w:rPr>
          <w:i/>
          <w:lang w:val="es-ES"/>
        </w:rPr>
        <w:t>PDC</w:t>
      </w:r>
      <w:r w:rsidRPr="00392CD2">
        <w:rPr>
          <w:i/>
          <w:vertAlign w:val="subscript"/>
          <w:lang w:val="es-ES"/>
        </w:rPr>
        <w:t>Y</w:t>
      </w:r>
      <w:r w:rsidRPr="00392CD2">
        <w:rPr>
          <w:lang w:val="es-ES"/>
        </w:rPr>
        <w:t>)/[(1-</w:t>
      </w:r>
      <w:r w:rsidRPr="00392CD2">
        <w:rPr>
          <w:i/>
          <w:lang w:val="es-ES"/>
        </w:rPr>
        <w:t>PDC</w:t>
      </w:r>
      <w:r w:rsidRPr="00392CD2">
        <w:rPr>
          <w:i/>
          <w:vertAlign w:val="subscript"/>
          <w:lang w:val="es-ES"/>
        </w:rPr>
        <w:t>Y</w:t>
      </w:r>
      <w:r w:rsidRPr="00392CD2">
        <w:rPr>
          <w:lang w:val="es-ES"/>
        </w:rPr>
        <w:t>)(1+3</w:t>
      </w:r>
      <w:r w:rsidRPr="00392CD2">
        <w:rPr>
          <w:szCs w:val="24"/>
          <w:lang w:val="es-ES"/>
        </w:rPr>
        <w:sym w:font="Symbol" w:char="F0D7"/>
      </w:r>
      <w:r w:rsidRPr="00392CD2">
        <w:rPr>
          <w:i/>
          <w:lang w:val="es-ES"/>
        </w:rPr>
        <w:t>PDC</w:t>
      </w:r>
      <w:r w:rsidRPr="00392CD2">
        <w:rPr>
          <w:i/>
          <w:vertAlign w:val="subscript"/>
          <w:lang w:val="es-ES"/>
        </w:rPr>
        <w:t>LIM</w:t>
      </w:r>
      <w:r w:rsidRPr="00392CD2">
        <w:rPr>
          <w:lang w:val="es-ES"/>
        </w:rPr>
        <w:t>)]}</w:t>
      </w:r>
    </w:p>
    <w:p w:rsidR="003877FE" w:rsidRPr="00392CD2" w:rsidRDefault="003877FE" w:rsidP="003877FE">
      <w:pPr>
        <w:pStyle w:val="Equation"/>
        <w:rPr>
          <w:lang w:val="es-ES"/>
        </w:rPr>
      </w:pPr>
      <w:r>
        <w:rPr>
          <w:lang w:val="es-ES"/>
        </w:rPr>
        <w:tab/>
      </w:r>
      <w:r>
        <w:rPr>
          <w:lang w:val="es-ES"/>
        </w:rPr>
        <w:tab/>
      </w:r>
      <w:r w:rsidRPr="00392CD2">
        <w:rPr>
          <w:lang w:val="es-ES"/>
        </w:rPr>
        <w:t>= {1</w:t>
      </w:r>
      <w:r>
        <w:rPr>
          <w:lang w:val="es-ES"/>
        </w:rPr>
        <w:t>,</w:t>
      </w:r>
      <w:r w:rsidRPr="00392CD2">
        <w:rPr>
          <w:lang w:val="es-ES"/>
        </w:rPr>
        <w:t>02302}</w:t>
      </w:r>
      <w:r w:rsidRPr="00392CD2">
        <w:rPr>
          <w:szCs w:val="24"/>
          <w:lang w:val="es-ES"/>
        </w:rPr>
        <w:sym w:font="Symbol" w:char="F0D7"/>
      </w:r>
      <w:r w:rsidRPr="00392CD2">
        <w:rPr>
          <w:lang w:val="es-ES"/>
        </w:rPr>
        <w:t>{1+[0</w:t>
      </w:r>
      <w:r>
        <w:rPr>
          <w:lang w:val="es-ES"/>
        </w:rPr>
        <w:t>,</w:t>
      </w:r>
      <w:r w:rsidRPr="00392CD2">
        <w:rPr>
          <w:lang w:val="es-ES"/>
        </w:rPr>
        <w:t>090/1</w:t>
      </w:r>
      <w:r>
        <w:rPr>
          <w:lang w:val="es-ES"/>
        </w:rPr>
        <w:t>,</w:t>
      </w:r>
      <w:r w:rsidRPr="00392CD2">
        <w:rPr>
          <w:lang w:val="es-ES"/>
        </w:rPr>
        <w:t xml:space="preserve">20184]} = </w:t>
      </w:r>
      <w:r w:rsidRPr="00392CD2">
        <w:rPr>
          <w:b/>
          <w:lang w:val="es-ES"/>
        </w:rPr>
        <w:t>1</w:t>
      </w:r>
      <w:r>
        <w:rPr>
          <w:b/>
          <w:lang w:val="es-ES"/>
        </w:rPr>
        <w:t>,</w:t>
      </w:r>
      <w:r w:rsidRPr="00392CD2">
        <w:rPr>
          <w:b/>
          <w:lang w:val="es-ES"/>
        </w:rPr>
        <w:t>09963</w:t>
      </w:r>
      <w:r w:rsidRPr="00392CD2">
        <w:rPr>
          <w:lang w:val="es-ES"/>
        </w:rPr>
        <w:t xml:space="preserve"> (relación algebraica)</w:t>
      </w:r>
    </w:p>
    <w:p w:rsidR="005B5D30" w:rsidRPr="000E4C61" w:rsidRDefault="005B5D30" w:rsidP="005B5D30">
      <w:pPr>
        <w:pStyle w:val="Blanc"/>
        <w:rPr>
          <w:lang w:val="es-ES_tradnl"/>
        </w:rPr>
      </w:pPr>
    </w:p>
    <w:p w:rsidR="00E7517C" w:rsidRPr="00392CD2" w:rsidRDefault="00E7517C" w:rsidP="00E7517C">
      <w:pPr>
        <w:rPr>
          <w:lang w:val="es-ES"/>
        </w:rPr>
      </w:pPr>
      <w:r w:rsidRPr="00392CD2">
        <w:rPr>
          <w:lang w:val="es-ES"/>
        </w:rPr>
        <w:t>Convirtiendo la relación algebraica a dB se obtiene:</w:t>
      </w:r>
    </w:p>
    <w:p w:rsidR="003877FE" w:rsidRPr="005B5D30" w:rsidRDefault="003877FE" w:rsidP="003877FE">
      <w:pPr>
        <w:pStyle w:val="Blanc"/>
        <w:rPr>
          <w:lang w:val="es-ES"/>
        </w:rPr>
      </w:pPr>
    </w:p>
    <w:p w:rsidR="00E7517C" w:rsidRPr="00392CD2" w:rsidRDefault="00E7517C" w:rsidP="00E7517C">
      <w:pPr>
        <w:tabs>
          <w:tab w:val="left" w:pos="1080"/>
        </w:tabs>
        <w:jc w:val="center"/>
        <w:rPr>
          <w:lang w:val="es-ES"/>
        </w:rPr>
      </w:pPr>
      <w:r w:rsidRPr="00392CD2">
        <w:rPr>
          <w:lang w:val="es-ES"/>
        </w:rPr>
        <w:t>10</w:t>
      </w:r>
      <w:r w:rsidRPr="00392CD2">
        <w:rPr>
          <w:szCs w:val="24"/>
          <w:lang w:val="es-ES"/>
        </w:rPr>
        <w:sym w:font="Symbol" w:char="F0D7"/>
      </w:r>
      <w:r w:rsidRPr="00392CD2">
        <w:rPr>
          <w:lang w:val="es-ES"/>
        </w:rPr>
        <w:t>log</w:t>
      </w:r>
      <w:r w:rsidRPr="00392CD2">
        <w:rPr>
          <w:vertAlign w:val="subscript"/>
          <w:lang w:val="es-ES"/>
        </w:rPr>
        <w:t>10</w:t>
      </w:r>
      <w:r w:rsidRPr="00392CD2">
        <w:rPr>
          <w:lang w:val="es-ES"/>
        </w:rPr>
        <w:t>(1</w:t>
      </w:r>
      <w:r>
        <w:rPr>
          <w:lang w:val="es-ES"/>
        </w:rPr>
        <w:t>,</w:t>
      </w:r>
      <w:r w:rsidRPr="00392CD2">
        <w:rPr>
          <w:lang w:val="es-ES"/>
        </w:rPr>
        <w:t xml:space="preserve">099627) = </w:t>
      </w:r>
      <w:r w:rsidRPr="00392CD2">
        <w:rPr>
          <w:b/>
          <w:lang w:val="es-ES"/>
        </w:rPr>
        <w:t>0</w:t>
      </w:r>
      <w:r>
        <w:rPr>
          <w:b/>
          <w:lang w:val="es-ES"/>
        </w:rPr>
        <w:t>,</w:t>
      </w:r>
      <w:r w:rsidRPr="00392CD2">
        <w:rPr>
          <w:b/>
          <w:lang w:val="es-ES"/>
        </w:rPr>
        <w:t>413 dB</w:t>
      </w:r>
    </w:p>
    <w:p w:rsidR="003877FE" w:rsidRPr="000E4C61" w:rsidRDefault="003877FE" w:rsidP="003877FE">
      <w:pPr>
        <w:pStyle w:val="Blanc"/>
        <w:rPr>
          <w:lang w:val="es-ES_tradnl"/>
        </w:rPr>
      </w:pPr>
    </w:p>
    <w:p w:rsidR="00E7517C" w:rsidRPr="00392CD2" w:rsidRDefault="00E7517C" w:rsidP="00E7517C">
      <w:pPr>
        <w:rPr>
          <w:lang w:val="es-ES" w:eastAsia="zh-CN"/>
        </w:rPr>
      </w:pPr>
      <w:r w:rsidRPr="00392CD2">
        <w:rPr>
          <w:lang w:val="es-ES"/>
        </w:rPr>
        <w:t>De esa forma, la nueva fuente de impulsos propuesta produce más degradación por RFI que el límite de degradación admisible del receptor con codificación parcial de alta precisión de 0,2 dB.</w:t>
      </w:r>
    </w:p>
    <w:p w:rsidR="00E7517C" w:rsidRPr="003877FE" w:rsidRDefault="00E7517C" w:rsidP="009B7A07">
      <w:pPr>
        <w:rPr>
          <w:lang w:val="es-ES"/>
        </w:rPr>
      </w:pPr>
    </w:p>
    <w:p w:rsidR="00E7517C" w:rsidRDefault="00E7517C">
      <w:pPr>
        <w:jc w:val="center"/>
      </w:pPr>
      <w:r>
        <w:t>______________</w:t>
      </w:r>
    </w:p>
    <w:sectPr w:rsidR="00E7517C" w:rsidSect="00E7517C">
      <w:headerReference w:type="even" r:id="rId38"/>
      <w:headerReference w:type="default" r:id="rId3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7782" w:rsidRDefault="00CC7782">
      <w:r>
        <w:separator/>
      </w:r>
    </w:p>
  </w:endnote>
  <w:endnote w:type="continuationSeparator" w:id="0">
    <w:p w:rsidR="00CC7782" w:rsidRDefault="00CC77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7782" w:rsidRDefault="00CC7782">
      <w:r>
        <w:separator/>
      </w:r>
    </w:p>
  </w:footnote>
  <w:footnote w:type="continuationSeparator" w:id="0">
    <w:p w:rsidR="00CC7782" w:rsidRDefault="00CC7782">
      <w:r>
        <w:continuationSeparator/>
      </w:r>
    </w:p>
  </w:footnote>
  <w:footnote w:id="1">
    <w:p w:rsidR="00CC7782" w:rsidRPr="00DB3927" w:rsidRDefault="00CC7782" w:rsidP="00E7517C">
      <w:pPr>
        <w:pStyle w:val="FootnoteText"/>
        <w:rPr>
          <w:lang w:val="es-ES_tradnl"/>
        </w:rPr>
      </w:pPr>
      <w:r>
        <w:rPr>
          <w:rStyle w:val="FootnoteReference"/>
        </w:rPr>
        <w:footnoteRef/>
      </w:r>
      <w:r>
        <w:rPr>
          <w:lang w:val="es-ES_tradnl"/>
        </w:rPr>
        <w:tab/>
        <w:t>El término «pertinente» se refiere a fuentes radioeléctricas que transmiten impulsos de RF o que generan impulsos de RF equivalentes en el receptor del SRNS por otros medios tales como, por ejemplo, el uso de un haz de antena de exploración.</w:t>
      </w:r>
    </w:p>
  </w:footnote>
  <w:footnote w:id="2">
    <w:p w:rsidR="00CC7782" w:rsidRPr="00DB3927" w:rsidRDefault="00CC7782" w:rsidP="00E7517C">
      <w:pPr>
        <w:pStyle w:val="FootnoteText"/>
        <w:rPr>
          <w:lang w:val="es-ES_tradnl"/>
        </w:rPr>
      </w:pPr>
      <w:r>
        <w:rPr>
          <w:rStyle w:val="FootnoteReference"/>
        </w:rPr>
        <w:footnoteRef/>
      </w:r>
      <w:r>
        <w:rPr>
          <w:lang w:val="es-ES_tradnl"/>
        </w:rPr>
        <w:tab/>
        <w:t>La Recomendación UIT-R M.1318-1 proporciona un método de análisis de las fuentes de interferencia continua.</w:t>
      </w:r>
    </w:p>
  </w:footnote>
  <w:footnote w:id="3">
    <w:p w:rsidR="00CC7782" w:rsidRPr="007B15D6" w:rsidRDefault="00CC7782" w:rsidP="00E7517C">
      <w:pPr>
        <w:pStyle w:val="FootnoteText"/>
        <w:rPr>
          <w:lang w:val="es-ES_tradnl"/>
        </w:rPr>
      </w:pPr>
      <w:r>
        <w:rPr>
          <w:rStyle w:val="FootnoteReference"/>
        </w:rPr>
        <w:footnoteRef/>
      </w:r>
      <w:r w:rsidRPr="005F3886">
        <w:rPr>
          <w:lang w:val="es-ES_tradnl"/>
        </w:rPr>
        <w:tab/>
      </w:r>
      <w:r>
        <w:rPr>
          <w:lang w:val="es-ES_tradnl"/>
        </w:rPr>
        <w:t xml:space="preserve">Véase en el Anexo </w:t>
      </w:r>
      <w:r w:rsidRPr="00CB2292">
        <w:rPr>
          <w:lang w:val="es-ES_tradnl"/>
        </w:rPr>
        <w:t>1, § 3</w:t>
      </w:r>
      <w:r>
        <w:rPr>
          <w:lang w:val="es-ES_tradnl"/>
        </w:rPr>
        <w:t xml:space="preserve">, la descripción de la relación de degradación. En el </w:t>
      </w:r>
      <w:r w:rsidRPr="00EE74E8">
        <w:rPr>
          <w:lang w:val="es-ES_tradnl"/>
        </w:rPr>
        <w:t xml:space="preserve">§ 4 </w:t>
      </w:r>
      <w:r>
        <w:rPr>
          <w:lang w:val="es-ES_tradnl"/>
        </w:rPr>
        <w:t>aparece más información sobre los valores de relación de degradación admisibles.</w:t>
      </w:r>
    </w:p>
  </w:footnote>
  <w:footnote w:id="4">
    <w:p w:rsidR="00CC7782" w:rsidRPr="002D6B65" w:rsidRDefault="00CC7782" w:rsidP="00E7517C">
      <w:pPr>
        <w:pStyle w:val="FootnoteText"/>
        <w:rPr>
          <w:lang w:val="es-ES_tradnl"/>
        </w:rPr>
      </w:pPr>
      <w:r>
        <w:rPr>
          <w:rStyle w:val="FootnoteReference"/>
        </w:rPr>
        <w:footnoteRef/>
      </w:r>
      <w:r w:rsidRPr="002D6B65">
        <w:rPr>
          <w:lang w:val="es-ES_tradnl"/>
        </w:rPr>
        <w:t xml:space="preserve"> </w:t>
      </w:r>
      <w:r>
        <w:rPr>
          <w:lang w:val="es-ES_tradnl"/>
        </w:rPr>
        <w:tab/>
      </w:r>
      <w:r w:rsidRPr="00F45713">
        <w:rPr>
          <w:lang w:val="es-ES_tradnl"/>
        </w:rPr>
        <w:t xml:space="preserve">Por interferencia continua se entiende la interferencia causada por fuentes de potencia constante generalmente presente en todo momento. Se diferencia así del tipo de interferencia </w:t>
      </w:r>
      <w:r>
        <w:rPr>
          <w:lang w:val="es-ES_tradnl"/>
        </w:rPr>
        <w:t>impulsiva</w:t>
      </w:r>
      <w:r w:rsidRPr="00F45713">
        <w:rPr>
          <w:lang w:val="es-ES_tradnl"/>
        </w:rPr>
        <w:t xml:space="preserve"> que requiere un análisis independiente basado en la duración del impulso, la potencia d</w:t>
      </w:r>
      <w:r>
        <w:rPr>
          <w:lang w:val="es-ES_tradnl"/>
        </w:rPr>
        <w:t>e cresta y el ciclo de trabajo.</w:t>
      </w:r>
    </w:p>
  </w:footnote>
  <w:footnote w:id="5">
    <w:p w:rsidR="00CC7782" w:rsidRPr="00280A3D" w:rsidRDefault="00CC7782" w:rsidP="00E7517C">
      <w:pPr>
        <w:pStyle w:val="FootnoteText"/>
        <w:rPr>
          <w:lang w:val="es-ES_tradnl"/>
        </w:rPr>
      </w:pPr>
      <w:r>
        <w:rPr>
          <w:rStyle w:val="FootnoteReference"/>
        </w:rPr>
        <w:footnoteRef/>
      </w:r>
      <w:r w:rsidRPr="00280A3D">
        <w:rPr>
          <w:lang w:val="es-ES_tradnl"/>
        </w:rPr>
        <w:t xml:space="preserve"> </w:t>
      </w:r>
      <w:r>
        <w:rPr>
          <w:lang w:val="es-ES_tradnl"/>
        </w:rPr>
        <w:tab/>
      </w:r>
      <w:r w:rsidRPr="00B6757E">
        <w:rPr>
          <w:lang w:val="es-ES_tradnl"/>
        </w:rPr>
        <w:t xml:space="preserve">RTCA, con sede en Estados Unidos de América, </w:t>
      </w:r>
      <w:r>
        <w:rPr>
          <w:lang w:val="es-ES_tradnl"/>
        </w:rPr>
        <w:t>y</w:t>
      </w:r>
      <w:r w:rsidRPr="00B6757E">
        <w:rPr>
          <w:lang w:val="es-ES_tradnl"/>
        </w:rPr>
        <w:t xml:space="preserve"> EUROCAE </w:t>
      </w:r>
      <w:r>
        <w:rPr>
          <w:lang w:val="es-ES_tradnl"/>
        </w:rPr>
        <w:t>con sede en</w:t>
      </w:r>
      <w:r w:rsidRPr="00B6757E">
        <w:rPr>
          <w:lang w:val="es-ES_tradnl"/>
        </w:rPr>
        <w:t xml:space="preserve"> Europ</w:t>
      </w:r>
      <w:r>
        <w:rPr>
          <w:lang w:val="es-ES_tradnl"/>
        </w:rPr>
        <w:t>a</w:t>
      </w:r>
      <w:r w:rsidRPr="00B6757E">
        <w:rPr>
          <w:lang w:val="es-ES_tradnl"/>
        </w:rPr>
        <w:t>.</w:t>
      </w:r>
    </w:p>
  </w:footnote>
  <w:footnote w:id="6">
    <w:p w:rsidR="00CC7782" w:rsidRPr="00297000" w:rsidRDefault="00CC7782" w:rsidP="00C50D57">
      <w:pPr>
        <w:pStyle w:val="FootnoteText"/>
        <w:rPr>
          <w:lang w:val="en-US"/>
        </w:rPr>
      </w:pPr>
      <w:r>
        <w:rPr>
          <w:rStyle w:val="FootnoteReference"/>
        </w:rPr>
        <w:footnoteRef/>
      </w:r>
      <w:r w:rsidRPr="00297000">
        <w:rPr>
          <w:lang w:val="en-US"/>
        </w:rPr>
        <w:t xml:space="preserve"> </w:t>
      </w:r>
      <w:r>
        <w:rPr>
          <w:lang w:val="en-US"/>
        </w:rPr>
        <w:tab/>
      </w:r>
      <w:r w:rsidRPr="00666EA9">
        <w:rPr>
          <w:lang w:val="en-US"/>
        </w:rPr>
        <w:t>RTCA SC-</w:t>
      </w:r>
      <w:r>
        <w:rPr>
          <w:lang w:val="en-US"/>
        </w:rPr>
        <w:t>159</w:t>
      </w:r>
      <w:r w:rsidRPr="00666EA9">
        <w:rPr>
          <w:lang w:val="en-US"/>
        </w:rPr>
        <w:t xml:space="preserve">, </w:t>
      </w:r>
      <w:r>
        <w:rPr>
          <w:lang w:val="en-US"/>
        </w:rPr>
        <w:t>«</w:t>
      </w:r>
      <w:r w:rsidRPr="00666EA9">
        <w:rPr>
          <w:lang w:val="en-US"/>
        </w:rPr>
        <w:t>Assessment of the Radio Frequency Interference Relevant to the GNSS L5/E5A Frequency Band</w:t>
      </w:r>
      <w:r>
        <w:rPr>
          <w:lang w:val="en-US"/>
        </w:rPr>
        <w:t>»</w:t>
      </w:r>
      <w:r w:rsidRPr="00666EA9">
        <w:rPr>
          <w:lang w:val="en-US"/>
        </w:rPr>
        <w:t>, RTCA Document N</w:t>
      </w:r>
      <w:r>
        <w:rPr>
          <w:lang w:val="en-US"/>
        </w:rPr>
        <w:t>º</w:t>
      </w:r>
      <w:r w:rsidRPr="00666EA9">
        <w:rPr>
          <w:lang w:val="en-US"/>
        </w:rPr>
        <w:t> </w:t>
      </w:r>
      <w:r w:rsidRPr="00B6757E">
        <w:rPr>
          <w:lang w:val="en-US"/>
        </w:rPr>
        <w:t>RTCA/DO-292, Washington, DC, 29 </w:t>
      </w:r>
      <w:r>
        <w:rPr>
          <w:lang w:val="en-US"/>
        </w:rPr>
        <w:t xml:space="preserve">de julio de </w:t>
      </w:r>
      <w:r w:rsidRPr="00B6757E">
        <w:rPr>
          <w:lang w:val="en-US"/>
        </w:rPr>
        <w:t>2004</w:t>
      </w:r>
      <w:r>
        <w:rPr>
          <w:lang w:val="en-US"/>
        </w:rPr>
        <w:t xml:space="preserve">, </w:t>
      </w:r>
      <w:r w:rsidRPr="00C50D57">
        <w:rPr>
          <w:lang w:val="en-US"/>
        </w:rPr>
        <w:t>§</w:t>
      </w:r>
      <w:r>
        <w:rPr>
          <w:lang w:val="en-US"/>
        </w:rPr>
        <w:t> 2.6.2.3.</w:t>
      </w:r>
    </w:p>
  </w:footnote>
  <w:footnote w:id="7">
    <w:p w:rsidR="00CC7782" w:rsidRPr="0048661B" w:rsidRDefault="00CC7782" w:rsidP="00E7517C">
      <w:pPr>
        <w:pStyle w:val="FootnoteText"/>
        <w:rPr>
          <w:lang w:val="es-ES_tradnl"/>
        </w:rPr>
      </w:pPr>
      <w:r>
        <w:rPr>
          <w:rStyle w:val="FootnoteReference"/>
        </w:rPr>
        <w:footnoteRef/>
      </w:r>
      <w:r w:rsidRPr="0048661B">
        <w:rPr>
          <w:lang w:val="es-ES_tradnl"/>
        </w:rPr>
        <w:t xml:space="preserve"> </w:t>
      </w:r>
      <w:r w:rsidRPr="0048661B">
        <w:rPr>
          <w:lang w:val="es-ES_tradnl"/>
        </w:rPr>
        <w:tab/>
      </w:r>
      <w:r w:rsidRPr="0048661B">
        <w:rPr>
          <w:i/>
          <w:lang w:val="es-ES_tradnl"/>
        </w:rPr>
        <w:t xml:space="preserve">ibid </w:t>
      </w:r>
      <w:r w:rsidRPr="0048661B">
        <w:rPr>
          <w:lang w:val="es-ES_tradnl"/>
        </w:rPr>
        <w:t>RTCA/DO-292, Apéndice D.2.2.</w:t>
      </w:r>
    </w:p>
  </w:footnote>
  <w:footnote w:id="8">
    <w:p w:rsidR="00CC7782" w:rsidRPr="00F70D20" w:rsidRDefault="00CC7782" w:rsidP="00E7517C">
      <w:pPr>
        <w:pStyle w:val="FootnoteText"/>
        <w:rPr>
          <w:lang w:val="es-ES_tradnl"/>
        </w:rPr>
      </w:pPr>
      <w:r>
        <w:rPr>
          <w:rStyle w:val="FootnoteReference"/>
        </w:rPr>
        <w:footnoteRef/>
      </w:r>
      <w:r>
        <w:rPr>
          <w:lang w:val="es-ES_tradnl"/>
        </w:rPr>
        <w:tab/>
        <w:t>En el Informe UIT-R M.2220 aparecen más detalles sobre este parámetro.</w:t>
      </w:r>
    </w:p>
  </w:footnote>
  <w:footnote w:id="9">
    <w:p w:rsidR="00CC7782" w:rsidRPr="00D225F6" w:rsidRDefault="00CC7782" w:rsidP="00E7517C">
      <w:pPr>
        <w:pStyle w:val="FootnoteText"/>
        <w:rPr>
          <w:lang w:val="es-ES_tradnl"/>
        </w:rPr>
      </w:pPr>
      <w:r>
        <w:rPr>
          <w:rStyle w:val="FootnoteReference"/>
        </w:rPr>
        <w:footnoteRef/>
      </w:r>
      <w:r>
        <w:rPr>
          <w:lang w:val="es-ES_tradnl"/>
        </w:rPr>
        <w:tab/>
        <w:t xml:space="preserve">En el Informe UIT-R M.2220 aparecen más detalles sobre </w:t>
      </w:r>
      <w:r w:rsidRPr="00717400">
        <w:rPr>
          <w:i/>
          <w:iCs/>
          <w:lang w:val="es-ES_tradnl"/>
        </w:rPr>
        <w:t>N</w:t>
      </w:r>
      <w:r w:rsidRPr="00717400">
        <w:rPr>
          <w:vertAlign w:val="subscript"/>
          <w:lang w:val="es-ES_tradnl"/>
        </w:rPr>
        <w:t>0,</w:t>
      </w:r>
      <w:r w:rsidRPr="00717400">
        <w:rPr>
          <w:i/>
          <w:iCs/>
          <w:vertAlign w:val="subscript"/>
          <w:lang w:val="es-ES_tradnl"/>
        </w:rPr>
        <w:t>EFF</w:t>
      </w:r>
      <w:r w:rsidRPr="000E4C61">
        <w:rPr>
          <w:lang w:val="es-ES_tradnl"/>
        </w:rPr>
        <w:t>.</w:t>
      </w:r>
    </w:p>
  </w:footnote>
  <w:footnote w:id="10">
    <w:p w:rsidR="00CC7782" w:rsidRPr="00CD131B" w:rsidRDefault="00CC7782" w:rsidP="00E7517C">
      <w:pPr>
        <w:pStyle w:val="FootnoteText"/>
        <w:rPr>
          <w:lang w:val="es-ES_tradnl"/>
        </w:rPr>
      </w:pPr>
      <w:r>
        <w:rPr>
          <w:rStyle w:val="FootnoteReference"/>
        </w:rPr>
        <w:footnoteRef/>
      </w:r>
      <w:r>
        <w:rPr>
          <w:lang w:val="es-ES_tradnl"/>
        </w:rPr>
        <w:tab/>
        <w:t>La relación de degradación admisible es el límite superior del efecto de la RFI de las nuevas fuentes impulsivas planificadas sin la condición de RFI básica. Se determina considerando la RFI global, incluidos los parámetros básicos, que puede tolerar el receptor sin dejar de satisfacer los requisitos de calidad de funcionamiento.</w:t>
      </w:r>
    </w:p>
  </w:footnote>
  <w:footnote w:id="11">
    <w:p w:rsidR="00A84FE2" w:rsidRPr="00096BC0" w:rsidRDefault="00A84FE2" w:rsidP="00E7517C">
      <w:pPr>
        <w:pStyle w:val="FootnoteText"/>
        <w:rPr>
          <w:lang w:val="es-ES_tradnl"/>
        </w:rPr>
      </w:pPr>
      <w:r>
        <w:rPr>
          <w:rStyle w:val="FootnoteReference"/>
        </w:rPr>
        <w:footnoteRef/>
      </w:r>
      <w:r w:rsidRPr="00096BC0">
        <w:rPr>
          <w:lang w:val="es-ES_tradnl"/>
        </w:rPr>
        <w:tab/>
      </w:r>
      <w:r w:rsidRPr="00096BC0">
        <w:rPr>
          <w:lang w:val="es-ES_tradnl" w:eastAsia="zh-CN"/>
        </w:rPr>
        <w:t>Sistema de aumento basado en satélite (SBAS).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782" w:rsidRDefault="00CC7782">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782" w:rsidRDefault="00CC7782" w:rsidP="00CC7782">
    <w:pPr>
      <w:ind w:right="360" w:firstLine="360"/>
    </w:pPr>
    <w:r>
      <w:rPr>
        <w:noProof/>
        <w:lang w:val="en-US" w:eastAsia="zh-CN"/>
      </w:rPr>
      <w:drawing>
        <wp:anchor distT="0" distB="0" distL="114300" distR="114300" simplePos="0" relativeHeight="251659264" behindDoc="1" locked="0" layoutInCell="1" allowOverlap="1" wp14:anchorId="466305A2" wp14:editId="5FDBED7E">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782" w:rsidRDefault="00CC7782" w:rsidP="00CC7782">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D92AE2">
      <w:rPr>
        <w:rStyle w:val="PageNumber"/>
        <w:b/>
        <w:bCs/>
        <w:noProof/>
      </w:rPr>
      <w:t>ii</w:t>
    </w:r>
    <w:r>
      <w:rPr>
        <w:rStyle w:val="PageNumber"/>
        <w:b/>
        <w:bCs/>
      </w:rPr>
      <w:fldChar w:fldCharType="end"/>
    </w:r>
    <w:r>
      <w:tab/>
    </w:r>
    <w:fldSimple w:instr=" DOCPROPERTY &quot;Header&quot; \* MERGEFORMAT ">
      <w:r w:rsidR="00D92AE2" w:rsidRPr="00D92AE2">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D92AE2">
      <w:rPr>
        <w:b/>
        <w:bCs/>
        <w:noProof/>
      </w:rPr>
      <w:t>UIT-R  M.2030</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782" w:rsidRDefault="00CC7782">
    <w:r>
      <w:tab/>
    </w:r>
    <w:fldSimple w:instr=" DOCPROPERTY &quot;Header&quot; \* MERGEFORMAT ">
      <w:r w:rsidR="00D92AE2" w:rsidRPr="00D92AE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92AE2">
      <w:rPr>
        <w:b/>
        <w:bCs/>
        <w:noProof/>
      </w:rPr>
      <w:t>UIT-R  M.2030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782" w:rsidRDefault="00CC778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92AE2">
      <w:rPr>
        <w:rStyle w:val="PageNumber"/>
        <w:b/>
        <w:bCs/>
        <w:noProof/>
        <w:lang w:val="en-US"/>
      </w:rPr>
      <w:t>12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D92AE2" w:rsidRPr="00D92AE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92AE2">
      <w:rPr>
        <w:b/>
        <w:bCs/>
        <w:noProof/>
      </w:rPr>
      <w:t>UIT-R  M.2030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782" w:rsidRDefault="00CC7782">
    <w:pPr>
      <w:pStyle w:val="Header"/>
    </w:pPr>
    <w:r>
      <w:tab/>
    </w:r>
    <w:fldSimple w:instr=" DOCPROPERTY &quot;Header&quot; \* MERGEFORMAT ">
      <w:r w:rsidR="00D92AE2" w:rsidRPr="00D92AE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92AE2">
      <w:rPr>
        <w:b/>
        <w:bCs/>
        <w:noProof/>
      </w:rPr>
      <w:t>UIT-R  M.2030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92AE2">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66C4F2B8"/>
    <w:lvl w:ilvl="0">
      <w:start w:val="1"/>
      <w:numFmt w:val="decimal"/>
      <w:lvlText w:val="%1."/>
      <w:lvlJc w:val="left"/>
      <w:pPr>
        <w:tabs>
          <w:tab w:val="num" w:pos="1492"/>
        </w:tabs>
        <w:ind w:left="1492" w:hanging="360"/>
      </w:pPr>
    </w:lvl>
  </w:abstractNum>
  <w:abstractNum w:abstractNumId="1">
    <w:nsid w:val="FFFFFF7D"/>
    <w:multiLevelType w:val="singleLevel"/>
    <w:tmpl w:val="41A822EE"/>
    <w:lvl w:ilvl="0">
      <w:start w:val="1"/>
      <w:numFmt w:val="decimal"/>
      <w:lvlText w:val="%1."/>
      <w:lvlJc w:val="left"/>
      <w:pPr>
        <w:tabs>
          <w:tab w:val="num" w:pos="1209"/>
        </w:tabs>
        <w:ind w:left="1209" w:hanging="360"/>
      </w:pPr>
    </w:lvl>
  </w:abstractNum>
  <w:abstractNum w:abstractNumId="2">
    <w:nsid w:val="FFFFFF7E"/>
    <w:multiLevelType w:val="singleLevel"/>
    <w:tmpl w:val="89D6608C"/>
    <w:lvl w:ilvl="0">
      <w:start w:val="1"/>
      <w:numFmt w:val="decimal"/>
      <w:lvlText w:val="%1."/>
      <w:lvlJc w:val="left"/>
      <w:pPr>
        <w:tabs>
          <w:tab w:val="num" w:pos="926"/>
        </w:tabs>
        <w:ind w:left="926" w:hanging="360"/>
      </w:pPr>
    </w:lvl>
  </w:abstractNum>
  <w:abstractNum w:abstractNumId="3">
    <w:nsid w:val="FFFFFF7F"/>
    <w:multiLevelType w:val="singleLevel"/>
    <w:tmpl w:val="5164F65A"/>
    <w:lvl w:ilvl="0">
      <w:start w:val="1"/>
      <w:numFmt w:val="decimal"/>
      <w:lvlText w:val="%1."/>
      <w:lvlJc w:val="left"/>
      <w:pPr>
        <w:tabs>
          <w:tab w:val="num" w:pos="643"/>
        </w:tabs>
        <w:ind w:left="643" w:hanging="360"/>
      </w:pPr>
    </w:lvl>
  </w:abstractNum>
  <w:abstractNum w:abstractNumId="4">
    <w:nsid w:val="FFFFFF80"/>
    <w:multiLevelType w:val="singleLevel"/>
    <w:tmpl w:val="347036A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92869F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B48C2C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D3CF72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51E970C"/>
    <w:lvl w:ilvl="0">
      <w:start w:val="1"/>
      <w:numFmt w:val="decimal"/>
      <w:lvlText w:val="%1."/>
      <w:lvlJc w:val="left"/>
      <w:pPr>
        <w:tabs>
          <w:tab w:val="num" w:pos="360"/>
        </w:tabs>
        <w:ind w:left="360" w:hanging="360"/>
      </w:pPr>
    </w:lvl>
  </w:abstractNum>
  <w:abstractNum w:abstractNumId="9">
    <w:nsid w:val="FFFFFF89"/>
    <w:multiLevelType w:val="singleLevel"/>
    <w:tmpl w:val="51D009C0"/>
    <w:lvl w:ilvl="0">
      <w:start w:val="1"/>
      <w:numFmt w:val="bullet"/>
      <w:lvlText w:val=""/>
      <w:lvlJc w:val="left"/>
      <w:pPr>
        <w:tabs>
          <w:tab w:val="num" w:pos="360"/>
        </w:tabs>
        <w:ind w:left="360" w:hanging="360"/>
      </w:pPr>
      <w:rPr>
        <w:rFonts w:ascii="Symbol" w:hAnsi="Symbol" w:hint="default"/>
      </w:rPr>
    </w:lvl>
  </w:abstractNum>
  <w:abstractNum w:abstractNumId="10">
    <w:nsid w:val="28B26805"/>
    <w:multiLevelType w:val="hybridMultilevel"/>
    <w:tmpl w:val="206ADC52"/>
    <w:lvl w:ilvl="0" w:tplc="A92A4352">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17C"/>
    <w:rsid w:val="000E4C61"/>
    <w:rsid w:val="0014348A"/>
    <w:rsid w:val="00180DAD"/>
    <w:rsid w:val="00195B7D"/>
    <w:rsid w:val="001A461C"/>
    <w:rsid w:val="00217EBF"/>
    <w:rsid w:val="00242AEE"/>
    <w:rsid w:val="00273D35"/>
    <w:rsid w:val="002D76C4"/>
    <w:rsid w:val="00377DB9"/>
    <w:rsid w:val="003877FE"/>
    <w:rsid w:val="003C088F"/>
    <w:rsid w:val="003F751D"/>
    <w:rsid w:val="00420A5D"/>
    <w:rsid w:val="004F3B27"/>
    <w:rsid w:val="0052529D"/>
    <w:rsid w:val="005B5D30"/>
    <w:rsid w:val="005D1D98"/>
    <w:rsid w:val="00607D68"/>
    <w:rsid w:val="007468DA"/>
    <w:rsid w:val="00844BBA"/>
    <w:rsid w:val="00916361"/>
    <w:rsid w:val="009B7A07"/>
    <w:rsid w:val="009E00A8"/>
    <w:rsid w:val="00A6617B"/>
    <w:rsid w:val="00A746BF"/>
    <w:rsid w:val="00A84FE2"/>
    <w:rsid w:val="00AB0DC8"/>
    <w:rsid w:val="00B44E24"/>
    <w:rsid w:val="00C50D57"/>
    <w:rsid w:val="00CC7782"/>
    <w:rsid w:val="00CC7942"/>
    <w:rsid w:val="00D92AE2"/>
    <w:rsid w:val="00DD2438"/>
    <w:rsid w:val="00DF4176"/>
    <w:rsid w:val="00E7517C"/>
    <w:rsid w:val="00EF004C"/>
    <w:rsid w:val="00F170A1"/>
    <w:rsid w:val="00F55D66"/>
    <w:rsid w:val="00FB0FDC"/>
    <w:rsid w:val="00FB7F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15:docId w15:val="{16D26B9F-94C0-4078-8FEC-8446EF829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517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0"/>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7517C"/>
    <w:rPr>
      <w:color w:val="0000FF"/>
      <w:u w:val="single"/>
    </w:rPr>
  </w:style>
  <w:style w:type="character" w:customStyle="1" w:styleId="TableheadChar">
    <w:name w:val="Table_head Char"/>
    <w:basedOn w:val="DefaultParagraphFont"/>
    <w:link w:val="Tablehead"/>
    <w:locked/>
    <w:rsid w:val="00E7517C"/>
    <w:rPr>
      <w:b/>
      <w:sz w:val="22"/>
      <w:lang w:val="fr-FR" w:eastAsia="en-US"/>
    </w:rPr>
  </w:style>
  <w:style w:type="character" w:customStyle="1" w:styleId="TabletextChar">
    <w:name w:val="Table_text Char"/>
    <w:basedOn w:val="DefaultParagraphFont"/>
    <w:link w:val="Tabletext"/>
    <w:locked/>
    <w:rsid w:val="00E7517C"/>
    <w:rPr>
      <w:sz w:val="22"/>
      <w:lang w:val="fr-FR" w:eastAsia="en-US"/>
    </w:rPr>
  </w:style>
  <w:style w:type="character" w:customStyle="1" w:styleId="Heading1Char">
    <w:name w:val="Heading 1 Char"/>
    <w:basedOn w:val="DefaultParagraphFont"/>
    <w:link w:val="Heading1"/>
    <w:rsid w:val="00E7517C"/>
    <w:rPr>
      <w:b/>
      <w:sz w:val="24"/>
      <w:lang w:val="fr-FR" w:eastAsia="en-US"/>
    </w:rPr>
  </w:style>
  <w:style w:type="character" w:customStyle="1" w:styleId="FootnoteTextChar">
    <w:name w:val="Footnote Text Char"/>
    <w:basedOn w:val="DefaultParagraphFont"/>
    <w:link w:val="FootnoteText"/>
    <w:rsid w:val="00E7517C"/>
    <w:rPr>
      <w:sz w:val="22"/>
      <w:lang w:val="fr-FR" w:eastAsia="en-US"/>
    </w:rPr>
  </w:style>
  <w:style w:type="character" w:customStyle="1" w:styleId="EquationlegendChar">
    <w:name w:val="Equation_legend Char"/>
    <w:link w:val="Equationlegend"/>
    <w:locked/>
    <w:rsid w:val="00E7517C"/>
    <w:rPr>
      <w:sz w:val="24"/>
      <w:lang w:eastAsia="en-US"/>
    </w:rPr>
  </w:style>
  <w:style w:type="character" w:customStyle="1" w:styleId="Rectitle0">
    <w:name w:val="Rec_title Знак"/>
    <w:link w:val="Rectitle"/>
    <w:locked/>
    <w:rsid w:val="00E7517C"/>
    <w:rPr>
      <w:b/>
      <w:sz w:val="28"/>
      <w:lang w:val="fr-FR" w:eastAsia="en-US"/>
    </w:rPr>
  </w:style>
  <w:style w:type="character" w:customStyle="1" w:styleId="Tabletitle0">
    <w:name w:val="Table_title Знак"/>
    <w:link w:val="Tabletitle"/>
    <w:locked/>
    <w:rsid w:val="00E7517C"/>
    <w:rPr>
      <w:b/>
      <w:sz w:val="24"/>
      <w:lang w:val="fr-FR" w:eastAsia="en-US"/>
    </w:rPr>
  </w:style>
  <w:style w:type="character" w:customStyle="1" w:styleId="TableNo0">
    <w:name w:val="Table_No Знак"/>
    <w:link w:val="TableNo"/>
    <w:locked/>
    <w:rsid w:val="00E7517C"/>
    <w:rPr>
      <w:sz w:val="24"/>
      <w:lang w:val="fr-FR" w:eastAsia="en-US"/>
    </w:rPr>
  </w:style>
  <w:style w:type="character" w:customStyle="1" w:styleId="EquationChar">
    <w:name w:val="Equation Char"/>
    <w:link w:val="Equation"/>
    <w:locked/>
    <w:rsid w:val="00E7517C"/>
    <w:rPr>
      <w:sz w:val="24"/>
      <w:lang w:val="fr-FR" w:eastAsia="en-US"/>
    </w:rPr>
  </w:style>
  <w:style w:type="character" w:customStyle="1" w:styleId="HeadingbChar">
    <w:name w:val="Heading_b Char"/>
    <w:link w:val="Headingb"/>
    <w:locked/>
    <w:rsid w:val="00E7517C"/>
    <w:rPr>
      <w:b/>
      <w:sz w:val="24"/>
      <w:lang w:val="fr-FR" w:eastAsia="en-US"/>
    </w:rPr>
  </w:style>
  <w:style w:type="character" w:customStyle="1" w:styleId="NormalaftertitleChar">
    <w:name w:val="Normal_after_title Char"/>
    <w:link w:val="Normalaftertitle"/>
    <w:locked/>
    <w:rsid w:val="00E7517C"/>
    <w:rPr>
      <w:sz w:val="24"/>
      <w:lang w:val="fr-FR" w:eastAsia="en-US"/>
    </w:rPr>
  </w:style>
  <w:style w:type="character" w:customStyle="1" w:styleId="CallChar">
    <w:name w:val="Call Char"/>
    <w:link w:val="Call"/>
    <w:locked/>
    <w:rsid w:val="00E7517C"/>
    <w:rPr>
      <w:i/>
      <w:sz w:val="24"/>
      <w:lang w:val="fr-FR" w:eastAsia="en-US"/>
    </w:rPr>
  </w:style>
  <w:style w:type="character" w:customStyle="1" w:styleId="NoteChar">
    <w:name w:val="Note Char"/>
    <w:link w:val="Note"/>
    <w:locked/>
    <w:rsid w:val="00E7517C"/>
    <w:rPr>
      <w:sz w:val="22"/>
      <w:lang w:val="fr-FR" w:eastAsia="en-US"/>
    </w:rPr>
  </w:style>
  <w:style w:type="character" w:customStyle="1" w:styleId="RecNoChar">
    <w:name w:val="Rec_No Char"/>
    <w:link w:val="RecNo"/>
    <w:locked/>
    <w:rsid w:val="00E7517C"/>
    <w:rPr>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6.wmf"/><Relationship Id="rId34" Type="http://schemas.openxmlformats.org/officeDocument/2006/relationships/oleObject" Target="embeddings/oleObject11.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header" Target="header5.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w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oleObject" Target="embeddings/oleObject13.bin"/><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hyperlink" Target="http://www.itu.int/publ/R-REC/es" TargetMode="External"/><Relationship Id="rId19" Type="http://schemas.openxmlformats.org/officeDocument/2006/relationships/image" Target="media/image5.wmf"/><Relationship Id="rId31"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1FD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176</TotalTime>
  <Pages>15</Pages>
  <Words>5827</Words>
  <Characters>30316</Characters>
  <Application>Microsoft Office Word</Application>
  <DocSecurity>0</DocSecurity>
  <Lines>561</Lines>
  <Paragraphs>50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36093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24</cp:revision>
  <cp:lastPrinted>2014-10-17T08:45:00Z</cp:lastPrinted>
  <dcterms:created xsi:type="dcterms:W3CDTF">2014-10-16T12:16:00Z</dcterms:created>
  <dcterms:modified xsi:type="dcterms:W3CDTF">2014-10-17T08:49:00Z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