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BB29FF" w:rsidP="008649DF">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FE79FE" w:rsidRPr="00A443C2">
              <w:rPr>
                <w:rFonts w:ascii="Tahoma" w:hAnsi="Tahoma" w:cs="Tahoma"/>
                <w:b/>
                <w:bCs/>
                <w:iCs/>
                <w:color w:val="243285"/>
                <w:sz w:val="36"/>
                <w:szCs w:val="36"/>
              </w:rPr>
              <w:t>ecomm</w:t>
            </w:r>
            <w:r w:rsidR="00D31EB8" w:rsidRPr="00A443C2">
              <w:rPr>
                <w:rFonts w:ascii="Tahoma" w:hAnsi="Tahoma" w:cs="Tahoma"/>
                <w:b/>
                <w:bCs/>
                <w:iCs/>
                <w:color w:val="243285"/>
                <w:sz w:val="36"/>
                <w:szCs w:val="36"/>
              </w:rPr>
              <w:t>a</w:t>
            </w:r>
            <w:r w:rsidR="00FE79FE"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00FE79FE" w:rsidRPr="00A443C2">
              <w:rPr>
                <w:rFonts w:ascii="Tahoma" w:hAnsi="Tahoma" w:cs="Tahoma"/>
                <w:b/>
                <w:bCs/>
                <w:iCs/>
                <w:color w:val="243285"/>
                <w:sz w:val="36"/>
                <w:szCs w:val="36"/>
              </w:rPr>
              <w:t>-R  M.</w:t>
            </w:r>
            <w:r w:rsidR="008649DF">
              <w:rPr>
                <w:rFonts w:ascii="Tahoma" w:hAnsi="Tahoma" w:cs="Tahoma"/>
                <w:b/>
                <w:bCs/>
                <w:iCs/>
                <w:color w:val="243285"/>
                <w:sz w:val="36"/>
                <w:szCs w:val="36"/>
              </w:rPr>
              <w:t>2030</w:t>
            </w:r>
          </w:p>
          <w:p w:rsidR="00FE79FE" w:rsidRPr="00A443C2" w:rsidRDefault="00FE79FE" w:rsidP="008649D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649DF">
              <w:rPr>
                <w:rFonts w:ascii="Tahoma" w:hAnsi="Tahoma" w:cs="Tahoma"/>
                <w:b/>
                <w:bCs/>
                <w:iCs/>
                <w:color w:val="243285"/>
                <w:szCs w:val="24"/>
              </w:rPr>
              <w:t>12</w:t>
            </w:r>
            <w:r w:rsidRPr="00A443C2">
              <w:rPr>
                <w:rFonts w:ascii="Tahoma" w:hAnsi="Tahoma" w:cs="Tahoma"/>
                <w:b/>
                <w:bCs/>
                <w:iCs/>
                <w:color w:val="243285"/>
                <w:szCs w:val="24"/>
              </w:rPr>
              <w:t>/</w:t>
            </w:r>
            <w:r w:rsidR="008649DF">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8649DF" w:rsidP="00EE057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 d'évaluation du brouillage par impulsions causé par des sources radioélectriques pertinentes autres que celles du service de radionavigation par satellite aux systèmes et réseaux du service de radionavigation par satellite fonctionnant dans les bandes 1 164-1 215 MHz, 1 215</w:t>
            </w:r>
            <w:r w:rsidR="00EE0573">
              <w:rPr>
                <w:rFonts w:ascii="Tahoma" w:hAnsi="Tahoma" w:cs="Tahoma"/>
                <w:b/>
                <w:bCs/>
                <w:iCs/>
                <w:color w:val="243285"/>
                <w:sz w:val="44"/>
                <w:szCs w:val="44"/>
              </w:rPr>
              <w:noBreakHyphen/>
            </w:r>
            <w:r>
              <w:rPr>
                <w:rFonts w:ascii="Tahoma" w:hAnsi="Tahoma" w:cs="Tahoma"/>
                <w:b/>
                <w:bCs/>
                <w:iCs/>
                <w:color w:val="243285"/>
                <w:sz w:val="44"/>
                <w:szCs w:val="44"/>
              </w:rPr>
              <w:t>1 300 MHz et 1 559-1 610 MHz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1671C8">
        <w:rPr>
          <w:sz w:val="20"/>
        </w:rPr>
        <w:t>4</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3E0582">
        <w:rPr>
          <w:sz w:val="20"/>
        </w:rPr>
        <w:t>1</w:t>
      </w:r>
      <w:r w:rsidR="001671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F60DE" w:rsidRPr="00F569A9" w:rsidRDefault="00756B4D" w:rsidP="00DF60DE">
      <w:pPr>
        <w:pStyle w:val="Rectitle"/>
        <w:rPr>
          <w:b w:val="0"/>
          <w:bCs/>
        </w:rPr>
      </w:pPr>
      <w:bookmarkStart w:id="2" w:name="irecnoe"/>
      <w:bookmarkEnd w:id="2"/>
      <w:r w:rsidRPr="00F569A9">
        <w:rPr>
          <w:b w:val="0"/>
          <w:bCs/>
        </w:rPr>
        <w:lastRenderedPageBreak/>
        <w:t>RECOMMA</w:t>
      </w:r>
      <w:r w:rsidR="00934ED7" w:rsidRPr="00F569A9">
        <w:rPr>
          <w:b w:val="0"/>
          <w:bCs/>
        </w:rPr>
        <w:t xml:space="preserve">NDATION  </w:t>
      </w:r>
      <w:r w:rsidR="00530208" w:rsidRPr="00F569A9">
        <w:rPr>
          <w:rStyle w:val="href"/>
          <w:b w:val="0"/>
          <w:bCs/>
        </w:rPr>
        <w:t>UIT</w:t>
      </w:r>
      <w:r w:rsidR="00934ED7" w:rsidRPr="00F569A9">
        <w:rPr>
          <w:rStyle w:val="href"/>
          <w:b w:val="0"/>
          <w:bCs/>
        </w:rPr>
        <w:t>-R  M.</w:t>
      </w:r>
      <w:r w:rsidR="00DF60DE" w:rsidRPr="00F569A9">
        <w:rPr>
          <w:rStyle w:val="href"/>
          <w:b w:val="0"/>
          <w:bCs/>
        </w:rPr>
        <w:t>2030</w:t>
      </w:r>
    </w:p>
    <w:p w:rsidR="00DF60DE" w:rsidRPr="00CA2C43" w:rsidRDefault="00DF60DE" w:rsidP="008649DF">
      <w:pPr>
        <w:pStyle w:val="Rectitle"/>
        <w:rPr>
          <w:lang w:val="fr-CH"/>
        </w:rPr>
      </w:pPr>
      <w:r w:rsidRPr="00CA2C43">
        <w:rPr>
          <w:lang w:val="fr-CH"/>
        </w:rPr>
        <w:t>Méthode d'évaluation du brouillage par i</w:t>
      </w:r>
      <w:r>
        <w:rPr>
          <w:lang w:val="fr-CH"/>
        </w:rPr>
        <w:t>mpulsions causé par des sources</w:t>
      </w:r>
      <w:r>
        <w:rPr>
          <w:lang w:val="fr-CH"/>
        </w:rPr>
        <w:br/>
      </w:r>
      <w:r w:rsidRPr="00CA2C43">
        <w:rPr>
          <w:lang w:val="fr-CH"/>
        </w:rPr>
        <w:t>radioélectriques</w:t>
      </w:r>
      <w:r>
        <w:rPr>
          <w:lang w:val="fr-CH"/>
        </w:rPr>
        <w:t xml:space="preserve"> pertinentes</w:t>
      </w:r>
      <w:r w:rsidRPr="00CA2C43">
        <w:rPr>
          <w:lang w:val="fr-CH"/>
        </w:rPr>
        <w:t xml:space="preserve"> autres que celles du</w:t>
      </w:r>
      <w:r>
        <w:rPr>
          <w:lang w:val="fr-CH"/>
        </w:rPr>
        <w:t xml:space="preserve"> service de radionavigation par</w:t>
      </w:r>
      <w:r w:rsidRPr="00CA2C43">
        <w:rPr>
          <w:lang w:val="fr-CH"/>
        </w:rPr>
        <w:br/>
        <w:t>satellite aux systèmes et réseau</w:t>
      </w:r>
      <w:r>
        <w:rPr>
          <w:lang w:val="fr-CH"/>
        </w:rPr>
        <w:t>x du service de radionavigation</w:t>
      </w:r>
      <w:r w:rsidRPr="00CA2C43">
        <w:rPr>
          <w:lang w:val="fr-CH"/>
        </w:rPr>
        <w:br/>
        <w:t>par satellite fonctionnant dans les bandes 1</w:t>
      </w:r>
      <w:r w:rsidR="008649DF">
        <w:rPr>
          <w:lang w:val="fr-CH"/>
        </w:rPr>
        <w:t> </w:t>
      </w:r>
      <w:r w:rsidRPr="00CA2C43">
        <w:rPr>
          <w:lang w:val="fr-CH"/>
        </w:rPr>
        <w:t>164-1</w:t>
      </w:r>
      <w:r w:rsidR="008649DF">
        <w:rPr>
          <w:lang w:val="fr-CH"/>
        </w:rPr>
        <w:t> </w:t>
      </w:r>
      <w:r w:rsidRPr="00CA2C43">
        <w:rPr>
          <w:lang w:val="fr-CH"/>
        </w:rPr>
        <w:t>215</w:t>
      </w:r>
      <w:r w:rsidR="008649DF">
        <w:rPr>
          <w:lang w:val="fr-CH"/>
        </w:rPr>
        <w:t> MHz,</w:t>
      </w:r>
      <w:r w:rsidRPr="00CA2C43">
        <w:rPr>
          <w:lang w:val="fr-CH"/>
        </w:rPr>
        <w:br/>
        <w:t>1</w:t>
      </w:r>
      <w:r w:rsidR="008649DF">
        <w:rPr>
          <w:lang w:val="fr-CH"/>
        </w:rPr>
        <w:t> </w:t>
      </w:r>
      <w:r w:rsidRPr="00CA2C43">
        <w:rPr>
          <w:lang w:val="fr-CH"/>
        </w:rPr>
        <w:t>215-1</w:t>
      </w:r>
      <w:r w:rsidR="008649DF">
        <w:rPr>
          <w:lang w:val="fr-CH"/>
        </w:rPr>
        <w:t> </w:t>
      </w:r>
      <w:r w:rsidRPr="00CA2C43">
        <w:rPr>
          <w:lang w:val="fr-CH"/>
        </w:rPr>
        <w:t>300</w:t>
      </w:r>
      <w:r w:rsidR="008649DF">
        <w:rPr>
          <w:lang w:val="fr-CH"/>
        </w:rPr>
        <w:t> </w:t>
      </w:r>
      <w:r w:rsidRPr="00CA2C43">
        <w:rPr>
          <w:lang w:val="fr-CH"/>
        </w:rPr>
        <w:t>MHz et 1</w:t>
      </w:r>
      <w:r w:rsidR="008649DF">
        <w:rPr>
          <w:lang w:val="fr-CH"/>
        </w:rPr>
        <w:t> </w:t>
      </w:r>
      <w:r w:rsidRPr="00CA2C43">
        <w:rPr>
          <w:lang w:val="fr-CH"/>
        </w:rPr>
        <w:t>559-1</w:t>
      </w:r>
      <w:r w:rsidR="008649DF">
        <w:rPr>
          <w:lang w:val="fr-CH"/>
        </w:rPr>
        <w:t> </w:t>
      </w:r>
      <w:r w:rsidRPr="00CA2C43">
        <w:rPr>
          <w:lang w:val="fr-CH"/>
        </w:rPr>
        <w:t>610</w:t>
      </w:r>
      <w:r w:rsidR="008649DF">
        <w:rPr>
          <w:lang w:val="fr-CH"/>
        </w:rPr>
        <w:t> </w:t>
      </w:r>
      <w:r w:rsidRPr="00CA2C43">
        <w:rPr>
          <w:lang w:val="fr-CH"/>
        </w:rPr>
        <w:t>MHz</w:t>
      </w:r>
    </w:p>
    <w:p w:rsidR="00DF60DE" w:rsidRPr="007763AB" w:rsidRDefault="00DF60DE" w:rsidP="00DF60DE">
      <w:pPr>
        <w:pStyle w:val="Recref"/>
      </w:pPr>
      <w:r w:rsidRPr="007763AB">
        <w:t>(Questions UIT</w:t>
      </w:r>
      <w:r w:rsidRPr="007763AB">
        <w:noBreakHyphen/>
        <w:t>R 217-2/4 et UIT</w:t>
      </w:r>
      <w:r w:rsidRPr="007763AB">
        <w:noBreakHyphen/>
        <w:t>R 288/4)</w:t>
      </w:r>
    </w:p>
    <w:p w:rsidR="00DF60DE" w:rsidRPr="007763AB" w:rsidRDefault="00DF60DE" w:rsidP="00DF60DE">
      <w:pPr>
        <w:pStyle w:val="Recdate"/>
      </w:pPr>
      <w:r w:rsidRPr="007763AB">
        <w:t>(2012)</w:t>
      </w:r>
    </w:p>
    <w:p w:rsidR="00DF60DE" w:rsidRPr="007763AB" w:rsidRDefault="00DF60DE" w:rsidP="00CF0DD2">
      <w:pPr>
        <w:pStyle w:val="HeadingSum"/>
      </w:pPr>
      <w:r w:rsidRPr="007763AB">
        <w:t>Domaine d'application</w:t>
      </w:r>
    </w:p>
    <w:p w:rsidR="00DF60DE" w:rsidRPr="002F2008" w:rsidRDefault="00DF60DE" w:rsidP="00CF0DD2">
      <w:pPr>
        <w:pStyle w:val="Summary"/>
      </w:pPr>
      <w:r w:rsidRPr="002F2008">
        <w:t>La pré</w:t>
      </w:r>
      <w:r>
        <w:t>sente Recommandation propose une méthode à utiliser pour l'</w:t>
      </w:r>
      <w:r w:rsidRPr="002F2008">
        <w:t xml:space="preserve">évaluation initiale </w:t>
      </w:r>
      <w:r>
        <w:t xml:space="preserve">du </w:t>
      </w:r>
      <w:r w:rsidRPr="00260EF4">
        <w:t>brouillage par impulsions</w:t>
      </w:r>
      <w:r>
        <w:rPr>
          <w:rStyle w:val="FootnoteReference"/>
        </w:rPr>
        <w:footnoteReference w:id="1"/>
      </w:r>
      <w:r w:rsidRPr="00260EF4">
        <w:t xml:space="preserve"> </w:t>
      </w:r>
      <w:r w:rsidRPr="002F2008">
        <w:t>que des sources radioélectriques</w:t>
      </w:r>
      <w:r>
        <w:t xml:space="preserve"> pertinentes</w:t>
      </w:r>
      <w:r w:rsidRPr="00CF0DD2">
        <w:rPr>
          <w:rStyle w:val="FootnoteReference"/>
          <w:szCs w:val="18"/>
        </w:rPr>
        <w:footnoteReference w:id="2"/>
      </w:r>
      <w:r w:rsidRPr="002F2008">
        <w:t xml:space="preserve"> autres que celles du service de radionavigation par satellite (SRNS) </w:t>
      </w:r>
      <w:r>
        <w:t>sont susceptibles de causer</w:t>
      </w:r>
      <w:r w:rsidRPr="002F2008">
        <w:t xml:space="preserve"> à un système ou réseau du SRNS fonctionnant dans les bandes 1 164</w:t>
      </w:r>
      <w:r w:rsidRPr="002F2008">
        <w:noBreakHyphen/>
        <w:t>1 215 MHz, 1 215-1 300 MHz</w:t>
      </w:r>
      <w:r>
        <w:t xml:space="preserve"> et 1 559-1 610 MHz</w:t>
      </w:r>
      <w:r w:rsidRPr="002F2008">
        <w:t>.</w:t>
      </w:r>
      <w:r>
        <w:t xml:space="preserve"> </w:t>
      </w:r>
      <w:r w:rsidRPr="004F7AAE">
        <w:t xml:space="preserve">Cette méthode repose sur un ensemble d'équations ainsi qu'un tableau </w:t>
      </w:r>
      <w:r>
        <w:t xml:space="preserve">contenant </w:t>
      </w:r>
      <w:r w:rsidRPr="004F7AAE">
        <w:t>de</w:t>
      </w:r>
      <w:r>
        <w:t>s</w:t>
      </w:r>
      <w:r w:rsidRPr="004F7AAE">
        <w:t xml:space="preserve"> paramètres recommandés et de</w:t>
      </w:r>
      <w:r>
        <w:t>s</w:t>
      </w:r>
      <w:r w:rsidRPr="004F7AAE">
        <w:t xml:space="preserve"> rapports de dégradation admissibles</w:t>
      </w:r>
      <w:r w:rsidRPr="00CF0DD2">
        <w:rPr>
          <w:rStyle w:val="FootnoteReference"/>
          <w:szCs w:val="18"/>
        </w:rPr>
        <w:footnoteReference w:id="3"/>
      </w:r>
      <w:r w:rsidRPr="004F7AAE">
        <w:t xml:space="preserve"> pour chaque bande de fréquences et chaque type de récepteur du SRNS</w:t>
      </w:r>
      <w:r>
        <w:t>.</w:t>
      </w:r>
      <w:r w:rsidRPr="00297BA3">
        <w:t xml:space="preserve"> Bien que les équations de la méthode d'évaluation soient applicables aux récepteurs du SRNS fonctionnant dans la bande 1 559-1 610 MHz, il conviendrait de réaliser des études supplémentaires afin d'é</w:t>
      </w:r>
      <w:r>
        <w:t>tablir</w:t>
      </w:r>
      <w:r w:rsidRPr="00297BA3">
        <w:t xml:space="preserve"> le tableau de</w:t>
      </w:r>
      <w:r>
        <w:t>s</w:t>
      </w:r>
      <w:r w:rsidRPr="00297BA3">
        <w:t xml:space="preserve"> paramètres recommandés </w:t>
      </w:r>
      <w:r>
        <w:t>et des rapports de dégradation admissibles,</w:t>
      </w:r>
      <w:r w:rsidRPr="00297BA3">
        <w:t xml:space="preserve"> pour cette bande de fréquences</w:t>
      </w:r>
      <w:r>
        <w:t>,</w:t>
      </w:r>
      <w:r w:rsidRPr="00297BA3">
        <w:t xml:space="preserve"> avant de définir intégralement la méthode d'évaluation pour la bande 1 559-1 610 MHz</w:t>
      </w:r>
      <w:r>
        <w:t>.</w:t>
      </w:r>
    </w:p>
    <w:p w:rsidR="00DF60DE" w:rsidRPr="007763AB" w:rsidRDefault="00DF60DE" w:rsidP="00DF60DE">
      <w:pPr>
        <w:pStyle w:val="Normalaftertitle"/>
      </w:pPr>
      <w:r w:rsidRPr="007763AB">
        <w:t>L'Assemblée des radiocommunications de l'UIT,</w:t>
      </w:r>
    </w:p>
    <w:p w:rsidR="00DF60DE" w:rsidRPr="007763AB" w:rsidRDefault="00DF60DE" w:rsidP="00DF60DE">
      <w:pPr>
        <w:pStyle w:val="Call"/>
      </w:pPr>
      <w:r w:rsidRPr="007763AB">
        <w:t>considérant</w:t>
      </w:r>
    </w:p>
    <w:p w:rsidR="00DF60DE" w:rsidRPr="007763AB" w:rsidRDefault="00DF60DE" w:rsidP="00DF60DE">
      <w:r w:rsidRPr="00677E90">
        <w:rPr>
          <w:i/>
          <w:iCs/>
        </w:rPr>
        <w:t>a)</w:t>
      </w:r>
      <w:r w:rsidRPr="007763AB">
        <w:tab/>
        <w:t>que les systèmes et réseaux du service de radionavigation par satellite (SRNS) permettent de disposer dans le monde entier d'informations précises pour de nombreuses applications de localisation, de navigation et de synchronisation, y compris d'informations sur les aspects de sécurité pour certaines bandes de fréquences, dans certaines circonstances et pour certaines applications;</w:t>
      </w:r>
    </w:p>
    <w:p w:rsidR="00DF60DE" w:rsidRPr="00240501" w:rsidRDefault="00DF60DE" w:rsidP="00DF60DE">
      <w:r w:rsidRPr="00677E90">
        <w:rPr>
          <w:i/>
          <w:iCs/>
        </w:rPr>
        <w:t>b)</w:t>
      </w:r>
      <w:r w:rsidRPr="00240501">
        <w:tab/>
        <w:t>que les émetteurs radioélectriques produisent généralement un certain niveau de rayonnement hors bande en fonction de</w:t>
      </w:r>
      <w:r>
        <w:t>s</w:t>
      </w:r>
      <w:r w:rsidRPr="00240501">
        <w:t xml:space="preserve"> conditions d</w:t>
      </w:r>
      <w:r>
        <w:t>ans lesquelles ils sont utilisés</w:t>
      </w:r>
      <w:r w:rsidRPr="00240501">
        <w:t>;</w:t>
      </w:r>
    </w:p>
    <w:p w:rsidR="00DF60DE" w:rsidRPr="00240501" w:rsidRDefault="00DF60DE" w:rsidP="00DF60DE">
      <w:r w:rsidRPr="00677E90">
        <w:rPr>
          <w:i/>
          <w:iCs/>
        </w:rPr>
        <w:t>c)</w:t>
      </w:r>
      <w:r w:rsidRPr="00240501">
        <w:tab/>
        <w:t xml:space="preserve">que l'Appendice 3 du Règlement des radiocommunications (RR) spécifie les puissances maximales admissibles des </w:t>
      </w:r>
      <w:r>
        <w:t>rayonnements non essentiels</w:t>
      </w:r>
      <w:r w:rsidRPr="00240501">
        <w:t xml:space="preserve">, mais signale par ailleurs que, dans certains cas, ces niveaux risquent de ne pas assurer une protection adéquate des stations de réception des services spatiaux et qu'il conviendrait sans doute d'envisager l'adoption de </w:t>
      </w:r>
      <w:r>
        <w:t>niveaux</w:t>
      </w:r>
      <w:r w:rsidRPr="00240501">
        <w:t xml:space="preserve"> plus stricts dans chaque cas particulier, compte tenu de l'emplacement géographique des stations concernées, et que par ailleurs ces niveaux peuvent ne pas s'appliquer aux systèmes utilisant des techniques de modulation numérique;</w:t>
      </w:r>
    </w:p>
    <w:p w:rsidR="00DF60DE" w:rsidRPr="00240501" w:rsidRDefault="00DF60DE" w:rsidP="00DF60DE">
      <w:r w:rsidRPr="00677E90">
        <w:rPr>
          <w:i/>
          <w:iCs/>
        </w:rPr>
        <w:lastRenderedPageBreak/>
        <w:t>d)</w:t>
      </w:r>
      <w:r w:rsidRPr="00240501">
        <w:tab/>
        <w:t>que les bandes 1 164-1 215 MHz, 1 215-1 300 MHz, 1 559-1 610 MHz et 5 010</w:t>
      </w:r>
      <w:r w:rsidRPr="00240501">
        <w:noBreakHyphen/>
        <w:t xml:space="preserve">5 030 MHz sont, de plus, attribuées à titre primaire ou à titre secondaire à d'autre services que </w:t>
      </w:r>
      <w:r>
        <w:t>le SRNS</w:t>
      </w:r>
      <w:r w:rsidRPr="00240501">
        <w:t>;</w:t>
      </w:r>
    </w:p>
    <w:p w:rsidR="00DF60DE" w:rsidRDefault="00DF60DE" w:rsidP="00DF60DE">
      <w:r w:rsidRPr="00677E90">
        <w:rPr>
          <w:i/>
          <w:iCs/>
        </w:rPr>
        <w:t>e)</w:t>
      </w:r>
      <w:r w:rsidRPr="00240501">
        <w:tab/>
        <w:t>que les émissions d'autres systèmes et réseaux d</w:t>
      </w:r>
      <w:r>
        <w:t>u SRNS</w:t>
      </w:r>
      <w:r w:rsidRPr="00240501">
        <w:t xml:space="preserve">, et d'autres services et sources dans les bandes attribuées au </w:t>
      </w:r>
      <w:r>
        <w:t>SRNS</w:t>
      </w:r>
      <w:r w:rsidRPr="00240501">
        <w:t xml:space="preserve">, ainsi que les </w:t>
      </w:r>
      <w:r>
        <w:t>rayonnements</w:t>
      </w:r>
      <w:r w:rsidRPr="00240501">
        <w:t xml:space="preserve"> non désirés, risquent de provoquer un brouillage des récepteurs du système ou du réseau d</w:t>
      </w:r>
      <w:r>
        <w:t>u SRNS</w:t>
      </w:r>
      <w:r w:rsidRPr="00240501">
        <w:t>, et qu'</w:t>
      </w:r>
      <w:r>
        <w:t>ils</w:t>
      </w:r>
      <w:r w:rsidRPr="00240501">
        <w:t xml:space="preserve"> devraient être inclus dans une évaluation des brouillages</w:t>
      </w:r>
      <w:r>
        <w:t>;</w:t>
      </w:r>
    </w:p>
    <w:p w:rsidR="00DF60DE" w:rsidRPr="00240501" w:rsidRDefault="00DF60DE" w:rsidP="00DF60DE">
      <w:r w:rsidRPr="00677E90">
        <w:rPr>
          <w:i/>
          <w:iCs/>
        </w:rPr>
        <w:t>f)</w:t>
      </w:r>
      <w:r>
        <w:tab/>
        <w:t>que des travaux complémentaires sont nécessaires en vue de définir de manière adéquate les caractéristiques des effets que les brouillages dus aux émissions des sources radioélectriques à impulsions fonctionnant dans les bandes 1 559-1 610 MHz et 5 010-5 030 MHz ou à proximité de ces bandes ont sur les récepteurs du SRNS,</w:t>
      </w:r>
    </w:p>
    <w:p w:rsidR="00DF60DE" w:rsidRPr="00240501" w:rsidRDefault="00DF60DE" w:rsidP="00DF60DE">
      <w:pPr>
        <w:pStyle w:val="Call"/>
      </w:pPr>
      <w:r w:rsidRPr="00240501">
        <w:t>notant</w:t>
      </w:r>
    </w:p>
    <w:p w:rsidR="00DF60DE" w:rsidRDefault="00DF60DE" w:rsidP="00DF60DE">
      <w:r w:rsidRPr="00677E90">
        <w:rPr>
          <w:i/>
          <w:iCs/>
        </w:rPr>
        <w:t>a)</w:t>
      </w:r>
      <w:r w:rsidRPr="00240501">
        <w:tab/>
        <w:t>que plusieurs Recommandations</w:t>
      </w:r>
      <w:r>
        <w:t xml:space="preserve"> UIT-R</w:t>
      </w:r>
      <w:r w:rsidRPr="00240501">
        <w:t xml:space="preserve"> fournissent des données techniques et des critères de protection concernant l'exploitation des systèmes et réseaux d</w:t>
      </w:r>
      <w:r>
        <w:t>u SRNS;</w:t>
      </w:r>
    </w:p>
    <w:p w:rsidR="00DF60DE" w:rsidRDefault="00DF60DE" w:rsidP="00DF60DE">
      <w:r w:rsidRPr="00677E90">
        <w:rPr>
          <w:i/>
          <w:iCs/>
        </w:rPr>
        <w:t>b)</w:t>
      </w:r>
      <w:r>
        <w:tab/>
        <w:t>que la Recommandation UIT-R RS.1347 donne elle aussi une méthode d'évaluation du brouillage par impulsions causé aux récepteurs du SRNS par des radars à synthèse d'ouverture et présente des résultats de tests de mesure effectués dans la bande de 1 215-1 300 MHz;</w:t>
      </w:r>
    </w:p>
    <w:p w:rsidR="00DF60DE" w:rsidRDefault="00DF60DE" w:rsidP="00DF60DE">
      <w:r w:rsidRPr="00677E90">
        <w:rPr>
          <w:i/>
          <w:iCs/>
        </w:rPr>
        <w:t>c)</w:t>
      </w:r>
      <w:r>
        <w:tab/>
        <w:t>que le Rapport UIT-R M.2220 donne une méthode pour calculer certains paramètres utilisés dans la présente Recommandation, ainsi que des illustrations et des exemples,</w:t>
      </w:r>
    </w:p>
    <w:p w:rsidR="00DF60DE" w:rsidRPr="001E3F0E" w:rsidRDefault="00DF60DE" w:rsidP="00DF60DE">
      <w:pPr>
        <w:pStyle w:val="Call"/>
      </w:pPr>
      <w:r w:rsidRPr="001E3F0E">
        <w:t>reconnaissant</w:t>
      </w:r>
    </w:p>
    <w:p w:rsidR="00DF60DE" w:rsidRPr="001E3F0E" w:rsidRDefault="00DF60DE" w:rsidP="00DF60DE">
      <w:r w:rsidRPr="001E3F0E">
        <w:t xml:space="preserve">que le numéro 4.5 du RR dispose que </w:t>
      </w:r>
      <w:r>
        <w:t>«l</w:t>
      </w:r>
      <w:r w:rsidRPr="001E3F0E">
        <w:t>a fréquence assignée à une station d'un service donné doit être suffisamment éloignée des limites de la bande attribuée à ce service, de telle sorte que, compte tenu de la bande de fréquences assignée à la station, des brouillages préjudiciables ne soient pas causés aux services auxquels sont attribuées les bandes adjacentes</w:t>
      </w:r>
      <w:r>
        <w:t>»</w:t>
      </w:r>
      <w:r w:rsidRPr="001E3F0E">
        <w:t>,</w:t>
      </w:r>
    </w:p>
    <w:p w:rsidR="00DF60DE" w:rsidRPr="001E3F0E" w:rsidRDefault="00DF60DE" w:rsidP="00DF60DE">
      <w:pPr>
        <w:pStyle w:val="Call"/>
      </w:pPr>
      <w:r w:rsidRPr="001E3F0E">
        <w:t>recommande</w:t>
      </w:r>
    </w:p>
    <w:p w:rsidR="00DF60DE" w:rsidRPr="001E3F0E" w:rsidRDefault="00DF60DE" w:rsidP="00DF60DE">
      <w:r w:rsidRPr="001E3F0E">
        <w:rPr>
          <w:b/>
        </w:rPr>
        <w:t>1</w:t>
      </w:r>
      <w:r w:rsidRPr="001E3F0E">
        <w:tab/>
        <w:t xml:space="preserve">que </w:t>
      </w:r>
      <w:r>
        <w:t>la méthode d'analyse</w:t>
      </w:r>
      <w:r w:rsidRPr="001E3F0E">
        <w:t xml:space="preserve"> décrit</w:t>
      </w:r>
      <w:r>
        <w:t>e</w:t>
      </w:r>
      <w:r w:rsidRPr="001E3F0E">
        <w:t xml:space="preserve"> dans l'Annexe 1 de la présente Recommandation soit utilisé</w:t>
      </w:r>
      <w:r>
        <w:t>e</w:t>
      </w:r>
      <w:r w:rsidRPr="001E3F0E">
        <w:t xml:space="preserve"> pour l'évaluation préliminaire des brouillages</w:t>
      </w:r>
      <w:r>
        <w:t xml:space="preserve"> par impulsions </w:t>
      </w:r>
      <w:r w:rsidRPr="001E3F0E">
        <w:t xml:space="preserve">que des sources radioélectriques </w:t>
      </w:r>
      <w:r>
        <w:t xml:space="preserve">pertinentes </w:t>
      </w:r>
      <w:r w:rsidRPr="001E3F0E">
        <w:t xml:space="preserve">autres que celles du </w:t>
      </w:r>
      <w:r>
        <w:t>SRNS</w:t>
      </w:r>
      <w:r w:rsidRPr="001E3F0E">
        <w:t xml:space="preserve"> sont susceptibles de causer à un système ou réseau d</w:t>
      </w:r>
      <w:r>
        <w:t>u SRNS</w:t>
      </w:r>
      <w:r w:rsidRPr="001E3F0E">
        <w:t xml:space="preserve"> fonctionnant </w:t>
      </w:r>
      <w:r>
        <w:t>dans la bande 1 164-1 215 MHz ou</w:t>
      </w:r>
      <w:r w:rsidRPr="001E3F0E">
        <w:t xml:space="preserve"> 1 215</w:t>
      </w:r>
      <w:r w:rsidRPr="001E3F0E">
        <w:noBreakHyphen/>
        <w:t>1 300 MHz;</w:t>
      </w:r>
    </w:p>
    <w:p w:rsidR="00DF60DE" w:rsidRDefault="00DF60DE" w:rsidP="00DF60DE">
      <w:r w:rsidRPr="001E3F0E">
        <w:rPr>
          <w:b/>
        </w:rPr>
        <w:t>2</w:t>
      </w:r>
      <w:r w:rsidRPr="001E3F0E">
        <w:tab/>
        <w:t xml:space="preserve">que, si ce modèle </w:t>
      </w:r>
      <w:r>
        <w:t xml:space="preserve">met en évidence </w:t>
      </w:r>
      <w:r w:rsidRPr="001E3F0E">
        <w:t>un risque de brouillage</w:t>
      </w:r>
      <w:r>
        <w:t xml:space="preserve"> par impulsions </w:t>
      </w:r>
      <w:r w:rsidRPr="001E3F0E">
        <w:t>susceptible d'altérer la capacité de fonctionnement des systèmes ou réseaux d</w:t>
      </w:r>
      <w:r>
        <w:t>u SRNS</w:t>
      </w:r>
      <w:r w:rsidRPr="001E3F0E">
        <w:t xml:space="preserve">, une analyse plus </w:t>
      </w:r>
      <w:r>
        <w:t>détaillée soit alors entreprise;</w:t>
      </w:r>
    </w:p>
    <w:p w:rsidR="00DF60DE" w:rsidRDefault="00DF60DE" w:rsidP="00DF60DE">
      <w:r w:rsidRPr="00553BA4">
        <w:rPr>
          <w:b/>
          <w:bCs/>
        </w:rPr>
        <w:t>3</w:t>
      </w:r>
      <w:r w:rsidRPr="00553BA4">
        <w:rPr>
          <w:b/>
          <w:bCs/>
        </w:rPr>
        <w:tab/>
      </w:r>
      <w:r w:rsidRPr="00E55B31">
        <w:t>que des études soient entreprises en vue de définir les</w:t>
      </w:r>
      <w:r>
        <w:t xml:space="preserve"> paramètres à prendre en considération dans la méthode analytique utilisée pour l'évaluation préliminaire</w:t>
      </w:r>
      <w:r w:rsidRPr="00E55B31">
        <w:t xml:space="preserve"> du brouillage par impulsions</w:t>
      </w:r>
      <w:r>
        <w:t xml:space="preserve"> </w:t>
      </w:r>
      <w:r w:rsidRPr="00E55B31">
        <w:t>que des sources radioélectriques pertinentes</w:t>
      </w:r>
      <w:r>
        <w:t xml:space="preserve"> </w:t>
      </w:r>
      <w:r w:rsidRPr="00E55B31">
        <w:t>autres que celles du SRNS sont susceptibles de causer à un système ou réseau du SRNS fonctionnant dans</w:t>
      </w:r>
      <w:r>
        <w:t xml:space="preserve"> la bande 1 559-1 610 MHz (voir Note).</w:t>
      </w:r>
    </w:p>
    <w:p w:rsidR="00DF60DE" w:rsidRPr="00E55B31" w:rsidRDefault="00DF60DE" w:rsidP="00DF60DE">
      <w:r>
        <w:t>NOTE – Les équations de la méthode analytique figurant dans l'Annexe 1 s'appliquent</w:t>
      </w:r>
      <w:r w:rsidRPr="00E55B31">
        <w:t xml:space="preserve"> </w:t>
      </w:r>
      <w:r>
        <w:t>pour la bande 1 559-1 610 MHz.</w:t>
      </w:r>
    </w:p>
    <w:p w:rsidR="00DF60DE" w:rsidRDefault="00DF60DE" w:rsidP="00DF60DE">
      <w:pPr>
        <w:rPr>
          <w:snapToGrid w:val="0"/>
        </w:rPr>
      </w:pPr>
    </w:p>
    <w:p w:rsidR="00DF60DE" w:rsidRPr="007763AB" w:rsidRDefault="00DF60DE" w:rsidP="00DF60DE">
      <w:pPr>
        <w:rPr>
          <w:snapToGrid w:val="0"/>
        </w:rPr>
      </w:pPr>
    </w:p>
    <w:p w:rsidR="00DF60DE" w:rsidRDefault="00DF60DE" w:rsidP="00DF60DE">
      <w:pPr>
        <w:tabs>
          <w:tab w:val="clear" w:pos="794"/>
          <w:tab w:val="clear" w:pos="1191"/>
          <w:tab w:val="clear" w:pos="1588"/>
          <w:tab w:val="clear" w:pos="1985"/>
        </w:tabs>
        <w:overflowPunct/>
        <w:autoSpaceDE/>
        <w:autoSpaceDN/>
        <w:adjustRightInd/>
        <w:spacing w:before="0"/>
        <w:jc w:val="left"/>
        <w:textAlignment w:val="auto"/>
        <w:rPr>
          <w:rFonts w:eastAsia="MS Mincho"/>
          <w:b/>
          <w:sz w:val="28"/>
        </w:rPr>
      </w:pPr>
      <w:r>
        <w:rPr>
          <w:rFonts w:eastAsia="MS Mincho"/>
        </w:rPr>
        <w:br w:type="page"/>
      </w:r>
    </w:p>
    <w:p w:rsidR="00DF60DE" w:rsidRPr="007763AB" w:rsidRDefault="00DF60DE" w:rsidP="00DF60DE">
      <w:pPr>
        <w:pStyle w:val="AnnexNoTitle"/>
        <w:rPr>
          <w:rFonts w:eastAsia="MS Mincho"/>
        </w:rPr>
      </w:pPr>
      <w:r w:rsidRPr="007763AB">
        <w:rPr>
          <w:rFonts w:eastAsia="MS Mincho"/>
        </w:rPr>
        <w:lastRenderedPageBreak/>
        <w:t>Annexe 1</w:t>
      </w:r>
      <w:r w:rsidRPr="007763AB">
        <w:rPr>
          <w:rFonts w:eastAsia="MS Mincho"/>
        </w:rPr>
        <w:br/>
      </w:r>
      <w:r w:rsidRPr="007763AB">
        <w:rPr>
          <w:rFonts w:eastAsia="MS Mincho"/>
        </w:rPr>
        <w:br/>
      </w:r>
      <w:r>
        <w:t>Méthode</w:t>
      </w:r>
      <w:r w:rsidRPr="001E3F0E">
        <w:t xml:space="preserve"> analytique utilisé</w:t>
      </w:r>
      <w:r>
        <w:t>e</w:t>
      </w:r>
      <w:r w:rsidRPr="001E3F0E">
        <w:t xml:space="preserve"> pour l'évaluation préliminaire d</w:t>
      </w:r>
      <w:r>
        <w:t>u</w:t>
      </w:r>
      <w:r w:rsidRPr="001E3F0E">
        <w:t xml:space="preserve"> brouillage </w:t>
      </w:r>
      <w:r>
        <w:t>par impulsions</w:t>
      </w:r>
      <w:r w:rsidRPr="001E3F0E">
        <w:t xml:space="preserve"> que des sources radioélectriques </w:t>
      </w:r>
      <w:r>
        <w:t xml:space="preserve">pertinentes </w:t>
      </w:r>
      <w:r w:rsidRPr="001E3F0E">
        <w:t xml:space="preserve">autres que celles du </w:t>
      </w:r>
      <w:r>
        <w:t>SRNS</w:t>
      </w:r>
      <w:r w:rsidRPr="001E3F0E">
        <w:t xml:space="preserve"> sont susceptibles de causer à un système ou réseau d</w:t>
      </w:r>
      <w:r>
        <w:t>u SRNS</w:t>
      </w:r>
      <w:r w:rsidRPr="001E3F0E">
        <w:t xml:space="preserve"> fonctionnant dans les bandes 1 164-1 215 MHz, 1 215</w:t>
      </w:r>
      <w:r w:rsidRPr="001E3F0E">
        <w:noBreakHyphen/>
        <w:t>1 300 MHz</w:t>
      </w:r>
      <w:r>
        <w:t xml:space="preserve"> et </w:t>
      </w:r>
      <w:r w:rsidRPr="001E3F0E" w:rsidDel="006D1CA2">
        <w:t>1</w:t>
      </w:r>
      <w:r w:rsidRPr="001E3F0E">
        <w:t> 559-</w:t>
      </w:r>
      <w:r w:rsidRPr="001E3F0E" w:rsidDel="006D1CA2">
        <w:t>1</w:t>
      </w:r>
      <w:r>
        <w:t> </w:t>
      </w:r>
      <w:r w:rsidRPr="001E3F0E">
        <w:t>610 MHz</w:t>
      </w:r>
    </w:p>
    <w:p w:rsidR="00DF60DE" w:rsidRPr="007763AB" w:rsidRDefault="00DF60DE" w:rsidP="00DF60DE">
      <w:pPr>
        <w:pStyle w:val="Heading1"/>
      </w:pPr>
      <w:r w:rsidRPr="007763AB">
        <w:t>1</w:t>
      </w:r>
      <w:r w:rsidRPr="007763AB">
        <w:tab/>
        <w:t>Introduction</w:t>
      </w:r>
    </w:p>
    <w:p w:rsidR="00DF60DE" w:rsidRPr="005046E3" w:rsidRDefault="00DF60DE" w:rsidP="00DF60DE">
      <w:pPr>
        <w:rPr>
          <w:lang w:val="fr-CH"/>
        </w:rPr>
      </w:pPr>
      <w:r w:rsidRPr="005046E3">
        <w:rPr>
          <w:lang w:val="fr-CH"/>
        </w:rPr>
        <w:t>La Recommandation UIT-R M.1318</w:t>
      </w:r>
      <w:r>
        <w:rPr>
          <w:lang w:val="fr-CH"/>
        </w:rPr>
        <w:t>-1</w:t>
      </w:r>
      <w:r w:rsidRPr="005046E3">
        <w:rPr>
          <w:lang w:val="fr-CH"/>
        </w:rPr>
        <w:t xml:space="preserve"> donne un modèle d'évaluation des brouillages radioélectriques continus</w:t>
      </w:r>
      <w:r>
        <w:rPr>
          <w:rStyle w:val="FootnoteReference"/>
        </w:rPr>
        <w:footnoteReference w:id="4"/>
      </w:r>
      <w:r w:rsidRPr="005046E3">
        <w:rPr>
          <w:lang w:val="fr-CH"/>
        </w:rPr>
        <w:t xml:space="preserve"> (RFI) causés aux récepteurs du SRNS, mais l'UIT-R a reconnu </w:t>
      </w:r>
      <w:r>
        <w:rPr>
          <w:lang w:val="fr-CH"/>
        </w:rPr>
        <w:t xml:space="preserve">par ailleurs </w:t>
      </w:r>
      <w:r w:rsidRPr="005046E3">
        <w:rPr>
          <w:lang w:val="fr-CH"/>
        </w:rPr>
        <w:t xml:space="preserve">qu'il était nécessaire d'étudier le brouillage radioélectrique par impulsions. La présente Annexe </w:t>
      </w:r>
      <w:r>
        <w:rPr>
          <w:lang w:val="fr-CH"/>
        </w:rPr>
        <w:t>s'appuie sur d</w:t>
      </w:r>
      <w:r w:rsidRPr="005046E3">
        <w:rPr>
          <w:lang w:val="fr-CH"/>
        </w:rPr>
        <w:t>e</w:t>
      </w:r>
      <w:r>
        <w:rPr>
          <w:lang w:val="fr-CH"/>
        </w:rPr>
        <w:t>s</w:t>
      </w:r>
      <w:r w:rsidRPr="005046E3">
        <w:rPr>
          <w:lang w:val="fr-CH"/>
        </w:rPr>
        <w:t xml:space="preserve"> concepts élémentaires</w:t>
      </w:r>
      <w:r>
        <w:rPr>
          <w:lang w:val="fr-CH"/>
        </w:rPr>
        <w:t xml:space="preserve"> pour définir </w:t>
      </w:r>
      <w:r w:rsidRPr="005046E3">
        <w:rPr>
          <w:lang w:val="fr-CH"/>
        </w:rPr>
        <w:t xml:space="preserve">une méthode d'évaluation générale du brouillage radioélectrique par impulsions à utiliser pour les récepteurs du SRNS. Le Rapport UIT-R M.2220 contient des informations générales et une méthode </w:t>
      </w:r>
      <w:r>
        <w:rPr>
          <w:lang w:val="fr-CH"/>
        </w:rPr>
        <w:t>pour</w:t>
      </w:r>
      <w:r w:rsidRPr="005046E3">
        <w:rPr>
          <w:lang w:val="fr-CH"/>
        </w:rPr>
        <w:t xml:space="preserve"> calculer les paramètres de brouillage par impulsions composite utilisés pour l'évaluation des brouillages. L</w:t>
      </w:r>
      <w:r>
        <w:rPr>
          <w:lang w:val="fr-CH"/>
        </w:rPr>
        <w:t xml:space="preserve">a section </w:t>
      </w:r>
      <w:r w:rsidRPr="005046E3">
        <w:rPr>
          <w:lang w:val="fr-CH"/>
        </w:rPr>
        <w:t>2 ci-après donne des informations générales et présente les équations permettant de calculer la dégradation du</w:t>
      </w:r>
      <w:r>
        <w:rPr>
          <w:lang w:val="fr-CH"/>
        </w:rPr>
        <w:t>e au</w:t>
      </w:r>
      <w:r w:rsidRPr="005046E3">
        <w:rPr>
          <w:lang w:val="fr-CH"/>
        </w:rPr>
        <w:t xml:space="preserve"> brouillage radioélectrique pour deux types </w:t>
      </w:r>
      <w:r>
        <w:rPr>
          <w:lang w:val="fr-CH"/>
        </w:rPr>
        <w:t xml:space="preserve">classiques </w:t>
      </w:r>
      <w:r w:rsidRPr="005046E3">
        <w:rPr>
          <w:lang w:val="fr-CH"/>
        </w:rPr>
        <w:t>de récepteurs du SRNS. L</w:t>
      </w:r>
      <w:r>
        <w:rPr>
          <w:lang w:val="fr-CH"/>
        </w:rPr>
        <w:t xml:space="preserve">a section </w:t>
      </w:r>
      <w:r w:rsidRPr="005046E3">
        <w:rPr>
          <w:lang w:val="fr-CH"/>
        </w:rPr>
        <w:t xml:space="preserve">3 </w:t>
      </w:r>
      <w:r>
        <w:rPr>
          <w:lang w:val="fr-CH"/>
        </w:rPr>
        <w:t xml:space="preserve">montre comment utiliser ces </w:t>
      </w:r>
      <w:r w:rsidRPr="005046E3">
        <w:rPr>
          <w:lang w:val="fr-CH"/>
        </w:rPr>
        <w:t>équations pour évaluer l</w:t>
      </w:r>
      <w:r>
        <w:rPr>
          <w:lang w:val="fr-CH"/>
        </w:rPr>
        <w:t xml:space="preserve">es </w:t>
      </w:r>
      <w:r w:rsidRPr="005046E3">
        <w:rPr>
          <w:lang w:val="fr-CH"/>
        </w:rPr>
        <w:t>incidence</w:t>
      </w:r>
      <w:r>
        <w:rPr>
          <w:lang w:val="fr-CH"/>
        </w:rPr>
        <w:t>s</w:t>
      </w:r>
      <w:r w:rsidRPr="005046E3">
        <w:rPr>
          <w:lang w:val="fr-CH"/>
        </w:rPr>
        <w:t xml:space="preserve"> d</w:t>
      </w:r>
      <w:r>
        <w:rPr>
          <w:lang w:val="fr-CH"/>
        </w:rPr>
        <w:t>'un</w:t>
      </w:r>
      <w:r w:rsidRPr="005046E3">
        <w:rPr>
          <w:lang w:val="fr-CH"/>
        </w:rPr>
        <w:t xml:space="preserve"> brouillage radioélectrique par impulsions additionnel. </w:t>
      </w:r>
      <w:r>
        <w:rPr>
          <w:lang w:val="fr-CH"/>
        </w:rPr>
        <w:t>Enfin, la section 4</w:t>
      </w:r>
      <w:r w:rsidRPr="005046E3">
        <w:rPr>
          <w:lang w:val="fr-CH"/>
        </w:rPr>
        <w:t xml:space="preserve"> recense les paramètres de base des méthodes de calcul du brouillage recommandés et les rapports de dégradation admissibles pour l'évaluation du brouillage par impulsions.</w:t>
      </w:r>
    </w:p>
    <w:p w:rsidR="00DF60DE" w:rsidRPr="005046E3" w:rsidRDefault="00DF60DE" w:rsidP="00DF60DE">
      <w:pPr>
        <w:pStyle w:val="Heading1"/>
        <w:rPr>
          <w:lang w:val="fr-CH"/>
        </w:rPr>
      </w:pPr>
      <w:r w:rsidRPr="005046E3">
        <w:rPr>
          <w:lang w:val="fr-CH"/>
        </w:rPr>
        <w:t>2</w:t>
      </w:r>
      <w:r w:rsidRPr="005046E3">
        <w:rPr>
          <w:lang w:val="fr-CH"/>
        </w:rPr>
        <w:tab/>
        <w:t>Caractérisation des effets du brouillage radioélectrique par impulsions sur les récepteurs du SRNS</w:t>
      </w:r>
    </w:p>
    <w:p w:rsidR="00DF60DE" w:rsidRDefault="00DF60DE" w:rsidP="008649DF">
      <w:pPr>
        <w:rPr>
          <w:lang w:val="fr-CH"/>
        </w:rPr>
      </w:pPr>
      <w:r w:rsidRPr="005046E3">
        <w:rPr>
          <w:lang w:val="fr-CH"/>
        </w:rPr>
        <w:t>Des études menées par deux organisations de normalisation du secteur aéronautique</w:t>
      </w:r>
      <w:r>
        <w:rPr>
          <w:rStyle w:val="FootnoteReference"/>
        </w:rPr>
        <w:footnoteReference w:id="5"/>
      </w:r>
      <w:r w:rsidRPr="005046E3">
        <w:rPr>
          <w:lang w:val="fr-CH"/>
        </w:rPr>
        <w:t xml:space="preserve"> montrent que les </w:t>
      </w:r>
      <w:r>
        <w:rPr>
          <w:lang w:val="fr-CH"/>
        </w:rPr>
        <w:t xml:space="preserve">niveaux de brouillage radioélectrique par impulsions les plus élevés affectant les </w:t>
      </w:r>
      <w:r w:rsidRPr="005046E3">
        <w:rPr>
          <w:lang w:val="fr-CH"/>
        </w:rPr>
        <w:t xml:space="preserve">récepteurs de navigation aérienne du SRNS fonctionnant </w:t>
      </w:r>
      <w:r>
        <w:rPr>
          <w:lang w:val="fr-CH"/>
        </w:rPr>
        <w:t>dans la bande 1 164-1 215 MHz</w:t>
      </w:r>
      <w:r w:rsidRPr="005046E3">
        <w:rPr>
          <w:lang w:val="fr-CH"/>
        </w:rPr>
        <w:t xml:space="preserve"> </w:t>
      </w:r>
      <w:r>
        <w:rPr>
          <w:lang w:val="fr-CH"/>
        </w:rPr>
        <w:t xml:space="preserve">et au niveau de vol </w:t>
      </w:r>
      <w:r w:rsidRPr="005046E3">
        <w:rPr>
          <w:lang w:val="fr-CH"/>
        </w:rPr>
        <w:t>200</w:t>
      </w:r>
      <w:r>
        <w:rPr>
          <w:lang w:val="fr-CH"/>
        </w:rPr>
        <w:t xml:space="preserve"> ou au-dessus de ce niveau</w:t>
      </w:r>
      <w:r w:rsidRPr="005046E3">
        <w:rPr>
          <w:lang w:val="fr-CH"/>
        </w:rPr>
        <w:t xml:space="preserve"> (6</w:t>
      </w:r>
      <w:r>
        <w:rPr>
          <w:lang w:val="fr-CH"/>
        </w:rPr>
        <w:t> </w:t>
      </w:r>
      <w:r w:rsidRPr="005046E3">
        <w:rPr>
          <w:lang w:val="fr-CH"/>
        </w:rPr>
        <w:t>096 m au-d</w:t>
      </w:r>
      <w:r>
        <w:rPr>
          <w:lang w:val="fr-CH"/>
        </w:rPr>
        <w:t>essus du niveau moyen de la mer</w:t>
      </w:r>
      <w:r w:rsidRPr="005046E3">
        <w:rPr>
          <w:lang w:val="fr-CH"/>
        </w:rPr>
        <w:t xml:space="preserve">) </w:t>
      </w:r>
      <w:r>
        <w:rPr>
          <w:lang w:val="fr-CH"/>
        </w:rPr>
        <w:t>se produisent</w:t>
      </w:r>
      <w:r w:rsidRPr="005046E3">
        <w:rPr>
          <w:lang w:val="fr-CH"/>
        </w:rPr>
        <w:t xml:space="preserve"> dans plusieurs régions du monde bien localisées. Ces études ont permis d'établir, d'une part, un modèle de méthode générale pour le traitement des signaux d</w:t>
      </w:r>
      <w:r>
        <w:rPr>
          <w:lang w:val="fr-CH"/>
        </w:rPr>
        <w:t xml:space="preserve">'un </w:t>
      </w:r>
      <w:r w:rsidRPr="005046E3">
        <w:rPr>
          <w:lang w:val="fr-CH"/>
        </w:rPr>
        <w:t>récepteur du SRNS utilisé pour atténuer un brouillage radioélectrique par impulsions élevé et, d'autre part, une équation associée</w:t>
      </w:r>
      <w:r>
        <w:rPr>
          <w:rStyle w:val="FootnoteReference"/>
        </w:rPr>
        <w:footnoteReference w:id="6"/>
      </w:r>
      <w:r w:rsidRPr="005046E3">
        <w:rPr>
          <w:lang w:val="fr-CH"/>
        </w:rPr>
        <w:t xml:space="preserve"> permettant d'exprimer le niveau de dégradation </w:t>
      </w:r>
      <w:r>
        <w:rPr>
          <w:lang w:val="fr-CH"/>
        </w:rPr>
        <w:t xml:space="preserve">par rapport au niveau </w:t>
      </w:r>
      <w:r w:rsidRPr="005046E3">
        <w:rPr>
          <w:lang w:val="fr-CH"/>
        </w:rPr>
        <w:t>mesur</w:t>
      </w:r>
      <w:r>
        <w:rPr>
          <w:lang w:val="fr-CH"/>
        </w:rPr>
        <w:t>é</w:t>
      </w:r>
      <w:r w:rsidRPr="005046E3">
        <w:rPr>
          <w:lang w:val="fr-CH"/>
        </w:rPr>
        <w:t xml:space="preserve"> de la qualité du signal après corrélation (</w:t>
      </w:r>
      <w:r w:rsidRPr="005046E3">
        <w:rPr>
          <w:i/>
          <w:iCs/>
          <w:lang w:val="fr-CH"/>
        </w:rPr>
        <w:t>C</w:t>
      </w:r>
      <w:r w:rsidRPr="005046E3">
        <w:rPr>
          <w:lang w:val="fr-CH"/>
        </w:rPr>
        <w:t>/</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pour ce récepteur. Une étude</w:t>
      </w:r>
      <w:r>
        <w:rPr>
          <w:rStyle w:val="FootnoteReference"/>
        </w:rPr>
        <w:footnoteReference w:id="7"/>
      </w:r>
      <w:r w:rsidRPr="005046E3">
        <w:rPr>
          <w:lang w:val="fr-CH"/>
        </w:rPr>
        <w:t xml:space="preserve"> a par ailleurs permis d'élaborer une équation analogue pour calculer la dégradation </w:t>
      </w:r>
      <w:r>
        <w:rPr>
          <w:lang w:val="fr-CH"/>
        </w:rPr>
        <w:t>que subissent</w:t>
      </w:r>
      <w:r w:rsidRPr="005046E3">
        <w:rPr>
          <w:lang w:val="fr-CH"/>
        </w:rPr>
        <w:t xml:space="preserve"> les récepteurs conventionnels </w:t>
      </w:r>
      <w:r>
        <w:rPr>
          <w:lang w:val="fr-CH"/>
        </w:rPr>
        <w:t>en l'absence de</w:t>
      </w:r>
      <w:r w:rsidRPr="005046E3">
        <w:rPr>
          <w:lang w:val="fr-CH"/>
        </w:rPr>
        <w:t xml:space="preserve"> mesure</w:t>
      </w:r>
      <w:r>
        <w:rPr>
          <w:lang w:val="fr-CH"/>
        </w:rPr>
        <w:t>s</w:t>
      </w:r>
      <w:r w:rsidRPr="005046E3">
        <w:rPr>
          <w:lang w:val="fr-CH"/>
        </w:rPr>
        <w:t xml:space="preserve"> particulière</w:t>
      </w:r>
      <w:r>
        <w:rPr>
          <w:lang w:val="fr-CH"/>
        </w:rPr>
        <w:t>s</w:t>
      </w:r>
      <w:r w:rsidRPr="005046E3">
        <w:rPr>
          <w:lang w:val="fr-CH"/>
        </w:rPr>
        <w:t xml:space="preserve"> d'atténuation du brouillage radioélectrique par impulsion</w:t>
      </w:r>
      <w:r>
        <w:rPr>
          <w:lang w:val="fr-CH"/>
        </w:rPr>
        <w:t>s</w:t>
      </w:r>
      <w:r w:rsidRPr="005046E3">
        <w:rPr>
          <w:lang w:val="fr-CH"/>
        </w:rPr>
        <w:t>. Ces deux équations portent sur le brouillage radioélectrique continu associé au brouillage radioélectrique par impulsion</w:t>
      </w:r>
      <w:r>
        <w:rPr>
          <w:lang w:val="fr-CH"/>
        </w:rPr>
        <w:t>s</w:t>
      </w:r>
      <w:r w:rsidRPr="005046E3">
        <w:rPr>
          <w:lang w:val="fr-CH"/>
        </w:rPr>
        <w:t xml:space="preserve">. </w:t>
      </w:r>
    </w:p>
    <w:p w:rsidR="00DF60DE" w:rsidRPr="005046E3" w:rsidRDefault="00DF60DE" w:rsidP="00DF60DE">
      <w:pPr>
        <w:rPr>
          <w:lang w:val="fr-CH"/>
        </w:rPr>
      </w:pPr>
      <w:r w:rsidRPr="005046E3">
        <w:rPr>
          <w:lang w:val="fr-CH"/>
        </w:rPr>
        <w:lastRenderedPageBreak/>
        <w:t xml:space="preserve">A ce titre, elles peuvent être utiles pour déterminer les critères de protection contre le brouillage radioélectrique </w:t>
      </w:r>
      <w:r>
        <w:rPr>
          <w:lang w:val="fr-CH"/>
        </w:rPr>
        <w:t>et</w:t>
      </w:r>
      <w:r w:rsidRPr="005046E3">
        <w:rPr>
          <w:lang w:val="fr-CH"/>
        </w:rPr>
        <w:t xml:space="preserve"> pour analyser les effets de tout nouveau brouillage radioélectrique par impulsions ou continu venant s'ajouter à un cas de </w:t>
      </w:r>
      <w:r>
        <w:rPr>
          <w:lang w:val="fr-CH"/>
        </w:rPr>
        <w:t>référence</w:t>
      </w:r>
      <w:r w:rsidRPr="005046E3">
        <w:rPr>
          <w:lang w:val="fr-CH"/>
        </w:rPr>
        <w:t>. Les</w:t>
      </w:r>
      <w:r>
        <w:rPr>
          <w:lang w:val="fr-CH"/>
        </w:rPr>
        <w:t xml:space="preserve"> sections </w:t>
      </w:r>
      <w:r w:rsidRPr="005046E3">
        <w:rPr>
          <w:lang w:val="fr-CH"/>
        </w:rPr>
        <w:t xml:space="preserve">2.1 et 2.2 ci-après présentent en détail les équations </w:t>
      </w:r>
      <w:r>
        <w:rPr>
          <w:lang w:val="fr-CH"/>
        </w:rPr>
        <w:t xml:space="preserve">permettant de </w:t>
      </w:r>
      <w:r w:rsidRPr="005046E3">
        <w:rPr>
          <w:lang w:val="fr-CH"/>
        </w:rPr>
        <w:t>calculer la dégradation due au brouillage radioélectrique.</w:t>
      </w:r>
    </w:p>
    <w:p w:rsidR="00DF60DE" w:rsidRPr="005046E3" w:rsidRDefault="00DF60DE" w:rsidP="00DF60DE">
      <w:pPr>
        <w:pStyle w:val="Heading2"/>
        <w:rPr>
          <w:lang w:val="fr-CH"/>
        </w:rPr>
      </w:pPr>
      <w:r w:rsidRPr="005046E3">
        <w:rPr>
          <w:lang w:val="fr-CH"/>
        </w:rPr>
        <w:t>2.1</w:t>
      </w:r>
      <w:r w:rsidRPr="005046E3">
        <w:rPr>
          <w:lang w:val="fr-CH"/>
        </w:rPr>
        <w:tab/>
        <w:t xml:space="preserve">Méthode de calcul de la densité de bruit </w:t>
      </w:r>
      <w:r>
        <w:rPr>
          <w:lang w:val="fr-CH"/>
        </w:rPr>
        <w:t>équivalente</w:t>
      </w:r>
      <w:r w:rsidRPr="005046E3">
        <w:rPr>
          <w:lang w:val="fr-CH"/>
        </w:rPr>
        <w:t xml:space="preserve"> (suppression des impulsions au niveau du récepteur)</w:t>
      </w:r>
    </w:p>
    <w:p w:rsidR="00DF60DE" w:rsidRPr="005046E3" w:rsidRDefault="00DF60DE" w:rsidP="00DF60DE">
      <w:pPr>
        <w:rPr>
          <w:lang w:val="fr-CH"/>
        </w:rPr>
      </w:pPr>
      <w:r w:rsidRPr="005046E3">
        <w:rPr>
          <w:lang w:val="fr-CH"/>
        </w:rPr>
        <w:t>Les suppresseurs d'impulsions offrent une sol</w:t>
      </w:r>
      <w:r>
        <w:rPr>
          <w:lang w:val="fr-CH"/>
        </w:rPr>
        <w:t xml:space="preserve">ution efficace pour atténuer un </w:t>
      </w:r>
      <w:r w:rsidRPr="005046E3">
        <w:rPr>
          <w:lang w:val="fr-CH"/>
        </w:rPr>
        <w:t>brouillage radioélectrique par impulsion</w:t>
      </w:r>
      <w:r>
        <w:rPr>
          <w:lang w:val="fr-CH"/>
        </w:rPr>
        <w:t>s fort</w:t>
      </w:r>
      <w:r w:rsidRPr="005046E3">
        <w:rPr>
          <w:lang w:val="fr-CH"/>
        </w:rPr>
        <w:t xml:space="preserve"> dans, par exemple, un récept</w:t>
      </w:r>
      <w:r>
        <w:rPr>
          <w:lang w:val="fr-CH"/>
        </w:rPr>
        <w:t>eur</w:t>
      </w:r>
      <w:r w:rsidRPr="005046E3">
        <w:rPr>
          <w:lang w:val="fr-CH"/>
        </w:rPr>
        <w:t xml:space="preserve"> de radionavigation aéronautique. </w:t>
      </w:r>
      <w:r>
        <w:rPr>
          <w:lang w:val="fr-CH"/>
        </w:rPr>
        <w:t xml:space="preserve">Lorsqu'on utilise un </w:t>
      </w:r>
      <w:r w:rsidRPr="005046E3">
        <w:rPr>
          <w:lang w:val="fr-CH"/>
        </w:rPr>
        <w:t>suppresseur</w:t>
      </w:r>
      <w:r>
        <w:rPr>
          <w:lang w:val="fr-CH"/>
        </w:rPr>
        <w:t xml:space="preserve">, </w:t>
      </w:r>
      <w:r w:rsidRPr="005046E3">
        <w:rPr>
          <w:lang w:val="fr-CH"/>
        </w:rPr>
        <w:t xml:space="preserve">les signaux de brouillage radioélectrique par impulsions dont le niveau de puissance de crête est inférieur au seuil </w:t>
      </w:r>
      <w:r>
        <w:rPr>
          <w:lang w:val="fr-CH"/>
        </w:rPr>
        <w:t xml:space="preserve">défini dans le </w:t>
      </w:r>
      <w:r w:rsidRPr="005046E3">
        <w:rPr>
          <w:lang w:val="fr-CH"/>
        </w:rPr>
        <w:t>suppresseur</w:t>
      </w:r>
      <w:r>
        <w:rPr>
          <w:lang w:val="fr-CH"/>
        </w:rPr>
        <w:t xml:space="preserve"> (seuil de suppression) </w:t>
      </w:r>
      <w:r w:rsidRPr="005046E3">
        <w:rPr>
          <w:lang w:val="fr-CH"/>
        </w:rPr>
        <w:t xml:space="preserve">se combinent </w:t>
      </w:r>
      <w:r>
        <w:rPr>
          <w:lang w:val="fr-CH"/>
        </w:rPr>
        <w:t>au b</w:t>
      </w:r>
      <w:r w:rsidRPr="005046E3">
        <w:rPr>
          <w:lang w:val="fr-CH"/>
        </w:rPr>
        <w:t xml:space="preserve">ruit du récepteur et </w:t>
      </w:r>
      <w:r>
        <w:rPr>
          <w:lang w:val="fr-CH"/>
        </w:rPr>
        <w:t xml:space="preserve">aux composantes </w:t>
      </w:r>
      <w:r w:rsidRPr="005046E3">
        <w:rPr>
          <w:lang w:val="fr-CH"/>
        </w:rPr>
        <w:t>non supprimé</w:t>
      </w:r>
      <w:r>
        <w:rPr>
          <w:lang w:val="fr-CH"/>
        </w:rPr>
        <w:t>e</w:t>
      </w:r>
      <w:r w:rsidRPr="005046E3">
        <w:rPr>
          <w:lang w:val="fr-CH"/>
        </w:rPr>
        <w:t xml:space="preserve">s du brouillage radioélectrique continu. </w:t>
      </w:r>
      <w:r>
        <w:rPr>
          <w:lang w:val="fr-CH"/>
        </w:rPr>
        <w:t>En revanche,</w:t>
      </w:r>
      <w:r w:rsidRPr="005046E3">
        <w:rPr>
          <w:lang w:val="fr-CH"/>
        </w:rPr>
        <w:t xml:space="preserve"> le suppresseur </w:t>
      </w:r>
      <w:r>
        <w:rPr>
          <w:lang w:val="fr-CH"/>
        </w:rPr>
        <w:t>élimine</w:t>
      </w:r>
      <w:r w:rsidRPr="005046E3">
        <w:rPr>
          <w:lang w:val="fr-CH"/>
        </w:rPr>
        <w:t xml:space="preserve"> le signal et le bruit dans les corrélateurs pendant la durée des impulsions dont le niveau de puissance est supérieur au seuil d</w:t>
      </w:r>
      <w:r>
        <w:rPr>
          <w:lang w:val="fr-CH"/>
        </w:rPr>
        <w:t>e suppression</w:t>
      </w:r>
      <w:r w:rsidRPr="005046E3">
        <w:rPr>
          <w:lang w:val="fr-CH"/>
        </w:rPr>
        <w:t xml:space="preserve">. L'équation présentée ci-après permet d'estimer la densité bruit-plus-brouillage </w:t>
      </w:r>
      <w:r>
        <w:rPr>
          <w:lang w:val="fr-CH"/>
        </w:rPr>
        <w:t>équivalente</w:t>
      </w:r>
      <w:r w:rsidRPr="005046E3">
        <w:rPr>
          <w:lang w:val="fr-CH"/>
        </w:rPr>
        <w:t xml:space="preserve">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à la sortie de</w:t>
      </w:r>
      <w:r>
        <w:rPr>
          <w:lang w:val="fr-CH"/>
        </w:rPr>
        <w:t>s corrélateurs de signaux</w:t>
      </w:r>
      <w:r w:rsidRPr="005046E3">
        <w:rPr>
          <w:lang w:val="fr-CH"/>
        </w:rPr>
        <w:t xml:space="preserve"> due au suppresseur d'impulsion</w:t>
      </w:r>
      <w:r>
        <w:rPr>
          <w:lang w:val="fr-CH"/>
        </w:rPr>
        <w:t>s</w:t>
      </w:r>
      <w:r w:rsidRPr="005046E3">
        <w:rPr>
          <w:lang w:val="fr-CH"/>
        </w:rPr>
        <w:t xml:space="preserve">. </w:t>
      </w:r>
      <w:r>
        <w:rPr>
          <w:lang w:val="fr-CH"/>
        </w:rPr>
        <w:t xml:space="preserve">Cette équation de calcul de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est très générale et peut être appliquée à tous les environnements de brouillage radioélectrique </w:t>
      </w:r>
      <w:r>
        <w:rPr>
          <w:lang w:val="fr-CH"/>
        </w:rPr>
        <w:t>pour</w:t>
      </w:r>
      <w:r w:rsidRPr="005046E3">
        <w:rPr>
          <w:lang w:val="fr-CH"/>
        </w:rPr>
        <w:t xml:space="preserve"> un récepteur du SRNS</w:t>
      </w:r>
      <w:r>
        <w:rPr>
          <w:lang w:val="fr-CH"/>
        </w:rPr>
        <w:t>,</w:t>
      </w:r>
      <w:r w:rsidRPr="005046E3">
        <w:rPr>
          <w:lang w:val="fr-CH"/>
        </w:rPr>
        <w:t xml:space="preserve"> car les variables utilisées dans l'équation permette</w:t>
      </w:r>
      <w:r>
        <w:rPr>
          <w:lang w:val="fr-CH"/>
        </w:rPr>
        <w:t>nt</w:t>
      </w:r>
      <w:r w:rsidRPr="005046E3">
        <w:rPr>
          <w:lang w:val="fr-CH"/>
        </w:rPr>
        <w:t xml:space="preserve"> de quantifier l'environnement de brouillage radioélectrique à mesure qu'il évolue. La densité bruit-plus-brouillage </w:t>
      </w:r>
      <w:r>
        <w:rPr>
          <w:lang w:val="fr-CH"/>
        </w:rPr>
        <w:t>équivalente</w:t>
      </w:r>
      <w:r w:rsidRPr="005046E3">
        <w:rPr>
          <w:lang w:val="fr-CH"/>
        </w:rPr>
        <w:t xml:space="preserve"> après corrélation,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est définie comme suit:</w:t>
      </w:r>
    </w:p>
    <w:p w:rsidR="00DF60DE" w:rsidRPr="005046E3" w:rsidRDefault="00DF60DE" w:rsidP="00DF60DE">
      <w:pPr>
        <w:pStyle w:val="Equation"/>
        <w:rPr>
          <w:lang w:val="fr-CH"/>
        </w:rPr>
      </w:pPr>
      <w:r w:rsidRPr="005046E3">
        <w:rPr>
          <w:lang w:val="fr-CH"/>
        </w:rPr>
        <w:tab/>
      </w:r>
      <w:r w:rsidRPr="005046E3">
        <w:rPr>
          <w:lang w:val="fr-CH"/>
        </w:rPr>
        <w:tab/>
      </w:r>
      <w:r>
        <w:rPr>
          <w:position w:val="-32"/>
        </w:rPr>
        <w:object w:dxaOrig="35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39.75pt" o:ole="">
            <v:imagedata r:id="rId13" o:title=""/>
          </v:shape>
          <o:OLEObject Type="Embed" ProgID="Equation.3" ShapeID="_x0000_i1025" DrawAspect="Content" ObjectID="_1476173500" r:id="rId14"/>
        </w:object>
      </w:r>
      <w:r w:rsidRPr="005046E3">
        <w:rPr>
          <w:lang w:val="fr-CH"/>
        </w:rPr>
        <w:tab/>
        <w:t>(1)</w:t>
      </w:r>
    </w:p>
    <w:p w:rsidR="00DF60DE" w:rsidRPr="005046E3" w:rsidRDefault="00DF60DE" w:rsidP="00DF60DE">
      <w:pPr>
        <w:rPr>
          <w:lang w:val="fr-CH"/>
        </w:rPr>
      </w:pPr>
      <w:bookmarkStart w:id="3" w:name="_Ref75928826"/>
      <w:r w:rsidRPr="005046E3">
        <w:rPr>
          <w:lang w:val="fr-CH"/>
        </w:rPr>
        <w:t>où:</w:t>
      </w:r>
    </w:p>
    <w:p w:rsidR="00DF60DE" w:rsidRPr="005046E3" w:rsidRDefault="00DF60DE" w:rsidP="00DF60DE">
      <w:pPr>
        <w:pStyle w:val="Equation"/>
        <w:rPr>
          <w:lang w:val="fr-CH"/>
        </w:rPr>
      </w:pPr>
      <w:r w:rsidRPr="005046E3">
        <w:rPr>
          <w:lang w:val="fr-CH"/>
        </w:rPr>
        <w:tab/>
      </w:r>
      <w:r w:rsidRPr="005046E3">
        <w:rPr>
          <w:lang w:val="fr-CH"/>
        </w:rPr>
        <w:tab/>
      </w:r>
      <w:r w:rsidRPr="00B87904">
        <w:rPr>
          <w:position w:val="-32"/>
        </w:rPr>
        <w:object w:dxaOrig="2659" w:dyaOrig="760">
          <v:shape id="_x0000_i1026" type="#_x0000_t75" style="width:132.8pt;height:37.85pt" o:ole="">
            <v:imagedata r:id="rId15" o:title=""/>
          </v:shape>
          <o:OLEObject Type="Embed" ProgID="Equation.3" ShapeID="_x0000_i1026" DrawAspect="Content" ObjectID="_1476173501" r:id="rId16"/>
        </w:object>
      </w:r>
      <w:r w:rsidRPr="005046E3">
        <w:rPr>
          <w:lang w:val="fr-CH"/>
        </w:rPr>
        <w:tab/>
        <w:t>(2)</w:t>
      </w:r>
    </w:p>
    <w:p w:rsidR="00DF60DE" w:rsidRPr="005046E3" w:rsidRDefault="00DF60DE" w:rsidP="00DF60DE">
      <w:pPr>
        <w:rPr>
          <w:lang w:val="fr-CH"/>
        </w:rPr>
      </w:pPr>
      <w:r w:rsidRPr="005046E3">
        <w:rPr>
          <w:lang w:val="fr-CH"/>
        </w:rPr>
        <w:t>Dans les équations ci-dessus</w:t>
      </w:r>
      <w:r w:rsidR="008649DF">
        <w:rPr>
          <w:lang w:val="fr-CH"/>
        </w:rPr>
        <w:t>:</w:t>
      </w:r>
    </w:p>
    <w:p w:rsidR="00DF60DE" w:rsidRPr="005046E3" w:rsidRDefault="00DF60DE" w:rsidP="00DF60DE">
      <w:pPr>
        <w:pStyle w:val="Equationlegend"/>
        <w:rPr>
          <w:lang w:val="fr-CH"/>
        </w:rPr>
      </w:pPr>
      <w:r w:rsidRPr="005046E3">
        <w:rPr>
          <w:lang w:val="fr-CH"/>
        </w:rPr>
        <w:tab/>
      </w:r>
      <w:r w:rsidRPr="005046E3">
        <w:rPr>
          <w:i/>
          <w:iCs/>
          <w:lang w:val="fr-CH"/>
        </w:rPr>
        <w:t>R</w:t>
      </w:r>
      <w:r w:rsidRPr="005046E3">
        <w:rPr>
          <w:i/>
          <w:iCs/>
          <w:vertAlign w:val="subscript"/>
          <w:lang w:val="fr-CH"/>
        </w:rPr>
        <w:t>I</w:t>
      </w:r>
      <w:r w:rsidRPr="005046E3">
        <w:rPr>
          <w:lang w:val="fr-CH"/>
        </w:rPr>
        <w:t>:</w:t>
      </w:r>
      <w:r w:rsidRPr="005046E3">
        <w:rPr>
          <w:lang w:val="fr-CH"/>
        </w:rPr>
        <w:tab/>
        <w:t>rapport de densité de puissance après corrélation entre l</w:t>
      </w:r>
      <w:r>
        <w:rPr>
          <w:lang w:val="fr-CH"/>
        </w:rPr>
        <w:t xml:space="preserve">a valeur moyenne du </w:t>
      </w:r>
      <w:r w:rsidRPr="005046E3">
        <w:rPr>
          <w:lang w:val="fr-CH"/>
        </w:rPr>
        <w:t>brouillage radioélectrique par impulsions cumul</w:t>
      </w:r>
      <w:r>
        <w:rPr>
          <w:lang w:val="fr-CH"/>
        </w:rPr>
        <w:t>atif to</w:t>
      </w:r>
      <w:r w:rsidRPr="005046E3">
        <w:rPr>
          <w:lang w:val="fr-CH"/>
        </w:rPr>
        <w:t>tal inférieur au seuil d</w:t>
      </w:r>
      <w:r>
        <w:rPr>
          <w:lang w:val="fr-CH"/>
        </w:rPr>
        <w:t>e</w:t>
      </w:r>
      <w:r w:rsidRPr="005046E3">
        <w:rPr>
          <w:lang w:val="fr-CH"/>
        </w:rPr>
        <w:t xml:space="preserve"> suppress</w:t>
      </w:r>
      <w:r>
        <w:rPr>
          <w:lang w:val="fr-CH"/>
        </w:rPr>
        <w:t>ion</w:t>
      </w:r>
      <w:r w:rsidRPr="005046E3">
        <w:rPr>
          <w:lang w:val="fr-CH"/>
        </w:rPr>
        <w:t xml:space="preserve"> et le bruit thermique du récepteur (rapport sans unité)</w:t>
      </w:r>
    </w:p>
    <w:p w:rsidR="00DF60DE" w:rsidRPr="005046E3" w:rsidRDefault="00DF60DE" w:rsidP="00DF60DE">
      <w:pPr>
        <w:pStyle w:val="Equationlegend"/>
        <w:rPr>
          <w:noProof/>
          <w:lang w:val="fr-CH"/>
        </w:rPr>
      </w:pPr>
      <w:r w:rsidRPr="005046E3">
        <w:rPr>
          <w:noProof/>
          <w:lang w:val="fr-CH"/>
        </w:rPr>
        <w:tab/>
      </w:r>
      <w:r w:rsidRPr="005046E3">
        <w:rPr>
          <w:i/>
          <w:iCs/>
          <w:noProof/>
          <w:lang w:val="fr-CH"/>
        </w:rPr>
        <w:t>PDC</w:t>
      </w:r>
      <w:r w:rsidRPr="005046E3">
        <w:rPr>
          <w:i/>
          <w:iCs/>
          <w:noProof/>
          <w:vertAlign w:val="subscript"/>
          <w:lang w:val="fr-CH"/>
        </w:rPr>
        <w:t>B</w:t>
      </w:r>
      <w:r w:rsidRPr="005046E3">
        <w:rPr>
          <w:noProof/>
          <w:lang w:val="fr-CH"/>
        </w:rPr>
        <w:t>:</w:t>
      </w:r>
      <w:r w:rsidRPr="005046E3">
        <w:rPr>
          <w:noProof/>
          <w:lang w:val="fr-CH"/>
        </w:rPr>
        <w:tab/>
        <w:t>(facteur d'utilisation des impulsions du suppresseur) facteur d'utilisation cumul</w:t>
      </w:r>
      <w:r>
        <w:rPr>
          <w:noProof/>
          <w:lang w:val="fr-CH"/>
        </w:rPr>
        <w:t>atif</w:t>
      </w:r>
      <w:r w:rsidRPr="005046E3">
        <w:rPr>
          <w:noProof/>
          <w:lang w:val="fr-CH"/>
        </w:rPr>
        <w:t xml:space="preserve"> net de toutes les impulsions supérieures au seuil d</w:t>
      </w:r>
      <w:r>
        <w:rPr>
          <w:noProof/>
          <w:lang w:val="fr-CH"/>
        </w:rPr>
        <w:t>e</w:t>
      </w:r>
      <w:r w:rsidRPr="005046E3">
        <w:rPr>
          <w:noProof/>
          <w:lang w:val="fr-CH"/>
        </w:rPr>
        <w:t xml:space="preserve"> suppress</w:t>
      </w:r>
      <w:r>
        <w:rPr>
          <w:noProof/>
          <w:lang w:val="fr-CH"/>
        </w:rPr>
        <w:t>ion</w:t>
      </w:r>
      <w:r w:rsidRPr="005046E3">
        <w:rPr>
          <w:noProof/>
          <w:lang w:val="fr-CH"/>
        </w:rPr>
        <w:t xml:space="preserve"> (fraction sans unité)</w:t>
      </w:r>
    </w:p>
    <w:p w:rsidR="00DF60DE" w:rsidRPr="005046E3" w:rsidRDefault="00DF60DE" w:rsidP="00DF60DE">
      <w:pPr>
        <w:pStyle w:val="Equationlegend"/>
        <w:rPr>
          <w:lang w:val="fr-CH"/>
        </w:rPr>
      </w:pPr>
      <w:r w:rsidRPr="005046E3">
        <w:rPr>
          <w:lang w:val="fr-CH"/>
        </w:rPr>
        <w:tab/>
      </w:r>
      <w:r w:rsidRPr="005046E3">
        <w:rPr>
          <w:i/>
          <w:iCs/>
          <w:lang w:val="fr-CH"/>
        </w:rPr>
        <w:t>N</w:t>
      </w:r>
      <w:r w:rsidRPr="005046E3">
        <w:rPr>
          <w:vertAlign w:val="subscript"/>
          <w:lang w:val="fr-CH"/>
        </w:rPr>
        <w:t>0</w:t>
      </w:r>
      <w:r w:rsidRPr="005046E3">
        <w:rPr>
          <w:lang w:val="fr-CH"/>
        </w:rPr>
        <w:t>:</w:t>
      </w:r>
      <w:r w:rsidRPr="005046E3">
        <w:rPr>
          <w:lang w:val="fr-CH"/>
        </w:rPr>
        <w:tab/>
        <w:t>densité spectrale de puissance du bruit thermique du système du récepteur du SRNS en W/Hz (= kT</w:t>
      </w:r>
      <w:r w:rsidRPr="005046E3">
        <w:rPr>
          <w:vertAlign w:val="subscript"/>
          <w:lang w:val="fr-CH"/>
        </w:rPr>
        <w:t>sys</w:t>
      </w:r>
      <w:r w:rsidRPr="005046E3">
        <w:rPr>
          <w:lang w:val="fr-CH"/>
        </w:rPr>
        <w:t>)</w:t>
      </w:r>
    </w:p>
    <w:p w:rsidR="00DF60DE" w:rsidRPr="005046E3" w:rsidRDefault="00DF60DE" w:rsidP="00DF60DE">
      <w:pPr>
        <w:pStyle w:val="Equationlegend"/>
        <w:rPr>
          <w:lang w:val="fr-CH"/>
        </w:rPr>
      </w:pPr>
      <w:r w:rsidRPr="005046E3">
        <w:rPr>
          <w:lang w:val="fr-CH"/>
        </w:rPr>
        <w:tab/>
      </w:r>
      <w:r w:rsidRPr="005046E3">
        <w:rPr>
          <w:i/>
          <w:iCs/>
          <w:lang w:val="fr-CH"/>
        </w:rPr>
        <w:t>I</w:t>
      </w:r>
      <w:r w:rsidRPr="005046E3">
        <w:rPr>
          <w:vertAlign w:val="subscript"/>
          <w:lang w:val="fr-CH"/>
        </w:rPr>
        <w:t>0,</w:t>
      </w:r>
      <w:r w:rsidRPr="005046E3">
        <w:rPr>
          <w:i/>
          <w:iCs/>
          <w:vertAlign w:val="subscript"/>
          <w:lang w:val="fr-CH"/>
        </w:rPr>
        <w:t>WB</w:t>
      </w:r>
      <w:r w:rsidRPr="005046E3">
        <w:rPr>
          <w:lang w:val="fr-CH"/>
        </w:rPr>
        <w:t>:</w:t>
      </w:r>
      <w:r w:rsidRPr="005046E3">
        <w:rPr>
          <w:lang w:val="fr-CH"/>
        </w:rPr>
        <w:tab/>
        <w:t>densité spectrale de puissance totale du brouillage radioélectrique continu équivalent large bande (W/Hz) pour l'application du récepteur du SRNS considérée</w:t>
      </w:r>
      <w:r>
        <w:rPr>
          <w:rStyle w:val="FootnoteReference"/>
          <w:szCs w:val="24"/>
        </w:rPr>
        <w:footnoteReference w:id="8"/>
      </w:r>
    </w:p>
    <w:p w:rsidR="00DF60DE" w:rsidRPr="005046E3" w:rsidRDefault="00DF60DE" w:rsidP="00DF60DE">
      <w:pPr>
        <w:pStyle w:val="Equationlegend"/>
        <w:rPr>
          <w:noProof/>
          <w:lang w:val="fr-CH"/>
        </w:rPr>
      </w:pPr>
      <w:r w:rsidRPr="005046E3">
        <w:rPr>
          <w:noProof/>
          <w:lang w:val="fr-CH"/>
        </w:rPr>
        <w:tab/>
      </w:r>
      <w:r w:rsidRPr="005046E3">
        <w:rPr>
          <w:i/>
          <w:iCs/>
          <w:noProof/>
          <w:lang w:val="fr-CH"/>
        </w:rPr>
        <w:t>BW</w:t>
      </w:r>
      <w:r w:rsidRPr="005046E3">
        <w:rPr>
          <w:noProof/>
          <w:lang w:val="fr-CH"/>
        </w:rPr>
        <w:t>:</w:t>
      </w:r>
      <w:r w:rsidRPr="005046E3">
        <w:rPr>
          <w:noProof/>
          <w:lang w:val="fr-CH"/>
        </w:rPr>
        <w:tab/>
        <w:t>largeur de bande RF/FI avant corrélation (Hz)</w:t>
      </w:r>
    </w:p>
    <w:p w:rsidR="00DF60DE" w:rsidRPr="005046E3" w:rsidRDefault="00DF60DE" w:rsidP="00DF60DE">
      <w:pPr>
        <w:pStyle w:val="Equationlegend"/>
        <w:rPr>
          <w:noProof/>
          <w:lang w:val="fr-CH"/>
        </w:rPr>
      </w:pPr>
      <w:r w:rsidRPr="005046E3">
        <w:rPr>
          <w:noProof/>
          <w:lang w:val="fr-CH"/>
        </w:rPr>
        <w:tab/>
      </w:r>
      <w:r w:rsidRPr="005046E3">
        <w:rPr>
          <w:i/>
          <w:iCs/>
          <w:noProof/>
          <w:lang w:val="fr-CH"/>
        </w:rPr>
        <w:t>P</w:t>
      </w:r>
      <w:r w:rsidRPr="005046E3">
        <w:rPr>
          <w:i/>
          <w:iCs/>
          <w:noProof/>
          <w:vertAlign w:val="subscript"/>
          <w:lang w:val="fr-CH"/>
        </w:rPr>
        <w:t>i</w:t>
      </w:r>
      <w:r w:rsidRPr="005046E3">
        <w:rPr>
          <w:noProof/>
          <w:lang w:val="fr-CH"/>
        </w:rPr>
        <w:t>:</w:t>
      </w:r>
      <w:r w:rsidRPr="005046E3">
        <w:rPr>
          <w:noProof/>
          <w:lang w:val="fr-CH"/>
        </w:rPr>
        <w:tab/>
        <w:t xml:space="preserve">puissance de crête reçue (W) de la </w:t>
      </w:r>
      <w:r w:rsidRPr="005046E3">
        <w:rPr>
          <w:i/>
          <w:iCs/>
          <w:noProof/>
          <w:lang w:val="fr-CH"/>
        </w:rPr>
        <w:t>i</w:t>
      </w:r>
      <w:r w:rsidRPr="005046E3">
        <w:rPr>
          <w:noProof/>
          <w:lang w:val="fr-CH"/>
        </w:rPr>
        <w:noBreakHyphen/>
        <w:t>ème source d'impulsion (par rapport à la sortie de l'antenne) dont le niveau de crête est inférieur au seuil d</w:t>
      </w:r>
      <w:r>
        <w:rPr>
          <w:noProof/>
          <w:lang w:val="fr-CH"/>
        </w:rPr>
        <w:t>e</w:t>
      </w:r>
      <w:r w:rsidRPr="005046E3">
        <w:rPr>
          <w:noProof/>
          <w:lang w:val="fr-CH"/>
        </w:rPr>
        <w:t xml:space="preserve"> suppress</w:t>
      </w:r>
      <w:r>
        <w:rPr>
          <w:noProof/>
          <w:lang w:val="fr-CH"/>
        </w:rPr>
        <w:t>ion</w:t>
      </w:r>
    </w:p>
    <w:p w:rsidR="00DF60DE" w:rsidRPr="005046E3" w:rsidRDefault="00DF60DE" w:rsidP="00DF60DE">
      <w:pPr>
        <w:pStyle w:val="Equationlegend"/>
        <w:rPr>
          <w:lang w:val="fr-CH"/>
        </w:rPr>
      </w:pPr>
      <w:r w:rsidRPr="005046E3">
        <w:rPr>
          <w:lang w:val="fr-CH"/>
        </w:rPr>
        <w:tab/>
      </w:r>
      <w:r w:rsidRPr="005046E3">
        <w:rPr>
          <w:i/>
          <w:iCs/>
          <w:lang w:val="fr-CH"/>
        </w:rPr>
        <w:t>dc</w:t>
      </w:r>
      <w:r w:rsidRPr="005046E3">
        <w:rPr>
          <w:i/>
          <w:iCs/>
          <w:vertAlign w:val="subscript"/>
          <w:lang w:val="fr-CH"/>
        </w:rPr>
        <w:t>i</w:t>
      </w:r>
      <w:r w:rsidRPr="005046E3">
        <w:rPr>
          <w:lang w:val="fr-CH"/>
        </w:rPr>
        <w:t>:</w:t>
      </w:r>
      <w:r w:rsidRPr="005046E3">
        <w:rPr>
          <w:lang w:val="fr-CH"/>
        </w:rPr>
        <w:tab/>
        <w:t xml:space="preserve">facteur d'utilisation (fraction sans unité) de la </w:t>
      </w:r>
      <w:r w:rsidRPr="005046E3">
        <w:rPr>
          <w:i/>
          <w:iCs/>
          <w:lang w:val="fr-CH"/>
        </w:rPr>
        <w:t>i-</w:t>
      </w:r>
      <w:r w:rsidRPr="005046E3">
        <w:rPr>
          <w:lang w:val="fr-CH"/>
        </w:rPr>
        <w:t>ème source d'impulsion inférieure au seuil d</w:t>
      </w:r>
      <w:r>
        <w:rPr>
          <w:lang w:val="fr-CH"/>
        </w:rPr>
        <w:t>e</w:t>
      </w:r>
      <w:r w:rsidRPr="005046E3">
        <w:rPr>
          <w:lang w:val="fr-CH"/>
        </w:rPr>
        <w:t xml:space="preserve"> suppress</w:t>
      </w:r>
      <w:r>
        <w:rPr>
          <w:lang w:val="fr-CH"/>
        </w:rPr>
        <w:t>ion</w:t>
      </w:r>
    </w:p>
    <w:p w:rsidR="00DF60DE" w:rsidRPr="005046E3" w:rsidRDefault="00DF60DE" w:rsidP="00DF60DE">
      <w:pPr>
        <w:pStyle w:val="Equationlegend"/>
        <w:rPr>
          <w:lang w:val="fr-CH"/>
        </w:rPr>
      </w:pPr>
      <w:r w:rsidRPr="005046E3">
        <w:rPr>
          <w:lang w:val="fr-CH"/>
        </w:rPr>
        <w:lastRenderedPageBreak/>
        <w:tab/>
      </w:r>
      <w:r w:rsidRPr="005046E3">
        <w:rPr>
          <w:i/>
          <w:iCs/>
          <w:lang w:val="fr-CH"/>
        </w:rPr>
        <w:t>N</w:t>
      </w:r>
      <w:r w:rsidRPr="005046E3">
        <w:rPr>
          <w:lang w:val="fr-CH"/>
        </w:rPr>
        <w:t>:</w:t>
      </w:r>
      <w:r w:rsidRPr="005046E3">
        <w:rPr>
          <w:lang w:val="fr-CH"/>
        </w:rPr>
        <w:tab/>
        <w:t>nombre total d'émetteurs qui génèrent des impulsions reçues dont le niveau de crête est inférieur au seuil d</w:t>
      </w:r>
      <w:r>
        <w:rPr>
          <w:lang w:val="fr-CH"/>
        </w:rPr>
        <w:t>e</w:t>
      </w:r>
      <w:r w:rsidRPr="005046E3">
        <w:rPr>
          <w:lang w:val="fr-CH"/>
        </w:rPr>
        <w:t xml:space="preserve"> suppress</w:t>
      </w:r>
      <w:r>
        <w:rPr>
          <w:lang w:val="fr-CH"/>
        </w:rPr>
        <w:t>ion</w:t>
      </w:r>
      <w:r w:rsidRPr="005046E3">
        <w:rPr>
          <w:lang w:val="fr-CH"/>
        </w:rPr>
        <w:t>.</w:t>
      </w:r>
    </w:p>
    <w:bookmarkEnd w:id="3"/>
    <w:p w:rsidR="00DF60DE" w:rsidRPr="005046E3" w:rsidRDefault="00DF60DE" w:rsidP="00DF60DE">
      <w:pPr>
        <w:spacing w:before="240"/>
        <w:rPr>
          <w:lang w:val="fr-CH"/>
        </w:rPr>
      </w:pPr>
      <w:r w:rsidRPr="005046E3">
        <w:rPr>
          <w:lang w:val="fr-CH"/>
        </w:rPr>
        <w:t xml:space="preserve">Comme il est indiqué ci-dessus, </w:t>
      </w:r>
      <w:r w:rsidRPr="005046E3">
        <w:rPr>
          <w:i/>
          <w:lang w:val="fr-CH"/>
        </w:rPr>
        <w:t>N</w:t>
      </w:r>
      <w:r w:rsidRPr="005046E3">
        <w:rPr>
          <w:vertAlign w:val="subscript"/>
          <w:lang w:val="fr-CH"/>
        </w:rPr>
        <w:t>0,</w:t>
      </w:r>
      <w:r w:rsidRPr="005046E3">
        <w:rPr>
          <w:i/>
          <w:vertAlign w:val="subscript"/>
          <w:lang w:val="fr-CH"/>
        </w:rPr>
        <w:t>EFF</w:t>
      </w:r>
      <w:r w:rsidRPr="005046E3">
        <w:rPr>
          <w:noProof/>
          <w:lang w:val="fr-CH"/>
        </w:rPr>
        <w:t xml:space="preserve"> combine tous les effets du brouillage radioélectrique par impulsions sur la densité de bruit thermique, la densité de brouillage radioélectrique continu large bande et l'affaiblissement du signal du SRNS</w:t>
      </w:r>
      <w:r>
        <w:rPr>
          <w:rStyle w:val="FootnoteReference"/>
          <w:noProof/>
        </w:rPr>
        <w:footnoteReference w:id="9"/>
      </w:r>
      <w:r>
        <w:rPr>
          <w:noProof/>
          <w:lang w:val="fr-CH"/>
        </w:rPr>
        <w:t>.</w:t>
      </w:r>
      <w:r w:rsidRPr="005046E3">
        <w:rPr>
          <w:lang w:val="fr-CH"/>
        </w:rPr>
        <w:t xml:space="preserve"> Tous les paramètres concernant le bruit et le brouillage dans les équations (1) et (2) sont définis par rapport aux terminaux d'antennes passives des systèmes de réception. Veuillez noter que dans l'équation (1), </w:t>
      </w:r>
      <w:r>
        <w:rPr>
          <w:lang w:val="fr-CH"/>
        </w:rPr>
        <w:t>lorsqu'il n'y a pas</w:t>
      </w:r>
      <w:r w:rsidRPr="005046E3">
        <w:rPr>
          <w:lang w:val="fr-CH"/>
        </w:rPr>
        <w:t xml:space="preserve"> de brouillage radioélectrique par impulsions (c'est-à-dire lorsque </w:t>
      </w:r>
      <w:r w:rsidRPr="005046E3">
        <w:rPr>
          <w:i/>
          <w:iCs/>
          <w:lang w:val="fr-CH"/>
        </w:rPr>
        <w:t>R</w:t>
      </w:r>
      <w:r w:rsidRPr="005046E3">
        <w:rPr>
          <w:i/>
          <w:iCs/>
          <w:vertAlign w:val="subscript"/>
          <w:lang w:val="fr-CH"/>
        </w:rPr>
        <w:t>I</w:t>
      </w:r>
      <w:r w:rsidRPr="005046E3">
        <w:rPr>
          <w:lang w:val="fr-CH"/>
        </w:rPr>
        <w:t xml:space="preserve"> et </w:t>
      </w:r>
      <w:r w:rsidRPr="005046E3">
        <w:rPr>
          <w:i/>
          <w:iCs/>
          <w:lang w:val="fr-CH"/>
        </w:rPr>
        <w:t>PDC</w:t>
      </w:r>
      <w:r w:rsidRPr="005046E3">
        <w:rPr>
          <w:i/>
          <w:iCs/>
          <w:vertAlign w:val="subscript"/>
          <w:lang w:val="fr-CH"/>
        </w:rPr>
        <w:t>B </w:t>
      </w:r>
      <w:r w:rsidRPr="005046E3">
        <w:rPr>
          <w:lang w:val="fr-CH"/>
        </w:rPr>
        <w:t xml:space="preserve">= 0), l'équation utilisée pour calculer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est r</w:t>
      </w:r>
      <w:r>
        <w:rPr>
          <w:lang w:val="fr-CH"/>
        </w:rPr>
        <w:t>amenée</w:t>
      </w:r>
      <w:r w:rsidRPr="005046E3">
        <w:rPr>
          <w:lang w:val="fr-CH"/>
        </w:rPr>
        <w:t xml:space="preserve"> à l'équation plus simple utilisée dans les analyses de brouillage radioélectrique continu causé au SRNS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 </w:t>
      </w:r>
      <w:r w:rsidRPr="005046E3">
        <w:rPr>
          <w:i/>
          <w:iCs/>
          <w:lang w:val="fr-CH"/>
        </w:rPr>
        <w:t>N</w:t>
      </w:r>
      <w:r w:rsidRPr="005046E3">
        <w:rPr>
          <w:vertAlign w:val="subscript"/>
          <w:lang w:val="fr-CH"/>
        </w:rPr>
        <w:t>0</w:t>
      </w:r>
      <w:r w:rsidRPr="005046E3">
        <w:rPr>
          <w:lang w:val="fr-CH"/>
        </w:rPr>
        <w:t xml:space="preserve"> + </w:t>
      </w:r>
      <w:r w:rsidRPr="005046E3">
        <w:rPr>
          <w:i/>
          <w:iCs/>
          <w:lang w:val="fr-CH"/>
        </w:rPr>
        <w:t>I</w:t>
      </w:r>
      <w:r w:rsidRPr="005046E3">
        <w:rPr>
          <w:vertAlign w:val="subscript"/>
          <w:lang w:val="fr-CH"/>
        </w:rPr>
        <w:t>0,</w:t>
      </w:r>
      <w:r w:rsidRPr="005046E3">
        <w:rPr>
          <w:i/>
          <w:iCs/>
          <w:vertAlign w:val="subscript"/>
          <w:lang w:val="fr-CH"/>
        </w:rPr>
        <w:t>WB</w:t>
      </w:r>
      <w:r w:rsidRPr="005046E3">
        <w:rPr>
          <w:lang w:val="fr-CH"/>
        </w:rPr>
        <w:t>).</w:t>
      </w:r>
    </w:p>
    <w:p w:rsidR="00DF60DE" w:rsidRPr="005046E3" w:rsidRDefault="00DF60DE" w:rsidP="00DF60DE">
      <w:pPr>
        <w:rPr>
          <w:noProof/>
          <w:lang w:val="fr-CH"/>
        </w:rPr>
      </w:pPr>
      <w:r w:rsidRPr="005046E3">
        <w:rPr>
          <w:noProof/>
          <w:lang w:val="fr-CH"/>
        </w:rPr>
        <w:t xml:space="preserve">Le paramètre de brouillage radioélectrique cumulatif par impulsions, </w:t>
      </w:r>
      <w:r w:rsidRPr="005046E3">
        <w:rPr>
          <w:i/>
          <w:iCs/>
          <w:noProof/>
          <w:lang w:val="fr-CH"/>
        </w:rPr>
        <w:t>PDC</w:t>
      </w:r>
      <w:r w:rsidRPr="005046E3">
        <w:rPr>
          <w:i/>
          <w:iCs/>
          <w:noProof/>
          <w:vertAlign w:val="subscript"/>
          <w:lang w:val="fr-CH"/>
        </w:rPr>
        <w:t>B</w:t>
      </w:r>
      <w:r w:rsidRPr="005046E3">
        <w:rPr>
          <w:noProof/>
          <w:lang w:val="fr-CH"/>
        </w:rPr>
        <w:t xml:space="preserve">, </w:t>
      </w:r>
      <w:r>
        <w:rPr>
          <w:noProof/>
          <w:lang w:val="fr-CH"/>
        </w:rPr>
        <w:t>est défini à partir</w:t>
      </w:r>
      <w:r w:rsidRPr="005046E3">
        <w:rPr>
          <w:noProof/>
          <w:lang w:val="fr-CH"/>
        </w:rPr>
        <w:t xml:space="preserve"> des composant</w:t>
      </w:r>
      <w:r>
        <w:rPr>
          <w:noProof/>
          <w:lang w:val="fr-CH"/>
        </w:rPr>
        <w:t>e</w:t>
      </w:r>
      <w:r w:rsidRPr="005046E3">
        <w:rPr>
          <w:noProof/>
          <w:lang w:val="fr-CH"/>
        </w:rPr>
        <w:t>s des différents systèmes d'émetteurs à impulsion</w:t>
      </w:r>
      <w:r>
        <w:rPr>
          <w:noProof/>
          <w:lang w:val="fr-CH"/>
        </w:rPr>
        <w:t>s</w:t>
      </w:r>
      <w:r w:rsidRPr="005046E3">
        <w:rPr>
          <w:noProof/>
          <w:lang w:val="fr-CH"/>
        </w:rPr>
        <w:t xml:space="preserve"> hétérogènes </w:t>
      </w:r>
      <w:r>
        <w:rPr>
          <w:noProof/>
          <w:lang w:val="fr-CH"/>
        </w:rPr>
        <w:t>«</w:t>
      </w:r>
      <w:r w:rsidRPr="005046E3">
        <w:rPr>
          <w:i/>
          <w:iCs/>
          <w:noProof/>
          <w:lang w:val="fr-CH"/>
        </w:rPr>
        <w:t>a</w:t>
      </w:r>
      <w:r>
        <w:rPr>
          <w:noProof/>
          <w:lang w:val="fr-CH"/>
        </w:rPr>
        <w:t>»</w:t>
      </w:r>
      <w:r w:rsidRPr="005046E3">
        <w:rPr>
          <w:noProof/>
          <w:lang w:val="fr-CH"/>
        </w:rPr>
        <w:t xml:space="preserve">, </w:t>
      </w:r>
      <w:r>
        <w:rPr>
          <w:noProof/>
          <w:lang w:val="fr-CH"/>
        </w:rPr>
        <w:t>«</w:t>
      </w:r>
      <w:r w:rsidRPr="005046E3">
        <w:rPr>
          <w:i/>
          <w:iCs/>
          <w:noProof/>
          <w:lang w:val="fr-CH"/>
        </w:rPr>
        <w:t>b</w:t>
      </w:r>
      <w:r>
        <w:rPr>
          <w:noProof/>
          <w:lang w:val="fr-CH"/>
        </w:rPr>
        <w:t>»</w:t>
      </w:r>
      <w:r w:rsidRPr="005046E3">
        <w:rPr>
          <w:noProof/>
          <w:lang w:val="fr-CH"/>
        </w:rPr>
        <w:t xml:space="preserve"> et </w:t>
      </w:r>
      <w:r>
        <w:rPr>
          <w:noProof/>
          <w:lang w:val="fr-CH"/>
        </w:rPr>
        <w:t>«</w:t>
      </w:r>
      <w:r w:rsidRPr="005046E3">
        <w:rPr>
          <w:i/>
          <w:iCs/>
          <w:noProof/>
          <w:lang w:val="fr-CH"/>
        </w:rPr>
        <w:t>c</w:t>
      </w:r>
      <w:r>
        <w:rPr>
          <w:noProof/>
          <w:lang w:val="fr-CH"/>
        </w:rPr>
        <w:t>»</w:t>
      </w:r>
      <w:r w:rsidRPr="005046E3">
        <w:rPr>
          <w:noProof/>
          <w:lang w:val="fr-CH"/>
        </w:rPr>
        <w:t xml:space="preserve"> comme indiqué ci-après:</w:t>
      </w:r>
    </w:p>
    <w:p w:rsidR="00DF60DE" w:rsidRPr="005046E3" w:rsidRDefault="00DF60DE" w:rsidP="00DF60DE">
      <w:pPr>
        <w:pStyle w:val="Equation"/>
        <w:rPr>
          <w:noProof/>
          <w:lang w:val="fr-CH"/>
        </w:rPr>
      </w:pPr>
      <w:r w:rsidRPr="005046E3">
        <w:rPr>
          <w:lang w:val="fr-CH"/>
        </w:rPr>
        <w:tab/>
      </w:r>
      <w:r w:rsidRPr="005046E3">
        <w:rPr>
          <w:lang w:val="fr-CH"/>
        </w:rPr>
        <w:tab/>
      </w:r>
      <w:r>
        <w:rPr>
          <w:position w:val="-12"/>
        </w:rPr>
        <w:object w:dxaOrig="4280" w:dyaOrig="360">
          <v:shape id="_x0000_i1027" type="#_x0000_t75" style="width:214.15pt;height:18.25pt" o:ole="">
            <v:imagedata r:id="rId17" o:title=""/>
          </v:shape>
          <o:OLEObject Type="Embed" ProgID="Equation.3" ShapeID="_x0000_i1027" DrawAspect="Content" ObjectID="_1476173502" r:id="rId18"/>
        </w:object>
      </w:r>
      <w:r w:rsidRPr="005046E3">
        <w:rPr>
          <w:noProof/>
          <w:lang w:val="fr-CH"/>
        </w:rPr>
        <w:tab/>
        <w:t>(3)</w:t>
      </w:r>
    </w:p>
    <w:p w:rsidR="00DF60DE" w:rsidRPr="005046E3" w:rsidRDefault="00DF60DE" w:rsidP="00DF60DE">
      <w:pPr>
        <w:keepNext/>
        <w:rPr>
          <w:noProof/>
          <w:lang w:val="fr-CH"/>
        </w:rPr>
      </w:pPr>
      <w:r w:rsidRPr="005046E3">
        <w:rPr>
          <w:noProof/>
          <w:lang w:val="fr-CH"/>
        </w:rPr>
        <w:t>où:</w:t>
      </w:r>
    </w:p>
    <w:p w:rsidR="00DF60DE" w:rsidRPr="005046E3" w:rsidRDefault="00DF60DE" w:rsidP="00DF60DE">
      <w:pPr>
        <w:pStyle w:val="Equationlegend"/>
        <w:rPr>
          <w:szCs w:val="24"/>
          <w:lang w:val="fr-CH"/>
        </w:rPr>
      </w:pPr>
      <w:r w:rsidRPr="005046E3">
        <w:rPr>
          <w:noProof/>
          <w:szCs w:val="24"/>
          <w:lang w:val="fr-CH"/>
        </w:rPr>
        <w:tab/>
      </w:r>
      <w:r w:rsidRPr="005046E3">
        <w:rPr>
          <w:i/>
          <w:iCs/>
          <w:noProof/>
          <w:szCs w:val="24"/>
          <w:lang w:val="fr-CH"/>
        </w:rPr>
        <w:t>PDC</w:t>
      </w:r>
      <w:r w:rsidRPr="005046E3">
        <w:rPr>
          <w:i/>
          <w:iCs/>
          <w:noProof/>
          <w:szCs w:val="24"/>
          <w:vertAlign w:val="subscript"/>
          <w:lang w:val="fr-CH"/>
        </w:rPr>
        <w:t>a</w:t>
      </w:r>
      <w:r w:rsidRPr="005046E3">
        <w:rPr>
          <w:szCs w:val="24"/>
          <w:lang w:val="fr-CH"/>
        </w:rPr>
        <w:t>:</w:t>
      </w:r>
      <w:r w:rsidRPr="005046E3">
        <w:rPr>
          <w:szCs w:val="24"/>
          <w:lang w:val="fr-CH"/>
        </w:rPr>
        <w:tab/>
      </w:r>
      <w:r w:rsidRPr="005046E3">
        <w:rPr>
          <w:noProof/>
          <w:lang w:val="fr-CH"/>
        </w:rPr>
        <w:t>facteur d'utilisation des impulsions supérieures au seuil d</w:t>
      </w:r>
      <w:r>
        <w:rPr>
          <w:noProof/>
          <w:lang w:val="fr-CH"/>
        </w:rPr>
        <w:t>e</w:t>
      </w:r>
      <w:r w:rsidRPr="005046E3">
        <w:rPr>
          <w:noProof/>
          <w:lang w:val="fr-CH"/>
        </w:rPr>
        <w:t xml:space="preserve"> suppress</w:t>
      </w:r>
      <w:r>
        <w:rPr>
          <w:noProof/>
          <w:lang w:val="fr-CH"/>
        </w:rPr>
        <w:t>ion</w:t>
      </w:r>
      <w:r w:rsidRPr="005046E3">
        <w:rPr>
          <w:noProof/>
          <w:lang w:val="fr-CH"/>
        </w:rPr>
        <w:t xml:space="preserve"> pour les impulsions du système </w:t>
      </w:r>
      <w:r>
        <w:rPr>
          <w:noProof/>
          <w:lang w:val="fr-CH"/>
        </w:rPr>
        <w:t>«</w:t>
      </w:r>
      <w:r w:rsidRPr="005046E3">
        <w:rPr>
          <w:i/>
          <w:iCs/>
          <w:noProof/>
          <w:lang w:val="fr-CH"/>
        </w:rPr>
        <w:t>a</w:t>
      </w:r>
      <w:r>
        <w:rPr>
          <w:noProof/>
          <w:lang w:val="fr-CH"/>
        </w:rPr>
        <w:t>»</w:t>
      </w:r>
      <w:r w:rsidRPr="005046E3">
        <w:rPr>
          <w:noProof/>
          <w:lang w:val="fr-CH"/>
        </w:rPr>
        <w:t xml:space="preserve"> (par exemple, équipement de mesure des distances/système de navigation aérienne tactique (DME/TACAN)</w:t>
      </w:r>
    </w:p>
    <w:p w:rsidR="00DF60DE" w:rsidRPr="005046E3" w:rsidRDefault="00DF60DE" w:rsidP="00DF60DE">
      <w:pPr>
        <w:pStyle w:val="Equationlegend"/>
        <w:rPr>
          <w:lang w:val="fr-CH"/>
        </w:rPr>
      </w:pPr>
      <w:r w:rsidRPr="005046E3">
        <w:rPr>
          <w:noProof/>
          <w:szCs w:val="24"/>
          <w:lang w:val="fr-CH"/>
        </w:rPr>
        <w:tab/>
      </w:r>
      <w:r w:rsidRPr="005046E3">
        <w:rPr>
          <w:i/>
          <w:iCs/>
          <w:noProof/>
          <w:szCs w:val="24"/>
          <w:lang w:val="fr-CH"/>
        </w:rPr>
        <w:t>PDC</w:t>
      </w:r>
      <w:r w:rsidRPr="005046E3">
        <w:rPr>
          <w:i/>
          <w:iCs/>
          <w:noProof/>
          <w:szCs w:val="24"/>
          <w:vertAlign w:val="subscript"/>
          <w:lang w:val="fr-CH"/>
        </w:rPr>
        <w:t>b</w:t>
      </w:r>
      <w:r w:rsidRPr="005046E3">
        <w:rPr>
          <w:lang w:val="fr-CH"/>
        </w:rPr>
        <w:t>:</w:t>
      </w:r>
      <w:r w:rsidRPr="005046E3">
        <w:rPr>
          <w:lang w:val="fr-CH"/>
        </w:rPr>
        <w:tab/>
      </w:r>
      <w:r w:rsidRPr="005046E3">
        <w:rPr>
          <w:noProof/>
          <w:lang w:val="fr-CH"/>
        </w:rPr>
        <w:t>facteur d'utilisation des impulsions supérieures au seuil d</w:t>
      </w:r>
      <w:r>
        <w:rPr>
          <w:noProof/>
          <w:lang w:val="fr-CH"/>
        </w:rPr>
        <w:t>e</w:t>
      </w:r>
      <w:r w:rsidRPr="005046E3">
        <w:rPr>
          <w:noProof/>
          <w:lang w:val="fr-CH"/>
        </w:rPr>
        <w:t xml:space="preserve"> suppress</w:t>
      </w:r>
      <w:r>
        <w:rPr>
          <w:noProof/>
          <w:lang w:val="fr-CH"/>
        </w:rPr>
        <w:t>ion</w:t>
      </w:r>
      <w:r w:rsidRPr="005046E3">
        <w:rPr>
          <w:noProof/>
          <w:lang w:val="fr-CH"/>
        </w:rPr>
        <w:t xml:space="preserve"> pour les impulsions du système </w:t>
      </w:r>
      <w:r>
        <w:rPr>
          <w:lang w:val="fr-CH"/>
        </w:rPr>
        <w:t>«</w:t>
      </w:r>
      <w:r w:rsidRPr="005046E3">
        <w:rPr>
          <w:i/>
          <w:iCs/>
          <w:lang w:val="fr-CH"/>
        </w:rPr>
        <w:t>b</w:t>
      </w:r>
      <w:r>
        <w:rPr>
          <w:lang w:val="fr-CH"/>
        </w:rPr>
        <w:t>»</w:t>
      </w:r>
      <w:r w:rsidRPr="005046E3">
        <w:rPr>
          <w:lang w:val="fr-CH"/>
        </w:rPr>
        <w:t xml:space="preserve"> (par exemple, système de communication, de navigation</w:t>
      </w:r>
      <w:r w:rsidR="008649DF">
        <w:rPr>
          <w:lang w:val="fr-CH"/>
        </w:rPr>
        <w:t xml:space="preserve"> et d'identification (CNI)); et</w:t>
      </w:r>
    </w:p>
    <w:p w:rsidR="00DF60DE" w:rsidRPr="005046E3" w:rsidRDefault="00DF60DE" w:rsidP="00DF60DE">
      <w:pPr>
        <w:pStyle w:val="Equationlegend"/>
        <w:rPr>
          <w:szCs w:val="24"/>
          <w:lang w:val="fr-CH"/>
        </w:rPr>
      </w:pPr>
      <w:r w:rsidRPr="005046E3">
        <w:rPr>
          <w:noProof/>
          <w:szCs w:val="24"/>
          <w:lang w:val="fr-CH"/>
        </w:rPr>
        <w:tab/>
      </w:r>
      <w:r w:rsidRPr="005046E3">
        <w:rPr>
          <w:i/>
          <w:iCs/>
          <w:noProof/>
          <w:szCs w:val="24"/>
          <w:lang w:val="fr-CH"/>
        </w:rPr>
        <w:t>PDC</w:t>
      </w:r>
      <w:r w:rsidRPr="005046E3">
        <w:rPr>
          <w:i/>
          <w:iCs/>
          <w:noProof/>
          <w:szCs w:val="24"/>
          <w:vertAlign w:val="subscript"/>
          <w:lang w:val="fr-CH"/>
        </w:rPr>
        <w:t>c</w:t>
      </w:r>
      <w:r w:rsidRPr="005046E3">
        <w:rPr>
          <w:noProof/>
          <w:szCs w:val="24"/>
          <w:lang w:val="fr-CH"/>
        </w:rPr>
        <w:t>:</w:t>
      </w:r>
      <w:r w:rsidRPr="005046E3">
        <w:rPr>
          <w:noProof/>
          <w:szCs w:val="24"/>
          <w:lang w:val="fr-CH"/>
        </w:rPr>
        <w:tab/>
      </w:r>
      <w:r w:rsidRPr="005046E3">
        <w:rPr>
          <w:noProof/>
          <w:lang w:val="fr-CH"/>
        </w:rPr>
        <w:t>facteur d'utilisation des impulsions supérieures au seuil d</w:t>
      </w:r>
      <w:r>
        <w:rPr>
          <w:noProof/>
          <w:lang w:val="fr-CH"/>
        </w:rPr>
        <w:t>e</w:t>
      </w:r>
      <w:r w:rsidRPr="005046E3">
        <w:rPr>
          <w:noProof/>
          <w:lang w:val="fr-CH"/>
        </w:rPr>
        <w:t xml:space="preserve"> suppress</w:t>
      </w:r>
      <w:r>
        <w:rPr>
          <w:noProof/>
          <w:lang w:val="fr-CH"/>
        </w:rPr>
        <w:t>ion</w:t>
      </w:r>
      <w:r w:rsidRPr="005046E3">
        <w:rPr>
          <w:noProof/>
          <w:lang w:val="fr-CH"/>
        </w:rPr>
        <w:t xml:space="preserve"> pour les impulsions du système </w:t>
      </w:r>
      <w:r>
        <w:rPr>
          <w:lang w:val="fr-CH"/>
        </w:rPr>
        <w:t>«</w:t>
      </w:r>
      <w:r w:rsidRPr="005046E3">
        <w:rPr>
          <w:i/>
          <w:iCs/>
          <w:lang w:val="fr-CH"/>
        </w:rPr>
        <w:t>c</w:t>
      </w:r>
      <w:r>
        <w:rPr>
          <w:lang w:val="fr-CH"/>
        </w:rPr>
        <w:t>»</w:t>
      </w:r>
      <w:r w:rsidRPr="005046E3">
        <w:rPr>
          <w:lang w:val="fr-CH"/>
        </w:rPr>
        <w:t xml:space="preserve"> </w:t>
      </w:r>
      <w:r w:rsidRPr="005046E3">
        <w:rPr>
          <w:szCs w:val="24"/>
          <w:lang w:val="fr-CH"/>
        </w:rPr>
        <w:t>(par exemple, service de radionavigation aéronautique /contrôle du trafic aérien (</w:t>
      </w:r>
      <w:r w:rsidRPr="005046E3">
        <w:rPr>
          <w:noProof/>
          <w:szCs w:val="24"/>
          <w:lang w:val="fr-CH"/>
        </w:rPr>
        <w:t>SRNA/ATC))</w:t>
      </w:r>
      <w:r w:rsidRPr="005046E3">
        <w:rPr>
          <w:szCs w:val="24"/>
          <w:lang w:val="fr-CH"/>
        </w:rPr>
        <w:t>.</w:t>
      </w:r>
    </w:p>
    <w:p w:rsidR="00DF60DE" w:rsidRPr="005046E3" w:rsidRDefault="00DF60DE" w:rsidP="00DF60DE">
      <w:pPr>
        <w:rPr>
          <w:noProof/>
          <w:lang w:val="fr-CH"/>
        </w:rPr>
      </w:pPr>
      <w:r w:rsidRPr="005046E3">
        <w:rPr>
          <w:noProof/>
          <w:lang w:val="fr-CH"/>
        </w:rPr>
        <w:t xml:space="preserve">Pour chaque source distincte, </w:t>
      </w:r>
      <w:r w:rsidRPr="005046E3">
        <w:rPr>
          <w:i/>
          <w:iCs/>
          <w:noProof/>
          <w:lang w:val="fr-CH"/>
        </w:rPr>
        <w:t>i</w:t>
      </w:r>
      <w:r w:rsidRPr="005046E3">
        <w:rPr>
          <w:noProof/>
          <w:lang w:val="fr-CH"/>
        </w:rPr>
        <w:t xml:space="preserve">, d'un système, </w:t>
      </w:r>
      <w:r w:rsidRPr="005046E3">
        <w:rPr>
          <w:i/>
          <w:iCs/>
          <w:noProof/>
          <w:lang w:val="fr-CH"/>
        </w:rPr>
        <w:t>x</w:t>
      </w:r>
      <w:r w:rsidRPr="005046E3">
        <w:rPr>
          <w:noProof/>
          <w:lang w:val="fr-CH"/>
        </w:rPr>
        <w:t>, le facteur d'utilisation des impulsions supérieur</w:t>
      </w:r>
      <w:r>
        <w:rPr>
          <w:noProof/>
          <w:lang w:val="fr-CH"/>
        </w:rPr>
        <w:t>es</w:t>
      </w:r>
      <w:r w:rsidRPr="005046E3">
        <w:rPr>
          <w:noProof/>
          <w:lang w:val="fr-CH"/>
        </w:rPr>
        <w:t xml:space="preserve"> au seuil d</w:t>
      </w:r>
      <w:r>
        <w:rPr>
          <w:noProof/>
          <w:lang w:val="fr-CH"/>
        </w:rPr>
        <w:t>e</w:t>
      </w:r>
      <w:r w:rsidRPr="005046E3">
        <w:rPr>
          <w:noProof/>
          <w:lang w:val="fr-CH"/>
        </w:rPr>
        <w:t xml:space="preserve"> suppress</w:t>
      </w:r>
      <w:r>
        <w:rPr>
          <w:noProof/>
          <w:lang w:val="fr-CH"/>
        </w:rPr>
        <w:t>ion</w:t>
      </w:r>
      <w:r w:rsidRPr="005046E3">
        <w:rPr>
          <w:noProof/>
          <w:lang w:val="fr-CH"/>
        </w:rPr>
        <w:t xml:space="preserve"> </w:t>
      </w:r>
      <w:r w:rsidRPr="005046E3">
        <w:rPr>
          <w:i/>
          <w:noProof/>
          <w:lang w:val="fr-CH"/>
        </w:rPr>
        <w:t>PDC</w:t>
      </w:r>
      <w:r w:rsidRPr="005046E3">
        <w:rPr>
          <w:i/>
          <w:noProof/>
          <w:vertAlign w:val="subscript"/>
          <w:lang w:val="fr-CH"/>
        </w:rPr>
        <w:t>x,i</w:t>
      </w:r>
      <w:r w:rsidRPr="005046E3">
        <w:rPr>
          <w:noProof/>
          <w:lang w:val="fr-CH"/>
        </w:rPr>
        <w:t xml:space="preserve"> est calculé d'une manière générale avec la formule suivante:</w:t>
      </w:r>
    </w:p>
    <w:p w:rsidR="00DF60DE" w:rsidRDefault="00DF60DE" w:rsidP="00DF60DE">
      <w:pPr>
        <w:pStyle w:val="Equation"/>
        <w:rPr>
          <w:lang w:val="it-IT" w:eastAsia="ru-RU"/>
        </w:rPr>
      </w:pPr>
      <w:r w:rsidRPr="005046E3">
        <w:rPr>
          <w:lang w:val="fr-CH" w:eastAsia="ru-RU"/>
        </w:rPr>
        <w:tab/>
      </w:r>
      <w:r w:rsidRPr="005046E3">
        <w:rPr>
          <w:lang w:val="fr-CH" w:eastAsia="ru-RU"/>
        </w:rPr>
        <w:tab/>
      </w:r>
      <w:r>
        <w:rPr>
          <w:i/>
          <w:lang w:val="it-IT" w:eastAsia="ru-RU"/>
        </w:rPr>
        <w:t>PDC</w:t>
      </w:r>
      <w:r>
        <w:rPr>
          <w:i/>
          <w:vertAlign w:val="subscript"/>
          <w:lang w:val="it-IT" w:eastAsia="ru-RU"/>
        </w:rPr>
        <w:t>x,i</w:t>
      </w:r>
      <w:r>
        <w:rPr>
          <w:i/>
          <w:lang w:val="it-IT" w:eastAsia="ru-RU"/>
        </w:rPr>
        <w:t xml:space="preserve"> = (PW</w:t>
      </w:r>
      <w:r>
        <w:rPr>
          <w:i/>
          <w:vertAlign w:val="subscript"/>
          <w:lang w:val="it-IT" w:eastAsia="ru-RU"/>
        </w:rPr>
        <w:t>x</w:t>
      </w:r>
      <w:r>
        <w:rPr>
          <w:i/>
          <w:lang w:val="it-IT" w:eastAsia="ru-RU"/>
        </w:rPr>
        <w:t>,</w:t>
      </w:r>
      <w:r>
        <w:rPr>
          <w:i/>
          <w:vertAlign w:val="subscript"/>
          <w:lang w:val="it-IT" w:eastAsia="ru-RU"/>
        </w:rPr>
        <w:t>i</w:t>
      </w:r>
      <w:r>
        <w:rPr>
          <w:i/>
          <w:lang w:val="it-IT" w:eastAsia="ru-RU"/>
        </w:rPr>
        <w:t xml:space="preserve"> + </w:t>
      </w:r>
      <w:r w:rsidRPr="009E243E">
        <w:rPr>
          <w:iCs/>
          <w:szCs w:val="24"/>
          <w:lang w:eastAsia="ru-RU"/>
        </w:rPr>
        <w:sym w:font="Symbol" w:char="F074"/>
      </w:r>
      <w:r>
        <w:rPr>
          <w:i/>
          <w:vertAlign w:val="subscript"/>
          <w:lang w:val="it-IT" w:eastAsia="ru-RU"/>
        </w:rPr>
        <w:t>REC</w:t>
      </w:r>
      <w:r>
        <w:rPr>
          <w:i/>
          <w:lang w:val="it-IT" w:eastAsia="ru-RU"/>
        </w:rPr>
        <w:t>)</w:t>
      </w:r>
      <w:r>
        <w:rPr>
          <w:i/>
          <w:szCs w:val="24"/>
          <w:lang w:eastAsia="ru-RU"/>
        </w:rPr>
        <w:sym w:font="Symbol" w:char="F0D7"/>
      </w:r>
      <w:r>
        <w:rPr>
          <w:i/>
          <w:lang w:val="it-IT" w:eastAsia="ru-RU"/>
        </w:rPr>
        <w:t>PRF</w:t>
      </w:r>
      <w:r>
        <w:rPr>
          <w:i/>
          <w:vertAlign w:val="subscript"/>
          <w:lang w:val="it-IT" w:eastAsia="ru-RU"/>
        </w:rPr>
        <w:t>x,i</w:t>
      </w:r>
      <w:r>
        <w:rPr>
          <w:lang w:val="it-IT" w:eastAsia="ru-RU"/>
        </w:rPr>
        <w:tab/>
        <w:t>(3a)</w:t>
      </w:r>
    </w:p>
    <w:p w:rsidR="00DF60DE" w:rsidRPr="005046E3" w:rsidRDefault="00DF60DE" w:rsidP="00DF60DE">
      <w:pPr>
        <w:rPr>
          <w:lang w:val="fr-CH" w:eastAsia="ru-RU"/>
        </w:rPr>
      </w:pPr>
      <w:r w:rsidRPr="005046E3">
        <w:rPr>
          <w:lang w:val="fr-CH" w:eastAsia="ru-RU"/>
        </w:rPr>
        <w:t>où:</w:t>
      </w:r>
    </w:p>
    <w:p w:rsidR="00DF60DE" w:rsidRPr="005046E3" w:rsidRDefault="00DF60DE" w:rsidP="00DF60DE">
      <w:pPr>
        <w:pStyle w:val="Equationlegend"/>
        <w:rPr>
          <w:lang w:val="fr-CH" w:eastAsia="ru-RU"/>
        </w:rPr>
      </w:pPr>
      <w:r w:rsidRPr="005046E3">
        <w:rPr>
          <w:lang w:val="fr-CH" w:eastAsia="ru-RU"/>
        </w:rPr>
        <w:tab/>
      </w:r>
      <w:r w:rsidRPr="005046E3">
        <w:rPr>
          <w:i/>
          <w:lang w:val="fr-CH" w:eastAsia="ru-RU"/>
        </w:rPr>
        <w:t>PW</w:t>
      </w:r>
      <w:r w:rsidRPr="005046E3">
        <w:rPr>
          <w:i/>
          <w:vertAlign w:val="subscript"/>
          <w:lang w:val="fr-CH" w:eastAsia="ru-RU"/>
        </w:rPr>
        <w:t>x,i</w:t>
      </w:r>
      <w:r w:rsidRPr="005046E3">
        <w:rPr>
          <w:lang w:val="fr-CH"/>
        </w:rPr>
        <w:t>:</w:t>
      </w:r>
      <w:r w:rsidRPr="005046E3">
        <w:rPr>
          <w:lang w:val="fr-CH" w:eastAsia="ru-RU"/>
        </w:rPr>
        <w:tab/>
        <w:t xml:space="preserve">largeur(s) </w:t>
      </w:r>
      <w:r>
        <w:rPr>
          <w:lang w:val="fr-CH" w:eastAsia="ru-RU"/>
        </w:rPr>
        <w:t>équivalente</w:t>
      </w:r>
      <w:r w:rsidRPr="005046E3">
        <w:rPr>
          <w:lang w:val="fr-CH" w:eastAsia="ru-RU"/>
        </w:rPr>
        <w:t>(s) de l'impulsion supérieure au seuil d</w:t>
      </w:r>
      <w:r>
        <w:rPr>
          <w:lang w:val="fr-CH" w:eastAsia="ru-RU"/>
        </w:rPr>
        <w:t>e</w:t>
      </w:r>
      <w:r w:rsidRPr="005046E3">
        <w:rPr>
          <w:lang w:val="fr-CH" w:eastAsia="ru-RU"/>
        </w:rPr>
        <w:t xml:space="preserve"> suppress</w:t>
      </w:r>
      <w:r>
        <w:rPr>
          <w:lang w:val="fr-CH" w:eastAsia="ru-RU"/>
        </w:rPr>
        <w:t>ion</w:t>
      </w:r>
    </w:p>
    <w:p w:rsidR="00DF60DE" w:rsidRPr="005046E3" w:rsidRDefault="00DF60DE" w:rsidP="00DF60DE">
      <w:pPr>
        <w:pStyle w:val="Equationlegend"/>
        <w:rPr>
          <w:lang w:val="fr-CH" w:eastAsia="ru-RU"/>
        </w:rPr>
      </w:pPr>
      <w:r w:rsidRPr="005046E3">
        <w:rPr>
          <w:lang w:val="fr-CH" w:eastAsia="ru-RU"/>
        </w:rPr>
        <w:tab/>
      </w:r>
      <w:r w:rsidRPr="009E243E">
        <w:rPr>
          <w:iCs/>
          <w:szCs w:val="24"/>
          <w:lang w:eastAsia="ru-RU"/>
        </w:rPr>
        <w:sym w:font="Symbol" w:char="F074"/>
      </w:r>
      <w:r w:rsidRPr="005046E3">
        <w:rPr>
          <w:i/>
          <w:vertAlign w:val="subscript"/>
          <w:lang w:val="fr-CH" w:eastAsia="ru-RU"/>
        </w:rPr>
        <w:t>REC</w:t>
      </w:r>
      <w:r w:rsidRPr="005046E3">
        <w:rPr>
          <w:lang w:val="fr-CH"/>
        </w:rPr>
        <w:t>:</w:t>
      </w:r>
      <w:r w:rsidRPr="005046E3">
        <w:rPr>
          <w:lang w:val="fr-CH" w:eastAsia="ru-RU"/>
        </w:rPr>
        <w:tab/>
        <w:t>temps de rétablissement après surcharge du récepteur; et</w:t>
      </w:r>
    </w:p>
    <w:p w:rsidR="00DF60DE" w:rsidRPr="005046E3" w:rsidRDefault="00DF60DE" w:rsidP="00DF60DE">
      <w:pPr>
        <w:pStyle w:val="Equationlegend"/>
        <w:rPr>
          <w:noProof/>
          <w:lang w:val="fr-CH"/>
        </w:rPr>
      </w:pPr>
      <w:r w:rsidRPr="005046E3">
        <w:rPr>
          <w:lang w:val="fr-CH" w:eastAsia="ru-RU"/>
        </w:rPr>
        <w:tab/>
      </w:r>
      <w:r w:rsidRPr="005046E3">
        <w:rPr>
          <w:i/>
          <w:lang w:val="fr-CH" w:eastAsia="ru-RU"/>
        </w:rPr>
        <w:t>PRF</w:t>
      </w:r>
      <w:r w:rsidRPr="005046E3">
        <w:rPr>
          <w:i/>
          <w:vertAlign w:val="subscript"/>
          <w:lang w:val="fr-CH" w:eastAsia="ru-RU"/>
        </w:rPr>
        <w:t>x,i</w:t>
      </w:r>
      <w:r w:rsidRPr="005046E3">
        <w:rPr>
          <w:lang w:val="fr-CH"/>
        </w:rPr>
        <w:t>:</w:t>
      </w:r>
      <w:r w:rsidRPr="005046E3">
        <w:rPr>
          <w:lang w:val="fr-CH" w:eastAsia="ru-RU"/>
        </w:rPr>
        <w:tab/>
        <w:t>fréquence de répétition de l'impulsion (Hz).</w:t>
      </w:r>
    </w:p>
    <w:p w:rsidR="00DF60DE" w:rsidRPr="005046E3" w:rsidRDefault="00DF60DE" w:rsidP="00DF60DE">
      <w:pPr>
        <w:rPr>
          <w:noProof/>
          <w:lang w:val="fr-CH"/>
        </w:rPr>
      </w:pPr>
      <w:r w:rsidRPr="005046E3">
        <w:rPr>
          <w:noProof/>
          <w:lang w:val="fr-CH"/>
        </w:rPr>
        <w:t xml:space="preserve">Le paramètre de brouillage radioélectrique cumulatif par impulsions </w:t>
      </w:r>
      <w:r w:rsidRPr="005046E3">
        <w:rPr>
          <w:i/>
          <w:iCs/>
          <w:noProof/>
          <w:lang w:val="fr-CH"/>
        </w:rPr>
        <w:t>R</w:t>
      </w:r>
      <w:r w:rsidRPr="005046E3">
        <w:rPr>
          <w:i/>
          <w:iCs/>
          <w:noProof/>
          <w:vertAlign w:val="subscript"/>
          <w:lang w:val="fr-CH"/>
        </w:rPr>
        <w:t>I</w:t>
      </w:r>
      <w:r w:rsidRPr="005046E3">
        <w:rPr>
          <w:noProof/>
          <w:lang w:val="fr-CH"/>
        </w:rPr>
        <w:t xml:space="preserve"> </w:t>
      </w:r>
      <w:r>
        <w:rPr>
          <w:noProof/>
          <w:lang w:val="fr-CH"/>
        </w:rPr>
        <w:t>est défini à partir</w:t>
      </w:r>
      <w:r w:rsidRPr="005046E3">
        <w:rPr>
          <w:noProof/>
          <w:lang w:val="fr-CH"/>
        </w:rPr>
        <w:t xml:space="preserve"> des composant</w:t>
      </w:r>
      <w:r>
        <w:rPr>
          <w:noProof/>
          <w:lang w:val="fr-CH"/>
        </w:rPr>
        <w:t>e</w:t>
      </w:r>
      <w:r w:rsidRPr="005046E3">
        <w:rPr>
          <w:noProof/>
          <w:lang w:val="fr-CH"/>
        </w:rPr>
        <w:t xml:space="preserve">s des différents systèmes d'émetteurs à impulsions hétérogènes </w:t>
      </w:r>
      <w:r>
        <w:rPr>
          <w:noProof/>
          <w:lang w:val="fr-CH"/>
        </w:rPr>
        <w:t>«</w:t>
      </w:r>
      <w:r w:rsidRPr="005046E3">
        <w:rPr>
          <w:i/>
          <w:iCs/>
          <w:noProof/>
          <w:lang w:val="fr-CH"/>
        </w:rPr>
        <w:t>a</w:t>
      </w:r>
      <w:r>
        <w:rPr>
          <w:noProof/>
          <w:lang w:val="fr-CH"/>
        </w:rPr>
        <w:t>»</w:t>
      </w:r>
      <w:r w:rsidRPr="005046E3">
        <w:rPr>
          <w:noProof/>
          <w:lang w:val="fr-CH"/>
        </w:rPr>
        <w:t xml:space="preserve">, </w:t>
      </w:r>
      <w:r>
        <w:rPr>
          <w:noProof/>
          <w:lang w:val="fr-CH"/>
        </w:rPr>
        <w:t>«</w:t>
      </w:r>
      <w:r w:rsidRPr="005046E3">
        <w:rPr>
          <w:i/>
          <w:iCs/>
          <w:noProof/>
          <w:lang w:val="fr-CH"/>
        </w:rPr>
        <w:t>b</w:t>
      </w:r>
      <w:r>
        <w:rPr>
          <w:noProof/>
          <w:lang w:val="fr-CH"/>
        </w:rPr>
        <w:t>»</w:t>
      </w:r>
      <w:r w:rsidRPr="005046E3">
        <w:rPr>
          <w:noProof/>
          <w:lang w:val="fr-CH"/>
        </w:rPr>
        <w:t xml:space="preserve"> et </w:t>
      </w:r>
      <w:r>
        <w:rPr>
          <w:noProof/>
          <w:lang w:val="fr-CH"/>
        </w:rPr>
        <w:t>«</w:t>
      </w:r>
      <w:r w:rsidRPr="005046E3">
        <w:rPr>
          <w:i/>
          <w:iCs/>
          <w:noProof/>
          <w:lang w:val="fr-CH"/>
        </w:rPr>
        <w:t>c</w:t>
      </w:r>
      <w:r>
        <w:rPr>
          <w:noProof/>
          <w:lang w:val="fr-CH"/>
        </w:rPr>
        <w:t>»</w:t>
      </w:r>
      <w:r w:rsidRPr="005046E3">
        <w:rPr>
          <w:noProof/>
          <w:lang w:val="fr-CH"/>
        </w:rPr>
        <w:t xml:space="preserve"> comme indiqué ci-après:</w:t>
      </w:r>
    </w:p>
    <w:p w:rsidR="00DF60DE" w:rsidRPr="005046E3" w:rsidRDefault="00DF60DE" w:rsidP="00DF60DE">
      <w:pPr>
        <w:pStyle w:val="Equation"/>
        <w:rPr>
          <w:noProof/>
          <w:lang w:val="fr-CH"/>
        </w:rPr>
      </w:pPr>
      <w:r w:rsidRPr="005046E3">
        <w:rPr>
          <w:lang w:val="fr-CH"/>
        </w:rPr>
        <w:tab/>
      </w:r>
      <w:r w:rsidRPr="005046E3">
        <w:rPr>
          <w:lang w:val="fr-CH"/>
        </w:rPr>
        <w:tab/>
      </w:r>
      <w:r>
        <w:rPr>
          <w:position w:val="-12"/>
        </w:rPr>
        <w:object w:dxaOrig="1740" w:dyaOrig="360">
          <v:shape id="_x0000_i1028" type="#_x0000_t75" style="width:87.9pt;height:18.25pt" o:ole="">
            <v:imagedata r:id="rId19" o:title=""/>
          </v:shape>
          <o:OLEObject Type="Embed" ProgID="Equation.3" ShapeID="_x0000_i1028" DrawAspect="Content" ObjectID="_1476173503" r:id="rId20"/>
        </w:object>
      </w:r>
      <w:r w:rsidRPr="005046E3">
        <w:rPr>
          <w:lang w:val="fr-CH"/>
        </w:rPr>
        <w:tab/>
      </w:r>
      <w:r w:rsidRPr="005046E3">
        <w:rPr>
          <w:noProof/>
          <w:lang w:val="fr-CH"/>
        </w:rPr>
        <w:t>(4)</w:t>
      </w:r>
    </w:p>
    <w:p w:rsidR="00DF60DE" w:rsidRPr="005046E3" w:rsidRDefault="00DF60DE" w:rsidP="00DF60DE">
      <w:pPr>
        <w:rPr>
          <w:noProof/>
          <w:lang w:val="fr-CH"/>
        </w:rPr>
      </w:pPr>
      <w:r w:rsidRPr="005046E3">
        <w:rPr>
          <w:noProof/>
          <w:lang w:val="fr-CH"/>
        </w:rPr>
        <w:t xml:space="preserve">où </w:t>
      </w:r>
      <w:r w:rsidRPr="005046E3">
        <w:rPr>
          <w:i/>
          <w:iCs/>
          <w:noProof/>
          <w:lang w:val="fr-CH"/>
        </w:rPr>
        <w:t>R</w:t>
      </w:r>
      <w:r w:rsidRPr="005046E3">
        <w:rPr>
          <w:i/>
          <w:iCs/>
          <w:noProof/>
          <w:vertAlign w:val="subscript"/>
          <w:lang w:val="fr-CH"/>
        </w:rPr>
        <w:t>a</w:t>
      </w:r>
      <w:r w:rsidRPr="005046E3">
        <w:rPr>
          <w:noProof/>
          <w:lang w:val="fr-CH"/>
        </w:rPr>
        <w:t xml:space="preserve">, </w:t>
      </w:r>
      <w:r w:rsidRPr="005046E3">
        <w:rPr>
          <w:i/>
          <w:iCs/>
          <w:noProof/>
          <w:lang w:val="fr-CH"/>
        </w:rPr>
        <w:t>R</w:t>
      </w:r>
      <w:r w:rsidRPr="005046E3">
        <w:rPr>
          <w:i/>
          <w:iCs/>
          <w:noProof/>
          <w:vertAlign w:val="subscript"/>
          <w:lang w:val="fr-CH"/>
        </w:rPr>
        <w:t>b</w:t>
      </w:r>
      <w:r w:rsidRPr="005046E3">
        <w:rPr>
          <w:noProof/>
          <w:lang w:val="fr-CH"/>
        </w:rPr>
        <w:t xml:space="preserve"> et </w:t>
      </w:r>
      <w:r w:rsidRPr="005046E3">
        <w:rPr>
          <w:i/>
          <w:iCs/>
          <w:noProof/>
          <w:lang w:val="fr-CH"/>
        </w:rPr>
        <w:t>R</w:t>
      </w:r>
      <w:r w:rsidRPr="005046E3">
        <w:rPr>
          <w:i/>
          <w:iCs/>
          <w:noProof/>
          <w:vertAlign w:val="subscript"/>
          <w:lang w:val="fr-CH"/>
        </w:rPr>
        <w:t>c</w:t>
      </w:r>
      <w:r w:rsidRPr="005046E3">
        <w:rPr>
          <w:noProof/>
          <w:lang w:val="fr-CH"/>
        </w:rPr>
        <w:t xml:space="preserve"> sont les rapports de densité </w:t>
      </w:r>
      <w:r>
        <w:rPr>
          <w:noProof/>
          <w:lang w:val="fr-CH"/>
        </w:rPr>
        <w:t xml:space="preserve">entre le </w:t>
      </w:r>
      <w:r w:rsidRPr="005046E3">
        <w:rPr>
          <w:noProof/>
          <w:lang w:val="fr-CH"/>
        </w:rPr>
        <w:t>signal inférieur au seuil d</w:t>
      </w:r>
      <w:r>
        <w:rPr>
          <w:noProof/>
          <w:lang w:val="fr-CH"/>
        </w:rPr>
        <w:t>e</w:t>
      </w:r>
      <w:r w:rsidRPr="005046E3">
        <w:rPr>
          <w:noProof/>
          <w:lang w:val="fr-CH"/>
        </w:rPr>
        <w:t xml:space="preserve"> suppress</w:t>
      </w:r>
      <w:r>
        <w:rPr>
          <w:noProof/>
          <w:lang w:val="fr-CH"/>
        </w:rPr>
        <w:t xml:space="preserve">ion et le bruit du </w:t>
      </w:r>
      <w:r w:rsidRPr="005046E3">
        <w:rPr>
          <w:noProof/>
          <w:lang w:val="fr-CH"/>
        </w:rPr>
        <w:t>récepteur pour les systèmes</w:t>
      </w:r>
      <w:r w:rsidRPr="005046E3">
        <w:rPr>
          <w:lang w:val="fr-CH"/>
        </w:rPr>
        <w:t xml:space="preserve"> </w:t>
      </w:r>
      <w:r>
        <w:rPr>
          <w:lang w:val="fr-CH"/>
        </w:rPr>
        <w:t>«</w:t>
      </w:r>
      <w:r w:rsidRPr="005046E3">
        <w:rPr>
          <w:i/>
          <w:iCs/>
          <w:lang w:val="fr-CH"/>
        </w:rPr>
        <w:t>a</w:t>
      </w:r>
      <w:r>
        <w:rPr>
          <w:lang w:val="fr-CH"/>
        </w:rPr>
        <w:t>»</w:t>
      </w:r>
      <w:r w:rsidRPr="005046E3">
        <w:rPr>
          <w:lang w:val="fr-CH"/>
        </w:rPr>
        <w:t xml:space="preserve">, </w:t>
      </w:r>
      <w:r>
        <w:rPr>
          <w:lang w:val="fr-CH"/>
        </w:rPr>
        <w:t>«</w:t>
      </w:r>
      <w:r w:rsidRPr="005046E3">
        <w:rPr>
          <w:i/>
          <w:iCs/>
          <w:lang w:val="fr-CH"/>
        </w:rPr>
        <w:t>b</w:t>
      </w:r>
      <w:r>
        <w:rPr>
          <w:lang w:val="fr-CH"/>
        </w:rPr>
        <w:t>»</w:t>
      </w:r>
      <w:r w:rsidRPr="005046E3">
        <w:rPr>
          <w:lang w:val="fr-CH"/>
        </w:rPr>
        <w:t xml:space="preserve"> et </w:t>
      </w:r>
      <w:r>
        <w:rPr>
          <w:lang w:val="fr-CH"/>
        </w:rPr>
        <w:t>«</w:t>
      </w:r>
      <w:r w:rsidRPr="005046E3">
        <w:rPr>
          <w:i/>
          <w:iCs/>
          <w:lang w:val="fr-CH"/>
        </w:rPr>
        <w:t>c</w:t>
      </w:r>
      <w:r>
        <w:rPr>
          <w:lang w:val="fr-CH"/>
        </w:rPr>
        <w:t>»</w:t>
      </w:r>
      <w:r w:rsidRPr="005046E3">
        <w:rPr>
          <w:lang w:val="fr-CH"/>
        </w:rPr>
        <w:t xml:space="preserve"> respectivement.</w:t>
      </w:r>
    </w:p>
    <w:p w:rsidR="00DF60DE" w:rsidRPr="005046E3" w:rsidRDefault="00DF60DE" w:rsidP="00DF60DE">
      <w:pPr>
        <w:rPr>
          <w:noProof/>
          <w:lang w:val="fr-CH"/>
        </w:rPr>
      </w:pPr>
      <w:r w:rsidRPr="005046E3">
        <w:rPr>
          <w:noProof/>
          <w:lang w:val="fr-CH"/>
        </w:rPr>
        <w:t>Ces rapports sont calculés qu'il y ait ou non d'autres impulsions se chevauch</w:t>
      </w:r>
      <w:r>
        <w:rPr>
          <w:noProof/>
          <w:lang w:val="fr-CH"/>
        </w:rPr>
        <w:t>a</w:t>
      </w:r>
      <w:r w:rsidRPr="005046E3">
        <w:rPr>
          <w:noProof/>
          <w:lang w:val="fr-CH"/>
        </w:rPr>
        <w:t xml:space="preserve">nt dans le temps émises par les différentes sources de brouillage radioélectrique par impulsions. Le facteur d'utilisation des impulsions d'une source donnée, </w:t>
      </w:r>
      <w:r w:rsidRPr="005046E3">
        <w:rPr>
          <w:i/>
          <w:iCs/>
          <w:noProof/>
          <w:lang w:val="fr-CH"/>
        </w:rPr>
        <w:t>j</w:t>
      </w:r>
      <w:r w:rsidRPr="005046E3">
        <w:rPr>
          <w:noProof/>
          <w:lang w:val="fr-CH"/>
        </w:rPr>
        <w:t xml:space="preserve">, d'un système, </w:t>
      </w:r>
      <w:r w:rsidRPr="005046E3">
        <w:rPr>
          <w:i/>
          <w:iCs/>
          <w:noProof/>
          <w:lang w:val="fr-CH"/>
        </w:rPr>
        <w:t>y</w:t>
      </w:r>
      <w:r w:rsidRPr="005046E3">
        <w:rPr>
          <w:noProof/>
          <w:lang w:val="fr-CH"/>
        </w:rPr>
        <w:t>, pour les impulsions reçues inférieures au seuil d</w:t>
      </w:r>
      <w:r>
        <w:rPr>
          <w:noProof/>
          <w:lang w:val="fr-CH"/>
        </w:rPr>
        <w:t>e</w:t>
      </w:r>
      <w:r w:rsidRPr="005046E3">
        <w:rPr>
          <w:noProof/>
          <w:lang w:val="fr-CH"/>
        </w:rPr>
        <w:t xml:space="preserve"> suppress</w:t>
      </w:r>
      <w:r>
        <w:rPr>
          <w:noProof/>
          <w:lang w:val="fr-CH"/>
        </w:rPr>
        <w:t>ion</w:t>
      </w:r>
      <w:r w:rsidRPr="005046E3">
        <w:rPr>
          <w:noProof/>
          <w:lang w:val="fr-CH"/>
        </w:rPr>
        <w:t xml:space="preserve"> </w:t>
      </w:r>
      <w:r w:rsidRPr="005046E3">
        <w:rPr>
          <w:i/>
          <w:lang w:val="fr-CH" w:eastAsia="ru-RU"/>
        </w:rPr>
        <w:t>dc</w:t>
      </w:r>
      <w:r w:rsidRPr="005046E3">
        <w:rPr>
          <w:i/>
          <w:vertAlign w:val="subscript"/>
          <w:lang w:val="fr-CH" w:eastAsia="ru-RU"/>
        </w:rPr>
        <w:t>y,j</w:t>
      </w:r>
      <w:r w:rsidRPr="005046E3">
        <w:rPr>
          <w:i/>
          <w:lang w:val="fr-CH" w:eastAsia="ru-RU"/>
        </w:rPr>
        <w:t>,</w:t>
      </w:r>
      <w:r w:rsidRPr="005046E3">
        <w:rPr>
          <w:noProof/>
          <w:lang w:val="fr-CH"/>
        </w:rPr>
        <w:t xml:space="preserve"> est défini comme suit:</w:t>
      </w:r>
    </w:p>
    <w:p w:rsidR="00DF60DE" w:rsidRPr="00071346" w:rsidRDefault="00DF60DE" w:rsidP="00DF60DE">
      <w:pPr>
        <w:pStyle w:val="Equation"/>
        <w:rPr>
          <w:lang w:val="en-US" w:eastAsia="ru-RU"/>
        </w:rPr>
      </w:pPr>
      <w:r w:rsidRPr="005046E3">
        <w:rPr>
          <w:lang w:val="fr-CH" w:eastAsia="ru-RU"/>
        </w:rPr>
        <w:lastRenderedPageBreak/>
        <w:tab/>
      </w:r>
      <w:r w:rsidRPr="005046E3">
        <w:rPr>
          <w:lang w:val="fr-CH" w:eastAsia="ru-RU"/>
        </w:rPr>
        <w:tab/>
      </w:r>
      <w:r w:rsidRPr="00071346">
        <w:rPr>
          <w:i/>
          <w:lang w:val="en-US" w:eastAsia="ru-RU"/>
        </w:rPr>
        <w:t>dc</w:t>
      </w:r>
      <w:r w:rsidRPr="00071346">
        <w:rPr>
          <w:i/>
          <w:vertAlign w:val="subscript"/>
          <w:lang w:val="en-US" w:eastAsia="ru-RU"/>
        </w:rPr>
        <w:t>y,j</w:t>
      </w:r>
      <w:r w:rsidRPr="00071346">
        <w:rPr>
          <w:i/>
          <w:lang w:val="en-US" w:eastAsia="ru-RU"/>
        </w:rPr>
        <w:t xml:space="preserve"> = PW</w:t>
      </w:r>
      <w:r w:rsidRPr="00071346">
        <w:rPr>
          <w:i/>
          <w:vertAlign w:val="subscript"/>
          <w:lang w:val="en-US" w:eastAsia="ru-RU"/>
        </w:rPr>
        <w:t>y</w:t>
      </w:r>
      <w:r w:rsidRPr="00071346">
        <w:rPr>
          <w:i/>
          <w:lang w:val="en-US" w:eastAsia="ru-RU"/>
        </w:rPr>
        <w:t>,</w:t>
      </w:r>
      <w:r w:rsidRPr="00071346">
        <w:rPr>
          <w:i/>
          <w:vertAlign w:val="subscript"/>
          <w:lang w:val="en-US" w:eastAsia="ru-RU"/>
        </w:rPr>
        <w:t>j</w:t>
      </w:r>
      <w:r>
        <w:rPr>
          <w:i/>
          <w:szCs w:val="24"/>
          <w:lang w:eastAsia="ru-RU"/>
        </w:rPr>
        <w:sym w:font="Symbol" w:char="F0D7"/>
      </w:r>
      <w:r w:rsidRPr="00071346">
        <w:rPr>
          <w:i/>
          <w:lang w:val="en-US" w:eastAsia="ru-RU"/>
        </w:rPr>
        <w:t>PRF</w:t>
      </w:r>
      <w:r w:rsidRPr="00071346">
        <w:rPr>
          <w:i/>
          <w:vertAlign w:val="subscript"/>
          <w:lang w:val="en-US" w:eastAsia="ru-RU"/>
        </w:rPr>
        <w:t>y,j</w:t>
      </w:r>
      <w:r w:rsidRPr="00071346">
        <w:rPr>
          <w:lang w:val="en-US" w:eastAsia="ru-RU"/>
        </w:rPr>
        <w:tab/>
        <w:t>(4a)</w:t>
      </w:r>
    </w:p>
    <w:p w:rsidR="00DF60DE" w:rsidRPr="005046E3" w:rsidRDefault="00DF60DE" w:rsidP="00DF60DE">
      <w:pPr>
        <w:spacing w:before="240"/>
        <w:rPr>
          <w:noProof/>
          <w:lang w:val="fr-CH"/>
        </w:rPr>
      </w:pPr>
      <w:r w:rsidRPr="005046E3">
        <w:rPr>
          <w:noProof/>
          <w:lang w:val="fr-CH"/>
        </w:rPr>
        <w:t>où les termes de la partie droite de l'équation sont définis de manière analogue à ceux de la formule (3a), à ceci près qu'ils concernent les caractéristiques des impulsions inférieures au seuil d</w:t>
      </w:r>
      <w:r>
        <w:rPr>
          <w:noProof/>
          <w:lang w:val="fr-CH"/>
        </w:rPr>
        <w:t>e</w:t>
      </w:r>
      <w:r w:rsidRPr="005046E3">
        <w:rPr>
          <w:noProof/>
          <w:lang w:val="fr-CH"/>
        </w:rPr>
        <w:t xml:space="preserve"> suppress</w:t>
      </w:r>
      <w:r>
        <w:rPr>
          <w:noProof/>
          <w:lang w:val="fr-CH"/>
        </w:rPr>
        <w:t>ion</w:t>
      </w:r>
      <w:r w:rsidRPr="005046E3">
        <w:rPr>
          <w:noProof/>
          <w:lang w:val="fr-CH"/>
        </w:rPr>
        <w:t>.</w:t>
      </w:r>
    </w:p>
    <w:p w:rsidR="00DF60DE" w:rsidRPr="005046E3" w:rsidRDefault="00DF60DE" w:rsidP="00DF60DE">
      <w:pPr>
        <w:pStyle w:val="Heading2"/>
        <w:rPr>
          <w:lang w:val="fr-CH"/>
        </w:rPr>
      </w:pPr>
      <w:r w:rsidRPr="005046E3">
        <w:rPr>
          <w:lang w:val="fr-CH"/>
        </w:rPr>
        <w:t>2.2</w:t>
      </w:r>
      <w:r w:rsidRPr="005046E3">
        <w:rPr>
          <w:lang w:val="fr-CH"/>
        </w:rPr>
        <w:tab/>
        <w:t xml:space="preserve">Calcul de la densité de bruit </w:t>
      </w:r>
      <w:r>
        <w:rPr>
          <w:lang w:val="fr-CH"/>
        </w:rPr>
        <w:t>équivalente</w:t>
      </w:r>
      <w:r w:rsidRPr="005046E3">
        <w:rPr>
          <w:lang w:val="fr-CH"/>
        </w:rPr>
        <w:t xml:space="preserve"> (saturation du récepteur</w:t>
      </w:r>
      <w:r>
        <w:rPr>
          <w:lang w:val="fr-CH"/>
        </w:rPr>
        <w:t xml:space="preserve"> par les impulsions</w:t>
      </w:r>
      <w:r w:rsidRPr="005046E3">
        <w:rPr>
          <w:lang w:val="fr-CH"/>
        </w:rPr>
        <w:t>)</w:t>
      </w:r>
    </w:p>
    <w:p w:rsidR="00DF60DE" w:rsidRPr="005046E3" w:rsidRDefault="00DF60DE" w:rsidP="00DF60DE">
      <w:pPr>
        <w:rPr>
          <w:lang w:val="fr-CH"/>
        </w:rPr>
      </w:pPr>
      <w:r w:rsidRPr="005046E3">
        <w:rPr>
          <w:lang w:val="fr-CH"/>
        </w:rPr>
        <w:t xml:space="preserve">Certains récepteurs du SRNS fonctionnant dans les bandes </w:t>
      </w:r>
      <w:r>
        <w:rPr>
          <w:lang w:val="fr-CH"/>
        </w:rPr>
        <w:t xml:space="preserve">du SRNS </w:t>
      </w:r>
      <w:r w:rsidRPr="005046E3">
        <w:rPr>
          <w:lang w:val="fr-CH"/>
        </w:rPr>
        <w:t xml:space="preserve">dans, par exemple, des applications au sol ne </w:t>
      </w:r>
      <w:r>
        <w:rPr>
          <w:lang w:val="fr-CH"/>
        </w:rPr>
        <w:t>subiront</w:t>
      </w:r>
      <w:r w:rsidRPr="005046E3">
        <w:rPr>
          <w:lang w:val="fr-CH"/>
        </w:rPr>
        <w:t xml:space="preserve"> peut-être pas d'importants brouillages radioélectriques par impulsions à l'intérieur de la bande ou dans une bande adjacente, comme </w:t>
      </w:r>
      <w:r>
        <w:rPr>
          <w:lang w:val="fr-CH"/>
        </w:rPr>
        <w:t>en subissent</w:t>
      </w:r>
      <w:r w:rsidRPr="005046E3">
        <w:rPr>
          <w:lang w:val="fr-CH"/>
        </w:rPr>
        <w:t xml:space="preserve"> les récepteurs de navigation aérienne ou les récepteurs analogues. De ce fait, </w:t>
      </w:r>
      <w:r>
        <w:rPr>
          <w:lang w:val="fr-CH"/>
        </w:rPr>
        <w:t>ils ne sont pas nécessairement dotés</w:t>
      </w:r>
      <w:r w:rsidRPr="005046E3">
        <w:rPr>
          <w:lang w:val="fr-CH"/>
        </w:rPr>
        <w:t xml:space="preserve"> d'un dispositif de suppression des impulsions comme décrit au </w:t>
      </w:r>
      <w:r>
        <w:rPr>
          <w:lang w:val="fr-CH"/>
        </w:rPr>
        <w:t>§ </w:t>
      </w:r>
      <w:r w:rsidRPr="005046E3">
        <w:rPr>
          <w:lang w:val="fr-CH"/>
        </w:rPr>
        <w:t>2.1 ci-dessus,</w:t>
      </w:r>
      <w:r>
        <w:rPr>
          <w:lang w:val="fr-CH"/>
        </w:rPr>
        <w:t xml:space="preserve"> et peuvent être validés, pendant un bref moment, </w:t>
      </w:r>
      <w:r w:rsidRPr="005046E3">
        <w:rPr>
          <w:lang w:val="fr-CH"/>
        </w:rPr>
        <w:t>par des impulsions de brouillage radioélectrique produites par une source proche. La présence d'un brouillage radioélectrique par impulsion</w:t>
      </w:r>
      <w:r>
        <w:rPr>
          <w:lang w:val="fr-CH"/>
        </w:rPr>
        <w:t>s</w:t>
      </w:r>
      <w:r w:rsidRPr="005046E3">
        <w:rPr>
          <w:lang w:val="fr-CH"/>
        </w:rPr>
        <w:t xml:space="preserve"> entraîne une baisse de la quantité de brouillage radioélectrique continu que le récepteur du SRNS peut tolérer. Il est possible de quantifier les effets </w:t>
      </w:r>
      <w:r>
        <w:rPr>
          <w:lang w:val="fr-CH"/>
        </w:rPr>
        <w:t xml:space="preserve">conjugués </w:t>
      </w:r>
      <w:r w:rsidRPr="005046E3">
        <w:rPr>
          <w:lang w:val="fr-CH"/>
        </w:rPr>
        <w:t xml:space="preserve">du brouillage radioélectrique par impulsions et du brouillage radioélectrique continu pour un récepteur du SRNS </w:t>
      </w:r>
      <w:r>
        <w:rPr>
          <w:lang w:val="fr-CH"/>
        </w:rPr>
        <w:t>en état de saturation</w:t>
      </w:r>
      <w:r w:rsidRPr="005046E3">
        <w:rPr>
          <w:lang w:val="fr-CH"/>
        </w:rPr>
        <w:t xml:space="preserve"> en définissant une densité spectrale de puissance d</w:t>
      </w:r>
      <w:r>
        <w:rPr>
          <w:lang w:val="fr-CH"/>
        </w:rPr>
        <w:t>e</w:t>
      </w:r>
      <w:r w:rsidRPr="005046E3">
        <w:rPr>
          <w:lang w:val="fr-CH"/>
        </w:rPr>
        <w:t xml:space="preserve"> bruit </w:t>
      </w:r>
      <w:r>
        <w:rPr>
          <w:lang w:val="fr-CH"/>
        </w:rPr>
        <w:t>équivalente</w:t>
      </w:r>
      <w:r w:rsidRPr="005046E3">
        <w:rPr>
          <w:lang w:val="fr-CH"/>
        </w:rPr>
        <w:t xml:space="preserve"> après corrélation,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w:t>
      </w:r>
      <w:r>
        <w:rPr>
          <w:lang w:val="fr-CH"/>
        </w:rPr>
        <w:t>comme suit</w:t>
      </w:r>
      <w:r w:rsidRPr="005046E3">
        <w:rPr>
          <w:lang w:val="fr-CH"/>
        </w:rPr>
        <w:t>:</w:t>
      </w:r>
    </w:p>
    <w:p w:rsidR="00DF60DE" w:rsidRPr="005046E3" w:rsidRDefault="00DF60DE" w:rsidP="00DF60DE">
      <w:pPr>
        <w:pStyle w:val="Equation"/>
        <w:spacing w:before="240"/>
        <w:rPr>
          <w:lang w:val="fr-CH"/>
        </w:rPr>
      </w:pPr>
      <w:r w:rsidRPr="005046E3">
        <w:rPr>
          <w:lang w:val="fr-CH"/>
        </w:rPr>
        <w:tab/>
      </w:r>
      <w:r w:rsidRPr="005046E3">
        <w:rPr>
          <w:lang w:val="fr-CH"/>
        </w:rPr>
        <w:tab/>
      </w:r>
      <w:r>
        <w:rPr>
          <w:position w:val="-28"/>
        </w:rPr>
        <w:object w:dxaOrig="5130" w:dyaOrig="1200">
          <v:shape id="_x0000_i1029" type="#_x0000_t75" style="width:258.55pt;height:60.8pt" o:ole="">
            <v:imagedata r:id="rId21" o:title=""/>
          </v:shape>
          <o:OLEObject Type="Embed" ProgID="Equation.DSMT4" ShapeID="_x0000_i1029" DrawAspect="Content" ObjectID="_1476173504" r:id="rId22"/>
        </w:object>
      </w:r>
      <w:r w:rsidRPr="005046E3">
        <w:rPr>
          <w:lang w:val="fr-CH"/>
        </w:rPr>
        <w:tab/>
      </w:r>
      <w:r w:rsidRPr="005046E3">
        <w:rPr>
          <w:szCs w:val="24"/>
          <w:lang w:val="fr-CH"/>
        </w:rPr>
        <w:t>(5)</w:t>
      </w:r>
    </w:p>
    <w:p w:rsidR="00DF60DE" w:rsidRPr="005046E3" w:rsidRDefault="00DF60DE" w:rsidP="00DF60DE">
      <w:pPr>
        <w:rPr>
          <w:lang w:val="fr-CH"/>
        </w:rPr>
      </w:pPr>
      <w:r w:rsidRPr="005046E3">
        <w:rPr>
          <w:lang w:val="fr-CH"/>
        </w:rPr>
        <w:t>où:</w:t>
      </w:r>
    </w:p>
    <w:p w:rsidR="00DF60DE" w:rsidRPr="005046E3" w:rsidRDefault="00DF60DE" w:rsidP="00DF60DE">
      <w:pPr>
        <w:pStyle w:val="Equationlegend"/>
        <w:rPr>
          <w:lang w:val="fr-CH"/>
        </w:rPr>
      </w:pPr>
      <w:r w:rsidRPr="005046E3">
        <w:rPr>
          <w:lang w:val="fr-CH"/>
        </w:rPr>
        <w:tab/>
      </w:r>
      <w:r w:rsidRPr="005046E3">
        <w:rPr>
          <w:i/>
          <w:iCs/>
          <w:lang w:val="fr-CH"/>
        </w:rPr>
        <w:t>N</w:t>
      </w:r>
      <w:r w:rsidRPr="005046E3">
        <w:rPr>
          <w:vertAlign w:val="subscript"/>
          <w:lang w:val="fr-CH"/>
        </w:rPr>
        <w:t>0</w:t>
      </w:r>
      <w:r w:rsidRPr="005046E3">
        <w:rPr>
          <w:lang w:val="fr-CH"/>
        </w:rPr>
        <w:t>:</w:t>
      </w:r>
      <w:r w:rsidRPr="005046E3">
        <w:rPr>
          <w:lang w:val="fr-CH"/>
        </w:rPr>
        <w:tab/>
        <w:t>densité spectrale de puissance d</w:t>
      </w:r>
      <w:r>
        <w:rPr>
          <w:lang w:val="fr-CH"/>
        </w:rPr>
        <w:t>e</w:t>
      </w:r>
      <w:r w:rsidRPr="005046E3">
        <w:rPr>
          <w:lang w:val="fr-CH"/>
        </w:rPr>
        <w:t xml:space="preserve"> bruit thermique dans le système de réception en W/Hz (= kT</w:t>
      </w:r>
      <w:r w:rsidRPr="005046E3">
        <w:rPr>
          <w:vertAlign w:val="subscript"/>
          <w:lang w:val="fr-CH"/>
        </w:rPr>
        <w:t>SYS</w:t>
      </w:r>
      <w:r w:rsidRPr="005046E3">
        <w:rPr>
          <w:lang w:val="fr-CH"/>
        </w:rPr>
        <w:t>)</w:t>
      </w:r>
    </w:p>
    <w:p w:rsidR="00DF60DE" w:rsidRPr="005046E3" w:rsidRDefault="00DF60DE" w:rsidP="00DF60DE">
      <w:pPr>
        <w:pStyle w:val="Equationlegend"/>
        <w:rPr>
          <w:lang w:val="fr-CH"/>
        </w:rPr>
      </w:pPr>
      <w:r w:rsidRPr="005046E3">
        <w:rPr>
          <w:lang w:val="fr-CH"/>
        </w:rPr>
        <w:tab/>
      </w:r>
      <w:r w:rsidRPr="005046E3">
        <w:rPr>
          <w:i/>
          <w:iCs/>
          <w:lang w:val="fr-CH"/>
        </w:rPr>
        <w:t>I</w:t>
      </w:r>
      <w:r w:rsidRPr="005046E3">
        <w:rPr>
          <w:vertAlign w:val="subscript"/>
          <w:lang w:val="fr-CH"/>
        </w:rPr>
        <w:t>0,</w:t>
      </w:r>
      <w:r w:rsidRPr="005046E3">
        <w:rPr>
          <w:i/>
          <w:iCs/>
          <w:vertAlign w:val="subscript"/>
          <w:lang w:val="fr-CH"/>
        </w:rPr>
        <w:t>WB</w:t>
      </w:r>
      <w:r w:rsidRPr="005046E3">
        <w:rPr>
          <w:lang w:val="fr-CH"/>
        </w:rPr>
        <w:t>:</w:t>
      </w:r>
      <w:r w:rsidRPr="005046E3">
        <w:rPr>
          <w:lang w:val="fr-CH"/>
        </w:rPr>
        <w:tab/>
        <w:t>densité spectrale de puissance totale du brouillage radioélectrique continu équivalent large bande (W/Hz)</w:t>
      </w:r>
    </w:p>
    <w:p w:rsidR="00DF60DE" w:rsidRPr="005046E3" w:rsidRDefault="00DF60DE" w:rsidP="00DF60DE">
      <w:pPr>
        <w:pStyle w:val="Equationlegend"/>
        <w:rPr>
          <w:lang w:val="fr-CH"/>
        </w:rPr>
      </w:pPr>
      <w:r w:rsidRPr="005046E3">
        <w:rPr>
          <w:i/>
          <w:iCs/>
          <w:lang w:val="fr-CH"/>
        </w:rPr>
        <w:tab/>
        <w:t>PDC</w:t>
      </w:r>
      <w:r w:rsidRPr="005046E3">
        <w:rPr>
          <w:i/>
          <w:iCs/>
          <w:vertAlign w:val="subscript"/>
          <w:lang w:val="fr-CH"/>
        </w:rPr>
        <w:t>LIM</w:t>
      </w:r>
      <w:r w:rsidRPr="005046E3">
        <w:rPr>
          <w:lang w:val="fr-CH"/>
        </w:rPr>
        <w:t>:</w:t>
      </w:r>
      <w:r w:rsidRPr="005046E3">
        <w:rPr>
          <w:lang w:val="fr-CH"/>
        </w:rPr>
        <w:tab/>
        <w:t xml:space="preserve">facteur d'utilisation relatif cumulatif des impulsions de brouillage radioélectrique </w:t>
      </w:r>
      <w:r>
        <w:rPr>
          <w:lang w:val="fr-CH"/>
        </w:rPr>
        <w:t xml:space="preserve">au niveau de </w:t>
      </w:r>
      <w:r w:rsidRPr="005046E3">
        <w:rPr>
          <w:lang w:val="fr-CH"/>
        </w:rPr>
        <w:t>saturation (sans unité)</w:t>
      </w:r>
    </w:p>
    <w:p w:rsidR="00DF60DE" w:rsidRPr="005046E3" w:rsidRDefault="00DF60DE" w:rsidP="00DF60DE">
      <w:pPr>
        <w:pStyle w:val="Equationlegend"/>
        <w:rPr>
          <w:lang w:val="fr-CH"/>
        </w:rPr>
      </w:pPr>
      <w:r w:rsidRPr="005046E3">
        <w:rPr>
          <w:lang w:val="fr-CH"/>
        </w:rPr>
        <w:tab/>
      </w:r>
      <w:r w:rsidRPr="005046E3">
        <w:rPr>
          <w:i/>
          <w:iCs/>
          <w:lang w:val="fr-CH"/>
        </w:rPr>
        <w:t>R</w:t>
      </w:r>
      <w:r w:rsidRPr="005046E3">
        <w:rPr>
          <w:i/>
          <w:iCs/>
          <w:vertAlign w:val="subscript"/>
          <w:lang w:val="fr-CH"/>
        </w:rPr>
        <w:t>I</w:t>
      </w:r>
      <w:r w:rsidRPr="005046E3">
        <w:rPr>
          <w:lang w:val="fr-CH"/>
        </w:rPr>
        <w:t>:</w:t>
      </w:r>
      <w:r w:rsidRPr="005046E3">
        <w:rPr>
          <w:lang w:val="fr-CH"/>
        </w:rPr>
        <w:tab/>
        <w:t xml:space="preserve">rapport (sans unité) entre la </w:t>
      </w:r>
      <w:r>
        <w:rPr>
          <w:lang w:val="fr-CH"/>
        </w:rPr>
        <w:t xml:space="preserve">valeur moyenne de la </w:t>
      </w:r>
      <w:r w:rsidRPr="005046E3">
        <w:rPr>
          <w:lang w:val="fr-CH"/>
        </w:rPr>
        <w:t xml:space="preserve">densité de puissance du brouillage radioélectrique par impulsions </w:t>
      </w:r>
      <w:r>
        <w:rPr>
          <w:lang w:val="fr-CH"/>
        </w:rPr>
        <w:t>au</w:t>
      </w:r>
      <w:r>
        <w:rPr>
          <w:lang w:val="fr-CH"/>
        </w:rPr>
        <w:noBreakHyphen/>
        <w:t xml:space="preserve">dessous du niveau </w:t>
      </w:r>
      <w:r w:rsidRPr="005046E3">
        <w:rPr>
          <w:lang w:val="fr-CH"/>
        </w:rPr>
        <w:t xml:space="preserve">cumulatif </w:t>
      </w:r>
      <w:r>
        <w:rPr>
          <w:lang w:val="fr-CH"/>
        </w:rPr>
        <w:t>de</w:t>
      </w:r>
      <w:r w:rsidRPr="005046E3">
        <w:rPr>
          <w:lang w:val="fr-CH"/>
        </w:rPr>
        <w:t xml:space="preserve"> saturation et </w:t>
      </w:r>
      <w:r w:rsidRPr="005046E3">
        <w:rPr>
          <w:i/>
          <w:iCs/>
          <w:lang w:val="fr-CH"/>
        </w:rPr>
        <w:t>N</w:t>
      </w:r>
      <w:r w:rsidRPr="005046E3">
        <w:rPr>
          <w:vertAlign w:val="subscript"/>
          <w:lang w:val="fr-CH"/>
        </w:rPr>
        <w:t>0</w:t>
      </w:r>
      <w:r w:rsidRPr="005046E3">
        <w:rPr>
          <w:lang w:val="fr-CH"/>
        </w:rPr>
        <w:t>; et</w:t>
      </w:r>
    </w:p>
    <w:p w:rsidR="00DF60DE" w:rsidRPr="005046E3" w:rsidRDefault="00DF60DE" w:rsidP="00DF60DE">
      <w:pPr>
        <w:pStyle w:val="Equationlegend"/>
        <w:rPr>
          <w:lang w:val="fr-CH"/>
        </w:rPr>
      </w:pPr>
      <w:r w:rsidRPr="005046E3">
        <w:rPr>
          <w:i/>
          <w:iCs/>
          <w:lang w:val="fr-CH"/>
        </w:rPr>
        <w:tab/>
        <w:t>N</w:t>
      </w:r>
      <w:r w:rsidRPr="005046E3">
        <w:rPr>
          <w:i/>
          <w:iCs/>
          <w:vertAlign w:val="subscript"/>
          <w:lang w:val="fr-CH"/>
        </w:rPr>
        <w:t>LIM</w:t>
      </w:r>
      <w:r w:rsidRPr="005046E3">
        <w:rPr>
          <w:lang w:val="fr-CH"/>
        </w:rPr>
        <w:t>:</w:t>
      </w:r>
      <w:r w:rsidRPr="005046E3">
        <w:rPr>
          <w:lang w:val="fr-CH"/>
        </w:rPr>
        <w:tab/>
        <w:t>rapport (sans unité) entre le niveau de saturation analogique/numérique (A/D) du récepteur et la tension de bruit à 1 </w:t>
      </w:r>
      <w:r>
        <w:rPr>
          <w:szCs w:val="24"/>
        </w:rPr>
        <w:sym w:font="Symbol" w:char="F073"/>
      </w:r>
      <w:r w:rsidRPr="005046E3">
        <w:rPr>
          <w:szCs w:val="24"/>
          <w:lang w:val="fr-CH"/>
        </w:rPr>
        <w:t xml:space="preserve"> établi par un contrôle automatique du gain (AGC).</w:t>
      </w:r>
    </w:p>
    <w:p w:rsidR="00E938B8" w:rsidRDefault="00DF60DE" w:rsidP="00E938B8">
      <w:pPr>
        <w:rPr>
          <w:iCs/>
          <w:lang w:val="fr-CH"/>
        </w:rPr>
      </w:pPr>
      <w:r w:rsidRPr="005046E3">
        <w:rPr>
          <w:lang w:val="fr-CH"/>
        </w:rPr>
        <w:t xml:space="preserve">Tous les termes se rapportant au bruit et au brouillage dans l'équation (5) </w:t>
      </w:r>
      <w:r>
        <w:rPr>
          <w:lang w:val="fr-CH"/>
        </w:rPr>
        <w:t xml:space="preserve">sont </w:t>
      </w:r>
      <w:r w:rsidRPr="005046E3">
        <w:rPr>
          <w:lang w:val="fr-CH"/>
        </w:rPr>
        <w:t>définis par rapport aux terminaux d</w:t>
      </w:r>
      <w:r>
        <w:rPr>
          <w:lang w:val="fr-CH"/>
        </w:rPr>
        <w:t xml:space="preserve">es </w:t>
      </w:r>
      <w:r w:rsidRPr="005046E3">
        <w:rPr>
          <w:lang w:val="fr-CH"/>
        </w:rPr>
        <w:t>antennes passives d</w:t>
      </w:r>
      <w:r>
        <w:rPr>
          <w:lang w:val="fr-CH"/>
        </w:rPr>
        <w:t>es</w:t>
      </w:r>
      <w:r w:rsidRPr="005046E3">
        <w:rPr>
          <w:lang w:val="fr-CH"/>
        </w:rPr>
        <w:t xml:space="preserve"> système</w:t>
      </w:r>
      <w:r>
        <w:rPr>
          <w:lang w:val="fr-CH"/>
        </w:rPr>
        <w:t>s</w:t>
      </w:r>
      <w:r w:rsidRPr="005046E3">
        <w:rPr>
          <w:lang w:val="fr-CH"/>
        </w:rPr>
        <w:t xml:space="preserve"> de réception. Le paramètre </w:t>
      </w:r>
      <w:r w:rsidRPr="005046E3">
        <w:rPr>
          <w:i/>
          <w:iCs/>
          <w:lang w:val="fr-CH"/>
        </w:rPr>
        <w:t>N</w:t>
      </w:r>
      <w:r w:rsidRPr="005046E3">
        <w:rPr>
          <w:i/>
          <w:iCs/>
          <w:vertAlign w:val="subscript"/>
          <w:lang w:val="fr-CH"/>
        </w:rPr>
        <w:t>LIM</w:t>
      </w:r>
      <w:r>
        <w:t>,</w:t>
      </w:r>
      <w:r w:rsidRPr="005046E3">
        <w:rPr>
          <w:lang w:val="fr-CH"/>
        </w:rPr>
        <w:t xml:space="preserve"> </w:t>
      </w:r>
      <w:r>
        <w:rPr>
          <w:lang w:val="fr-CH"/>
        </w:rPr>
        <w:t>qui concerne le</w:t>
      </w:r>
      <w:r w:rsidRPr="005046E3">
        <w:rPr>
          <w:lang w:val="fr-CH"/>
        </w:rPr>
        <w:t xml:space="preserve"> récepteur</w:t>
      </w:r>
      <w:r>
        <w:rPr>
          <w:lang w:val="fr-CH"/>
        </w:rPr>
        <w:t>,</w:t>
      </w:r>
      <w:r w:rsidRPr="005046E3">
        <w:rPr>
          <w:lang w:val="fr-CH"/>
        </w:rPr>
        <w:t xml:space="preserve"> est déterminé par la mise en œuvre de la conversion analogique-numérique. Dans le cas le plus simple d'un récepteur du SRNS à limitation stricte (avec un quantificateur </w:t>
      </w:r>
      <w:r>
        <w:rPr>
          <w:lang w:val="fr-CH"/>
        </w:rPr>
        <w:t>«</w:t>
      </w:r>
      <w:r w:rsidRPr="005046E3">
        <w:rPr>
          <w:lang w:val="fr-CH"/>
        </w:rPr>
        <w:t>1 bit</w:t>
      </w:r>
      <w:r>
        <w:rPr>
          <w:lang w:val="fr-CH"/>
        </w:rPr>
        <w:t>»</w:t>
      </w:r>
      <w:r w:rsidRPr="005046E3">
        <w:rPr>
          <w:lang w:val="fr-CH"/>
        </w:rPr>
        <w:t xml:space="preserve">), </w:t>
      </w:r>
      <w:r w:rsidRPr="005046E3">
        <w:rPr>
          <w:i/>
          <w:iCs/>
          <w:lang w:val="fr-CH"/>
        </w:rPr>
        <w:t>N</w:t>
      </w:r>
      <w:r w:rsidRPr="005046E3">
        <w:rPr>
          <w:i/>
          <w:iCs/>
          <w:vertAlign w:val="subscript"/>
          <w:lang w:val="fr-CH"/>
        </w:rPr>
        <w:t>LIM</w:t>
      </w:r>
      <w:r w:rsidRPr="005046E3">
        <w:rPr>
          <w:lang w:val="fr-CH"/>
        </w:rPr>
        <w:t xml:space="preserve"> = unité. Etant donné que, dans ce cas, le récepteur limite le bruit, le paramètre relatif au brouillage radioélectrique </w:t>
      </w:r>
      <w:r w:rsidRPr="005046E3">
        <w:rPr>
          <w:i/>
          <w:iCs/>
          <w:lang w:val="fr-CH"/>
        </w:rPr>
        <w:t>R</w:t>
      </w:r>
      <w:r w:rsidRPr="005046E3">
        <w:rPr>
          <w:i/>
          <w:iCs/>
          <w:vertAlign w:val="subscript"/>
          <w:lang w:val="fr-CH"/>
        </w:rPr>
        <w:t>I</w:t>
      </w:r>
      <w:r w:rsidRPr="005046E3">
        <w:rPr>
          <w:lang w:val="fr-CH"/>
        </w:rPr>
        <w:t xml:space="preserve"> est </w:t>
      </w:r>
      <w:r>
        <w:rPr>
          <w:lang w:val="fr-CH"/>
        </w:rPr>
        <w:t>normalement</w:t>
      </w:r>
      <w:r w:rsidRPr="005046E3">
        <w:rPr>
          <w:lang w:val="fr-CH"/>
        </w:rPr>
        <w:t xml:space="preserve"> égal à zéro. Dans des cas plus généraux, </w:t>
      </w:r>
      <w:r w:rsidRPr="005046E3">
        <w:rPr>
          <w:i/>
          <w:iCs/>
          <w:lang w:val="fr-CH"/>
        </w:rPr>
        <w:t>R</w:t>
      </w:r>
      <w:r w:rsidRPr="005046E3">
        <w:rPr>
          <w:i/>
          <w:iCs/>
          <w:vertAlign w:val="subscript"/>
          <w:lang w:val="fr-CH"/>
        </w:rPr>
        <w:t>I</w:t>
      </w:r>
      <w:r w:rsidRPr="005046E3">
        <w:rPr>
          <w:lang w:val="fr-CH"/>
        </w:rPr>
        <w:t xml:space="preserve"> </w:t>
      </w:r>
      <w:r>
        <w:rPr>
          <w:lang w:val="fr-CH"/>
        </w:rPr>
        <w:t>se rapporte</w:t>
      </w:r>
      <w:r w:rsidRPr="005046E3">
        <w:rPr>
          <w:lang w:val="fr-CH"/>
        </w:rPr>
        <w:t xml:space="preserve"> au niveau de saturation analogique-numérique du récepteur </w:t>
      </w:r>
      <w:r>
        <w:rPr>
          <w:lang w:val="fr-CH"/>
        </w:rPr>
        <w:t xml:space="preserve">ainsi qu'à </w:t>
      </w:r>
      <w:r w:rsidRPr="005046E3">
        <w:rPr>
          <w:lang w:val="fr-CH"/>
        </w:rPr>
        <w:t>la puissance de crête et</w:t>
      </w:r>
      <w:r>
        <w:rPr>
          <w:lang w:val="fr-CH"/>
        </w:rPr>
        <w:t xml:space="preserve"> au </w:t>
      </w:r>
      <w:r w:rsidRPr="005046E3">
        <w:rPr>
          <w:lang w:val="fr-CH"/>
        </w:rPr>
        <w:t xml:space="preserve">facteur d'utilisation des impulsions de brouillage radioélectrique </w:t>
      </w:r>
      <w:r>
        <w:rPr>
          <w:lang w:val="fr-CH"/>
        </w:rPr>
        <w:t>au</w:t>
      </w:r>
      <w:r>
        <w:rPr>
          <w:lang w:val="fr-CH"/>
        </w:rPr>
        <w:noBreakHyphen/>
        <w:t>dessous du niveau de</w:t>
      </w:r>
      <w:r w:rsidRPr="005046E3">
        <w:rPr>
          <w:lang w:val="fr-CH"/>
        </w:rPr>
        <w:t xml:space="preserve"> saturation qui sont définis de la même manière que dans l'équation (2). Comme dans l'équation (1), les termes </w:t>
      </w:r>
      <w:r w:rsidRPr="005046E3">
        <w:rPr>
          <w:i/>
          <w:iCs/>
          <w:lang w:val="fr-CH"/>
        </w:rPr>
        <w:t>PDC</w:t>
      </w:r>
      <w:r w:rsidRPr="005046E3">
        <w:rPr>
          <w:i/>
          <w:iCs/>
          <w:vertAlign w:val="subscript"/>
          <w:lang w:val="fr-CH"/>
        </w:rPr>
        <w:t>LIM</w:t>
      </w:r>
      <w:r w:rsidRPr="005046E3">
        <w:rPr>
          <w:iCs/>
          <w:lang w:val="fr-CH"/>
        </w:rPr>
        <w:t xml:space="preserve"> et </w:t>
      </w:r>
      <w:r w:rsidRPr="005046E3">
        <w:rPr>
          <w:i/>
          <w:iCs/>
          <w:lang w:val="fr-CH"/>
        </w:rPr>
        <w:t>R</w:t>
      </w:r>
      <w:r w:rsidRPr="005046E3">
        <w:rPr>
          <w:i/>
          <w:iCs/>
          <w:vertAlign w:val="subscript"/>
          <w:lang w:val="fr-CH"/>
        </w:rPr>
        <w:t>I</w:t>
      </w:r>
      <w:r w:rsidRPr="005046E3">
        <w:rPr>
          <w:iCs/>
          <w:lang w:val="fr-CH"/>
        </w:rPr>
        <w:t xml:space="preserve"> repr</w:t>
      </w:r>
      <w:r>
        <w:rPr>
          <w:iCs/>
          <w:lang w:val="fr-CH"/>
        </w:rPr>
        <w:t>é</w:t>
      </w:r>
      <w:r w:rsidRPr="005046E3">
        <w:rPr>
          <w:iCs/>
          <w:lang w:val="fr-CH"/>
        </w:rPr>
        <w:t>sentent les valeurs cumul</w:t>
      </w:r>
      <w:r>
        <w:rPr>
          <w:iCs/>
          <w:lang w:val="fr-CH"/>
        </w:rPr>
        <w:t>atives</w:t>
      </w:r>
      <w:r w:rsidRPr="005046E3">
        <w:rPr>
          <w:iCs/>
          <w:lang w:val="fr-CH"/>
        </w:rPr>
        <w:t xml:space="preserve"> des sources de brouillage radioélectrique par impulsions con</w:t>
      </w:r>
      <w:r>
        <w:rPr>
          <w:iCs/>
          <w:lang w:val="fr-CH"/>
        </w:rPr>
        <w:t>sidérées</w:t>
      </w:r>
      <w:r w:rsidRPr="005046E3">
        <w:rPr>
          <w:iCs/>
          <w:lang w:val="fr-CH"/>
        </w:rPr>
        <w:t xml:space="preserve">. Il faut en outre noter </w:t>
      </w:r>
      <w:r>
        <w:rPr>
          <w:iCs/>
          <w:lang w:val="fr-CH"/>
        </w:rPr>
        <w:t>que lorsqu'il n'y a pas</w:t>
      </w:r>
      <w:r w:rsidRPr="005046E3">
        <w:rPr>
          <w:iCs/>
          <w:lang w:val="fr-CH"/>
        </w:rPr>
        <w:t xml:space="preserve"> de brouillage radioélectrique</w:t>
      </w:r>
      <w:r>
        <w:rPr>
          <w:iCs/>
          <w:lang w:val="fr-CH"/>
        </w:rPr>
        <w:t xml:space="preserve"> par impulsions</w:t>
      </w:r>
      <w:r w:rsidRPr="005046E3">
        <w:rPr>
          <w:iCs/>
          <w:lang w:val="fr-CH"/>
        </w:rPr>
        <w:t>,</w:t>
      </w:r>
    </w:p>
    <w:p w:rsidR="00E938B8" w:rsidRDefault="00E938B8">
      <w:pPr>
        <w:tabs>
          <w:tab w:val="clear" w:pos="794"/>
          <w:tab w:val="clear" w:pos="1191"/>
          <w:tab w:val="clear" w:pos="1588"/>
          <w:tab w:val="clear" w:pos="1985"/>
        </w:tabs>
        <w:overflowPunct/>
        <w:autoSpaceDE/>
        <w:autoSpaceDN/>
        <w:adjustRightInd/>
        <w:spacing w:before="0"/>
        <w:jc w:val="left"/>
        <w:textAlignment w:val="auto"/>
        <w:rPr>
          <w:iCs/>
          <w:lang w:val="fr-CH"/>
        </w:rPr>
      </w:pPr>
      <w:r>
        <w:rPr>
          <w:iCs/>
          <w:lang w:val="fr-CH"/>
        </w:rPr>
        <w:br w:type="page"/>
      </w:r>
    </w:p>
    <w:p w:rsidR="00DF60DE" w:rsidRPr="005046E3" w:rsidRDefault="00DF60DE" w:rsidP="00E938B8">
      <w:pPr>
        <w:rPr>
          <w:lang w:val="fr-CH"/>
        </w:rPr>
      </w:pPr>
      <w:r w:rsidRPr="005046E3">
        <w:rPr>
          <w:iCs/>
          <w:lang w:val="fr-CH"/>
        </w:rPr>
        <w:lastRenderedPageBreak/>
        <w:t>les paramètres</w:t>
      </w:r>
      <w:r w:rsidRPr="005046E3">
        <w:rPr>
          <w:lang w:val="fr-CH"/>
        </w:rPr>
        <w:t xml:space="preserve">, </w:t>
      </w:r>
      <w:r w:rsidRPr="005046E3">
        <w:rPr>
          <w:i/>
          <w:iCs/>
          <w:lang w:val="fr-CH"/>
        </w:rPr>
        <w:t>PDC</w:t>
      </w:r>
      <w:r w:rsidRPr="005046E3">
        <w:rPr>
          <w:i/>
          <w:iCs/>
          <w:vertAlign w:val="subscript"/>
          <w:lang w:val="fr-CH"/>
        </w:rPr>
        <w:t>LIM</w:t>
      </w:r>
      <w:r w:rsidRPr="005046E3">
        <w:rPr>
          <w:lang w:val="fr-CH"/>
        </w:rPr>
        <w:t xml:space="preserve"> et </w:t>
      </w:r>
      <w:r w:rsidRPr="005046E3">
        <w:rPr>
          <w:i/>
          <w:iCs/>
          <w:lang w:val="fr-CH"/>
        </w:rPr>
        <w:t>R</w:t>
      </w:r>
      <w:r w:rsidRPr="005046E3">
        <w:rPr>
          <w:i/>
          <w:iCs/>
          <w:vertAlign w:val="subscript"/>
          <w:lang w:val="fr-CH"/>
        </w:rPr>
        <w:t>I</w:t>
      </w:r>
      <w:r w:rsidRPr="005046E3">
        <w:rPr>
          <w:lang w:val="fr-CH"/>
        </w:rPr>
        <w:t xml:space="preserve"> </w:t>
      </w:r>
      <w:r>
        <w:rPr>
          <w:lang w:val="fr-CH"/>
        </w:rPr>
        <w:t>relatifs au brouillage radioélectrique</w:t>
      </w:r>
      <w:r w:rsidRPr="005046E3">
        <w:rPr>
          <w:lang w:val="fr-CH"/>
        </w:rPr>
        <w:t xml:space="preserve"> sont égaux à zéro et l'équation (5) est réduite à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 </w:t>
      </w:r>
      <w:r w:rsidRPr="005046E3">
        <w:rPr>
          <w:i/>
          <w:iCs/>
          <w:lang w:val="fr-CH"/>
        </w:rPr>
        <w:t>N</w:t>
      </w:r>
      <w:r w:rsidRPr="005046E3">
        <w:rPr>
          <w:vertAlign w:val="subscript"/>
          <w:lang w:val="fr-CH"/>
        </w:rPr>
        <w:t>0</w:t>
      </w:r>
      <w:r w:rsidRPr="005046E3">
        <w:rPr>
          <w:lang w:val="fr-CH"/>
        </w:rPr>
        <w:t xml:space="preserve"> + </w:t>
      </w:r>
      <w:r w:rsidRPr="005046E3">
        <w:rPr>
          <w:i/>
          <w:iCs/>
          <w:lang w:val="fr-CH"/>
        </w:rPr>
        <w:t>I</w:t>
      </w:r>
      <w:r w:rsidRPr="005046E3">
        <w:rPr>
          <w:vertAlign w:val="subscript"/>
          <w:lang w:val="fr-CH"/>
        </w:rPr>
        <w:t>0,</w:t>
      </w:r>
      <w:r w:rsidRPr="005046E3">
        <w:rPr>
          <w:i/>
          <w:iCs/>
          <w:vertAlign w:val="subscript"/>
          <w:lang w:val="fr-CH"/>
        </w:rPr>
        <w:t>WB</w:t>
      </w:r>
      <w:r w:rsidRPr="005046E3">
        <w:rPr>
          <w:lang w:val="fr-CH"/>
        </w:rPr>
        <w:t xml:space="preserve">, </w:t>
      </w:r>
      <w:r>
        <w:rPr>
          <w:lang w:val="fr-CH"/>
        </w:rPr>
        <w:t xml:space="preserve">ce qui correspond à la </w:t>
      </w:r>
      <w:r w:rsidRPr="005046E3">
        <w:rPr>
          <w:lang w:val="fr-CH"/>
        </w:rPr>
        <w:t xml:space="preserve">définition </w:t>
      </w:r>
      <w:r>
        <w:rPr>
          <w:lang w:val="fr-CH"/>
        </w:rPr>
        <w:t>couramment</w:t>
      </w:r>
      <w:r w:rsidRPr="005046E3">
        <w:rPr>
          <w:lang w:val="fr-CH"/>
        </w:rPr>
        <w:t xml:space="preserve"> utilisée pour l</w:t>
      </w:r>
      <w:r>
        <w:rPr>
          <w:lang w:val="fr-CH"/>
        </w:rPr>
        <w:t xml:space="preserve">es </w:t>
      </w:r>
      <w:r w:rsidRPr="005046E3">
        <w:rPr>
          <w:lang w:val="fr-CH"/>
        </w:rPr>
        <w:t>analyse</w:t>
      </w:r>
      <w:r>
        <w:rPr>
          <w:lang w:val="fr-CH"/>
        </w:rPr>
        <w:t>s</w:t>
      </w:r>
      <w:r w:rsidRPr="005046E3">
        <w:rPr>
          <w:lang w:val="fr-CH"/>
        </w:rPr>
        <w:t xml:space="preserve"> du brouillage radioélectrique continu.</w:t>
      </w:r>
    </w:p>
    <w:p w:rsidR="00DF60DE" w:rsidRPr="005046E3" w:rsidRDefault="00DF60DE" w:rsidP="00DF60DE">
      <w:pPr>
        <w:rPr>
          <w:iCs/>
          <w:lang w:val="fr-CH"/>
        </w:rPr>
      </w:pPr>
      <w:r w:rsidRPr="005046E3">
        <w:rPr>
          <w:lang w:val="fr-CH"/>
        </w:rPr>
        <w:t>Le facteur d'utilisation</w:t>
      </w:r>
      <w:r>
        <w:rPr>
          <w:lang w:val="fr-CH"/>
        </w:rPr>
        <w:t>, au niveau de saturation,</w:t>
      </w:r>
      <w:r w:rsidRPr="005046E3">
        <w:rPr>
          <w:lang w:val="fr-CH"/>
        </w:rPr>
        <w:t xml:space="preserve"> de</w:t>
      </w:r>
      <w:r>
        <w:rPr>
          <w:lang w:val="fr-CH"/>
        </w:rPr>
        <w:t xml:space="preserve">s impulsions </w:t>
      </w:r>
      <w:r w:rsidRPr="005046E3">
        <w:rPr>
          <w:lang w:val="fr-CH"/>
        </w:rPr>
        <w:t xml:space="preserve">d'une source donnée, </w:t>
      </w:r>
      <w:r w:rsidRPr="005046E3">
        <w:rPr>
          <w:i/>
          <w:iCs/>
          <w:lang w:val="fr-CH"/>
        </w:rPr>
        <w:t>PDC</w:t>
      </w:r>
      <w:r w:rsidRPr="005046E3">
        <w:rPr>
          <w:i/>
          <w:iCs/>
          <w:vertAlign w:val="subscript"/>
          <w:lang w:val="fr-CH"/>
        </w:rPr>
        <w:t>LIM,j</w:t>
      </w:r>
      <w:r w:rsidRPr="005046E3">
        <w:rPr>
          <w:i/>
          <w:iCs/>
          <w:lang w:val="fr-CH"/>
        </w:rPr>
        <w:t xml:space="preserve">, </w:t>
      </w:r>
      <w:r w:rsidRPr="005046E3">
        <w:rPr>
          <w:iCs/>
          <w:lang w:val="fr-CH"/>
        </w:rPr>
        <w:t xml:space="preserve">qui </w:t>
      </w:r>
      <w:r>
        <w:rPr>
          <w:iCs/>
          <w:lang w:val="fr-CH"/>
        </w:rPr>
        <w:t xml:space="preserve">constitue </w:t>
      </w:r>
      <w:r w:rsidRPr="005046E3">
        <w:rPr>
          <w:iCs/>
          <w:lang w:val="fr-CH"/>
        </w:rPr>
        <w:t>le facteur d'utilisation cumulatif</w:t>
      </w:r>
      <w:r>
        <w:rPr>
          <w:iCs/>
          <w:lang w:val="fr-CH"/>
        </w:rPr>
        <w:t>,</w:t>
      </w:r>
      <w:r w:rsidRPr="005046E3">
        <w:rPr>
          <w:iCs/>
          <w:lang w:val="fr-CH"/>
        </w:rPr>
        <w:t xml:space="preserve"> est défini </w:t>
      </w:r>
      <w:r w:rsidRPr="005046E3">
        <w:rPr>
          <w:noProof/>
          <w:lang w:val="fr-CH"/>
        </w:rPr>
        <w:t xml:space="preserve">de </w:t>
      </w:r>
      <w:r>
        <w:rPr>
          <w:noProof/>
          <w:lang w:val="fr-CH"/>
        </w:rPr>
        <w:t xml:space="preserve">la </w:t>
      </w:r>
      <w:r w:rsidRPr="005046E3">
        <w:rPr>
          <w:noProof/>
          <w:lang w:val="fr-CH"/>
        </w:rPr>
        <w:t xml:space="preserve">manière </w:t>
      </w:r>
      <w:r>
        <w:rPr>
          <w:noProof/>
          <w:lang w:val="fr-CH"/>
        </w:rPr>
        <w:t>que pour l'équation</w:t>
      </w:r>
      <w:r w:rsidRPr="005046E3">
        <w:rPr>
          <w:noProof/>
          <w:lang w:val="fr-CH"/>
        </w:rPr>
        <w:t xml:space="preserve"> (3a), </w:t>
      </w:r>
      <w:r>
        <w:rPr>
          <w:noProof/>
          <w:lang w:val="fr-CH"/>
        </w:rPr>
        <w:t xml:space="preserve">sauf en ce qui </w:t>
      </w:r>
      <w:r w:rsidRPr="005046E3">
        <w:rPr>
          <w:noProof/>
          <w:lang w:val="fr-CH"/>
        </w:rPr>
        <w:t xml:space="preserve">concerne le niveau de saturation à l'entrée du récepteur (dont une approximation est donnée par le niveau de compression à l'entrée du récepteur présenté dans le tableau). Le facteur d'utilisation </w:t>
      </w:r>
      <w:r>
        <w:rPr>
          <w:noProof/>
          <w:lang w:val="fr-CH"/>
        </w:rPr>
        <w:t>au</w:t>
      </w:r>
      <w:r>
        <w:rPr>
          <w:noProof/>
          <w:lang w:val="fr-CH"/>
        </w:rPr>
        <w:noBreakHyphen/>
        <w:t xml:space="preserve">dessous du niveau de </w:t>
      </w:r>
      <w:r w:rsidRPr="005046E3">
        <w:rPr>
          <w:noProof/>
          <w:lang w:val="fr-CH"/>
        </w:rPr>
        <w:t xml:space="preserve">saturation pour une source donnée est défini de </w:t>
      </w:r>
      <w:r>
        <w:rPr>
          <w:noProof/>
          <w:lang w:val="fr-CH"/>
        </w:rPr>
        <w:t xml:space="preserve">la même </w:t>
      </w:r>
      <w:r w:rsidRPr="005046E3">
        <w:rPr>
          <w:noProof/>
          <w:lang w:val="fr-CH"/>
        </w:rPr>
        <w:t xml:space="preserve">manière </w:t>
      </w:r>
      <w:r>
        <w:rPr>
          <w:noProof/>
          <w:lang w:val="fr-CH"/>
        </w:rPr>
        <w:t xml:space="preserve">que pour </w:t>
      </w:r>
      <w:r w:rsidRPr="005046E3">
        <w:rPr>
          <w:noProof/>
          <w:lang w:val="fr-CH"/>
        </w:rPr>
        <w:t>l'équation (4a).</w:t>
      </w:r>
    </w:p>
    <w:p w:rsidR="00DF60DE" w:rsidRPr="005046E3" w:rsidRDefault="00DF60DE" w:rsidP="00DF60DE">
      <w:pPr>
        <w:rPr>
          <w:lang w:val="fr-CH"/>
        </w:rPr>
      </w:pPr>
      <w:r w:rsidRPr="005046E3">
        <w:rPr>
          <w:lang w:val="fr-CH"/>
        </w:rPr>
        <w:t xml:space="preserve">Avec une valeur maximale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et l'ensemble de paramètres se rapportant au brouillage radioélectrique par impulsions, l'équation (5) peut être résolue pour la densité spectrale de puissance large bande </w:t>
      </w:r>
      <w:r>
        <w:rPr>
          <w:lang w:val="fr-CH"/>
        </w:rPr>
        <w:t xml:space="preserve">continue </w:t>
      </w:r>
      <w:r w:rsidRPr="005046E3">
        <w:rPr>
          <w:lang w:val="fr-CH"/>
        </w:rPr>
        <w:t xml:space="preserve">cumulative admissible pour la </w:t>
      </w:r>
      <w:r>
        <w:rPr>
          <w:lang w:val="fr-CH"/>
        </w:rPr>
        <w:t>composante</w:t>
      </w:r>
      <w:r w:rsidRPr="005046E3">
        <w:rPr>
          <w:lang w:val="fr-CH"/>
        </w:rPr>
        <w:t xml:space="preserve"> du brouillage </w:t>
      </w:r>
      <w:r>
        <w:rPr>
          <w:lang w:val="fr-CH"/>
        </w:rPr>
        <w:t xml:space="preserve">qui </w:t>
      </w:r>
      <w:r w:rsidRPr="005046E3">
        <w:rPr>
          <w:lang w:val="fr-CH"/>
        </w:rPr>
        <w:t>ne concern</w:t>
      </w:r>
      <w:r>
        <w:rPr>
          <w:lang w:val="fr-CH"/>
        </w:rPr>
        <w:t>e pas le </w:t>
      </w:r>
      <w:r w:rsidRPr="005046E3">
        <w:rPr>
          <w:lang w:val="fr-CH"/>
        </w:rPr>
        <w:t>SRNS.</w:t>
      </w:r>
    </w:p>
    <w:p w:rsidR="00DF60DE" w:rsidRPr="005046E3" w:rsidRDefault="00DF60DE" w:rsidP="00DF60DE">
      <w:pPr>
        <w:pStyle w:val="Heading2"/>
        <w:rPr>
          <w:lang w:val="fr-CH"/>
        </w:rPr>
      </w:pPr>
      <w:r w:rsidRPr="005046E3">
        <w:rPr>
          <w:lang w:val="fr-CH"/>
        </w:rPr>
        <w:t>2.3</w:t>
      </w:r>
      <w:r w:rsidRPr="005046E3">
        <w:rPr>
          <w:lang w:val="fr-CH"/>
        </w:rPr>
        <w:tab/>
        <w:t>Limites d'utilisation pour les équations</w:t>
      </w:r>
      <w:r>
        <w:rPr>
          <w:lang w:val="fr-CH"/>
        </w:rPr>
        <w:t xml:space="preserve"> de calcul de </w:t>
      </w:r>
      <w:r w:rsidRPr="005046E3">
        <w:rPr>
          <w:lang w:val="fr-CH"/>
        </w:rPr>
        <w:t>la densité spectrale de puissance d</w:t>
      </w:r>
      <w:r>
        <w:rPr>
          <w:lang w:val="fr-CH"/>
        </w:rPr>
        <w:t>e</w:t>
      </w:r>
      <w:r w:rsidRPr="005046E3">
        <w:rPr>
          <w:lang w:val="fr-CH"/>
        </w:rPr>
        <w:t xml:space="preserve"> bruit équivalente (</w:t>
      </w:r>
      <w:r w:rsidRPr="005046E3">
        <w:rPr>
          <w:i/>
          <w:lang w:val="fr-CH"/>
        </w:rPr>
        <w:t>N</w:t>
      </w:r>
      <w:r w:rsidRPr="005046E3">
        <w:rPr>
          <w:vertAlign w:val="subscript"/>
          <w:lang w:val="fr-CH"/>
        </w:rPr>
        <w:t>0,</w:t>
      </w:r>
      <w:r w:rsidRPr="005046E3">
        <w:rPr>
          <w:i/>
          <w:vertAlign w:val="subscript"/>
          <w:lang w:val="fr-CH"/>
        </w:rPr>
        <w:t>EFF</w:t>
      </w:r>
      <w:r w:rsidR="008649DF">
        <w:rPr>
          <w:lang w:val="fr-CH"/>
        </w:rPr>
        <w:t>)</w:t>
      </w:r>
    </w:p>
    <w:p w:rsidR="00DF60DE" w:rsidRPr="005046E3" w:rsidRDefault="00DF60DE" w:rsidP="00DF60DE">
      <w:pPr>
        <w:rPr>
          <w:iCs/>
          <w:lang w:val="fr-CH"/>
        </w:rPr>
      </w:pPr>
      <w:r>
        <w:rPr>
          <w:iCs/>
          <w:lang w:val="fr-CH"/>
        </w:rPr>
        <w:t>Il a été démontré que, l</w:t>
      </w:r>
      <w:r w:rsidRPr="005046E3">
        <w:rPr>
          <w:iCs/>
          <w:lang w:val="fr-CH"/>
        </w:rPr>
        <w:t>orsque la valeur de la durée des impulsions de brouillage radioélectrique est comprise entre 0,1 et 1</w:t>
      </w:r>
      <w:r>
        <w:rPr>
          <w:iCs/>
          <w:lang w:val="fr-CH"/>
        </w:rPr>
        <w:t> </w:t>
      </w:r>
      <w:r w:rsidRPr="005046E3">
        <w:rPr>
          <w:iCs/>
          <w:lang w:val="fr-CH"/>
        </w:rPr>
        <w:t xml:space="preserve">000 microsecondes, les équations </w:t>
      </w:r>
      <w:r>
        <w:rPr>
          <w:iCs/>
          <w:lang w:val="fr-CH"/>
        </w:rPr>
        <w:t>définissant</w:t>
      </w:r>
      <w:r w:rsidRPr="005046E3">
        <w:rPr>
          <w:lang w:val="fr-CH"/>
        </w:rPr>
        <w:t xml:space="preserve"> </w:t>
      </w:r>
      <w:r w:rsidRPr="005046E3">
        <w:rPr>
          <w:i/>
          <w:iCs/>
          <w:lang w:val="fr-CH"/>
        </w:rPr>
        <w:t>N</w:t>
      </w:r>
      <w:r w:rsidRPr="005046E3">
        <w:rPr>
          <w:vertAlign w:val="subscript"/>
          <w:lang w:val="fr-CH"/>
        </w:rPr>
        <w:t>0,</w:t>
      </w:r>
      <w:r w:rsidRPr="005046E3">
        <w:rPr>
          <w:i/>
          <w:iCs/>
          <w:vertAlign w:val="subscript"/>
          <w:lang w:val="fr-CH"/>
        </w:rPr>
        <w:t>EFF</w:t>
      </w:r>
      <w:r w:rsidRPr="005046E3">
        <w:rPr>
          <w:iCs/>
          <w:lang w:val="fr-CH"/>
        </w:rPr>
        <w:t xml:space="preserve"> </w:t>
      </w:r>
      <w:r>
        <w:rPr>
          <w:iCs/>
          <w:lang w:val="fr-CH"/>
        </w:rPr>
        <w:t>décrites</w:t>
      </w:r>
      <w:r w:rsidRPr="005046E3">
        <w:rPr>
          <w:iCs/>
          <w:lang w:val="fr-CH"/>
        </w:rPr>
        <w:t xml:space="preserve"> dans les </w:t>
      </w:r>
      <w:r>
        <w:rPr>
          <w:iCs/>
          <w:lang w:val="fr-CH"/>
        </w:rPr>
        <w:t>§ 2.1 et </w:t>
      </w:r>
      <w:r w:rsidRPr="005046E3">
        <w:rPr>
          <w:iCs/>
          <w:lang w:val="fr-CH"/>
        </w:rPr>
        <w:t xml:space="preserve">2.2 ci-dessus représentent correctement l'effet du brouillage radioélectrique par impulsions sur les récepteurs du SRNS en mode poursuite dans les bandes 1 164-1 215 MHz et 1 215-1 300 MHz. </w:t>
      </w:r>
      <w:r>
        <w:rPr>
          <w:iCs/>
          <w:lang w:val="fr-CH"/>
        </w:rPr>
        <w:t xml:space="preserve">Dans le cas de </w:t>
      </w:r>
      <w:r w:rsidRPr="005046E3">
        <w:rPr>
          <w:iCs/>
          <w:lang w:val="fr-CH"/>
        </w:rPr>
        <w:t>certains récepteurs du SRNS fonctionnant en</w:t>
      </w:r>
      <w:r>
        <w:rPr>
          <w:iCs/>
          <w:lang w:val="fr-CH"/>
        </w:rPr>
        <w:t xml:space="preserve"> mode </w:t>
      </w:r>
      <w:r w:rsidRPr="005046E3">
        <w:rPr>
          <w:iCs/>
          <w:lang w:val="fr-CH"/>
        </w:rPr>
        <w:t>acquisition, les équations représentent également correctement l'effet du brouillage radioélectrique par impulsions pour ce même éventail de valeurs de durées des impulsions de brouillage radioélectrique, à condition que les facteurs d'utilisation des impulsions associés restent modérés.</w:t>
      </w:r>
    </w:p>
    <w:p w:rsidR="00DF60DE" w:rsidRPr="005046E3" w:rsidRDefault="00DF60DE" w:rsidP="00DF60DE">
      <w:pPr>
        <w:rPr>
          <w:iCs/>
          <w:lang w:val="fr-CH"/>
        </w:rPr>
      </w:pPr>
      <w:r>
        <w:rPr>
          <w:iCs/>
          <w:lang w:val="fr-CH"/>
        </w:rPr>
        <w:t xml:space="preserve">Dans le cas de </w:t>
      </w:r>
      <w:r w:rsidRPr="005046E3">
        <w:rPr>
          <w:iCs/>
          <w:lang w:val="fr-CH"/>
        </w:rPr>
        <w:t xml:space="preserve">certains récepteurs du SRNS fonctionnant en mode acquisition avec un temps d'intégration </w:t>
      </w:r>
      <w:r>
        <w:rPr>
          <w:iCs/>
          <w:lang w:val="fr-CH"/>
        </w:rPr>
        <w:t xml:space="preserve">court </w:t>
      </w:r>
      <w:r w:rsidRPr="005046E3">
        <w:rPr>
          <w:iCs/>
          <w:lang w:val="fr-CH"/>
        </w:rPr>
        <w:t xml:space="preserve">(environ </w:t>
      </w:r>
      <w:r w:rsidRPr="005046E3">
        <w:rPr>
          <w:lang w:val="fr-CH" w:eastAsia="ru-RU"/>
        </w:rPr>
        <w:t>1</w:t>
      </w:r>
      <w:r w:rsidRPr="005046E3">
        <w:rPr>
          <w:lang w:val="fr-CH" w:eastAsia="ru-RU"/>
        </w:rPr>
        <w:noBreakHyphen/>
        <w:t xml:space="preserve">2 ms), les équations présentées dans les </w:t>
      </w:r>
      <w:r>
        <w:rPr>
          <w:lang w:val="fr-CH" w:eastAsia="ru-RU"/>
        </w:rPr>
        <w:t>§ </w:t>
      </w:r>
      <w:r w:rsidRPr="005046E3">
        <w:rPr>
          <w:lang w:val="fr-CH" w:eastAsia="ru-RU"/>
        </w:rPr>
        <w:t xml:space="preserve">2.1 et 2.2 </w:t>
      </w:r>
      <w:r>
        <w:rPr>
          <w:lang w:val="fr-CH" w:eastAsia="ru-RU"/>
        </w:rPr>
        <w:t xml:space="preserve">risquent de </w:t>
      </w:r>
      <w:r w:rsidRPr="005046E3">
        <w:rPr>
          <w:lang w:val="fr-CH" w:eastAsia="ru-RU"/>
        </w:rPr>
        <w:t>ne</w:t>
      </w:r>
      <w:r>
        <w:rPr>
          <w:lang w:val="fr-CH" w:eastAsia="ru-RU"/>
        </w:rPr>
        <w:t xml:space="preserve"> pas </w:t>
      </w:r>
      <w:r w:rsidRPr="005046E3">
        <w:rPr>
          <w:lang w:val="fr-CH" w:eastAsia="ru-RU"/>
        </w:rPr>
        <w:t>représente</w:t>
      </w:r>
      <w:r>
        <w:rPr>
          <w:lang w:val="fr-CH" w:eastAsia="ru-RU"/>
        </w:rPr>
        <w:t>r</w:t>
      </w:r>
      <w:r w:rsidRPr="005046E3">
        <w:rPr>
          <w:lang w:val="fr-CH" w:eastAsia="ru-RU"/>
        </w:rPr>
        <w:t xml:space="preserve"> correctement l'effet du brouillage radioélectrique par impulsions pour ce même éventail de valeurs de</w:t>
      </w:r>
      <w:r>
        <w:rPr>
          <w:lang w:val="fr-CH" w:eastAsia="ru-RU"/>
        </w:rPr>
        <w:t>s</w:t>
      </w:r>
      <w:r w:rsidRPr="005046E3">
        <w:rPr>
          <w:lang w:val="fr-CH" w:eastAsia="ru-RU"/>
        </w:rPr>
        <w:t xml:space="preserve"> durée</w:t>
      </w:r>
      <w:r>
        <w:rPr>
          <w:lang w:val="fr-CH" w:eastAsia="ru-RU"/>
        </w:rPr>
        <w:t>s</w:t>
      </w:r>
      <w:r w:rsidRPr="005046E3">
        <w:rPr>
          <w:lang w:val="fr-CH" w:eastAsia="ru-RU"/>
        </w:rPr>
        <w:t xml:space="preserve"> des impulsions de brouillage radioélectrique lorsque les facteurs d'utilisation des impulsions sont élevés (y compris dans la bande</w:t>
      </w:r>
      <w:r w:rsidRPr="005046E3">
        <w:rPr>
          <w:iCs/>
          <w:lang w:val="fr-CH"/>
        </w:rPr>
        <w:t xml:space="preserve"> 1 559-1 610 MHz). Il faut par conséquent procéder à un complément d'étude pour déterminer les limites d'utilisation </w:t>
      </w:r>
      <w:r>
        <w:rPr>
          <w:iCs/>
          <w:lang w:val="fr-CH"/>
        </w:rPr>
        <w:t xml:space="preserve">lorsque les </w:t>
      </w:r>
      <w:r w:rsidRPr="005046E3">
        <w:rPr>
          <w:iCs/>
          <w:lang w:val="fr-CH"/>
        </w:rPr>
        <w:t>facteur</w:t>
      </w:r>
      <w:r>
        <w:rPr>
          <w:iCs/>
          <w:lang w:val="fr-CH"/>
        </w:rPr>
        <w:t>s</w:t>
      </w:r>
      <w:r w:rsidRPr="005046E3">
        <w:rPr>
          <w:iCs/>
          <w:lang w:val="fr-CH"/>
        </w:rPr>
        <w:t xml:space="preserve"> d'utilisation </w:t>
      </w:r>
      <w:r>
        <w:rPr>
          <w:iCs/>
          <w:lang w:val="fr-CH"/>
        </w:rPr>
        <w:t xml:space="preserve">sont </w:t>
      </w:r>
      <w:r w:rsidRPr="005046E3">
        <w:rPr>
          <w:iCs/>
          <w:lang w:val="fr-CH"/>
        </w:rPr>
        <w:t>élevé</w:t>
      </w:r>
      <w:r>
        <w:rPr>
          <w:iCs/>
          <w:lang w:val="fr-CH"/>
        </w:rPr>
        <w:t>s</w:t>
      </w:r>
      <w:r w:rsidRPr="005046E3">
        <w:rPr>
          <w:iCs/>
          <w:lang w:val="fr-CH"/>
        </w:rPr>
        <w:t xml:space="preserve"> et </w:t>
      </w:r>
      <w:r>
        <w:rPr>
          <w:iCs/>
          <w:lang w:val="fr-CH"/>
        </w:rPr>
        <w:t xml:space="preserve">que les </w:t>
      </w:r>
      <w:r w:rsidRPr="005046E3">
        <w:rPr>
          <w:iCs/>
          <w:lang w:val="fr-CH"/>
        </w:rPr>
        <w:t xml:space="preserve">impulsions de brouillage </w:t>
      </w:r>
      <w:r>
        <w:rPr>
          <w:iCs/>
          <w:lang w:val="fr-CH"/>
        </w:rPr>
        <w:t xml:space="preserve">sont longues, </w:t>
      </w:r>
      <w:r w:rsidRPr="005046E3">
        <w:rPr>
          <w:iCs/>
          <w:lang w:val="fr-CH"/>
        </w:rPr>
        <w:t>et vérifier les pré</w:t>
      </w:r>
      <w:r>
        <w:rPr>
          <w:iCs/>
          <w:lang w:val="fr-CH"/>
        </w:rPr>
        <w:t>dictions</w:t>
      </w:r>
      <w:r w:rsidRPr="005046E3">
        <w:rPr>
          <w:iCs/>
          <w:lang w:val="fr-CH"/>
        </w:rPr>
        <w:t xml:space="preserve"> obtenues grâce aux équations.</w:t>
      </w:r>
    </w:p>
    <w:p w:rsidR="00DF60DE" w:rsidRPr="005046E3" w:rsidRDefault="00DF60DE" w:rsidP="00DF60DE">
      <w:pPr>
        <w:pStyle w:val="Heading1"/>
        <w:rPr>
          <w:lang w:val="fr-CH"/>
        </w:rPr>
      </w:pPr>
      <w:r w:rsidRPr="005046E3">
        <w:rPr>
          <w:lang w:val="fr-CH"/>
        </w:rPr>
        <w:t>3</w:t>
      </w:r>
      <w:r w:rsidRPr="005046E3">
        <w:rPr>
          <w:lang w:val="fr-CH"/>
        </w:rPr>
        <w:tab/>
        <w:t>Concepts utilisés dans l</w:t>
      </w:r>
      <w:r>
        <w:rPr>
          <w:lang w:val="fr-CH"/>
        </w:rPr>
        <w:t>a méthode</w:t>
      </w:r>
      <w:r w:rsidRPr="005046E3">
        <w:rPr>
          <w:lang w:val="fr-CH"/>
        </w:rPr>
        <w:t xml:space="preserve"> d'évaluation du brouillage radioélectrique par impulsions</w:t>
      </w:r>
    </w:p>
    <w:p w:rsidR="00DF60DE" w:rsidRPr="005046E3" w:rsidRDefault="00DF60DE" w:rsidP="00DF60DE">
      <w:pPr>
        <w:rPr>
          <w:lang w:val="fr-CH"/>
        </w:rPr>
      </w:pPr>
      <w:r w:rsidRPr="005046E3">
        <w:rPr>
          <w:lang w:val="fr-CH"/>
        </w:rPr>
        <w:t xml:space="preserve">Les effets </w:t>
      </w:r>
      <w:r>
        <w:rPr>
          <w:lang w:val="fr-CH"/>
        </w:rPr>
        <w:t>combinés</w:t>
      </w:r>
      <w:r w:rsidRPr="005046E3">
        <w:rPr>
          <w:lang w:val="fr-CH"/>
        </w:rPr>
        <w:t xml:space="preserve"> du brouillage radioélectrique par impulsions et du brouillage radioélectrique continu sur deux types classiques de récepteur</w:t>
      </w:r>
      <w:r>
        <w:rPr>
          <w:lang w:val="fr-CH"/>
        </w:rPr>
        <w:t>s</w:t>
      </w:r>
      <w:r w:rsidRPr="005046E3">
        <w:rPr>
          <w:lang w:val="fr-CH"/>
        </w:rPr>
        <w:t xml:space="preserve"> du SRNS sont décrits au </w:t>
      </w:r>
      <w:r>
        <w:rPr>
          <w:lang w:val="fr-CH"/>
        </w:rPr>
        <w:t>§ </w:t>
      </w:r>
      <w:r w:rsidRPr="005046E3">
        <w:rPr>
          <w:lang w:val="fr-CH"/>
        </w:rPr>
        <w:t>2 ci-dessus. L'effet conjugué du brouillage radioélectrique e</w:t>
      </w:r>
      <w:r>
        <w:rPr>
          <w:lang w:val="fr-CH"/>
        </w:rPr>
        <w:t>s</w:t>
      </w:r>
      <w:r w:rsidRPr="005046E3">
        <w:rPr>
          <w:lang w:val="fr-CH"/>
        </w:rPr>
        <w:t>t rendu sous la forme d'une densi</w:t>
      </w:r>
      <w:r>
        <w:rPr>
          <w:lang w:val="fr-CH"/>
        </w:rPr>
        <w:t>té spectrale de puissance bruit-</w:t>
      </w:r>
      <w:r w:rsidRPr="005046E3">
        <w:rPr>
          <w:lang w:val="fr-CH"/>
        </w:rPr>
        <w:t>plus</w:t>
      </w:r>
      <w:r>
        <w:rPr>
          <w:lang w:val="fr-CH"/>
        </w:rPr>
        <w:t>-</w:t>
      </w:r>
      <w:r w:rsidRPr="005046E3">
        <w:rPr>
          <w:lang w:val="fr-CH"/>
        </w:rPr>
        <w:t xml:space="preserve">brouillage équivalente,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pour le récepteur du SRNS. Le brouillage radioélectrique reçu </w:t>
      </w:r>
      <w:r>
        <w:rPr>
          <w:lang w:val="fr-CH"/>
        </w:rPr>
        <w:t>s</w:t>
      </w:r>
      <w:r w:rsidRPr="005046E3">
        <w:rPr>
          <w:lang w:val="fr-CH"/>
        </w:rPr>
        <w:t xml:space="preserve">e caractérise par les trois paramètres relatifs aux sources radioélectriques décrits ci-dessus (paramètres relatifs aux impulsions, </w:t>
      </w:r>
      <w:r w:rsidRPr="005046E3">
        <w:rPr>
          <w:i/>
          <w:lang w:val="fr-CH"/>
        </w:rPr>
        <w:t>PDC</w:t>
      </w:r>
      <w:r w:rsidRPr="005046E3">
        <w:rPr>
          <w:lang w:val="fr-CH"/>
        </w:rPr>
        <w:t xml:space="preserve"> et </w:t>
      </w:r>
      <w:r w:rsidRPr="005046E3">
        <w:rPr>
          <w:i/>
          <w:lang w:val="fr-CH"/>
        </w:rPr>
        <w:t>R</w:t>
      </w:r>
      <w:r w:rsidRPr="005046E3">
        <w:rPr>
          <w:i/>
          <w:vertAlign w:val="subscript"/>
          <w:lang w:val="fr-CH"/>
        </w:rPr>
        <w:t>I</w:t>
      </w:r>
      <w:r w:rsidRPr="005046E3">
        <w:rPr>
          <w:lang w:val="fr-CH"/>
        </w:rPr>
        <w:t>, et paramètre relatif au brouillage continu, (</w:t>
      </w:r>
      <w:r w:rsidRPr="005046E3">
        <w:rPr>
          <w:i/>
          <w:lang w:val="fr-CH"/>
        </w:rPr>
        <w:t>I</w:t>
      </w:r>
      <w:r w:rsidRPr="005046E3">
        <w:rPr>
          <w:vertAlign w:val="subscript"/>
          <w:lang w:val="fr-CH"/>
        </w:rPr>
        <w:t>0</w:t>
      </w:r>
      <w:r w:rsidRPr="005046E3">
        <w:rPr>
          <w:i/>
          <w:vertAlign w:val="subscript"/>
          <w:lang w:val="fr-CH"/>
        </w:rPr>
        <w:t>,WB</w:t>
      </w:r>
      <w:r w:rsidRPr="005046E3">
        <w:rPr>
          <w:i/>
          <w:lang w:val="fr-CH"/>
        </w:rPr>
        <w:t>/N</w:t>
      </w:r>
      <w:r w:rsidRPr="005046E3">
        <w:rPr>
          <w:vertAlign w:val="subscript"/>
          <w:lang w:val="fr-CH"/>
        </w:rPr>
        <w:t>0</w:t>
      </w:r>
      <w:r w:rsidRPr="005046E3">
        <w:rPr>
          <w:lang w:val="fr-CH"/>
        </w:rPr>
        <w:t xml:space="preserve">)). Comme indiqué dans les définitions ci-dessus, le terme </w:t>
      </w:r>
      <w:r w:rsidRPr="005046E3">
        <w:rPr>
          <w:i/>
          <w:lang w:val="fr-CH"/>
        </w:rPr>
        <w:t>I</w:t>
      </w:r>
      <w:r w:rsidRPr="005046E3">
        <w:rPr>
          <w:vertAlign w:val="subscript"/>
          <w:lang w:val="fr-CH"/>
        </w:rPr>
        <w:t>0</w:t>
      </w:r>
      <w:r w:rsidRPr="005046E3">
        <w:rPr>
          <w:i/>
          <w:vertAlign w:val="subscript"/>
          <w:lang w:val="fr-CH"/>
        </w:rPr>
        <w:t>,WB</w:t>
      </w:r>
      <w:r w:rsidRPr="005046E3">
        <w:rPr>
          <w:lang w:val="fr-CH"/>
        </w:rPr>
        <w:t xml:space="preserve">, est utilisé pour représenter la densité spectrale de puissance de brouillage radioélectrique continu équivalente large bande totale présente au niveau de l'antenne de réception du SRNS. Afin de rendre les analyses de brouillage radioélectrique par impulsions </w:t>
      </w:r>
      <w:r>
        <w:rPr>
          <w:lang w:val="fr-CH"/>
        </w:rPr>
        <w:t>les</w:t>
      </w:r>
      <w:r w:rsidRPr="005046E3">
        <w:rPr>
          <w:lang w:val="fr-CH"/>
        </w:rPr>
        <w:t xml:space="preserve"> moins complexe</w:t>
      </w:r>
      <w:r>
        <w:rPr>
          <w:lang w:val="fr-CH"/>
        </w:rPr>
        <w:t>s</w:t>
      </w:r>
      <w:r w:rsidRPr="005046E3">
        <w:rPr>
          <w:lang w:val="fr-CH"/>
        </w:rPr>
        <w:t xml:space="preserve"> possibles,</w:t>
      </w:r>
      <w:r>
        <w:rPr>
          <w:lang w:val="fr-CH"/>
        </w:rPr>
        <w:t xml:space="preserve"> on présume que</w:t>
      </w:r>
      <w:r w:rsidRPr="005046E3">
        <w:rPr>
          <w:lang w:val="fr-CH"/>
        </w:rPr>
        <w:t xml:space="preserve"> le terme </w:t>
      </w:r>
      <w:r w:rsidRPr="005046E3">
        <w:rPr>
          <w:i/>
          <w:lang w:val="fr-CH"/>
        </w:rPr>
        <w:t>I</w:t>
      </w:r>
      <w:r w:rsidRPr="005046E3">
        <w:rPr>
          <w:vertAlign w:val="subscript"/>
          <w:lang w:val="fr-CH"/>
        </w:rPr>
        <w:t>0,</w:t>
      </w:r>
      <w:r w:rsidRPr="005046E3">
        <w:rPr>
          <w:i/>
          <w:vertAlign w:val="subscript"/>
          <w:lang w:val="fr-CH"/>
        </w:rPr>
        <w:t>WB</w:t>
      </w:r>
      <w:r w:rsidRPr="005046E3">
        <w:rPr>
          <w:lang w:val="fr-CH"/>
        </w:rPr>
        <w:t xml:space="preserve"> est une valeur fixe représentant la condition de </w:t>
      </w:r>
      <w:r>
        <w:rPr>
          <w:lang w:val="fr-CH"/>
        </w:rPr>
        <w:t>référence</w:t>
      </w:r>
      <w:r w:rsidRPr="005046E3">
        <w:rPr>
          <w:lang w:val="fr-CH"/>
        </w:rPr>
        <w:t>.</w:t>
      </w:r>
    </w:p>
    <w:p w:rsidR="00DF60DE" w:rsidRPr="005046E3" w:rsidRDefault="00DF60DE" w:rsidP="00DF60DE">
      <w:pPr>
        <w:rPr>
          <w:lang w:val="fr-CH"/>
        </w:rPr>
      </w:pPr>
      <w:r w:rsidRPr="005046E3">
        <w:rPr>
          <w:lang w:val="fr-CH"/>
        </w:rPr>
        <w:t xml:space="preserve">Certaines caractéristiques techniques des récepteurs ont également </w:t>
      </w:r>
      <w:r>
        <w:rPr>
          <w:lang w:val="fr-CH"/>
        </w:rPr>
        <w:t xml:space="preserve">une incidence </w:t>
      </w:r>
      <w:r w:rsidRPr="005046E3">
        <w:rPr>
          <w:lang w:val="fr-CH"/>
        </w:rPr>
        <w:t>directe (par exemple la densité spectrale de puissance d</w:t>
      </w:r>
      <w:r>
        <w:rPr>
          <w:lang w:val="fr-CH"/>
        </w:rPr>
        <w:t>e bruit thermique</w:t>
      </w:r>
      <w:r w:rsidRPr="005046E3">
        <w:rPr>
          <w:lang w:val="fr-CH"/>
        </w:rPr>
        <w:t xml:space="preserve"> du système de réception</w:t>
      </w:r>
      <w:r w:rsidRPr="00BE6243">
        <w:rPr>
          <w:i/>
          <w:iCs/>
          <w:lang w:val="fr-CH"/>
        </w:rPr>
        <w:t xml:space="preserve"> </w:t>
      </w:r>
      <w:r w:rsidRPr="005046E3">
        <w:rPr>
          <w:i/>
          <w:iCs/>
          <w:lang w:val="fr-CH"/>
        </w:rPr>
        <w:t>N</w:t>
      </w:r>
      <w:r w:rsidRPr="005046E3">
        <w:rPr>
          <w:vertAlign w:val="subscript"/>
          <w:lang w:val="fr-CH"/>
        </w:rPr>
        <w:t>0</w:t>
      </w:r>
      <w:r w:rsidRPr="005046E3">
        <w:rPr>
          <w:lang w:val="fr-CH"/>
        </w:rPr>
        <w:t xml:space="preserve">) et indirecte. Il est </w:t>
      </w:r>
      <w:r w:rsidRPr="005046E3">
        <w:rPr>
          <w:lang w:val="fr-CH"/>
        </w:rPr>
        <w:lastRenderedPageBreak/>
        <w:t xml:space="preserve">possible de déterminer l'effet d'un brouillage radioélectrique par impulsions venant s'ajouter à un cas de </w:t>
      </w:r>
      <w:r>
        <w:rPr>
          <w:lang w:val="fr-CH"/>
        </w:rPr>
        <w:t xml:space="preserve">référence </w:t>
      </w:r>
      <w:r w:rsidRPr="005046E3">
        <w:rPr>
          <w:lang w:val="fr-CH"/>
        </w:rPr>
        <w:t>prédé</w:t>
      </w:r>
      <w:r>
        <w:rPr>
          <w:lang w:val="fr-CH"/>
        </w:rPr>
        <w:t xml:space="preserve">fini </w:t>
      </w:r>
      <w:r w:rsidRPr="005046E3">
        <w:rPr>
          <w:lang w:val="fr-CH"/>
        </w:rPr>
        <w:t xml:space="preserve">sous la forme d'un rapport entre le paramètre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pour la nouvelle source considérée, </w:t>
      </w:r>
      <w:r w:rsidRPr="005046E3">
        <w:rPr>
          <w:i/>
          <w:iCs/>
          <w:lang w:val="fr-CH"/>
        </w:rPr>
        <w:t>N</w:t>
      </w:r>
      <w:r w:rsidRPr="005046E3">
        <w:rPr>
          <w:vertAlign w:val="subscript"/>
          <w:lang w:val="fr-CH"/>
        </w:rPr>
        <w:t>0,</w:t>
      </w:r>
      <w:r w:rsidRPr="005046E3">
        <w:rPr>
          <w:i/>
          <w:iCs/>
          <w:vertAlign w:val="subscript"/>
          <w:lang w:val="fr-CH"/>
        </w:rPr>
        <w:t>EFF-New</w:t>
      </w:r>
      <w:r w:rsidRPr="005046E3">
        <w:rPr>
          <w:lang w:val="fr-CH"/>
        </w:rPr>
        <w:t xml:space="preserve">, et la valeur de </w:t>
      </w:r>
      <w:r>
        <w:rPr>
          <w:lang w:val="fr-CH"/>
        </w:rPr>
        <w:t>référence</w:t>
      </w:r>
      <w:r w:rsidRPr="005046E3">
        <w:rPr>
          <w:lang w:val="fr-CH"/>
        </w:rPr>
        <w:t xml:space="preserve"> de </w:t>
      </w:r>
      <w:r w:rsidRPr="005046E3">
        <w:rPr>
          <w:i/>
          <w:iCs/>
          <w:lang w:val="fr-CH"/>
        </w:rPr>
        <w:t>N</w:t>
      </w:r>
      <w:r w:rsidRPr="005046E3">
        <w:rPr>
          <w:vertAlign w:val="subscript"/>
          <w:lang w:val="fr-CH"/>
        </w:rPr>
        <w:t>0,</w:t>
      </w:r>
      <w:r w:rsidRPr="005046E3">
        <w:rPr>
          <w:i/>
          <w:iCs/>
          <w:vertAlign w:val="subscript"/>
          <w:lang w:val="fr-CH"/>
        </w:rPr>
        <w:t>EFF</w:t>
      </w:r>
      <w:r w:rsidRPr="005046E3">
        <w:rPr>
          <w:i/>
          <w:iCs/>
          <w:lang w:val="fr-CH"/>
        </w:rPr>
        <w:t>.</w:t>
      </w:r>
    </w:p>
    <w:p w:rsidR="00DF60DE" w:rsidRPr="005046E3" w:rsidRDefault="00DF60DE" w:rsidP="00DF60DE">
      <w:pPr>
        <w:pStyle w:val="Heading2"/>
        <w:rPr>
          <w:lang w:val="fr-CH"/>
        </w:rPr>
      </w:pPr>
      <w:r w:rsidRPr="005046E3">
        <w:rPr>
          <w:lang w:val="fr-CH"/>
        </w:rPr>
        <w:t>3.1</w:t>
      </w:r>
      <w:r w:rsidRPr="005046E3">
        <w:rPr>
          <w:lang w:val="fr-CH"/>
        </w:rPr>
        <w:tab/>
        <w:t>Brouillage radioélectrique par impulsions additionnel pour un récepteur du SRNS à suppression d'impulsion</w:t>
      </w:r>
      <w:r>
        <w:rPr>
          <w:lang w:val="fr-CH"/>
        </w:rPr>
        <w:t>s</w:t>
      </w:r>
      <w:r w:rsidRPr="005046E3">
        <w:rPr>
          <w:lang w:val="fr-CH"/>
        </w:rPr>
        <w:t xml:space="preserve"> (cas 1)</w:t>
      </w:r>
    </w:p>
    <w:p w:rsidR="00DF60DE" w:rsidRPr="005046E3" w:rsidRDefault="00DF60DE" w:rsidP="00DF60DE">
      <w:pPr>
        <w:rPr>
          <w:lang w:val="fr-CH"/>
        </w:rPr>
      </w:pPr>
      <w:r w:rsidRPr="005046E3">
        <w:rPr>
          <w:lang w:val="fr-CH"/>
        </w:rPr>
        <w:t xml:space="preserve">Définir la valeur de </w:t>
      </w:r>
      <w:r>
        <w:rPr>
          <w:lang w:val="fr-CH"/>
        </w:rPr>
        <w:t xml:space="preserve">référence </w:t>
      </w:r>
      <w:r w:rsidRPr="005046E3">
        <w:rPr>
          <w:lang w:val="fr-CH"/>
        </w:rPr>
        <w:t xml:space="preserve">pour </w:t>
      </w:r>
      <w:r w:rsidRPr="005046E3">
        <w:rPr>
          <w:i/>
          <w:iCs/>
          <w:lang w:val="fr-CH"/>
        </w:rPr>
        <w:t>N</w:t>
      </w:r>
      <w:r w:rsidRPr="005046E3">
        <w:rPr>
          <w:vertAlign w:val="subscript"/>
          <w:lang w:val="fr-CH"/>
        </w:rPr>
        <w:t>0,</w:t>
      </w:r>
      <w:r w:rsidRPr="005046E3">
        <w:rPr>
          <w:i/>
          <w:iCs/>
          <w:vertAlign w:val="subscript"/>
          <w:lang w:val="fr-CH"/>
        </w:rPr>
        <w:t>EFF</w:t>
      </w:r>
      <w:r w:rsidRPr="005046E3">
        <w:rPr>
          <w:lang w:val="fr-CH"/>
        </w:rPr>
        <w:t xml:space="preserve"> (en partant de l'hypothèse que le brouillage radioélectrique par impulsions n'est pas égal à zéro) en utilisant les équations (1) et (2) comme suit:</w:t>
      </w:r>
    </w:p>
    <w:p w:rsidR="00DF60DE" w:rsidRPr="005046E3" w:rsidRDefault="00DF60DE" w:rsidP="00DF60DE">
      <w:pPr>
        <w:pStyle w:val="Equation"/>
        <w:rPr>
          <w:lang w:val="fr-CH"/>
        </w:rPr>
      </w:pPr>
      <w:r w:rsidRPr="005046E3">
        <w:rPr>
          <w:lang w:val="fr-CH"/>
        </w:rPr>
        <w:tab/>
      </w:r>
      <w:r w:rsidRPr="005046E3">
        <w:rPr>
          <w:lang w:val="fr-CH"/>
        </w:rPr>
        <w:tab/>
      </w:r>
      <w:r>
        <w:rPr>
          <w:position w:val="-32"/>
        </w:rPr>
        <w:object w:dxaOrig="3480" w:dyaOrig="760">
          <v:shape id="_x0000_i1030" type="#_x0000_t75" style="width:173.45pt;height:39.75pt" o:ole="">
            <v:imagedata r:id="rId23" o:title=""/>
          </v:shape>
          <o:OLEObject Type="Embed" ProgID="Equation.3" ShapeID="_x0000_i1030" DrawAspect="Content" ObjectID="_1476173505" r:id="rId24"/>
        </w:object>
      </w:r>
      <w:r w:rsidRPr="005046E3">
        <w:rPr>
          <w:lang w:val="fr-CH"/>
        </w:rPr>
        <w:t xml:space="preserve"> avec </w:t>
      </w:r>
      <w:r w:rsidRPr="00B5531E">
        <w:rPr>
          <w:position w:val="-32"/>
        </w:rPr>
        <w:object w:dxaOrig="2680" w:dyaOrig="760">
          <v:shape id="_x0000_i1031" type="#_x0000_t75" style="width:132.8pt;height:37.85pt" o:ole="">
            <v:imagedata r:id="rId25" o:title=""/>
          </v:shape>
          <o:OLEObject Type="Embed" ProgID="Equation.3" ShapeID="_x0000_i1031" DrawAspect="Content" ObjectID="_1476173506" r:id="rId26"/>
        </w:object>
      </w:r>
    </w:p>
    <w:p w:rsidR="00DF60DE" w:rsidRPr="005046E3" w:rsidRDefault="00DF60DE" w:rsidP="00DF60DE">
      <w:pPr>
        <w:rPr>
          <w:noProof/>
          <w:lang w:val="fr-CH"/>
        </w:rPr>
      </w:pPr>
      <w:r w:rsidRPr="005046E3">
        <w:rPr>
          <w:lang w:val="fr-CH"/>
        </w:rPr>
        <w:t xml:space="preserve">où, d'après les équations (3) et (4), </w:t>
      </w:r>
      <w:r w:rsidRPr="00F72079">
        <w:rPr>
          <w:position w:val="-12"/>
          <w:lang w:val="en-US"/>
        </w:rPr>
        <w:object w:dxaOrig="4459" w:dyaOrig="360">
          <v:shape id="_x0000_i1032" type="#_x0000_t75" style="width:222.55pt;height:18.25pt" o:ole="">
            <v:imagedata r:id="rId27" o:title=""/>
          </v:shape>
          <o:OLEObject Type="Embed" ProgID="Equation.3" ShapeID="_x0000_i1032" DrawAspect="Content" ObjectID="_1476173507" r:id="rId28"/>
        </w:object>
      </w:r>
      <w:r w:rsidRPr="005046E3">
        <w:rPr>
          <w:noProof/>
          <w:lang w:val="fr-CH"/>
        </w:rPr>
        <w:t xml:space="preserve"> et </w:t>
      </w:r>
      <w:r>
        <w:rPr>
          <w:position w:val="-12"/>
        </w:rPr>
        <w:object w:dxaOrig="1740" w:dyaOrig="360">
          <v:shape id="_x0000_i1033" type="#_x0000_t75" style="width:87.9pt;height:18.25pt" o:ole="">
            <v:imagedata r:id="rId19" o:title=""/>
          </v:shape>
          <o:OLEObject Type="Embed" ProgID="Equation.3" ShapeID="_x0000_i1033" DrawAspect="Content" ObjectID="_1476173508" r:id="rId29"/>
        </w:object>
      </w:r>
      <w:r w:rsidRPr="005046E3">
        <w:rPr>
          <w:lang w:val="fr-CH"/>
        </w:rPr>
        <w:t xml:space="preserve"> produits par les groupes de sources d'impulsion</w:t>
      </w:r>
      <w:r>
        <w:rPr>
          <w:lang w:val="fr-CH"/>
        </w:rPr>
        <w:t>s</w:t>
      </w:r>
      <w:r w:rsidRPr="005046E3">
        <w:rPr>
          <w:lang w:val="fr-CH"/>
        </w:rPr>
        <w:t xml:space="preserve"> de référence</w:t>
      </w:r>
      <w:r w:rsidRPr="005046E3">
        <w:rPr>
          <w:noProof/>
          <w:lang w:val="fr-CH"/>
        </w:rPr>
        <w:t xml:space="preserve"> a, b, et </w:t>
      </w:r>
      <w:r w:rsidR="008649DF">
        <w:rPr>
          <w:noProof/>
          <w:lang w:val="fr-CH"/>
        </w:rPr>
        <w:t>c.</w:t>
      </w:r>
    </w:p>
    <w:p w:rsidR="00DF60DE" w:rsidRPr="005046E3" w:rsidRDefault="00DF60DE" w:rsidP="00DF60DE">
      <w:pPr>
        <w:rPr>
          <w:lang w:val="fr-CH"/>
        </w:rPr>
      </w:pPr>
      <w:r w:rsidRPr="005046E3">
        <w:rPr>
          <w:lang w:val="fr-CH"/>
        </w:rPr>
        <w:t xml:space="preserve">Si l'on introduit une source d'impulsions (ou un groupe de sources) </w:t>
      </w:r>
      <w:r>
        <w:rPr>
          <w:lang w:val="fr-CH"/>
        </w:rPr>
        <w:t xml:space="preserve">supplémentaire </w:t>
      </w:r>
      <w:r w:rsidRPr="005046E3">
        <w:rPr>
          <w:lang w:val="fr-CH"/>
        </w:rPr>
        <w:t>Y, alors par extension:</w:t>
      </w:r>
    </w:p>
    <w:p w:rsidR="00DF60DE" w:rsidRPr="005046E3" w:rsidRDefault="00DF60DE" w:rsidP="00DF60DE">
      <w:pPr>
        <w:pStyle w:val="Equation"/>
        <w:rPr>
          <w:noProof/>
          <w:lang w:val="fr-CH"/>
        </w:rPr>
      </w:pPr>
      <w:r w:rsidRPr="005046E3">
        <w:rPr>
          <w:b/>
          <w:lang w:val="fr-CH"/>
        </w:rPr>
        <w:tab/>
      </w:r>
      <w:r w:rsidRPr="005046E3">
        <w:rPr>
          <w:b/>
          <w:lang w:val="fr-CH"/>
        </w:rPr>
        <w:tab/>
      </w:r>
      <w:r w:rsidRPr="005046E3">
        <w:rPr>
          <w:lang w:val="fr-CH"/>
        </w:rPr>
        <w:t>(1–</w:t>
      </w:r>
      <w:r w:rsidRPr="005046E3">
        <w:rPr>
          <w:i/>
          <w:iCs/>
          <w:lang w:val="fr-CH"/>
        </w:rPr>
        <w:t>PDC</w:t>
      </w:r>
      <w:r w:rsidRPr="005046E3">
        <w:rPr>
          <w:i/>
          <w:iCs/>
          <w:vertAlign w:val="subscript"/>
          <w:lang w:val="fr-CH"/>
        </w:rPr>
        <w:t>B</w:t>
      </w:r>
      <w:r w:rsidRPr="005046E3">
        <w:rPr>
          <w:vertAlign w:val="subscript"/>
          <w:lang w:val="fr-CH"/>
        </w:rPr>
        <w:t>+</w:t>
      </w:r>
      <w:r w:rsidRPr="005046E3">
        <w:rPr>
          <w:i/>
          <w:iCs/>
          <w:vertAlign w:val="subscript"/>
          <w:lang w:val="fr-CH"/>
        </w:rPr>
        <w:t>Y</w:t>
      </w:r>
      <w:r w:rsidRPr="005046E3">
        <w:rPr>
          <w:lang w:val="fr-CH"/>
        </w:rPr>
        <w:t xml:space="preserve">) = </w:t>
      </w:r>
      <w:r w:rsidRPr="005046E3">
        <w:rPr>
          <w:noProof/>
          <w:lang w:val="fr-CH"/>
        </w:rPr>
        <w:t>(1</w:t>
      </w:r>
      <w:r w:rsidRPr="005046E3">
        <w:rPr>
          <w:b/>
          <w:lang w:val="fr-CH"/>
        </w:rPr>
        <w:t>–</w:t>
      </w:r>
      <w:r w:rsidRPr="005046E3">
        <w:rPr>
          <w:i/>
          <w:iCs/>
          <w:noProof/>
          <w:lang w:val="fr-CH"/>
        </w:rPr>
        <w:t>PDC</w:t>
      </w:r>
      <w:r w:rsidRPr="005046E3">
        <w:rPr>
          <w:i/>
          <w:iCs/>
          <w:noProof/>
          <w:vertAlign w:val="subscript"/>
          <w:lang w:val="fr-CH"/>
        </w:rPr>
        <w:t>a</w:t>
      </w:r>
      <w:r w:rsidRPr="005046E3">
        <w:rPr>
          <w:noProof/>
          <w:lang w:val="fr-CH"/>
        </w:rPr>
        <w:t>)(1</w:t>
      </w:r>
      <w:r w:rsidRPr="005046E3">
        <w:rPr>
          <w:b/>
          <w:lang w:val="fr-CH"/>
        </w:rPr>
        <w:t>–</w:t>
      </w:r>
      <w:r w:rsidRPr="005046E3">
        <w:rPr>
          <w:i/>
          <w:iCs/>
          <w:noProof/>
          <w:lang w:val="fr-CH"/>
        </w:rPr>
        <w:t>PDC</w:t>
      </w:r>
      <w:r w:rsidRPr="005046E3">
        <w:rPr>
          <w:i/>
          <w:iCs/>
          <w:noProof/>
          <w:vertAlign w:val="subscript"/>
          <w:lang w:val="fr-CH"/>
        </w:rPr>
        <w:t>b</w:t>
      </w:r>
      <w:r w:rsidRPr="005046E3">
        <w:rPr>
          <w:noProof/>
          <w:lang w:val="fr-CH"/>
        </w:rPr>
        <w:t>)(1</w:t>
      </w:r>
      <w:r w:rsidRPr="005046E3">
        <w:rPr>
          <w:b/>
          <w:lang w:val="fr-CH"/>
        </w:rPr>
        <w:t>–</w:t>
      </w:r>
      <w:r w:rsidRPr="005046E3">
        <w:rPr>
          <w:i/>
          <w:iCs/>
          <w:noProof/>
          <w:lang w:val="fr-CH"/>
        </w:rPr>
        <w:t>PDC</w:t>
      </w:r>
      <w:r w:rsidRPr="005046E3">
        <w:rPr>
          <w:i/>
          <w:iCs/>
          <w:noProof/>
          <w:vertAlign w:val="subscript"/>
          <w:lang w:val="fr-CH"/>
        </w:rPr>
        <w:t>c</w:t>
      </w:r>
      <w:r w:rsidRPr="005046E3">
        <w:rPr>
          <w:noProof/>
          <w:lang w:val="fr-CH"/>
        </w:rPr>
        <w:t>)(1</w:t>
      </w:r>
      <w:r w:rsidRPr="005046E3">
        <w:rPr>
          <w:b/>
          <w:lang w:val="fr-CH"/>
        </w:rPr>
        <w:t>–</w:t>
      </w:r>
      <w:r w:rsidRPr="005046E3">
        <w:rPr>
          <w:i/>
          <w:iCs/>
          <w:noProof/>
          <w:lang w:val="fr-CH"/>
        </w:rPr>
        <w:t>PDC</w:t>
      </w:r>
      <w:r w:rsidRPr="005046E3">
        <w:rPr>
          <w:i/>
          <w:iCs/>
          <w:noProof/>
          <w:vertAlign w:val="subscript"/>
          <w:lang w:val="fr-CH"/>
        </w:rPr>
        <w:t>Y</w:t>
      </w:r>
      <w:r w:rsidRPr="005046E3">
        <w:rPr>
          <w:noProof/>
          <w:lang w:val="fr-CH"/>
        </w:rPr>
        <w:t xml:space="preserve">) = </w:t>
      </w:r>
      <w:r w:rsidRPr="005046E3">
        <w:rPr>
          <w:lang w:val="fr-CH"/>
        </w:rPr>
        <w:t>(1–</w:t>
      </w:r>
      <w:r w:rsidRPr="005046E3">
        <w:rPr>
          <w:i/>
          <w:iCs/>
          <w:noProof/>
          <w:lang w:val="fr-CH"/>
        </w:rPr>
        <w:t>PDC</w:t>
      </w:r>
      <w:r w:rsidRPr="005046E3">
        <w:rPr>
          <w:i/>
          <w:iCs/>
          <w:noProof/>
          <w:vertAlign w:val="subscript"/>
          <w:lang w:val="fr-CH"/>
        </w:rPr>
        <w:t>B</w:t>
      </w:r>
      <w:r w:rsidRPr="005046E3">
        <w:rPr>
          <w:noProof/>
          <w:lang w:val="fr-CH"/>
        </w:rPr>
        <w:t>)(1</w:t>
      </w:r>
      <w:r w:rsidRPr="005046E3">
        <w:rPr>
          <w:lang w:val="fr-CH"/>
        </w:rPr>
        <w:t>–</w:t>
      </w:r>
      <w:r w:rsidRPr="005046E3">
        <w:rPr>
          <w:i/>
          <w:iCs/>
          <w:noProof/>
          <w:lang w:val="fr-CH"/>
        </w:rPr>
        <w:t>PDC</w:t>
      </w:r>
      <w:r w:rsidRPr="005046E3">
        <w:rPr>
          <w:i/>
          <w:iCs/>
          <w:noProof/>
          <w:vertAlign w:val="subscript"/>
          <w:lang w:val="fr-CH"/>
        </w:rPr>
        <w:t>Y</w:t>
      </w:r>
      <w:r w:rsidRPr="005046E3">
        <w:rPr>
          <w:noProof/>
          <w:lang w:val="fr-CH"/>
        </w:rPr>
        <w:t>) et</w:t>
      </w:r>
    </w:p>
    <w:p w:rsidR="00DF60DE" w:rsidRPr="005046E3" w:rsidRDefault="00DF60DE" w:rsidP="00DF60DE">
      <w:pPr>
        <w:pStyle w:val="Equation"/>
        <w:rPr>
          <w:noProof/>
          <w:lang w:val="fr-CH"/>
        </w:rPr>
      </w:pPr>
      <w:r w:rsidRPr="005046E3">
        <w:rPr>
          <w:b/>
          <w:noProof/>
          <w:lang w:val="fr-CH"/>
        </w:rPr>
        <w:tab/>
      </w:r>
      <w:r w:rsidRPr="005046E3">
        <w:rPr>
          <w:b/>
          <w:noProof/>
          <w:lang w:val="fr-CH"/>
        </w:rPr>
        <w:tab/>
      </w:r>
      <w:r w:rsidRPr="005046E3">
        <w:rPr>
          <w:i/>
          <w:iCs/>
          <w:noProof/>
          <w:lang w:val="fr-CH"/>
        </w:rPr>
        <w:t>R</w:t>
      </w:r>
      <w:r w:rsidRPr="005046E3">
        <w:rPr>
          <w:i/>
          <w:iCs/>
          <w:noProof/>
          <w:vertAlign w:val="subscript"/>
          <w:lang w:val="fr-CH"/>
        </w:rPr>
        <w:t>I</w:t>
      </w:r>
      <w:r w:rsidRPr="005046E3">
        <w:rPr>
          <w:noProof/>
          <w:vertAlign w:val="subscript"/>
          <w:lang w:val="fr-CH"/>
        </w:rPr>
        <w:t>+</w:t>
      </w:r>
      <w:r w:rsidRPr="005046E3">
        <w:rPr>
          <w:i/>
          <w:iCs/>
          <w:noProof/>
          <w:vertAlign w:val="subscript"/>
          <w:lang w:val="fr-CH"/>
        </w:rPr>
        <w:t>Y</w:t>
      </w:r>
      <w:r w:rsidRPr="005046E3">
        <w:rPr>
          <w:noProof/>
          <w:lang w:val="fr-CH"/>
        </w:rPr>
        <w:t xml:space="preserve"> = </w:t>
      </w:r>
      <w:r w:rsidRPr="005046E3">
        <w:rPr>
          <w:i/>
          <w:iCs/>
          <w:noProof/>
          <w:lang w:val="fr-CH"/>
        </w:rPr>
        <w:t>R</w:t>
      </w:r>
      <w:r w:rsidRPr="005046E3">
        <w:rPr>
          <w:i/>
          <w:iCs/>
          <w:noProof/>
          <w:vertAlign w:val="subscript"/>
          <w:lang w:val="fr-CH"/>
        </w:rPr>
        <w:t>a</w:t>
      </w:r>
      <w:r w:rsidRPr="005046E3">
        <w:rPr>
          <w:noProof/>
          <w:lang w:val="fr-CH"/>
        </w:rPr>
        <w:t xml:space="preserve"> + </w:t>
      </w:r>
      <w:r w:rsidRPr="005046E3">
        <w:rPr>
          <w:i/>
          <w:iCs/>
          <w:noProof/>
          <w:lang w:val="fr-CH"/>
        </w:rPr>
        <w:t>R</w:t>
      </w:r>
      <w:r w:rsidRPr="005046E3">
        <w:rPr>
          <w:i/>
          <w:iCs/>
          <w:noProof/>
          <w:vertAlign w:val="subscript"/>
          <w:lang w:val="fr-CH"/>
        </w:rPr>
        <w:t>b</w:t>
      </w:r>
      <w:r w:rsidRPr="005046E3">
        <w:rPr>
          <w:noProof/>
          <w:lang w:val="fr-CH"/>
        </w:rPr>
        <w:t xml:space="preserve"> + </w:t>
      </w:r>
      <w:r w:rsidRPr="005046E3">
        <w:rPr>
          <w:i/>
          <w:iCs/>
          <w:noProof/>
          <w:lang w:val="fr-CH"/>
        </w:rPr>
        <w:t>R</w:t>
      </w:r>
      <w:r w:rsidRPr="005046E3">
        <w:rPr>
          <w:i/>
          <w:iCs/>
          <w:noProof/>
          <w:vertAlign w:val="subscript"/>
          <w:lang w:val="fr-CH"/>
        </w:rPr>
        <w:t xml:space="preserve">c </w:t>
      </w:r>
      <w:r w:rsidRPr="005046E3">
        <w:rPr>
          <w:noProof/>
          <w:lang w:val="fr-CH"/>
        </w:rPr>
        <w:t xml:space="preserve">+ </w:t>
      </w:r>
      <w:r w:rsidRPr="005046E3">
        <w:rPr>
          <w:i/>
          <w:iCs/>
          <w:noProof/>
          <w:lang w:val="fr-CH"/>
        </w:rPr>
        <w:t>R</w:t>
      </w:r>
      <w:r w:rsidRPr="005046E3">
        <w:rPr>
          <w:i/>
          <w:iCs/>
          <w:noProof/>
          <w:vertAlign w:val="subscript"/>
          <w:lang w:val="fr-CH"/>
        </w:rPr>
        <w:t>Y</w:t>
      </w:r>
      <w:r w:rsidRPr="005046E3">
        <w:rPr>
          <w:noProof/>
          <w:lang w:val="fr-CH"/>
        </w:rPr>
        <w:t xml:space="preserve"> = </w:t>
      </w:r>
      <w:r w:rsidRPr="005046E3">
        <w:rPr>
          <w:i/>
          <w:iCs/>
          <w:noProof/>
          <w:lang w:val="fr-CH"/>
        </w:rPr>
        <w:t>R</w:t>
      </w:r>
      <w:r w:rsidRPr="005046E3">
        <w:rPr>
          <w:i/>
          <w:iCs/>
          <w:noProof/>
          <w:vertAlign w:val="subscript"/>
          <w:lang w:val="fr-CH"/>
        </w:rPr>
        <w:t>I</w:t>
      </w:r>
      <w:r w:rsidRPr="005046E3">
        <w:rPr>
          <w:noProof/>
          <w:lang w:val="fr-CH"/>
        </w:rPr>
        <w:t xml:space="preserve"> + </w:t>
      </w:r>
      <w:r w:rsidRPr="005046E3">
        <w:rPr>
          <w:i/>
          <w:iCs/>
          <w:noProof/>
          <w:lang w:val="fr-CH"/>
        </w:rPr>
        <w:t>R</w:t>
      </w:r>
      <w:r w:rsidRPr="005046E3">
        <w:rPr>
          <w:i/>
          <w:iCs/>
          <w:noProof/>
          <w:vertAlign w:val="subscript"/>
          <w:lang w:val="fr-CH"/>
        </w:rPr>
        <w:t>Y</w:t>
      </w:r>
    </w:p>
    <w:p w:rsidR="00DF60DE" w:rsidRPr="005046E3" w:rsidRDefault="00DF60DE" w:rsidP="00DF60DE">
      <w:pPr>
        <w:rPr>
          <w:noProof/>
          <w:lang w:val="fr-CH"/>
        </w:rPr>
      </w:pPr>
      <w:r w:rsidRPr="005046E3">
        <w:rPr>
          <w:noProof/>
          <w:lang w:val="fr-CH"/>
        </w:rPr>
        <w:t xml:space="preserve">En outre, par analogie, </w:t>
      </w:r>
    </w:p>
    <w:p w:rsidR="00DF60DE" w:rsidRDefault="00DF60DE" w:rsidP="00DF60DE">
      <w:pPr>
        <w:pStyle w:val="Equation"/>
        <w:rPr>
          <w:noProof/>
        </w:rPr>
      </w:pPr>
      <w:r w:rsidRPr="005046E3">
        <w:rPr>
          <w:lang w:val="fr-CH"/>
        </w:rPr>
        <w:tab/>
      </w:r>
      <w:r w:rsidRPr="005046E3">
        <w:rPr>
          <w:lang w:val="fr-CH"/>
        </w:rPr>
        <w:tab/>
      </w:r>
      <w:r>
        <w:rPr>
          <w:position w:val="-32"/>
        </w:rPr>
        <w:object w:dxaOrig="3980" w:dyaOrig="760">
          <v:shape id="_x0000_i1034" type="#_x0000_t75" style="width:198.25pt;height:39.75pt" o:ole="">
            <v:imagedata r:id="rId30" o:title=""/>
          </v:shape>
          <o:OLEObject Type="Embed" ProgID="Equation.3" ShapeID="_x0000_i1034" DrawAspect="Content" ObjectID="_1476173509" r:id="rId31"/>
        </w:object>
      </w:r>
    </w:p>
    <w:p w:rsidR="00DF60DE" w:rsidRPr="005046E3" w:rsidRDefault="00DF60DE" w:rsidP="00DF60DE">
      <w:pPr>
        <w:rPr>
          <w:lang w:val="fr-CH"/>
        </w:rPr>
      </w:pPr>
      <w:r w:rsidRPr="005046E3">
        <w:rPr>
          <w:lang w:val="fr-CH"/>
        </w:rPr>
        <w:t>La dégradation du</w:t>
      </w:r>
      <w:r>
        <w:rPr>
          <w:lang w:val="fr-CH"/>
        </w:rPr>
        <w:t>e au</w:t>
      </w:r>
      <w:r w:rsidRPr="005046E3">
        <w:rPr>
          <w:lang w:val="fr-CH"/>
        </w:rPr>
        <w:t xml:space="preserve"> brouillage radioélectrique par rapport au cas de référence peut être calculée comme étant le rapport </w:t>
      </w:r>
      <w:r>
        <w:rPr>
          <w:position w:val="-26"/>
        </w:rPr>
        <w:object w:dxaOrig="1500" w:dyaOrig="639">
          <v:shape id="_x0000_i1035" type="#_x0000_t75" style="width:75.75pt;height:33.2pt" o:ole="">
            <v:imagedata r:id="rId32" o:title=""/>
          </v:shape>
          <o:OLEObject Type="Embed" ProgID="Equation.3" ShapeID="_x0000_i1035" DrawAspect="Content" ObjectID="_1476173510" r:id="rId33"/>
        </w:object>
      </w:r>
      <w:r w:rsidRPr="005046E3">
        <w:rPr>
          <w:lang w:val="fr-CH"/>
        </w:rPr>
        <w:t>:</w:t>
      </w:r>
    </w:p>
    <w:p w:rsidR="00DF60DE" w:rsidRPr="005046E3" w:rsidRDefault="00DF60DE" w:rsidP="00DF60DE">
      <w:pPr>
        <w:pStyle w:val="Equation"/>
        <w:rPr>
          <w:lang w:val="fr-CH"/>
        </w:rPr>
      </w:pPr>
      <w:r>
        <w:rPr>
          <w:position w:val="-70"/>
        </w:rPr>
        <w:object w:dxaOrig="8100" w:dyaOrig="1520">
          <v:shape id="_x0000_i1036" type="#_x0000_t75" style="width:407.2pt;height:75.75pt" o:ole="">
            <v:imagedata r:id="rId34" o:title=""/>
          </v:shape>
          <o:OLEObject Type="Embed" ProgID="Equation.3" ShapeID="_x0000_i1036" DrawAspect="Content" ObjectID="_1476173511" r:id="rId35"/>
        </w:object>
      </w:r>
      <w:r w:rsidRPr="005046E3">
        <w:rPr>
          <w:lang w:val="fr-CH"/>
        </w:rPr>
        <w:tab/>
        <w:t>(6)</w:t>
      </w:r>
    </w:p>
    <w:p w:rsidR="00DF60DE" w:rsidRPr="005046E3" w:rsidRDefault="00DF60DE" w:rsidP="00DF60DE">
      <w:pPr>
        <w:rPr>
          <w:lang w:val="fr-CH"/>
        </w:rPr>
      </w:pPr>
      <w:r w:rsidRPr="005046E3">
        <w:rPr>
          <w:lang w:val="fr-CH"/>
        </w:rPr>
        <w:t xml:space="preserve">Il est à noter que l'on estime les paramètres </w:t>
      </w:r>
      <w:r w:rsidRPr="005046E3">
        <w:rPr>
          <w:i/>
          <w:iCs/>
          <w:lang w:val="fr-CH"/>
        </w:rPr>
        <w:t>PDC</w:t>
      </w:r>
      <w:r w:rsidRPr="005046E3">
        <w:rPr>
          <w:i/>
          <w:iCs/>
          <w:vertAlign w:val="subscript"/>
          <w:lang w:val="fr-CH"/>
        </w:rPr>
        <w:t>Y</w:t>
      </w:r>
      <w:r w:rsidRPr="005046E3">
        <w:rPr>
          <w:lang w:val="fr-CH"/>
        </w:rPr>
        <w:t xml:space="preserve"> et </w:t>
      </w:r>
      <w:r w:rsidRPr="005046E3">
        <w:rPr>
          <w:i/>
          <w:iCs/>
          <w:lang w:val="fr-CH"/>
        </w:rPr>
        <w:t>R</w:t>
      </w:r>
      <w:r w:rsidRPr="005046E3">
        <w:rPr>
          <w:i/>
          <w:iCs/>
          <w:vertAlign w:val="subscript"/>
          <w:lang w:val="fr-CH"/>
        </w:rPr>
        <w:t>Y</w:t>
      </w:r>
      <w:r w:rsidRPr="005046E3">
        <w:rPr>
          <w:lang w:val="fr-CH"/>
        </w:rPr>
        <w:t xml:space="preserve"> en utilisant le niveau de compression à l'entrée du récepteur du SRNS comme point de référence de puissance (limite supérieure du seuil de suppression). Pour calculer le facteur d'utilisation des impulsions supérieures au seuil de suppression (</w:t>
      </w:r>
      <w:r w:rsidRPr="005046E3">
        <w:rPr>
          <w:i/>
          <w:iCs/>
          <w:lang w:val="fr-CH"/>
        </w:rPr>
        <w:t>PDC</w:t>
      </w:r>
      <w:r w:rsidRPr="005046E3">
        <w:rPr>
          <w:i/>
          <w:iCs/>
          <w:vertAlign w:val="subscript"/>
          <w:lang w:val="fr-CH"/>
        </w:rPr>
        <w:t>Y</w:t>
      </w:r>
      <w:r w:rsidRPr="005046E3">
        <w:rPr>
          <w:lang w:val="fr-CH"/>
        </w:rPr>
        <w:t xml:space="preserve">), on utilise le </w:t>
      </w:r>
      <w:r>
        <w:rPr>
          <w:lang w:eastAsia="ru-RU"/>
        </w:rPr>
        <w:t>temps de rétablissement après surcharge du récepteur décrit pour l'équation</w:t>
      </w:r>
      <w:r w:rsidRPr="005046E3">
        <w:rPr>
          <w:lang w:val="fr-CH"/>
        </w:rPr>
        <w:t xml:space="preserve"> (3a).</w:t>
      </w:r>
    </w:p>
    <w:p w:rsidR="00DF60DE" w:rsidRPr="005046E3" w:rsidRDefault="00DF60DE" w:rsidP="00DF60DE">
      <w:pPr>
        <w:pStyle w:val="Heading2"/>
        <w:rPr>
          <w:lang w:val="fr-CH"/>
        </w:rPr>
      </w:pPr>
      <w:r w:rsidRPr="005046E3">
        <w:rPr>
          <w:lang w:val="fr-CH"/>
        </w:rPr>
        <w:t>3.2</w:t>
      </w:r>
      <w:r w:rsidRPr="005046E3">
        <w:rPr>
          <w:lang w:val="fr-CH"/>
        </w:rPr>
        <w:tab/>
        <w:t xml:space="preserve">Brouillage radioélectrique par impulsions additionnel pour un récepteur du SRNS </w:t>
      </w:r>
      <w:r>
        <w:rPr>
          <w:lang w:val="fr-CH"/>
        </w:rPr>
        <w:t xml:space="preserve">en état de </w:t>
      </w:r>
      <w:r w:rsidRPr="005046E3">
        <w:rPr>
          <w:lang w:val="fr-CH"/>
        </w:rPr>
        <w:t>saturation (cas 2)</w:t>
      </w:r>
    </w:p>
    <w:p w:rsidR="00DF60DE" w:rsidRPr="005046E3" w:rsidRDefault="00DF60DE" w:rsidP="00DF60DE">
      <w:pPr>
        <w:pStyle w:val="Heading3"/>
        <w:rPr>
          <w:lang w:val="fr-CH"/>
        </w:rPr>
      </w:pPr>
      <w:r w:rsidRPr="005046E3">
        <w:rPr>
          <w:lang w:val="fr-CH"/>
        </w:rPr>
        <w:t>3.2.1</w:t>
      </w:r>
      <w:r w:rsidRPr="005046E3">
        <w:rPr>
          <w:lang w:val="fr-CH"/>
        </w:rPr>
        <w:tab/>
        <w:t xml:space="preserve">Récepteur du SRNS </w:t>
      </w:r>
      <w:r>
        <w:rPr>
          <w:lang w:val="fr-CH"/>
        </w:rPr>
        <w:t xml:space="preserve">en état de </w:t>
      </w:r>
      <w:r w:rsidRPr="005046E3">
        <w:rPr>
          <w:lang w:val="fr-CH"/>
        </w:rPr>
        <w:t>saturation – Cas de référence où le brouillage radioélectrique par impulsion</w:t>
      </w:r>
      <w:r>
        <w:rPr>
          <w:lang w:val="fr-CH"/>
        </w:rPr>
        <w:t>s</w:t>
      </w:r>
      <w:r w:rsidRPr="005046E3">
        <w:rPr>
          <w:lang w:val="fr-CH"/>
        </w:rPr>
        <w:t xml:space="preserve"> n'est pas égal à zéro (cas 2a)</w:t>
      </w:r>
    </w:p>
    <w:p w:rsidR="00DF60DE" w:rsidRPr="005046E3" w:rsidRDefault="00DF60DE" w:rsidP="00DF60DE">
      <w:pPr>
        <w:rPr>
          <w:lang w:val="fr-CH"/>
        </w:rPr>
      </w:pPr>
      <w:r w:rsidRPr="005046E3">
        <w:rPr>
          <w:lang w:val="fr-CH"/>
        </w:rPr>
        <w:t>Dans ce sous-cas,</w:t>
      </w:r>
      <w:r>
        <w:rPr>
          <w:lang w:val="fr-CH"/>
        </w:rPr>
        <w:t xml:space="preserve"> </w:t>
      </w:r>
      <w:r w:rsidRPr="005046E3">
        <w:rPr>
          <w:lang w:val="fr-CH"/>
        </w:rPr>
        <w:t>on part de l'hypothèse que le brouillage radioélectriqu</w:t>
      </w:r>
      <w:r>
        <w:rPr>
          <w:lang w:val="fr-CH"/>
        </w:rPr>
        <w:t>e par impulsions est présent </w:t>
      </w:r>
      <w:r w:rsidRPr="005046E3">
        <w:rPr>
          <w:lang w:val="fr-CH"/>
        </w:rPr>
        <w:t xml:space="preserve">dans l'environnement de référence (en d'autres termes, les valeurs de référence pour </w:t>
      </w:r>
      <w:r w:rsidRPr="005046E3">
        <w:rPr>
          <w:i/>
          <w:lang w:val="fr-CH"/>
        </w:rPr>
        <w:t>PDC</w:t>
      </w:r>
      <w:r w:rsidRPr="005046E3">
        <w:rPr>
          <w:lang w:val="fr-CH"/>
        </w:rPr>
        <w:t xml:space="preserve"> et/ou </w:t>
      </w:r>
      <w:r w:rsidRPr="005046E3">
        <w:rPr>
          <w:i/>
          <w:lang w:val="fr-CH"/>
        </w:rPr>
        <w:t>R</w:t>
      </w:r>
      <w:r w:rsidRPr="005046E3">
        <w:rPr>
          <w:i/>
          <w:vertAlign w:val="subscript"/>
          <w:lang w:val="fr-CH"/>
        </w:rPr>
        <w:t>I</w:t>
      </w:r>
      <w:r w:rsidRPr="005046E3">
        <w:rPr>
          <w:lang w:val="fr-CH"/>
        </w:rPr>
        <w:t xml:space="preserve"> &gt; 0). Si l'on introduit un groupe de sources d'impulsions de saturation </w:t>
      </w:r>
      <w:r>
        <w:rPr>
          <w:lang w:val="fr-CH"/>
        </w:rPr>
        <w:t>supplémentaires</w:t>
      </w:r>
      <w:r w:rsidRPr="005046E3">
        <w:rPr>
          <w:lang w:val="fr-CH"/>
        </w:rPr>
        <w:t xml:space="preserve"> Y, les nouveaux paramètres de brouillage radioélectrique par impulsions composite causé au SRNS, </w:t>
      </w:r>
      <w:r w:rsidRPr="005046E3">
        <w:rPr>
          <w:i/>
          <w:iCs/>
          <w:lang w:val="fr-CH"/>
        </w:rPr>
        <w:t>PDC</w:t>
      </w:r>
      <w:r w:rsidRPr="005046E3">
        <w:rPr>
          <w:i/>
          <w:iCs/>
          <w:vertAlign w:val="subscript"/>
          <w:lang w:val="fr-CH"/>
        </w:rPr>
        <w:t>LIM</w:t>
      </w:r>
      <w:r w:rsidRPr="005046E3">
        <w:rPr>
          <w:vertAlign w:val="subscript"/>
          <w:lang w:val="fr-CH"/>
        </w:rPr>
        <w:t>+</w:t>
      </w:r>
      <w:r w:rsidRPr="005046E3">
        <w:rPr>
          <w:i/>
          <w:iCs/>
          <w:vertAlign w:val="subscript"/>
          <w:lang w:val="fr-CH"/>
        </w:rPr>
        <w:t>Y</w:t>
      </w:r>
      <w:r w:rsidRPr="005046E3">
        <w:rPr>
          <w:lang w:val="fr-CH"/>
        </w:rPr>
        <w:t xml:space="preserve"> et </w:t>
      </w:r>
      <w:r w:rsidRPr="005046E3">
        <w:rPr>
          <w:i/>
          <w:iCs/>
          <w:noProof/>
          <w:lang w:val="fr-CH"/>
        </w:rPr>
        <w:t>R</w:t>
      </w:r>
      <w:r w:rsidRPr="005046E3">
        <w:rPr>
          <w:i/>
          <w:iCs/>
          <w:noProof/>
          <w:vertAlign w:val="subscript"/>
          <w:lang w:val="fr-CH"/>
        </w:rPr>
        <w:t>I</w:t>
      </w:r>
      <w:r w:rsidRPr="005046E3">
        <w:rPr>
          <w:noProof/>
          <w:vertAlign w:val="subscript"/>
          <w:lang w:val="fr-CH"/>
        </w:rPr>
        <w:t>+</w:t>
      </w:r>
      <w:r w:rsidRPr="005046E3">
        <w:rPr>
          <w:i/>
          <w:iCs/>
          <w:noProof/>
          <w:vertAlign w:val="subscript"/>
          <w:lang w:val="fr-CH"/>
        </w:rPr>
        <w:t>Y</w:t>
      </w:r>
      <w:r w:rsidRPr="005046E3">
        <w:rPr>
          <w:noProof/>
          <w:lang w:val="fr-CH"/>
        </w:rPr>
        <w:t>,</w:t>
      </w:r>
      <w:r w:rsidRPr="005046E3">
        <w:rPr>
          <w:lang w:val="fr-CH"/>
        </w:rPr>
        <w:t xml:space="preserve"> peuvent être définis de la même manière que pour le cas 1</w:t>
      </w:r>
      <w:r>
        <w:rPr>
          <w:lang w:val="fr-CH"/>
        </w:rPr>
        <w:t>,</w:t>
      </w:r>
      <w:r w:rsidRPr="005046E3">
        <w:rPr>
          <w:lang w:val="fr-CH"/>
        </w:rPr>
        <w:t xml:space="preserve"> comme suit:</w:t>
      </w:r>
    </w:p>
    <w:p w:rsidR="00DF60DE" w:rsidRPr="005046E3" w:rsidRDefault="00DF60DE" w:rsidP="00DF60DE">
      <w:pPr>
        <w:pStyle w:val="Equation"/>
        <w:rPr>
          <w:noProof/>
          <w:lang w:val="fr-CH"/>
        </w:rPr>
      </w:pPr>
      <w:r w:rsidRPr="005046E3">
        <w:rPr>
          <w:b/>
          <w:lang w:val="fr-CH"/>
        </w:rPr>
        <w:lastRenderedPageBreak/>
        <w:tab/>
      </w:r>
      <w:r w:rsidRPr="005046E3">
        <w:rPr>
          <w:b/>
          <w:lang w:val="fr-CH"/>
        </w:rPr>
        <w:tab/>
      </w:r>
      <w:r w:rsidRPr="005046E3">
        <w:rPr>
          <w:lang w:val="fr-CH"/>
        </w:rPr>
        <w:t>(1–</w:t>
      </w:r>
      <w:r w:rsidRPr="005046E3">
        <w:rPr>
          <w:i/>
          <w:iCs/>
          <w:lang w:val="fr-CH"/>
        </w:rPr>
        <w:t>PDC</w:t>
      </w:r>
      <w:r w:rsidRPr="005046E3">
        <w:rPr>
          <w:i/>
          <w:iCs/>
          <w:vertAlign w:val="subscript"/>
          <w:lang w:val="fr-CH"/>
        </w:rPr>
        <w:t>LIM</w:t>
      </w:r>
      <w:r w:rsidRPr="005046E3">
        <w:rPr>
          <w:vertAlign w:val="subscript"/>
          <w:lang w:val="fr-CH"/>
        </w:rPr>
        <w:t>+</w:t>
      </w:r>
      <w:r w:rsidRPr="005046E3">
        <w:rPr>
          <w:i/>
          <w:iCs/>
          <w:vertAlign w:val="subscript"/>
          <w:lang w:val="fr-CH"/>
        </w:rPr>
        <w:t>Y</w:t>
      </w:r>
      <w:r w:rsidRPr="005046E3">
        <w:rPr>
          <w:lang w:val="fr-CH"/>
        </w:rPr>
        <w:t xml:space="preserve">) = </w:t>
      </w:r>
      <w:r w:rsidRPr="005046E3">
        <w:rPr>
          <w:noProof/>
          <w:lang w:val="fr-CH"/>
        </w:rPr>
        <w:t>(1</w:t>
      </w:r>
      <w:r w:rsidRPr="005046E3">
        <w:rPr>
          <w:b/>
          <w:lang w:val="fr-CH"/>
        </w:rPr>
        <w:t>–</w:t>
      </w:r>
      <w:r w:rsidRPr="005046E3">
        <w:rPr>
          <w:i/>
          <w:iCs/>
          <w:noProof/>
          <w:lang w:val="fr-CH"/>
        </w:rPr>
        <w:t>PDC</w:t>
      </w:r>
      <w:r w:rsidRPr="005046E3">
        <w:rPr>
          <w:i/>
          <w:iCs/>
          <w:noProof/>
          <w:vertAlign w:val="subscript"/>
          <w:lang w:val="fr-CH"/>
        </w:rPr>
        <w:t>LIM</w:t>
      </w:r>
      <w:r w:rsidRPr="005046E3">
        <w:rPr>
          <w:noProof/>
          <w:lang w:val="fr-CH"/>
        </w:rPr>
        <w:t>)(1</w:t>
      </w:r>
      <w:r w:rsidRPr="005046E3">
        <w:rPr>
          <w:b/>
          <w:lang w:val="fr-CH"/>
        </w:rPr>
        <w:t>–</w:t>
      </w:r>
      <w:r w:rsidRPr="005046E3">
        <w:rPr>
          <w:i/>
          <w:iCs/>
          <w:noProof/>
          <w:lang w:val="fr-CH"/>
        </w:rPr>
        <w:t>PDC</w:t>
      </w:r>
      <w:r w:rsidRPr="005046E3">
        <w:rPr>
          <w:i/>
          <w:iCs/>
          <w:noProof/>
          <w:vertAlign w:val="subscript"/>
          <w:lang w:val="fr-CH"/>
        </w:rPr>
        <w:t>Y</w:t>
      </w:r>
      <w:r w:rsidRPr="005046E3">
        <w:rPr>
          <w:noProof/>
          <w:lang w:val="fr-CH"/>
        </w:rPr>
        <w:t xml:space="preserve">) et </w:t>
      </w:r>
      <w:r w:rsidRPr="005046E3">
        <w:rPr>
          <w:i/>
          <w:iCs/>
          <w:noProof/>
          <w:lang w:val="fr-CH"/>
        </w:rPr>
        <w:t>R</w:t>
      </w:r>
      <w:r w:rsidRPr="005046E3">
        <w:rPr>
          <w:i/>
          <w:iCs/>
          <w:noProof/>
          <w:vertAlign w:val="subscript"/>
          <w:lang w:val="fr-CH"/>
        </w:rPr>
        <w:t>I</w:t>
      </w:r>
      <w:r w:rsidRPr="005046E3">
        <w:rPr>
          <w:noProof/>
          <w:vertAlign w:val="subscript"/>
          <w:lang w:val="fr-CH"/>
        </w:rPr>
        <w:t>+</w:t>
      </w:r>
      <w:r w:rsidRPr="005046E3">
        <w:rPr>
          <w:i/>
          <w:iCs/>
          <w:noProof/>
          <w:vertAlign w:val="subscript"/>
          <w:lang w:val="fr-CH"/>
        </w:rPr>
        <w:t>Y</w:t>
      </w:r>
      <w:r w:rsidRPr="005046E3">
        <w:rPr>
          <w:noProof/>
          <w:lang w:val="fr-CH"/>
        </w:rPr>
        <w:t xml:space="preserve"> = </w:t>
      </w:r>
      <w:r w:rsidRPr="005046E3">
        <w:rPr>
          <w:i/>
          <w:iCs/>
          <w:noProof/>
          <w:lang w:val="fr-CH"/>
        </w:rPr>
        <w:t>R</w:t>
      </w:r>
      <w:r w:rsidRPr="005046E3">
        <w:rPr>
          <w:i/>
          <w:iCs/>
          <w:noProof/>
          <w:vertAlign w:val="subscript"/>
          <w:lang w:val="fr-CH"/>
        </w:rPr>
        <w:t>I</w:t>
      </w:r>
      <w:r w:rsidRPr="005046E3">
        <w:rPr>
          <w:noProof/>
          <w:lang w:val="fr-CH"/>
        </w:rPr>
        <w:t xml:space="preserve"> + </w:t>
      </w:r>
      <w:r w:rsidRPr="005046E3">
        <w:rPr>
          <w:i/>
          <w:iCs/>
          <w:noProof/>
          <w:lang w:val="fr-CH"/>
        </w:rPr>
        <w:t>R</w:t>
      </w:r>
      <w:r w:rsidRPr="005046E3">
        <w:rPr>
          <w:i/>
          <w:iCs/>
          <w:noProof/>
          <w:vertAlign w:val="subscript"/>
          <w:lang w:val="fr-CH"/>
        </w:rPr>
        <w:t>Y</w:t>
      </w:r>
    </w:p>
    <w:p w:rsidR="00DF60DE" w:rsidRPr="005046E3" w:rsidRDefault="00DF60DE" w:rsidP="00DF60DE">
      <w:pPr>
        <w:spacing w:before="240"/>
        <w:rPr>
          <w:lang w:val="fr-CH"/>
        </w:rPr>
      </w:pPr>
      <w:r w:rsidRPr="005046E3">
        <w:rPr>
          <w:lang w:val="fr-CH"/>
        </w:rPr>
        <w:t xml:space="preserve">où </w:t>
      </w:r>
      <w:r w:rsidRPr="005046E3">
        <w:rPr>
          <w:i/>
          <w:iCs/>
          <w:lang w:val="fr-CH"/>
        </w:rPr>
        <w:t>PDC</w:t>
      </w:r>
      <w:r w:rsidRPr="005046E3">
        <w:rPr>
          <w:i/>
          <w:iCs/>
          <w:vertAlign w:val="subscript"/>
          <w:lang w:val="fr-CH"/>
        </w:rPr>
        <w:t>LIM</w:t>
      </w:r>
      <w:r w:rsidRPr="005046E3">
        <w:rPr>
          <w:lang w:val="fr-CH"/>
        </w:rPr>
        <w:t xml:space="preserve"> et </w:t>
      </w:r>
      <w:r w:rsidRPr="005046E3">
        <w:rPr>
          <w:i/>
          <w:iCs/>
          <w:noProof/>
          <w:lang w:val="fr-CH"/>
        </w:rPr>
        <w:t>R</w:t>
      </w:r>
      <w:r w:rsidRPr="005046E3">
        <w:rPr>
          <w:i/>
          <w:iCs/>
          <w:noProof/>
          <w:vertAlign w:val="subscript"/>
          <w:lang w:val="fr-CH"/>
        </w:rPr>
        <w:t>I</w:t>
      </w:r>
      <w:r w:rsidRPr="005046E3">
        <w:rPr>
          <w:lang w:val="fr-CH"/>
        </w:rPr>
        <w:t xml:space="preserve"> représentent les paramètres de brouillage radioélectrique par impulsions d</w:t>
      </w:r>
      <w:r>
        <w:rPr>
          <w:lang w:val="fr-CH"/>
        </w:rPr>
        <w:t>ans</w:t>
      </w:r>
      <w:r w:rsidRPr="005046E3">
        <w:rPr>
          <w:lang w:val="fr-CH"/>
        </w:rPr>
        <w:t xml:space="preserve"> l'environnement de référence et </w:t>
      </w:r>
      <w:r w:rsidRPr="005046E3">
        <w:rPr>
          <w:i/>
          <w:iCs/>
          <w:lang w:val="fr-CH"/>
        </w:rPr>
        <w:t>PDC</w:t>
      </w:r>
      <w:r w:rsidRPr="005046E3">
        <w:rPr>
          <w:i/>
          <w:iCs/>
          <w:vertAlign w:val="subscript"/>
          <w:lang w:val="fr-CH"/>
        </w:rPr>
        <w:t>Y</w:t>
      </w:r>
      <w:r w:rsidRPr="005046E3">
        <w:rPr>
          <w:lang w:val="fr-CH"/>
        </w:rPr>
        <w:t xml:space="preserve"> et </w:t>
      </w:r>
      <w:r w:rsidRPr="005046E3">
        <w:rPr>
          <w:i/>
          <w:iCs/>
          <w:noProof/>
          <w:lang w:val="fr-CH"/>
        </w:rPr>
        <w:t>R</w:t>
      </w:r>
      <w:r w:rsidRPr="005046E3">
        <w:rPr>
          <w:i/>
          <w:iCs/>
          <w:noProof/>
          <w:vertAlign w:val="subscript"/>
          <w:lang w:val="fr-CH"/>
        </w:rPr>
        <w:t>Y</w:t>
      </w:r>
      <w:r w:rsidRPr="005046E3">
        <w:rPr>
          <w:noProof/>
          <w:lang w:val="fr-CH"/>
        </w:rPr>
        <w:t xml:space="preserve"> représentent les paramètres de brouillage radioélectrique par impulsions </w:t>
      </w:r>
      <w:r>
        <w:rPr>
          <w:noProof/>
          <w:lang w:val="fr-CH"/>
        </w:rPr>
        <w:t xml:space="preserve">causé par le </w:t>
      </w:r>
      <w:r w:rsidRPr="005046E3">
        <w:rPr>
          <w:noProof/>
          <w:lang w:val="fr-CH"/>
        </w:rPr>
        <w:t xml:space="preserve">groupe de sources </w:t>
      </w:r>
      <w:r>
        <w:rPr>
          <w:noProof/>
          <w:lang w:val="fr-CH"/>
        </w:rPr>
        <w:t>supplémentaires</w:t>
      </w:r>
      <w:r w:rsidRPr="005046E3">
        <w:rPr>
          <w:noProof/>
          <w:lang w:val="fr-CH"/>
        </w:rPr>
        <w:t>. Comme pour le cas 1, le rapport de dégradation est alors défini par extension grâce à l'équation</w:t>
      </w:r>
      <w:r w:rsidRPr="005046E3">
        <w:rPr>
          <w:lang w:val="fr-CH"/>
        </w:rPr>
        <w:t xml:space="preserve"> (5) comme suit:</w:t>
      </w:r>
    </w:p>
    <w:p w:rsidR="00DF60DE" w:rsidRPr="005046E3" w:rsidRDefault="00DF60DE" w:rsidP="00DF60DE">
      <w:pPr>
        <w:pStyle w:val="Equation"/>
        <w:rPr>
          <w:lang w:val="fr-CH"/>
        </w:rPr>
      </w:pPr>
      <w:r>
        <w:object w:dxaOrig="8745" w:dyaOrig="3045">
          <v:shape id="_x0000_i1037" type="#_x0000_t75" style="width:435.25pt;height:152.4pt" o:ole="">
            <v:imagedata r:id="rId36" o:title=""/>
          </v:shape>
          <o:OLEObject Type="Embed" ProgID="Equation.DSMT4" ShapeID="_x0000_i1037" DrawAspect="Content" ObjectID="_1476173512" r:id="rId37"/>
        </w:object>
      </w:r>
      <w:r w:rsidRPr="005046E3">
        <w:rPr>
          <w:lang w:val="fr-CH"/>
        </w:rPr>
        <w:tab/>
        <w:t>(7)</w:t>
      </w:r>
    </w:p>
    <w:p w:rsidR="00DF60DE" w:rsidRPr="005046E3" w:rsidRDefault="00DF60DE" w:rsidP="00DF60DE">
      <w:pPr>
        <w:rPr>
          <w:lang w:val="fr-CH"/>
        </w:rPr>
      </w:pPr>
      <w:r w:rsidRPr="005046E3">
        <w:rPr>
          <w:lang w:val="fr-CH"/>
        </w:rPr>
        <w:t xml:space="preserve">Si en plus, le récepteur du SRNS est à limitation stricte, </w:t>
      </w:r>
      <w:r w:rsidRPr="005046E3">
        <w:rPr>
          <w:i/>
          <w:iCs/>
          <w:lang w:val="fr-CH"/>
        </w:rPr>
        <w:t>N</w:t>
      </w:r>
      <w:r w:rsidRPr="005046E3">
        <w:rPr>
          <w:i/>
          <w:iCs/>
          <w:vertAlign w:val="subscript"/>
          <w:lang w:val="fr-CH"/>
        </w:rPr>
        <w:t>LIM</w:t>
      </w:r>
      <w:r w:rsidRPr="005046E3">
        <w:rPr>
          <w:lang w:val="fr-CH"/>
        </w:rPr>
        <w:t xml:space="preserve"> = 1 et </w:t>
      </w:r>
      <w:r w:rsidRPr="005046E3">
        <w:rPr>
          <w:i/>
          <w:iCs/>
          <w:lang w:val="fr-CH"/>
        </w:rPr>
        <w:t>R</w:t>
      </w:r>
      <w:r w:rsidRPr="005046E3">
        <w:rPr>
          <w:i/>
          <w:iCs/>
          <w:vertAlign w:val="subscript"/>
          <w:lang w:val="fr-CH"/>
        </w:rPr>
        <w:t>I</w:t>
      </w:r>
      <w:r w:rsidRPr="005046E3">
        <w:rPr>
          <w:lang w:val="fr-CH"/>
        </w:rPr>
        <w:t xml:space="preserve"> = </w:t>
      </w:r>
      <w:r w:rsidRPr="005046E3">
        <w:rPr>
          <w:i/>
          <w:iCs/>
          <w:lang w:val="fr-CH"/>
        </w:rPr>
        <w:t>R</w:t>
      </w:r>
      <w:r w:rsidRPr="005046E3">
        <w:rPr>
          <w:i/>
          <w:iCs/>
          <w:vertAlign w:val="subscript"/>
          <w:lang w:val="fr-CH"/>
        </w:rPr>
        <w:t>Y</w:t>
      </w:r>
      <w:r w:rsidRPr="005046E3">
        <w:rPr>
          <w:lang w:val="fr-CH"/>
        </w:rPr>
        <w:t xml:space="preserve"> </w:t>
      </w:r>
      <w:r>
        <w:rPr>
          <w:szCs w:val="24"/>
        </w:rPr>
        <w:sym w:font="Symbol" w:char="F040"/>
      </w:r>
      <w:r w:rsidRPr="005046E3">
        <w:rPr>
          <w:lang w:val="fr-CH"/>
        </w:rPr>
        <w:t xml:space="preserve"> 0, alors le rapport de dégradation est simplifié comme suit:</w:t>
      </w:r>
    </w:p>
    <w:p w:rsidR="00DF60DE" w:rsidRPr="005046E3" w:rsidRDefault="00DF60DE" w:rsidP="00DF60DE">
      <w:pPr>
        <w:pStyle w:val="Equation"/>
        <w:rPr>
          <w:lang w:val="fr-CH"/>
        </w:rPr>
      </w:pPr>
      <w:r w:rsidRPr="005046E3">
        <w:rPr>
          <w:lang w:val="fr-CH"/>
        </w:rPr>
        <w:tab/>
      </w:r>
      <w:r w:rsidRPr="005046E3">
        <w:rPr>
          <w:lang w:val="fr-CH"/>
        </w:rPr>
        <w:tab/>
      </w:r>
      <w:r w:rsidRPr="009D620C">
        <w:rPr>
          <w:position w:val="-32"/>
        </w:rPr>
        <w:object w:dxaOrig="2940" w:dyaOrig="700">
          <v:shape id="_x0000_i1038" type="#_x0000_t75" style="width:147.75pt;height:35.05pt" o:ole="">
            <v:imagedata r:id="rId38" o:title=""/>
          </v:shape>
          <o:OLEObject Type="Embed" ProgID="Equation.3" ShapeID="_x0000_i1038" DrawAspect="Content" ObjectID="_1476173513" r:id="rId39"/>
        </w:object>
      </w:r>
      <w:r w:rsidRPr="005046E3">
        <w:rPr>
          <w:lang w:val="fr-CH"/>
        </w:rPr>
        <w:tab/>
        <w:t>(7a)</w:t>
      </w:r>
    </w:p>
    <w:p w:rsidR="00DF60DE" w:rsidRPr="005046E3" w:rsidRDefault="00DF60DE" w:rsidP="00DF60DE">
      <w:pPr>
        <w:pStyle w:val="Heading3"/>
        <w:rPr>
          <w:lang w:val="fr-CH"/>
        </w:rPr>
      </w:pPr>
      <w:r w:rsidRPr="005046E3">
        <w:rPr>
          <w:lang w:val="fr-CH"/>
        </w:rPr>
        <w:t>3.2.2</w:t>
      </w:r>
      <w:r w:rsidRPr="005046E3">
        <w:rPr>
          <w:lang w:val="fr-CH"/>
        </w:rPr>
        <w:tab/>
        <w:t xml:space="preserve">Récepteur du SRNS </w:t>
      </w:r>
      <w:r>
        <w:rPr>
          <w:lang w:val="fr-CH"/>
        </w:rPr>
        <w:t xml:space="preserve">en état de </w:t>
      </w:r>
      <w:r w:rsidRPr="005046E3">
        <w:rPr>
          <w:lang w:val="fr-CH"/>
        </w:rPr>
        <w:t>saturation – Cas de référence où le brouillage radioélectrique par impulsion</w:t>
      </w:r>
      <w:r>
        <w:rPr>
          <w:lang w:val="fr-CH"/>
        </w:rPr>
        <w:t>s</w:t>
      </w:r>
      <w:r w:rsidRPr="005046E3">
        <w:rPr>
          <w:lang w:val="fr-CH"/>
        </w:rPr>
        <w:t xml:space="preserve"> est égal à zéro (cas 2b)</w:t>
      </w:r>
    </w:p>
    <w:p w:rsidR="00DF60DE" w:rsidRPr="005046E3" w:rsidRDefault="00DF60DE" w:rsidP="00DF60DE">
      <w:pPr>
        <w:rPr>
          <w:lang w:val="fr-CH"/>
        </w:rPr>
      </w:pPr>
      <w:r>
        <w:rPr>
          <w:lang w:val="fr-CH"/>
        </w:rPr>
        <w:t>Dans le sous-cas où</w:t>
      </w:r>
      <w:r w:rsidRPr="005046E3">
        <w:rPr>
          <w:lang w:val="fr-CH"/>
        </w:rPr>
        <w:t xml:space="preserve"> l'on part de l'hypothèse qu'il n'y a pas de brouillage radioélectrique </w:t>
      </w:r>
      <w:r>
        <w:rPr>
          <w:lang w:val="fr-CH"/>
        </w:rPr>
        <w:t xml:space="preserve">par impulsions </w:t>
      </w:r>
      <w:r w:rsidRPr="005046E3">
        <w:rPr>
          <w:lang w:val="fr-CH"/>
        </w:rPr>
        <w:t xml:space="preserve">dans l'environnement de référence (en d'autres termes, les valeurs de référence pour </w:t>
      </w:r>
      <w:r w:rsidRPr="005046E3">
        <w:rPr>
          <w:i/>
          <w:lang w:val="fr-CH"/>
        </w:rPr>
        <w:t>PDC</w:t>
      </w:r>
      <w:r w:rsidRPr="005046E3">
        <w:rPr>
          <w:lang w:val="fr-CH"/>
        </w:rPr>
        <w:t xml:space="preserve"> et </w:t>
      </w:r>
      <w:r w:rsidRPr="005046E3">
        <w:rPr>
          <w:i/>
          <w:lang w:val="fr-CH"/>
        </w:rPr>
        <w:t>R</w:t>
      </w:r>
      <w:r w:rsidRPr="005046E3">
        <w:rPr>
          <w:i/>
          <w:vertAlign w:val="subscript"/>
          <w:lang w:val="fr-CH"/>
        </w:rPr>
        <w:t>I</w:t>
      </w:r>
      <w:r w:rsidRPr="005046E3">
        <w:rPr>
          <w:lang w:val="fr-CH"/>
        </w:rPr>
        <w:t xml:space="preserve"> = 0) et que l'on introduit un groupe de sources d'impulsions de saturation Y (paramètres relatifs au brouillage radioélectrique par impulsions </w:t>
      </w:r>
      <w:r w:rsidRPr="005046E3">
        <w:rPr>
          <w:i/>
          <w:iCs/>
          <w:lang w:val="fr-CH"/>
        </w:rPr>
        <w:t>PDC</w:t>
      </w:r>
      <w:r w:rsidRPr="005046E3">
        <w:rPr>
          <w:i/>
          <w:iCs/>
          <w:vertAlign w:val="subscript"/>
          <w:lang w:val="fr-CH"/>
        </w:rPr>
        <w:t>Y</w:t>
      </w:r>
      <w:r w:rsidRPr="005046E3">
        <w:rPr>
          <w:lang w:val="fr-CH"/>
        </w:rPr>
        <w:t xml:space="preserve"> et </w:t>
      </w:r>
      <w:r w:rsidRPr="005046E3">
        <w:rPr>
          <w:i/>
          <w:iCs/>
          <w:noProof/>
          <w:lang w:val="fr-CH"/>
        </w:rPr>
        <w:t>R</w:t>
      </w:r>
      <w:r w:rsidRPr="005046E3">
        <w:rPr>
          <w:i/>
          <w:iCs/>
          <w:noProof/>
          <w:vertAlign w:val="subscript"/>
          <w:lang w:val="fr-CH"/>
        </w:rPr>
        <w:t>Y</w:t>
      </w:r>
      <w:r w:rsidRPr="005046E3">
        <w:rPr>
          <w:iCs/>
          <w:noProof/>
          <w:lang w:val="fr-CH"/>
        </w:rPr>
        <w:t>)</w:t>
      </w:r>
      <w:r w:rsidRPr="005046E3">
        <w:rPr>
          <w:lang w:val="fr-CH"/>
        </w:rPr>
        <w:t>, alors le rapport de dégradation est défini comme suit:</w:t>
      </w:r>
      <w:bookmarkStart w:id="4" w:name="_GoBack"/>
      <w:bookmarkEnd w:id="4"/>
    </w:p>
    <w:p w:rsidR="00DF60DE" w:rsidRPr="005046E3" w:rsidRDefault="00DF60DE" w:rsidP="00DF60DE">
      <w:pPr>
        <w:pStyle w:val="Equation"/>
        <w:rPr>
          <w:lang w:val="fr-CH"/>
        </w:rPr>
      </w:pPr>
      <w:r w:rsidRPr="005046E3">
        <w:rPr>
          <w:lang w:val="fr-CH"/>
        </w:rPr>
        <w:tab/>
      </w:r>
      <w:r w:rsidRPr="005046E3">
        <w:rPr>
          <w:lang w:val="fr-CH"/>
        </w:rPr>
        <w:tab/>
      </w:r>
      <w:r>
        <w:rPr>
          <w:position w:val="-146"/>
        </w:rPr>
        <w:object w:dxaOrig="6195" w:dyaOrig="3045">
          <v:shape id="_x0000_i1039" type="#_x0000_t75" style="width:309.95pt;height:152.4pt" o:ole="">
            <v:imagedata r:id="rId40" o:title=""/>
          </v:shape>
          <o:OLEObject Type="Embed" ProgID="Equation.DSMT4" ShapeID="_x0000_i1039" DrawAspect="Content" ObjectID="_1476173514" r:id="rId41"/>
        </w:object>
      </w:r>
      <w:r w:rsidRPr="005046E3">
        <w:rPr>
          <w:lang w:val="fr-CH"/>
        </w:rPr>
        <w:tab/>
        <w:t>(8)</w:t>
      </w:r>
    </w:p>
    <w:p w:rsidR="00DF60DE" w:rsidRPr="005046E3" w:rsidRDefault="00DF60DE" w:rsidP="00DF60DE">
      <w:pPr>
        <w:rPr>
          <w:lang w:val="fr-CH"/>
        </w:rPr>
      </w:pPr>
      <w:r w:rsidRPr="005046E3">
        <w:rPr>
          <w:lang w:val="fr-CH"/>
        </w:rPr>
        <w:t xml:space="preserve">Si en plus, le récepteur est à limitation stricte, </w:t>
      </w:r>
      <w:r w:rsidRPr="005046E3">
        <w:rPr>
          <w:i/>
          <w:iCs/>
          <w:lang w:val="fr-CH"/>
        </w:rPr>
        <w:t>N</w:t>
      </w:r>
      <w:r w:rsidRPr="005046E3">
        <w:rPr>
          <w:i/>
          <w:iCs/>
          <w:vertAlign w:val="subscript"/>
          <w:lang w:val="fr-CH"/>
        </w:rPr>
        <w:t>LIM</w:t>
      </w:r>
      <w:r w:rsidRPr="005046E3">
        <w:rPr>
          <w:lang w:val="fr-CH"/>
        </w:rPr>
        <w:t xml:space="preserve"> = 1 et </w:t>
      </w:r>
      <w:r w:rsidRPr="005046E3">
        <w:rPr>
          <w:i/>
          <w:iCs/>
          <w:lang w:val="fr-CH"/>
        </w:rPr>
        <w:t>R</w:t>
      </w:r>
      <w:r w:rsidRPr="005046E3">
        <w:rPr>
          <w:i/>
          <w:iCs/>
          <w:vertAlign w:val="subscript"/>
          <w:lang w:val="fr-CH"/>
        </w:rPr>
        <w:t>Y</w:t>
      </w:r>
      <w:r w:rsidRPr="005046E3">
        <w:rPr>
          <w:lang w:val="fr-CH"/>
        </w:rPr>
        <w:t xml:space="preserve"> </w:t>
      </w:r>
      <w:r>
        <w:rPr>
          <w:szCs w:val="24"/>
        </w:rPr>
        <w:sym w:font="Symbol" w:char="F040"/>
      </w:r>
      <w:r w:rsidRPr="005046E3">
        <w:rPr>
          <w:lang w:val="fr-CH"/>
        </w:rPr>
        <w:t xml:space="preserve"> 0, alors le rapport de dégradation devient identique à l'équation (7a), à savoir:</w:t>
      </w:r>
    </w:p>
    <w:p w:rsidR="00DF60DE" w:rsidRDefault="00DF60DE" w:rsidP="00DF60DE">
      <w:pPr>
        <w:pStyle w:val="Equation"/>
      </w:pPr>
      <w:r w:rsidRPr="005046E3">
        <w:rPr>
          <w:lang w:val="fr-CH"/>
        </w:rPr>
        <w:tab/>
      </w:r>
      <w:r w:rsidRPr="005046E3">
        <w:rPr>
          <w:lang w:val="fr-CH"/>
        </w:rPr>
        <w:tab/>
      </w:r>
      <w:r w:rsidRPr="009D620C">
        <w:rPr>
          <w:position w:val="-32"/>
        </w:rPr>
        <w:object w:dxaOrig="2940" w:dyaOrig="700">
          <v:shape id="_x0000_i1040" type="#_x0000_t75" style="width:147.75pt;height:35.05pt" o:ole="">
            <v:imagedata r:id="rId42" o:title=""/>
          </v:shape>
          <o:OLEObject Type="Embed" ProgID="Equation.3" ShapeID="_x0000_i1040" DrawAspect="Content" ObjectID="_1476173515" r:id="rId43"/>
        </w:object>
      </w:r>
      <w:r>
        <w:tab/>
      </w:r>
    </w:p>
    <w:p w:rsidR="00DF60DE" w:rsidRPr="005046E3" w:rsidRDefault="00DF60DE" w:rsidP="00DF60DE">
      <w:pPr>
        <w:pStyle w:val="Heading1"/>
        <w:rPr>
          <w:lang w:val="fr-CH"/>
        </w:rPr>
      </w:pPr>
      <w:r w:rsidRPr="005046E3">
        <w:rPr>
          <w:lang w:val="fr-CH"/>
        </w:rPr>
        <w:lastRenderedPageBreak/>
        <w:t>4</w:t>
      </w:r>
      <w:r w:rsidRPr="005046E3">
        <w:rPr>
          <w:lang w:val="fr-CH"/>
        </w:rPr>
        <w:tab/>
        <w:t>Rapports de dégradation admissibles et paramètres associés dans la méthode d'évaluation</w:t>
      </w:r>
    </w:p>
    <w:p w:rsidR="00DF60DE" w:rsidRPr="005046E3" w:rsidRDefault="00DF60DE" w:rsidP="00DF60DE">
      <w:pPr>
        <w:rPr>
          <w:lang w:val="fr-CH"/>
        </w:rPr>
      </w:pPr>
      <w:r w:rsidRPr="005046E3">
        <w:rPr>
          <w:lang w:val="fr-CH"/>
        </w:rPr>
        <w:t>Le Tableau 1 donne des paramètres de référence et des rapports de dégradation admissible</w:t>
      </w:r>
      <w:r>
        <w:rPr>
          <w:lang w:val="fr-CH"/>
        </w:rPr>
        <w:t>s</w:t>
      </w:r>
      <w:r>
        <w:rPr>
          <w:rStyle w:val="FootnoteReference"/>
          <w:lang w:val="en-US"/>
        </w:rPr>
        <w:footnoteReference w:id="10"/>
      </w:r>
      <w:r w:rsidRPr="005046E3">
        <w:rPr>
          <w:lang w:val="fr-CH"/>
        </w:rPr>
        <w:t xml:space="preserve"> à utiliser pour procéder à une évaluation préliminaire du brouillage par impulsions que les sources radioélectriques pertinentes autres que celles du SRNS sont susceptibles de causer à un système ou réseau du SRNS fonctionnant dans la bande 1 164-1 215 MHz. Les types de récepteurs du SRNS figurant dans le </w:t>
      </w:r>
      <w:r>
        <w:rPr>
          <w:lang w:val="fr-CH"/>
        </w:rPr>
        <w:t>T</w:t>
      </w:r>
      <w:r w:rsidRPr="005046E3">
        <w:rPr>
          <w:lang w:val="fr-CH"/>
        </w:rPr>
        <w:t>ableau sont tirés de la Recommandation UIT-R M.1905. Si l'analyse de la source de brouillage par impulsions additionnel</w:t>
      </w:r>
      <w:r>
        <w:rPr>
          <w:lang w:val="fr-CH"/>
        </w:rPr>
        <w:t xml:space="preserve"> montre que le </w:t>
      </w:r>
      <w:r w:rsidRPr="005046E3">
        <w:rPr>
          <w:lang w:val="fr-CH"/>
        </w:rPr>
        <w:t>rapport de dégradation en dB (10</w:t>
      </w:r>
      <w:r w:rsidRPr="005046E3">
        <w:rPr>
          <w:szCs w:val="24"/>
          <w:lang w:val="fr-CH"/>
        </w:rPr>
        <w:t> </w:t>
      </w:r>
      <w:r w:rsidRPr="005046E3">
        <w:rPr>
          <w:lang w:val="fr-CH"/>
        </w:rPr>
        <w:t>log</w:t>
      </w:r>
      <w:r w:rsidRPr="005046E3">
        <w:rPr>
          <w:vertAlign w:val="subscript"/>
          <w:lang w:val="fr-CH"/>
        </w:rPr>
        <w:t>10</w:t>
      </w:r>
      <w:r w:rsidRPr="005046E3">
        <w:rPr>
          <w:lang w:val="fr-CH"/>
        </w:rPr>
        <w:t>(</w:t>
      </w:r>
      <w:r w:rsidRPr="005046E3">
        <w:rPr>
          <w:i/>
          <w:lang w:val="fr-CH"/>
        </w:rPr>
        <w:t>N</w:t>
      </w:r>
      <w:r w:rsidRPr="005046E3">
        <w:rPr>
          <w:vertAlign w:val="subscript"/>
          <w:lang w:val="fr-CH"/>
        </w:rPr>
        <w:t>0</w:t>
      </w:r>
      <w:r w:rsidRPr="005046E3">
        <w:rPr>
          <w:i/>
          <w:vertAlign w:val="subscript"/>
          <w:lang w:val="fr-CH"/>
        </w:rPr>
        <w:t>,EFF+Y</w:t>
      </w:r>
      <w:r w:rsidRPr="005046E3">
        <w:rPr>
          <w:i/>
          <w:lang w:val="fr-CH"/>
        </w:rPr>
        <w:t>/N</w:t>
      </w:r>
      <w:r w:rsidRPr="005046E3">
        <w:rPr>
          <w:vertAlign w:val="subscript"/>
          <w:lang w:val="fr-CH"/>
        </w:rPr>
        <w:t>0</w:t>
      </w:r>
      <w:r w:rsidRPr="005046E3">
        <w:rPr>
          <w:i/>
          <w:vertAlign w:val="subscript"/>
          <w:lang w:val="fr-CH"/>
        </w:rPr>
        <w:t>,EFF</w:t>
      </w:r>
      <w:r w:rsidRPr="005046E3">
        <w:rPr>
          <w:lang w:val="fr-CH"/>
        </w:rPr>
        <w:t xml:space="preserve">)) </w:t>
      </w:r>
      <w:r>
        <w:rPr>
          <w:lang w:val="fr-CH"/>
        </w:rPr>
        <w:t xml:space="preserve">est </w:t>
      </w:r>
      <w:r w:rsidRPr="005046E3">
        <w:rPr>
          <w:lang w:val="fr-CH"/>
        </w:rPr>
        <w:t xml:space="preserve">supérieur au rapport de dégradation admissible pour un type de récepteurs du SRNS figurant dans le Tableau 1, il faudra alors peut-être procéder à une analyse plus détaillée </w:t>
      </w:r>
      <w:r>
        <w:rPr>
          <w:lang w:val="fr-CH"/>
        </w:rPr>
        <w:t xml:space="preserve">des incidences </w:t>
      </w:r>
      <w:r w:rsidRPr="005046E3">
        <w:rPr>
          <w:lang w:val="fr-CH"/>
        </w:rPr>
        <w:t>du brouillage par impulsion</w:t>
      </w:r>
      <w:r>
        <w:rPr>
          <w:lang w:val="fr-CH"/>
        </w:rPr>
        <w:t>s</w:t>
      </w:r>
      <w:r w:rsidRPr="005046E3">
        <w:rPr>
          <w:lang w:val="fr-CH"/>
        </w:rPr>
        <w:t xml:space="preserve"> additionnel pour déterminer si </w:t>
      </w:r>
      <w:r>
        <w:rPr>
          <w:lang w:val="fr-CH"/>
        </w:rPr>
        <w:t xml:space="preserve">ce </w:t>
      </w:r>
      <w:r w:rsidRPr="005046E3">
        <w:rPr>
          <w:lang w:val="fr-CH"/>
        </w:rPr>
        <w:t xml:space="preserve">brouillage </w:t>
      </w:r>
      <w:r>
        <w:rPr>
          <w:lang w:val="fr-CH"/>
        </w:rPr>
        <w:t xml:space="preserve">additionnel </w:t>
      </w:r>
      <w:r w:rsidRPr="005046E3">
        <w:rPr>
          <w:lang w:val="fr-CH"/>
        </w:rPr>
        <w:t xml:space="preserve">est ou n'est pas acceptable pour le récepteur du SRNS affecté. Les paramètres </w:t>
      </w:r>
      <w:r>
        <w:rPr>
          <w:lang w:val="fr-CH"/>
        </w:rPr>
        <w:t xml:space="preserve">de référence </w:t>
      </w:r>
      <w:r w:rsidRPr="005046E3">
        <w:rPr>
          <w:lang w:val="fr-CH"/>
        </w:rPr>
        <w:t>donnés pour la méthode d'évaluation du brouillage</w:t>
      </w:r>
      <w:r>
        <w:rPr>
          <w:lang w:val="fr-CH"/>
        </w:rPr>
        <w:t xml:space="preserve"> radioélectrique par impulsions</w:t>
      </w:r>
      <w:r w:rsidRPr="005046E3">
        <w:rPr>
          <w:lang w:val="fr-CH"/>
        </w:rPr>
        <w:t xml:space="preserve">, </w:t>
      </w:r>
      <w:r w:rsidRPr="005046E3">
        <w:rPr>
          <w:i/>
          <w:lang w:val="fr-CH"/>
        </w:rPr>
        <w:t>PDC</w:t>
      </w:r>
      <w:r w:rsidRPr="005046E3">
        <w:rPr>
          <w:lang w:val="fr-CH"/>
        </w:rPr>
        <w:t xml:space="preserve"> et </w:t>
      </w:r>
      <w:r w:rsidRPr="005046E3">
        <w:rPr>
          <w:i/>
          <w:lang w:val="fr-CH"/>
        </w:rPr>
        <w:t>R</w:t>
      </w:r>
      <w:r w:rsidRPr="005046E3">
        <w:rPr>
          <w:i/>
          <w:vertAlign w:val="subscript"/>
          <w:lang w:val="fr-CH"/>
        </w:rPr>
        <w:t>I</w:t>
      </w:r>
      <w:r w:rsidRPr="005046E3">
        <w:rPr>
          <w:lang w:val="fr-CH"/>
        </w:rPr>
        <w:t>, et le paramètre relatif au br</w:t>
      </w:r>
      <w:r>
        <w:rPr>
          <w:lang w:val="fr-CH"/>
        </w:rPr>
        <w:t>o</w:t>
      </w:r>
      <w:r w:rsidRPr="005046E3">
        <w:rPr>
          <w:lang w:val="fr-CH"/>
        </w:rPr>
        <w:t xml:space="preserve">uillage radioélectrique continu, </w:t>
      </w:r>
      <w:r w:rsidRPr="005046E3">
        <w:rPr>
          <w:i/>
          <w:lang w:val="fr-CH"/>
        </w:rPr>
        <w:t>I</w:t>
      </w:r>
      <w:r w:rsidRPr="005046E3">
        <w:rPr>
          <w:vertAlign w:val="subscript"/>
          <w:lang w:val="fr-CH"/>
        </w:rPr>
        <w:t>0</w:t>
      </w:r>
      <w:r w:rsidRPr="005046E3">
        <w:rPr>
          <w:i/>
          <w:vertAlign w:val="subscript"/>
          <w:lang w:val="fr-CH"/>
        </w:rPr>
        <w:t>,WB</w:t>
      </w:r>
      <w:r w:rsidRPr="005046E3">
        <w:rPr>
          <w:i/>
          <w:lang w:val="fr-CH"/>
        </w:rPr>
        <w:t>/N</w:t>
      </w:r>
      <w:r w:rsidRPr="005046E3">
        <w:rPr>
          <w:vertAlign w:val="subscript"/>
          <w:lang w:val="fr-CH"/>
        </w:rPr>
        <w:t>0</w:t>
      </w:r>
      <w:r w:rsidRPr="005046E3">
        <w:rPr>
          <w:lang w:val="fr-CH"/>
        </w:rPr>
        <w:t>, doivent être utilisés dans l'équation de calcul du rapport de dégradation appropriée (équation 6 pour les récepteurs du SRNS à suppression d'impulsions (</w:t>
      </w:r>
      <w:r w:rsidRPr="005046E3">
        <w:rPr>
          <w:i/>
          <w:lang w:val="fr-CH"/>
        </w:rPr>
        <w:t>N</w:t>
      </w:r>
      <w:r w:rsidRPr="005046E3">
        <w:rPr>
          <w:i/>
          <w:vertAlign w:val="subscript"/>
          <w:lang w:val="fr-CH"/>
        </w:rPr>
        <w:t>LIM</w:t>
      </w:r>
      <w:r w:rsidRPr="005046E3">
        <w:rPr>
          <w:lang w:val="fr-CH"/>
        </w:rPr>
        <w:t xml:space="preserve"> =0), ou équation 7, 7a, ou 8 pour les récepteurs du SRNS </w:t>
      </w:r>
      <w:r>
        <w:rPr>
          <w:lang w:val="fr-CH"/>
        </w:rPr>
        <w:t xml:space="preserve">en état de </w:t>
      </w:r>
      <w:r w:rsidRPr="005046E3">
        <w:rPr>
          <w:lang w:val="fr-CH"/>
        </w:rPr>
        <w:t>saturation (</w:t>
      </w:r>
      <w:r w:rsidRPr="005046E3">
        <w:rPr>
          <w:i/>
          <w:lang w:val="fr-CH"/>
        </w:rPr>
        <w:t>N</w:t>
      </w:r>
      <w:r w:rsidRPr="005046E3">
        <w:rPr>
          <w:i/>
          <w:vertAlign w:val="subscript"/>
          <w:lang w:val="fr-CH"/>
        </w:rPr>
        <w:t>LIM</w:t>
      </w:r>
      <w:r w:rsidRPr="005046E3">
        <w:rPr>
          <w:lang w:val="fr-CH"/>
        </w:rPr>
        <w:t xml:space="preserve"> </w:t>
      </w:r>
      <w:r>
        <w:rPr>
          <w:szCs w:val="24"/>
        </w:rPr>
        <w:sym w:font="Symbol" w:char="F0B3"/>
      </w:r>
      <w:r w:rsidRPr="005046E3">
        <w:rPr>
          <w:lang w:val="fr-CH"/>
        </w:rPr>
        <w:t xml:space="preserve"> 1)). Les paramètres relatifs aux impulsions </w:t>
      </w:r>
      <w:r>
        <w:rPr>
          <w:lang w:val="fr-CH"/>
        </w:rPr>
        <w:t>de</w:t>
      </w:r>
      <w:r w:rsidRPr="005046E3">
        <w:rPr>
          <w:lang w:val="fr-CH"/>
        </w:rPr>
        <w:t xml:space="preserve"> la nouvelle source (ou </w:t>
      </w:r>
      <w:r>
        <w:rPr>
          <w:lang w:val="fr-CH"/>
        </w:rPr>
        <w:t xml:space="preserve">du </w:t>
      </w:r>
      <w:r w:rsidRPr="005046E3">
        <w:rPr>
          <w:lang w:val="fr-CH"/>
        </w:rPr>
        <w:t>nouveau groupe de sources) de brouillage radioélectrique par impulsions dans les équations de calcul de la dégradation peuvent être calculés selon une méthode décrite dans le Rapport UIT-R M.2220.</w:t>
      </w:r>
    </w:p>
    <w:p w:rsidR="00DF60DE" w:rsidRPr="005046E3" w:rsidRDefault="00DF60DE" w:rsidP="00DF60DE">
      <w:pPr>
        <w:pStyle w:val="TableNo"/>
        <w:rPr>
          <w:lang w:val="fr-CH" w:eastAsia="ru-RU"/>
        </w:rPr>
      </w:pPr>
      <w:r w:rsidRPr="005046E3">
        <w:rPr>
          <w:lang w:val="fr-CH" w:eastAsia="ru-RU"/>
        </w:rPr>
        <w:t>TABLEAU 1</w:t>
      </w:r>
    </w:p>
    <w:p w:rsidR="00DF60DE" w:rsidRPr="005046E3" w:rsidRDefault="00DF60DE" w:rsidP="00DF60DE">
      <w:pPr>
        <w:pStyle w:val="Tabletitle"/>
        <w:rPr>
          <w:lang w:val="fr-CH"/>
        </w:rPr>
      </w:pPr>
      <w:r w:rsidRPr="005046E3">
        <w:rPr>
          <w:lang w:val="fr-CH"/>
        </w:rPr>
        <w:t>Paramètres de référence utilisés dans la méthode d'évaluation du brouillage radioélectrique par impulsions et rapports de dégradation admissibles pour les récepteurs du SRNS (espace</w:t>
      </w:r>
      <w:r>
        <w:rPr>
          <w:lang w:val="fr-CH"/>
        </w:rPr>
        <w:t> </w:t>
      </w:r>
      <w:r w:rsidRPr="005046E3">
        <w:rPr>
          <w:lang w:val="fr-CH"/>
        </w:rPr>
        <w:t>vers Terre) fonctionnant dans la bande 1 164</w:t>
      </w:r>
      <w:r w:rsidRPr="005046E3">
        <w:rPr>
          <w:lang w:val="fr-CH"/>
        </w:rPr>
        <w:noBreakHyphen/>
        <w:t>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1211"/>
        <w:gridCol w:w="1212"/>
        <w:gridCol w:w="1212"/>
        <w:gridCol w:w="1212"/>
        <w:gridCol w:w="2081"/>
      </w:tblGrid>
      <w:tr w:rsidR="00DF60DE" w:rsidRPr="00400648" w:rsidTr="006A6420">
        <w:trPr>
          <w:jc w:val="center"/>
        </w:trPr>
        <w:tc>
          <w:tcPr>
            <w:tcW w:w="27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head"/>
              <w:spacing w:before="40" w:after="40"/>
              <w:rPr>
                <w:lang w:eastAsia="zh-CN"/>
              </w:rPr>
            </w:pPr>
            <w:r>
              <w:rPr>
                <w:lang w:eastAsia="zh-CN"/>
              </w:rPr>
              <w:t>Type de récepteur</w:t>
            </w:r>
          </w:p>
        </w:tc>
        <w:tc>
          <w:tcPr>
            <w:tcW w:w="1211" w:type="dxa"/>
            <w:tcBorders>
              <w:top w:val="single" w:sz="4" w:space="0" w:color="auto"/>
              <w:left w:val="single" w:sz="4" w:space="0" w:color="auto"/>
              <w:bottom w:val="single" w:sz="4" w:space="0" w:color="auto"/>
              <w:right w:val="single" w:sz="4" w:space="0" w:color="auto"/>
            </w:tcBorders>
          </w:tcPr>
          <w:p w:rsidR="00DF60DE" w:rsidRPr="000D471B" w:rsidRDefault="00DF60DE" w:rsidP="006A6420">
            <w:pPr>
              <w:pStyle w:val="Tablehead"/>
              <w:spacing w:before="40" w:after="40"/>
              <w:rPr>
                <w:lang w:eastAsia="zh-CN"/>
              </w:rPr>
            </w:pPr>
            <w:r w:rsidRPr="000D471B">
              <w:rPr>
                <w:i/>
                <w:iCs/>
                <w:lang w:eastAsia="zh-CN"/>
              </w:rPr>
              <w:t>N</w:t>
            </w:r>
            <w:r w:rsidRPr="000D471B">
              <w:rPr>
                <w:i/>
                <w:iCs/>
                <w:vertAlign w:val="subscript"/>
                <w:lang w:eastAsia="zh-CN"/>
              </w:rPr>
              <w:t>LIM</w:t>
            </w:r>
            <w:r w:rsidRPr="000D471B">
              <w:rPr>
                <w:iCs/>
                <w:vertAlign w:val="subscript"/>
                <w:lang w:eastAsia="zh-CN"/>
              </w:rPr>
              <w:br/>
            </w:r>
            <w:r w:rsidRPr="000D471B">
              <w:rPr>
                <w:iCs/>
                <w:lang w:eastAsia="zh-CN"/>
              </w:rPr>
              <w:t>(</w:t>
            </w:r>
            <w:r>
              <w:rPr>
                <w:iCs/>
                <w:lang w:eastAsia="zh-CN"/>
              </w:rPr>
              <w:t>sans unité</w:t>
            </w:r>
            <w:r w:rsidRPr="000D471B">
              <w:rPr>
                <w:iCs/>
                <w:lang w:eastAsia="zh-CN"/>
              </w:rPr>
              <w:t xml:space="preserve">) </w:t>
            </w:r>
            <w:r w:rsidRPr="000D471B">
              <w:rPr>
                <w:iCs/>
                <w:lang w:eastAsia="zh-CN"/>
              </w:rPr>
              <w:br/>
            </w:r>
            <w:r w:rsidRPr="000D471B">
              <w:rPr>
                <w:iCs/>
                <w:lang w:eastAsia="zh-CN"/>
              </w:rPr>
              <w:br/>
            </w:r>
            <w:r w:rsidRPr="000D471B">
              <w:rPr>
                <w:iCs/>
                <w:lang w:eastAsia="zh-CN"/>
              </w:rPr>
              <w:br/>
              <w:t>(Note 4)</w:t>
            </w:r>
          </w:p>
        </w:tc>
        <w:tc>
          <w:tcPr>
            <w:tcW w:w="1212" w:type="dxa"/>
            <w:tcBorders>
              <w:top w:val="single" w:sz="4" w:space="0" w:color="auto"/>
              <w:left w:val="single" w:sz="4" w:space="0" w:color="auto"/>
              <w:bottom w:val="single" w:sz="4" w:space="0" w:color="auto"/>
              <w:right w:val="single" w:sz="4" w:space="0" w:color="auto"/>
            </w:tcBorders>
          </w:tcPr>
          <w:p w:rsidR="00DF60DE" w:rsidRPr="000D471B" w:rsidRDefault="00DF60DE" w:rsidP="006A6420">
            <w:pPr>
              <w:pStyle w:val="Tablehead"/>
              <w:spacing w:before="40" w:after="40"/>
              <w:rPr>
                <w:lang w:eastAsia="zh-CN"/>
              </w:rPr>
            </w:pPr>
            <w:r w:rsidRPr="000D471B">
              <w:rPr>
                <w:i/>
                <w:lang w:eastAsia="zh-CN"/>
              </w:rPr>
              <w:t>PDC</w:t>
            </w:r>
            <w:r w:rsidRPr="000D471B">
              <w:rPr>
                <w:lang w:eastAsia="zh-CN"/>
              </w:rPr>
              <w:t xml:space="preserve"> </w:t>
            </w:r>
            <w:r>
              <w:rPr>
                <w:lang w:eastAsia="zh-CN"/>
              </w:rPr>
              <w:t xml:space="preserve">de référence </w:t>
            </w:r>
            <w:r w:rsidRPr="000D471B">
              <w:rPr>
                <w:iCs/>
                <w:lang w:eastAsia="zh-CN"/>
              </w:rPr>
              <w:t>(</w:t>
            </w:r>
            <w:r>
              <w:rPr>
                <w:iCs/>
                <w:lang w:eastAsia="zh-CN"/>
              </w:rPr>
              <w:t>sans unité</w:t>
            </w:r>
            <w:r w:rsidRPr="000D471B">
              <w:rPr>
                <w:iCs/>
                <w:lang w:eastAsia="zh-CN"/>
              </w:rPr>
              <w:t>)</w:t>
            </w:r>
          </w:p>
        </w:tc>
        <w:tc>
          <w:tcPr>
            <w:tcW w:w="1212" w:type="dxa"/>
            <w:tcBorders>
              <w:top w:val="single" w:sz="4" w:space="0" w:color="auto"/>
              <w:left w:val="single" w:sz="4" w:space="0" w:color="auto"/>
              <w:bottom w:val="single" w:sz="4" w:space="0" w:color="auto"/>
              <w:right w:val="single" w:sz="4" w:space="0" w:color="auto"/>
            </w:tcBorders>
          </w:tcPr>
          <w:p w:rsidR="00DF60DE" w:rsidRPr="000D471B" w:rsidRDefault="00DF60DE" w:rsidP="006A6420">
            <w:pPr>
              <w:pStyle w:val="Tablehead"/>
              <w:spacing w:before="40" w:after="40"/>
              <w:rPr>
                <w:lang w:eastAsia="zh-CN"/>
              </w:rPr>
            </w:pPr>
            <w:r w:rsidRPr="000D471B">
              <w:rPr>
                <w:i/>
                <w:lang w:eastAsia="zh-CN"/>
              </w:rPr>
              <w:t>R</w:t>
            </w:r>
            <w:r w:rsidRPr="000D471B">
              <w:rPr>
                <w:i/>
                <w:vertAlign w:val="subscript"/>
                <w:lang w:eastAsia="zh-CN"/>
              </w:rPr>
              <w:t>I</w:t>
            </w:r>
            <w:r w:rsidRPr="000D471B">
              <w:rPr>
                <w:vertAlign w:val="subscript"/>
                <w:lang w:eastAsia="zh-CN"/>
              </w:rPr>
              <w:t xml:space="preserve"> </w:t>
            </w:r>
            <w:r>
              <w:rPr>
                <w:lang w:eastAsia="zh-CN"/>
              </w:rPr>
              <w:t xml:space="preserve">de référence </w:t>
            </w:r>
            <w:r w:rsidRPr="000D471B">
              <w:rPr>
                <w:iCs/>
                <w:lang w:eastAsia="zh-CN"/>
              </w:rPr>
              <w:t>(</w:t>
            </w:r>
            <w:r>
              <w:rPr>
                <w:iCs/>
                <w:lang w:eastAsia="zh-CN"/>
              </w:rPr>
              <w:t>sans unité</w:t>
            </w:r>
            <w:r w:rsidRPr="000D471B">
              <w:rPr>
                <w:iCs/>
                <w:lang w:eastAsia="zh-CN"/>
              </w:rPr>
              <w:t>)</w:t>
            </w:r>
          </w:p>
        </w:tc>
        <w:tc>
          <w:tcPr>
            <w:tcW w:w="1212"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head"/>
              <w:spacing w:before="40" w:after="40"/>
              <w:rPr>
                <w:lang w:val="fr-CH" w:eastAsia="zh-CN"/>
              </w:rPr>
            </w:pPr>
            <w:r w:rsidRPr="005046E3">
              <w:rPr>
                <w:lang w:val="fr-CH" w:eastAsia="zh-CN"/>
              </w:rPr>
              <w:t xml:space="preserve">Rapport </w:t>
            </w:r>
            <w:r w:rsidRPr="005046E3">
              <w:rPr>
                <w:i/>
                <w:lang w:val="fr-CH" w:eastAsia="zh-CN"/>
              </w:rPr>
              <w:t>I</w:t>
            </w:r>
            <w:r w:rsidRPr="005046E3">
              <w:rPr>
                <w:i/>
                <w:vertAlign w:val="subscript"/>
                <w:lang w:val="fr-CH" w:eastAsia="zh-CN"/>
              </w:rPr>
              <w:t>0,WB</w:t>
            </w:r>
            <w:r w:rsidRPr="005046E3">
              <w:rPr>
                <w:i/>
                <w:lang w:val="fr-CH" w:eastAsia="zh-CN"/>
              </w:rPr>
              <w:t>/N</w:t>
            </w:r>
            <w:r w:rsidRPr="005046E3">
              <w:rPr>
                <w:i/>
                <w:vertAlign w:val="subscript"/>
                <w:lang w:val="fr-CH" w:eastAsia="zh-CN"/>
              </w:rPr>
              <w:t>0</w:t>
            </w:r>
            <w:r w:rsidRPr="005046E3">
              <w:rPr>
                <w:lang w:val="fr-CH" w:eastAsia="zh-CN"/>
              </w:rPr>
              <w:t xml:space="preserve"> de référence </w:t>
            </w:r>
            <w:r w:rsidRPr="005046E3">
              <w:rPr>
                <w:iCs/>
                <w:lang w:val="fr-CH" w:eastAsia="zh-CN"/>
              </w:rPr>
              <w:t>(</w:t>
            </w:r>
            <w:r>
              <w:rPr>
                <w:iCs/>
                <w:lang w:eastAsia="zh-CN"/>
              </w:rPr>
              <w:t>sans unité</w:t>
            </w:r>
            <w:r w:rsidRPr="005046E3">
              <w:rPr>
                <w:iCs/>
                <w:lang w:val="fr-CH" w:eastAsia="zh-CN"/>
              </w:rPr>
              <w:t>)</w:t>
            </w:r>
          </w:p>
        </w:tc>
        <w:tc>
          <w:tcPr>
            <w:tcW w:w="2081"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head"/>
              <w:spacing w:before="40" w:after="40"/>
              <w:rPr>
                <w:lang w:val="fr-CH" w:eastAsia="zh-CN"/>
              </w:rPr>
            </w:pPr>
            <w:r w:rsidRPr="005046E3">
              <w:rPr>
                <w:lang w:val="fr-CH" w:eastAsia="zh-CN"/>
              </w:rPr>
              <w:t xml:space="preserve">Rapport de dégradation admissible pour les sources </w:t>
            </w:r>
            <w:r>
              <w:rPr>
                <w:lang w:val="fr-CH" w:eastAsia="zh-CN"/>
              </w:rPr>
              <w:t xml:space="preserve">de brouillage par </w:t>
            </w:r>
            <w:r w:rsidRPr="005046E3">
              <w:rPr>
                <w:lang w:val="fr-CH" w:eastAsia="zh-CN"/>
              </w:rPr>
              <w:t>impulsions (dB)</w:t>
            </w:r>
            <w:r w:rsidRPr="005046E3">
              <w:rPr>
                <w:lang w:val="fr-CH" w:eastAsia="zh-CN"/>
              </w:rPr>
              <w:br/>
              <w:t>(Notes 2, 3)</w:t>
            </w:r>
          </w:p>
        </w:tc>
      </w:tr>
      <w:tr w:rsidR="00DF60DE" w:rsidTr="006A6420">
        <w:trPr>
          <w:jc w:val="center"/>
        </w:trPr>
        <w:tc>
          <w:tcPr>
            <w:tcW w:w="2711"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text"/>
              <w:jc w:val="left"/>
              <w:rPr>
                <w:lang w:val="fr-CH" w:eastAsia="zh-CN"/>
              </w:rPr>
            </w:pPr>
            <w:r w:rsidRPr="005046E3">
              <w:rPr>
                <w:lang w:val="fr-CH" w:eastAsia="zh-CN"/>
              </w:rPr>
              <w:t>Récepteur de navigation aérienne N°</w:t>
            </w:r>
            <w:r>
              <w:rPr>
                <w:lang w:val="fr-CH" w:eastAsia="zh-CN"/>
              </w:rPr>
              <w:t xml:space="preserve"> </w:t>
            </w:r>
            <w:r w:rsidRPr="005046E3">
              <w:rPr>
                <w:lang w:val="fr-CH" w:eastAsia="zh-CN"/>
              </w:rPr>
              <w:t>1 (AMRC) (Notes 1, 5)</w:t>
            </w:r>
          </w:p>
        </w:tc>
        <w:tc>
          <w:tcPr>
            <w:tcW w:w="12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0,6527</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0,9628</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1,0551</w:t>
            </w:r>
          </w:p>
        </w:tc>
        <w:tc>
          <w:tcPr>
            <w:tcW w:w="208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 xml:space="preserve">0,1 </w:t>
            </w:r>
            <w:r>
              <w:rPr>
                <w:lang w:eastAsia="zh-CN"/>
              </w:rPr>
              <w:br/>
            </w:r>
          </w:p>
        </w:tc>
      </w:tr>
      <w:tr w:rsidR="00DF60DE" w:rsidTr="006A6420">
        <w:trPr>
          <w:jc w:val="center"/>
        </w:trPr>
        <w:tc>
          <w:tcPr>
            <w:tcW w:w="2711"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text"/>
              <w:jc w:val="left"/>
              <w:rPr>
                <w:lang w:val="fr-CH" w:eastAsia="zh-CN"/>
              </w:rPr>
            </w:pPr>
            <w:r w:rsidRPr="005046E3">
              <w:rPr>
                <w:lang w:val="fr-CH" w:eastAsia="zh-CN"/>
              </w:rPr>
              <w:t>Récepteur de navigation aérienne N°</w:t>
            </w:r>
            <w:r>
              <w:rPr>
                <w:lang w:val="fr-CH" w:eastAsia="zh-CN"/>
              </w:rPr>
              <w:t xml:space="preserve"> </w:t>
            </w:r>
            <w:r w:rsidRPr="005046E3">
              <w:rPr>
                <w:rFonts w:eastAsia="MS PGothic"/>
                <w:lang w:val="fr-CH" w:eastAsia="zh-CN"/>
              </w:rPr>
              <w:t>2 (AMRF) (Notes 1, 5)</w:t>
            </w:r>
          </w:p>
        </w:tc>
        <w:tc>
          <w:tcPr>
            <w:tcW w:w="12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1</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0,6527</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0,9628</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0,455</w:t>
            </w:r>
          </w:p>
        </w:tc>
        <w:tc>
          <w:tcPr>
            <w:tcW w:w="208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0,1</w:t>
            </w:r>
          </w:p>
        </w:tc>
      </w:tr>
      <w:tr w:rsidR="00DF60DE" w:rsidTr="006A6420">
        <w:trPr>
          <w:jc w:val="center"/>
        </w:trPr>
        <w:tc>
          <w:tcPr>
            <w:tcW w:w="27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left"/>
              <w:rPr>
                <w:lang w:eastAsia="zh-CN"/>
              </w:rPr>
            </w:pPr>
            <w:r>
              <w:rPr>
                <w:lang w:eastAsia="zh-CN"/>
              </w:rPr>
              <w:t>Haute précision (</w:t>
            </w:r>
            <w:r>
              <w:rPr>
                <w:lang w:val="en-US" w:eastAsia="zh-CN"/>
              </w:rPr>
              <w:t>AMRC</w:t>
            </w:r>
            <w:r>
              <w:rPr>
                <w:lang w:eastAsia="zh-CN"/>
              </w:rPr>
              <w:t>) (Note 5)</w:t>
            </w:r>
          </w:p>
        </w:tc>
        <w:tc>
          <w:tcPr>
            <w:tcW w:w="12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2</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0,0941</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0,5012</w:t>
            </w:r>
          </w:p>
        </w:tc>
        <w:tc>
          <w:tcPr>
            <w:tcW w:w="208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jc w:val="center"/>
              <w:rPr>
                <w:lang w:eastAsia="zh-CN"/>
              </w:rPr>
            </w:pPr>
            <w:r>
              <w:rPr>
                <w:lang w:eastAsia="zh-CN"/>
              </w:rPr>
              <w:t>0,2</w:t>
            </w:r>
            <w:r>
              <w:rPr>
                <w:lang w:eastAsia="zh-CN"/>
              </w:rPr>
              <w:br/>
            </w:r>
          </w:p>
        </w:tc>
      </w:tr>
    </w:tbl>
    <w:p w:rsidR="00DF60DE" w:rsidRDefault="00DF60DE" w:rsidP="00DF60DE">
      <w:r>
        <w:br w:type="page"/>
      </w:r>
    </w:p>
    <w:p w:rsidR="00DF60DE" w:rsidRPr="006E50F0" w:rsidRDefault="00DF60DE" w:rsidP="00DF60DE">
      <w:pPr>
        <w:pStyle w:val="TableNo"/>
        <w:rPr>
          <w:lang w:val="fr-CH" w:eastAsia="ru-RU"/>
        </w:rPr>
      </w:pPr>
      <w:r w:rsidRPr="005046E3">
        <w:rPr>
          <w:lang w:val="fr-CH" w:eastAsia="ru-RU"/>
        </w:rPr>
        <w:lastRenderedPageBreak/>
        <w:t>TABLEAU 1</w:t>
      </w:r>
      <w:r>
        <w:rPr>
          <w:lang w:val="fr-CH" w:eastAsia="ru-RU"/>
        </w:rPr>
        <w:t xml:space="preserve"> (</w:t>
      </w:r>
      <w:r>
        <w:rPr>
          <w:i/>
          <w:lang w:val="fr-CH" w:eastAsia="ru-RU"/>
        </w:rPr>
        <w:t>fin</w:t>
      </w:r>
      <w:r>
        <w:rPr>
          <w:lang w:val="fr-CH" w:eastAsia="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1211"/>
        <w:gridCol w:w="1212"/>
        <w:gridCol w:w="1212"/>
        <w:gridCol w:w="1212"/>
        <w:gridCol w:w="2081"/>
      </w:tblGrid>
      <w:tr w:rsidR="00DF60DE" w:rsidRPr="00400648" w:rsidTr="006A6420">
        <w:trPr>
          <w:jc w:val="center"/>
        </w:trPr>
        <w:tc>
          <w:tcPr>
            <w:tcW w:w="27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head"/>
              <w:spacing w:before="40" w:after="40"/>
              <w:rPr>
                <w:lang w:eastAsia="zh-CN"/>
              </w:rPr>
            </w:pPr>
            <w:r>
              <w:rPr>
                <w:lang w:eastAsia="zh-CN"/>
              </w:rPr>
              <w:t>Type de récepteur</w:t>
            </w:r>
          </w:p>
        </w:tc>
        <w:tc>
          <w:tcPr>
            <w:tcW w:w="1211" w:type="dxa"/>
            <w:tcBorders>
              <w:top w:val="single" w:sz="4" w:space="0" w:color="auto"/>
              <w:left w:val="single" w:sz="4" w:space="0" w:color="auto"/>
              <w:bottom w:val="single" w:sz="4" w:space="0" w:color="auto"/>
              <w:right w:val="single" w:sz="4" w:space="0" w:color="auto"/>
            </w:tcBorders>
          </w:tcPr>
          <w:p w:rsidR="00DF60DE" w:rsidRPr="000D471B" w:rsidRDefault="00DF60DE" w:rsidP="006A6420">
            <w:pPr>
              <w:pStyle w:val="Tablehead"/>
              <w:spacing w:before="40" w:after="40"/>
              <w:rPr>
                <w:lang w:eastAsia="zh-CN"/>
              </w:rPr>
            </w:pPr>
            <w:r w:rsidRPr="000D471B">
              <w:rPr>
                <w:i/>
                <w:iCs/>
                <w:lang w:eastAsia="zh-CN"/>
              </w:rPr>
              <w:t>N</w:t>
            </w:r>
            <w:r w:rsidRPr="000D471B">
              <w:rPr>
                <w:i/>
                <w:iCs/>
                <w:vertAlign w:val="subscript"/>
                <w:lang w:eastAsia="zh-CN"/>
              </w:rPr>
              <w:t>LIM</w:t>
            </w:r>
            <w:r w:rsidRPr="000D471B">
              <w:rPr>
                <w:iCs/>
                <w:vertAlign w:val="subscript"/>
                <w:lang w:eastAsia="zh-CN"/>
              </w:rPr>
              <w:br/>
            </w:r>
            <w:r w:rsidRPr="000D471B">
              <w:rPr>
                <w:iCs/>
                <w:lang w:eastAsia="zh-CN"/>
              </w:rPr>
              <w:t>(</w:t>
            </w:r>
            <w:r>
              <w:rPr>
                <w:iCs/>
                <w:lang w:eastAsia="zh-CN"/>
              </w:rPr>
              <w:t>sans unité</w:t>
            </w:r>
            <w:r w:rsidRPr="000D471B">
              <w:rPr>
                <w:iCs/>
                <w:lang w:eastAsia="zh-CN"/>
              </w:rPr>
              <w:t xml:space="preserve">) </w:t>
            </w:r>
            <w:r w:rsidRPr="000D471B">
              <w:rPr>
                <w:iCs/>
                <w:lang w:eastAsia="zh-CN"/>
              </w:rPr>
              <w:br/>
            </w:r>
            <w:r w:rsidRPr="000D471B">
              <w:rPr>
                <w:iCs/>
                <w:lang w:eastAsia="zh-CN"/>
              </w:rPr>
              <w:br/>
            </w:r>
            <w:r w:rsidRPr="000D471B">
              <w:rPr>
                <w:iCs/>
                <w:lang w:eastAsia="zh-CN"/>
              </w:rPr>
              <w:br/>
              <w:t>(Note 4)</w:t>
            </w:r>
          </w:p>
        </w:tc>
        <w:tc>
          <w:tcPr>
            <w:tcW w:w="1212" w:type="dxa"/>
            <w:tcBorders>
              <w:top w:val="single" w:sz="4" w:space="0" w:color="auto"/>
              <w:left w:val="single" w:sz="4" w:space="0" w:color="auto"/>
              <w:bottom w:val="single" w:sz="4" w:space="0" w:color="auto"/>
              <w:right w:val="single" w:sz="4" w:space="0" w:color="auto"/>
            </w:tcBorders>
          </w:tcPr>
          <w:p w:rsidR="00DF60DE" w:rsidRPr="000D471B" w:rsidRDefault="00DF60DE" w:rsidP="006A6420">
            <w:pPr>
              <w:pStyle w:val="Tablehead"/>
              <w:spacing w:before="40" w:after="40"/>
              <w:rPr>
                <w:lang w:eastAsia="zh-CN"/>
              </w:rPr>
            </w:pPr>
            <w:r w:rsidRPr="000D471B">
              <w:rPr>
                <w:i/>
                <w:lang w:eastAsia="zh-CN"/>
              </w:rPr>
              <w:t>PDC</w:t>
            </w:r>
            <w:r w:rsidRPr="000D471B">
              <w:rPr>
                <w:lang w:eastAsia="zh-CN"/>
              </w:rPr>
              <w:t xml:space="preserve"> </w:t>
            </w:r>
            <w:r>
              <w:rPr>
                <w:lang w:eastAsia="zh-CN"/>
              </w:rPr>
              <w:t xml:space="preserve">de référence </w:t>
            </w:r>
            <w:r w:rsidRPr="000D471B">
              <w:rPr>
                <w:iCs/>
                <w:lang w:eastAsia="zh-CN"/>
              </w:rPr>
              <w:t>(</w:t>
            </w:r>
            <w:r>
              <w:rPr>
                <w:iCs/>
                <w:lang w:eastAsia="zh-CN"/>
              </w:rPr>
              <w:t>sans unité</w:t>
            </w:r>
            <w:r w:rsidRPr="000D471B">
              <w:rPr>
                <w:iCs/>
                <w:lang w:eastAsia="zh-CN"/>
              </w:rPr>
              <w:t>)</w:t>
            </w:r>
          </w:p>
        </w:tc>
        <w:tc>
          <w:tcPr>
            <w:tcW w:w="1212" w:type="dxa"/>
            <w:tcBorders>
              <w:top w:val="single" w:sz="4" w:space="0" w:color="auto"/>
              <w:left w:val="single" w:sz="4" w:space="0" w:color="auto"/>
              <w:bottom w:val="single" w:sz="4" w:space="0" w:color="auto"/>
              <w:right w:val="single" w:sz="4" w:space="0" w:color="auto"/>
            </w:tcBorders>
          </w:tcPr>
          <w:p w:rsidR="00DF60DE" w:rsidRPr="000D471B" w:rsidRDefault="00DF60DE" w:rsidP="006A6420">
            <w:pPr>
              <w:pStyle w:val="Tablehead"/>
              <w:spacing w:before="40" w:after="40"/>
              <w:rPr>
                <w:lang w:eastAsia="zh-CN"/>
              </w:rPr>
            </w:pPr>
            <w:r w:rsidRPr="000D471B">
              <w:rPr>
                <w:i/>
                <w:lang w:eastAsia="zh-CN"/>
              </w:rPr>
              <w:t>R</w:t>
            </w:r>
            <w:r w:rsidRPr="000D471B">
              <w:rPr>
                <w:i/>
                <w:vertAlign w:val="subscript"/>
                <w:lang w:eastAsia="zh-CN"/>
              </w:rPr>
              <w:t>I</w:t>
            </w:r>
            <w:r w:rsidRPr="000D471B">
              <w:rPr>
                <w:vertAlign w:val="subscript"/>
                <w:lang w:eastAsia="zh-CN"/>
              </w:rPr>
              <w:t xml:space="preserve"> </w:t>
            </w:r>
            <w:r>
              <w:rPr>
                <w:lang w:eastAsia="zh-CN"/>
              </w:rPr>
              <w:t xml:space="preserve">de référence </w:t>
            </w:r>
            <w:r w:rsidRPr="000D471B">
              <w:rPr>
                <w:iCs/>
                <w:lang w:eastAsia="zh-CN"/>
              </w:rPr>
              <w:t>(</w:t>
            </w:r>
            <w:r>
              <w:rPr>
                <w:iCs/>
                <w:lang w:eastAsia="zh-CN"/>
              </w:rPr>
              <w:t>sans unité</w:t>
            </w:r>
            <w:r w:rsidRPr="000D471B">
              <w:rPr>
                <w:iCs/>
                <w:lang w:eastAsia="zh-CN"/>
              </w:rPr>
              <w:t>)</w:t>
            </w:r>
          </w:p>
        </w:tc>
        <w:tc>
          <w:tcPr>
            <w:tcW w:w="1212"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head"/>
              <w:spacing w:before="40" w:after="40"/>
              <w:rPr>
                <w:lang w:val="fr-CH" w:eastAsia="zh-CN"/>
              </w:rPr>
            </w:pPr>
            <w:r w:rsidRPr="005046E3">
              <w:rPr>
                <w:lang w:val="fr-CH" w:eastAsia="zh-CN"/>
              </w:rPr>
              <w:t xml:space="preserve">Rapport </w:t>
            </w:r>
            <w:r w:rsidRPr="005046E3">
              <w:rPr>
                <w:i/>
                <w:lang w:val="fr-CH" w:eastAsia="zh-CN"/>
              </w:rPr>
              <w:t>I</w:t>
            </w:r>
            <w:r w:rsidRPr="005046E3">
              <w:rPr>
                <w:i/>
                <w:vertAlign w:val="subscript"/>
                <w:lang w:val="fr-CH" w:eastAsia="zh-CN"/>
              </w:rPr>
              <w:t>0,WB</w:t>
            </w:r>
            <w:r w:rsidRPr="005046E3">
              <w:rPr>
                <w:i/>
                <w:lang w:val="fr-CH" w:eastAsia="zh-CN"/>
              </w:rPr>
              <w:t>/N</w:t>
            </w:r>
            <w:r w:rsidRPr="005046E3">
              <w:rPr>
                <w:i/>
                <w:vertAlign w:val="subscript"/>
                <w:lang w:val="fr-CH" w:eastAsia="zh-CN"/>
              </w:rPr>
              <w:t>0</w:t>
            </w:r>
            <w:r w:rsidRPr="005046E3">
              <w:rPr>
                <w:lang w:val="fr-CH" w:eastAsia="zh-CN"/>
              </w:rPr>
              <w:t xml:space="preserve"> de référence </w:t>
            </w:r>
            <w:r w:rsidRPr="005046E3">
              <w:rPr>
                <w:iCs/>
                <w:lang w:val="fr-CH" w:eastAsia="zh-CN"/>
              </w:rPr>
              <w:t>(</w:t>
            </w:r>
            <w:r>
              <w:rPr>
                <w:iCs/>
                <w:lang w:eastAsia="zh-CN"/>
              </w:rPr>
              <w:t>sans unité</w:t>
            </w:r>
            <w:r w:rsidRPr="005046E3">
              <w:rPr>
                <w:iCs/>
                <w:lang w:val="fr-CH" w:eastAsia="zh-CN"/>
              </w:rPr>
              <w:t>)</w:t>
            </w:r>
          </w:p>
        </w:tc>
        <w:tc>
          <w:tcPr>
            <w:tcW w:w="2081"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head"/>
              <w:spacing w:before="40" w:after="40"/>
              <w:rPr>
                <w:lang w:val="fr-CH" w:eastAsia="zh-CN"/>
              </w:rPr>
            </w:pPr>
            <w:r w:rsidRPr="005046E3">
              <w:rPr>
                <w:lang w:val="fr-CH" w:eastAsia="zh-CN"/>
              </w:rPr>
              <w:t xml:space="preserve">Rapport de dégradation admissible pour les sources </w:t>
            </w:r>
            <w:r>
              <w:rPr>
                <w:lang w:val="fr-CH" w:eastAsia="zh-CN"/>
              </w:rPr>
              <w:t xml:space="preserve">de brouillage par </w:t>
            </w:r>
            <w:r w:rsidRPr="005046E3">
              <w:rPr>
                <w:lang w:val="fr-CH" w:eastAsia="zh-CN"/>
              </w:rPr>
              <w:t>impulsions (dB)</w:t>
            </w:r>
            <w:r w:rsidRPr="005046E3">
              <w:rPr>
                <w:lang w:val="fr-CH" w:eastAsia="zh-CN"/>
              </w:rPr>
              <w:br/>
              <w:t>(Notes 2, 3)</w:t>
            </w:r>
          </w:p>
        </w:tc>
      </w:tr>
      <w:tr w:rsidR="00DF60DE" w:rsidTr="006A6420">
        <w:trPr>
          <w:jc w:val="center"/>
        </w:trPr>
        <w:tc>
          <w:tcPr>
            <w:tcW w:w="27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keepNext/>
              <w:keepLines/>
              <w:jc w:val="left"/>
              <w:rPr>
                <w:lang w:eastAsia="zh-CN"/>
              </w:rPr>
            </w:pPr>
            <w:r>
              <w:rPr>
                <w:lang w:eastAsia="zh-CN"/>
              </w:rPr>
              <w:t>Haute précision (</w:t>
            </w:r>
            <w:r>
              <w:rPr>
                <w:rFonts w:eastAsia="MS PGothic"/>
                <w:lang w:val="en-US" w:eastAsia="zh-CN"/>
              </w:rPr>
              <w:t>AMRF</w:t>
            </w:r>
            <w:r>
              <w:rPr>
                <w:lang w:eastAsia="zh-CN"/>
              </w:rPr>
              <w:t>) (Note 5)</w:t>
            </w:r>
          </w:p>
        </w:tc>
        <w:tc>
          <w:tcPr>
            <w:tcW w:w="121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keepNext/>
              <w:keepLines/>
              <w:jc w:val="center"/>
              <w:rPr>
                <w:lang w:eastAsia="zh-CN"/>
              </w:rPr>
            </w:pPr>
            <w:r>
              <w:rPr>
                <w:lang w:eastAsia="zh-CN"/>
              </w:rPr>
              <w:t>2</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keepNext/>
              <w:keepLines/>
              <w:jc w:val="center"/>
              <w:rPr>
                <w:lang w:eastAsia="zh-CN"/>
              </w:rPr>
            </w:pPr>
            <w:r>
              <w:rPr>
                <w:lang w:eastAsia="zh-CN"/>
              </w:rPr>
              <w:t>0,0941</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keepNext/>
              <w:keepLines/>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keepNext/>
              <w:keepLines/>
              <w:jc w:val="center"/>
              <w:rPr>
                <w:lang w:eastAsia="zh-CN"/>
              </w:rPr>
            </w:pPr>
            <w:r>
              <w:rPr>
                <w:lang w:eastAsia="zh-CN"/>
              </w:rPr>
              <w:t>0,5012</w:t>
            </w:r>
          </w:p>
        </w:tc>
        <w:tc>
          <w:tcPr>
            <w:tcW w:w="2081" w:type="dxa"/>
            <w:tcBorders>
              <w:top w:val="single" w:sz="4" w:space="0" w:color="auto"/>
              <w:left w:val="single" w:sz="4" w:space="0" w:color="auto"/>
              <w:bottom w:val="single" w:sz="4" w:space="0" w:color="auto"/>
              <w:right w:val="single" w:sz="4" w:space="0" w:color="auto"/>
            </w:tcBorders>
          </w:tcPr>
          <w:p w:rsidR="00DF60DE" w:rsidRDefault="00DF60DE" w:rsidP="006A6420">
            <w:pPr>
              <w:pStyle w:val="Tabletext"/>
              <w:keepNext/>
              <w:keepLines/>
              <w:jc w:val="center"/>
              <w:rPr>
                <w:lang w:eastAsia="zh-CN"/>
              </w:rPr>
            </w:pPr>
            <w:r>
              <w:rPr>
                <w:lang w:eastAsia="zh-CN"/>
              </w:rPr>
              <w:t>0,2</w:t>
            </w:r>
          </w:p>
        </w:tc>
      </w:tr>
      <w:tr w:rsidR="00DF60DE" w:rsidRPr="00400648" w:rsidTr="006A6420">
        <w:trPr>
          <w:jc w:val="center"/>
        </w:trPr>
        <w:tc>
          <w:tcPr>
            <w:tcW w:w="9639" w:type="dxa"/>
            <w:gridSpan w:val="6"/>
            <w:tcBorders>
              <w:top w:val="single" w:sz="4" w:space="0" w:color="auto"/>
              <w:left w:val="nil"/>
              <w:bottom w:val="nil"/>
              <w:right w:val="nil"/>
            </w:tcBorders>
          </w:tcPr>
          <w:p w:rsidR="00DF60DE" w:rsidRPr="005046E3" w:rsidRDefault="00DF60DE" w:rsidP="006A6420">
            <w:pPr>
              <w:pStyle w:val="Tablelegend"/>
              <w:keepNext/>
              <w:keepLines/>
              <w:ind w:hanging="284"/>
              <w:rPr>
                <w:lang w:val="fr-CH"/>
              </w:rPr>
            </w:pPr>
            <w:r w:rsidRPr="005046E3">
              <w:rPr>
                <w:lang w:val="fr-CH"/>
              </w:rPr>
              <w:t>*</w:t>
            </w:r>
            <w:r w:rsidRPr="005046E3">
              <w:rPr>
                <w:lang w:val="fr-CH"/>
              </w:rPr>
              <w:tab/>
              <w:t>Les valeurs des paramètres pour d'autres types de récepteurs du SRNS n'ont pas encore été défini</w:t>
            </w:r>
            <w:r>
              <w:rPr>
                <w:lang w:val="fr-CH"/>
              </w:rPr>
              <w:t>e</w:t>
            </w:r>
            <w:r w:rsidRPr="005046E3">
              <w:rPr>
                <w:lang w:val="fr-CH"/>
              </w:rPr>
              <w:t xml:space="preserve">s. Les équations de calcul du rapport de dégradation données au </w:t>
            </w:r>
            <w:r>
              <w:rPr>
                <w:lang w:val="fr-CH"/>
              </w:rPr>
              <w:t>§ </w:t>
            </w:r>
            <w:r w:rsidRPr="005046E3">
              <w:rPr>
                <w:lang w:val="fr-CH"/>
              </w:rPr>
              <w:t>3 de la présente Annexe peuvent être utilisées pour prédire la nature générale des effets du brouillage par impulsions sur les récepteurs du SRNS pour lesquels aucun paramètre n'est donné.</w:t>
            </w:r>
          </w:p>
          <w:p w:rsidR="00DF60DE" w:rsidRPr="005046E3" w:rsidRDefault="00DF60DE" w:rsidP="006A6420">
            <w:pPr>
              <w:pStyle w:val="Tablelegend"/>
              <w:keepNext/>
              <w:keepLines/>
              <w:ind w:left="0" w:firstLine="0"/>
              <w:rPr>
                <w:lang w:val="fr-CH"/>
              </w:rPr>
            </w:pPr>
            <w:r w:rsidRPr="005046E3">
              <w:rPr>
                <w:lang w:val="fr-CH"/>
              </w:rPr>
              <w:t xml:space="preserve">NOTE 1 – Les paramètres de référence donnés se rapportent </w:t>
            </w:r>
            <w:r>
              <w:rPr>
                <w:lang w:val="fr-CH"/>
              </w:rPr>
              <w:t xml:space="preserve">à un scénario sensible (Amérique, altitude élevée) </w:t>
            </w:r>
            <w:r w:rsidRPr="005046E3">
              <w:rPr>
                <w:lang w:val="fr-CH"/>
              </w:rPr>
              <w:t xml:space="preserve">qui comprend des sources </w:t>
            </w:r>
            <w:r>
              <w:rPr>
                <w:lang w:val="fr-CH"/>
              </w:rPr>
              <w:t>d'</w:t>
            </w:r>
            <w:r w:rsidRPr="005046E3">
              <w:rPr>
                <w:lang w:val="fr-CH"/>
              </w:rPr>
              <w:t>impulsions DME/TAC</w:t>
            </w:r>
            <w:r>
              <w:rPr>
                <w:lang w:val="fr-CH"/>
              </w:rPr>
              <w:t>A</w:t>
            </w:r>
            <w:r w:rsidRPr="005046E3">
              <w:rPr>
                <w:lang w:val="fr-CH"/>
              </w:rPr>
              <w:t xml:space="preserve">N, CNI et SRNA/ATC existantes. La limite de dégradation s'applique à l'effet </w:t>
            </w:r>
            <w:r>
              <w:rPr>
                <w:lang w:val="fr-CH"/>
              </w:rPr>
              <w:t xml:space="preserve">causé par </w:t>
            </w:r>
            <w:r w:rsidRPr="005046E3">
              <w:rPr>
                <w:lang w:val="fr-CH"/>
              </w:rPr>
              <w:t xml:space="preserve">une </w:t>
            </w:r>
            <w:r>
              <w:rPr>
                <w:lang w:val="fr-CH"/>
              </w:rPr>
              <w:t xml:space="preserve">nouvelle </w:t>
            </w:r>
            <w:r w:rsidRPr="005046E3">
              <w:rPr>
                <w:lang w:val="fr-CH"/>
              </w:rPr>
              <w:t xml:space="preserve">source ou un </w:t>
            </w:r>
            <w:r>
              <w:rPr>
                <w:lang w:val="fr-CH"/>
              </w:rPr>
              <w:t xml:space="preserve">nouveau </w:t>
            </w:r>
            <w:r w:rsidRPr="005046E3">
              <w:rPr>
                <w:lang w:val="fr-CH"/>
              </w:rPr>
              <w:t>groupe de sources de brouillage par impulsions</w:t>
            </w:r>
            <w:r>
              <w:rPr>
                <w:lang w:val="fr-CH"/>
              </w:rPr>
              <w:t xml:space="preserve"> ne relevant pas d'un service aéronautique</w:t>
            </w:r>
            <w:r w:rsidRPr="005046E3">
              <w:rPr>
                <w:lang w:val="fr-CH"/>
              </w:rPr>
              <w:t>.</w:t>
            </w:r>
          </w:p>
          <w:p w:rsidR="00DF60DE" w:rsidRPr="005046E3" w:rsidRDefault="00DF60DE" w:rsidP="006A6420">
            <w:pPr>
              <w:pStyle w:val="Tablelegend"/>
              <w:keepNext/>
              <w:keepLines/>
              <w:ind w:left="0" w:firstLine="0"/>
              <w:rPr>
                <w:lang w:val="fr-CH"/>
              </w:rPr>
            </w:pPr>
            <w:r w:rsidRPr="005046E3">
              <w:rPr>
                <w:lang w:val="fr-CH"/>
              </w:rPr>
              <w:t xml:space="preserve">NOTE 2 – Les rayonnements non désirés produits par des sources </w:t>
            </w:r>
            <w:r>
              <w:rPr>
                <w:lang w:val="fr-CH"/>
              </w:rPr>
              <w:t xml:space="preserve">de brouillage </w:t>
            </w:r>
            <w:r w:rsidRPr="005046E3">
              <w:rPr>
                <w:lang w:val="fr-CH"/>
              </w:rPr>
              <w:t>continu, auxquels la Recommandation UIT-R M.1318</w:t>
            </w:r>
            <w:r>
              <w:rPr>
                <w:lang w:val="fr-CH"/>
              </w:rPr>
              <w:t xml:space="preserve"> s'applique</w:t>
            </w:r>
            <w:r w:rsidRPr="005046E3">
              <w:rPr>
                <w:lang w:val="fr-CH"/>
              </w:rPr>
              <w:t xml:space="preserve">, n'auront pas d'incidence sur les rapports de dégradation admissibles pour les sources </w:t>
            </w:r>
            <w:r>
              <w:rPr>
                <w:lang w:val="fr-CH"/>
              </w:rPr>
              <w:t xml:space="preserve">de brouillage par </w:t>
            </w:r>
            <w:r w:rsidRPr="005046E3">
              <w:rPr>
                <w:lang w:val="fr-CH"/>
              </w:rPr>
              <w:t>impulsion</w:t>
            </w:r>
            <w:r>
              <w:rPr>
                <w:lang w:val="fr-CH"/>
              </w:rPr>
              <w:t>s</w:t>
            </w:r>
            <w:r w:rsidRPr="005046E3">
              <w:rPr>
                <w:lang w:val="fr-CH"/>
              </w:rPr>
              <w:t>.</w:t>
            </w:r>
          </w:p>
          <w:p w:rsidR="00DF60DE" w:rsidRPr="005046E3" w:rsidRDefault="00DF60DE" w:rsidP="006A6420">
            <w:pPr>
              <w:pStyle w:val="Tablelegend"/>
              <w:keepNext/>
              <w:keepLines/>
              <w:ind w:left="0" w:firstLine="0"/>
              <w:rPr>
                <w:lang w:val="fr-CH"/>
              </w:rPr>
            </w:pPr>
            <w:r w:rsidRPr="005046E3">
              <w:rPr>
                <w:lang w:val="fr-CH"/>
              </w:rPr>
              <w:t xml:space="preserve">NOTE 3 – Le rapport de dégradation admissible pour les nouvelles sources </w:t>
            </w:r>
            <w:r>
              <w:rPr>
                <w:lang w:val="fr-CH"/>
              </w:rPr>
              <w:t xml:space="preserve">de brouillage par </w:t>
            </w:r>
            <w:r w:rsidRPr="005046E3">
              <w:rPr>
                <w:lang w:val="fr-CH"/>
              </w:rPr>
              <w:t>impulsions qui ne sont pas prévues dans le scénario</w:t>
            </w:r>
            <w:r>
              <w:rPr>
                <w:lang w:val="fr-CH"/>
              </w:rPr>
              <w:t xml:space="preserve"> de</w:t>
            </w:r>
            <w:r w:rsidRPr="005046E3">
              <w:rPr>
                <w:lang w:val="fr-CH"/>
              </w:rPr>
              <w:t xml:space="preserve"> brouillage radioélectrique de référence </w:t>
            </w:r>
            <w:r>
              <w:rPr>
                <w:lang w:val="fr-CH"/>
              </w:rPr>
              <w:t>exige</w:t>
            </w:r>
            <w:r w:rsidRPr="005046E3">
              <w:rPr>
                <w:lang w:val="fr-CH"/>
              </w:rPr>
              <w:t xml:space="preserve"> un examen des effets cumulés </w:t>
            </w:r>
            <w:r>
              <w:rPr>
                <w:lang w:val="fr-CH"/>
              </w:rPr>
              <w:t xml:space="preserve">que de </w:t>
            </w:r>
            <w:r w:rsidRPr="005046E3">
              <w:rPr>
                <w:lang w:val="fr-CH"/>
              </w:rPr>
              <w:t>multiples sources</w:t>
            </w:r>
            <w:r>
              <w:rPr>
                <w:lang w:val="fr-CH"/>
              </w:rPr>
              <w:t xml:space="preserve"> de brouillage par </w:t>
            </w:r>
            <w:r w:rsidRPr="005046E3">
              <w:rPr>
                <w:lang w:val="fr-CH"/>
              </w:rPr>
              <w:t>impulsions qui illumine</w:t>
            </w:r>
            <w:r>
              <w:rPr>
                <w:lang w:val="fr-CH"/>
              </w:rPr>
              <w:t>nt</w:t>
            </w:r>
            <w:r w:rsidRPr="005046E3">
              <w:rPr>
                <w:lang w:val="fr-CH"/>
              </w:rPr>
              <w:t xml:space="preserve"> simultanément </w:t>
            </w:r>
            <w:r>
              <w:rPr>
                <w:lang w:val="fr-CH"/>
              </w:rPr>
              <w:t>un</w:t>
            </w:r>
            <w:r w:rsidRPr="005046E3">
              <w:rPr>
                <w:lang w:val="fr-CH"/>
              </w:rPr>
              <w:t xml:space="preserve"> récepteur du SRNS</w:t>
            </w:r>
            <w:r>
              <w:rPr>
                <w:lang w:val="fr-CH"/>
              </w:rPr>
              <w:t xml:space="preserve"> ont sur le récepteur en question</w:t>
            </w:r>
            <w:r w:rsidRPr="005046E3">
              <w:rPr>
                <w:lang w:val="fr-CH"/>
              </w:rPr>
              <w:t>.</w:t>
            </w:r>
          </w:p>
          <w:p w:rsidR="00DF60DE" w:rsidRPr="005046E3" w:rsidRDefault="00DF60DE" w:rsidP="006A6420">
            <w:pPr>
              <w:pStyle w:val="Tablelegend"/>
              <w:keepNext/>
              <w:keepLines/>
              <w:ind w:left="0" w:firstLine="0"/>
              <w:rPr>
                <w:lang w:val="fr-CH"/>
              </w:rPr>
            </w:pPr>
            <w:r w:rsidRPr="005046E3">
              <w:rPr>
                <w:lang w:val="fr-CH"/>
              </w:rPr>
              <w:t xml:space="preserve">NOTE 4 – La valeur de </w:t>
            </w:r>
            <w:r w:rsidRPr="005046E3">
              <w:rPr>
                <w:i/>
                <w:iCs/>
                <w:lang w:val="fr-CH"/>
              </w:rPr>
              <w:t>N</w:t>
            </w:r>
            <w:r w:rsidRPr="005046E3">
              <w:rPr>
                <w:i/>
                <w:iCs/>
                <w:vertAlign w:val="subscript"/>
                <w:lang w:val="fr-CH"/>
              </w:rPr>
              <w:t>LIM</w:t>
            </w:r>
            <w:r w:rsidRPr="005046E3">
              <w:rPr>
                <w:lang w:val="fr-CH"/>
              </w:rPr>
              <w:t xml:space="preserve"> pour un récepteur à suppression d'impulsion</w:t>
            </w:r>
            <w:r>
              <w:rPr>
                <w:lang w:val="fr-CH"/>
              </w:rPr>
              <w:t>s</w:t>
            </w:r>
            <w:r w:rsidRPr="005046E3">
              <w:rPr>
                <w:lang w:val="fr-CH"/>
              </w:rPr>
              <w:t xml:space="preserve"> est égale à zéro.</w:t>
            </w:r>
          </w:p>
          <w:p w:rsidR="00DF60DE" w:rsidRPr="005046E3" w:rsidRDefault="00DF60DE" w:rsidP="006A6420">
            <w:pPr>
              <w:pStyle w:val="Tablelegend"/>
              <w:keepNext/>
              <w:keepLines/>
              <w:ind w:left="0" w:firstLine="0"/>
              <w:rPr>
                <w:lang w:val="fr-CH" w:eastAsia="zh-CN"/>
              </w:rPr>
            </w:pPr>
            <w:r w:rsidRPr="005046E3">
              <w:rPr>
                <w:lang w:val="fr-CH"/>
              </w:rPr>
              <w:t>NOTE 5 – Sur la base d'un</w:t>
            </w:r>
            <w:r>
              <w:rPr>
                <w:lang w:eastAsia="ru-RU"/>
              </w:rPr>
              <w:t xml:space="preserve"> temps de rétablissement après surcharge de 1 microseconde.</w:t>
            </w:r>
            <w:r w:rsidRPr="005046E3">
              <w:rPr>
                <w:lang w:val="fr-CH"/>
              </w:rPr>
              <w:t xml:space="preserve"> </w:t>
            </w:r>
          </w:p>
        </w:tc>
      </w:tr>
    </w:tbl>
    <w:p w:rsidR="00DF60DE" w:rsidRPr="005046E3" w:rsidRDefault="00DF60DE" w:rsidP="00DF60DE">
      <w:pPr>
        <w:keepNext/>
        <w:keepLines/>
        <w:spacing w:before="240"/>
        <w:rPr>
          <w:lang w:val="fr-CH"/>
        </w:rPr>
      </w:pPr>
      <w:r w:rsidRPr="005046E3">
        <w:rPr>
          <w:lang w:val="fr-CH"/>
        </w:rPr>
        <w:t xml:space="preserve">Le </w:t>
      </w:r>
      <w:r>
        <w:rPr>
          <w:lang w:val="fr-CH"/>
        </w:rPr>
        <w:t>T</w:t>
      </w:r>
      <w:r w:rsidRPr="005046E3">
        <w:rPr>
          <w:lang w:val="fr-CH"/>
        </w:rPr>
        <w:t xml:space="preserve">ableau 2 donne les mêmes paramètres pour la bande 1 215-1 300 MHz. Les types de récepteurs du SRNS figurant dans le Tableau sont tirés de la Recommandations UIT-R M.1902. Comme dans le cas du Tableau 1, les paramètres </w:t>
      </w:r>
      <w:r>
        <w:rPr>
          <w:lang w:val="fr-CH"/>
        </w:rPr>
        <w:t xml:space="preserve">de référence </w:t>
      </w:r>
      <w:r w:rsidRPr="005046E3">
        <w:rPr>
          <w:lang w:val="fr-CH"/>
        </w:rPr>
        <w:t xml:space="preserve">relatifs au brouillage radioélectrique par impulsions, </w:t>
      </w:r>
      <w:r w:rsidRPr="005046E3">
        <w:rPr>
          <w:i/>
          <w:lang w:val="fr-CH"/>
        </w:rPr>
        <w:t>PDC</w:t>
      </w:r>
      <w:r w:rsidRPr="005046E3">
        <w:rPr>
          <w:lang w:val="fr-CH"/>
        </w:rPr>
        <w:t xml:space="preserve"> et </w:t>
      </w:r>
      <w:r w:rsidRPr="005046E3">
        <w:rPr>
          <w:i/>
          <w:lang w:val="fr-CH"/>
        </w:rPr>
        <w:t>R</w:t>
      </w:r>
      <w:r w:rsidRPr="005046E3">
        <w:rPr>
          <w:i/>
          <w:vertAlign w:val="subscript"/>
          <w:lang w:val="fr-CH"/>
        </w:rPr>
        <w:t>I</w:t>
      </w:r>
      <w:r w:rsidRPr="005046E3">
        <w:rPr>
          <w:lang w:val="fr-CH"/>
        </w:rPr>
        <w:t>, et le paramètre relatif au br</w:t>
      </w:r>
      <w:r>
        <w:rPr>
          <w:lang w:val="fr-CH"/>
        </w:rPr>
        <w:t>o</w:t>
      </w:r>
      <w:r w:rsidRPr="005046E3">
        <w:rPr>
          <w:lang w:val="fr-CH"/>
        </w:rPr>
        <w:t xml:space="preserve">uillage radioélectrique continu, </w:t>
      </w:r>
      <w:r w:rsidRPr="005046E3">
        <w:rPr>
          <w:i/>
          <w:lang w:val="fr-CH"/>
        </w:rPr>
        <w:t>I</w:t>
      </w:r>
      <w:r w:rsidRPr="005046E3">
        <w:rPr>
          <w:vertAlign w:val="subscript"/>
          <w:lang w:val="fr-CH"/>
        </w:rPr>
        <w:t>0</w:t>
      </w:r>
      <w:r w:rsidRPr="005046E3">
        <w:rPr>
          <w:i/>
          <w:vertAlign w:val="subscript"/>
          <w:lang w:val="fr-CH"/>
        </w:rPr>
        <w:t>,WB</w:t>
      </w:r>
      <w:r w:rsidRPr="005046E3">
        <w:rPr>
          <w:i/>
          <w:lang w:val="fr-CH"/>
        </w:rPr>
        <w:t>/N</w:t>
      </w:r>
      <w:r w:rsidRPr="005046E3">
        <w:rPr>
          <w:vertAlign w:val="subscript"/>
          <w:lang w:val="fr-CH"/>
        </w:rPr>
        <w:t>0</w:t>
      </w:r>
      <w:r w:rsidRPr="005046E3">
        <w:rPr>
          <w:lang w:val="fr-CH"/>
        </w:rPr>
        <w:t>, doivent être utilisés dans l'équation de calcul du rapport de dégradation appropriée (éq</w:t>
      </w:r>
      <w:r>
        <w:rPr>
          <w:lang w:val="fr-CH"/>
        </w:rPr>
        <w:t>uation 6 pour les récepteurs du </w:t>
      </w:r>
      <w:r w:rsidRPr="005046E3">
        <w:rPr>
          <w:lang w:val="fr-CH"/>
        </w:rPr>
        <w:t>SRNS à suppression d'impulsions (</w:t>
      </w:r>
      <w:r w:rsidRPr="005046E3">
        <w:rPr>
          <w:i/>
          <w:lang w:val="fr-CH"/>
        </w:rPr>
        <w:t>N</w:t>
      </w:r>
      <w:r w:rsidRPr="005046E3">
        <w:rPr>
          <w:i/>
          <w:vertAlign w:val="subscript"/>
          <w:lang w:val="fr-CH"/>
        </w:rPr>
        <w:t>LIM</w:t>
      </w:r>
      <w:r w:rsidRPr="005046E3">
        <w:rPr>
          <w:lang w:val="fr-CH"/>
        </w:rPr>
        <w:t xml:space="preserve"> =0), ou équation 7, 7a, ou 8 pour les récepteurs du SRNS </w:t>
      </w:r>
      <w:r>
        <w:rPr>
          <w:lang w:val="fr-CH"/>
        </w:rPr>
        <w:t xml:space="preserve">en état de </w:t>
      </w:r>
      <w:r w:rsidRPr="005046E3">
        <w:rPr>
          <w:lang w:val="fr-CH"/>
        </w:rPr>
        <w:t>saturation (</w:t>
      </w:r>
      <w:r w:rsidRPr="005046E3">
        <w:rPr>
          <w:i/>
          <w:lang w:val="fr-CH"/>
        </w:rPr>
        <w:t>N</w:t>
      </w:r>
      <w:r w:rsidRPr="005046E3">
        <w:rPr>
          <w:i/>
          <w:vertAlign w:val="subscript"/>
          <w:lang w:val="fr-CH"/>
        </w:rPr>
        <w:t>LIM</w:t>
      </w:r>
      <w:r w:rsidRPr="005046E3">
        <w:rPr>
          <w:lang w:val="fr-CH"/>
        </w:rPr>
        <w:t xml:space="preserve"> </w:t>
      </w:r>
      <w:r>
        <w:rPr>
          <w:szCs w:val="24"/>
        </w:rPr>
        <w:sym w:font="Symbol" w:char="F0B3"/>
      </w:r>
      <w:r w:rsidRPr="005046E3">
        <w:rPr>
          <w:lang w:val="fr-CH"/>
        </w:rPr>
        <w:t xml:space="preserve"> 1)). On compare le rapport de dégradation effectif </w:t>
      </w:r>
      <w:r>
        <w:rPr>
          <w:lang w:val="fr-CH"/>
        </w:rPr>
        <w:t xml:space="preserve">obtenu avec l'équation </w:t>
      </w:r>
      <w:r w:rsidRPr="005046E3">
        <w:rPr>
          <w:lang w:val="fr-CH"/>
        </w:rPr>
        <w:t>avec la valeur du rapport de dégradation admissible donnée dans le Tableau 2.</w:t>
      </w:r>
    </w:p>
    <w:p w:rsidR="00DF60DE" w:rsidRDefault="00DF60DE" w:rsidP="00DF60DE">
      <w:pPr>
        <w:pStyle w:val="TableNo"/>
        <w:spacing w:before="240"/>
        <w:rPr>
          <w:lang w:val="fr-CH"/>
        </w:rPr>
      </w:pPr>
      <w:r>
        <w:rPr>
          <w:lang w:val="fr-CH"/>
        </w:rPr>
        <w:br w:type="page"/>
      </w:r>
    </w:p>
    <w:p w:rsidR="00DF60DE" w:rsidRPr="005046E3" w:rsidRDefault="00DF60DE" w:rsidP="00BF0290">
      <w:pPr>
        <w:pStyle w:val="TableNo"/>
        <w:spacing w:before="240"/>
        <w:rPr>
          <w:lang w:val="fr-CH" w:eastAsia="ru-RU"/>
        </w:rPr>
      </w:pPr>
      <w:r w:rsidRPr="005046E3">
        <w:rPr>
          <w:lang w:val="fr-CH"/>
        </w:rPr>
        <w:lastRenderedPageBreak/>
        <w:t>TABLEAU</w:t>
      </w:r>
      <w:r w:rsidRPr="005046E3">
        <w:rPr>
          <w:lang w:val="fr-CH" w:eastAsia="ru-RU"/>
        </w:rPr>
        <w:t xml:space="preserve"> 2</w:t>
      </w:r>
    </w:p>
    <w:p w:rsidR="00DF60DE" w:rsidRPr="005046E3" w:rsidRDefault="00DF60DE" w:rsidP="00DF60DE">
      <w:pPr>
        <w:pStyle w:val="Tabletitle"/>
        <w:rPr>
          <w:lang w:val="fr-CH"/>
        </w:rPr>
      </w:pPr>
      <w:r w:rsidRPr="005046E3">
        <w:rPr>
          <w:lang w:val="fr-CH"/>
        </w:rPr>
        <w:t>Paramètres de référence utilisés dans la méthode d'évaluation du brouillage radioélectrique par impulsions et rapports de dégradation admissibles pour</w:t>
      </w:r>
      <w:r>
        <w:rPr>
          <w:lang w:val="fr-CH"/>
        </w:rPr>
        <w:t xml:space="preserve"> les récepteurs du SRNS (espace </w:t>
      </w:r>
      <w:r w:rsidRPr="005046E3">
        <w:rPr>
          <w:lang w:val="fr-CH"/>
        </w:rPr>
        <w:t>vers Terre) fonctionnant dans la bande 1 215</w:t>
      </w:r>
      <w:r w:rsidRPr="005046E3">
        <w:rPr>
          <w:lang w:val="fr-CH"/>
        </w:rPr>
        <w:noBreakHyphen/>
        <w:t>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2"/>
        <w:gridCol w:w="1201"/>
        <w:gridCol w:w="1201"/>
        <w:gridCol w:w="1214"/>
        <w:gridCol w:w="1301"/>
        <w:gridCol w:w="2140"/>
      </w:tblGrid>
      <w:tr w:rsidR="00DF60DE" w:rsidRPr="00400648" w:rsidTr="006A6420">
        <w:trPr>
          <w:jc w:val="center"/>
        </w:trPr>
        <w:tc>
          <w:tcPr>
            <w:tcW w:w="2582" w:type="dxa"/>
            <w:tcBorders>
              <w:top w:val="single" w:sz="4" w:space="0" w:color="auto"/>
              <w:left w:val="single" w:sz="4" w:space="0" w:color="auto"/>
              <w:bottom w:val="single" w:sz="4" w:space="0" w:color="auto"/>
              <w:right w:val="single" w:sz="4" w:space="0" w:color="auto"/>
            </w:tcBorders>
          </w:tcPr>
          <w:p w:rsidR="00DF60DE" w:rsidRPr="00A44EDF" w:rsidRDefault="00DF60DE" w:rsidP="006A6420">
            <w:pPr>
              <w:pStyle w:val="Tablehead"/>
              <w:spacing w:before="40" w:after="40"/>
              <w:rPr>
                <w:lang w:eastAsia="zh-CN"/>
              </w:rPr>
            </w:pPr>
            <w:r>
              <w:rPr>
                <w:lang w:eastAsia="zh-CN"/>
              </w:rPr>
              <w:t>Type de récepteur</w:t>
            </w:r>
          </w:p>
        </w:tc>
        <w:tc>
          <w:tcPr>
            <w:tcW w:w="1201" w:type="dxa"/>
            <w:tcBorders>
              <w:top w:val="single" w:sz="4" w:space="0" w:color="auto"/>
              <w:left w:val="single" w:sz="4" w:space="0" w:color="auto"/>
              <w:bottom w:val="single" w:sz="4" w:space="0" w:color="auto"/>
              <w:right w:val="single" w:sz="4" w:space="0" w:color="auto"/>
            </w:tcBorders>
          </w:tcPr>
          <w:p w:rsidR="00DF60DE" w:rsidRPr="00A44EDF" w:rsidRDefault="00DF60DE" w:rsidP="006A6420">
            <w:pPr>
              <w:pStyle w:val="Tablehead"/>
              <w:spacing w:before="40" w:after="40"/>
              <w:rPr>
                <w:lang w:eastAsia="zh-CN"/>
              </w:rPr>
            </w:pPr>
            <w:r w:rsidRPr="00A44EDF">
              <w:rPr>
                <w:i/>
                <w:iCs/>
                <w:lang w:eastAsia="zh-CN"/>
              </w:rPr>
              <w:t>N</w:t>
            </w:r>
            <w:r w:rsidRPr="00A44EDF">
              <w:rPr>
                <w:i/>
                <w:iCs/>
                <w:vertAlign w:val="subscript"/>
                <w:lang w:eastAsia="zh-CN"/>
              </w:rPr>
              <w:t>LIM</w:t>
            </w:r>
            <w:r w:rsidRPr="00A44EDF">
              <w:rPr>
                <w:iCs/>
                <w:vertAlign w:val="subscript"/>
                <w:lang w:eastAsia="zh-CN"/>
              </w:rPr>
              <w:br/>
            </w:r>
            <w:r w:rsidRPr="00A44EDF">
              <w:rPr>
                <w:iCs/>
                <w:lang w:eastAsia="zh-CN"/>
              </w:rPr>
              <w:t>(</w:t>
            </w:r>
            <w:r>
              <w:rPr>
                <w:iCs/>
                <w:lang w:eastAsia="zh-CN"/>
              </w:rPr>
              <w:t>sans unité</w:t>
            </w:r>
            <w:r w:rsidRPr="00A44EDF">
              <w:rPr>
                <w:iCs/>
                <w:lang w:eastAsia="zh-CN"/>
              </w:rPr>
              <w:t xml:space="preserve">) </w:t>
            </w:r>
            <w:r w:rsidRPr="00A44EDF">
              <w:rPr>
                <w:iCs/>
                <w:lang w:eastAsia="zh-CN"/>
              </w:rPr>
              <w:br/>
            </w:r>
            <w:r w:rsidRPr="00A44EDF">
              <w:rPr>
                <w:iCs/>
                <w:lang w:eastAsia="zh-CN"/>
              </w:rPr>
              <w:br/>
            </w:r>
            <w:r w:rsidRPr="00A44EDF">
              <w:rPr>
                <w:iCs/>
                <w:lang w:eastAsia="zh-CN"/>
              </w:rPr>
              <w:br/>
              <w:t>(Note 1)</w:t>
            </w:r>
          </w:p>
        </w:tc>
        <w:tc>
          <w:tcPr>
            <w:tcW w:w="1201" w:type="dxa"/>
            <w:tcBorders>
              <w:top w:val="single" w:sz="4" w:space="0" w:color="auto"/>
              <w:left w:val="single" w:sz="4" w:space="0" w:color="auto"/>
              <w:bottom w:val="single" w:sz="4" w:space="0" w:color="auto"/>
              <w:right w:val="single" w:sz="4" w:space="0" w:color="auto"/>
            </w:tcBorders>
          </w:tcPr>
          <w:p w:rsidR="00DF60DE" w:rsidRPr="00A44EDF" w:rsidRDefault="00DF60DE" w:rsidP="006A6420">
            <w:pPr>
              <w:pStyle w:val="Tablehead"/>
              <w:spacing w:before="40" w:after="40"/>
              <w:rPr>
                <w:lang w:eastAsia="zh-CN"/>
              </w:rPr>
            </w:pPr>
            <w:r w:rsidRPr="00A44EDF">
              <w:rPr>
                <w:i/>
                <w:lang w:eastAsia="zh-CN"/>
              </w:rPr>
              <w:t>PDC</w:t>
            </w:r>
            <w:r w:rsidRPr="00A44EDF">
              <w:rPr>
                <w:lang w:eastAsia="zh-CN"/>
              </w:rPr>
              <w:t xml:space="preserve"> </w:t>
            </w:r>
            <w:r>
              <w:rPr>
                <w:lang w:eastAsia="zh-CN"/>
              </w:rPr>
              <w:t xml:space="preserve">de référence </w:t>
            </w:r>
            <w:r w:rsidRPr="00A44EDF">
              <w:rPr>
                <w:iCs/>
                <w:lang w:eastAsia="zh-CN"/>
              </w:rPr>
              <w:t>(</w:t>
            </w:r>
            <w:r>
              <w:rPr>
                <w:iCs/>
                <w:lang w:eastAsia="zh-CN"/>
              </w:rPr>
              <w:t>sans unité</w:t>
            </w:r>
            <w:r w:rsidRPr="00A44EDF">
              <w:rPr>
                <w:iCs/>
                <w:lang w:eastAsia="zh-CN"/>
              </w:rPr>
              <w:t>)</w:t>
            </w:r>
            <w:r w:rsidRPr="00A44EDF">
              <w:rPr>
                <w:iCs/>
                <w:lang w:eastAsia="zh-CN"/>
              </w:rPr>
              <w:br/>
            </w:r>
            <w:r w:rsidRPr="00A44EDF">
              <w:rPr>
                <w:iCs/>
                <w:lang w:eastAsia="zh-CN"/>
              </w:rPr>
              <w:br/>
            </w:r>
            <w:r w:rsidRPr="00A44EDF">
              <w:rPr>
                <w:lang w:eastAsia="zh-CN"/>
              </w:rPr>
              <w:t>(Note 2)</w:t>
            </w:r>
          </w:p>
        </w:tc>
        <w:tc>
          <w:tcPr>
            <w:tcW w:w="1214" w:type="dxa"/>
            <w:tcBorders>
              <w:top w:val="single" w:sz="4" w:space="0" w:color="auto"/>
              <w:left w:val="single" w:sz="4" w:space="0" w:color="auto"/>
              <w:bottom w:val="single" w:sz="4" w:space="0" w:color="auto"/>
              <w:right w:val="single" w:sz="4" w:space="0" w:color="auto"/>
            </w:tcBorders>
          </w:tcPr>
          <w:p w:rsidR="00DF60DE" w:rsidRPr="00A44EDF" w:rsidRDefault="00DF60DE" w:rsidP="006A6420">
            <w:pPr>
              <w:pStyle w:val="Tablehead"/>
              <w:spacing w:before="40" w:after="40"/>
              <w:rPr>
                <w:lang w:eastAsia="zh-CN"/>
              </w:rPr>
            </w:pPr>
            <w:r w:rsidRPr="00A44EDF">
              <w:rPr>
                <w:i/>
                <w:lang w:eastAsia="zh-CN"/>
              </w:rPr>
              <w:t>R</w:t>
            </w:r>
            <w:r w:rsidRPr="00A44EDF">
              <w:rPr>
                <w:i/>
                <w:vertAlign w:val="subscript"/>
                <w:lang w:eastAsia="zh-CN"/>
              </w:rPr>
              <w:t xml:space="preserve">I </w:t>
            </w:r>
            <w:r>
              <w:rPr>
                <w:iCs/>
                <w:lang w:eastAsia="zh-CN"/>
              </w:rPr>
              <w:t>de référence</w:t>
            </w:r>
            <w:r w:rsidRPr="00A44EDF">
              <w:rPr>
                <w:iCs/>
                <w:lang w:eastAsia="zh-CN"/>
              </w:rPr>
              <w:t>(</w:t>
            </w:r>
            <w:r>
              <w:rPr>
                <w:iCs/>
                <w:lang w:eastAsia="zh-CN"/>
              </w:rPr>
              <w:t>sans unité</w:t>
            </w:r>
            <w:r w:rsidRPr="00A44EDF">
              <w:rPr>
                <w:iCs/>
                <w:lang w:eastAsia="zh-CN"/>
              </w:rPr>
              <w:t>)</w:t>
            </w:r>
            <w:r w:rsidRPr="00A44EDF">
              <w:rPr>
                <w:iCs/>
                <w:lang w:eastAsia="zh-CN"/>
              </w:rPr>
              <w:br/>
            </w:r>
            <w:r w:rsidRPr="00A44EDF">
              <w:rPr>
                <w:iCs/>
                <w:lang w:eastAsia="zh-CN"/>
              </w:rPr>
              <w:br/>
            </w:r>
            <w:r w:rsidRPr="00A44EDF">
              <w:rPr>
                <w:lang w:eastAsia="zh-CN"/>
              </w:rPr>
              <w:t>(Note 2)</w:t>
            </w:r>
          </w:p>
        </w:tc>
        <w:tc>
          <w:tcPr>
            <w:tcW w:w="1301"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head"/>
              <w:spacing w:before="40" w:after="40"/>
              <w:rPr>
                <w:lang w:val="fr-CH" w:eastAsia="zh-CN"/>
              </w:rPr>
            </w:pPr>
            <w:r w:rsidRPr="005046E3">
              <w:rPr>
                <w:lang w:val="fr-CH" w:eastAsia="zh-CN"/>
              </w:rPr>
              <w:t xml:space="preserve">Rapport </w:t>
            </w:r>
            <w:r w:rsidRPr="005046E3">
              <w:rPr>
                <w:i/>
                <w:lang w:val="fr-CH" w:eastAsia="zh-CN"/>
              </w:rPr>
              <w:t>I</w:t>
            </w:r>
            <w:r w:rsidRPr="005046E3">
              <w:rPr>
                <w:vertAlign w:val="subscript"/>
                <w:lang w:val="fr-CH" w:eastAsia="zh-CN"/>
              </w:rPr>
              <w:t>0</w:t>
            </w:r>
            <w:r w:rsidRPr="005046E3">
              <w:rPr>
                <w:i/>
                <w:vertAlign w:val="subscript"/>
                <w:lang w:val="fr-CH" w:eastAsia="zh-CN"/>
              </w:rPr>
              <w:t>,WB</w:t>
            </w:r>
            <w:r w:rsidRPr="005046E3">
              <w:rPr>
                <w:i/>
                <w:lang w:val="fr-CH" w:eastAsia="zh-CN"/>
              </w:rPr>
              <w:t>/N</w:t>
            </w:r>
            <w:r w:rsidRPr="005046E3">
              <w:rPr>
                <w:vertAlign w:val="subscript"/>
                <w:lang w:val="fr-CH" w:eastAsia="zh-CN"/>
              </w:rPr>
              <w:t>0</w:t>
            </w:r>
            <w:r w:rsidRPr="005046E3">
              <w:rPr>
                <w:lang w:val="fr-CH" w:eastAsia="zh-CN"/>
              </w:rPr>
              <w:t xml:space="preserve"> de référence </w:t>
            </w:r>
            <w:r w:rsidRPr="005046E3">
              <w:rPr>
                <w:iCs/>
                <w:lang w:val="fr-CH" w:eastAsia="zh-CN"/>
              </w:rPr>
              <w:t>(</w:t>
            </w:r>
            <w:r>
              <w:rPr>
                <w:iCs/>
                <w:lang w:eastAsia="zh-CN"/>
              </w:rPr>
              <w:t>sans unité</w:t>
            </w:r>
            <w:r w:rsidRPr="005046E3">
              <w:rPr>
                <w:iCs/>
                <w:lang w:val="fr-CH" w:eastAsia="zh-CN"/>
              </w:rPr>
              <w:t>)</w:t>
            </w:r>
          </w:p>
        </w:tc>
        <w:tc>
          <w:tcPr>
            <w:tcW w:w="2140"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head"/>
              <w:spacing w:before="40" w:after="40"/>
              <w:rPr>
                <w:lang w:val="fr-CH" w:eastAsia="zh-CN"/>
              </w:rPr>
            </w:pPr>
            <w:r w:rsidRPr="005046E3">
              <w:rPr>
                <w:lang w:val="fr-CH" w:eastAsia="zh-CN"/>
              </w:rPr>
              <w:t xml:space="preserve">Rapport de dégradation admissible pour les sources </w:t>
            </w:r>
            <w:r>
              <w:rPr>
                <w:lang w:val="fr-CH" w:eastAsia="zh-CN"/>
              </w:rPr>
              <w:t xml:space="preserve">de brouillage par </w:t>
            </w:r>
            <w:r w:rsidRPr="005046E3">
              <w:rPr>
                <w:lang w:val="fr-CH" w:eastAsia="zh-CN"/>
              </w:rPr>
              <w:t>impulsions (dB)</w:t>
            </w:r>
            <w:r w:rsidRPr="005046E3">
              <w:rPr>
                <w:lang w:val="fr-CH" w:eastAsia="zh-CN"/>
              </w:rPr>
              <w:br/>
              <w:t>(Note 3)</w:t>
            </w:r>
          </w:p>
        </w:tc>
      </w:tr>
      <w:tr w:rsidR="00DF60DE" w:rsidRPr="00007D9C" w:rsidTr="006A6420">
        <w:trPr>
          <w:jc w:val="center"/>
        </w:trPr>
        <w:tc>
          <w:tcPr>
            <w:tcW w:w="2582"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left"/>
            </w:pPr>
            <w:r>
              <w:t xml:space="preserve">Récepteur de référence au sol </w:t>
            </w:r>
            <w:r w:rsidRPr="00007D9C">
              <w:t>SBAS</w:t>
            </w:r>
            <w:r w:rsidRPr="00445E38">
              <w:rPr>
                <w:rStyle w:val="FootnoteReference"/>
                <w:sz w:val="20"/>
              </w:rPr>
              <w:footnoteReference w:id="11"/>
            </w:r>
            <w:r w:rsidRPr="00445E38">
              <w:t xml:space="preserve"> </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0793</w:t>
            </w:r>
            <w:r w:rsidRPr="00007D9C">
              <w:br/>
              <w:t>(Note 4)</w:t>
            </w:r>
          </w:p>
        </w:tc>
        <w:tc>
          <w:tcPr>
            <w:tcW w:w="1214"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3925</w:t>
            </w:r>
          </w:p>
        </w:tc>
        <w:tc>
          <w:tcPr>
            <w:tcW w:w="2140"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2</w:t>
            </w:r>
          </w:p>
        </w:tc>
      </w:tr>
      <w:tr w:rsidR="00DF60DE" w:rsidRPr="00007D9C" w:rsidTr="006A6420">
        <w:trPr>
          <w:jc w:val="center"/>
        </w:trPr>
        <w:tc>
          <w:tcPr>
            <w:tcW w:w="2582" w:type="dxa"/>
            <w:tcBorders>
              <w:top w:val="single" w:sz="4" w:space="0" w:color="auto"/>
              <w:left w:val="single" w:sz="4" w:space="0" w:color="auto"/>
              <w:bottom w:val="single" w:sz="4" w:space="0" w:color="auto"/>
              <w:right w:val="single" w:sz="4" w:space="0" w:color="auto"/>
            </w:tcBorders>
          </w:tcPr>
          <w:p w:rsidR="00DF60DE" w:rsidRPr="005046E3" w:rsidRDefault="00DF60DE" w:rsidP="006A6420">
            <w:pPr>
              <w:pStyle w:val="Tabletext"/>
              <w:jc w:val="left"/>
              <w:rPr>
                <w:lang w:val="fr-CH"/>
              </w:rPr>
            </w:pPr>
            <w:r w:rsidRPr="005046E3">
              <w:rPr>
                <w:lang w:val="fr-CH"/>
              </w:rPr>
              <w:t>Récepteur de haute précision à code parti</w:t>
            </w:r>
            <w:r>
              <w:rPr>
                <w:lang w:val="fr-CH"/>
              </w:rPr>
              <w:t>el</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2</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0765</w:t>
            </w:r>
            <w:r w:rsidRPr="00007D9C">
              <w:br/>
              <w:t>(Note 4)</w:t>
            </w:r>
          </w:p>
        </w:tc>
        <w:tc>
          <w:tcPr>
            <w:tcW w:w="1214"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3983</w:t>
            </w:r>
          </w:p>
        </w:tc>
        <w:tc>
          <w:tcPr>
            <w:tcW w:w="2140"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2</w:t>
            </w:r>
          </w:p>
        </w:tc>
      </w:tr>
      <w:tr w:rsidR="00DF60DE" w:rsidRPr="00007D9C" w:rsidTr="006A6420">
        <w:trPr>
          <w:jc w:val="center"/>
        </w:trPr>
        <w:tc>
          <w:tcPr>
            <w:tcW w:w="2582"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left"/>
            </w:pPr>
            <w:r>
              <w:rPr>
                <w:rFonts w:eastAsia="MS PGothic"/>
              </w:rPr>
              <w:t>Récepteur de navigation aérienne</w:t>
            </w:r>
            <w:r w:rsidRPr="00007D9C">
              <w:rPr>
                <w:rFonts w:eastAsia="MS PGothic"/>
              </w:rPr>
              <w:t xml:space="preserve"> (</w:t>
            </w:r>
            <w:r>
              <w:rPr>
                <w:rFonts w:eastAsia="MS PGothic"/>
              </w:rPr>
              <w:t>AMRF</w:t>
            </w:r>
            <w:r w:rsidRPr="00007D9C">
              <w:rPr>
                <w:rFonts w:eastAsia="MS PGothic"/>
              </w:rPr>
              <w:t>)</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1327</w:t>
            </w:r>
            <w:r w:rsidRPr="00007D9C">
              <w:br/>
              <w:t>(Note 4)</w:t>
            </w:r>
          </w:p>
        </w:tc>
        <w:tc>
          <w:tcPr>
            <w:tcW w:w="1214"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455</w:t>
            </w:r>
          </w:p>
        </w:tc>
        <w:tc>
          <w:tcPr>
            <w:tcW w:w="2140"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1</w:t>
            </w:r>
          </w:p>
        </w:tc>
      </w:tr>
      <w:tr w:rsidR="00DF60DE" w:rsidRPr="00007D9C" w:rsidTr="006A6420">
        <w:trPr>
          <w:jc w:val="center"/>
        </w:trPr>
        <w:tc>
          <w:tcPr>
            <w:tcW w:w="2582"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left"/>
            </w:pPr>
            <w:r>
              <w:rPr>
                <w:rFonts w:eastAsia="MS PGothic"/>
              </w:rPr>
              <w:t>Récepteur de navigation aérienne</w:t>
            </w:r>
            <w:r w:rsidRPr="00007D9C">
              <w:rPr>
                <w:rFonts w:eastAsia="MS PGothic"/>
              </w:rPr>
              <w:t xml:space="preserve"> (</w:t>
            </w:r>
            <w:r>
              <w:rPr>
                <w:rFonts w:eastAsia="MS PGothic"/>
              </w:rPr>
              <w:t>AMRF</w:t>
            </w:r>
            <w:r w:rsidRPr="00007D9C">
              <w:rPr>
                <w:rFonts w:eastAsia="MS PGothic"/>
              </w:rPr>
              <w:t>)</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1723</w:t>
            </w:r>
            <w:r w:rsidRPr="00007D9C">
              <w:br/>
              <w:t>(Note 5)</w:t>
            </w:r>
          </w:p>
        </w:tc>
        <w:tc>
          <w:tcPr>
            <w:tcW w:w="1214"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455</w:t>
            </w:r>
          </w:p>
        </w:tc>
        <w:tc>
          <w:tcPr>
            <w:tcW w:w="2140" w:type="dxa"/>
            <w:tcBorders>
              <w:top w:val="single" w:sz="4" w:space="0" w:color="auto"/>
              <w:left w:val="single" w:sz="4" w:space="0" w:color="auto"/>
              <w:bottom w:val="single" w:sz="4" w:space="0" w:color="auto"/>
              <w:right w:val="single" w:sz="4" w:space="0" w:color="auto"/>
            </w:tcBorders>
          </w:tcPr>
          <w:p w:rsidR="00DF60DE" w:rsidRPr="00007D9C" w:rsidRDefault="00DF60DE" w:rsidP="006A6420">
            <w:pPr>
              <w:pStyle w:val="Tabletext"/>
              <w:jc w:val="center"/>
            </w:pPr>
            <w:r w:rsidRPr="00007D9C">
              <w:t>0</w:t>
            </w:r>
            <w:r>
              <w:t>,</w:t>
            </w:r>
            <w:r w:rsidRPr="00007D9C">
              <w:t>1</w:t>
            </w:r>
          </w:p>
        </w:tc>
      </w:tr>
      <w:tr w:rsidR="00DF60DE" w:rsidRPr="00400648" w:rsidTr="006A6420">
        <w:trPr>
          <w:jc w:val="center"/>
        </w:trPr>
        <w:tc>
          <w:tcPr>
            <w:tcW w:w="9639" w:type="dxa"/>
            <w:gridSpan w:val="6"/>
            <w:tcBorders>
              <w:top w:val="single" w:sz="4" w:space="0" w:color="auto"/>
              <w:left w:val="nil"/>
              <w:bottom w:val="nil"/>
              <w:right w:val="nil"/>
            </w:tcBorders>
          </w:tcPr>
          <w:p w:rsidR="00DF60DE" w:rsidRPr="005046E3" w:rsidRDefault="00DF60DE" w:rsidP="006A6420">
            <w:pPr>
              <w:pStyle w:val="Tablelegend"/>
              <w:rPr>
                <w:lang w:val="fr-CH"/>
              </w:rPr>
            </w:pPr>
            <w:r w:rsidRPr="005046E3">
              <w:rPr>
                <w:lang w:val="fr-CH"/>
              </w:rPr>
              <w:t>*</w:t>
            </w:r>
            <w:r w:rsidRPr="005046E3">
              <w:rPr>
                <w:lang w:val="fr-CH"/>
              </w:rPr>
              <w:tab/>
              <w:t xml:space="preserve">Les valeurs des paramètres pour d'autres types de récepteurs du SRNS n'ont pas encore été définies. Les équations de calcul du rapport de dégradation données au </w:t>
            </w:r>
            <w:r>
              <w:rPr>
                <w:lang w:val="fr-CH"/>
              </w:rPr>
              <w:t>§ </w:t>
            </w:r>
            <w:r w:rsidRPr="005046E3">
              <w:rPr>
                <w:lang w:val="fr-CH"/>
              </w:rPr>
              <w:t>3 de la présente Annexe peuvent être utilisées pour prédire la nature générale des effets du brouillage par impulsions sur les récepteurs du SRNS pour lesquels aucun paramètre n'est donné.</w:t>
            </w:r>
          </w:p>
          <w:p w:rsidR="00DF60DE" w:rsidRPr="005046E3" w:rsidRDefault="00DF60DE" w:rsidP="006A6420">
            <w:pPr>
              <w:pStyle w:val="Tablelegend"/>
              <w:ind w:left="0" w:right="0" w:firstLine="0"/>
              <w:rPr>
                <w:lang w:val="fr-CH"/>
              </w:rPr>
            </w:pPr>
            <w:r w:rsidRPr="005046E3">
              <w:rPr>
                <w:lang w:val="fr-CH"/>
              </w:rPr>
              <w:t xml:space="preserve">NOTE 1 – La valeur de </w:t>
            </w:r>
            <w:r w:rsidRPr="005046E3">
              <w:rPr>
                <w:i/>
                <w:iCs/>
                <w:lang w:val="fr-CH"/>
              </w:rPr>
              <w:t>N</w:t>
            </w:r>
            <w:r w:rsidRPr="005046E3">
              <w:rPr>
                <w:i/>
                <w:iCs/>
                <w:vertAlign w:val="subscript"/>
                <w:lang w:val="fr-CH"/>
              </w:rPr>
              <w:t>LIM</w:t>
            </w:r>
            <w:r w:rsidRPr="005046E3">
              <w:rPr>
                <w:lang w:val="fr-CH"/>
              </w:rPr>
              <w:t xml:space="preserve"> pour un récepteur à suppression d'impulsion</w:t>
            </w:r>
            <w:r>
              <w:rPr>
                <w:lang w:val="fr-CH"/>
              </w:rPr>
              <w:t>s</w:t>
            </w:r>
            <w:r w:rsidRPr="005046E3">
              <w:rPr>
                <w:lang w:val="fr-CH"/>
              </w:rPr>
              <w:t xml:space="preserve"> est égale à zéro.</w:t>
            </w:r>
          </w:p>
          <w:p w:rsidR="00DF60DE" w:rsidRPr="005046E3" w:rsidRDefault="00DF60DE" w:rsidP="006A6420">
            <w:pPr>
              <w:pStyle w:val="Tablelegend"/>
              <w:ind w:left="0" w:right="0" w:firstLine="0"/>
              <w:rPr>
                <w:lang w:val="fr-CH"/>
              </w:rPr>
            </w:pPr>
            <w:r w:rsidRPr="005046E3">
              <w:rPr>
                <w:rFonts w:hint="eastAsia"/>
                <w:lang w:val="fr-CH"/>
              </w:rPr>
              <w:t>NOTE</w:t>
            </w:r>
            <w:r w:rsidRPr="005046E3">
              <w:rPr>
                <w:lang w:val="fr-CH"/>
              </w:rPr>
              <w:t xml:space="preserve"> </w:t>
            </w:r>
            <w:r w:rsidRPr="005046E3">
              <w:rPr>
                <w:rFonts w:hint="eastAsia"/>
                <w:lang w:val="fr-CH"/>
              </w:rPr>
              <w:t xml:space="preserve">2 </w:t>
            </w:r>
            <w:r w:rsidRPr="005046E3">
              <w:rPr>
                <w:lang w:val="fr-CH"/>
              </w:rPr>
              <w:t>–</w:t>
            </w:r>
            <w:r w:rsidRPr="005046E3">
              <w:rPr>
                <w:rFonts w:hint="eastAsia"/>
                <w:lang w:val="fr-CH"/>
              </w:rPr>
              <w:t xml:space="preserve"> </w:t>
            </w:r>
            <w:r w:rsidRPr="005046E3">
              <w:rPr>
                <w:lang w:val="fr-CH"/>
              </w:rPr>
              <w:t>On considère que les paramètres des sources d</w:t>
            </w:r>
            <w:r>
              <w:rPr>
                <w:lang w:val="fr-CH"/>
              </w:rPr>
              <w:t xml:space="preserve">e brouillage par </w:t>
            </w:r>
            <w:r w:rsidRPr="005046E3">
              <w:rPr>
                <w:lang w:val="fr-CH"/>
              </w:rPr>
              <w:t xml:space="preserve">impulsions de référence donnés dans ce Tableau correspondent aux valeurs pour le scénario le plus défavorable. On s'attend à ce que, dans la plupart des environnements </w:t>
            </w:r>
            <w:r>
              <w:rPr>
                <w:lang w:val="fr-CH"/>
              </w:rPr>
              <w:t>réels</w:t>
            </w:r>
            <w:r w:rsidRPr="005046E3">
              <w:rPr>
                <w:lang w:val="fr-CH"/>
              </w:rPr>
              <w:t xml:space="preserve">, il </w:t>
            </w:r>
            <w:r>
              <w:rPr>
                <w:lang w:val="fr-CH"/>
              </w:rPr>
              <w:t xml:space="preserve">puisse </w:t>
            </w:r>
            <w:r w:rsidRPr="005046E3">
              <w:rPr>
                <w:lang w:val="fr-CH"/>
              </w:rPr>
              <w:t xml:space="preserve">y </w:t>
            </w:r>
            <w:r>
              <w:rPr>
                <w:lang w:val="fr-CH"/>
              </w:rPr>
              <w:t>avoir différent</w:t>
            </w:r>
            <w:r w:rsidRPr="005046E3">
              <w:rPr>
                <w:lang w:val="fr-CH"/>
              </w:rPr>
              <w:t>s types de sources de brouillage par impulsion</w:t>
            </w:r>
            <w:r>
              <w:rPr>
                <w:lang w:val="fr-CH"/>
              </w:rPr>
              <w:t>s ayant</w:t>
            </w:r>
            <w:r w:rsidRPr="005046E3">
              <w:rPr>
                <w:lang w:val="fr-CH"/>
              </w:rPr>
              <w:t xml:space="preserve"> chacune des valeurs de PDC inférieures et que, par conséquent, le PDC du brouillage par impulsions cumulatif de référence soit inférieur à celui donné dans le Tableau. Il conviendrait de tenir compte de ces conditions réelles lorsqu'on effectue l'analyse détaillée demandée au point 2 du recommande.</w:t>
            </w:r>
          </w:p>
          <w:p w:rsidR="00DF60DE" w:rsidRPr="005046E3" w:rsidRDefault="00DF60DE" w:rsidP="006A6420">
            <w:pPr>
              <w:pStyle w:val="Tablelegend"/>
              <w:ind w:left="0" w:right="0" w:firstLine="0"/>
              <w:rPr>
                <w:lang w:val="fr-CH"/>
              </w:rPr>
            </w:pPr>
            <w:r w:rsidRPr="005046E3">
              <w:rPr>
                <w:lang w:val="fr-CH"/>
              </w:rPr>
              <w:t xml:space="preserve">NOTE 3 – Le rapport de dégradation admissible pour les nouvelles sources </w:t>
            </w:r>
            <w:r>
              <w:rPr>
                <w:lang w:val="fr-CH"/>
              </w:rPr>
              <w:t xml:space="preserve">de brouillage par </w:t>
            </w:r>
            <w:r w:rsidRPr="005046E3">
              <w:rPr>
                <w:lang w:val="fr-CH"/>
              </w:rPr>
              <w:t xml:space="preserve">impulsions qui ne sont pas prévues dans le scénario </w:t>
            </w:r>
            <w:r>
              <w:rPr>
                <w:lang w:val="fr-CH"/>
              </w:rPr>
              <w:t xml:space="preserve">de </w:t>
            </w:r>
            <w:r w:rsidRPr="005046E3">
              <w:rPr>
                <w:lang w:val="fr-CH"/>
              </w:rPr>
              <w:t xml:space="preserve">brouillage radioélectrique de référence </w:t>
            </w:r>
            <w:r>
              <w:rPr>
                <w:lang w:val="fr-CH"/>
              </w:rPr>
              <w:t>exige</w:t>
            </w:r>
            <w:r w:rsidRPr="005046E3">
              <w:rPr>
                <w:lang w:val="fr-CH"/>
              </w:rPr>
              <w:t xml:space="preserve"> un examen des effets cumulés </w:t>
            </w:r>
            <w:r>
              <w:rPr>
                <w:lang w:val="fr-CH"/>
              </w:rPr>
              <w:t xml:space="preserve">que </w:t>
            </w:r>
            <w:r w:rsidRPr="005046E3">
              <w:rPr>
                <w:lang w:val="fr-CH"/>
              </w:rPr>
              <w:t>de multiples sources d</w:t>
            </w:r>
            <w:r>
              <w:rPr>
                <w:lang w:val="fr-CH"/>
              </w:rPr>
              <w:t xml:space="preserve">e brouillage par </w:t>
            </w:r>
            <w:r w:rsidRPr="005046E3">
              <w:rPr>
                <w:lang w:val="fr-CH"/>
              </w:rPr>
              <w:t>impulsions qui illumine</w:t>
            </w:r>
            <w:r>
              <w:rPr>
                <w:lang w:val="fr-CH"/>
              </w:rPr>
              <w:t>nt</w:t>
            </w:r>
            <w:r w:rsidRPr="005046E3">
              <w:rPr>
                <w:lang w:val="fr-CH"/>
              </w:rPr>
              <w:t xml:space="preserve"> simultanément </w:t>
            </w:r>
            <w:r>
              <w:rPr>
                <w:lang w:val="fr-CH"/>
              </w:rPr>
              <w:t>un</w:t>
            </w:r>
            <w:r w:rsidRPr="005046E3">
              <w:rPr>
                <w:lang w:val="fr-CH"/>
              </w:rPr>
              <w:t xml:space="preserve"> récepteur du SRNS</w:t>
            </w:r>
            <w:r>
              <w:rPr>
                <w:lang w:val="fr-CH"/>
              </w:rPr>
              <w:t xml:space="preserve"> ont sur le récepteur en question</w:t>
            </w:r>
            <w:r w:rsidRPr="005046E3">
              <w:rPr>
                <w:lang w:val="fr-CH"/>
              </w:rPr>
              <w:t>.</w:t>
            </w:r>
          </w:p>
          <w:p w:rsidR="00DF60DE" w:rsidRPr="005046E3" w:rsidRDefault="00DF60DE" w:rsidP="006A6420">
            <w:pPr>
              <w:pStyle w:val="Tablelegend"/>
              <w:ind w:left="0" w:right="0" w:firstLine="0"/>
              <w:rPr>
                <w:lang w:val="fr-CH"/>
              </w:rPr>
            </w:pPr>
            <w:r w:rsidRPr="005046E3">
              <w:rPr>
                <w:lang w:val="fr-CH"/>
              </w:rPr>
              <w:t>NOTE 4 – Sur la base d'un</w:t>
            </w:r>
            <w:r>
              <w:rPr>
                <w:lang w:eastAsia="ru-RU"/>
              </w:rPr>
              <w:t xml:space="preserve"> temps de rétablissement après surcharge de 1 microseconde</w:t>
            </w:r>
            <w:r w:rsidRPr="005046E3">
              <w:rPr>
                <w:lang w:val="fr-CH"/>
              </w:rPr>
              <w:t>.</w:t>
            </w:r>
          </w:p>
          <w:p w:rsidR="00DF60DE" w:rsidRPr="005046E3" w:rsidRDefault="00DF60DE" w:rsidP="006A6420">
            <w:pPr>
              <w:pStyle w:val="Tablelegend"/>
              <w:ind w:left="0" w:right="0" w:firstLine="0"/>
              <w:rPr>
                <w:lang w:val="fr-CH"/>
              </w:rPr>
            </w:pPr>
            <w:r w:rsidRPr="005046E3">
              <w:rPr>
                <w:lang w:val="fr-CH"/>
              </w:rPr>
              <w:t>NOTE 5 – Sur la base d'un</w:t>
            </w:r>
            <w:r>
              <w:rPr>
                <w:lang w:eastAsia="ru-RU"/>
              </w:rPr>
              <w:t xml:space="preserve"> temps de rétablissement après surcharge de 30 microsecondes</w:t>
            </w:r>
            <w:r w:rsidRPr="005046E3">
              <w:rPr>
                <w:lang w:val="fr-CH"/>
              </w:rPr>
              <w:t>.</w:t>
            </w:r>
          </w:p>
        </w:tc>
      </w:tr>
    </w:tbl>
    <w:p w:rsidR="00DF60DE" w:rsidRPr="005046E3" w:rsidRDefault="00DF60DE" w:rsidP="00DF60DE">
      <w:pPr>
        <w:rPr>
          <w:lang w:val="fr-CH"/>
        </w:rPr>
      </w:pPr>
      <w:r w:rsidRPr="005046E3">
        <w:rPr>
          <w:lang w:val="fr-CH"/>
        </w:rPr>
        <w:t xml:space="preserve">Les équations de calcul du rapport de dégradation données au </w:t>
      </w:r>
      <w:r>
        <w:rPr>
          <w:lang w:val="fr-CH"/>
        </w:rPr>
        <w:t>§ </w:t>
      </w:r>
      <w:r w:rsidRPr="005046E3">
        <w:rPr>
          <w:lang w:val="fr-CH"/>
        </w:rPr>
        <w:t>3 de la présente Annexe peuvent également être utilisées pour prédire la nature générale des effets du brouillage par impulsion</w:t>
      </w:r>
      <w:r>
        <w:rPr>
          <w:lang w:val="fr-CH"/>
        </w:rPr>
        <w:t>s</w:t>
      </w:r>
      <w:r w:rsidRPr="005046E3">
        <w:rPr>
          <w:lang w:val="fr-CH"/>
        </w:rPr>
        <w:t xml:space="preserve"> sur les récepteurs du SRNS fonctionnant dans la bande 1 559-1 610 MHz. En revanche, le tableau des paramètres recommandés pour la méthode d'évaluation et les limites de dégradation admissible</w:t>
      </w:r>
      <w:r>
        <w:rPr>
          <w:lang w:val="fr-CH"/>
        </w:rPr>
        <w:t>s</w:t>
      </w:r>
      <w:r w:rsidRPr="005046E3">
        <w:rPr>
          <w:lang w:val="fr-CH"/>
        </w:rPr>
        <w:t xml:space="preserve"> pour la bande 1 559-1 610 MHz, nécessaire</w:t>
      </w:r>
      <w:r>
        <w:rPr>
          <w:lang w:val="fr-CH"/>
        </w:rPr>
        <w:t>s</w:t>
      </w:r>
      <w:r w:rsidRPr="005046E3">
        <w:rPr>
          <w:lang w:val="fr-CH"/>
        </w:rPr>
        <w:t xml:space="preserve"> pour évaluer les incidences du brouillage par impulsions, restent à définir. Pour ce faire, il est possible de prendre</w:t>
      </w:r>
      <w:r>
        <w:rPr>
          <w:lang w:val="fr-CH"/>
        </w:rPr>
        <w:t>,</w:t>
      </w:r>
      <w:r w:rsidRPr="005046E3">
        <w:rPr>
          <w:lang w:val="fr-CH"/>
        </w:rPr>
        <w:t xml:space="preserve"> comme point de départ</w:t>
      </w:r>
      <w:r>
        <w:rPr>
          <w:lang w:val="fr-CH"/>
        </w:rPr>
        <w:t>,</w:t>
      </w:r>
      <w:r w:rsidRPr="005046E3">
        <w:rPr>
          <w:lang w:val="fr-CH"/>
        </w:rPr>
        <w:t xml:space="preserve"> la méthode de base décrite dans le Rapport UIT-R M.2220 et de l'adapter pour définir les paramètres de brouillage cumulatif des systèmes radioélectriques à impulsion fonctionnant dans la bande 1 559-1 610 MHz ou à proximité de cette bande, tout en tenant compte des sources de brouillage continu dans cette bande ou à proximité</w:t>
      </w:r>
      <w:r>
        <w:rPr>
          <w:lang w:val="fr-CH"/>
        </w:rPr>
        <w:t xml:space="preserve"> de cette bande</w:t>
      </w:r>
      <w:r w:rsidRPr="005046E3">
        <w:rPr>
          <w:lang w:val="fr-CH"/>
        </w:rPr>
        <w:t>.</w:t>
      </w:r>
    </w:p>
    <w:p w:rsidR="00DF60DE" w:rsidRPr="005046E3" w:rsidRDefault="00DF60DE" w:rsidP="00DF60DE">
      <w:pPr>
        <w:pStyle w:val="AnnexNoTitle"/>
        <w:rPr>
          <w:lang w:val="fr-CH"/>
        </w:rPr>
      </w:pPr>
      <w:r w:rsidRPr="005046E3">
        <w:rPr>
          <w:lang w:val="fr-CH"/>
        </w:rPr>
        <w:lastRenderedPageBreak/>
        <w:t>Annexe 2</w:t>
      </w:r>
      <w:r w:rsidRPr="005046E3">
        <w:rPr>
          <w:lang w:val="fr-CH"/>
        </w:rPr>
        <w:br/>
      </w:r>
      <w:r w:rsidRPr="005046E3">
        <w:rPr>
          <w:lang w:val="fr-CH"/>
        </w:rPr>
        <w:br/>
        <w:t xml:space="preserve">Exemples d'application de la méthode d'évaluation analytique </w:t>
      </w:r>
      <w:r w:rsidRPr="005046E3">
        <w:rPr>
          <w:lang w:val="fr-CH"/>
        </w:rPr>
        <w:br/>
        <w:t>du brouillage radioélectrique par impulsions</w:t>
      </w:r>
    </w:p>
    <w:p w:rsidR="00DF60DE" w:rsidRPr="005046E3" w:rsidRDefault="00DF60DE" w:rsidP="00DF60DE">
      <w:pPr>
        <w:pStyle w:val="Normalaftertitle"/>
        <w:rPr>
          <w:lang w:val="fr-CH" w:eastAsia="zh-CN"/>
        </w:rPr>
      </w:pPr>
      <w:r w:rsidRPr="005046E3">
        <w:rPr>
          <w:lang w:val="fr-CH" w:eastAsia="zh-CN"/>
        </w:rPr>
        <w:t>La présente Annexe donne deux exemples d'application de la méthode d'évaluation analytique décrite dans l'Annexe 1 pour déterminer les incidences du brouillage par impulsion</w:t>
      </w:r>
      <w:r>
        <w:rPr>
          <w:lang w:val="fr-CH" w:eastAsia="zh-CN"/>
        </w:rPr>
        <w:t>s</w:t>
      </w:r>
      <w:r w:rsidRPr="005046E3">
        <w:rPr>
          <w:lang w:val="fr-CH" w:eastAsia="zh-CN"/>
        </w:rPr>
        <w:t xml:space="preserve"> produit par </w:t>
      </w:r>
      <w:r>
        <w:rPr>
          <w:lang w:val="fr-CH" w:eastAsia="zh-CN"/>
        </w:rPr>
        <w:t>la</w:t>
      </w:r>
      <w:r w:rsidRPr="005046E3">
        <w:rPr>
          <w:lang w:val="fr-CH" w:eastAsia="zh-CN"/>
        </w:rPr>
        <w:t xml:space="preserve"> même nouvelle source </w:t>
      </w:r>
      <w:r>
        <w:rPr>
          <w:lang w:val="fr-CH" w:eastAsia="zh-CN"/>
        </w:rPr>
        <w:t xml:space="preserve">de brouillage </w:t>
      </w:r>
      <w:r w:rsidRPr="005046E3">
        <w:rPr>
          <w:lang w:val="fr-CH" w:eastAsia="zh-CN"/>
        </w:rPr>
        <w:t xml:space="preserve">radioélectrique </w:t>
      </w:r>
      <w:r>
        <w:rPr>
          <w:lang w:val="fr-CH" w:eastAsia="zh-CN"/>
        </w:rPr>
        <w:t>par</w:t>
      </w:r>
      <w:r w:rsidRPr="005046E3">
        <w:rPr>
          <w:lang w:val="fr-CH" w:eastAsia="zh-CN"/>
        </w:rPr>
        <w:t xml:space="preserve"> impulsion</w:t>
      </w:r>
      <w:r>
        <w:rPr>
          <w:lang w:val="fr-CH" w:eastAsia="zh-CN"/>
        </w:rPr>
        <w:t>s</w:t>
      </w:r>
      <w:r w:rsidRPr="005046E3">
        <w:rPr>
          <w:lang w:val="fr-CH" w:eastAsia="zh-CN"/>
        </w:rPr>
        <w:t xml:space="preserve"> sur deux types de récepteurs du SRNS différents fonctionnant dans la bande </w:t>
      </w:r>
      <w:r w:rsidR="00793187">
        <w:rPr>
          <w:lang w:val="fr-CH" w:eastAsia="zh-CN"/>
        </w:rPr>
        <w:t>1 215-1 300 MHz.</w:t>
      </w:r>
    </w:p>
    <w:p w:rsidR="00DF60DE" w:rsidRPr="005046E3" w:rsidRDefault="00DF60DE" w:rsidP="00DF60DE">
      <w:pPr>
        <w:pStyle w:val="Heading1"/>
        <w:rPr>
          <w:lang w:val="fr-CH"/>
        </w:rPr>
      </w:pPr>
      <w:r w:rsidRPr="005046E3">
        <w:rPr>
          <w:lang w:val="fr-CH"/>
        </w:rPr>
        <w:t>1</w:t>
      </w:r>
      <w:r w:rsidRPr="005046E3">
        <w:rPr>
          <w:lang w:val="fr-CH"/>
        </w:rPr>
        <w:tab/>
        <w:t xml:space="preserve">Description du cas </w:t>
      </w:r>
      <w:r>
        <w:rPr>
          <w:lang w:val="fr-CH"/>
        </w:rPr>
        <w:t xml:space="preserve">d'exploitation </w:t>
      </w:r>
      <w:r w:rsidRPr="005046E3">
        <w:rPr>
          <w:lang w:val="fr-CH"/>
        </w:rPr>
        <w:t>des récepteurs du SRNS</w:t>
      </w:r>
      <w:r>
        <w:rPr>
          <w:lang w:val="fr-CH"/>
        </w:rPr>
        <w:t xml:space="preserve"> de référence</w:t>
      </w:r>
    </w:p>
    <w:p w:rsidR="00DF60DE" w:rsidRPr="005046E3" w:rsidRDefault="00DF60DE" w:rsidP="00DF60DE">
      <w:pPr>
        <w:rPr>
          <w:lang w:val="fr-CH"/>
        </w:rPr>
      </w:pPr>
      <w:r w:rsidRPr="005046E3">
        <w:rPr>
          <w:lang w:val="fr-CH"/>
        </w:rPr>
        <w:t xml:space="preserve">On </w:t>
      </w:r>
      <w:r>
        <w:rPr>
          <w:lang w:val="fr-CH"/>
        </w:rPr>
        <w:t>présume</w:t>
      </w:r>
      <w:r w:rsidRPr="005046E3">
        <w:rPr>
          <w:lang w:val="fr-CH"/>
        </w:rPr>
        <w:t xml:space="preserve"> que les deux types de récepteurs du SRNS, un récepteur de référence au sol SBAS et plusieurs récepteurs de haute précision à code partiel (</w:t>
      </w:r>
      <w:r>
        <w:rPr>
          <w:lang w:val="fr-CH"/>
        </w:rPr>
        <w:t xml:space="preserve">bande </w:t>
      </w:r>
      <w:r w:rsidRPr="005046E3">
        <w:rPr>
          <w:lang w:val="fr-CH"/>
        </w:rPr>
        <w:t>1 215-1 300 MHz) fonctionnent normalement à proximité d'un système radar à impulsion</w:t>
      </w:r>
      <w:r>
        <w:rPr>
          <w:lang w:val="fr-CH"/>
        </w:rPr>
        <w:t>s</w:t>
      </w:r>
      <w:r w:rsidRPr="005046E3">
        <w:rPr>
          <w:lang w:val="fr-CH"/>
        </w:rPr>
        <w:t xml:space="preserve"> unique. On </w:t>
      </w:r>
      <w:r>
        <w:rPr>
          <w:lang w:val="fr-CH"/>
        </w:rPr>
        <w:t>suppose</w:t>
      </w:r>
      <w:r w:rsidRPr="005046E3">
        <w:rPr>
          <w:lang w:val="fr-CH"/>
        </w:rPr>
        <w:t xml:space="preserve"> que ce radar produit des signaux à impulsions dans les bandes passantes des filtres avant corrélat</w:t>
      </w:r>
      <w:r>
        <w:rPr>
          <w:lang w:val="fr-CH"/>
        </w:rPr>
        <w:t>eur</w:t>
      </w:r>
      <w:r w:rsidRPr="005046E3">
        <w:rPr>
          <w:lang w:val="fr-CH"/>
        </w:rPr>
        <w:t xml:space="preserve"> des deux types de récepteurs </w:t>
      </w:r>
      <w:r>
        <w:rPr>
          <w:lang w:val="fr-CH"/>
        </w:rPr>
        <w:t>et que ces signaux saturent totalement les récepteurs</w:t>
      </w:r>
      <w:r w:rsidRPr="005046E3">
        <w:rPr>
          <w:lang w:val="fr-CH"/>
        </w:rPr>
        <w:t xml:space="preserve">. Comme indiqué dans la colonne 2 du Tableau 2 de l'Annexe 1, on </w:t>
      </w:r>
      <w:r>
        <w:rPr>
          <w:lang w:val="fr-CH"/>
        </w:rPr>
        <w:t>suppose</w:t>
      </w:r>
      <w:r w:rsidRPr="005046E3">
        <w:rPr>
          <w:lang w:val="fr-CH"/>
        </w:rPr>
        <w:t xml:space="preserve"> que le radar de référence produit les facteurs de brouillage radioélectrique par impulsion</w:t>
      </w:r>
      <w:r>
        <w:rPr>
          <w:lang w:val="fr-CH"/>
        </w:rPr>
        <w:t>s</w:t>
      </w:r>
      <w:r w:rsidRPr="005046E3">
        <w:rPr>
          <w:lang w:val="fr-CH"/>
        </w:rPr>
        <w:t xml:space="preserve"> suivant</w:t>
      </w:r>
      <w:r>
        <w:rPr>
          <w:lang w:val="fr-CH"/>
        </w:rPr>
        <w:t>s</w:t>
      </w:r>
      <w:r w:rsidRPr="005046E3">
        <w:rPr>
          <w:lang w:val="fr-CH"/>
        </w:rPr>
        <w:t>:</w:t>
      </w:r>
    </w:p>
    <w:p w:rsidR="00DF60DE" w:rsidRPr="005046E3" w:rsidRDefault="00DF60DE" w:rsidP="00DF60DE">
      <w:pPr>
        <w:pStyle w:val="Equation"/>
        <w:rPr>
          <w:lang w:val="fr-CH"/>
        </w:rPr>
      </w:pPr>
      <w:r w:rsidRPr="005046E3">
        <w:rPr>
          <w:lang w:val="fr-CH"/>
        </w:rPr>
        <w:tab/>
      </w:r>
      <w:r w:rsidRPr="005046E3">
        <w:rPr>
          <w:lang w:val="fr-CH"/>
        </w:rPr>
        <w:tab/>
      </w:r>
      <w:r w:rsidRPr="005046E3">
        <w:rPr>
          <w:i/>
          <w:lang w:val="fr-CH"/>
        </w:rPr>
        <w:t>PDC</w:t>
      </w:r>
      <w:r w:rsidRPr="005046E3">
        <w:rPr>
          <w:lang w:val="fr-CH"/>
        </w:rPr>
        <w:t xml:space="preserve"> = 0,0765, </w:t>
      </w:r>
      <w:r w:rsidRPr="005046E3">
        <w:rPr>
          <w:lang w:val="fr-CH"/>
        </w:rPr>
        <w:br/>
      </w:r>
      <w:r w:rsidRPr="005046E3">
        <w:rPr>
          <w:lang w:val="fr-CH"/>
        </w:rPr>
        <w:tab/>
      </w:r>
      <w:r w:rsidRPr="005046E3">
        <w:rPr>
          <w:lang w:val="fr-CH"/>
        </w:rPr>
        <w:tab/>
      </w:r>
      <w:r w:rsidRPr="005046E3">
        <w:rPr>
          <w:i/>
          <w:lang w:val="fr-CH"/>
        </w:rPr>
        <w:t>R</w:t>
      </w:r>
      <w:r w:rsidRPr="005046E3">
        <w:rPr>
          <w:i/>
          <w:vertAlign w:val="subscript"/>
          <w:lang w:val="fr-CH"/>
        </w:rPr>
        <w:t>I</w:t>
      </w:r>
      <w:r w:rsidRPr="005046E3">
        <w:rPr>
          <w:lang w:val="fr-CH"/>
        </w:rPr>
        <w:t xml:space="preserve"> =0.</w:t>
      </w:r>
    </w:p>
    <w:p w:rsidR="00DF60DE" w:rsidRPr="005046E3" w:rsidRDefault="00DF60DE" w:rsidP="00DF60DE">
      <w:pPr>
        <w:spacing w:before="240"/>
        <w:rPr>
          <w:lang w:val="fr-CH"/>
        </w:rPr>
      </w:pPr>
      <w:r w:rsidRPr="005046E3">
        <w:rPr>
          <w:lang w:val="fr-CH"/>
        </w:rPr>
        <w:t>Les paramètres correspondants pour le récepteur de référence au sol SBAS sont:</w:t>
      </w:r>
    </w:p>
    <w:p w:rsidR="00DF60DE" w:rsidRPr="005046E3" w:rsidRDefault="00DF60DE" w:rsidP="00DF60DE">
      <w:pPr>
        <w:pStyle w:val="Equation"/>
        <w:rPr>
          <w:lang w:val="fr-CH"/>
        </w:rPr>
      </w:pPr>
      <w:r w:rsidRPr="005046E3">
        <w:rPr>
          <w:lang w:val="fr-CH"/>
        </w:rPr>
        <w:tab/>
      </w:r>
      <w:r w:rsidRPr="005046E3">
        <w:rPr>
          <w:lang w:val="fr-CH"/>
        </w:rPr>
        <w:tab/>
      </w:r>
      <w:r w:rsidRPr="005046E3">
        <w:rPr>
          <w:i/>
          <w:lang w:val="fr-CH"/>
        </w:rPr>
        <w:t>N</w:t>
      </w:r>
      <w:r w:rsidRPr="005046E3">
        <w:rPr>
          <w:i/>
          <w:vertAlign w:val="subscript"/>
          <w:lang w:val="fr-CH"/>
        </w:rPr>
        <w:t>LIM</w:t>
      </w:r>
      <w:r w:rsidRPr="005046E3">
        <w:rPr>
          <w:lang w:val="fr-CH"/>
        </w:rPr>
        <w:t xml:space="preserve"> = 1,0</w:t>
      </w:r>
      <w:r w:rsidRPr="005046E3">
        <w:rPr>
          <w:lang w:val="fr-CH"/>
        </w:rPr>
        <w:br/>
      </w:r>
      <w:r w:rsidRPr="005046E3">
        <w:rPr>
          <w:lang w:val="fr-CH"/>
        </w:rPr>
        <w:tab/>
      </w:r>
      <w:r w:rsidRPr="005046E3">
        <w:rPr>
          <w:lang w:val="fr-CH"/>
        </w:rPr>
        <w:tab/>
      </w:r>
      <w:r w:rsidRPr="00AC5D7D">
        <w:rPr>
          <w:iCs/>
          <w:szCs w:val="24"/>
        </w:rPr>
        <w:sym w:font="Symbol" w:char="F074"/>
      </w:r>
      <w:r w:rsidRPr="005046E3">
        <w:rPr>
          <w:i/>
          <w:vertAlign w:val="subscript"/>
          <w:lang w:val="fr-CH"/>
        </w:rPr>
        <w:t>REC</w:t>
      </w:r>
      <w:r w:rsidRPr="005046E3">
        <w:rPr>
          <w:lang w:val="fr-CH"/>
        </w:rPr>
        <w:t xml:space="preserve"> = 1,0 µs.</w:t>
      </w:r>
    </w:p>
    <w:p w:rsidR="00DF60DE" w:rsidRPr="005046E3" w:rsidRDefault="00DF60DE" w:rsidP="00DF60DE">
      <w:pPr>
        <w:spacing w:before="240"/>
        <w:rPr>
          <w:lang w:val="fr-CH"/>
        </w:rPr>
      </w:pPr>
      <w:r w:rsidRPr="005046E3">
        <w:rPr>
          <w:lang w:val="fr-CH"/>
        </w:rPr>
        <w:t>Les paramètres correspondants pour le récepteur de haute précision à code partiel sont:</w:t>
      </w:r>
    </w:p>
    <w:p w:rsidR="00DF60DE" w:rsidRPr="005046E3" w:rsidRDefault="00DF60DE" w:rsidP="00DF60DE">
      <w:pPr>
        <w:pStyle w:val="Equation"/>
        <w:rPr>
          <w:lang w:val="fr-CH"/>
        </w:rPr>
      </w:pPr>
      <w:r w:rsidRPr="005046E3">
        <w:rPr>
          <w:lang w:val="fr-CH"/>
        </w:rPr>
        <w:tab/>
      </w:r>
      <w:r w:rsidRPr="005046E3">
        <w:rPr>
          <w:lang w:val="fr-CH"/>
        </w:rPr>
        <w:tab/>
      </w:r>
      <w:r w:rsidRPr="005046E3">
        <w:rPr>
          <w:i/>
          <w:lang w:val="fr-CH"/>
        </w:rPr>
        <w:t>N</w:t>
      </w:r>
      <w:r w:rsidRPr="005046E3">
        <w:rPr>
          <w:i/>
          <w:vertAlign w:val="subscript"/>
          <w:lang w:val="fr-CH"/>
        </w:rPr>
        <w:t>LIM</w:t>
      </w:r>
      <w:r w:rsidRPr="005046E3">
        <w:rPr>
          <w:lang w:val="fr-CH"/>
        </w:rPr>
        <w:t xml:space="preserve"> = 2,0</w:t>
      </w:r>
      <w:r w:rsidRPr="005046E3">
        <w:rPr>
          <w:lang w:val="fr-CH"/>
        </w:rPr>
        <w:br/>
      </w:r>
      <w:r w:rsidRPr="005046E3">
        <w:rPr>
          <w:lang w:val="fr-CH"/>
        </w:rPr>
        <w:tab/>
      </w:r>
      <w:r w:rsidRPr="005046E3">
        <w:rPr>
          <w:lang w:val="fr-CH"/>
        </w:rPr>
        <w:tab/>
      </w:r>
      <w:r w:rsidRPr="00AC5D7D">
        <w:rPr>
          <w:iCs/>
          <w:szCs w:val="24"/>
        </w:rPr>
        <w:sym w:font="Symbol" w:char="F074"/>
      </w:r>
      <w:r w:rsidRPr="005046E3">
        <w:rPr>
          <w:i/>
          <w:vertAlign w:val="subscript"/>
          <w:lang w:val="fr-CH"/>
        </w:rPr>
        <w:t>REC</w:t>
      </w:r>
      <w:r w:rsidRPr="005046E3">
        <w:rPr>
          <w:lang w:val="fr-CH"/>
        </w:rPr>
        <w:t xml:space="preserve"> = 1,0 µs.</w:t>
      </w:r>
    </w:p>
    <w:p w:rsidR="00DF60DE" w:rsidRPr="005046E3" w:rsidRDefault="00DF60DE" w:rsidP="00DF60DE">
      <w:pPr>
        <w:pStyle w:val="Equation"/>
        <w:spacing w:before="240"/>
        <w:rPr>
          <w:lang w:val="fr-CH"/>
        </w:rPr>
      </w:pPr>
      <w:r w:rsidRPr="005046E3">
        <w:rPr>
          <w:lang w:val="fr-CH"/>
        </w:rPr>
        <w:t xml:space="preserve">On </w:t>
      </w:r>
      <w:r>
        <w:rPr>
          <w:lang w:val="fr-CH"/>
        </w:rPr>
        <w:t>suppose que</w:t>
      </w:r>
      <w:r w:rsidRPr="005046E3">
        <w:rPr>
          <w:lang w:val="fr-CH"/>
        </w:rPr>
        <w:t xml:space="preserve"> chacun d'entre eux fonctionne en présence simultanée de brouillages continus avec un rapport de densité I</w:t>
      </w:r>
      <w:r w:rsidRPr="005046E3">
        <w:rPr>
          <w:vertAlign w:val="subscript"/>
          <w:lang w:val="fr-CH"/>
        </w:rPr>
        <w:t>0</w:t>
      </w:r>
      <w:r w:rsidRPr="005046E3">
        <w:rPr>
          <w:lang w:val="fr-CH"/>
        </w:rPr>
        <w:t>/N</w:t>
      </w:r>
      <w:r w:rsidRPr="005046E3">
        <w:rPr>
          <w:vertAlign w:val="subscript"/>
          <w:lang w:val="fr-CH"/>
        </w:rPr>
        <w:t xml:space="preserve">0 </w:t>
      </w:r>
      <w:r w:rsidRPr="005046E3">
        <w:rPr>
          <w:lang w:val="fr-CH"/>
        </w:rPr>
        <w:t>tiré du Tableau 2 de l'Annexe 1.</w:t>
      </w:r>
    </w:p>
    <w:p w:rsidR="00DF60DE" w:rsidRPr="005046E3" w:rsidRDefault="00DF60DE" w:rsidP="00DF60DE">
      <w:pPr>
        <w:pStyle w:val="Heading1"/>
        <w:rPr>
          <w:lang w:val="fr-CH"/>
        </w:rPr>
      </w:pPr>
      <w:r w:rsidRPr="005046E3">
        <w:rPr>
          <w:lang w:val="fr-CH"/>
        </w:rPr>
        <w:t>2</w:t>
      </w:r>
      <w:r w:rsidRPr="005046E3">
        <w:rPr>
          <w:lang w:val="fr-CH"/>
        </w:rPr>
        <w:tab/>
        <w:t>Exemples de calcul du rapport de dégradation d</w:t>
      </w:r>
      <w:r>
        <w:rPr>
          <w:lang w:val="fr-CH"/>
        </w:rPr>
        <w:t>ue</w:t>
      </w:r>
      <w:r w:rsidRPr="005046E3">
        <w:rPr>
          <w:lang w:val="fr-CH"/>
        </w:rPr>
        <w:t xml:space="preserve"> au brouillage radioélectrique par impulsions selon la méthode analytique</w:t>
      </w:r>
    </w:p>
    <w:p w:rsidR="00DF60DE" w:rsidRPr="005046E3" w:rsidRDefault="00DF60DE" w:rsidP="00DF60DE">
      <w:pPr>
        <w:tabs>
          <w:tab w:val="clear" w:pos="1191"/>
          <w:tab w:val="left" w:pos="1170"/>
        </w:tabs>
        <w:rPr>
          <w:lang w:val="fr-CH"/>
        </w:rPr>
      </w:pPr>
      <w:r w:rsidRPr="005046E3">
        <w:rPr>
          <w:lang w:val="fr-CH"/>
        </w:rPr>
        <w:t xml:space="preserve">Il est proposé de rajouter un nouvel émetteur radioélectrique à </w:t>
      </w:r>
      <w:r>
        <w:rPr>
          <w:lang w:val="fr-CH"/>
        </w:rPr>
        <w:t>impulsions</w:t>
      </w:r>
      <w:r w:rsidRPr="005046E3">
        <w:rPr>
          <w:lang w:val="fr-CH"/>
        </w:rPr>
        <w:t xml:space="preserve"> dans le cas d'exploitation de référence décrit ci-dessus. On </w:t>
      </w:r>
      <w:r>
        <w:rPr>
          <w:lang w:val="fr-CH"/>
        </w:rPr>
        <w:t>suppose</w:t>
      </w:r>
      <w:r w:rsidRPr="005046E3">
        <w:rPr>
          <w:lang w:val="fr-CH"/>
        </w:rPr>
        <w:t xml:space="preserve"> que la puissance de crête reçue est suffisante pour saturer les deux types de récepteurs du SRNS en fonctionnement. Les paramètres des impulsions</w:t>
      </w:r>
      <w:r>
        <w:rPr>
          <w:lang w:val="fr-CH"/>
        </w:rPr>
        <w:t xml:space="preserve"> d'émissions </w:t>
      </w:r>
      <w:r w:rsidRPr="005046E3">
        <w:rPr>
          <w:lang w:val="fr-CH"/>
        </w:rPr>
        <w:t>proposés pour la nouvelle source sont les suivants</w:t>
      </w:r>
    </w:p>
    <w:p w:rsidR="00DF60DE" w:rsidRDefault="00DF60DE" w:rsidP="00DF60DE">
      <w:pPr>
        <w:pStyle w:val="Equation"/>
        <w:rPr>
          <w:lang w:val="fr-CH"/>
        </w:rPr>
      </w:pPr>
      <w:r w:rsidRPr="005046E3">
        <w:rPr>
          <w:lang w:val="fr-CH"/>
        </w:rPr>
        <w:tab/>
      </w:r>
      <w:r w:rsidRPr="005046E3">
        <w:rPr>
          <w:lang w:val="fr-CH"/>
        </w:rPr>
        <w:tab/>
      </w:r>
      <w:r w:rsidRPr="005046E3">
        <w:rPr>
          <w:i/>
          <w:lang w:val="fr-CH"/>
        </w:rPr>
        <w:t>PW</w:t>
      </w:r>
      <w:r w:rsidRPr="005046E3">
        <w:rPr>
          <w:i/>
          <w:vertAlign w:val="subscript"/>
          <w:lang w:val="fr-CH"/>
        </w:rPr>
        <w:t>Y</w:t>
      </w:r>
      <w:r w:rsidRPr="005046E3">
        <w:rPr>
          <w:lang w:val="fr-CH"/>
        </w:rPr>
        <w:t xml:space="preserve"> = 44,0 µs, et</w:t>
      </w:r>
      <w:r w:rsidRPr="005046E3">
        <w:rPr>
          <w:lang w:val="fr-CH"/>
        </w:rPr>
        <w:br/>
      </w:r>
      <w:r w:rsidRPr="005046E3">
        <w:rPr>
          <w:lang w:val="fr-CH"/>
        </w:rPr>
        <w:tab/>
      </w:r>
      <w:r w:rsidRPr="005046E3">
        <w:rPr>
          <w:lang w:val="fr-CH"/>
        </w:rPr>
        <w:tab/>
      </w:r>
      <w:r w:rsidRPr="005046E3">
        <w:rPr>
          <w:i/>
          <w:lang w:val="fr-CH"/>
        </w:rPr>
        <w:t>PRF</w:t>
      </w:r>
      <w:r w:rsidRPr="005046E3">
        <w:rPr>
          <w:i/>
          <w:vertAlign w:val="subscript"/>
          <w:lang w:val="fr-CH"/>
        </w:rPr>
        <w:t>Y</w:t>
      </w:r>
      <w:r w:rsidRPr="005046E3">
        <w:rPr>
          <w:lang w:val="fr-CH"/>
        </w:rPr>
        <w:t xml:space="preserve"> = 500 Hz.</w:t>
      </w:r>
    </w:p>
    <w:p w:rsidR="00DF60DE" w:rsidRDefault="00DF60DE" w:rsidP="00DF60DE">
      <w:pPr>
        <w:pStyle w:val="Equation"/>
        <w:rPr>
          <w:lang w:val="fr-CH"/>
        </w:rPr>
      </w:pPr>
      <w:r>
        <w:rPr>
          <w:lang w:val="fr-CH"/>
        </w:rPr>
        <w:br w:type="page"/>
      </w:r>
    </w:p>
    <w:p w:rsidR="00DF60DE" w:rsidRPr="005046E3" w:rsidRDefault="00DF60DE" w:rsidP="00DF60DE">
      <w:pPr>
        <w:pStyle w:val="Heading2"/>
        <w:rPr>
          <w:lang w:val="fr-CH"/>
        </w:rPr>
      </w:pPr>
      <w:r w:rsidRPr="005046E3">
        <w:rPr>
          <w:lang w:val="fr-CH"/>
        </w:rPr>
        <w:lastRenderedPageBreak/>
        <w:t>2.1</w:t>
      </w:r>
      <w:r w:rsidRPr="005046E3">
        <w:rPr>
          <w:lang w:val="fr-CH"/>
        </w:rPr>
        <w:tab/>
        <w:t>Calcul du rapport de dégradation d</w:t>
      </w:r>
      <w:r>
        <w:rPr>
          <w:lang w:val="fr-CH"/>
        </w:rPr>
        <w:t>ue</w:t>
      </w:r>
      <w:r w:rsidRPr="005046E3">
        <w:rPr>
          <w:lang w:val="fr-CH"/>
        </w:rPr>
        <w:t xml:space="preserve"> au brouillage radioélectrique par impulsions pour le récepteur de référence au sol SBAS</w:t>
      </w:r>
    </w:p>
    <w:p w:rsidR="00DF60DE" w:rsidRPr="005046E3" w:rsidRDefault="00DF60DE" w:rsidP="00DF60DE">
      <w:pPr>
        <w:rPr>
          <w:lang w:val="fr-CH"/>
        </w:rPr>
      </w:pPr>
      <w:r>
        <w:rPr>
          <w:lang w:val="fr-CH"/>
        </w:rPr>
        <w:t xml:space="preserve">Pour le </w:t>
      </w:r>
      <w:r w:rsidRPr="005046E3">
        <w:rPr>
          <w:lang w:val="fr-CH"/>
        </w:rPr>
        <w:t xml:space="preserve">récepteur de référence au sol SBAS, le facteur d'utilisation équivalent de l'impulsion </w:t>
      </w:r>
      <w:r>
        <w:rPr>
          <w:lang w:val="fr-CH"/>
        </w:rPr>
        <w:t xml:space="preserve">de saturation </w:t>
      </w:r>
      <w:r w:rsidRPr="005046E3">
        <w:rPr>
          <w:lang w:val="fr-CH"/>
        </w:rPr>
        <w:t xml:space="preserve">reçue saturée pour la nouvelle source proposée, </w:t>
      </w:r>
      <w:r w:rsidRPr="005046E3">
        <w:rPr>
          <w:i/>
          <w:lang w:val="fr-CH"/>
        </w:rPr>
        <w:t>PDC</w:t>
      </w:r>
      <w:r w:rsidRPr="005046E3">
        <w:rPr>
          <w:i/>
          <w:vertAlign w:val="subscript"/>
          <w:lang w:val="fr-CH"/>
        </w:rPr>
        <w:t>Y</w:t>
      </w:r>
      <w:r w:rsidRPr="005046E3">
        <w:rPr>
          <w:lang w:val="fr-CH"/>
        </w:rPr>
        <w:t>, calculé avec l'équation (3a) de l'Annexe 1, est:</w:t>
      </w:r>
    </w:p>
    <w:p w:rsidR="00DF60DE" w:rsidRPr="005046E3" w:rsidRDefault="00DF60DE" w:rsidP="00DF60DE">
      <w:pPr>
        <w:pStyle w:val="Equation"/>
        <w:rPr>
          <w:lang w:val="fr-CH"/>
        </w:rPr>
      </w:pPr>
      <w:r w:rsidRPr="005046E3">
        <w:rPr>
          <w:lang w:val="fr-CH"/>
        </w:rPr>
        <w:tab/>
      </w:r>
      <w:r w:rsidRPr="005046E3">
        <w:rPr>
          <w:lang w:val="fr-CH"/>
        </w:rPr>
        <w:tab/>
      </w:r>
      <w:r w:rsidRPr="005046E3">
        <w:rPr>
          <w:i/>
          <w:lang w:val="fr-CH"/>
        </w:rPr>
        <w:t>PDC</w:t>
      </w:r>
      <w:r w:rsidRPr="005046E3">
        <w:rPr>
          <w:i/>
          <w:vertAlign w:val="subscript"/>
          <w:lang w:val="fr-CH"/>
        </w:rPr>
        <w:t>Y</w:t>
      </w:r>
      <w:r w:rsidRPr="005046E3">
        <w:rPr>
          <w:i/>
          <w:lang w:val="fr-CH"/>
        </w:rPr>
        <w:t xml:space="preserve"> = (PW</w:t>
      </w:r>
      <w:r w:rsidRPr="005046E3">
        <w:rPr>
          <w:i/>
          <w:vertAlign w:val="subscript"/>
          <w:lang w:val="fr-CH"/>
        </w:rPr>
        <w:t>Y</w:t>
      </w:r>
      <w:r w:rsidRPr="005046E3">
        <w:rPr>
          <w:i/>
          <w:lang w:val="fr-CH"/>
        </w:rPr>
        <w:t xml:space="preserve"> + </w:t>
      </w:r>
      <w:r w:rsidRPr="00AC5D7D">
        <w:rPr>
          <w:iCs/>
          <w:szCs w:val="24"/>
        </w:rPr>
        <w:sym w:font="Symbol" w:char="F074"/>
      </w:r>
      <w:r w:rsidRPr="005046E3">
        <w:rPr>
          <w:i/>
          <w:vertAlign w:val="subscript"/>
          <w:lang w:val="fr-CH"/>
        </w:rPr>
        <w:t>REC</w:t>
      </w:r>
      <w:r w:rsidRPr="005046E3">
        <w:rPr>
          <w:i/>
          <w:lang w:val="fr-CH"/>
        </w:rPr>
        <w:t>)</w:t>
      </w:r>
      <w:r>
        <w:rPr>
          <w:i/>
          <w:szCs w:val="24"/>
        </w:rPr>
        <w:sym w:font="Symbol" w:char="F0D7"/>
      </w:r>
      <w:r w:rsidRPr="005046E3">
        <w:rPr>
          <w:i/>
          <w:lang w:val="fr-CH"/>
        </w:rPr>
        <w:t>PRF</w:t>
      </w:r>
      <w:r w:rsidRPr="005046E3">
        <w:rPr>
          <w:i/>
          <w:vertAlign w:val="subscript"/>
          <w:lang w:val="fr-CH"/>
        </w:rPr>
        <w:t>Y</w:t>
      </w:r>
      <w:r w:rsidRPr="005046E3">
        <w:rPr>
          <w:i/>
          <w:lang w:val="fr-CH"/>
        </w:rPr>
        <w:t xml:space="preserve"> = </w:t>
      </w:r>
      <w:r w:rsidRPr="005046E3">
        <w:rPr>
          <w:lang w:val="fr-CH"/>
        </w:rPr>
        <w:t>(44 + 1.0)</w:t>
      </w:r>
      <w:r>
        <w:rPr>
          <w:szCs w:val="24"/>
        </w:rPr>
        <w:sym w:font="Symbol" w:char="F0D7"/>
      </w:r>
      <w:r w:rsidRPr="005046E3">
        <w:rPr>
          <w:lang w:val="fr-CH"/>
        </w:rPr>
        <w:t>500</w:t>
      </w:r>
      <w:r>
        <w:rPr>
          <w:szCs w:val="24"/>
        </w:rPr>
        <w:sym w:font="Symbol" w:char="F0D7"/>
      </w:r>
      <w:r w:rsidRPr="005046E3">
        <w:rPr>
          <w:lang w:val="fr-CH"/>
        </w:rPr>
        <w:t>10</w:t>
      </w:r>
      <w:r w:rsidRPr="005046E3">
        <w:rPr>
          <w:vertAlign w:val="superscript"/>
          <w:lang w:val="fr-CH"/>
        </w:rPr>
        <w:t>–6</w:t>
      </w:r>
      <w:r w:rsidRPr="005046E3">
        <w:rPr>
          <w:lang w:val="fr-CH"/>
        </w:rPr>
        <w:t xml:space="preserve"> = 0,02250</w:t>
      </w:r>
    </w:p>
    <w:p w:rsidR="00DF60DE" w:rsidRPr="005046E3" w:rsidRDefault="00DF60DE" w:rsidP="00DF60DE">
      <w:pPr>
        <w:spacing w:before="240"/>
        <w:rPr>
          <w:lang w:val="fr-CH"/>
        </w:rPr>
      </w:pPr>
      <w:r w:rsidRPr="005046E3">
        <w:rPr>
          <w:lang w:val="fr-CH"/>
        </w:rPr>
        <w:t>Etant donné que les impulsions émises par la nouvelle source entraînent une saturation complète du récepteur,</w:t>
      </w:r>
    </w:p>
    <w:p w:rsidR="00DF60DE" w:rsidRPr="005046E3" w:rsidRDefault="00DF60DE" w:rsidP="00DF60DE">
      <w:pPr>
        <w:pStyle w:val="Equation"/>
        <w:rPr>
          <w:lang w:val="fr-CH"/>
        </w:rPr>
      </w:pPr>
      <w:r w:rsidRPr="005046E3">
        <w:rPr>
          <w:lang w:val="fr-CH"/>
        </w:rPr>
        <w:tab/>
      </w:r>
      <w:r w:rsidRPr="005046E3">
        <w:rPr>
          <w:lang w:val="fr-CH"/>
        </w:rPr>
        <w:tab/>
      </w:r>
      <w:r w:rsidRPr="005046E3">
        <w:rPr>
          <w:i/>
          <w:lang w:val="fr-CH"/>
        </w:rPr>
        <w:t>R</w:t>
      </w:r>
      <w:r w:rsidRPr="005046E3">
        <w:rPr>
          <w:i/>
          <w:vertAlign w:val="subscript"/>
          <w:lang w:val="fr-CH"/>
        </w:rPr>
        <w:t>Y</w:t>
      </w:r>
      <w:r w:rsidRPr="005046E3">
        <w:rPr>
          <w:lang w:val="fr-CH"/>
        </w:rPr>
        <w:t xml:space="preserve"> = 0</w:t>
      </w:r>
    </w:p>
    <w:p w:rsidR="00DF60DE" w:rsidRPr="005046E3" w:rsidRDefault="00DF60DE" w:rsidP="00DF60DE">
      <w:pPr>
        <w:tabs>
          <w:tab w:val="left" w:pos="1080"/>
        </w:tabs>
        <w:rPr>
          <w:lang w:val="fr-CH"/>
        </w:rPr>
      </w:pPr>
      <w:r w:rsidRPr="005046E3">
        <w:rPr>
          <w:lang w:val="fr-CH"/>
        </w:rPr>
        <w:t>Selon le Tableau 2 de l'Annexe 1</w:t>
      </w:r>
      <w:r>
        <w:rPr>
          <w:lang w:val="fr-CH"/>
        </w:rPr>
        <w:t>, pour</w:t>
      </w:r>
      <w:r w:rsidRPr="005046E3">
        <w:rPr>
          <w:lang w:val="fr-CH"/>
        </w:rPr>
        <w:t xml:space="preserve"> les récepteurs de référence au sol SBAS, </w:t>
      </w:r>
      <w:r w:rsidRPr="005046E3">
        <w:rPr>
          <w:i/>
          <w:lang w:val="fr-CH"/>
        </w:rPr>
        <w:t>N</w:t>
      </w:r>
      <w:r w:rsidRPr="005046E3">
        <w:rPr>
          <w:i/>
          <w:vertAlign w:val="subscript"/>
          <w:lang w:val="fr-CH"/>
        </w:rPr>
        <w:t>LIM</w:t>
      </w:r>
      <w:r w:rsidRPr="005046E3">
        <w:rPr>
          <w:lang w:val="fr-CH"/>
        </w:rPr>
        <w:t xml:space="preserve"> = 1. Etant donné que pour la nouvelle source radioélectrique d'impulsions, </w:t>
      </w:r>
      <w:r w:rsidRPr="005046E3">
        <w:rPr>
          <w:i/>
          <w:lang w:val="fr-CH"/>
        </w:rPr>
        <w:t>R</w:t>
      </w:r>
      <w:r w:rsidRPr="005046E3">
        <w:rPr>
          <w:i/>
          <w:vertAlign w:val="subscript"/>
          <w:lang w:val="fr-CH"/>
        </w:rPr>
        <w:t>Y</w:t>
      </w:r>
      <w:r w:rsidRPr="005046E3">
        <w:rPr>
          <w:i/>
          <w:lang w:val="fr-CH"/>
        </w:rPr>
        <w:t xml:space="preserve"> = </w:t>
      </w:r>
      <w:r w:rsidRPr="005046E3">
        <w:rPr>
          <w:lang w:val="fr-CH"/>
        </w:rPr>
        <w:t>0, on utilise l'équation (7a) de l'Annexe 1 pour calculer la dégra</w:t>
      </w:r>
      <w:r>
        <w:rPr>
          <w:lang w:val="fr-CH"/>
        </w:rPr>
        <w:t>da</w:t>
      </w:r>
      <w:r w:rsidRPr="005046E3">
        <w:rPr>
          <w:lang w:val="fr-CH"/>
        </w:rPr>
        <w:t>tion due au brouillage radioélectrique par impulsion</w:t>
      </w:r>
      <w:r>
        <w:rPr>
          <w:lang w:val="fr-CH"/>
        </w:rPr>
        <w:t>s</w:t>
      </w:r>
      <w:r w:rsidRPr="005046E3">
        <w:rPr>
          <w:lang w:val="fr-CH"/>
        </w:rPr>
        <w:t>. Par conséquent,</w:t>
      </w:r>
    </w:p>
    <w:p w:rsidR="00DF60DE" w:rsidRPr="005046E3" w:rsidRDefault="00DF60DE" w:rsidP="00DF60DE">
      <w:pPr>
        <w:pStyle w:val="Equation"/>
        <w:rPr>
          <w:lang w:val="fr-CH"/>
        </w:rPr>
      </w:pPr>
      <w:r w:rsidRPr="005046E3">
        <w:rPr>
          <w:lang w:val="fr-CH"/>
        </w:rPr>
        <w:tab/>
      </w:r>
      <w:r w:rsidRPr="009D620C">
        <w:rPr>
          <w:position w:val="-32"/>
        </w:rPr>
        <w:object w:dxaOrig="2940" w:dyaOrig="700">
          <v:shape id="_x0000_i1041" type="#_x0000_t75" style="width:147.75pt;height:35.05pt" o:ole="">
            <v:imagedata r:id="rId42" o:title=""/>
          </v:shape>
          <o:OLEObject Type="Embed" ProgID="Equation.3" ShapeID="_x0000_i1041" DrawAspect="Content" ObjectID="_1476173516" r:id="rId44"/>
        </w:object>
      </w:r>
      <w:r w:rsidRPr="005046E3">
        <w:rPr>
          <w:lang w:val="fr-CH"/>
        </w:rPr>
        <w:tab/>
        <w:t>= 1/(1 – 0,0225)</w:t>
      </w:r>
      <w:r w:rsidRPr="005046E3">
        <w:rPr>
          <w:vertAlign w:val="superscript"/>
          <w:lang w:val="fr-CH"/>
        </w:rPr>
        <w:t>2</w:t>
      </w:r>
      <w:r w:rsidRPr="005046E3">
        <w:rPr>
          <w:lang w:val="fr-CH"/>
        </w:rPr>
        <w:t xml:space="preserve"> = </w:t>
      </w:r>
      <w:r w:rsidRPr="005046E3">
        <w:rPr>
          <w:b/>
          <w:lang w:val="fr-CH"/>
        </w:rPr>
        <w:t>1,04657</w:t>
      </w:r>
      <w:r w:rsidRPr="005046E3">
        <w:rPr>
          <w:lang w:val="fr-CH"/>
        </w:rPr>
        <w:t xml:space="preserve"> (rapport algébrique</w:t>
      </w:r>
      <w:r w:rsidR="005D5EEA">
        <w:rPr>
          <w:lang w:val="fr-CH"/>
        </w:rPr>
        <w:t>).</w:t>
      </w:r>
    </w:p>
    <w:p w:rsidR="00DF60DE" w:rsidRPr="005046E3" w:rsidRDefault="00DF60DE" w:rsidP="00DF60DE">
      <w:pPr>
        <w:tabs>
          <w:tab w:val="left" w:pos="1080"/>
        </w:tabs>
        <w:rPr>
          <w:lang w:val="fr-CH"/>
        </w:rPr>
      </w:pPr>
      <w:r w:rsidRPr="005046E3">
        <w:rPr>
          <w:lang w:val="fr-CH"/>
        </w:rPr>
        <w:t>Pour comparer le rapport de dégradation calculé au facteur de dégradation admissible (0,2 dB) donné dans le Tableau 2 de l'Annexe 1, il faut convertir le rapport algébrique en dB:</w:t>
      </w:r>
    </w:p>
    <w:p w:rsidR="00DF60DE" w:rsidRPr="005046E3" w:rsidRDefault="00DF60DE" w:rsidP="00DF60DE">
      <w:pPr>
        <w:pStyle w:val="Equation"/>
        <w:rPr>
          <w:lang w:val="fr-CH"/>
        </w:rPr>
      </w:pPr>
      <w:r w:rsidRPr="005046E3">
        <w:rPr>
          <w:lang w:val="fr-CH"/>
        </w:rPr>
        <w:tab/>
      </w:r>
      <w:r w:rsidRPr="005046E3">
        <w:rPr>
          <w:lang w:val="fr-CH"/>
        </w:rPr>
        <w:tab/>
        <w:t>10</w:t>
      </w:r>
      <w:r>
        <w:rPr>
          <w:szCs w:val="24"/>
        </w:rPr>
        <w:sym w:font="Symbol" w:char="F0D7"/>
      </w:r>
      <w:r w:rsidRPr="005046E3">
        <w:rPr>
          <w:lang w:val="fr-CH"/>
        </w:rPr>
        <w:t>log</w:t>
      </w:r>
      <w:r w:rsidRPr="005046E3">
        <w:rPr>
          <w:vertAlign w:val="subscript"/>
          <w:lang w:val="fr-CH"/>
        </w:rPr>
        <w:t>10</w:t>
      </w:r>
      <w:r w:rsidRPr="005046E3">
        <w:rPr>
          <w:lang w:val="fr-CH"/>
        </w:rPr>
        <w:t xml:space="preserve">(1,04657) = </w:t>
      </w:r>
      <w:r w:rsidRPr="005046E3">
        <w:rPr>
          <w:b/>
          <w:lang w:val="fr-CH"/>
        </w:rPr>
        <w:t>0,198 dB</w:t>
      </w:r>
    </w:p>
    <w:p w:rsidR="00DF60DE" w:rsidRPr="005046E3" w:rsidRDefault="00DF60DE" w:rsidP="00DF60DE">
      <w:pPr>
        <w:tabs>
          <w:tab w:val="left" w:pos="1080"/>
        </w:tabs>
        <w:rPr>
          <w:lang w:val="fr-CH"/>
        </w:rPr>
      </w:pPr>
      <w:r w:rsidRPr="005046E3">
        <w:rPr>
          <w:lang w:val="fr-CH"/>
        </w:rPr>
        <w:t>Par conséquent, la dégradation provoquée par la nouvelle source proposée est légèrement inférieure à la limite de dégradation admissible pour le récepteur de référence au sol SBAS.</w:t>
      </w:r>
    </w:p>
    <w:p w:rsidR="00DF60DE" w:rsidRPr="005046E3" w:rsidRDefault="00DF60DE" w:rsidP="00DF60DE">
      <w:pPr>
        <w:pStyle w:val="Heading2"/>
        <w:rPr>
          <w:lang w:val="fr-CH"/>
        </w:rPr>
      </w:pPr>
      <w:r w:rsidRPr="005046E3">
        <w:rPr>
          <w:lang w:val="fr-CH"/>
        </w:rPr>
        <w:t>2.2</w:t>
      </w:r>
      <w:r w:rsidRPr="005046E3">
        <w:rPr>
          <w:lang w:val="fr-CH"/>
        </w:rPr>
        <w:tab/>
        <w:t>Calcul du rapport de dégradation d</w:t>
      </w:r>
      <w:r>
        <w:rPr>
          <w:lang w:val="fr-CH"/>
        </w:rPr>
        <w:t>ue</w:t>
      </w:r>
      <w:r w:rsidRPr="005046E3">
        <w:rPr>
          <w:lang w:val="fr-CH"/>
        </w:rPr>
        <w:t xml:space="preserve"> au brouillage radioélectrique par impulsions pour le récepteur de haute précision à code partiel</w:t>
      </w:r>
    </w:p>
    <w:p w:rsidR="00DF60DE" w:rsidRPr="005046E3" w:rsidRDefault="00DF60DE" w:rsidP="00DF60DE">
      <w:pPr>
        <w:rPr>
          <w:lang w:val="fr-CH"/>
        </w:rPr>
      </w:pPr>
      <w:r w:rsidRPr="005046E3">
        <w:rPr>
          <w:lang w:val="fr-CH"/>
        </w:rPr>
        <w:t xml:space="preserve">Etant donné que l'on </w:t>
      </w:r>
      <w:r>
        <w:rPr>
          <w:lang w:val="fr-CH"/>
        </w:rPr>
        <w:t>suppose</w:t>
      </w:r>
      <w:r w:rsidRPr="005046E3">
        <w:rPr>
          <w:lang w:val="fr-CH"/>
        </w:rPr>
        <w:t xml:space="preserve"> que le récepteur de haute précision à code partiel a le même </w:t>
      </w:r>
      <w:r>
        <w:rPr>
          <w:lang w:eastAsia="ru-RU"/>
        </w:rPr>
        <w:t>temps de rétablissement après surcharge (1,0</w:t>
      </w:r>
      <w:r w:rsidRPr="005046E3">
        <w:rPr>
          <w:lang w:val="fr-CH"/>
        </w:rPr>
        <w:t xml:space="preserve"> µs) que le récepteur de référence au sol SBAS, le facteur d'utilisation des impulsions de saturation reçues </w:t>
      </w:r>
      <w:r>
        <w:rPr>
          <w:lang w:val="fr-CH"/>
        </w:rPr>
        <w:t xml:space="preserve">pour </w:t>
      </w:r>
      <w:r w:rsidRPr="005046E3">
        <w:rPr>
          <w:lang w:val="fr-CH"/>
        </w:rPr>
        <w:t>la nouvelle source est lui aussi le même (</w:t>
      </w:r>
      <w:r w:rsidRPr="005046E3">
        <w:rPr>
          <w:i/>
          <w:lang w:val="fr-CH"/>
        </w:rPr>
        <w:t>PDC</w:t>
      </w:r>
      <w:r w:rsidRPr="005046E3">
        <w:rPr>
          <w:i/>
          <w:vertAlign w:val="subscript"/>
          <w:lang w:val="fr-CH"/>
        </w:rPr>
        <w:t>Y</w:t>
      </w:r>
      <w:r>
        <w:rPr>
          <w:lang w:val="fr-CH"/>
        </w:rPr>
        <w:t> = </w:t>
      </w:r>
      <w:r w:rsidRPr="005046E3">
        <w:rPr>
          <w:lang w:val="fr-CH"/>
        </w:rPr>
        <w:t xml:space="preserve">0,0225). Etant donné que le récepteur de haute précision à code partiel ne reçoit aucune impulsion inférieure au niveau de saturation, </w:t>
      </w:r>
      <w:r w:rsidRPr="005046E3">
        <w:rPr>
          <w:i/>
          <w:lang w:val="fr-CH"/>
        </w:rPr>
        <w:t>R</w:t>
      </w:r>
      <w:r w:rsidRPr="005046E3">
        <w:rPr>
          <w:i/>
          <w:vertAlign w:val="subscript"/>
          <w:lang w:val="fr-CH"/>
        </w:rPr>
        <w:t>Y</w:t>
      </w:r>
      <w:r w:rsidRPr="005046E3">
        <w:rPr>
          <w:lang w:val="fr-CH"/>
        </w:rPr>
        <w:t xml:space="preserve"> = 0 également. Le facteur d'utilisation des impulsions de référence, </w:t>
      </w:r>
      <w:r w:rsidRPr="005046E3">
        <w:rPr>
          <w:i/>
          <w:lang w:val="fr-CH"/>
        </w:rPr>
        <w:t>PDC</w:t>
      </w:r>
      <w:r w:rsidRPr="005046E3">
        <w:rPr>
          <w:i/>
          <w:vertAlign w:val="subscript"/>
          <w:lang w:val="fr-CH"/>
        </w:rPr>
        <w:t>LIM</w:t>
      </w:r>
      <w:r w:rsidRPr="005046E3">
        <w:rPr>
          <w:lang w:val="fr-CH"/>
        </w:rPr>
        <w:t>, donné dans le Tableau 2 de l'Annexe 1</w:t>
      </w:r>
      <w:r>
        <w:rPr>
          <w:lang w:val="fr-CH"/>
        </w:rPr>
        <w:t>,</w:t>
      </w:r>
      <w:r w:rsidRPr="005046E3">
        <w:rPr>
          <w:lang w:val="fr-CH"/>
        </w:rPr>
        <w:t xml:space="preserve"> est égal à 0,0765. Puisque </w:t>
      </w:r>
      <w:r w:rsidRPr="005046E3">
        <w:rPr>
          <w:i/>
          <w:lang w:val="fr-CH"/>
        </w:rPr>
        <w:t>N</w:t>
      </w:r>
      <w:r w:rsidRPr="005046E3">
        <w:rPr>
          <w:i/>
          <w:vertAlign w:val="subscript"/>
          <w:lang w:val="fr-CH"/>
        </w:rPr>
        <w:t>LIM</w:t>
      </w:r>
      <w:r w:rsidRPr="005046E3">
        <w:rPr>
          <w:lang w:val="fr-CH"/>
        </w:rPr>
        <w:t> = 2 pour le récepteur, il faut utiliser l'équation 7 de l'Annexe 1 pour calculer la dégradation due au brouillage radioélectrique par impulsions. Par conséquent, après substitu</w:t>
      </w:r>
      <w:r>
        <w:rPr>
          <w:lang w:val="fr-CH"/>
        </w:rPr>
        <w:t>tion de</w:t>
      </w:r>
      <w:r w:rsidRPr="005046E3">
        <w:rPr>
          <w:lang w:val="fr-CH"/>
        </w:rPr>
        <w:t xml:space="preserve">s valeurs des paramètres </w:t>
      </w:r>
      <w:r w:rsidRPr="005046E3">
        <w:rPr>
          <w:i/>
          <w:lang w:val="fr-CH"/>
        </w:rPr>
        <w:t>PDC</w:t>
      </w:r>
      <w:r w:rsidRPr="005046E3">
        <w:rPr>
          <w:i/>
          <w:vertAlign w:val="subscript"/>
          <w:lang w:val="fr-CH"/>
        </w:rPr>
        <w:t>LIM</w:t>
      </w:r>
      <w:r w:rsidRPr="005046E3">
        <w:rPr>
          <w:lang w:val="fr-CH"/>
        </w:rPr>
        <w:t xml:space="preserve">, </w:t>
      </w:r>
      <w:r w:rsidRPr="005046E3">
        <w:rPr>
          <w:i/>
          <w:lang w:val="fr-CH"/>
        </w:rPr>
        <w:t>N</w:t>
      </w:r>
      <w:r w:rsidRPr="005046E3">
        <w:rPr>
          <w:i/>
          <w:vertAlign w:val="subscript"/>
          <w:lang w:val="fr-CH"/>
        </w:rPr>
        <w:t>LIM</w:t>
      </w:r>
      <w:r w:rsidRPr="005046E3">
        <w:rPr>
          <w:lang w:val="fr-CH"/>
        </w:rPr>
        <w:t xml:space="preserve"> et </w:t>
      </w:r>
      <w:r w:rsidRPr="005046E3">
        <w:rPr>
          <w:i/>
          <w:lang w:val="fr-CH"/>
        </w:rPr>
        <w:t>R</w:t>
      </w:r>
      <w:r w:rsidRPr="005046E3">
        <w:rPr>
          <w:i/>
          <w:vertAlign w:val="subscript"/>
          <w:lang w:val="fr-CH"/>
        </w:rPr>
        <w:t>Y</w:t>
      </w:r>
      <w:r w:rsidRPr="005046E3">
        <w:rPr>
          <w:lang w:val="fr-CH"/>
        </w:rPr>
        <w:t xml:space="preserve"> dans l'équation et simplifi</w:t>
      </w:r>
      <w:r>
        <w:rPr>
          <w:lang w:val="fr-CH"/>
        </w:rPr>
        <w:t xml:space="preserve">cation de </w:t>
      </w:r>
      <w:r w:rsidRPr="005046E3">
        <w:rPr>
          <w:lang w:val="fr-CH"/>
        </w:rPr>
        <w:t>l'équation, le rapport de dégradation calculé est:</w:t>
      </w:r>
    </w:p>
    <w:p w:rsidR="00DF60DE" w:rsidRPr="005046E3" w:rsidRDefault="00DF60DE" w:rsidP="00DF60DE">
      <w:pPr>
        <w:rPr>
          <w:lang w:val="fr-CH"/>
        </w:rPr>
      </w:pPr>
      <w:r w:rsidRPr="005046E3">
        <w:rPr>
          <w:lang w:val="fr-CH"/>
        </w:rPr>
        <w:tab/>
      </w:r>
      <w:r w:rsidRPr="005046E3">
        <w:rPr>
          <w:i/>
          <w:lang w:val="fr-CH"/>
        </w:rPr>
        <w:t>N</w:t>
      </w:r>
      <w:r w:rsidRPr="005046E3">
        <w:rPr>
          <w:vertAlign w:val="subscript"/>
          <w:lang w:val="fr-CH"/>
        </w:rPr>
        <w:t>0</w:t>
      </w:r>
      <w:r w:rsidRPr="005046E3">
        <w:rPr>
          <w:i/>
          <w:vertAlign w:val="subscript"/>
          <w:lang w:val="fr-CH"/>
        </w:rPr>
        <w:t>,EFF+Y</w:t>
      </w:r>
      <w:r w:rsidRPr="005046E3">
        <w:rPr>
          <w:i/>
          <w:lang w:val="fr-CH"/>
        </w:rPr>
        <w:t>/N</w:t>
      </w:r>
      <w:r w:rsidRPr="005046E3">
        <w:rPr>
          <w:vertAlign w:val="subscript"/>
          <w:lang w:val="fr-CH"/>
        </w:rPr>
        <w:t>0</w:t>
      </w:r>
      <w:r w:rsidRPr="005046E3">
        <w:rPr>
          <w:i/>
          <w:vertAlign w:val="subscript"/>
          <w:lang w:val="fr-CH"/>
        </w:rPr>
        <w:t>,EFF</w:t>
      </w:r>
      <w:r w:rsidRPr="005046E3">
        <w:rPr>
          <w:lang w:val="fr-CH"/>
        </w:rPr>
        <w:t xml:space="preserve"> = {1/(1-</w:t>
      </w:r>
      <w:r w:rsidRPr="005046E3">
        <w:rPr>
          <w:i/>
          <w:lang w:val="fr-CH"/>
        </w:rPr>
        <w:t>PDC</w:t>
      </w:r>
      <w:r w:rsidRPr="005046E3">
        <w:rPr>
          <w:i/>
          <w:vertAlign w:val="subscript"/>
          <w:lang w:val="fr-CH"/>
        </w:rPr>
        <w:t>Y</w:t>
      </w:r>
      <w:r w:rsidRPr="005046E3">
        <w:rPr>
          <w:lang w:val="fr-CH"/>
        </w:rPr>
        <w:t>)}</w:t>
      </w:r>
      <w:r>
        <w:rPr>
          <w:szCs w:val="24"/>
        </w:rPr>
        <w:sym w:font="Symbol" w:char="F0D7"/>
      </w:r>
      <w:r w:rsidRPr="005046E3">
        <w:rPr>
          <w:lang w:val="fr-CH"/>
        </w:rPr>
        <w:t>(1)</w:t>
      </w:r>
      <w:r>
        <w:rPr>
          <w:szCs w:val="24"/>
        </w:rPr>
        <w:sym w:font="Symbol" w:char="F0D7"/>
      </w:r>
      <w:r w:rsidRPr="005046E3">
        <w:rPr>
          <w:lang w:val="fr-CH"/>
        </w:rPr>
        <w:t>{1+(4</w:t>
      </w:r>
      <w:r>
        <w:rPr>
          <w:szCs w:val="24"/>
        </w:rPr>
        <w:sym w:font="Symbol" w:char="F0D7"/>
      </w:r>
      <w:r w:rsidRPr="005046E3">
        <w:rPr>
          <w:i/>
          <w:lang w:val="fr-CH"/>
        </w:rPr>
        <w:t>PDC</w:t>
      </w:r>
      <w:r w:rsidRPr="005046E3">
        <w:rPr>
          <w:i/>
          <w:vertAlign w:val="subscript"/>
          <w:lang w:val="fr-CH"/>
        </w:rPr>
        <w:t>Y</w:t>
      </w:r>
      <w:r w:rsidRPr="005046E3">
        <w:rPr>
          <w:lang w:val="fr-CH"/>
        </w:rPr>
        <w:t>)/[(1-</w:t>
      </w:r>
      <w:r w:rsidRPr="005046E3">
        <w:rPr>
          <w:i/>
          <w:lang w:val="fr-CH"/>
        </w:rPr>
        <w:t>PDC</w:t>
      </w:r>
      <w:r w:rsidRPr="005046E3">
        <w:rPr>
          <w:i/>
          <w:vertAlign w:val="subscript"/>
          <w:lang w:val="fr-CH"/>
        </w:rPr>
        <w:t>Y</w:t>
      </w:r>
      <w:r w:rsidRPr="005046E3">
        <w:rPr>
          <w:lang w:val="fr-CH"/>
        </w:rPr>
        <w:t>)(1+3</w:t>
      </w:r>
      <w:r>
        <w:rPr>
          <w:szCs w:val="24"/>
        </w:rPr>
        <w:sym w:font="Symbol" w:char="F0D7"/>
      </w:r>
      <w:r w:rsidRPr="005046E3">
        <w:rPr>
          <w:i/>
          <w:lang w:val="fr-CH"/>
        </w:rPr>
        <w:t>PDC</w:t>
      </w:r>
      <w:r w:rsidRPr="005046E3">
        <w:rPr>
          <w:i/>
          <w:vertAlign w:val="subscript"/>
          <w:lang w:val="fr-CH"/>
        </w:rPr>
        <w:t>LIM</w:t>
      </w:r>
      <w:r w:rsidRPr="005046E3">
        <w:rPr>
          <w:lang w:val="fr-CH"/>
        </w:rPr>
        <w:t>)]}</w:t>
      </w:r>
    </w:p>
    <w:p w:rsidR="00DF60DE" w:rsidRPr="005046E3" w:rsidRDefault="00DF60DE" w:rsidP="00DF60DE">
      <w:pPr>
        <w:rPr>
          <w:lang w:val="fr-CH"/>
        </w:rPr>
      </w:pPr>
      <w:r w:rsidRPr="005046E3">
        <w:rPr>
          <w:lang w:val="fr-CH"/>
        </w:rPr>
        <w:tab/>
      </w:r>
      <w:r w:rsidRPr="005046E3">
        <w:rPr>
          <w:lang w:val="fr-CH"/>
        </w:rPr>
        <w:tab/>
      </w:r>
      <w:r w:rsidRPr="005046E3">
        <w:rPr>
          <w:lang w:val="fr-CH"/>
        </w:rPr>
        <w:tab/>
        <w:t xml:space="preserve"> = {1,02302}</w:t>
      </w:r>
      <w:r>
        <w:rPr>
          <w:szCs w:val="24"/>
        </w:rPr>
        <w:sym w:font="Symbol" w:char="F0D7"/>
      </w:r>
      <w:r w:rsidRPr="005046E3">
        <w:rPr>
          <w:lang w:val="fr-CH"/>
        </w:rPr>
        <w:t xml:space="preserve">{1+[0,090/1,20184]} = </w:t>
      </w:r>
      <w:r w:rsidRPr="005046E3">
        <w:rPr>
          <w:b/>
          <w:lang w:val="fr-CH"/>
        </w:rPr>
        <w:t>1,09963</w:t>
      </w:r>
      <w:r w:rsidRPr="005046E3">
        <w:rPr>
          <w:lang w:val="fr-CH"/>
        </w:rPr>
        <w:t xml:space="preserve"> (rapport algébrique)</w:t>
      </w:r>
    </w:p>
    <w:p w:rsidR="00DF60DE" w:rsidRPr="005046E3" w:rsidRDefault="00DF60DE" w:rsidP="00DF60DE">
      <w:pPr>
        <w:tabs>
          <w:tab w:val="left" w:pos="1080"/>
        </w:tabs>
        <w:spacing w:before="240"/>
        <w:rPr>
          <w:lang w:val="fr-CH"/>
        </w:rPr>
      </w:pPr>
      <w:r w:rsidRPr="005046E3">
        <w:rPr>
          <w:lang w:val="fr-CH"/>
        </w:rPr>
        <w:t>La conversion du rapport algébrique en dB donne le résultat suivant:</w:t>
      </w:r>
    </w:p>
    <w:p w:rsidR="00DF60DE" w:rsidRPr="005046E3" w:rsidRDefault="00DF60DE" w:rsidP="00DF60DE">
      <w:pPr>
        <w:tabs>
          <w:tab w:val="left" w:pos="1080"/>
        </w:tabs>
        <w:jc w:val="center"/>
        <w:rPr>
          <w:lang w:val="fr-CH"/>
        </w:rPr>
      </w:pPr>
      <w:r w:rsidRPr="005046E3">
        <w:rPr>
          <w:lang w:val="fr-CH"/>
        </w:rPr>
        <w:t>10</w:t>
      </w:r>
      <w:r>
        <w:rPr>
          <w:szCs w:val="24"/>
        </w:rPr>
        <w:sym w:font="Symbol" w:char="F0D7"/>
      </w:r>
      <w:r w:rsidRPr="005046E3">
        <w:rPr>
          <w:lang w:val="fr-CH"/>
        </w:rPr>
        <w:t>log</w:t>
      </w:r>
      <w:r w:rsidRPr="005046E3">
        <w:rPr>
          <w:vertAlign w:val="subscript"/>
          <w:lang w:val="fr-CH"/>
        </w:rPr>
        <w:t>10</w:t>
      </w:r>
      <w:r w:rsidRPr="005046E3">
        <w:rPr>
          <w:lang w:val="fr-CH"/>
        </w:rPr>
        <w:t xml:space="preserve">(1,099627) = </w:t>
      </w:r>
      <w:r w:rsidRPr="005046E3">
        <w:rPr>
          <w:b/>
          <w:lang w:val="fr-CH"/>
        </w:rPr>
        <w:t>0,413 dB</w:t>
      </w:r>
    </w:p>
    <w:p w:rsidR="00DF60DE" w:rsidRPr="005046E3" w:rsidRDefault="00DF60DE" w:rsidP="00DF60DE">
      <w:pPr>
        <w:tabs>
          <w:tab w:val="left" w:pos="1080"/>
        </w:tabs>
        <w:spacing w:before="240"/>
        <w:rPr>
          <w:lang w:val="fr-CH"/>
        </w:rPr>
      </w:pPr>
      <w:r w:rsidRPr="005046E3">
        <w:rPr>
          <w:lang w:val="fr-CH"/>
        </w:rPr>
        <w:t xml:space="preserve">Par conséquent, la dégradation provoquée par la nouvelle source </w:t>
      </w:r>
      <w:r>
        <w:rPr>
          <w:lang w:val="fr-CH"/>
        </w:rPr>
        <w:t xml:space="preserve">d'impulsions </w:t>
      </w:r>
      <w:r w:rsidRPr="005046E3">
        <w:rPr>
          <w:lang w:val="fr-CH"/>
        </w:rPr>
        <w:t>proposée est supérieure de 0</w:t>
      </w:r>
      <w:r>
        <w:rPr>
          <w:lang w:val="fr-CH"/>
        </w:rPr>
        <w:t>,</w:t>
      </w:r>
      <w:r w:rsidRPr="005046E3">
        <w:rPr>
          <w:lang w:val="fr-CH"/>
        </w:rPr>
        <w:t xml:space="preserve">2 dB à la limite de dégradation admissible pour le récepteur de </w:t>
      </w:r>
      <w:r>
        <w:rPr>
          <w:lang w:val="fr-CH"/>
        </w:rPr>
        <w:t>haute</w:t>
      </w:r>
      <w:r w:rsidRPr="005046E3">
        <w:rPr>
          <w:lang w:val="fr-CH"/>
        </w:rPr>
        <w:t xml:space="preserve"> précision à code partiel.</w:t>
      </w:r>
    </w:p>
    <w:p w:rsidR="001A5ADC" w:rsidRDefault="001A5ADC" w:rsidP="00DF60DE">
      <w:pPr>
        <w:rPr>
          <w:lang w:val="fr-CH" w:eastAsia="zh-CN"/>
        </w:rPr>
      </w:pPr>
    </w:p>
    <w:p w:rsidR="00946401" w:rsidRDefault="00946401" w:rsidP="00DF60DE">
      <w:pPr>
        <w:rPr>
          <w:lang w:val="fr-CH" w:eastAsia="zh-CN"/>
        </w:rPr>
      </w:pPr>
    </w:p>
    <w:p w:rsidR="00DF60DE" w:rsidRPr="005046E3" w:rsidRDefault="001A5ADC" w:rsidP="001A5ADC">
      <w:pPr>
        <w:jc w:val="center"/>
        <w:rPr>
          <w:lang w:val="fr-CH" w:eastAsia="zh-CN"/>
        </w:rPr>
      </w:pPr>
      <w:r>
        <w:rPr>
          <w:lang w:val="fr-CH" w:eastAsia="zh-CN"/>
        </w:rPr>
        <w:t>____________________</w:t>
      </w:r>
    </w:p>
    <w:sectPr w:rsidR="00DF60DE" w:rsidRPr="005046E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 w:id="1">
    <w:p w:rsidR="00DF60DE" w:rsidRPr="00D05138" w:rsidRDefault="00DF60DE" w:rsidP="00CF0DD2">
      <w:pPr>
        <w:pStyle w:val="FootnoteText"/>
        <w:tabs>
          <w:tab w:val="left" w:pos="284"/>
        </w:tabs>
        <w:ind w:left="284" w:hanging="284"/>
        <w:rPr>
          <w:szCs w:val="22"/>
          <w:lang w:val="fr-CH"/>
        </w:rPr>
      </w:pPr>
      <w:r>
        <w:rPr>
          <w:rStyle w:val="FootnoteReference"/>
        </w:rPr>
        <w:footnoteRef/>
      </w:r>
      <w:r>
        <w:tab/>
      </w:r>
      <w:r w:rsidRPr="00D05138">
        <w:rPr>
          <w:szCs w:val="22"/>
        </w:rPr>
        <w:t xml:space="preserve">L'adjectif </w:t>
      </w:r>
      <w:r w:rsidR="00CF0DD2">
        <w:t>«</w:t>
      </w:r>
      <w:r w:rsidRPr="00D05138">
        <w:rPr>
          <w:szCs w:val="22"/>
        </w:rPr>
        <w:t>pertinentes</w:t>
      </w:r>
      <w:r w:rsidR="00CF0DD2">
        <w:rPr>
          <w:szCs w:val="22"/>
        </w:rPr>
        <w:t>»</w:t>
      </w:r>
      <w:r w:rsidRPr="00D05138">
        <w:rPr>
          <w:szCs w:val="22"/>
        </w:rPr>
        <w:t xml:space="preserve"> renvoie aux sources radioélectriques qui émettent des impulsions radioélectriques ou qui génèrent des impulsions radioélectriques équivalentes au niveau du récepteur du SRNS par d'autres moyens tels que, par exemple, l'utilisation d'un faisceau d'antenne à balayage.</w:t>
      </w:r>
    </w:p>
  </w:footnote>
  <w:footnote w:id="2">
    <w:p w:rsidR="00DF60DE" w:rsidRPr="00D05138" w:rsidRDefault="00DF60DE" w:rsidP="00DF60DE">
      <w:pPr>
        <w:pStyle w:val="FootnoteText"/>
        <w:tabs>
          <w:tab w:val="left" w:pos="284"/>
        </w:tabs>
        <w:rPr>
          <w:szCs w:val="22"/>
          <w:lang w:val="fr-CH"/>
        </w:rPr>
      </w:pPr>
      <w:r>
        <w:rPr>
          <w:rStyle w:val="FootnoteReference"/>
        </w:rPr>
        <w:footnoteRef/>
      </w:r>
      <w:r>
        <w:tab/>
      </w:r>
      <w:r w:rsidRPr="00D05138">
        <w:rPr>
          <w:szCs w:val="22"/>
          <w:lang w:val="fr-CH"/>
        </w:rPr>
        <w:t>La Recommandation UIT-R M.1318-1 donne une méthode d'analyse des sources de brouillages continus.</w:t>
      </w:r>
    </w:p>
  </w:footnote>
  <w:footnote w:id="3">
    <w:p w:rsidR="00DF60DE" w:rsidRPr="00D05138" w:rsidRDefault="00DF60DE" w:rsidP="00DF60DE">
      <w:pPr>
        <w:pStyle w:val="FootnoteText"/>
        <w:tabs>
          <w:tab w:val="left" w:pos="284"/>
        </w:tabs>
        <w:ind w:left="284" w:hanging="284"/>
        <w:rPr>
          <w:szCs w:val="22"/>
          <w:lang w:val="fr-CH"/>
        </w:rPr>
      </w:pPr>
      <w:r>
        <w:rPr>
          <w:rStyle w:val="FootnoteReference"/>
        </w:rPr>
        <w:footnoteRef/>
      </w:r>
      <w:r>
        <w:tab/>
      </w:r>
      <w:r w:rsidRPr="00D05138">
        <w:rPr>
          <w:szCs w:val="22"/>
          <w:lang w:val="fr-CH"/>
        </w:rPr>
        <w:t>Voir le § 3 de l'Annexe 1 pour une description du rapport de dégradation et le § 4 de l'Annexe 1 pour des précisions sur les valeurs du rapport de dégradation admissible.</w:t>
      </w:r>
    </w:p>
  </w:footnote>
  <w:footnote w:id="4">
    <w:p w:rsidR="00DF60DE" w:rsidRPr="00D05138" w:rsidRDefault="00DF60DE" w:rsidP="00DF60DE">
      <w:pPr>
        <w:pStyle w:val="FootnoteText"/>
        <w:tabs>
          <w:tab w:val="left" w:pos="284"/>
        </w:tabs>
        <w:ind w:left="284" w:hanging="284"/>
        <w:rPr>
          <w:szCs w:val="22"/>
          <w:lang w:val="fr-CH"/>
        </w:rPr>
      </w:pPr>
      <w:r>
        <w:rPr>
          <w:rStyle w:val="FootnoteReference"/>
          <w:szCs w:val="22"/>
        </w:rPr>
        <w:footnoteRef/>
      </w:r>
      <w:r w:rsidRPr="005046E3">
        <w:rPr>
          <w:szCs w:val="22"/>
          <w:lang w:val="fr-CH"/>
        </w:rPr>
        <w:tab/>
      </w:r>
      <w:r w:rsidRPr="00D05138">
        <w:rPr>
          <w:szCs w:val="22"/>
        </w:rPr>
        <w:t>L'expression «brouillages continus» désigne ici des brouillages provenant de sources d'une puissance relativement constante généralement présents en permanence. Ces brouillages se distinguent des brouillages par impulsions, qui doivent faire l'objet d'une analyse distincte en fonction de la durée des impulsions, de la puissance de crête et du facteur d'utilisation</w:t>
      </w:r>
      <w:r w:rsidRPr="00D05138">
        <w:rPr>
          <w:szCs w:val="22"/>
          <w:lang w:val="fr-CH"/>
        </w:rPr>
        <w:t>.</w:t>
      </w:r>
    </w:p>
  </w:footnote>
  <w:footnote w:id="5">
    <w:p w:rsidR="00DF60DE" w:rsidRPr="00D05138" w:rsidRDefault="00DF60DE" w:rsidP="00DF60DE">
      <w:pPr>
        <w:pStyle w:val="FootnoteText"/>
        <w:tabs>
          <w:tab w:val="left" w:pos="284"/>
        </w:tabs>
        <w:rPr>
          <w:szCs w:val="22"/>
          <w:lang w:val="fr-CH"/>
        </w:rPr>
      </w:pPr>
      <w:r>
        <w:rPr>
          <w:rStyle w:val="FootnoteReference"/>
        </w:rPr>
        <w:footnoteRef/>
      </w:r>
      <w:r w:rsidRPr="005046E3">
        <w:rPr>
          <w:lang w:val="fr-CH"/>
        </w:rPr>
        <w:tab/>
      </w:r>
      <w:r w:rsidRPr="00D05138">
        <w:rPr>
          <w:szCs w:val="22"/>
          <w:lang w:val="fr-CH"/>
        </w:rPr>
        <w:t>RTCA, siège aux Etats</w:t>
      </w:r>
      <w:r w:rsidRPr="00D05138">
        <w:rPr>
          <w:szCs w:val="22"/>
          <w:lang w:val="fr-CH"/>
        </w:rPr>
        <w:noBreakHyphen/>
        <w:t>Unis d'Amérique et EUROCAE en Europe.</w:t>
      </w:r>
    </w:p>
  </w:footnote>
  <w:footnote w:id="6">
    <w:p w:rsidR="00DF60DE" w:rsidRPr="00D05138" w:rsidRDefault="00DF60DE" w:rsidP="00DF60DE">
      <w:pPr>
        <w:pStyle w:val="FootnoteText"/>
        <w:tabs>
          <w:tab w:val="left" w:pos="284"/>
        </w:tabs>
        <w:ind w:left="284" w:hanging="284"/>
        <w:rPr>
          <w:szCs w:val="22"/>
          <w:lang w:val="fr-CH"/>
        </w:rPr>
      </w:pPr>
      <w:r>
        <w:rPr>
          <w:rStyle w:val="FootnoteReference"/>
        </w:rPr>
        <w:footnoteRef/>
      </w:r>
      <w:r w:rsidRPr="005046E3">
        <w:rPr>
          <w:lang w:val="fr-CH"/>
        </w:rPr>
        <w:tab/>
      </w:r>
      <w:r w:rsidRPr="00D05138">
        <w:rPr>
          <w:szCs w:val="22"/>
          <w:lang w:val="fr-CH"/>
        </w:rPr>
        <w:t>RTCA SC-159, «Evaluation du brouillage radioélectrique pour le système GNSS bande de fréquences L5/E5A», RTCA Document N° RTCA/DO-292, Washington, DC, 29 juillet 2004, Section 2.6.2.3.</w:t>
      </w:r>
    </w:p>
  </w:footnote>
  <w:footnote w:id="7">
    <w:p w:rsidR="00DF60DE" w:rsidRPr="00D05138" w:rsidRDefault="00DF60DE" w:rsidP="00DF60DE">
      <w:pPr>
        <w:pStyle w:val="FootnoteText"/>
        <w:tabs>
          <w:tab w:val="left" w:pos="284"/>
        </w:tabs>
        <w:rPr>
          <w:szCs w:val="22"/>
          <w:lang w:val="en-US"/>
        </w:rPr>
      </w:pPr>
      <w:r>
        <w:rPr>
          <w:rStyle w:val="FootnoteReference"/>
        </w:rPr>
        <w:footnoteRef/>
      </w:r>
      <w:r w:rsidRPr="00071346">
        <w:rPr>
          <w:lang w:val="en-US"/>
        </w:rPr>
        <w:tab/>
      </w:r>
      <w:r w:rsidRPr="00D05138">
        <w:rPr>
          <w:i/>
          <w:szCs w:val="22"/>
          <w:lang w:val="en-US"/>
        </w:rPr>
        <w:t xml:space="preserve">ibid </w:t>
      </w:r>
      <w:r w:rsidRPr="00D05138">
        <w:rPr>
          <w:szCs w:val="22"/>
          <w:lang w:val="en-US"/>
        </w:rPr>
        <w:t>RTCA/DO-292, Appendice D.2.2.</w:t>
      </w:r>
    </w:p>
  </w:footnote>
  <w:footnote w:id="8">
    <w:p w:rsidR="00DF60DE" w:rsidRPr="00D05138" w:rsidRDefault="00DF60DE" w:rsidP="00DF60DE">
      <w:pPr>
        <w:pStyle w:val="FootnoteText"/>
        <w:tabs>
          <w:tab w:val="left" w:pos="284"/>
        </w:tabs>
        <w:rPr>
          <w:szCs w:val="22"/>
          <w:lang w:val="fr-CH"/>
        </w:rPr>
      </w:pPr>
      <w:r>
        <w:rPr>
          <w:rStyle w:val="FootnoteReference"/>
        </w:rPr>
        <w:footnoteRef/>
      </w:r>
      <w:r w:rsidRPr="005046E3">
        <w:rPr>
          <w:lang w:val="fr-CH"/>
        </w:rPr>
        <w:tab/>
      </w:r>
      <w:r w:rsidRPr="00D05138">
        <w:rPr>
          <w:szCs w:val="22"/>
          <w:lang w:val="fr-CH"/>
        </w:rPr>
        <w:t>Voir le Rapport UIT-R M.2220 pour des précisions sur ce paramètre.</w:t>
      </w:r>
    </w:p>
  </w:footnote>
  <w:footnote w:id="9">
    <w:p w:rsidR="00DF60DE" w:rsidRPr="00D05138" w:rsidRDefault="00DF60DE" w:rsidP="00DF60DE">
      <w:pPr>
        <w:pStyle w:val="FootnoteText"/>
        <w:tabs>
          <w:tab w:val="left" w:pos="284"/>
        </w:tabs>
        <w:rPr>
          <w:szCs w:val="22"/>
          <w:lang w:val="fr-CH"/>
        </w:rPr>
      </w:pPr>
      <w:r>
        <w:rPr>
          <w:rStyle w:val="FootnoteReference"/>
        </w:rPr>
        <w:footnoteRef/>
      </w:r>
      <w:r w:rsidRPr="005046E3">
        <w:rPr>
          <w:lang w:val="fr-CH"/>
        </w:rPr>
        <w:tab/>
      </w:r>
      <w:r w:rsidRPr="00D05138">
        <w:rPr>
          <w:szCs w:val="22"/>
          <w:lang w:val="fr-CH"/>
        </w:rPr>
        <w:t xml:space="preserve">Voir le Rapport UIT-R M.2220 pour des précisions </w:t>
      </w:r>
      <w:r w:rsidRPr="00D05138">
        <w:rPr>
          <w:i/>
          <w:szCs w:val="22"/>
          <w:lang w:val="fr-CH"/>
        </w:rPr>
        <w:t>N</w:t>
      </w:r>
      <w:r w:rsidRPr="00D05138">
        <w:rPr>
          <w:szCs w:val="22"/>
          <w:vertAlign w:val="subscript"/>
          <w:lang w:val="fr-CH"/>
        </w:rPr>
        <w:t>0</w:t>
      </w:r>
      <w:r w:rsidRPr="00D05138">
        <w:rPr>
          <w:i/>
          <w:szCs w:val="22"/>
          <w:vertAlign w:val="subscript"/>
          <w:lang w:val="fr-CH"/>
        </w:rPr>
        <w:t>,EFF</w:t>
      </w:r>
      <w:r w:rsidRPr="00D05138">
        <w:rPr>
          <w:szCs w:val="22"/>
          <w:lang w:val="fr-CH"/>
        </w:rPr>
        <w:t>.</w:t>
      </w:r>
    </w:p>
  </w:footnote>
  <w:footnote w:id="10">
    <w:p w:rsidR="00DF60DE" w:rsidRPr="00D05138" w:rsidRDefault="00DF60DE" w:rsidP="00DF60DE">
      <w:pPr>
        <w:pStyle w:val="FootnoteText"/>
        <w:tabs>
          <w:tab w:val="left" w:pos="284"/>
        </w:tabs>
        <w:ind w:left="284" w:hanging="284"/>
        <w:rPr>
          <w:szCs w:val="22"/>
          <w:lang w:val="fr-CH"/>
        </w:rPr>
      </w:pPr>
      <w:r>
        <w:rPr>
          <w:rStyle w:val="FootnoteReference"/>
        </w:rPr>
        <w:footnoteRef/>
      </w:r>
      <w:r>
        <w:tab/>
      </w:r>
      <w:r w:rsidRPr="00D05138">
        <w:rPr>
          <w:szCs w:val="22"/>
          <w:lang w:val="fr-CH"/>
        </w:rPr>
        <w:t>Le rapport de dégradation admissible est la limite supérieure de l'effet du brouillage radioélectrique des nouvelles sources d'impulsion prévues qui ne figurent pas dans le cas de brouillage radioélectrique de référence. Il est déterminé à partir de l'examen du brouillage radioélectrique total, y compris des paramètres de référence, que le récepteur peut tolérer tout en conservant la qualité de fonctionnement requise.</w:t>
      </w:r>
    </w:p>
  </w:footnote>
  <w:footnote w:id="11">
    <w:p w:rsidR="00DF60DE" w:rsidRPr="00D05138" w:rsidRDefault="00DF60DE" w:rsidP="00DF60DE">
      <w:pPr>
        <w:pStyle w:val="FootnoteText"/>
        <w:tabs>
          <w:tab w:val="left" w:pos="284"/>
        </w:tabs>
        <w:rPr>
          <w:szCs w:val="22"/>
          <w:lang w:val="fr-CH"/>
        </w:rPr>
      </w:pPr>
      <w:r>
        <w:rPr>
          <w:rStyle w:val="FootnoteReference"/>
        </w:rPr>
        <w:footnoteRef/>
      </w:r>
      <w:r>
        <w:tab/>
      </w:r>
      <w:r w:rsidRPr="00D05138">
        <w:rPr>
          <w:szCs w:val="22"/>
          <w:lang w:eastAsia="zh-CN"/>
        </w:rPr>
        <w:t>Système complémentaire à satellites (SBAS).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B2DA1"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F0DD2">
      <w:rPr>
        <w:rStyle w:val="PageNumber"/>
        <w:b/>
        <w:bCs/>
        <w:noProof/>
      </w:rPr>
      <w:t>14</w:t>
    </w:r>
    <w:r>
      <w:rPr>
        <w:rStyle w:val="PageNumber"/>
        <w:b/>
        <w:bCs/>
      </w:rPr>
      <w:fldChar w:fldCharType="end"/>
    </w:r>
    <w:r w:rsidRPr="00837CB5">
      <w:tab/>
    </w:r>
    <w:r w:rsidR="00CF0DD2">
      <w:fldChar w:fldCharType="begin"/>
    </w:r>
    <w:r w:rsidR="00CF0DD2">
      <w:instrText xml:space="preserve"> DOCPROPERTY "Header" \* MERGEFORMAT </w:instrText>
    </w:r>
    <w:r w:rsidR="00CF0DD2">
      <w:fldChar w:fldCharType="separate"/>
    </w:r>
    <w:r w:rsidR="001D096F" w:rsidRPr="001D096F">
      <w:rPr>
        <w:b/>
        <w:bCs/>
      </w:rPr>
      <w:t xml:space="preserve">Rec. </w:t>
    </w:r>
    <w:r w:rsidR="00CF0DD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F0DD2">
      <w:rPr>
        <w:b/>
        <w:bCs/>
        <w:noProof/>
      </w:rPr>
      <w:t>UIT-R  M.2030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r w:rsidR="00CF0DD2">
      <w:fldChar w:fldCharType="begin"/>
    </w:r>
    <w:r w:rsidR="00CF0DD2">
      <w:instrText xml:space="preserve"> DOCPROPERTY "Header" \* MERGEFORMAT </w:instrText>
    </w:r>
    <w:r w:rsidR="00CF0DD2">
      <w:fldChar w:fldCharType="separate"/>
    </w:r>
    <w:r w:rsidR="001D096F" w:rsidRPr="001D096F">
      <w:rPr>
        <w:b/>
        <w:bCs/>
      </w:rPr>
      <w:t xml:space="preserve">Rec. </w:t>
    </w:r>
    <w:r w:rsidR="00CF0DD2">
      <w:rPr>
        <w:b/>
        <w:bCs/>
      </w:rPr>
      <w:fldChar w:fldCharType="end"/>
    </w:r>
    <w:r>
      <w:rPr>
        <w:b/>
        <w:bCs/>
      </w:rPr>
      <w:t xml:space="preserve"> </w:t>
    </w:r>
    <w:r>
      <w:rPr>
        <w:b/>
        <w:bCs/>
      </w:rPr>
      <w:fldChar w:fldCharType="begin"/>
    </w:r>
    <w:r>
      <w:rPr>
        <w:b/>
        <w:bCs/>
      </w:rPr>
      <w:instrText>styleref href</w:instrText>
    </w:r>
    <w:r>
      <w:rPr>
        <w:b/>
        <w:bCs/>
      </w:rPr>
      <w:fldChar w:fldCharType="separate"/>
    </w:r>
    <w:r w:rsidR="00CF0DD2">
      <w:rPr>
        <w:b/>
        <w:bCs/>
        <w:noProof/>
      </w:rPr>
      <w:t>UIT-R  M.2030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F0DD2">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102934"/>
    <w:rsid w:val="00110B42"/>
    <w:rsid w:val="00123FD5"/>
    <w:rsid w:val="00125B6D"/>
    <w:rsid w:val="00126AF2"/>
    <w:rsid w:val="00147110"/>
    <w:rsid w:val="00155A9E"/>
    <w:rsid w:val="001671C8"/>
    <w:rsid w:val="001A5ADC"/>
    <w:rsid w:val="001D096F"/>
    <w:rsid w:val="00202D10"/>
    <w:rsid w:val="002058CE"/>
    <w:rsid w:val="002165F1"/>
    <w:rsid w:val="00227626"/>
    <w:rsid w:val="00276D21"/>
    <w:rsid w:val="00296D7F"/>
    <w:rsid w:val="002B3CF6"/>
    <w:rsid w:val="002C768A"/>
    <w:rsid w:val="002D76C4"/>
    <w:rsid w:val="00363367"/>
    <w:rsid w:val="003A4563"/>
    <w:rsid w:val="003E0582"/>
    <w:rsid w:val="00420DFD"/>
    <w:rsid w:val="00422AE4"/>
    <w:rsid w:val="00470E28"/>
    <w:rsid w:val="0047331C"/>
    <w:rsid w:val="004934C5"/>
    <w:rsid w:val="004A4D65"/>
    <w:rsid w:val="005258F8"/>
    <w:rsid w:val="00530208"/>
    <w:rsid w:val="005526BB"/>
    <w:rsid w:val="00556548"/>
    <w:rsid w:val="00567DC0"/>
    <w:rsid w:val="00586EF8"/>
    <w:rsid w:val="00592F9F"/>
    <w:rsid w:val="00593B96"/>
    <w:rsid w:val="005B49AB"/>
    <w:rsid w:val="005B50E7"/>
    <w:rsid w:val="005B65B9"/>
    <w:rsid w:val="005D5EEA"/>
    <w:rsid w:val="005E6DCC"/>
    <w:rsid w:val="005E7B4F"/>
    <w:rsid w:val="0060611D"/>
    <w:rsid w:val="00607D68"/>
    <w:rsid w:val="006149B1"/>
    <w:rsid w:val="00614CC6"/>
    <w:rsid w:val="00647E80"/>
    <w:rsid w:val="00677E90"/>
    <w:rsid w:val="00680D2B"/>
    <w:rsid w:val="00681B32"/>
    <w:rsid w:val="006C7827"/>
    <w:rsid w:val="006E2037"/>
    <w:rsid w:val="006E3400"/>
    <w:rsid w:val="006F154D"/>
    <w:rsid w:val="00712870"/>
    <w:rsid w:val="00731BD8"/>
    <w:rsid w:val="00743D85"/>
    <w:rsid w:val="00753CF4"/>
    <w:rsid w:val="007565CC"/>
    <w:rsid w:val="00756B4D"/>
    <w:rsid w:val="00763B9A"/>
    <w:rsid w:val="00776E56"/>
    <w:rsid w:val="00793187"/>
    <w:rsid w:val="007A308E"/>
    <w:rsid w:val="007A6AA8"/>
    <w:rsid w:val="008310C9"/>
    <w:rsid w:val="00837CB5"/>
    <w:rsid w:val="008649DF"/>
    <w:rsid w:val="00872472"/>
    <w:rsid w:val="008C7848"/>
    <w:rsid w:val="008F5522"/>
    <w:rsid w:val="00917AF2"/>
    <w:rsid w:val="0092418A"/>
    <w:rsid w:val="00934ED7"/>
    <w:rsid w:val="009454F8"/>
    <w:rsid w:val="00946401"/>
    <w:rsid w:val="009543C3"/>
    <w:rsid w:val="00966E1B"/>
    <w:rsid w:val="00987C75"/>
    <w:rsid w:val="009B5551"/>
    <w:rsid w:val="009F2D2C"/>
    <w:rsid w:val="00A443C2"/>
    <w:rsid w:val="00A52DB0"/>
    <w:rsid w:val="00A6617B"/>
    <w:rsid w:val="00A71FE5"/>
    <w:rsid w:val="00AA3AD8"/>
    <w:rsid w:val="00AB0DC8"/>
    <w:rsid w:val="00AB2DA1"/>
    <w:rsid w:val="00AB52D1"/>
    <w:rsid w:val="00AD267B"/>
    <w:rsid w:val="00B033C8"/>
    <w:rsid w:val="00B33425"/>
    <w:rsid w:val="00B44E24"/>
    <w:rsid w:val="00B54ECC"/>
    <w:rsid w:val="00B714F3"/>
    <w:rsid w:val="00BB29FF"/>
    <w:rsid w:val="00BC0651"/>
    <w:rsid w:val="00BC5D77"/>
    <w:rsid w:val="00BF0290"/>
    <w:rsid w:val="00BF487A"/>
    <w:rsid w:val="00C14FD3"/>
    <w:rsid w:val="00C362C3"/>
    <w:rsid w:val="00C46BD9"/>
    <w:rsid w:val="00C55258"/>
    <w:rsid w:val="00C668C8"/>
    <w:rsid w:val="00C73560"/>
    <w:rsid w:val="00C854EA"/>
    <w:rsid w:val="00C95B6F"/>
    <w:rsid w:val="00CB0F14"/>
    <w:rsid w:val="00CD659B"/>
    <w:rsid w:val="00CD7DC8"/>
    <w:rsid w:val="00CF0DD2"/>
    <w:rsid w:val="00D017C0"/>
    <w:rsid w:val="00D31EB8"/>
    <w:rsid w:val="00D70C4E"/>
    <w:rsid w:val="00DF4176"/>
    <w:rsid w:val="00DF60DE"/>
    <w:rsid w:val="00E02402"/>
    <w:rsid w:val="00E06B54"/>
    <w:rsid w:val="00E17240"/>
    <w:rsid w:val="00E44C45"/>
    <w:rsid w:val="00E44CBB"/>
    <w:rsid w:val="00E938B8"/>
    <w:rsid w:val="00EA5CCD"/>
    <w:rsid w:val="00EA6E8E"/>
    <w:rsid w:val="00EE0573"/>
    <w:rsid w:val="00EE57AA"/>
    <w:rsid w:val="00F206D1"/>
    <w:rsid w:val="00F30C9B"/>
    <w:rsid w:val="00F316C4"/>
    <w:rsid w:val="00F336CC"/>
    <w:rsid w:val="00F354B1"/>
    <w:rsid w:val="00F54FBD"/>
    <w:rsid w:val="00F569A9"/>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15:docId w15:val="{D171EB97-9544-402B-9C8F-422999B56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link w:val="AnnexNoTitleChar"/>
    <w:rsid w:val="00AB2DA1"/>
    <w:pPr>
      <w:keepNext/>
      <w:keepLines/>
      <w:spacing w:before="480" w:after="80"/>
      <w:jc w:val="center"/>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enumlev1Char">
    <w:name w:val="enumlev1 Char"/>
    <w:basedOn w:val="DefaultParagraphFont"/>
    <w:link w:val="enumlev1"/>
    <w:rsid w:val="00DF60DE"/>
    <w:rPr>
      <w:sz w:val="24"/>
      <w:lang w:val="fr-FR" w:eastAsia="en-US"/>
    </w:rPr>
  </w:style>
  <w:style w:type="character" w:customStyle="1" w:styleId="Rectitle0">
    <w:name w:val="Rec_title Знак"/>
    <w:basedOn w:val="DefaultParagraphFont"/>
    <w:link w:val="Rectitle"/>
    <w:locked/>
    <w:rsid w:val="00DF60DE"/>
    <w:rPr>
      <w:b/>
      <w:sz w:val="28"/>
      <w:lang w:val="fr-FR" w:eastAsia="en-US"/>
    </w:rPr>
  </w:style>
  <w:style w:type="character" w:customStyle="1" w:styleId="AnnexNoTitleChar">
    <w:name w:val="Annex_NoTitle Char"/>
    <w:basedOn w:val="DefaultParagraphFont"/>
    <w:link w:val="AnnexNoTitle"/>
    <w:rsid w:val="00DF60DE"/>
    <w:rPr>
      <w:b/>
      <w:sz w:val="28"/>
      <w:lang w:val="fr-FR" w:eastAsia="en-US"/>
    </w:rPr>
  </w:style>
  <w:style w:type="character" w:customStyle="1" w:styleId="TableNoChar">
    <w:name w:val="Table_No Char"/>
    <w:basedOn w:val="DefaultParagraphFont"/>
    <w:link w:val="TableNo"/>
    <w:rsid w:val="00DF60DE"/>
    <w:rPr>
      <w:sz w:val="24"/>
      <w:lang w:val="fr-FR" w:eastAsia="en-US"/>
    </w:rPr>
  </w:style>
  <w:style w:type="character" w:customStyle="1" w:styleId="TabletitleChar">
    <w:name w:val="Table_title Char"/>
    <w:basedOn w:val="DefaultParagraphFont"/>
    <w:link w:val="Tabletitle"/>
    <w:rsid w:val="00DF60DE"/>
    <w:rPr>
      <w:b/>
      <w:sz w:val="24"/>
      <w:lang w:val="fr-FR" w:eastAsia="en-US"/>
    </w:rPr>
  </w:style>
  <w:style w:type="character" w:customStyle="1" w:styleId="TableheadChar">
    <w:name w:val="Table_head Char"/>
    <w:basedOn w:val="DefaultParagraphFont"/>
    <w:link w:val="Tablehead"/>
    <w:locked/>
    <w:rsid w:val="00DF60DE"/>
    <w:rPr>
      <w:b/>
      <w:sz w:val="22"/>
      <w:lang w:val="fr-FR" w:eastAsia="en-US"/>
    </w:rPr>
  </w:style>
  <w:style w:type="character" w:customStyle="1" w:styleId="TabletextChar">
    <w:name w:val="Table_text Char"/>
    <w:basedOn w:val="DefaultParagraphFont"/>
    <w:link w:val="Tabletext"/>
    <w:locked/>
    <w:rsid w:val="00DF60DE"/>
    <w:rPr>
      <w:sz w:val="22"/>
      <w:lang w:val="fr-FR" w:eastAsia="en-US"/>
    </w:rPr>
  </w:style>
  <w:style w:type="character" w:customStyle="1" w:styleId="FooterChar">
    <w:name w:val="Footer Char"/>
    <w:basedOn w:val="DefaultParagraphFont"/>
    <w:link w:val="Footer"/>
    <w:rsid w:val="00DF60DE"/>
    <w:rPr>
      <w:noProof/>
      <w:sz w:val="18"/>
      <w:lang w:val="fr-FR" w:eastAsia="en-US"/>
    </w:rPr>
  </w:style>
  <w:style w:type="character" w:customStyle="1" w:styleId="HeaderChar">
    <w:name w:val="Header Char"/>
    <w:basedOn w:val="DefaultParagraphFont"/>
    <w:link w:val="Header"/>
    <w:rsid w:val="00DF60DE"/>
    <w:rPr>
      <w:sz w:val="24"/>
      <w:lang w:val="fr-FR" w:eastAsia="en-US"/>
    </w:rPr>
  </w:style>
  <w:style w:type="character" w:customStyle="1" w:styleId="FootnoteTextChar">
    <w:name w:val="Footnote Text Char"/>
    <w:basedOn w:val="DefaultParagraphFont"/>
    <w:link w:val="FootnoteText"/>
    <w:rsid w:val="00DF60DE"/>
    <w:rPr>
      <w:sz w:val="22"/>
      <w:lang w:val="fr-FR" w:eastAsia="en-US"/>
    </w:rPr>
  </w:style>
  <w:style w:type="character" w:customStyle="1" w:styleId="RectitleChar">
    <w:name w:val="Rec_title Char"/>
    <w:rsid w:val="00DF60DE"/>
    <w:rPr>
      <w:rFonts w:ascii="Times New Roman" w:hAnsi="Times New Roman"/>
      <w:b/>
      <w:sz w:val="28"/>
      <w:lang w:val="en-GB" w:eastAsia="en-US"/>
    </w:rPr>
  </w:style>
  <w:style w:type="character" w:customStyle="1" w:styleId="Heading1Char">
    <w:name w:val="Heading 1 Char"/>
    <w:basedOn w:val="DefaultParagraphFont"/>
    <w:link w:val="Heading1"/>
    <w:rsid w:val="00DF60DE"/>
    <w:rPr>
      <w:b/>
      <w:sz w:val="24"/>
      <w:lang w:val="fr-FR" w:eastAsia="en-US"/>
    </w:rPr>
  </w:style>
  <w:style w:type="character" w:customStyle="1" w:styleId="EquationlegendChar">
    <w:name w:val="Equation_legend Char"/>
    <w:link w:val="Equationlegend"/>
    <w:locked/>
    <w:rsid w:val="00DF60DE"/>
    <w:rPr>
      <w:sz w:val="24"/>
      <w:lang w:eastAsia="en-US"/>
    </w:rPr>
  </w:style>
  <w:style w:type="character" w:customStyle="1" w:styleId="Tabletitle0">
    <w:name w:val="Table_title Знак"/>
    <w:locked/>
    <w:rsid w:val="00DF60DE"/>
    <w:rPr>
      <w:b/>
      <w:sz w:val="24"/>
      <w:lang w:val="fr-FR" w:eastAsia="en-US"/>
    </w:rPr>
  </w:style>
  <w:style w:type="character" w:customStyle="1" w:styleId="TableNo0">
    <w:name w:val="Table_No Знак"/>
    <w:locked/>
    <w:rsid w:val="00DF60DE"/>
    <w:rPr>
      <w:sz w:val="24"/>
      <w:lang w:val="fr-FR" w:eastAsia="en-US"/>
    </w:rPr>
  </w:style>
  <w:style w:type="character" w:customStyle="1" w:styleId="EquationChar">
    <w:name w:val="Equation Char"/>
    <w:link w:val="Equation"/>
    <w:locked/>
    <w:rsid w:val="00DF60DE"/>
    <w:rPr>
      <w:sz w:val="24"/>
      <w:lang w:val="fr-FR" w:eastAsia="en-US"/>
    </w:rPr>
  </w:style>
  <w:style w:type="character" w:customStyle="1" w:styleId="NormalaftertitleChar">
    <w:name w:val="Normal_after_title Char"/>
    <w:link w:val="Normalaftertitle"/>
    <w:locked/>
    <w:rsid w:val="00DF60D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3.w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299</TotalTime>
  <Pages>16</Pages>
  <Words>6186</Words>
  <Characters>35223</Characters>
  <Application>Microsoft Office Word</Application>
  <DocSecurity>0</DocSecurity>
  <Lines>1354</Lines>
  <Paragraphs>985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40424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23</cp:revision>
  <cp:lastPrinted>2014-10-29T10:49:00Z</cp:lastPrinted>
  <dcterms:created xsi:type="dcterms:W3CDTF">2014-10-28T08:49:00Z</dcterms:created>
  <dcterms:modified xsi:type="dcterms:W3CDTF">2014-10-30T09:53:00Z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