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346" w:rsidRDefault="00071346" w:rsidP="00071346">
      <w:bookmarkStart w:id="0" w:name="_GoBack"/>
      <w:bookmarkEnd w:id="0"/>
    </w:p>
    <w:p w:rsidR="00071346" w:rsidRDefault="00071346" w:rsidP="00071346"/>
    <w:p w:rsidR="00071346" w:rsidRDefault="00071346" w:rsidP="00071346"/>
    <w:p w:rsidR="00071346" w:rsidRDefault="00071346" w:rsidP="00071346"/>
    <w:p w:rsidR="00071346" w:rsidRDefault="00071346" w:rsidP="00071346"/>
    <w:p w:rsidR="00071346" w:rsidRDefault="00071346" w:rsidP="00071346"/>
    <w:p w:rsidR="00071346" w:rsidRDefault="00071346" w:rsidP="00071346"/>
    <w:p w:rsidR="00071346" w:rsidRDefault="00071346" w:rsidP="00071346"/>
    <w:p w:rsidR="00071346" w:rsidRDefault="00071346" w:rsidP="00071346"/>
    <w:p w:rsidR="00071346" w:rsidRDefault="00071346" w:rsidP="00071346"/>
    <w:p w:rsidR="00071346" w:rsidRDefault="00071346" w:rsidP="00071346"/>
    <w:p w:rsidR="00071346" w:rsidRDefault="00071346" w:rsidP="00071346"/>
    <w:tbl>
      <w:tblPr>
        <w:tblW w:w="10089" w:type="dxa"/>
        <w:tblLook w:val="01E0" w:firstRow="1" w:lastRow="1" w:firstColumn="1" w:lastColumn="1" w:noHBand="0" w:noVBand="0"/>
      </w:tblPr>
      <w:tblGrid>
        <w:gridCol w:w="10089"/>
      </w:tblGrid>
      <w:tr w:rsidR="00071346" w:rsidRPr="004F65E4" w:rsidTr="00CD4AD6">
        <w:tc>
          <w:tcPr>
            <w:tcW w:w="10089" w:type="dxa"/>
          </w:tcPr>
          <w:p w:rsidR="00071346" w:rsidRPr="001511A6" w:rsidRDefault="00071346" w:rsidP="00CD4AD6">
            <w:pPr>
              <w:spacing w:before="380" w:line="280" w:lineRule="exact"/>
              <w:jc w:val="right"/>
              <w:rPr>
                <w:rFonts w:ascii="Tahoma" w:hAnsi="Tahoma" w:cs="Tahoma"/>
                <w:b/>
                <w:bCs/>
                <w:iCs/>
                <w:color w:val="243285"/>
                <w:sz w:val="32"/>
                <w:szCs w:val="32"/>
                <w:lang w:val="en-US"/>
              </w:rPr>
            </w:pPr>
          </w:p>
          <w:p w:rsidR="00071346" w:rsidRPr="004F65E4" w:rsidRDefault="00071346" w:rsidP="00CD4AD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2030</w:t>
            </w:r>
          </w:p>
          <w:p w:rsidR="00071346" w:rsidRPr="004F65E4" w:rsidRDefault="00071346" w:rsidP="0007134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071346" w:rsidRPr="00400648" w:rsidTr="00CD4AD6">
        <w:tc>
          <w:tcPr>
            <w:tcW w:w="10089" w:type="dxa"/>
          </w:tcPr>
          <w:p w:rsidR="00E9189D" w:rsidRDefault="00E9189D" w:rsidP="00071346">
            <w:pPr>
              <w:spacing w:before="80" w:line="500" w:lineRule="exact"/>
              <w:jc w:val="right"/>
              <w:rPr>
                <w:rFonts w:ascii="Tahoma" w:hAnsi="Tahoma" w:cs="Tahoma"/>
                <w:b/>
                <w:bCs/>
                <w:iCs/>
                <w:color w:val="243285"/>
                <w:sz w:val="44"/>
                <w:szCs w:val="44"/>
                <w:lang w:val="en-GB"/>
              </w:rPr>
            </w:pPr>
          </w:p>
          <w:p w:rsidR="00071346" w:rsidRPr="003E1DED" w:rsidRDefault="00071346" w:rsidP="00071346">
            <w:pPr>
              <w:spacing w:before="80" w:line="500" w:lineRule="exact"/>
              <w:jc w:val="right"/>
              <w:rPr>
                <w:rFonts w:ascii="Tahoma" w:hAnsi="Tahoma" w:cs="Tahoma"/>
                <w:b/>
                <w:bCs/>
                <w:iCs/>
                <w:color w:val="243285"/>
                <w:sz w:val="44"/>
                <w:szCs w:val="44"/>
                <w:lang w:val="en-US"/>
              </w:rPr>
            </w:pPr>
            <w:r w:rsidRPr="00071346">
              <w:rPr>
                <w:rFonts w:ascii="Tahoma" w:hAnsi="Tahoma" w:cs="Tahoma"/>
                <w:b/>
                <w:bCs/>
                <w:iCs/>
                <w:color w:val="243285"/>
                <w:sz w:val="44"/>
                <w:szCs w:val="44"/>
                <w:lang w:val="en-GB"/>
              </w:rPr>
              <w:t>Evaluation method for pulsed interference from relevant radio sources other than in the radionavigation-satellite service to the radionavigation-satellite</w:t>
            </w:r>
            <w:r>
              <w:rPr>
                <w:rFonts w:ascii="Tahoma" w:hAnsi="Tahoma" w:cs="Tahoma"/>
                <w:b/>
                <w:bCs/>
                <w:iCs/>
                <w:color w:val="243285"/>
                <w:sz w:val="44"/>
                <w:szCs w:val="44"/>
                <w:lang w:val="en-GB"/>
              </w:rPr>
              <w:t xml:space="preserve"> </w:t>
            </w:r>
            <w:r w:rsidRPr="00071346">
              <w:rPr>
                <w:rFonts w:ascii="Tahoma" w:hAnsi="Tahoma" w:cs="Tahoma"/>
                <w:b/>
                <w:bCs/>
                <w:iCs/>
                <w:color w:val="243285"/>
                <w:sz w:val="44"/>
                <w:szCs w:val="44"/>
                <w:lang w:val="en-GB"/>
              </w:rPr>
              <w:t xml:space="preserve">service systems and networks operating in the </w:t>
            </w:r>
            <w:r>
              <w:rPr>
                <w:rFonts w:ascii="Tahoma" w:hAnsi="Tahoma" w:cs="Tahoma"/>
                <w:b/>
                <w:bCs/>
                <w:iCs/>
                <w:color w:val="243285"/>
                <w:sz w:val="44"/>
                <w:szCs w:val="44"/>
                <w:lang w:val="en-GB"/>
              </w:rPr>
              <w:br/>
            </w:r>
            <w:r w:rsidRPr="00071346">
              <w:rPr>
                <w:rFonts w:ascii="Tahoma" w:hAnsi="Tahoma" w:cs="Tahoma"/>
                <w:b/>
                <w:bCs/>
                <w:iCs/>
                <w:color w:val="243285"/>
                <w:sz w:val="44"/>
                <w:szCs w:val="44"/>
                <w:lang w:val="en-GB"/>
              </w:rPr>
              <w:t>1 164-1 215 MHz,</w:t>
            </w:r>
            <w:r>
              <w:rPr>
                <w:rFonts w:ascii="Tahoma" w:hAnsi="Tahoma" w:cs="Tahoma"/>
                <w:b/>
                <w:bCs/>
                <w:iCs/>
                <w:color w:val="243285"/>
                <w:sz w:val="44"/>
                <w:szCs w:val="44"/>
                <w:lang w:val="en-GB"/>
              </w:rPr>
              <w:t xml:space="preserve"> </w:t>
            </w:r>
            <w:r w:rsidRPr="00071346">
              <w:rPr>
                <w:rFonts w:ascii="Tahoma" w:hAnsi="Tahoma" w:cs="Tahoma"/>
                <w:b/>
                <w:bCs/>
                <w:iCs/>
                <w:color w:val="243285"/>
                <w:sz w:val="44"/>
                <w:szCs w:val="44"/>
                <w:lang w:val="en-GB"/>
              </w:rPr>
              <w:t xml:space="preserve">1 215-1 300 MHz </w:t>
            </w:r>
            <w:r>
              <w:rPr>
                <w:rFonts w:ascii="Tahoma" w:hAnsi="Tahoma" w:cs="Tahoma"/>
                <w:b/>
                <w:bCs/>
                <w:iCs/>
                <w:color w:val="243285"/>
                <w:sz w:val="44"/>
                <w:szCs w:val="44"/>
                <w:lang w:val="en-GB"/>
              </w:rPr>
              <w:br/>
            </w:r>
            <w:r w:rsidRPr="00071346">
              <w:rPr>
                <w:rFonts w:ascii="Tahoma" w:hAnsi="Tahoma" w:cs="Tahoma"/>
                <w:b/>
                <w:bCs/>
                <w:iCs/>
                <w:color w:val="243285"/>
                <w:sz w:val="44"/>
                <w:szCs w:val="44"/>
                <w:lang w:val="en-GB"/>
              </w:rPr>
              <w:t>and 1 559-1 610 MHz frequency bands</w:t>
            </w:r>
          </w:p>
          <w:p w:rsidR="00071346" w:rsidRPr="00052F66" w:rsidRDefault="00071346" w:rsidP="00CD4AD6">
            <w:pPr>
              <w:spacing w:before="80" w:line="500" w:lineRule="exact"/>
              <w:jc w:val="right"/>
              <w:rPr>
                <w:rFonts w:ascii="Tahoma" w:hAnsi="Tahoma" w:cs="Tahoma"/>
                <w:b/>
                <w:bCs/>
                <w:iCs/>
                <w:color w:val="243285"/>
                <w:sz w:val="44"/>
                <w:szCs w:val="44"/>
                <w:lang w:val="en-US"/>
              </w:rPr>
            </w:pPr>
          </w:p>
        </w:tc>
      </w:tr>
      <w:tr w:rsidR="00071346" w:rsidRPr="00071346" w:rsidTr="00CD4AD6">
        <w:tc>
          <w:tcPr>
            <w:tcW w:w="10089" w:type="dxa"/>
          </w:tcPr>
          <w:p w:rsidR="00071346" w:rsidRPr="00052F66" w:rsidRDefault="00071346" w:rsidP="00CD4AD6">
            <w:pPr>
              <w:spacing w:before="80" w:after="180" w:line="360" w:lineRule="exact"/>
              <w:ind w:right="720"/>
              <w:rPr>
                <w:rFonts w:ascii="Tahoma" w:hAnsi="Tahoma" w:cs="Tahoma"/>
                <w:b/>
                <w:bCs/>
                <w:iCs/>
                <w:color w:val="243285"/>
                <w:sz w:val="36"/>
                <w:szCs w:val="36"/>
                <w:lang w:val="en-US"/>
              </w:rPr>
            </w:pPr>
          </w:p>
          <w:p w:rsidR="00071346" w:rsidRPr="001511A6" w:rsidRDefault="00071346" w:rsidP="00CD4AD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71346" w:rsidRDefault="00071346" w:rsidP="00CD4AD6">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71346" w:rsidRPr="0041667C" w:rsidRDefault="00071346" w:rsidP="00CD4AD6">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71346" w:rsidRDefault="00071346" w:rsidP="00071346">
      <w:pPr>
        <w:spacing w:before="80"/>
        <w:rPr>
          <w:i/>
          <w:sz w:val="22"/>
          <w:lang w:val="en-US"/>
        </w:rPr>
      </w:pPr>
    </w:p>
    <w:p w:rsidR="00071346" w:rsidRDefault="00071346" w:rsidP="00071346">
      <w:pPr>
        <w:spacing w:before="80"/>
        <w:rPr>
          <w:i/>
          <w:sz w:val="22"/>
          <w:lang w:val="en-US"/>
        </w:rPr>
      </w:pPr>
    </w:p>
    <w:p w:rsidR="00071346" w:rsidRDefault="00071346" w:rsidP="00071346">
      <w:pPr>
        <w:spacing w:before="80"/>
        <w:rPr>
          <w:i/>
          <w:sz w:val="22"/>
          <w:lang w:val="en-US"/>
        </w:rPr>
      </w:pPr>
    </w:p>
    <w:p w:rsidR="00071346" w:rsidRDefault="00071346" w:rsidP="00071346">
      <w:pPr>
        <w:spacing w:before="80"/>
        <w:rPr>
          <w:i/>
          <w:sz w:val="22"/>
          <w:lang w:val="en-US"/>
        </w:rPr>
      </w:pPr>
    </w:p>
    <w:p w:rsidR="00071346" w:rsidRDefault="00071346" w:rsidP="00071346">
      <w:pPr>
        <w:spacing w:before="80"/>
        <w:rPr>
          <w:i/>
          <w:sz w:val="22"/>
          <w:lang w:val="en-US"/>
        </w:rPr>
      </w:pPr>
    </w:p>
    <w:p w:rsidR="00071346" w:rsidRDefault="00071346" w:rsidP="00071346">
      <w:pPr>
        <w:spacing w:before="80"/>
        <w:rPr>
          <w:i/>
          <w:sz w:val="22"/>
          <w:lang w:val="en-US"/>
        </w:rPr>
      </w:pPr>
    </w:p>
    <w:p w:rsidR="00071346" w:rsidRDefault="00071346" w:rsidP="00071346">
      <w:pPr>
        <w:pStyle w:val="Equation"/>
        <w:tabs>
          <w:tab w:val="clear" w:pos="4820"/>
          <w:tab w:val="clear" w:pos="9639"/>
          <w:tab w:val="left" w:pos="1191"/>
          <w:tab w:val="left" w:pos="1588"/>
          <w:tab w:val="left" w:pos="1985"/>
        </w:tabs>
        <w:rPr>
          <w:rFonts w:ascii="Palatino Linotype" w:hAnsi="Palatino Linotype"/>
          <w:lang w:val="en-US"/>
        </w:rPr>
        <w:sectPr w:rsidR="00071346">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071346" w:rsidRPr="00586EF8" w:rsidRDefault="00071346" w:rsidP="000713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071346" w:rsidRDefault="00071346" w:rsidP="000713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71346" w:rsidRDefault="00071346" w:rsidP="000713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71346" w:rsidRPr="00B714F3" w:rsidRDefault="00071346" w:rsidP="00071346">
      <w:pPr>
        <w:pStyle w:val="Heading1"/>
        <w:spacing w:before="680"/>
        <w:jc w:val="center"/>
        <w:rPr>
          <w:szCs w:val="24"/>
          <w:lang w:val="en-US"/>
        </w:rPr>
      </w:pPr>
      <w:r w:rsidRPr="00B714F3">
        <w:rPr>
          <w:szCs w:val="24"/>
          <w:lang w:val="en-US"/>
        </w:rPr>
        <w:t>Policy on Intellectual Property Right (IPR)</w:t>
      </w:r>
    </w:p>
    <w:p w:rsidR="00071346" w:rsidRPr="00B714F3" w:rsidRDefault="00071346" w:rsidP="0007134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71346" w:rsidRDefault="00071346" w:rsidP="00071346">
      <w:pPr>
        <w:jc w:val="center"/>
        <w:rPr>
          <w:sz w:val="22"/>
          <w:lang w:val="en-US"/>
        </w:rPr>
      </w:pPr>
    </w:p>
    <w:p w:rsidR="00071346" w:rsidRDefault="00071346" w:rsidP="0007134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1346" w:rsidRPr="00400648" w:rsidTr="00CD4AD6">
        <w:tc>
          <w:tcPr>
            <w:tcW w:w="9360" w:type="dxa"/>
            <w:gridSpan w:val="2"/>
          </w:tcPr>
          <w:p w:rsidR="00071346" w:rsidRPr="00036EE3" w:rsidRDefault="00071346" w:rsidP="00CD4AD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71346" w:rsidRPr="00036EE3"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sz w:val="18"/>
                  <w:szCs w:val="18"/>
                  <w:lang w:val="en-US"/>
                </w:rPr>
                <w:t>http://www.itu.int/publ/R-REC/en</w:t>
              </w:r>
            </w:hyperlink>
            <w:r w:rsidRPr="00CE0A43">
              <w:rPr>
                <w:b w:val="0"/>
                <w:sz w:val="18"/>
                <w:szCs w:val="18"/>
                <w:lang w:val="en-US"/>
              </w:rPr>
              <w:t>)</w:t>
            </w:r>
          </w:p>
        </w:tc>
      </w:tr>
      <w:tr w:rsidR="00071346" w:rsidRPr="00036EE3" w:rsidTr="00CD4AD6">
        <w:tc>
          <w:tcPr>
            <w:tcW w:w="1140" w:type="dxa"/>
          </w:tcPr>
          <w:p w:rsidR="00071346" w:rsidRPr="00036EE3" w:rsidRDefault="00071346" w:rsidP="00CD4AD6">
            <w:pPr>
              <w:spacing w:before="200" w:after="100"/>
              <w:ind w:left="57"/>
              <w:rPr>
                <w:b/>
                <w:bCs/>
                <w:sz w:val="20"/>
                <w:lang w:val="en-US"/>
              </w:rPr>
            </w:pPr>
            <w:r w:rsidRPr="00036EE3">
              <w:rPr>
                <w:b/>
                <w:bCs/>
                <w:sz w:val="20"/>
                <w:lang w:val="en-US"/>
              </w:rPr>
              <w:t>Series</w:t>
            </w:r>
          </w:p>
        </w:tc>
        <w:tc>
          <w:tcPr>
            <w:tcW w:w="8220" w:type="dxa"/>
          </w:tcPr>
          <w:p w:rsidR="00071346" w:rsidRPr="00036EE3"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71346" w:rsidRPr="00036EE3"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BO</w:t>
            </w:r>
          </w:p>
        </w:tc>
        <w:tc>
          <w:tcPr>
            <w:tcW w:w="8220" w:type="dxa"/>
          </w:tcPr>
          <w:p w:rsidR="00071346" w:rsidRPr="00036EE3"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71346" w:rsidRPr="00400648" w:rsidTr="00CD4AD6">
        <w:tc>
          <w:tcPr>
            <w:tcW w:w="1140" w:type="dxa"/>
            <w:tcBorders>
              <w:bottom w:val="nil"/>
            </w:tcBorders>
          </w:tcPr>
          <w:p w:rsidR="00071346" w:rsidRPr="00036EE3" w:rsidRDefault="00071346" w:rsidP="00CD4AD6">
            <w:pPr>
              <w:spacing w:before="30" w:after="30"/>
              <w:ind w:left="57"/>
              <w:jc w:val="left"/>
              <w:rPr>
                <w:b/>
                <w:bCs/>
                <w:sz w:val="20"/>
                <w:lang w:val="en-US"/>
              </w:rPr>
            </w:pPr>
            <w:r w:rsidRPr="00036EE3">
              <w:rPr>
                <w:b/>
                <w:bCs/>
                <w:sz w:val="20"/>
                <w:lang w:val="en-US"/>
              </w:rPr>
              <w:t>BR</w:t>
            </w:r>
          </w:p>
        </w:tc>
        <w:tc>
          <w:tcPr>
            <w:tcW w:w="8220" w:type="dxa"/>
            <w:tcBorders>
              <w:bottom w:val="nil"/>
            </w:tcBorders>
          </w:tcPr>
          <w:p w:rsidR="00071346" w:rsidRPr="00036EE3"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71346" w:rsidRPr="00036EE3" w:rsidTr="00CD4AD6">
        <w:tc>
          <w:tcPr>
            <w:tcW w:w="1140" w:type="dxa"/>
            <w:tcBorders>
              <w:top w:val="nil"/>
              <w:bottom w:val="nil"/>
            </w:tcBorders>
            <w:shd w:val="clear" w:color="auto" w:fill="auto"/>
          </w:tcPr>
          <w:p w:rsidR="00071346" w:rsidRPr="007D224F" w:rsidRDefault="00071346" w:rsidP="00CD4AD6">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71346" w:rsidRPr="007D224F"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71346" w:rsidRPr="00ED2695" w:rsidTr="00CD4AD6">
        <w:tc>
          <w:tcPr>
            <w:tcW w:w="1140" w:type="dxa"/>
            <w:tcBorders>
              <w:top w:val="nil"/>
              <w:bottom w:val="nil"/>
            </w:tcBorders>
            <w:shd w:val="clear" w:color="auto" w:fill="auto"/>
          </w:tcPr>
          <w:p w:rsidR="00071346" w:rsidRPr="00ED2695" w:rsidRDefault="00071346" w:rsidP="00CD4AD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71346" w:rsidRPr="00ED2695"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71346" w:rsidRPr="007D224F" w:rsidTr="00CD4AD6">
        <w:tc>
          <w:tcPr>
            <w:tcW w:w="1140" w:type="dxa"/>
            <w:tcBorders>
              <w:top w:val="nil"/>
              <w:bottom w:val="nil"/>
            </w:tcBorders>
            <w:shd w:val="clear" w:color="auto" w:fill="auto"/>
          </w:tcPr>
          <w:p w:rsidR="00071346" w:rsidRPr="0041667C" w:rsidRDefault="00071346" w:rsidP="00CD4AD6">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71346" w:rsidRPr="0041667C" w:rsidRDefault="00071346" w:rsidP="00CD4A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71346" w:rsidRPr="0041667C" w:rsidTr="00CD4AD6">
        <w:tc>
          <w:tcPr>
            <w:tcW w:w="1140" w:type="dxa"/>
            <w:tcBorders>
              <w:top w:val="nil"/>
              <w:bottom w:val="nil"/>
            </w:tcBorders>
            <w:shd w:val="clear" w:color="auto" w:fill="F3F3F3"/>
          </w:tcPr>
          <w:p w:rsidR="00071346" w:rsidRPr="0041667C" w:rsidRDefault="00071346" w:rsidP="00CD4AD6">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71346" w:rsidRPr="0041667C" w:rsidRDefault="00071346" w:rsidP="00CD4AD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71346" w:rsidRPr="00036EE3" w:rsidTr="00CD4AD6">
        <w:tc>
          <w:tcPr>
            <w:tcW w:w="1140" w:type="dxa"/>
            <w:tcBorders>
              <w:top w:val="nil"/>
            </w:tcBorders>
          </w:tcPr>
          <w:p w:rsidR="00071346" w:rsidRPr="00036EE3" w:rsidRDefault="00071346" w:rsidP="00CD4AD6">
            <w:pPr>
              <w:spacing w:before="30" w:after="30"/>
              <w:ind w:left="57"/>
              <w:jc w:val="left"/>
              <w:rPr>
                <w:b/>
                <w:bCs/>
                <w:sz w:val="20"/>
                <w:lang w:val="fr-CH"/>
              </w:rPr>
            </w:pPr>
            <w:r w:rsidRPr="00036EE3">
              <w:rPr>
                <w:b/>
                <w:bCs/>
                <w:sz w:val="20"/>
                <w:lang w:val="fr-CH"/>
              </w:rPr>
              <w:t>P</w:t>
            </w:r>
          </w:p>
        </w:tc>
        <w:tc>
          <w:tcPr>
            <w:tcW w:w="8220" w:type="dxa"/>
            <w:tcBorders>
              <w:top w:val="nil"/>
            </w:tcBorders>
          </w:tcPr>
          <w:p w:rsidR="00071346" w:rsidRPr="00036EE3" w:rsidRDefault="00071346" w:rsidP="00CD4AD6">
            <w:pPr>
              <w:spacing w:before="30" w:after="30"/>
              <w:jc w:val="left"/>
              <w:rPr>
                <w:sz w:val="20"/>
                <w:lang w:val="fr-CH"/>
              </w:rPr>
            </w:pPr>
            <w:r w:rsidRPr="00036EE3">
              <w:rPr>
                <w:sz w:val="20"/>
                <w:lang w:val="fr-CH"/>
              </w:rPr>
              <w:t>Radiowave propagation</w:t>
            </w:r>
          </w:p>
        </w:tc>
      </w:tr>
      <w:tr w:rsidR="00071346" w:rsidRPr="00036EE3"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RA</w:t>
            </w:r>
          </w:p>
        </w:tc>
        <w:tc>
          <w:tcPr>
            <w:tcW w:w="8220" w:type="dxa"/>
          </w:tcPr>
          <w:p w:rsidR="00071346" w:rsidRPr="00036EE3" w:rsidRDefault="00071346" w:rsidP="00CD4A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71346" w:rsidRPr="00036EE3"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RS</w:t>
            </w:r>
          </w:p>
        </w:tc>
        <w:tc>
          <w:tcPr>
            <w:tcW w:w="8220" w:type="dxa"/>
          </w:tcPr>
          <w:p w:rsidR="00071346" w:rsidRPr="00036EE3" w:rsidRDefault="00071346" w:rsidP="00CD4AD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71346" w:rsidRPr="00036EE3"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S</w:t>
            </w:r>
          </w:p>
        </w:tc>
        <w:tc>
          <w:tcPr>
            <w:tcW w:w="8220" w:type="dxa"/>
          </w:tcPr>
          <w:p w:rsidR="00071346" w:rsidRPr="00036EE3" w:rsidRDefault="00071346" w:rsidP="00CD4AD6">
            <w:pPr>
              <w:spacing w:before="30" w:after="30"/>
              <w:jc w:val="left"/>
              <w:rPr>
                <w:sz w:val="20"/>
                <w:lang w:val="en-US"/>
              </w:rPr>
            </w:pPr>
            <w:r w:rsidRPr="00036EE3">
              <w:rPr>
                <w:sz w:val="20"/>
                <w:lang w:val="en-US"/>
              </w:rPr>
              <w:t>Fixed-satellite service</w:t>
            </w:r>
          </w:p>
        </w:tc>
      </w:tr>
      <w:tr w:rsidR="00071346" w:rsidRPr="00036EE3"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SA</w:t>
            </w:r>
          </w:p>
        </w:tc>
        <w:tc>
          <w:tcPr>
            <w:tcW w:w="8220" w:type="dxa"/>
          </w:tcPr>
          <w:p w:rsidR="00071346" w:rsidRPr="00036EE3" w:rsidRDefault="00071346" w:rsidP="00CD4AD6">
            <w:pPr>
              <w:spacing w:before="30" w:after="30"/>
              <w:jc w:val="left"/>
              <w:rPr>
                <w:sz w:val="20"/>
                <w:lang w:val="en-US"/>
              </w:rPr>
            </w:pPr>
            <w:r w:rsidRPr="00036EE3">
              <w:rPr>
                <w:sz w:val="20"/>
                <w:lang w:val="en-US"/>
              </w:rPr>
              <w:t>Space applications and meteorology</w:t>
            </w:r>
          </w:p>
        </w:tc>
      </w:tr>
      <w:tr w:rsidR="00071346" w:rsidRPr="00400648" w:rsidTr="00CD4AD6">
        <w:tc>
          <w:tcPr>
            <w:tcW w:w="1140" w:type="dxa"/>
            <w:tcBorders>
              <w:bottom w:val="nil"/>
            </w:tcBorders>
          </w:tcPr>
          <w:p w:rsidR="00071346" w:rsidRPr="00036EE3" w:rsidRDefault="00071346" w:rsidP="00CD4AD6">
            <w:pPr>
              <w:spacing w:before="30" w:after="30"/>
              <w:ind w:left="57"/>
              <w:jc w:val="left"/>
              <w:rPr>
                <w:b/>
                <w:bCs/>
                <w:sz w:val="20"/>
                <w:lang w:val="en-US"/>
              </w:rPr>
            </w:pPr>
            <w:r w:rsidRPr="00036EE3">
              <w:rPr>
                <w:b/>
                <w:bCs/>
                <w:sz w:val="20"/>
                <w:lang w:val="en-US"/>
              </w:rPr>
              <w:t>SF</w:t>
            </w:r>
          </w:p>
        </w:tc>
        <w:tc>
          <w:tcPr>
            <w:tcW w:w="8220" w:type="dxa"/>
            <w:tcBorders>
              <w:bottom w:val="nil"/>
            </w:tcBorders>
          </w:tcPr>
          <w:p w:rsidR="00071346" w:rsidRPr="00036EE3" w:rsidRDefault="00071346" w:rsidP="00CD4AD6">
            <w:pPr>
              <w:spacing w:before="30" w:after="30"/>
              <w:jc w:val="left"/>
              <w:rPr>
                <w:sz w:val="20"/>
                <w:lang w:val="en-US"/>
              </w:rPr>
            </w:pPr>
            <w:r w:rsidRPr="00036EE3">
              <w:rPr>
                <w:sz w:val="20"/>
                <w:lang w:val="en-US"/>
              </w:rPr>
              <w:t>Frequency sharing and coordination between fixed-satellite and fixed service systems</w:t>
            </w:r>
          </w:p>
        </w:tc>
      </w:tr>
      <w:tr w:rsidR="00071346" w:rsidRPr="00036EE3" w:rsidTr="00CD4AD6">
        <w:tc>
          <w:tcPr>
            <w:tcW w:w="1140" w:type="dxa"/>
            <w:tcBorders>
              <w:top w:val="nil"/>
              <w:bottom w:val="nil"/>
            </w:tcBorders>
            <w:shd w:val="clear" w:color="auto" w:fill="auto"/>
          </w:tcPr>
          <w:p w:rsidR="00071346" w:rsidRPr="000A4386" w:rsidRDefault="00071346" w:rsidP="00CD4AD6">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71346" w:rsidRPr="000A4386" w:rsidRDefault="00071346" w:rsidP="00CD4AD6">
            <w:pPr>
              <w:spacing w:before="30" w:after="30"/>
              <w:jc w:val="left"/>
              <w:rPr>
                <w:sz w:val="20"/>
                <w:lang w:val="en-US"/>
              </w:rPr>
            </w:pPr>
            <w:r w:rsidRPr="000A4386">
              <w:rPr>
                <w:sz w:val="20"/>
                <w:lang w:val="en-US"/>
              </w:rPr>
              <w:t>Spectrum management</w:t>
            </w:r>
          </w:p>
        </w:tc>
      </w:tr>
      <w:tr w:rsidR="00071346" w:rsidRPr="00036EE3" w:rsidTr="00CD4AD6">
        <w:tc>
          <w:tcPr>
            <w:tcW w:w="1140" w:type="dxa"/>
            <w:tcBorders>
              <w:top w:val="nil"/>
            </w:tcBorders>
          </w:tcPr>
          <w:p w:rsidR="00071346" w:rsidRPr="00036EE3" w:rsidRDefault="00071346" w:rsidP="00CD4AD6">
            <w:pPr>
              <w:spacing w:before="30" w:after="30"/>
              <w:ind w:left="57"/>
              <w:jc w:val="left"/>
              <w:rPr>
                <w:b/>
                <w:bCs/>
                <w:sz w:val="20"/>
                <w:lang w:val="en-US"/>
              </w:rPr>
            </w:pPr>
            <w:r w:rsidRPr="00036EE3">
              <w:rPr>
                <w:b/>
                <w:bCs/>
                <w:sz w:val="20"/>
                <w:lang w:val="en-US"/>
              </w:rPr>
              <w:t>SNG</w:t>
            </w:r>
          </w:p>
        </w:tc>
        <w:tc>
          <w:tcPr>
            <w:tcW w:w="8220" w:type="dxa"/>
            <w:tcBorders>
              <w:top w:val="nil"/>
            </w:tcBorders>
          </w:tcPr>
          <w:p w:rsidR="00071346" w:rsidRPr="00036EE3" w:rsidRDefault="00071346" w:rsidP="00CD4AD6">
            <w:pPr>
              <w:spacing w:before="30" w:after="30"/>
              <w:jc w:val="left"/>
              <w:rPr>
                <w:sz w:val="20"/>
                <w:lang w:val="en-US"/>
              </w:rPr>
            </w:pPr>
            <w:r w:rsidRPr="00036EE3">
              <w:rPr>
                <w:sz w:val="20"/>
                <w:lang w:val="en-US"/>
              </w:rPr>
              <w:t>Satellite news gathering</w:t>
            </w:r>
          </w:p>
        </w:tc>
      </w:tr>
      <w:tr w:rsidR="00071346" w:rsidRPr="00400648"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TF</w:t>
            </w:r>
          </w:p>
        </w:tc>
        <w:tc>
          <w:tcPr>
            <w:tcW w:w="8220" w:type="dxa"/>
          </w:tcPr>
          <w:p w:rsidR="00071346" w:rsidRPr="00036EE3" w:rsidRDefault="00071346" w:rsidP="00CD4AD6">
            <w:pPr>
              <w:spacing w:before="30" w:after="30"/>
              <w:jc w:val="left"/>
              <w:rPr>
                <w:sz w:val="20"/>
                <w:lang w:val="en-US"/>
              </w:rPr>
            </w:pPr>
            <w:r w:rsidRPr="00036EE3">
              <w:rPr>
                <w:sz w:val="20"/>
                <w:lang w:val="en-US"/>
              </w:rPr>
              <w:t>Time signals and frequency standards emissions</w:t>
            </w:r>
          </w:p>
        </w:tc>
      </w:tr>
      <w:tr w:rsidR="00071346" w:rsidRPr="00036EE3" w:rsidTr="00CD4AD6">
        <w:tc>
          <w:tcPr>
            <w:tcW w:w="1140" w:type="dxa"/>
          </w:tcPr>
          <w:p w:rsidR="00071346" w:rsidRPr="00036EE3" w:rsidRDefault="00071346" w:rsidP="00CD4AD6">
            <w:pPr>
              <w:spacing w:before="30" w:after="30"/>
              <w:ind w:left="57"/>
              <w:jc w:val="left"/>
              <w:rPr>
                <w:b/>
                <w:bCs/>
                <w:sz w:val="20"/>
                <w:lang w:val="en-US"/>
              </w:rPr>
            </w:pPr>
            <w:r w:rsidRPr="00036EE3">
              <w:rPr>
                <w:b/>
                <w:bCs/>
                <w:sz w:val="20"/>
                <w:lang w:val="en-US"/>
              </w:rPr>
              <w:t>V</w:t>
            </w:r>
          </w:p>
        </w:tc>
        <w:tc>
          <w:tcPr>
            <w:tcW w:w="8220" w:type="dxa"/>
          </w:tcPr>
          <w:p w:rsidR="00071346" w:rsidRPr="00036EE3" w:rsidRDefault="00071346" w:rsidP="00CD4AD6">
            <w:pPr>
              <w:spacing w:before="30" w:after="180"/>
              <w:jc w:val="left"/>
              <w:rPr>
                <w:sz w:val="20"/>
                <w:lang w:val="en-US"/>
              </w:rPr>
            </w:pPr>
            <w:r w:rsidRPr="00036EE3">
              <w:rPr>
                <w:sz w:val="20"/>
                <w:lang w:val="en-US"/>
              </w:rPr>
              <w:t>Vocabulary and related subjects</w:t>
            </w:r>
          </w:p>
        </w:tc>
      </w:tr>
    </w:tbl>
    <w:p w:rsidR="00071346" w:rsidRPr="00036EE3" w:rsidRDefault="00071346" w:rsidP="0007134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71346" w:rsidTr="00CD4AD6">
        <w:tc>
          <w:tcPr>
            <w:tcW w:w="720" w:type="dxa"/>
          </w:tcPr>
          <w:p w:rsidR="00071346" w:rsidRDefault="00071346" w:rsidP="00CD4AD6">
            <w:pPr>
              <w:jc w:val="center"/>
              <w:rPr>
                <w:sz w:val="22"/>
                <w:lang w:val="en-US"/>
              </w:rPr>
            </w:pPr>
          </w:p>
        </w:tc>
      </w:tr>
    </w:tbl>
    <w:p w:rsidR="00071346" w:rsidRPr="00036EE3" w:rsidRDefault="00071346" w:rsidP="0007134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1346" w:rsidRPr="00400648" w:rsidTr="00CD4AD6">
        <w:tc>
          <w:tcPr>
            <w:tcW w:w="9360" w:type="dxa"/>
          </w:tcPr>
          <w:p w:rsidR="00071346" w:rsidRPr="002F5199" w:rsidRDefault="00071346" w:rsidP="00CD4AD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71346" w:rsidRDefault="00071346" w:rsidP="00071346">
      <w:pPr>
        <w:spacing w:before="0"/>
        <w:jc w:val="center"/>
        <w:rPr>
          <w:sz w:val="22"/>
          <w:lang w:val="en-US"/>
        </w:rPr>
      </w:pPr>
    </w:p>
    <w:p w:rsidR="00071346" w:rsidRDefault="00071346" w:rsidP="00071346">
      <w:pPr>
        <w:spacing w:before="0"/>
        <w:jc w:val="center"/>
        <w:rPr>
          <w:sz w:val="22"/>
          <w:lang w:val="en-US"/>
        </w:rPr>
      </w:pPr>
    </w:p>
    <w:p w:rsidR="00071346" w:rsidRPr="002F5199" w:rsidRDefault="00071346" w:rsidP="00071346">
      <w:pPr>
        <w:spacing w:before="0"/>
        <w:jc w:val="right"/>
        <w:rPr>
          <w:i/>
          <w:iCs/>
          <w:sz w:val="20"/>
          <w:lang w:val="en-US"/>
        </w:rPr>
      </w:pPr>
      <w:r w:rsidRPr="002F5199">
        <w:rPr>
          <w:i/>
          <w:iCs/>
          <w:sz w:val="20"/>
          <w:lang w:val="en-US"/>
        </w:rPr>
        <w:t>Electronic Publication</w:t>
      </w:r>
    </w:p>
    <w:p w:rsidR="00071346" w:rsidRPr="002F5199" w:rsidRDefault="00071346" w:rsidP="0007134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071346" w:rsidRDefault="00071346" w:rsidP="00071346">
      <w:pPr>
        <w:jc w:val="center"/>
        <w:rPr>
          <w:sz w:val="22"/>
          <w:lang w:val="en-US"/>
        </w:rPr>
      </w:pPr>
    </w:p>
    <w:p w:rsidR="00071346" w:rsidRPr="00470E28" w:rsidRDefault="00071346" w:rsidP="0007134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071346" w:rsidRPr="00470E28" w:rsidRDefault="00071346" w:rsidP="0007134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71346" w:rsidRDefault="00071346" w:rsidP="00071346">
      <w:pPr>
        <w:spacing w:before="160"/>
        <w:rPr>
          <w:i/>
          <w:sz w:val="20"/>
          <w:lang w:val="en-US"/>
        </w:rPr>
        <w:sectPr w:rsidR="0007134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71346" w:rsidRPr="00052F66" w:rsidRDefault="00071346" w:rsidP="0007134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2030</w:t>
      </w:r>
    </w:p>
    <w:p w:rsidR="00A6617B" w:rsidRDefault="00071346" w:rsidP="00071346">
      <w:pPr>
        <w:pStyle w:val="Rectitle"/>
        <w:rPr>
          <w:lang w:val="en-US"/>
        </w:rPr>
      </w:pPr>
      <w:r w:rsidRPr="00071346">
        <w:rPr>
          <w:lang w:val="en-US"/>
        </w:rPr>
        <w:t xml:space="preserve">Evaluation method for pulsed interference from relevant radio sources other than in the radionavigation-satellite service to the radionavigation-satellite </w:t>
      </w:r>
      <w:r w:rsidRPr="00071346">
        <w:rPr>
          <w:lang w:val="en-US"/>
        </w:rPr>
        <w:br/>
        <w:t>service systems and networks operating in the 1 164-1 215 MHz,</w:t>
      </w:r>
      <w:r w:rsidRPr="00071346">
        <w:rPr>
          <w:lang w:val="en-US"/>
        </w:rPr>
        <w:br/>
        <w:t>1 215-1 300 MHz and 1 559-1 610 MHz frequency bands</w:t>
      </w:r>
    </w:p>
    <w:p w:rsidR="00B11C88" w:rsidRPr="00071346" w:rsidRDefault="00B11C88" w:rsidP="00B11C88">
      <w:pPr>
        <w:pStyle w:val="Recref"/>
        <w:spacing w:before="240"/>
        <w:rPr>
          <w:lang w:val="en-US"/>
        </w:rPr>
      </w:pPr>
      <w:r w:rsidRPr="00071346">
        <w:rPr>
          <w:snapToGrid w:val="0"/>
          <w:lang w:val="en-US"/>
        </w:rPr>
        <w:t>(Questions ITU-R 217-2/4 and ITU-R 288/4)</w:t>
      </w:r>
    </w:p>
    <w:p w:rsidR="00B11C88" w:rsidRPr="00B11C88" w:rsidRDefault="00B11C88" w:rsidP="00B11C88">
      <w:pPr>
        <w:pStyle w:val="Recdate"/>
        <w:rPr>
          <w:lang w:val="en-US"/>
        </w:rPr>
      </w:pPr>
      <w:r>
        <w:rPr>
          <w:lang w:val="en-US"/>
        </w:rPr>
        <w:t>(2012)</w:t>
      </w:r>
    </w:p>
    <w:p w:rsidR="00071346" w:rsidRPr="0090605E" w:rsidRDefault="00071346" w:rsidP="00B11C88">
      <w:pPr>
        <w:pStyle w:val="HeadingSum"/>
        <w:rPr>
          <w:lang w:val="en-US"/>
        </w:rPr>
      </w:pPr>
      <w:r w:rsidRPr="0090605E">
        <w:rPr>
          <w:lang w:val="en-US"/>
        </w:rPr>
        <w:t>Scope</w:t>
      </w:r>
    </w:p>
    <w:p w:rsidR="00071346" w:rsidRPr="0030360A" w:rsidRDefault="00071346" w:rsidP="0030360A">
      <w:pPr>
        <w:pStyle w:val="Summary"/>
        <w:rPr>
          <w:lang w:val="en-US"/>
        </w:rPr>
      </w:pPr>
      <w:r w:rsidRPr="0090605E">
        <w:rPr>
          <w:lang w:val="en-US"/>
        </w:rPr>
        <w:t>This Recommendation provides a method for use in</w:t>
      </w:r>
      <w:r w:rsidRPr="00D04753">
        <w:rPr>
          <w:lang w:val="en-GB"/>
        </w:rPr>
        <w:t xml:space="preserve"> the</w:t>
      </w:r>
      <w:r w:rsidRPr="0090605E">
        <w:rPr>
          <w:lang w:val="en-US"/>
        </w:rPr>
        <w:t xml:space="preserve"> initial evaluation of the potential for relevant</w:t>
      </w:r>
      <w:r w:rsidRPr="00E23130">
        <w:rPr>
          <w:rStyle w:val="FootnoteReference"/>
          <w:szCs w:val="18"/>
        </w:rPr>
        <w:footnoteReference w:id="1"/>
      </w:r>
      <w:r w:rsidRPr="0090605E">
        <w:rPr>
          <w:sz w:val="20"/>
          <w:lang w:val="en-US"/>
        </w:rPr>
        <w:t xml:space="preserve"> </w:t>
      </w:r>
      <w:r w:rsidRPr="0090605E">
        <w:rPr>
          <w:lang w:val="en-US"/>
        </w:rPr>
        <w:t>radio sources other than in the radionavigation-satellite service (RNSS) to cause pulsed interference</w:t>
      </w:r>
      <w:r w:rsidRPr="00E23130">
        <w:rPr>
          <w:rStyle w:val="FootnoteReference"/>
          <w:szCs w:val="18"/>
        </w:rPr>
        <w:footnoteReference w:id="2"/>
      </w:r>
      <w:r w:rsidRPr="0090605E">
        <w:rPr>
          <w:sz w:val="20"/>
          <w:lang w:val="en-US"/>
        </w:rPr>
        <w:t xml:space="preserve"> </w:t>
      </w:r>
      <w:r w:rsidRPr="0090605E">
        <w:rPr>
          <w:lang w:val="en-US"/>
        </w:rPr>
        <w:t>to a radionavigation</w:t>
      </w:r>
      <w:r w:rsidRPr="0090605E">
        <w:rPr>
          <w:lang w:val="en-US"/>
        </w:rPr>
        <w:noBreakHyphen/>
        <w:t>satellite system or network operating in the 1 164-1 215 MHz, 1 215-1 300 MHz, and 1 </w:t>
      </w:r>
      <w:r w:rsidR="0030360A" w:rsidRPr="0090605E">
        <w:rPr>
          <w:lang w:val="en-US"/>
        </w:rPr>
        <w:t>559</w:t>
      </w:r>
      <w:r w:rsidR="0030360A" w:rsidRPr="0090605E">
        <w:rPr>
          <w:lang w:val="en-US"/>
        </w:rPr>
        <w:noBreakHyphen/>
        <w:t xml:space="preserve">1 610 MHz frequency bands. </w:t>
      </w:r>
      <w:r w:rsidRPr="0030360A">
        <w:rPr>
          <w:lang w:val="en-US"/>
        </w:rPr>
        <w:t>The evaluation method components are a set of equations and a table of recommended parameters and allowable degradation ratios</w:t>
      </w:r>
      <w:r w:rsidRPr="00E23130">
        <w:rPr>
          <w:rStyle w:val="FootnoteReference"/>
          <w:szCs w:val="18"/>
        </w:rPr>
        <w:footnoteReference w:id="3"/>
      </w:r>
      <w:r w:rsidRPr="0030360A">
        <w:rPr>
          <w:lang w:val="en-US"/>
        </w:rPr>
        <w:t xml:space="preserve"> for each frequency band and RNSS receiver type. Although the evaluation method equations are applicable to RNSS receivers in the 1 559</w:t>
      </w:r>
      <w:r w:rsidR="0030360A">
        <w:rPr>
          <w:lang w:val="en-US"/>
        </w:rPr>
        <w:noBreakHyphen/>
      </w:r>
      <w:r w:rsidRPr="0030360A">
        <w:rPr>
          <w:lang w:val="en-US"/>
        </w:rPr>
        <w:t>1 610</w:t>
      </w:r>
      <w:r w:rsidR="0030360A">
        <w:rPr>
          <w:lang w:val="en-US"/>
        </w:rPr>
        <w:t> </w:t>
      </w:r>
      <w:r w:rsidRPr="0030360A">
        <w:rPr>
          <w:lang w:val="en-US"/>
        </w:rPr>
        <w:t>MHz band, further</w:t>
      </w:r>
      <w:r w:rsidR="0030360A">
        <w:rPr>
          <w:lang w:val="en-US"/>
        </w:rPr>
        <w:t xml:space="preserve"> </w:t>
      </w:r>
      <w:r w:rsidRPr="0030360A">
        <w:rPr>
          <w:lang w:val="en-US"/>
        </w:rPr>
        <w:t>studies would be needed to determine the necessary table of recommended method parameters and allowable degradation ratios for that frequency band before the evaluation method is completely defined for the 1 559</w:t>
      </w:r>
      <w:r w:rsidRPr="0030360A">
        <w:rPr>
          <w:lang w:val="en-US"/>
        </w:rPr>
        <w:noBreakHyphen/>
        <w:t>1 610 MHz band.</w:t>
      </w:r>
    </w:p>
    <w:p w:rsidR="00071346" w:rsidRPr="00071346" w:rsidRDefault="00071346" w:rsidP="00071346">
      <w:pPr>
        <w:pStyle w:val="Normalaftertitle"/>
        <w:rPr>
          <w:lang w:val="en-US"/>
        </w:rPr>
      </w:pPr>
      <w:r w:rsidRPr="00071346">
        <w:rPr>
          <w:lang w:val="en-US"/>
        </w:rPr>
        <w:t>The ITU Radiocommunication Assembly,</w:t>
      </w:r>
    </w:p>
    <w:p w:rsidR="00071346" w:rsidRPr="00071346" w:rsidRDefault="00071346" w:rsidP="00071346">
      <w:pPr>
        <w:pStyle w:val="Call"/>
        <w:rPr>
          <w:lang w:val="en-US"/>
        </w:rPr>
      </w:pPr>
      <w:r w:rsidRPr="00071346">
        <w:rPr>
          <w:lang w:val="en-US"/>
        </w:rPr>
        <w:t>considering</w:t>
      </w:r>
    </w:p>
    <w:p w:rsidR="00071346" w:rsidRPr="00071346" w:rsidRDefault="00071346" w:rsidP="0030360A">
      <w:pPr>
        <w:rPr>
          <w:lang w:val="en-US"/>
        </w:rPr>
      </w:pPr>
      <w:r w:rsidRPr="0030360A">
        <w:rPr>
          <w:lang w:val="en-US"/>
        </w:rPr>
        <w:t>a)</w:t>
      </w:r>
      <w:r w:rsidRPr="00071346">
        <w:rPr>
          <w:lang w:val="en-US"/>
        </w:rPr>
        <w:tab/>
        <w:t>that systems and networks in the radionavigation-satellite service (RNSS) provide worldwide accurate information for many positioning, navigation and timing applications, including safety aspects for some frequency bands and under certain circumstances and applications;</w:t>
      </w:r>
    </w:p>
    <w:p w:rsidR="00071346" w:rsidRPr="00071346" w:rsidRDefault="00071346" w:rsidP="00EC673B">
      <w:pPr>
        <w:rPr>
          <w:lang w:val="en-US"/>
        </w:rPr>
      </w:pPr>
      <w:r w:rsidRPr="00EC673B">
        <w:rPr>
          <w:lang w:val="en-US"/>
        </w:rPr>
        <w:t>b)</w:t>
      </w:r>
      <w:r w:rsidRPr="00071346">
        <w:rPr>
          <w:lang w:val="en-US"/>
        </w:rPr>
        <w:tab/>
        <w:t>that radio transmitters generally emit a level of out-of-band emissions dependent on the conditions of their use;</w:t>
      </w:r>
    </w:p>
    <w:p w:rsidR="00071346" w:rsidRPr="00071346" w:rsidRDefault="00071346" w:rsidP="00EC673B">
      <w:pPr>
        <w:rPr>
          <w:lang w:val="en-US"/>
        </w:rPr>
      </w:pPr>
      <w:r w:rsidRPr="00EC673B">
        <w:rPr>
          <w:lang w:val="en-US"/>
        </w:rPr>
        <w:t>c)</w:t>
      </w:r>
      <w:r w:rsidRPr="00071346">
        <w:rPr>
          <w:lang w:val="en-US"/>
        </w:rPr>
        <w:tab/>
        <w:t xml:space="preserve">that while Radio Regulations (RR) Appendix </w:t>
      </w:r>
      <w:r w:rsidRPr="00EC673B">
        <w:rPr>
          <w:lang w:val="en-US"/>
        </w:rPr>
        <w:t>3</w:t>
      </w:r>
      <w:r w:rsidRPr="00071346">
        <w:rPr>
          <w:lang w:val="en-US"/>
        </w:rPr>
        <w:t xml:space="preserve"> specifies the maximum permitted spurious emission power levels, it also notes that in some cases, these levels may not provide adequate protection for receiving stations in space services and more stringent levels might be considered in each individual case in the light of the geographical position of the stations concerned, and that these levels may not be applicable to systems using digital modulation techniques;</w:t>
      </w:r>
    </w:p>
    <w:p w:rsidR="00071346" w:rsidRPr="00071346" w:rsidRDefault="00071346" w:rsidP="00071346">
      <w:pPr>
        <w:ind w:right="9"/>
        <w:rPr>
          <w:lang w:val="en-US"/>
        </w:rPr>
      </w:pPr>
      <w:r w:rsidRPr="00EC673B">
        <w:rPr>
          <w:lang w:val="en-US"/>
        </w:rPr>
        <w:t>d)</w:t>
      </w:r>
      <w:r w:rsidRPr="00071346">
        <w:rPr>
          <w:lang w:val="en-US"/>
        </w:rPr>
        <w:tab/>
        <w:t>that the bands 1 164-1 215 MHz, 1 215-1 300 MHz, 1 559-1 610 MHz and 5 010</w:t>
      </w:r>
      <w:r w:rsidRPr="00071346">
        <w:rPr>
          <w:lang w:val="en-US"/>
        </w:rPr>
        <w:noBreakHyphen/>
        <w:t>5 030 MHz are also allocated on a primary or secondary basis to other services besides RNSS;</w:t>
      </w:r>
    </w:p>
    <w:p w:rsidR="00071346" w:rsidRPr="00071346" w:rsidRDefault="00071346" w:rsidP="00EC673B">
      <w:pPr>
        <w:rPr>
          <w:lang w:val="en-US"/>
        </w:rPr>
      </w:pPr>
      <w:r w:rsidRPr="00EC673B">
        <w:rPr>
          <w:lang w:val="en-US"/>
        </w:rPr>
        <w:t>e)</w:t>
      </w:r>
      <w:r w:rsidRPr="00071346">
        <w:rPr>
          <w:lang w:val="en-US"/>
        </w:rPr>
        <w:tab/>
        <w:t>that emissions from other RNSS systems and networks, and from other services and sources in the bands allocated for RNSS, as well as unwanted emissions, may cause interference to an RNSS system’s or RNSS network’s receivers and should be included in an interference evaluation;</w:t>
      </w:r>
    </w:p>
    <w:p w:rsidR="00071346" w:rsidRPr="00071346" w:rsidRDefault="00071346" w:rsidP="00071346">
      <w:pPr>
        <w:pStyle w:val="Call"/>
        <w:ind w:left="0"/>
        <w:rPr>
          <w:i w:val="0"/>
          <w:lang w:val="en-US"/>
        </w:rPr>
      </w:pPr>
      <w:r w:rsidRPr="00EC673B">
        <w:rPr>
          <w:i w:val="0"/>
          <w:lang w:val="en-US"/>
        </w:rPr>
        <w:lastRenderedPageBreak/>
        <w:t>f)</w:t>
      </w:r>
      <w:r w:rsidRPr="00071346">
        <w:rPr>
          <w:i w:val="0"/>
          <w:lang w:val="en-US"/>
        </w:rPr>
        <w:tab/>
        <w:t>that further work is needed to adequately characterize the interference effects on RNSS receivers from emissions of pulsed RF sources operating in and near the bands 1 559-1 610 MHz and 5 010-5 030 MHz,</w:t>
      </w:r>
    </w:p>
    <w:p w:rsidR="00071346" w:rsidRPr="00071346" w:rsidRDefault="00071346" w:rsidP="00071346">
      <w:pPr>
        <w:pStyle w:val="Call"/>
        <w:rPr>
          <w:lang w:val="en-US"/>
        </w:rPr>
      </w:pPr>
      <w:r w:rsidRPr="00071346">
        <w:rPr>
          <w:lang w:val="en-US"/>
        </w:rPr>
        <w:t>noting</w:t>
      </w:r>
    </w:p>
    <w:p w:rsidR="00071346" w:rsidRPr="00071346" w:rsidRDefault="00071346" w:rsidP="00071346">
      <w:pPr>
        <w:rPr>
          <w:lang w:val="en-US"/>
        </w:rPr>
      </w:pPr>
      <w:r w:rsidRPr="00D46BCE">
        <w:rPr>
          <w:lang w:val="en-US"/>
        </w:rPr>
        <w:t>a)</w:t>
      </w:r>
      <w:r w:rsidRPr="00071346">
        <w:rPr>
          <w:lang w:val="en-US"/>
        </w:rPr>
        <w:tab/>
        <w:t>that several ITU-R Recommendations provide technical data and protection criteria for RNSS system and network operations;</w:t>
      </w:r>
    </w:p>
    <w:p w:rsidR="00071346" w:rsidRPr="00071346" w:rsidRDefault="00071346" w:rsidP="00071346">
      <w:pPr>
        <w:ind w:right="9"/>
        <w:rPr>
          <w:lang w:val="en-US" w:eastAsia="ja-JP"/>
        </w:rPr>
      </w:pPr>
      <w:r w:rsidRPr="00D46BCE">
        <w:rPr>
          <w:lang w:val="en-US"/>
        </w:rPr>
        <w:t>b)</w:t>
      </w:r>
      <w:r w:rsidRPr="00071346">
        <w:rPr>
          <w:lang w:val="en-US"/>
        </w:rPr>
        <w:tab/>
      </w:r>
      <w:r w:rsidRPr="00071346">
        <w:rPr>
          <w:lang w:val="en-US" w:eastAsia="ja-JP"/>
        </w:rPr>
        <w:t>that Recommendation ITU-R RS.1347 also provides a pulsed interference evaluation methodology for interference to an RNSS receiver from synthetic aperture radars and measurement test results in the band 1 215-1 300 MHz;</w:t>
      </w:r>
    </w:p>
    <w:p w:rsidR="00071346" w:rsidRPr="00071346" w:rsidRDefault="00071346" w:rsidP="00071346">
      <w:pPr>
        <w:ind w:right="9"/>
        <w:rPr>
          <w:lang w:val="en-US" w:eastAsia="ja-JP"/>
        </w:rPr>
      </w:pPr>
      <w:r w:rsidRPr="00D46BCE">
        <w:rPr>
          <w:lang w:val="en-US" w:eastAsia="ja-JP"/>
        </w:rPr>
        <w:t>c)</w:t>
      </w:r>
      <w:r w:rsidRPr="00071346">
        <w:rPr>
          <w:lang w:val="en-US" w:eastAsia="ja-JP"/>
        </w:rPr>
        <w:tab/>
        <w:t>that Report ITU-R M.2220 provides a method to calculate certain parameters used by this Recommendation along with supporting material and examples,</w:t>
      </w:r>
    </w:p>
    <w:p w:rsidR="00071346" w:rsidRPr="00071346" w:rsidRDefault="00071346" w:rsidP="00071346">
      <w:pPr>
        <w:pStyle w:val="Call"/>
        <w:rPr>
          <w:lang w:val="en-US"/>
        </w:rPr>
      </w:pPr>
      <w:r w:rsidRPr="00071346">
        <w:rPr>
          <w:lang w:val="en-US"/>
        </w:rPr>
        <w:t>recognizing</w:t>
      </w:r>
    </w:p>
    <w:p w:rsidR="00071346" w:rsidRPr="00071346" w:rsidRDefault="00071346" w:rsidP="00D46BCE">
      <w:pPr>
        <w:rPr>
          <w:lang w:val="en-US"/>
        </w:rPr>
      </w:pPr>
      <w:r w:rsidRPr="00071346">
        <w:rPr>
          <w:lang w:val="en-US"/>
        </w:rPr>
        <w:t xml:space="preserve">that RR No. </w:t>
      </w:r>
      <w:r w:rsidRPr="00D46BCE">
        <w:rPr>
          <w:lang w:val="en-US"/>
        </w:rPr>
        <w:t>4.5</w:t>
      </w:r>
      <w:r w:rsidRPr="00071346">
        <w:rPr>
          <w:lang w:val="en-US"/>
        </w:rPr>
        <w:t xml:space="preserve"> states “the frequency assigned to a station of a given service shall be separated from the limits of the band allocated to this service in such a way that, taking account of the frequency band assigned to a station, no harmful interference is caused to services to which frequency bands immediately adjoining are allocated”,</w:t>
      </w:r>
    </w:p>
    <w:p w:rsidR="00071346" w:rsidRPr="00071346" w:rsidRDefault="00071346" w:rsidP="00071346">
      <w:pPr>
        <w:pStyle w:val="Call"/>
        <w:rPr>
          <w:lang w:val="en-US"/>
        </w:rPr>
      </w:pPr>
      <w:r w:rsidRPr="00071346">
        <w:rPr>
          <w:lang w:val="en-US"/>
        </w:rPr>
        <w:t>recommends</w:t>
      </w:r>
    </w:p>
    <w:p w:rsidR="00071346" w:rsidRPr="00071346" w:rsidRDefault="00071346" w:rsidP="00D46BCE">
      <w:pPr>
        <w:rPr>
          <w:lang w:val="en-US"/>
        </w:rPr>
      </w:pPr>
      <w:r w:rsidRPr="004F4738">
        <w:rPr>
          <w:b/>
          <w:lang w:val="en-US"/>
        </w:rPr>
        <w:t>1</w:t>
      </w:r>
      <w:r w:rsidRPr="00071346">
        <w:rPr>
          <w:lang w:val="en-US"/>
        </w:rPr>
        <w:tab/>
        <w:t>that the analytic method in Annex 1 to this Recommendation should be used for the preliminary evaluation of the potential for pulsed interference from relevant radio sources other than in the RNSS to an RNSS system or network operating in the bands 1 164-1 215 MHz or 1 215</w:t>
      </w:r>
      <w:r w:rsidRPr="00071346">
        <w:rPr>
          <w:lang w:val="en-US"/>
        </w:rPr>
        <w:noBreakHyphen/>
        <w:t>1 300 MHz;</w:t>
      </w:r>
    </w:p>
    <w:p w:rsidR="00071346" w:rsidRPr="00071346" w:rsidRDefault="00071346" w:rsidP="00D46BCE">
      <w:pPr>
        <w:rPr>
          <w:lang w:val="en-US"/>
        </w:rPr>
      </w:pPr>
      <w:r w:rsidRPr="004F4738">
        <w:rPr>
          <w:b/>
          <w:bCs/>
          <w:lang w:val="en-US"/>
        </w:rPr>
        <w:t>2</w:t>
      </w:r>
      <w:r w:rsidRPr="00071346">
        <w:rPr>
          <w:lang w:val="en-US"/>
        </w:rPr>
        <w:tab/>
        <w:t>that if the application of this method indicates that there is potential for pulsed interference that would impair the ability of RNSS systems or networks to function, then a more detailed analysis should be performed;</w:t>
      </w:r>
    </w:p>
    <w:p w:rsidR="00071346" w:rsidRPr="00071346" w:rsidRDefault="00071346" w:rsidP="00D46BCE">
      <w:pPr>
        <w:rPr>
          <w:lang w:val="en-US"/>
        </w:rPr>
      </w:pPr>
      <w:r w:rsidRPr="004F4738">
        <w:rPr>
          <w:b/>
          <w:lang w:val="en-US"/>
        </w:rPr>
        <w:t>3</w:t>
      </w:r>
      <w:r w:rsidRPr="00071346">
        <w:rPr>
          <w:lang w:val="en-US"/>
        </w:rPr>
        <w:tab/>
        <w:t>that studies should be performed to develop the parameters to be included in the analytic method for the preliminary evaluation of the potential for pulsed interference from relevant radio sources other than in the RNSS to an RNSS system or network operating in the frequency band 1 559-1 610 MHz (see Note).</w:t>
      </w:r>
    </w:p>
    <w:p w:rsidR="00071346" w:rsidRPr="00071346" w:rsidRDefault="00071346" w:rsidP="00071346">
      <w:pPr>
        <w:rPr>
          <w:lang w:val="en-US"/>
        </w:rPr>
      </w:pPr>
      <w:r w:rsidRPr="00071346">
        <w:rPr>
          <w:lang w:val="en-US"/>
        </w:rPr>
        <w:t>NOTE – The analytic method equations in Annex 1 are applicable to the 1 559-1 610 MHz band.</w:t>
      </w:r>
    </w:p>
    <w:p w:rsidR="00071346" w:rsidRPr="00071346" w:rsidRDefault="00071346" w:rsidP="00071346">
      <w:pPr>
        <w:overflowPunct/>
        <w:autoSpaceDE/>
        <w:autoSpaceDN/>
        <w:adjustRightInd/>
        <w:spacing w:before="0"/>
        <w:textAlignment w:val="auto"/>
        <w:rPr>
          <w:lang w:val="en-US"/>
        </w:rPr>
      </w:pPr>
      <w:r w:rsidRPr="00071346">
        <w:rPr>
          <w:lang w:val="en-US"/>
        </w:rPr>
        <w:br w:type="page"/>
      </w:r>
    </w:p>
    <w:p w:rsidR="00071346" w:rsidRPr="00D46BCE" w:rsidRDefault="00071346" w:rsidP="004F4738">
      <w:pPr>
        <w:pStyle w:val="AnnexNoTitle"/>
        <w:rPr>
          <w:lang w:val="en-US"/>
        </w:rPr>
      </w:pPr>
      <w:r w:rsidRPr="00D46BCE">
        <w:rPr>
          <w:lang w:val="en-US"/>
        </w:rPr>
        <w:lastRenderedPageBreak/>
        <w:t>Annex 1</w:t>
      </w:r>
      <w:r w:rsidR="00D46BCE" w:rsidRPr="00D46BCE">
        <w:rPr>
          <w:lang w:val="en-US"/>
        </w:rPr>
        <w:br/>
      </w:r>
      <w:r w:rsidR="00D46BCE" w:rsidRPr="00D46BCE">
        <w:rPr>
          <w:lang w:val="en-US"/>
        </w:rPr>
        <w:br/>
      </w:r>
      <w:r w:rsidRPr="00D46BCE">
        <w:rPr>
          <w:lang w:val="en-US"/>
        </w:rPr>
        <w:t xml:space="preserve">Analytic method for the preliminary evaluation of the potential for pulsed interference from relevant radio sources other than in the RNSS </w:t>
      </w:r>
      <w:r w:rsidRPr="00D46BCE">
        <w:rPr>
          <w:lang w:val="en-US"/>
        </w:rPr>
        <w:br/>
        <w:t xml:space="preserve">to an RNSS system or network operating in the bands </w:t>
      </w:r>
      <w:r w:rsidRPr="00D46BCE">
        <w:rPr>
          <w:lang w:val="en-US"/>
        </w:rPr>
        <w:br/>
        <w:t>1 164-1 215 MHz, 1 215-1 300 MHz</w:t>
      </w:r>
      <w:r w:rsidRPr="00D46BCE">
        <w:rPr>
          <w:lang w:val="en-US"/>
        </w:rPr>
        <w:br/>
        <w:t>and 1 559-1 610 MHz</w:t>
      </w:r>
    </w:p>
    <w:p w:rsidR="00071346" w:rsidRPr="00071346" w:rsidRDefault="00071346" w:rsidP="00071346">
      <w:pPr>
        <w:pStyle w:val="Heading1"/>
        <w:rPr>
          <w:lang w:val="en-US"/>
        </w:rPr>
      </w:pPr>
      <w:r w:rsidRPr="00071346">
        <w:rPr>
          <w:lang w:val="en-US"/>
        </w:rPr>
        <w:t>1</w:t>
      </w:r>
      <w:r w:rsidRPr="00071346">
        <w:rPr>
          <w:lang w:val="en-US"/>
        </w:rPr>
        <w:tab/>
        <w:t>Introduction</w:t>
      </w:r>
    </w:p>
    <w:p w:rsidR="00071346" w:rsidRPr="00071346" w:rsidRDefault="00071346" w:rsidP="00D46BCE">
      <w:pPr>
        <w:rPr>
          <w:lang w:val="en-US"/>
        </w:rPr>
      </w:pPr>
      <w:r w:rsidRPr="00071346">
        <w:rPr>
          <w:lang w:val="en-US"/>
        </w:rPr>
        <w:t>An evaluation model for continuous RF interference</w:t>
      </w:r>
      <w:r>
        <w:rPr>
          <w:rStyle w:val="FootnoteReference"/>
        </w:rPr>
        <w:footnoteReference w:id="4"/>
      </w:r>
      <w:r w:rsidRPr="00071346">
        <w:rPr>
          <w:lang w:val="en-US"/>
        </w:rPr>
        <w:t xml:space="preserve"> (RFI) to RNSS receivers has been developed in Recommendation ITU-R M.1318-1, but ITU-R has also recognized the need to address pulsed RF interference. This Annex derives from basic concepts a general pulsed RFI evaluation method for use with RNSS receivers. Report ITU</w:t>
      </w:r>
      <w:r w:rsidRPr="00071346">
        <w:rPr>
          <w:lang w:val="en-US"/>
        </w:rPr>
        <w:noBreakHyphen/>
        <w:t>R M.2220 contains background material and a methodology to calculate composite pulsed interference parameters used in the interference evaluation. Section 2 below provides some background and describes RFI degradation equations for two basic types of RNSS receivers. Section 3 describes how the degradation equations could be used to assess the impact of additional pulsed RFI. Section 4 lists recommended baseline RFI method parameters and allowable degradation ratios for the pulsed RFI evaluation.</w:t>
      </w:r>
    </w:p>
    <w:p w:rsidR="00071346" w:rsidRPr="00071346" w:rsidRDefault="00071346" w:rsidP="00071346">
      <w:pPr>
        <w:pStyle w:val="Heading1"/>
        <w:rPr>
          <w:lang w:val="en-US"/>
        </w:rPr>
      </w:pPr>
      <w:r w:rsidRPr="00071346">
        <w:rPr>
          <w:lang w:val="en-US"/>
        </w:rPr>
        <w:t>2</w:t>
      </w:r>
      <w:r w:rsidRPr="00071346">
        <w:rPr>
          <w:lang w:val="en-US"/>
        </w:rPr>
        <w:tab/>
        <w:t>Characterization of pulsed RFI effects on RNSS receivers</w:t>
      </w:r>
    </w:p>
    <w:p w:rsidR="00071346" w:rsidRPr="00071346" w:rsidRDefault="00071346" w:rsidP="00071346">
      <w:pPr>
        <w:rPr>
          <w:lang w:val="en-US"/>
        </w:rPr>
      </w:pPr>
      <w:r w:rsidRPr="00071346">
        <w:rPr>
          <w:lang w:val="en-US"/>
        </w:rPr>
        <w:t>Studies by two aviation standards organizations</w:t>
      </w:r>
      <w:r>
        <w:rPr>
          <w:rStyle w:val="FootnoteReference"/>
        </w:rPr>
        <w:footnoteReference w:id="5"/>
      </w:r>
      <w:r w:rsidRPr="00071346">
        <w:rPr>
          <w:lang w:val="en-US"/>
        </w:rPr>
        <w:t xml:space="preserve"> have shown that the highest levels of pulsed RFI impacting RNSS air-navigation receivers operating in the 1 164-1 215 MHz band at or above Flight Level 200 (6 096 m above mean sea level (MSL)) occur in several localized regions around the world. Those studies have developed a model of a general RNSS receiver signal processing method used to mitigate strong pulsed RFI and an associated equation</w:t>
      </w:r>
      <w:r>
        <w:rPr>
          <w:rStyle w:val="FootnoteReference"/>
        </w:rPr>
        <w:footnoteReference w:id="6"/>
      </w:r>
      <w:r w:rsidRPr="00071346">
        <w:rPr>
          <w:lang w:val="en-US"/>
        </w:rPr>
        <w:t xml:space="preserve"> to express the amount of degradation to the post-correlator signal quality measure (</w:t>
      </w:r>
      <w:r w:rsidRPr="00071346">
        <w:rPr>
          <w:i/>
          <w:iCs/>
          <w:lang w:val="en-US"/>
        </w:rPr>
        <w:t>C</w:t>
      </w:r>
      <w:r w:rsidRPr="00071346">
        <w:rPr>
          <w:lang w:val="en-US"/>
        </w:rPr>
        <w:t>/</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of that receiver. One study</w:t>
      </w:r>
      <w:r>
        <w:rPr>
          <w:rStyle w:val="FootnoteReference"/>
        </w:rPr>
        <w:footnoteReference w:id="7"/>
      </w:r>
      <w:r w:rsidRPr="00071346">
        <w:rPr>
          <w:lang w:val="en-US"/>
        </w:rPr>
        <w:t xml:space="preserve"> also developed the comparable degradation equation for conventional receivers without special pulsed RFI mitigation. Both degradation equations handle continuous RFI present along with the pulsed RFI. As such, they can be useful for determining RFI protection criteria as well as for analysing the effects of any new pulsed or continuous RFI beyond an initial baseline case. Sections 2.1 and 2.2 below describe details of the RFI degradation equations.</w:t>
      </w:r>
    </w:p>
    <w:p w:rsidR="00071346" w:rsidRPr="00071346" w:rsidRDefault="00071346" w:rsidP="00071346">
      <w:pPr>
        <w:pStyle w:val="Heading2"/>
        <w:rPr>
          <w:lang w:val="en-US"/>
        </w:rPr>
      </w:pPr>
      <w:r w:rsidRPr="00071346">
        <w:rPr>
          <w:lang w:val="en-US"/>
        </w:rPr>
        <w:t>2.1</w:t>
      </w:r>
      <w:r w:rsidRPr="00071346">
        <w:rPr>
          <w:lang w:val="en-US"/>
        </w:rPr>
        <w:tab/>
        <w:t>Effective noise density calculation method (receiver pulse blanking)</w:t>
      </w:r>
    </w:p>
    <w:p w:rsidR="00071346" w:rsidRPr="00071346" w:rsidRDefault="00071346" w:rsidP="00071346">
      <w:pPr>
        <w:rPr>
          <w:lang w:val="en-US"/>
        </w:rPr>
      </w:pPr>
      <w:r w:rsidRPr="00071346">
        <w:rPr>
          <w:lang w:val="en-US"/>
        </w:rPr>
        <w:t xml:space="preserve">An effective means for mitigating strong pulsed RFI in, for example, an air navigation receiver, is the pulse blanker. One aspect of the blanker is that pulsed RFI signals with peak power levels below the blanker threshold combine with the receiver noise and the un-blanked components of the continuous RFI. The other main aspect is that the blanker “zeros” the signal and noise into the </w:t>
      </w:r>
      <w:r w:rsidRPr="00071346">
        <w:rPr>
          <w:lang w:val="en-US"/>
        </w:rPr>
        <w:lastRenderedPageBreak/>
        <w:t>correlators during the time duration of strong pulses with power levels above the blanker threshold. The equation described below estimates an effective noise-plus-interference density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at the output of the signal correlators due to the pulse blanker.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is quite general and can be applied to all RFI environments for an RNSS receiver because the equation input variables quantify the RFI environment as it changes. The effective post-correlator noise-plus-interference density,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is defined as:</w:t>
      </w:r>
    </w:p>
    <w:p w:rsidR="00071346" w:rsidRPr="00071346" w:rsidRDefault="00071346" w:rsidP="00071346">
      <w:pPr>
        <w:pStyle w:val="Equation"/>
        <w:rPr>
          <w:lang w:val="en-US"/>
        </w:rPr>
      </w:pPr>
      <w:r w:rsidRPr="00071346">
        <w:rPr>
          <w:lang w:val="en-US"/>
        </w:rPr>
        <w:tab/>
      </w:r>
      <w:r w:rsidRPr="00071346">
        <w:rPr>
          <w:lang w:val="en-US"/>
        </w:rPr>
        <w:tab/>
      </w:r>
      <w:r w:rsidR="00B87904">
        <w:rPr>
          <w:position w:val="-32"/>
        </w:rPr>
        <w:object w:dxaOrig="35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7pt;height:39.75pt" o:ole="">
            <v:imagedata r:id="rId14" o:title=""/>
          </v:shape>
          <o:OLEObject Type="Embed" ProgID="Equation.3" ShapeID="_x0000_i1025" DrawAspect="Content" ObjectID="_1417409631" r:id="rId15"/>
        </w:object>
      </w:r>
      <w:r w:rsidRPr="00071346">
        <w:rPr>
          <w:lang w:val="en-US"/>
        </w:rPr>
        <w:tab/>
        <w:t>(1)</w:t>
      </w:r>
    </w:p>
    <w:p w:rsidR="00071346" w:rsidRPr="00071346" w:rsidRDefault="00071346" w:rsidP="00071346">
      <w:pPr>
        <w:rPr>
          <w:lang w:val="en-US"/>
        </w:rPr>
      </w:pPr>
      <w:bookmarkStart w:id="4" w:name="_Ref75928826"/>
      <w:r w:rsidRPr="00071346">
        <w:rPr>
          <w:lang w:val="en-US"/>
        </w:rPr>
        <w:t>where:</w:t>
      </w:r>
    </w:p>
    <w:p w:rsidR="00071346" w:rsidRPr="00071346" w:rsidRDefault="00071346" w:rsidP="00071346">
      <w:pPr>
        <w:pStyle w:val="Equation"/>
        <w:rPr>
          <w:lang w:val="en-US"/>
        </w:rPr>
      </w:pPr>
      <w:r w:rsidRPr="00071346">
        <w:rPr>
          <w:lang w:val="en-US"/>
        </w:rPr>
        <w:tab/>
      </w:r>
      <w:r w:rsidRPr="00071346">
        <w:rPr>
          <w:lang w:val="en-US"/>
        </w:rPr>
        <w:tab/>
      </w:r>
      <w:r w:rsidR="00B87904" w:rsidRPr="00B87904">
        <w:rPr>
          <w:position w:val="-32"/>
        </w:rPr>
        <w:object w:dxaOrig="2659" w:dyaOrig="760">
          <v:shape id="_x0000_i1026" type="#_x0000_t75" style="width:133.05pt;height:38pt" o:ole="">
            <v:imagedata r:id="rId16" o:title=""/>
          </v:shape>
          <o:OLEObject Type="Embed" ProgID="Equation.3" ShapeID="_x0000_i1026" DrawAspect="Content" ObjectID="_1417409632" r:id="rId17"/>
        </w:object>
      </w:r>
      <w:r w:rsidRPr="00071346">
        <w:rPr>
          <w:lang w:val="en-US"/>
        </w:rPr>
        <w:tab/>
        <w:t>(2)</w:t>
      </w:r>
    </w:p>
    <w:p w:rsidR="00071346" w:rsidRPr="00071346" w:rsidRDefault="00071346" w:rsidP="00071346">
      <w:pPr>
        <w:rPr>
          <w:lang w:val="en-US"/>
        </w:rPr>
      </w:pPr>
      <w:r w:rsidRPr="00071346">
        <w:rPr>
          <w:lang w:val="en-US"/>
        </w:rPr>
        <w:t xml:space="preserve">In the above equations: </w:t>
      </w:r>
    </w:p>
    <w:p w:rsidR="00071346" w:rsidRDefault="00071346" w:rsidP="00071346">
      <w:pPr>
        <w:pStyle w:val="Equationlegend"/>
      </w:pPr>
      <w:r>
        <w:tab/>
      </w:r>
      <w:r>
        <w:rPr>
          <w:i/>
          <w:iCs/>
        </w:rPr>
        <w:t>R</w:t>
      </w:r>
      <w:r>
        <w:rPr>
          <w:i/>
          <w:iCs/>
          <w:vertAlign w:val="subscript"/>
        </w:rPr>
        <w:t>I</w:t>
      </w:r>
      <w:r>
        <w:t>:</w:t>
      </w:r>
      <w:r>
        <w:tab/>
        <w:t>is the post-correlator power density ratio of total aggregate below-blanker threshold average pulsed RFI to receiver</w:t>
      </w:r>
      <w:r w:rsidR="00A74A18">
        <w:t xml:space="preserve"> thermal noise (unitless ratio)</w:t>
      </w:r>
    </w:p>
    <w:p w:rsidR="00071346" w:rsidRDefault="00071346" w:rsidP="00071346">
      <w:pPr>
        <w:pStyle w:val="Equationlegend"/>
      </w:pPr>
      <w:r>
        <w:rPr>
          <w:noProof/>
        </w:rPr>
        <w:tab/>
      </w:r>
      <w:r>
        <w:rPr>
          <w:i/>
          <w:iCs/>
          <w:noProof/>
        </w:rPr>
        <w:t>PDC</w:t>
      </w:r>
      <w:r>
        <w:rPr>
          <w:i/>
          <w:iCs/>
          <w:noProof/>
          <w:vertAlign w:val="subscript"/>
        </w:rPr>
        <w:t>B</w:t>
      </w:r>
      <w:r>
        <w:rPr>
          <w:noProof/>
        </w:rPr>
        <w:t>:</w:t>
      </w:r>
      <w:r>
        <w:rPr>
          <w:noProof/>
        </w:rPr>
        <w:tab/>
        <w:t xml:space="preserve">(pulse duty cycle of the blanker) is the net aggregate duty cycle of all pulses exceeding the blanker threshold </w:t>
      </w:r>
      <w:r w:rsidR="00A74A18">
        <w:t>(unitless fraction)</w:t>
      </w:r>
    </w:p>
    <w:p w:rsidR="00071346" w:rsidRDefault="00071346" w:rsidP="00B87904">
      <w:pPr>
        <w:pStyle w:val="Equationlegend"/>
      </w:pPr>
      <w:r>
        <w:tab/>
      </w:r>
      <w:r>
        <w:rPr>
          <w:i/>
          <w:iCs/>
        </w:rPr>
        <w:t>N</w:t>
      </w:r>
      <w:r>
        <w:rPr>
          <w:vertAlign w:val="subscript"/>
        </w:rPr>
        <w:t>0</w:t>
      </w:r>
      <w:r>
        <w:t>:</w:t>
      </w:r>
      <w:r>
        <w:tab/>
        <w:t>is the RNSS receiver system thermal noise power spectral density in W/Hz</w:t>
      </w:r>
      <w:r w:rsidR="00B87904">
        <w:t xml:space="preserve"> </w:t>
      </w:r>
      <w:r>
        <w:t>(=</w:t>
      </w:r>
      <w:r w:rsidR="00B87904">
        <w:t> </w:t>
      </w:r>
      <w:r>
        <w:t>kT</w:t>
      </w:r>
      <w:r>
        <w:rPr>
          <w:vertAlign w:val="subscript"/>
        </w:rPr>
        <w:t>sys</w:t>
      </w:r>
      <w:r w:rsidR="00A74A18">
        <w:t>)</w:t>
      </w:r>
    </w:p>
    <w:p w:rsidR="00071346" w:rsidRDefault="00071346" w:rsidP="00B87904">
      <w:pPr>
        <w:pStyle w:val="Equationlegend"/>
      </w:pPr>
      <w:r>
        <w:tab/>
      </w:r>
      <w:r>
        <w:rPr>
          <w:i/>
          <w:iCs/>
        </w:rPr>
        <w:t>I</w:t>
      </w:r>
      <w:r>
        <w:rPr>
          <w:vertAlign w:val="subscript"/>
        </w:rPr>
        <w:t>0,</w:t>
      </w:r>
      <w:r>
        <w:rPr>
          <w:i/>
          <w:iCs/>
          <w:vertAlign w:val="subscript"/>
        </w:rPr>
        <w:t>WB</w:t>
      </w:r>
      <w:r>
        <w:t>:</w:t>
      </w:r>
      <w:r>
        <w:tab/>
        <w:t>is the total wideband equivalent continuous RFI power spectral density (W/Hz) for the particular RNSS receiver application</w:t>
      </w:r>
      <w:r>
        <w:rPr>
          <w:rStyle w:val="FootnoteReference"/>
          <w:szCs w:val="24"/>
        </w:rPr>
        <w:footnoteReference w:id="8"/>
      </w:r>
    </w:p>
    <w:p w:rsidR="00071346" w:rsidRDefault="00071346" w:rsidP="00071346">
      <w:pPr>
        <w:pStyle w:val="Equationlegend"/>
        <w:rPr>
          <w:noProof/>
        </w:rPr>
      </w:pPr>
      <w:r>
        <w:rPr>
          <w:noProof/>
        </w:rPr>
        <w:tab/>
      </w:r>
      <w:r>
        <w:rPr>
          <w:i/>
          <w:iCs/>
          <w:noProof/>
        </w:rPr>
        <w:t>BW</w:t>
      </w:r>
      <w:r>
        <w:rPr>
          <w:noProof/>
        </w:rPr>
        <w:t>:</w:t>
      </w:r>
      <w:r>
        <w:rPr>
          <w:noProof/>
        </w:rPr>
        <w:tab/>
        <w:t>is the pre-</w:t>
      </w:r>
      <w:r w:rsidR="00A74A18">
        <w:rPr>
          <w:noProof/>
        </w:rPr>
        <w:t>correlator RF/IF bandwidth (Hz)</w:t>
      </w:r>
    </w:p>
    <w:p w:rsidR="00071346" w:rsidRDefault="00071346" w:rsidP="00B87904">
      <w:pPr>
        <w:pStyle w:val="Equationlegend"/>
      </w:pPr>
      <w:r>
        <w:rPr>
          <w:noProof/>
        </w:rPr>
        <w:tab/>
      </w:r>
      <w:r>
        <w:rPr>
          <w:i/>
          <w:iCs/>
          <w:noProof/>
        </w:rPr>
        <w:t>P</w:t>
      </w:r>
      <w:r>
        <w:rPr>
          <w:i/>
          <w:iCs/>
          <w:noProof/>
          <w:vertAlign w:val="subscript"/>
        </w:rPr>
        <w:t>i</w:t>
      </w:r>
      <w:r>
        <w:rPr>
          <w:noProof/>
        </w:rPr>
        <w:t>:</w:t>
      </w:r>
      <w:r>
        <w:rPr>
          <w:noProof/>
        </w:rPr>
        <w:tab/>
        <w:t xml:space="preserve">is the received peak power (W) of the </w:t>
      </w:r>
      <w:r>
        <w:rPr>
          <w:i/>
          <w:iCs/>
          <w:noProof/>
        </w:rPr>
        <w:t>i</w:t>
      </w:r>
      <w:r>
        <w:rPr>
          <w:noProof/>
        </w:rPr>
        <w:noBreakHyphen/>
        <w:t>th pulse source (referenced to antenna output) with peak le</w:t>
      </w:r>
      <w:r w:rsidR="00A74A18">
        <w:rPr>
          <w:noProof/>
        </w:rPr>
        <w:t>vel below the blanker threshold</w:t>
      </w:r>
    </w:p>
    <w:p w:rsidR="00071346" w:rsidRDefault="00071346" w:rsidP="00B87904">
      <w:pPr>
        <w:pStyle w:val="Equationlegend"/>
      </w:pPr>
      <w:r>
        <w:tab/>
      </w:r>
      <w:r>
        <w:rPr>
          <w:i/>
          <w:iCs/>
        </w:rPr>
        <w:t>dc</w:t>
      </w:r>
      <w:r>
        <w:rPr>
          <w:i/>
          <w:iCs/>
          <w:vertAlign w:val="subscript"/>
        </w:rPr>
        <w:t>i</w:t>
      </w:r>
      <w:r>
        <w:t>:</w:t>
      </w:r>
      <w:r>
        <w:tab/>
        <w:t xml:space="preserve">is the duty cycle (unitless fraction) of the </w:t>
      </w:r>
      <w:r>
        <w:rPr>
          <w:i/>
          <w:iCs/>
        </w:rPr>
        <w:t>i</w:t>
      </w:r>
      <w:r>
        <w:noBreakHyphen/>
        <w:t>th below-blanker pul</w:t>
      </w:r>
      <w:r w:rsidR="00A74A18">
        <w:t>se source</w:t>
      </w:r>
    </w:p>
    <w:p w:rsidR="00071346" w:rsidRDefault="00071346" w:rsidP="00071346">
      <w:pPr>
        <w:pStyle w:val="Equationlegend"/>
      </w:pPr>
      <w:r>
        <w:tab/>
      </w:r>
      <w:r>
        <w:rPr>
          <w:i/>
          <w:iCs/>
        </w:rPr>
        <w:t>N</w:t>
      </w:r>
      <w:r>
        <w:t>:</w:t>
      </w:r>
      <w:r>
        <w:tab/>
        <w:t>is the total number of emitters that generate received pulses with peak level below the blanker threshold.</w:t>
      </w:r>
    </w:p>
    <w:bookmarkEnd w:id="4"/>
    <w:p w:rsidR="00071346" w:rsidRPr="00071346" w:rsidRDefault="00071346" w:rsidP="00071346">
      <w:pPr>
        <w:spacing w:before="240"/>
        <w:rPr>
          <w:lang w:val="en-US"/>
        </w:rPr>
      </w:pPr>
      <w:r w:rsidRPr="00071346">
        <w:rPr>
          <w:lang w:val="en-US"/>
        </w:rPr>
        <w:t>As defined above,</w:t>
      </w:r>
      <w:r w:rsidRPr="00071346">
        <w:rPr>
          <w:i/>
          <w:lang w:val="en-US"/>
        </w:rPr>
        <w:t xml:space="preserve"> N</w:t>
      </w:r>
      <w:r w:rsidRPr="00071346">
        <w:rPr>
          <w:vertAlign w:val="subscript"/>
          <w:lang w:val="en-US"/>
        </w:rPr>
        <w:t>0,</w:t>
      </w:r>
      <w:r w:rsidRPr="00071346">
        <w:rPr>
          <w:i/>
          <w:vertAlign w:val="subscript"/>
          <w:lang w:val="en-US"/>
        </w:rPr>
        <w:t>EFF</w:t>
      </w:r>
      <w:r w:rsidRPr="00071346">
        <w:rPr>
          <w:noProof/>
          <w:lang w:val="en-US"/>
        </w:rPr>
        <w:t xml:space="preserve"> combines all the pulsed RFI effects on thermal noise density, wideband continuous RFI density, and RNSS signal loss.</w:t>
      </w:r>
      <w:r>
        <w:rPr>
          <w:rStyle w:val="FootnoteReference"/>
          <w:noProof/>
        </w:rPr>
        <w:footnoteReference w:id="9"/>
      </w:r>
      <w:r w:rsidRPr="00071346">
        <w:rPr>
          <w:lang w:val="en-US"/>
        </w:rPr>
        <w:t xml:space="preserve"> All noise and interference parameters in equations (1) and (2) are referenced to the receive system passive antenna terminals. Note in equation (1) that without the pulsed RFI (i.e. </w:t>
      </w:r>
      <w:r w:rsidRPr="00071346">
        <w:rPr>
          <w:i/>
          <w:iCs/>
          <w:lang w:val="en-US"/>
        </w:rPr>
        <w:t>R</w:t>
      </w:r>
      <w:r w:rsidRPr="00071346">
        <w:rPr>
          <w:i/>
          <w:iCs/>
          <w:vertAlign w:val="subscript"/>
          <w:lang w:val="en-US"/>
        </w:rPr>
        <w:t>I</w:t>
      </w:r>
      <w:r w:rsidRPr="00071346">
        <w:rPr>
          <w:lang w:val="en-US"/>
        </w:rPr>
        <w:t xml:space="preserve"> and </w:t>
      </w:r>
      <w:r w:rsidRPr="00071346">
        <w:rPr>
          <w:i/>
          <w:iCs/>
          <w:lang w:val="en-US"/>
        </w:rPr>
        <w:t>PDC</w:t>
      </w:r>
      <w:r w:rsidRPr="00071346">
        <w:rPr>
          <w:i/>
          <w:iCs/>
          <w:vertAlign w:val="subscript"/>
          <w:lang w:val="en-US"/>
        </w:rPr>
        <w:t>B </w:t>
      </w:r>
      <w:r w:rsidRPr="00071346">
        <w:rPr>
          <w:lang w:val="en-US"/>
        </w:rPr>
        <w:t xml:space="preserve">= 0), the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equation reduces to the simpler expression used in continuous RNSS RFI analyses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 </w:t>
      </w:r>
      <w:r w:rsidRPr="00071346">
        <w:rPr>
          <w:i/>
          <w:iCs/>
          <w:lang w:val="en-US"/>
        </w:rPr>
        <w:t>N</w:t>
      </w:r>
      <w:r w:rsidRPr="00071346">
        <w:rPr>
          <w:vertAlign w:val="subscript"/>
          <w:lang w:val="en-US"/>
        </w:rPr>
        <w:t>0</w:t>
      </w:r>
      <w:r w:rsidRPr="00071346">
        <w:rPr>
          <w:lang w:val="en-US"/>
        </w:rPr>
        <w:t xml:space="preserve"> + </w:t>
      </w:r>
      <w:r w:rsidRPr="00071346">
        <w:rPr>
          <w:i/>
          <w:iCs/>
          <w:lang w:val="en-US"/>
        </w:rPr>
        <w:t>I</w:t>
      </w:r>
      <w:r w:rsidRPr="00071346">
        <w:rPr>
          <w:vertAlign w:val="subscript"/>
          <w:lang w:val="en-US"/>
        </w:rPr>
        <w:t>0,</w:t>
      </w:r>
      <w:r w:rsidRPr="00071346">
        <w:rPr>
          <w:i/>
          <w:iCs/>
          <w:vertAlign w:val="subscript"/>
          <w:lang w:val="en-US"/>
        </w:rPr>
        <w:t>WB</w:t>
      </w:r>
      <w:r w:rsidRPr="00071346">
        <w:rPr>
          <w:lang w:val="en-US"/>
        </w:rPr>
        <w:t>).</w:t>
      </w:r>
    </w:p>
    <w:p w:rsidR="00071346" w:rsidRPr="00071346" w:rsidRDefault="00071346" w:rsidP="00071346">
      <w:pPr>
        <w:rPr>
          <w:noProof/>
          <w:lang w:val="en-US"/>
        </w:rPr>
      </w:pPr>
      <w:r w:rsidRPr="00071346">
        <w:rPr>
          <w:noProof/>
          <w:lang w:val="en-US"/>
        </w:rPr>
        <w:t xml:space="preserve">The aggregate pulsed RFI parameter, </w:t>
      </w:r>
      <w:r w:rsidRPr="00071346">
        <w:rPr>
          <w:i/>
          <w:iCs/>
          <w:noProof/>
          <w:lang w:val="en-US"/>
        </w:rPr>
        <w:t>PDC</w:t>
      </w:r>
      <w:r w:rsidRPr="00071346">
        <w:rPr>
          <w:i/>
          <w:iCs/>
          <w:noProof/>
          <w:vertAlign w:val="subscript"/>
          <w:lang w:val="en-US"/>
        </w:rPr>
        <w:t>B</w:t>
      </w:r>
      <w:r w:rsidRPr="00071346">
        <w:rPr>
          <w:noProof/>
          <w:lang w:val="en-US"/>
        </w:rPr>
        <w:t>, is built out of components from the separate heterogeneous pulsed tranmitter systems “</w:t>
      </w:r>
      <w:r w:rsidRPr="00071346">
        <w:rPr>
          <w:i/>
          <w:iCs/>
          <w:noProof/>
          <w:lang w:val="en-US"/>
        </w:rPr>
        <w:t>a</w:t>
      </w:r>
      <w:r w:rsidRPr="00071346">
        <w:rPr>
          <w:noProof/>
          <w:lang w:val="en-US"/>
        </w:rPr>
        <w:t>”, “</w:t>
      </w:r>
      <w:r w:rsidRPr="00071346">
        <w:rPr>
          <w:i/>
          <w:iCs/>
          <w:noProof/>
          <w:lang w:val="en-US"/>
        </w:rPr>
        <w:t>b</w:t>
      </w:r>
      <w:r w:rsidRPr="00071346">
        <w:rPr>
          <w:noProof/>
          <w:lang w:val="en-US"/>
        </w:rPr>
        <w:t>” and “</w:t>
      </w:r>
      <w:r w:rsidRPr="00071346">
        <w:rPr>
          <w:i/>
          <w:iCs/>
          <w:noProof/>
          <w:lang w:val="en-US"/>
        </w:rPr>
        <w:t>c</w:t>
      </w:r>
      <w:r w:rsidRPr="00071346">
        <w:rPr>
          <w:noProof/>
          <w:lang w:val="en-US"/>
        </w:rPr>
        <w:t>” as follows:</w:t>
      </w:r>
    </w:p>
    <w:p w:rsidR="00071346" w:rsidRPr="00071346" w:rsidRDefault="00071346" w:rsidP="00071346">
      <w:pPr>
        <w:pStyle w:val="Equation"/>
        <w:rPr>
          <w:noProof/>
          <w:lang w:val="en-US"/>
        </w:rPr>
      </w:pPr>
      <w:r w:rsidRPr="00071346">
        <w:rPr>
          <w:lang w:val="en-US"/>
        </w:rPr>
        <w:tab/>
      </w:r>
      <w:r w:rsidRPr="00071346">
        <w:rPr>
          <w:lang w:val="en-US"/>
        </w:rPr>
        <w:tab/>
      </w:r>
      <w:r w:rsidR="009E243E">
        <w:rPr>
          <w:position w:val="-12"/>
        </w:rPr>
        <w:object w:dxaOrig="4280" w:dyaOrig="360">
          <v:shape id="_x0000_i1027" type="#_x0000_t75" style="width:214.25pt;height:17.85pt" o:ole="">
            <v:imagedata r:id="rId18" o:title=""/>
          </v:shape>
          <o:OLEObject Type="Embed" ProgID="Equation.3" ShapeID="_x0000_i1027" DrawAspect="Content" ObjectID="_1417409633" r:id="rId19"/>
        </w:object>
      </w:r>
      <w:r w:rsidRPr="00071346">
        <w:rPr>
          <w:noProof/>
          <w:lang w:val="en-US"/>
        </w:rPr>
        <w:tab/>
        <w:t>(3)</w:t>
      </w:r>
    </w:p>
    <w:p w:rsidR="00071346" w:rsidRPr="00071346" w:rsidRDefault="00071346" w:rsidP="00071346">
      <w:pPr>
        <w:rPr>
          <w:noProof/>
          <w:lang w:val="en-US"/>
        </w:rPr>
      </w:pPr>
      <w:r w:rsidRPr="00071346">
        <w:rPr>
          <w:noProof/>
          <w:lang w:val="en-US"/>
        </w:rPr>
        <w:t>where:</w:t>
      </w:r>
    </w:p>
    <w:p w:rsidR="00071346" w:rsidRDefault="00071346" w:rsidP="00071346">
      <w:pPr>
        <w:pStyle w:val="Equationlegend"/>
        <w:rPr>
          <w:szCs w:val="24"/>
        </w:rPr>
      </w:pPr>
      <w:r>
        <w:rPr>
          <w:noProof/>
          <w:szCs w:val="24"/>
        </w:rPr>
        <w:tab/>
      </w:r>
      <w:r>
        <w:rPr>
          <w:i/>
          <w:iCs/>
          <w:noProof/>
          <w:szCs w:val="24"/>
        </w:rPr>
        <w:t>PDC</w:t>
      </w:r>
      <w:r>
        <w:rPr>
          <w:i/>
          <w:iCs/>
          <w:noProof/>
          <w:szCs w:val="24"/>
          <w:vertAlign w:val="subscript"/>
        </w:rPr>
        <w:t>a</w:t>
      </w:r>
      <w:r>
        <w:rPr>
          <w:szCs w:val="24"/>
        </w:rPr>
        <w:t>:</w:t>
      </w:r>
      <w:r>
        <w:rPr>
          <w:szCs w:val="24"/>
        </w:rPr>
        <w:tab/>
      </w:r>
      <w:r>
        <w:t>above-blanker threshold pulse duty cycle for system “</w:t>
      </w:r>
      <w:r>
        <w:rPr>
          <w:i/>
          <w:iCs/>
        </w:rPr>
        <w:t>a</w:t>
      </w:r>
      <w:r>
        <w:t>” pulses (e.g. Distance Measuring Equipment/Tacti</w:t>
      </w:r>
      <w:r w:rsidR="00A74A18">
        <w:t>cal Air Navigation (DME/TACAN))</w:t>
      </w:r>
    </w:p>
    <w:p w:rsidR="00071346" w:rsidRDefault="00071346" w:rsidP="00071346">
      <w:pPr>
        <w:pStyle w:val="Equationlegend"/>
        <w:rPr>
          <w:szCs w:val="24"/>
        </w:rPr>
      </w:pPr>
      <w:r>
        <w:rPr>
          <w:noProof/>
          <w:szCs w:val="24"/>
        </w:rPr>
        <w:lastRenderedPageBreak/>
        <w:tab/>
      </w:r>
      <w:r>
        <w:rPr>
          <w:i/>
          <w:iCs/>
          <w:noProof/>
          <w:szCs w:val="24"/>
        </w:rPr>
        <w:t>PDC</w:t>
      </w:r>
      <w:r>
        <w:rPr>
          <w:i/>
          <w:iCs/>
          <w:noProof/>
          <w:szCs w:val="24"/>
          <w:vertAlign w:val="subscript"/>
        </w:rPr>
        <w:t>b</w:t>
      </w:r>
      <w:r>
        <w:t>:</w:t>
      </w:r>
      <w:r>
        <w:tab/>
        <w:t>above-blanker threshold pulse duty cycle for system “</w:t>
      </w:r>
      <w:r>
        <w:rPr>
          <w:i/>
          <w:iCs/>
        </w:rPr>
        <w:t>b</w:t>
      </w:r>
      <w:r>
        <w:t>” pulses (e.g. a Communication Navigation Identification (CNI) system); and</w:t>
      </w:r>
    </w:p>
    <w:p w:rsidR="00071346" w:rsidRDefault="00071346" w:rsidP="00071346">
      <w:pPr>
        <w:pStyle w:val="Equationlegend"/>
        <w:rPr>
          <w:szCs w:val="24"/>
        </w:rPr>
      </w:pPr>
      <w:r>
        <w:rPr>
          <w:noProof/>
          <w:szCs w:val="24"/>
        </w:rPr>
        <w:tab/>
      </w:r>
      <w:r>
        <w:rPr>
          <w:i/>
          <w:iCs/>
          <w:noProof/>
          <w:szCs w:val="24"/>
        </w:rPr>
        <w:t>PDC</w:t>
      </w:r>
      <w:r>
        <w:rPr>
          <w:i/>
          <w:iCs/>
          <w:noProof/>
          <w:szCs w:val="24"/>
          <w:vertAlign w:val="subscript"/>
        </w:rPr>
        <w:t>c</w:t>
      </w:r>
      <w:r>
        <w:rPr>
          <w:noProof/>
          <w:szCs w:val="24"/>
        </w:rPr>
        <w:t>:</w:t>
      </w:r>
      <w:r>
        <w:rPr>
          <w:noProof/>
          <w:szCs w:val="24"/>
        </w:rPr>
        <w:tab/>
        <w:t>above-blanker threshold pulse duty cycle</w:t>
      </w:r>
      <w:r>
        <w:rPr>
          <w:szCs w:val="24"/>
        </w:rPr>
        <w:t xml:space="preserve"> </w:t>
      </w:r>
      <w:r>
        <w:t>for system “</w:t>
      </w:r>
      <w:r>
        <w:rPr>
          <w:i/>
          <w:iCs/>
        </w:rPr>
        <w:t>c</w:t>
      </w:r>
      <w:r>
        <w:t>” pulses</w:t>
      </w:r>
      <w:r>
        <w:rPr>
          <w:szCs w:val="24"/>
        </w:rPr>
        <w:t xml:space="preserve"> (e.g. Aeronautical Radionavigation Service/Air Traffic Control (</w:t>
      </w:r>
      <w:r>
        <w:rPr>
          <w:noProof/>
          <w:szCs w:val="24"/>
        </w:rPr>
        <w:t>ARNS/ATC))</w:t>
      </w:r>
      <w:r>
        <w:rPr>
          <w:szCs w:val="24"/>
        </w:rPr>
        <w:t>.</w:t>
      </w:r>
    </w:p>
    <w:p w:rsidR="00071346" w:rsidRPr="00071346" w:rsidRDefault="00071346" w:rsidP="00071346">
      <w:pPr>
        <w:rPr>
          <w:noProof/>
          <w:lang w:val="en-US"/>
        </w:rPr>
      </w:pPr>
      <w:r w:rsidRPr="00071346">
        <w:rPr>
          <w:noProof/>
          <w:lang w:val="en-US"/>
        </w:rPr>
        <w:t xml:space="preserve">For each individual source, </w:t>
      </w:r>
      <w:r w:rsidRPr="00071346">
        <w:rPr>
          <w:i/>
          <w:noProof/>
          <w:lang w:val="en-US"/>
        </w:rPr>
        <w:t>i</w:t>
      </w:r>
      <w:r w:rsidRPr="00071346">
        <w:rPr>
          <w:noProof/>
          <w:lang w:val="en-US"/>
        </w:rPr>
        <w:t xml:space="preserve">, of a system, </w:t>
      </w:r>
      <w:r w:rsidRPr="00071346">
        <w:rPr>
          <w:i/>
          <w:noProof/>
          <w:lang w:val="en-US"/>
        </w:rPr>
        <w:t>x</w:t>
      </w:r>
      <w:r w:rsidRPr="00071346">
        <w:rPr>
          <w:noProof/>
          <w:lang w:val="en-US"/>
        </w:rPr>
        <w:t xml:space="preserve">, the above-blanker threshold pulse duty cycle </w:t>
      </w:r>
      <w:r w:rsidRPr="00071346">
        <w:rPr>
          <w:i/>
          <w:noProof/>
          <w:lang w:val="en-US"/>
        </w:rPr>
        <w:t>PDC</w:t>
      </w:r>
      <w:r w:rsidRPr="00071346">
        <w:rPr>
          <w:i/>
          <w:noProof/>
          <w:vertAlign w:val="subscript"/>
          <w:lang w:val="en-US"/>
        </w:rPr>
        <w:t>x,i</w:t>
      </w:r>
      <w:r w:rsidRPr="00071346">
        <w:rPr>
          <w:noProof/>
          <w:lang w:val="en-US"/>
        </w:rPr>
        <w:t xml:space="preserve"> is given in general by:</w:t>
      </w:r>
    </w:p>
    <w:p w:rsidR="00071346" w:rsidRDefault="00071346" w:rsidP="00071346">
      <w:pPr>
        <w:pStyle w:val="Equation"/>
        <w:rPr>
          <w:lang w:val="it-IT" w:eastAsia="ru-RU"/>
        </w:rPr>
      </w:pPr>
      <w:r w:rsidRPr="00071346">
        <w:rPr>
          <w:lang w:val="en-US" w:eastAsia="ru-RU"/>
        </w:rPr>
        <w:tab/>
      </w:r>
      <w:r w:rsidRPr="00071346">
        <w:rPr>
          <w:lang w:val="en-US" w:eastAsia="ru-RU"/>
        </w:rPr>
        <w:tab/>
      </w:r>
      <w:r>
        <w:rPr>
          <w:i/>
          <w:lang w:val="it-IT" w:eastAsia="ru-RU"/>
        </w:rPr>
        <w:t>PDC</w:t>
      </w:r>
      <w:r>
        <w:rPr>
          <w:i/>
          <w:vertAlign w:val="subscript"/>
          <w:lang w:val="it-IT" w:eastAsia="ru-RU"/>
        </w:rPr>
        <w:t>x,i</w:t>
      </w:r>
      <w:r>
        <w:rPr>
          <w:i/>
          <w:lang w:val="it-IT" w:eastAsia="ru-RU"/>
        </w:rPr>
        <w:t xml:space="preserve"> = (PW</w:t>
      </w:r>
      <w:r>
        <w:rPr>
          <w:i/>
          <w:vertAlign w:val="subscript"/>
          <w:lang w:val="it-IT" w:eastAsia="ru-RU"/>
        </w:rPr>
        <w:t>x</w:t>
      </w:r>
      <w:r>
        <w:rPr>
          <w:i/>
          <w:lang w:val="it-IT" w:eastAsia="ru-RU"/>
        </w:rPr>
        <w:t>,</w:t>
      </w:r>
      <w:r>
        <w:rPr>
          <w:i/>
          <w:vertAlign w:val="subscript"/>
          <w:lang w:val="it-IT" w:eastAsia="ru-RU"/>
        </w:rPr>
        <w:t>i</w:t>
      </w:r>
      <w:r>
        <w:rPr>
          <w:i/>
          <w:lang w:val="it-IT" w:eastAsia="ru-RU"/>
        </w:rPr>
        <w:t xml:space="preserve"> + </w:t>
      </w:r>
      <w:r w:rsidRPr="009E243E">
        <w:rPr>
          <w:iCs/>
          <w:szCs w:val="24"/>
          <w:lang w:eastAsia="ru-RU"/>
        </w:rPr>
        <w:sym w:font="Symbol" w:char="F074"/>
      </w:r>
      <w:r>
        <w:rPr>
          <w:i/>
          <w:vertAlign w:val="subscript"/>
          <w:lang w:val="it-IT" w:eastAsia="ru-RU"/>
        </w:rPr>
        <w:t>REC</w:t>
      </w:r>
      <w:r>
        <w:rPr>
          <w:i/>
          <w:lang w:val="it-IT" w:eastAsia="ru-RU"/>
        </w:rPr>
        <w:t>)</w:t>
      </w:r>
      <w:r>
        <w:rPr>
          <w:i/>
          <w:szCs w:val="24"/>
          <w:lang w:eastAsia="ru-RU"/>
        </w:rPr>
        <w:sym w:font="Symbol" w:char="F0D7"/>
      </w:r>
      <w:r>
        <w:rPr>
          <w:i/>
          <w:lang w:val="it-IT" w:eastAsia="ru-RU"/>
        </w:rPr>
        <w:t>PRF</w:t>
      </w:r>
      <w:r>
        <w:rPr>
          <w:i/>
          <w:vertAlign w:val="subscript"/>
          <w:lang w:val="it-IT" w:eastAsia="ru-RU"/>
        </w:rPr>
        <w:t>x,i</w:t>
      </w:r>
      <w:r>
        <w:rPr>
          <w:lang w:val="it-IT" w:eastAsia="ru-RU"/>
        </w:rPr>
        <w:tab/>
        <w:t>(3a)</w:t>
      </w:r>
    </w:p>
    <w:p w:rsidR="00071346" w:rsidRPr="00071346" w:rsidRDefault="00071346" w:rsidP="00071346">
      <w:pPr>
        <w:rPr>
          <w:lang w:val="en-US" w:eastAsia="ru-RU"/>
        </w:rPr>
      </w:pPr>
      <w:r w:rsidRPr="00071346">
        <w:rPr>
          <w:lang w:val="en-US" w:eastAsia="ru-RU"/>
        </w:rPr>
        <w:t>where</w:t>
      </w:r>
      <w:r>
        <w:rPr>
          <w:lang w:val="en-US" w:eastAsia="ru-RU"/>
        </w:rPr>
        <w:t>:</w:t>
      </w:r>
      <w:r w:rsidRPr="00071346">
        <w:rPr>
          <w:lang w:val="en-US" w:eastAsia="ru-RU"/>
        </w:rPr>
        <w:t xml:space="preserve"> </w:t>
      </w:r>
    </w:p>
    <w:p w:rsidR="00071346" w:rsidRDefault="00071346" w:rsidP="00071346">
      <w:pPr>
        <w:pStyle w:val="Equationlegend"/>
        <w:rPr>
          <w:lang w:eastAsia="ru-RU"/>
        </w:rPr>
      </w:pPr>
      <w:r>
        <w:rPr>
          <w:lang w:eastAsia="ru-RU"/>
        </w:rPr>
        <w:tab/>
      </w:r>
      <w:r>
        <w:rPr>
          <w:i/>
          <w:lang w:eastAsia="ru-RU"/>
        </w:rPr>
        <w:t>PW</w:t>
      </w:r>
      <w:r>
        <w:rPr>
          <w:i/>
          <w:vertAlign w:val="subscript"/>
          <w:lang w:eastAsia="ru-RU"/>
        </w:rPr>
        <w:t>x,i</w:t>
      </w:r>
      <w:r w:rsidR="0090605E">
        <w:t>:</w:t>
      </w:r>
      <w:r>
        <w:rPr>
          <w:lang w:eastAsia="ru-RU"/>
        </w:rPr>
        <w:tab/>
        <w:t>is the effective received above-bl</w:t>
      </w:r>
      <w:r w:rsidR="0090605E">
        <w:rPr>
          <w:lang w:eastAsia="ru-RU"/>
        </w:rPr>
        <w:t>anker threshold pulse width (s)</w:t>
      </w:r>
    </w:p>
    <w:p w:rsidR="00071346" w:rsidRDefault="00071346" w:rsidP="00071346">
      <w:pPr>
        <w:pStyle w:val="Equationlegend"/>
        <w:rPr>
          <w:lang w:eastAsia="ru-RU"/>
        </w:rPr>
      </w:pPr>
      <w:r>
        <w:rPr>
          <w:lang w:eastAsia="ru-RU"/>
        </w:rPr>
        <w:tab/>
      </w:r>
      <w:r w:rsidRPr="009E243E">
        <w:rPr>
          <w:iCs/>
          <w:szCs w:val="24"/>
          <w:lang w:eastAsia="ru-RU"/>
        </w:rPr>
        <w:sym w:font="Symbol" w:char="F074"/>
      </w:r>
      <w:r>
        <w:rPr>
          <w:i/>
          <w:vertAlign w:val="subscript"/>
          <w:lang w:eastAsia="ru-RU"/>
        </w:rPr>
        <w:t>REC</w:t>
      </w:r>
      <w:r w:rsidR="0090605E">
        <w:t>:</w:t>
      </w:r>
      <w:r>
        <w:rPr>
          <w:lang w:eastAsia="ru-RU"/>
        </w:rPr>
        <w:tab/>
        <w:t>is the receiver overload recovery time (s); and</w:t>
      </w:r>
    </w:p>
    <w:p w:rsidR="00071346" w:rsidRDefault="00071346" w:rsidP="00071346">
      <w:pPr>
        <w:pStyle w:val="Equationlegend"/>
        <w:rPr>
          <w:noProof/>
        </w:rPr>
      </w:pPr>
      <w:r>
        <w:rPr>
          <w:lang w:eastAsia="ru-RU"/>
        </w:rPr>
        <w:tab/>
      </w:r>
      <w:r>
        <w:rPr>
          <w:i/>
          <w:lang w:eastAsia="ru-RU"/>
        </w:rPr>
        <w:t>PRF</w:t>
      </w:r>
      <w:r>
        <w:rPr>
          <w:i/>
          <w:vertAlign w:val="subscript"/>
          <w:lang w:eastAsia="ru-RU"/>
        </w:rPr>
        <w:t>x,i</w:t>
      </w:r>
      <w:r w:rsidR="0090605E">
        <w:t>:</w:t>
      </w:r>
      <w:r>
        <w:rPr>
          <w:lang w:eastAsia="ru-RU"/>
        </w:rPr>
        <w:tab/>
        <w:t>is the pulse repetition rate (Hz).</w:t>
      </w:r>
    </w:p>
    <w:p w:rsidR="00071346" w:rsidRPr="00071346" w:rsidRDefault="00071346" w:rsidP="00071346">
      <w:pPr>
        <w:rPr>
          <w:noProof/>
          <w:lang w:val="en-US"/>
        </w:rPr>
      </w:pPr>
      <w:r w:rsidRPr="00071346">
        <w:rPr>
          <w:noProof/>
          <w:lang w:val="en-US"/>
        </w:rPr>
        <w:t xml:space="preserve">The aggregate pulsed RFI parameter </w:t>
      </w:r>
      <w:r w:rsidRPr="00071346">
        <w:rPr>
          <w:i/>
          <w:iCs/>
          <w:noProof/>
          <w:lang w:val="en-US"/>
        </w:rPr>
        <w:t>R</w:t>
      </w:r>
      <w:r w:rsidRPr="00071346">
        <w:rPr>
          <w:i/>
          <w:iCs/>
          <w:noProof/>
          <w:vertAlign w:val="subscript"/>
          <w:lang w:val="en-US"/>
        </w:rPr>
        <w:t>I</w:t>
      </w:r>
      <w:r w:rsidRPr="00071346">
        <w:rPr>
          <w:noProof/>
          <w:lang w:val="en-US"/>
        </w:rPr>
        <w:t xml:space="preserve"> is built out of components from the separate heterogeneous pulsed transmitter systems “</w:t>
      </w:r>
      <w:r w:rsidRPr="00071346">
        <w:rPr>
          <w:i/>
          <w:iCs/>
          <w:noProof/>
          <w:lang w:val="en-US"/>
        </w:rPr>
        <w:t>a</w:t>
      </w:r>
      <w:r w:rsidRPr="00071346">
        <w:rPr>
          <w:noProof/>
          <w:lang w:val="en-US"/>
        </w:rPr>
        <w:t>”, “</w:t>
      </w:r>
      <w:r w:rsidRPr="00071346">
        <w:rPr>
          <w:i/>
          <w:iCs/>
          <w:noProof/>
          <w:lang w:val="en-US"/>
        </w:rPr>
        <w:t>b</w:t>
      </w:r>
      <w:r w:rsidRPr="00071346">
        <w:rPr>
          <w:noProof/>
          <w:lang w:val="en-US"/>
        </w:rPr>
        <w:t>” and “</w:t>
      </w:r>
      <w:r w:rsidRPr="00071346">
        <w:rPr>
          <w:i/>
          <w:iCs/>
          <w:noProof/>
          <w:lang w:val="en-US"/>
        </w:rPr>
        <w:t>c</w:t>
      </w:r>
      <w:r w:rsidRPr="00071346">
        <w:rPr>
          <w:noProof/>
          <w:lang w:val="en-US"/>
        </w:rPr>
        <w:t>” as follows:</w:t>
      </w:r>
    </w:p>
    <w:p w:rsidR="00071346" w:rsidRPr="00071346" w:rsidRDefault="00071346" w:rsidP="00071346">
      <w:pPr>
        <w:pStyle w:val="Equation"/>
        <w:rPr>
          <w:noProof/>
          <w:lang w:val="en-US"/>
        </w:rPr>
      </w:pPr>
      <w:r w:rsidRPr="00071346">
        <w:rPr>
          <w:lang w:val="en-US"/>
        </w:rPr>
        <w:tab/>
      </w:r>
      <w:r w:rsidRPr="00071346">
        <w:rPr>
          <w:lang w:val="en-US"/>
        </w:rPr>
        <w:tab/>
      </w:r>
      <w:r w:rsidR="009E243E">
        <w:rPr>
          <w:position w:val="-12"/>
        </w:rPr>
        <w:object w:dxaOrig="1740" w:dyaOrig="360">
          <v:shape id="_x0000_i1028" type="#_x0000_t75" style="width:87.55pt;height:17.85pt" o:ole="">
            <v:imagedata r:id="rId20" o:title=""/>
          </v:shape>
          <o:OLEObject Type="Embed" ProgID="Equation.3" ShapeID="_x0000_i1028" DrawAspect="Content" ObjectID="_1417409634" r:id="rId21"/>
        </w:object>
      </w:r>
      <w:r w:rsidRPr="00071346">
        <w:rPr>
          <w:lang w:val="en-US"/>
        </w:rPr>
        <w:tab/>
      </w:r>
      <w:r w:rsidRPr="00071346">
        <w:rPr>
          <w:noProof/>
          <w:lang w:val="en-US"/>
        </w:rPr>
        <w:t>(4)</w:t>
      </w:r>
    </w:p>
    <w:p w:rsidR="00071346" w:rsidRPr="00071346" w:rsidRDefault="00071346" w:rsidP="00071346">
      <w:pPr>
        <w:rPr>
          <w:noProof/>
          <w:lang w:val="en-US"/>
        </w:rPr>
      </w:pPr>
      <w:r w:rsidRPr="00071346">
        <w:rPr>
          <w:noProof/>
          <w:lang w:val="en-US"/>
        </w:rPr>
        <w:t xml:space="preserve">where </w:t>
      </w:r>
      <w:r w:rsidRPr="00071346">
        <w:rPr>
          <w:i/>
          <w:iCs/>
          <w:noProof/>
          <w:lang w:val="en-US"/>
        </w:rPr>
        <w:t>R</w:t>
      </w:r>
      <w:r w:rsidRPr="00071346">
        <w:rPr>
          <w:i/>
          <w:iCs/>
          <w:noProof/>
          <w:vertAlign w:val="subscript"/>
          <w:lang w:val="en-US"/>
        </w:rPr>
        <w:t>a</w:t>
      </w:r>
      <w:r w:rsidRPr="00071346">
        <w:rPr>
          <w:noProof/>
          <w:lang w:val="en-US"/>
        </w:rPr>
        <w:t xml:space="preserve">, </w:t>
      </w:r>
      <w:r w:rsidRPr="00071346">
        <w:rPr>
          <w:i/>
          <w:iCs/>
          <w:noProof/>
          <w:lang w:val="en-US"/>
        </w:rPr>
        <w:t>R</w:t>
      </w:r>
      <w:r w:rsidRPr="00071346">
        <w:rPr>
          <w:i/>
          <w:iCs/>
          <w:noProof/>
          <w:vertAlign w:val="subscript"/>
          <w:lang w:val="en-US"/>
        </w:rPr>
        <w:t>b</w:t>
      </w:r>
      <w:r w:rsidRPr="00071346">
        <w:rPr>
          <w:noProof/>
          <w:lang w:val="en-US"/>
        </w:rPr>
        <w:t xml:space="preserve"> and </w:t>
      </w:r>
      <w:r w:rsidRPr="00071346">
        <w:rPr>
          <w:i/>
          <w:iCs/>
          <w:noProof/>
          <w:lang w:val="en-US"/>
        </w:rPr>
        <w:t>R</w:t>
      </w:r>
      <w:r w:rsidRPr="00071346">
        <w:rPr>
          <w:i/>
          <w:iCs/>
          <w:noProof/>
          <w:vertAlign w:val="subscript"/>
          <w:lang w:val="en-US"/>
        </w:rPr>
        <w:t>c</w:t>
      </w:r>
      <w:r w:rsidRPr="00071346">
        <w:rPr>
          <w:noProof/>
          <w:lang w:val="en-US"/>
        </w:rPr>
        <w:t xml:space="preserve"> are the </w:t>
      </w:r>
      <w:r w:rsidRPr="00071346">
        <w:rPr>
          <w:lang w:val="en-US"/>
        </w:rPr>
        <w:t>below-blanker signal-to-receiver noise density ratio for systems “</w:t>
      </w:r>
      <w:r w:rsidRPr="00071346">
        <w:rPr>
          <w:i/>
          <w:iCs/>
          <w:lang w:val="en-US"/>
        </w:rPr>
        <w:t>a</w:t>
      </w:r>
      <w:r w:rsidRPr="00071346">
        <w:rPr>
          <w:lang w:val="en-US"/>
        </w:rPr>
        <w:t>”, “</w:t>
      </w:r>
      <w:r w:rsidRPr="00071346">
        <w:rPr>
          <w:i/>
          <w:iCs/>
          <w:lang w:val="en-US"/>
        </w:rPr>
        <w:t>b</w:t>
      </w:r>
      <w:r w:rsidRPr="00071346">
        <w:rPr>
          <w:lang w:val="en-US"/>
        </w:rPr>
        <w:t>” and “</w:t>
      </w:r>
      <w:r w:rsidRPr="00071346">
        <w:rPr>
          <w:i/>
          <w:iCs/>
          <w:lang w:val="en-US"/>
        </w:rPr>
        <w:t>c</w:t>
      </w:r>
      <w:r w:rsidRPr="00071346">
        <w:rPr>
          <w:lang w:val="en-US"/>
        </w:rPr>
        <w:t>” respectively.</w:t>
      </w:r>
    </w:p>
    <w:p w:rsidR="00071346" w:rsidRPr="00071346" w:rsidRDefault="00071346" w:rsidP="00071346">
      <w:pPr>
        <w:rPr>
          <w:noProof/>
          <w:lang w:val="en-US"/>
        </w:rPr>
      </w:pPr>
      <w:r w:rsidRPr="00071346">
        <w:rPr>
          <w:noProof/>
          <w:lang w:val="en-US"/>
        </w:rPr>
        <w:t xml:space="preserve">These ratios are calculated without regard to the presence of any other pulses that overlap in time from the various individual pulsed RFI sources. The pulse duty cycle of an individual source, </w:t>
      </w:r>
      <w:r w:rsidRPr="00071346">
        <w:rPr>
          <w:i/>
          <w:noProof/>
          <w:lang w:val="en-US"/>
        </w:rPr>
        <w:t>j</w:t>
      </w:r>
      <w:r w:rsidRPr="00071346">
        <w:rPr>
          <w:noProof/>
          <w:lang w:val="en-US"/>
        </w:rPr>
        <w:t xml:space="preserve">, of a system, </w:t>
      </w:r>
      <w:r w:rsidRPr="00071346">
        <w:rPr>
          <w:i/>
          <w:noProof/>
          <w:lang w:val="en-US"/>
        </w:rPr>
        <w:t>y</w:t>
      </w:r>
      <w:r w:rsidRPr="00071346">
        <w:rPr>
          <w:noProof/>
          <w:lang w:val="en-US"/>
        </w:rPr>
        <w:t xml:space="preserve"> for below-blanker threshold received pulses, </w:t>
      </w:r>
      <w:r w:rsidRPr="00071346">
        <w:rPr>
          <w:i/>
          <w:lang w:val="en-US" w:eastAsia="ru-RU"/>
        </w:rPr>
        <w:t>dc</w:t>
      </w:r>
      <w:r w:rsidRPr="00071346">
        <w:rPr>
          <w:i/>
          <w:vertAlign w:val="subscript"/>
          <w:lang w:val="en-US" w:eastAsia="ru-RU"/>
        </w:rPr>
        <w:t>y,j</w:t>
      </w:r>
      <w:r w:rsidRPr="00071346">
        <w:rPr>
          <w:i/>
          <w:lang w:val="en-US" w:eastAsia="ru-RU"/>
        </w:rPr>
        <w:t>,</w:t>
      </w:r>
      <w:r w:rsidRPr="00071346">
        <w:rPr>
          <w:noProof/>
          <w:lang w:val="en-US"/>
        </w:rPr>
        <w:t xml:space="preserve"> is defined by:</w:t>
      </w:r>
    </w:p>
    <w:p w:rsidR="00071346" w:rsidRPr="00071346" w:rsidRDefault="00071346" w:rsidP="00071346">
      <w:pPr>
        <w:pStyle w:val="Equation"/>
        <w:rPr>
          <w:lang w:val="en-US" w:eastAsia="ru-RU"/>
        </w:rPr>
      </w:pPr>
      <w:r w:rsidRPr="00071346">
        <w:rPr>
          <w:lang w:val="en-US" w:eastAsia="ru-RU"/>
        </w:rPr>
        <w:tab/>
      </w:r>
      <w:r w:rsidRPr="00071346">
        <w:rPr>
          <w:lang w:val="en-US" w:eastAsia="ru-RU"/>
        </w:rPr>
        <w:tab/>
      </w:r>
      <w:r w:rsidRPr="00071346">
        <w:rPr>
          <w:i/>
          <w:lang w:val="en-US" w:eastAsia="ru-RU"/>
        </w:rPr>
        <w:t>dc</w:t>
      </w:r>
      <w:r w:rsidRPr="00071346">
        <w:rPr>
          <w:i/>
          <w:vertAlign w:val="subscript"/>
          <w:lang w:val="en-US" w:eastAsia="ru-RU"/>
        </w:rPr>
        <w:t>y,j</w:t>
      </w:r>
      <w:r w:rsidRPr="00071346">
        <w:rPr>
          <w:i/>
          <w:lang w:val="en-US" w:eastAsia="ru-RU"/>
        </w:rPr>
        <w:t xml:space="preserve"> = PW</w:t>
      </w:r>
      <w:r w:rsidRPr="00071346">
        <w:rPr>
          <w:i/>
          <w:vertAlign w:val="subscript"/>
          <w:lang w:val="en-US" w:eastAsia="ru-RU"/>
        </w:rPr>
        <w:t>y</w:t>
      </w:r>
      <w:r w:rsidRPr="00071346">
        <w:rPr>
          <w:i/>
          <w:lang w:val="en-US" w:eastAsia="ru-RU"/>
        </w:rPr>
        <w:t>,</w:t>
      </w:r>
      <w:r w:rsidRPr="00071346">
        <w:rPr>
          <w:i/>
          <w:vertAlign w:val="subscript"/>
          <w:lang w:val="en-US" w:eastAsia="ru-RU"/>
        </w:rPr>
        <w:t>j</w:t>
      </w:r>
      <w:r>
        <w:rPr>
          <w:i/>
          <w:szCs w:val="24"/>
          <w:lang w:eastAsia="ru-RU"/>
        </w:rPr>
        <w:sym w:font="Symbol" w:char="F0D7"/>
      </w:r>
      <w:r w:rsidRPr="00071346">
        <w:rPr>
          <w:i/>
          <w:lang w:val="en-US" w:eastAsia="ru-RU"/>
        </w:rPr>
        <w:t>PRF</w:t>
      </w:r>
      <w:r w:rsidRPr="00071346">
        <w:rPr>
          <w:i/>
          <w:vertAlign w:val="subscript"/>
          <w:lang w:val="en-US" w:eastAsia="ru-RU"/>
        </w:rPr>
        <w:t>y,j</w:t>
      </w:r>
      <w:r w:rsidRPr="00071346">
        <w:rPr>
          <w:lang w:val="en-US" w:eastAsia="ru-RU"/>
        </w:rPr>
        <w:tab/>
        <w:t>(4a)</w:t>
      </w:r>
    </w:p>
    <w:p w:rsidR="00071346" w:rsidRPr="00071346" w:rsidRDefault="00071346" w:rsidP="00071346">
      <w:pPr>
        <w:spacing w:before="240"/>
        <w:rPr>
          <w:noProof/>
          <w:lang w:val="en-US"/>
        </w:rPr>
      </w:pPr>
      <w:r w:rsidRPr="00071346">
        <w:rPr>
          <w:noProof/>
          <w:lang w:val="en-US"/>
        </w:rPr>
        <w:t>where the equation right side terms are defined similar to (3a) except they are with respect to below-blanker threshold pulse characteristics.</w:t>
      </w:r>
    </w:p>
    <w:p w:rsidR="00071346" w:rsidRPr="00071346" w:rsidRDefault="00071346" w:rsidP="00071346">
      <w:pPr>
        <w:pStyle w:val="Heading2"/>
        <w:rPr>
          <w:lang w:val="en-US"/>
        </w:rPr>
      </w:pPr>
      <w:r w:rsidRPr="00071346">
        <w:rPr>
          <w:lang w:val="en-US"/>
        </w:rPr>
        <w:t>2.2</w:t>
      </w:r>
      <w:r w:rsidRPr="00071346">
        <w:rPr>
          <w:lang w:val="en-US"/>
        </w:rPr>
        <w:tab/>
        <w:t>Effective noise density calculation (receiver pulse saturation)</w:t>
      </w:r>
    </w:p>
    <w:p w:rsidR="00071346" w:rsidRPr="00071346" w:rsidRDefault="00071346" w:rsidP="009E243E">
      <w:pPr>
        <w:rPr>
          <w:lang w:val="en-US"/>
        </w:rPr>
      </w:pPr>
      <w:r w:rsidRPr="00071346">
        <w:rPr>
          <w:lang w:val="en-US"/>
        </w:rPr>
        <w:t xml:space="preserve">Certain RNSS receivers operating in the RNSS bands in, for example, ground-based applications may not be subjected to large amounts of in-band and adjacent band pulsed RFI as air navigation or similar receivers are. As such, they may not contain pulse blanking circuitry as described in </w:t>
      </w:r>
      <w:r w:rsidR="009E243E">
        <w:rPr>
          <w:lang w:val="en-US"/>
        </w:rPr>
        <w:t>§</w:t>
      </w:r>
      <w:r w:rsidRPr="00071346">
        <w:rPr>
          <w:lang w:val="en-US"/>
        </w:rPr>
        <w:t xml:space="preserve"> 2.1 above but rather will be saturated briefly by RFI pulses from a nearby source. The presence of pulsed RFI reduces the amount of continuous RFI that the RNSS receiver can tolerate. The effects of both pulsed and continuous RFI for a saturating RNSS receiver can be quantified by defining an effective post-correlator noise power spectral density,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as:</w:t>
      </w:r>
    </w:p>
    <w:p w:rsidR="00071346" w:rsidRPr="00071346" w:rsidRDefault="00071346" w:rsidP="00071346">
      <w:pPr>
        <w:pStyle w:val="Equation"/>
        <w:spacing w:before="240"/>
        <w:rPr>
          <w:lang w:val="en-US"/>
        </w:rPr>
      </w:pPr>
      <w:r w:rsidRPr="00071346">
        <w:rPr>
          <w:lang w:val="en-US"/>
        </w:rPr>
        <w:tab/>
      </w:r>
      <w:r w:rsidRPr="00071346">
        <w:rPr>
          <w:lang w:val="en-US"/>
        </w:rPr>
        <w:tab/>
      </w:r>
      <w:r>
        <w:rPr>
          <w:position w:val="-28"/>
        </w:rPr>
        <w:object w:dxaOrig="5130" w:dyaOrig="1200">
          <v:shape id="_x0000_i1029" type="#_x0000_t75" style="width:258.05pt;height:61.05pt" o:ole="">
            <v:imagedata r:id="rId22" o:title=""/>
          </v:shape>
          <o:OLEObject Type="Embed" ProgID="Equation.DSMT4" ShapeID="_x0000_i1029" DrawAspect="Content" ObjectID="_1417409635" r:id="rId23"/>
        </w:object>
      </w:r>
      <w:r w:rsidRPr="00071346">
        <w:rPr>
          <w:lang w:val="en-US"/>
        </w:rPr>
        <w:tab/>
      </w:r>
      <w:r w:rsidRPr="00071346">
        <w:rPr>
          <w:szCs w:val="24"/>
          <w:lang w:val="en-US"/>
        </w:rPr>
        <w:t>(5)</w:t>
      </w:r>
    </w:p>
    <w:p w:rsidR="00071346" w:rsidRPr="00071346" w:rsidRDefault="00071346" w:rsidP="00071346">
      <w:pPr>
        <w:rPr>
          <w:lang w:val="en-US"/>
        </w:rPr>
      </w:pPr>
      <w:r w:rsidRPr="00071346">
        <w:rPr>
          <w:lang w:val="en-US"/>
        </w:rPr>
        <w:t>where:</w:t>
      </w:r>
    </w:p>
    <w:p w:rsidR="00071346" w:rsidRDefault="00071346" w:rsidP="00186BEB">
      <w:pPr>
        <w:pStyle w:val="Equationlegend"/>
      </w:pPr>
      <w:r>
        <w:tab/>
      </w:r>
      <w:r>
        <w:rPr>
          <w:i/>
          <w:iCs/>
        </w:rPr>
        <w:t>N</w:t>
      </w:r>
      <w:r>
        <w:rPr>
          <w:vertAlign w:val="subscript"/>
        </w:rPr>
        <w:t>0</w:t>
      </w:r>
      <w:r>
        <w:t>:</w:t>
      </w:r>
      <w:r>
        <w:tab/>
        <w:t>receive system thermal noise power spectral density in W/Hz (= kT</w:t>
      </w:r>
      <w:r>
        <w:rPr>
          <w:vertAlign w:val="subscript"/>
        </w:rPr>
        <w:t>SYS</w:t>
      </w:r>
      <w:r w:rsidR="000506CF">
        <w:t>)</w:t>
      </w:r>
    </w:p>
    <w:p w:rsidR="00071346" w:rsidRDefault="00071346" w:rsidP="00186BEB">
      <w:pPr>
        <w:pStyle w:val="Equationlegend"/>
      </w:pPr>
      <w:r>
        <w:tab/>
      </w:r>
      <w:r>
        <w:rPr>
          <w:i/>
          <w:iCs/>
        </w:rPr>
        <w:t>I</w:t>
      </w:r>
      <w:r>
        <w:rPr>
          <w:vertAlign w:val="subscript"/>
        </w:rPr>
        <w:t>0,</w:t>
      </w:r>
      <w:r>
        <w:rPr>
          <w:i/>
          <w:iCs/>
          <w:vertAlign w:val="subscript"/>
        </w:rPr>
        <w:t>WB</w:t>
      </w:r>
      <w:r>
        <w:t>:</w:t>
      </w:r>
      <w:r>
        <w:tab/>
        <w:t>total wideband equivalent continuou</w:t>
      </w:r>
      <w:r w:rsidR="00186BEB">
        <w:t>s RFI power spectral density (W</w:t>
      </w:r>
      <w:r w:rsidR="000506CF">
        <w:t>/Hz)</w:t>
      </w:r>
    </w:p>
    <w:p w:rsidR="00071346" w:rsidRDefault="00071346" w:rsidP="00071346">
      <w:pPr>
        <w:pStyle w:val="Equationlegend"/>
      </w:pPr>
      <w:r>
        <w:rPr>
          <w:i/>
          <w:iCs/>
        </w:rPr>
        <w:tab/>
        <w:t>PDC</w:t>
      </w:r>
      <w:r>
        <w:rPr>
          <w:i/>
          <w:iCs/>
          <w:vertAlign w:val="subscript"/>
        </w:rPr>
        <w:t>LIM</w:t>
      </w:r>
      <w:r>
        <w:t>:</w:t>
      </w:r>
      <w:r>
        <w:tab/>
        <w:t>aggregate fractional duty cycle of the s</w:t>
      </w:r>
      <w:r w:rsidR="000506CF">
        <w:t>aturating RFI pulses (unitless)</w:t>
      </w:r>
    </w:p>
    <w:p w:rsidR="00071346" w:rsidRDefault="00071346" w:rsidP="00071346">
      <w:pPr>
        <w:pStyle w:val="Equationlegend"/>
      </w:pPr>
      <w:r>
        <w:tab/>
      </w:r>
      <w:r>
        <w:rPr>
          <w:i/>
          <w:iCs/>
        </w:rPr>
        <w:t>R</w:t>
      </w:r>
      <w:r>
        <w:rPr>
          <w:i/>
          <w:iCs/>
          <w:vertAlign w:val="subscript"/>
        </w:rPr>
        <w:t>I</w:t>
      </w:r>
      <w:r>
        <w:t>:</w:t>
      </w:r>
      <w:r>
        <w:tab/>
        <w:t xml:space="preserve">ratio (unitless) of aggregate below-saturation average pulse RFI power density to </w:t>
      </w:r>
      <w:r>
        <w:rPr>
          <w:i/>
          <w:iCs/>
        </w:rPr>
        <w:t>N</w:t>
      </w:r>
      <w:r>
        <w:rPr>
          <w:vertAlign w:val="subscript"/>
        </w:rPr>
        <w:t>0</w:t>
      </w:r>
      <w:r>
        <w:t>; and</w:t>
      </w:r>
    </w:p>
    <w:p w:rsidR="00071346" w:rsidRDefault="00071346" w:rsidP="00071346">
      <w:pPr>
        <w:pStyle w:val="Equationlegend"/>
      </w:pPr>
      <w:r>
        <w:rPr>
          <w:i/>
          <w:iCs/>
        </w:rPr>
        <w:lastRenderedPageBreak/>
        <w:tab/>
        <w:t>N</w:t>
      </w:r>
      <w:r>
        <w:rPr>
          <w:i/>
          <w:iCs/>
          <w:vertAlign w:val="subscript"/>
        </w:rPr>
        <w:t>LIM</w:t>
      </w:r>
      <w:r>
        <w:t>:</w:t>
      </w:r>
      <w:r>
        <w:tab/>
        <w:t>ratio (unitless) of receiver analogue-to-digital (A/D) saturation level to 1</w:t>
      </w:r>
      <w:r w:rsidR="00186BEB">
        <w:t> </w:t>
      </w:r>
      <w:r>
        <w:rPr>
          <w:szCs w:val="24"/>
        </w:rPr>
        <w:sym w:font="Symbol" w:char="F073"/>
      </w:r>
      <w:r>
        <w:t xml:space="preserve"> noise voltage established by automatic gain control (AGC).</w:t>
      </w:r>
    </w:p>
    <w:p w:rsidR="00071346" w:rsidRPr="00071346" w:rsidRDefault="00071346" w:rsidP="00071346">
      <w:pPr>
        <w:rPr>
          <w:lang w:val="en-US"/>
        </w:rPr>
      </w:pPr>
      <w:r w:rsidRPr="00071346">
        <w:rPr>
          <w:lang w:val="en-US"/>
        </w:rPr>
        <w:t xml:space="preserve">All the noise and interference terms in equation (5) are referenced to the receive system passive antenna terminals. The parameter </w:t>
      </w:r>
      <w:r w:rsidRPr="00071346">
        <w:rPr>
          <w:i/>
          <w:iCs/>
          <w:lang w:val="en-US"/>
        </w:rPr>
        <w:t>N</w:t>
      </w:r>
      <w:r w:rsidRPr="00071346">
        <w:rPr>
          <w:i/>
          <w:iCs/>
          <w:vertAlign w:val="subscript"/>
          <w:lang w:val="en-US"/>
        </w:rPr>
        <w:t>LIM</w:t>
      </w:r>
      <w:r w:rsidRPr="00071346">
        <w:rPr>
          <w:lang w:val="en-US"/>
        </w:rPr>
        <w:t xml:space="preserve"> is a receiver parameter that is determined by the A/D conversion implementation. For the simplest hard-limiting RNSS receiver (with a “1-bit” quantizer), </w:t>
      </w:r>
      <w:r w:rsidRPr="00071346">
        <w:rPr>
          <w:i/>
          <w:iCs/>
          <w:lang w:val="en-US"/>
        </w:rPr>
        <w:t>N</w:t>
      </w:r>
      <w:r w:rsidRPr="00071346">
        <w:rPr>
          <w:i/>
          <w:iCs/>
          <w:vertAlign w:val="subscript"/>
          <w:lang w:val="en-US"/>
        </w:rPr>
        <w:t>LIM</w:t>
      </w:r>
      <w:r w:rsidRPr="00071346">
        <w:rPr>
          <w:lang w:val="en-US"/>
        </w:rPr>
        <w:t xml:space="preserve"> = unity. Since, in that case, the receiver limits on noise, the RFI parameter </w:t>
      </w:r>
      <w:r w:rsidRPr="00071346">
        <w:rPr>
          <w:i/>
          <w:iCs/>
          <w:lang w:val="en-US"/>
        </w:rPr>
        <w:t>R</w:t>
      </w:r>
      <w:r w:rsidRPr="00071346">
        <w:rPr>
          <w:i/>
          <w:iCs/>
          <w:vertAlign w:val="subscript"/>
          <w:lang w:val="en-US"/>
        </w:rPr>
        <w:t>I</w:t>
      </w:r>
      <w:r w:rsidRPr="00071346">
        <w:rPr>
          <w:lang w:val="en-US"/>
        </w:rPr>
        <w:t xml:space="preserve"> is essentially zero. In more general cases, </w:t>
      </w:r>
      <w:r w:rsidRPr="00071346">
        <w:rPr>
          <w:i/>
          <w:iCs/>
          <w:lang w:val="en-US"/>
        </w:rPr>
        <w:t>R</w:t>
      </w:r>
      <w:r w:rsidRPr="00071346">
        <w:rPr>
          <w:i/>
          <w:iCs/>
          <w:vertAlign w:val="subscript"/>
          <w:lang w:val="en-US"/>
        </w:rPr>
        <w:t>I</w:t>
      </w:r>
      <w:r w:rsidRPr="00071346">
        <w:rPr>
          <w:lang w:val="en-US"/>
        </w:rPr>
        <w:t xml:space="preserve"> is related to the receiver A/D saturation level and the peak power and pulse duty cycle of below-saturation RFI pulses with the same definition form as in equation (2). As in equation (1), the terms </w:t>
      </w:r>
      <w:r w:rsidRPr="00071346">
        <w:rPr>
          <w:i/>
          <w:iCs/>
          <w:lang w:val="en-US"/>
        </w:rPr>
        <w:t>PDC</w:t>
      </w:r>
      <w:r w:rsidRPr="00071346">
        <w:rPr>
          <w:i/>
          <w:iCs/>
          <w:vertAlign w:val="subscript"/>
          <w:lang w:val="en-US"/>
        </w:rPr>
        <w:t>LIM</w:t>
      </w:r>
      <w:r w:rsidRPr="00071346">
        <w:rPr>
          <w:iCs/>
          <w:lang w:val="en-US"/>
        </w:rPr>
        <w:t xml:space="preserve"> and </w:t>
      </w:r>
      <w:r w:rsidRPr="00071346">
        <w:rPr>
          <w:i/>
          <w:iCs/>
          <w:lang w:val="en-US"/>
        </w:rPr>
        <w:t>R</w:t>
      </w:r>
      <w:r w:rsidRPr="00071346">
        <w:rPr>
          <w:i/>
          <w:iCs/>
          <w:vertAlign w:val="subscript"/>
          <w:lang w:val="en-US"/>
        </w:rPr>
        <w:t>I</w:t>
      </w:r>
      <w:r w:rsidRPr="00071346">
        <w:rPr>
          <w:iCs/>
          <w:lang w:val="en-US"/>
        </w:rPr>
        <w:t xml:space="preserve"> represent aggregate values for the pulsed RFI sources involved.</w:t>
      </w:r>
      <w:r w:rsidRPr="00071346">
        <w:rPr>
          <w:lang w:val="en-US"/>
        </w:rPr>
        <w:t xml:space="preserve"> Note also that when no pulsed RFI is present, the RFI parameters, </w:t>
      </w:r>
      <w:r w:rsidRPr="00071346">
        <w:rPr>
          <w:i/>
          <w:iCs/>
          <w:lang w:val="en-US"/>
        </w:rPr>
        <w:t>PDC</w:t>
      </w:r>
      <w:r w:rsidRPr="00071346">
        <w:rPr>
          <w:i/>
          <w:iCs/>
          <w:vertAlign w:val="subscript"/>
          <w:lang w:val="en-US"/>
        </w:rPr>
        <w:t>LIM</w:t>
      </w:r>
      <w:r w:rsidRPr="00071346">
        <w:rPr>
          <w:lang w:val="en-US"/>
        </w:rPr>
        <w:t xml:space="preserve"> and </w:t>
      </w:r>
      <w:r w:rsidRPr="00071346">
        <w:rPr>
          <w:i/>
          <w:iCs/>
          <w:lang w:val="en-US"/>
        </w:rPr>
        <w:t>R</w:t>
      </w:r>
      <w:r w:rsidRPr="00071346">
        <w:rPr>
          <w:i/>
          <w:iCs/>
          <w:vertAlign w:val="subscript"/>
          <w:lang w:val="en-US"/>
        </w:rPr>
        <w:t>I</w:t>
      </w:r>
      <w:r w:rsidRPr="00071346">
        <w:rPr>
          <w:lang w:val="en-US"/>
        </w:rPr>
        <w:t xml:space="preserve"> are zero and equation (5) reduces to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 </w:t>
      </w:r>
      <w:r w:rsidRPr="00071346">
        <w:rPr>
          <w:i/>
          <w:iCs/>
          <w:lang w:val="en-US"/>
        </w:rPr>
        <w:t>N</w:t>
      </w:r>
      <w:r w:rsidRPr="00071346">
        <w:rPr>
          <w:vertAlign w:val="subscript"/>
          <w:lang w:val="en-US"/>
        </w:rPr>
        <w:t>0</w:t>
      </w:r>
      <w:r w:rsidRPr="00071346">
        <w:rPr>
          <w:lang w:val="en-US"/>
        </w:rPr>
        <w:t xml:space="preserve"> + </w:t>
      </w:r>
      <w:r w:rsidRPr="00071346">
        <w:rPr>
          <w:i/>
          <w:iCs/>
          <w:lang w:val="en-US"/>
        </w:rPr>
        <w:t>I</w:t>
      </w:r>
      <w:r w:rsidRPr="00071346">
        <w:rPr>
          <w:vertAlign w:val="subscript"/>
          <w:lang w:val="en-US"/>
        </w:rPr>
        <w:t>0,</w:t>
      </w:r>
      <w:r w:rsidRPr="00071346">
        <w:rPr>
          <w:i/>
          <w:iCs/>
          <w:vertAlign w:val="subscript"/>
          <w:lang w:val="en-US"/>
        </w:rPr>
        <w:t>WB</w:t>
      </w:r>
      <w:r w:rsidRPr="00071346">
        <w:rPr>
          <w:lang w:val="en-US"/>
        </w:rPr>
        <w:t>, a familiar definition for continuous RFI analysis.</w:t>
      </w:r>
    </w:p>
    <w:p w:rsidR="00071346" w:rsidRPr="00071346" w:rsidRDefault="00071346" w:rsidP="00071346">
      <w:pPr>
        <w:rPr>
          <w:lang w:val="en-US"/>
        </w:rPr>
      </w:pPr>
      <w:r w:rsidRPr="00071346">
        <w:rPr>
          <w:lang w:val="en-US"/>
        </w:rPr>
        <w:t xml:space="preserve">The individual source saturated pulse duty cycle, </w:t>
      </w:r>
      <w:r w:rsidRPr="00071346">
        <w:rPr>
          <w:i/>
          <w:iCs/>
          <w:lang w:val="en-US"/>
        </w:rPr>
        <w:t>PDC</w:t>
      </w:r>
      <w:r w:rsidRPr="00071346">
        <w:rPr>
          <w:i/>
          <w:iCs/>
          <w:vertAlign w:val="subscript"/>
          <w:lang w:val="en-US"/>
        </w:rPr>
        <w:t>LIM,j</w:t>
      </w:r>
      <w:r w:rsidRPr="00071346">
        <w:rPr>
          <w:i/>
          <w:iCs/>
          <w:lang w:val="en-US"/>
        </w:rPr>
        <w:t xml:space="preserve">, </w:t>
      </w:r>
      <w:r w:rsidRPr="00071346">
        <w:rPr>
          <w:iCs/>
          <w:lang w:val="en-US"/>
        </w:rPr>
        <w:t>making up the aggregate duty cycle is defined in the same form as equation (3a) except with respect to the receiver input saturation level (approximated by the tabulated receiver input compression level). The individual source below</w:t>
      </w:r>
      <w:r w:rsidRPr="00071346">
        <w:rPr>
          <w:iCs/>
          <w:lang w:val="en-US"/>
        </w:rPr>
        <w:noBreakHyphen/>
        <w:t>saturation duty cycle is defined in the same form as equation (4a)</w:t>
      </w:r>
      <w:r w:rsidRPr="00071346">
        <w:rPr>
          <w:lang w:val="en-US"/>
        </w:rPr>
        <w:t>.</w:t>
      </w:r>
    </w:p>
    <w:p w:rsidR="00071346" w:rsidRPr="00071346" w:rsidRDefault="00071346" w:rsidP="00071346">
      <w:pPr>
        <w:rPr>
          <w:lang w:val="en-US"/>
        </w:rPr>
      </w:pPr>
      <w:r w:rsidRPr="00071346">
        <w:rPr>
          <w:lang w:val="en-US"/>
        </w:rPr>
        <w:t xml:space="preserve">Given a maximum value for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and the set of pulsed RFI parameters, equation (5) can be solved for the allowable aggregate continuous wideband power spectral density for the non-RNSS interference component.</w:t>
      </w:r>
    </w:p>
    <w:p w:rsidR="00071346" w:rsidRPr="00071346" w:rsidRDefault="00071346" w:rsidP="00071346">
      <w:pPr>
        <w:pStyle w:val="Heading2"/>
        <w:rPr>
          <w:lang w:val="en-US"/>
        </w:rPr>
      </w:pPr>
      <w:r w:rsidRPr="00071346">
        <w:rPr>
          <w:lang w:val="en-US"/>
        </w:rPr>
        <w:t>2.3</w:t>
      </w:r>
      <w:r w:rsidRPr="00071346">
        <w:rPr>
          <w:lang w:val="en-US"/>
        </w:rPr>
        <w:tab/>
        <w:t>Usage limits for effective noise power spectral density (</w:t>
      </w:r>
      <w:r w:rsidRPr="00071346">
        <w:rPr>
          <w:i/>
          <w:lang w:val="en-US"/>
        </w:rPr>
        <w:t>N</w:t>
      </w:r>
      <w:r w:rsidRPr="00071346">
        <w:rPr>
          <w:vertAlign w:val="subscript"/>
          <w:lang w:val="en-US"/>
        </w:rPr>
        <w:t>0,</w:t>
      </w:r>
      <w:r w:rsidRPr="00071346">
        <w:rPr>
          <w:i/>
          <w:vertAlign w:val="subscript"/>
          <w:lang w:val="en-US"/>
        </w:rPr>
        <w:t>EFF</w:t>
      </w:r>
      <w:r w:rsidRPr="00071346">
        <w:rPr>
          <w:lang w:val="en-US"/>
        </w:rPr>
        <w:t>) equations</w:t>
      </w:r>
    </w:p>
    <w:p w:rsidR="00071346" w:rsidRPr="00071346" w:rsidRDefault="00071346" w:rsidP="00186BEB">
      <w:pPr>
        <w:rPr>
          <w:iCs/>
          <w:lang w:val="en-US"/>
        </w:rPr>
      </w:pPr>
      <w:r w:rsidRPr="00071346">
        <w:rPr>
          <w:iCs/>
          <w:lang w:val="en-US"/>
        </w:rPr>
        <w:t>For RFI pulse width values from 0.1 to 1 000 microseconds,</w:t>
      </w:r>
      <w:r w:rsidRPr="00071346">
        <w:rPr>
          <w:lang w:val="en-US"/>
        </w:rPr>
        <w:t xml:space="preserve"> the </w:t>
      </w:r>
      <w:r w:rsidRPr="00071346">
        <w:rPr>
          <w:i/>
          <w:iCs/>
          <w:lang w:val="en-US"/>
        </w:rPr>
        <w:t>N</w:t>
      </w:r>
      <w:r w:rsidRPr="00071346">
        <w:rPr>
          <w:vertAlign w:val="subscript"/>
          <w:lang w:val="en-US"/>
        </w:rPr>
        <w:t>0,</w:t>
      </w:r>
      <w:r w:rsidRPr="00071346">
        <w:rPr>
          <w:i/>
          <w:iCs/>
          <w:vertAlign w:val="subscript"/>
          <w:lang w:val="en-US"/>
        </w:rPr>
        <w:t>EFF</w:t>
      </w:r>
      <w:r w:rsidRPr="00071346">
        <w:rPr>
          <w:i/>
          <w:iCs/>
          <w:lang w:val="en-US"/>
        </w:rPr>
        <w:t xml:space="preserve"> </w:t>
      </w:r>
      <w:r w:rsidRPr="00071346">
        <w:rPr>
          <w:lang w:val="en-US"/>
        </w:rPr>
        <w:t xml:space="preserve">defining equations described in </w:t>
      </w:r>
      <w:r w:rsidR="00186BEB">
        <w:rPr>
          <w:lang w:val="en-US"/>
        </w:rPr>
        <w:t>§§</w:t>
      </w:r>
      <w:r w:rsidRPr="00071346">
        <w:rPr>
          <w:lang w:val="en-US"/>
        </w:rPr>
        <w:t xml:space="preserve"> 2.1 and 2.2 above </w:t>
      </w:r>
      <w:r w:rsidRPr="00071346">
        <w:rPr>
          <w:iCs/>
          <w:lang w:val="en-US"/>
        </w:rPr>
        <w:t>have been shown to properly represent the pulsed RFI effect on RNSS receivers operating in signal tracking mode in the 1 164-1 215 MHz and 1 215-1 300 MHz bands. For some RNSS receivers operating in the signal acquisition mode, the equations also properly represent the pulsed RFI effect over the same RFI pulse width range as long as associated pulse duty cycles remain moderate.</w:t>
      </w:r>
    </w:p>
    <w:p w:rsidR="00071346" w:rsidRDefault="00071346" w:rsidP="00186BEB">
      <w:pPr>
        <w:ind w:right="-284"/>
        <w:rPr>
          <w:lang w:val="en-US" w:eastAsia="ru-RU"/>
        </w:rPr>
      </w:pPr>
      <w:r>
        <w:rPr>
          <w:lang w:val="en-US" w:eastAsia="ru-RU"/>
        </w:rPr>
        <w:t>For certain RNSS receivers operating in the acquisition mode with short integration time (about 1</w:t>
      </w:r>
      <w:r>
        <w:rPr>
          <w:lang w:val="en-US" w:eastAsia="ru-RU"/>
        </w:rPr>
        <w:noBreakHyphen/>
        <w:t xml:space="preserve">2 ms), </w:t>
      </w:r>
      <w:r w:rsidRPr="00071346">
        <w:rPr>
          <w:iCs/>
          <w:lang w:val="en-US"/>
        </w:rPr>
        <w:t xml:space="preserve">the equations </w:t>
      </w:r>
      <w:r w:rsidRPr="00071346">
        <w:rPr>
          <w:lang w:val="en-US"/>
        </w:rPr>
        <w:t xml:space="preserve">in </w:t>
      </w:r>
      <w:r w:rsidR="00186BEB">
        <w:rPr>
          <w:lang w:val="en-US"/>
        </w:rPr>
        <w:t>§§</w:t>
      </w:r>
      <w:r w:rsidRPr="00071346">
        <w:rPr>
          <w:lang w:val="en-US"/>
        </w:rPr>
        <w:t xml:space="preserve"> 2.1 and 2.2 may not </w:t>
      </w:r>
      <w:r w:rsidRPr="00071346">
        <w:rPr>
          <w:iCs/>
          <w:lang w:val="en-US"/>
        </w:rPr>
        <w:t xml:space="preserve">properly represent the pulsed RFI effect over the same RFI pulse width range at high pulse duty cycles (including the 1 559-1 610 MHz band). Thus </w:t>
      </w:r>
      <w:r>
        <w:rPr>
          <w:lang w:val="en-US" w:eastAsia="ru-RU"/>
        </w:rPr>
        <w:t>further study is needed to determine the usage limits for high duty cycle and long interference pulse width and verify the equation predictions.</w:t>
      </w:r>
    </w:p>
    <w:p w:rsidR="00071346" w:rsidRPr="00071346" w:rsidRDefault="00071346" w:rsidP="00071346">
      <w:pPr>
        <w:pStyle w:val="Heading1"/>
        <w:rPr>
          <w:lang w:val="en-US"/>
        </w:rPr>
      </w:pPr>
      <w:r w:rsidRPr="00071346">
        <w:rPr>
          <w:lang w:val="en-US"/>
        </w:rPr>
        <w:t>3</w:t>
      </w:r>
      <w:r w:rsidRPr="00071346">
        <w:rPr>
          <w:lang w:val="en-US"/>
        </w:rPr>
        <w:tab/>
        <w:t>Pulsed RFI evaluation method concepts</w:t>
      </w:r>
    </w:p>
    <w:p w:rsidR="00071346" w:rsidRPr="00071346" w:rsidRDefault="00071346" w:rsidP="00186BEB">
      <w:pPr>
        <w:rPr>
          <w:lang w:val="en-US"/>
        </w:rPr>
      </w:pPr>
      <w:r w:rsidRPr="00071346">
        <w:rPr>
          <w:lang w:val="en-US"/>
        </w:rPr>
        <w:t xml:space="preserve">The combined effects of pulsed and continuous RFI on two basic types of RNSS receivers are described in </w:t>
      </w:r>
      <w:r w:rsidR="00186BEB">
        <w:rPr>
          <w:lang w:val="en-US"/>
        </w:rPr>
        <w:t>§ </w:t>
      </w:r>
      <w:r w:rsidRPr="00071346">
        <w:rPr>
          <w:lang w:val="en-US"/>
        </w:rPr>
        <w:t>2 above. The combined RFI effect is captured in the form of an effective noise</w:t>
      </w:r>
      <w:r w:rsidRPr="00071346">
        <w:rPr>
          <w:lang w:val="en-US"/>
        </w:rPr>
        <w:noBreakHyphen/>
        <w:t xml:space="preserve">plus-interference power spectral density,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for the RNSS receiver. The received RFI is characterized by the three RF source related parameters described above (the pulsed parameters, </w:t>
      </w:r>
      <w:r w:rsidRPr="00071346">
        <w:rPr>
          <w:i/>
          <w:lang w:val="en-US"/>
        </w:rPr>
        <w:t>PDC</w:t>
      </w:r>
      <w:r w:rsidRPr="00071346">
        <w:rPr>
          <w:lang w:val="en-US"/>
        </w:rPr>
        <w:t xml:space="preserve"> and </w:t>
      </w:r>
      <w:r w:rsidRPr="00071346">
        <w:rPr>
          <w:i/>
          <w:lang w:val="en-US"/>
        </w:rPr>
        <w:t>R</w:t>
      </w:r>
      <w:r w:rsidRPr="00071346">
        <w:rPr>
          <w:i/>
          <w:vertAlign w:val="subscript"/>
          <w:lang w:val="en-US"/>
        </w:rPr>
        <w:t>I</w:t>
      </w:r>
      <w:r w:rsidRPr="00071346">
        <w:rPr>
          <w:lang w:val="en-US"/>
        </w:rPr>
        <w:t>, and the continuous parameter, (</w:t>
      </w:r>
      <w:r w:rsidRPr="00071346">
        <w:rPr>
          <w:i/>
          <w:lang w:val="en-US"/>
        </w:rPr>
        <w:t>I</w:t>
      </w:r>
      <w:r w:rsidRPr="00071346">
        <w:rPr>
          <w:vertAlign w:val="subscript"/>
          <w:lang w:val="en-US"/>
        </w:rPr>
        <w:t>0</w:t>
      </w:r>
      <w:r w:rsidRPr="00071346">
        <w:rPr>
          <w:i/>
          <w:vertAlign w:val="subscript"/>
          <w:lang w:val="en-US"/>
        </w:rPr>
        <w:t>,WB</w:t>
      </w:r>
      <w:r w:rsidRPr="00071346">
        <w:rPr>
          <w:i/>
          <w:lang w:val="en-US"/>
        </w:rPr>
        <w:t>/N</w:t>
      </w:r>
      <w:r w:rsidRPr="00071346">
        <w:rPr>
          <w:vertAlign w:val="subscript"/>
          <w:lang w:val="en-US"/>
        </w:rPr>
        <w:t>0</w:t>
      </w:r>
      <w:r w:rsidRPr="00071346">
        <w:rPr>
          <w:lang w:val="en-US"/>
        </w:rPr>
        <w:t xml:space="preserve">)). As noted in the definitions above, the term, </w:t>
      </w:r>
      <w:r w:rsidRPr="00071346">
        <w:rPr>
          <w:i/>
          <w:lang w:val="en-US"/>
        </w:rPr>
        <w:t>I</w:t>
      </w:r>
      <w:r w:rsidRPr="00071346">
        <w:rPr>
          <w:vertAlign w:val="subscript"/>
          <w:lang w:val="en-US"/>
        </w:rPr>
        <w:t>0</w:t>
      </w:r>
      <w:r w:rsidRPr="00071346">
        <w:rPr>
          <w:i/>
          <w:vertAlign w:val="subscript"/>
          <w:lang w:val="en-US"/>
        </w:rPr>
        <w:t>,WB</w:t>
      </w:r>
      <w:r w:rsidRPr="00071346">
        <w:rPr>
          <w:lang w:val="en-US"/>
        </w:rPr>
        <w:t xml:space="preserve">, is used to represent the </w:t>
      </w:r>
      <w:r w:rsidRPr="00071346">
        <w:rPr>
          <w:noProof/>
          <w:lang w:val="en-US"/>
        </w:rPr>
        <w:t>total wideband equivalent continuous RFI power spectral density present at the RNSS receive antenna. To minimize the complexity of the pulsed RFI analysis, the </w:t>
      </w:r>
      <w:r w:rsidRPr="00071346">
        <w:rPr>
          <w:i/>
          <w:lang w:val="en-US"/>
        </w:rPr>
        <w:t>I</w:t>
      </w:r>
      <w:r w:rsidRPr="00071346">
        <w:rPr>
          <w:vertAlign w:val="subscript"/>
          <w:lang w:val="en-US"/>
        </w:rPr>
        <w:t>0,</w:t>
      </w:r>
      <w:r w:rsidRPr="00071346">
        <w:rPr>
          <w:i/>
          <w:vertAlign w:val="subscript"/>
          <w:lang w:val="en-US"/>
        </w:rPr>
        <w:t>WB</w:t>
      </w:r>
      <w:r w:rsidRPr="00071346">
        <w:rPr>
          <w:lang w:val="en-US"/>
        </w:rPr>
        <w:t xml:space="preserve"> term is assumed to be a fixed value representing the baseline condition. </w:t>
      </w:r>
    </w:p>
    <w:p w:rsidR="00071346" w:rsidRPr="00071346" w:rsidRDefault="00071346" w:rsidP="00071346">
      <w:pPr>
        <w:rPr>
          <w:lang w:val="en-US"/>
        </w:rPr>
      </w:pPr>
      <w:r w:rsidRPr="00071346">
        <w:rPr>
          <w:lang w:val="en-US"/>
        </w:rPr>
        <w:t xml:space="preserve">Certain receiver technical characteristics are also involved both directly (e.g. </w:t>
      </w:r>
      <w:r w:rsidRPr="00071346">
        <w:rPr>
          <w:i/>
          <w:iCs/>
          <w:lang w:val="en-US"/>
        </w:rPr>
        <w:t>N</w:t>
      </w:r>
      <w:r w:rsidRPr="00071346">
        <w:rPr>
          <w:vertAlign w:val="subscript"/>
          <w:lang w:val="en-US"/>
        </w:rPr>
        <w:t>0</w:t>
      </w:r>
      <w:r w:rsidRPr="00071346">
        <w:rPr>
          <w:lang w:val="en-US"/>
        </w:rPr>
        <w:t xml:space="preserve">, the receiver system thermal noise power spectral density) and indirectly. The effect of added pulsed RFI to a predetermined baseline can be determined in terms of a ratio of the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with the new source included, </w:t>
      </w:r>
      <w:r w:rsidRPr="00071346">
        <w:rPr>
          <w:i/>
          <w:iCs/>
          <w:lang w:val="en-US"/>
        </w:rPr>
        <w:t>N</w:t>
      </w:r>
      <w:r w:rsidRPr="00071346">
        <w:rPr>
          <w:vertAlign w:val="subscript"/>
          <w:lang w:val="en-US"/>
        </w:rPr>
        <w:t>0,</w:t>
      </w:r>
      <w:r w:rsidRPr="00071346">
        <w:rPr>
          <w:i/>
          <w:iCs/>
          <w:vertAlign w:val="subscript"/>
          <w:lang w:val="en-US"/>
        </w:rPr>
        <w:t>EFF-New</w:t>
      </w:r>
      <w:r w:rsidRPr="00071346">
        <w:rPr>
          <w:lang w:val="en-US"/>
        </w:rPr>
        <w:t xml:space="preserve">, to the baseline value for </w:t>
      </w:r>
      <w:r w:rsidRPr="00071346">
        <w:rPr>
          <w:i/>
          <w:iCs/>
          <w:lang w:val="en-US"/>
        </w:rPr>
        <w:t>N</w:t>
      </w:r>
      <w:r w:rsidRPr="00071346">
        <w:rPr>
          <w:vertAlign w:val="subscript"/>
          <w:lang w:val="en-US"/>
        </w:rPr>
        <w:t>0,</w:t>
      </w:r>
      <w:r w:rsidRPr="00071346">
        <w:rPr>
          <w:i/>
          <w:iCs/>
          <w:vertAlign w:val="subscript"/>
          <w:lang w:val="en-US"/>
        </w:rPr>
        <w:t>EFF</w:t>
      </w:r>
      <w:r w:rsidRPr="00071346">
        <w:rPr>
          <w:i/>
          <w:iCs/>
          <w:lang w:val="en-US"/>
        </w:rPr>
        <w:t>.</w:t>
      </w:r>
    </w:p>
    <w:p w:rsidR="00071346" w:rsidRPr="00071346" w:rsidRDefault="00071346" w:rsidP="00071346">
      <w:pPr>
        <w:pStyle w:val="Heading2"/>
        <w:rPr>
          <w:lang w:val="en-US"/>
        </w:rPr>
      </w:pPr>
      <w:r w:rsidRPr="00071346">
        <w:rPr>
          <w:lang w:val="en-US"/>
        </w:rPr>
        <w:lastRenderedPageBreak/>
        <w:t>3.1</w:t>
      </w:r>
      <w:r w:rsidRPr="00071346">
        <w:rPr>
          <w:lang w:val="en-US"/>
        </w:rPr>
        <w:tab/>
        <w:t>Additional pulsed RFI to a pulse blanking RNSS receiver (case 1)</w:t>
      </w:r>
    </w:p>
    <w:p w:rsidR="00071346" w:rsidRPr="00071346" w:rsidRDefault="00071346" w:rsidP="00071346">
      <w:pPr>
        <w:rPr>
          <w:lang w:val="en-US"/>
        </w:rPr>
      </w:pPr>
      <w:r w:rsidRPr="00071346">
        <w:rPr>
          <w:lang w:val="en-US"/>
        </w:rPr>
        <w:t xml:space="preserve">Define the baseline </w:t>
      </w:r>
      <w:r w:rsidRPr="00071346">
        <w:rPr>
          <w:i/>
          <w:iCs/>
          <w:lang w:val="en-US"/>
        </w:rPr>
        <w:t>N</w:t>
      </w:r>
      <w:r w:rsidRPr="00071346">
        <w:rPr>
          <w:vertAlign w:val="subscript"/>
          <w:lang w:val="en-US"/>
        </w:rPr>
        <w:t>0,</w:t>
      </w:r>
      <w:r w:rsidRPr="00071346">
        <w:rPr>
          <w:i/>
          <w:iCs/>
          <w:vertAlign w:val="subscript"/>
          <w:lang w:val="en-US"/>
        </w:rPr>
        <w:t>EFF</w:t>
      </w:r>
      <w:r w:rsidRPr="00071346">
        <w:rPr>
          <w:lang w:val="en-US"/>
        </w:rPr>
        <w:t xml:space="preserve"> (assuming non-zero pulsed RFI present) using equations (1) and (2) as:</w:t>
      </w:r>
    </w:p>
    <w:p w:rsidR="00071346" w:rsidRPr="00071346" w:rsidRDefault="00071346" w:rsidP="00071346">
      <w:pPr>
        <w:pStyle w:val="Equation"/>
        <w:rPr>
          <w:lang w:val="en-US"/>
        </w:rPr>
      </w:pPr>
      <w:r w:rsidRPr="00071346">
        <w:rPr>
          <w:lang w:val="en-US"/>
        </w:rPr>
        <w:tab/>
      </w:r>
      <w:r w:rsidRPr="00071346">
        <w:rPr>
          <w:lang w:val="en-US"/>
        </w:rPr>
        <w:tab/>
      </w:r>
      <w:r w:rsidR="00B5531E">
        <w:rPr>
          <w:position w:val="-32"/>
        </w:rPr>
        <w:object w:dxaOrig="3480" w:dyaOrig="760">
          <v:shape id="_x0000_i1030" type="#_x0000_t75" style="width:173.4pt;height:39.75pt" o:ole="">
            <v:imagedata r:id="rId24" o:title=""/>
          </v:shape>
          <o:OLEObject Type="Embed" ProgID="Equation.3" ShapeID="_x0000_i1030" DrawAspect="Content" ObjectID="_1417409636" r:id="rId25"/>
        </w:object>
      </w:r>
      <w:r w:rsidRPr="00071346">
        <w:rPr>
          <w:position w:val="-32"/>
          <w:lang w:val="en-US"/>
        </w:rPr>
        <w:t xml:space="preserve"> </w:t>
      </w:r>
      <w:r w:rsidRPr="00071346">
        <w:rPr>
          <w:lang w:val="en-US"/>
        </w:rPr>
        <w:t xml:space="preserve">with </w:t>
      </w:r>
      <w:r w:rsidR="00B5531E" w:rsidRPr="00B5531E">
        <w:rPr>
          <w:position w:val="-32"/>
        </w:rPr>
        <w:object w:dxaOrig="2680" w:dyaOrig="760">
          <v:shape id="_x0000_i1031" type="#_x0000_t75" style="width:133.05pt;height:38pt" o:ole="">
            <v:imagedata r:id="rId26" o:title=""/>
          </v:shape>
          <o:OLEObject Type="Embed" ProgID="Equation.3" ShapeID="_x0000_i1031" DrawAspect="Content" ObjectID="_1417409637" r:id="rId27"/>
        </w:object>
      </w:r>
    </w:p>
    <w:p w:rsidR="00071346" w:rsidRPr="00071346" w:rsidRDefault="00071346" w:rsidP="00F72079">
      <w:pPr>
        <w:rPr>
          <w:noProof/>
          <w:lang w:val="en-US"/>
        </w:rPr>
      </w:pPr>
      <w:r w:rsidRPr="00071346">
        <w:rPr>
          <w:lang w:val="en-US"/>
        </w:rPr>
        <w:t xml:space="preserve">where, by equations (3) and (4), </w:t>
      </w:r>
      <w:r w:rsidR="00F72079" w:rsidRPr="00F72079">
        <w:rPr>
          <w:position w:val="-12"/>
          <w:lang w:val="en-US"/>
        </w:rPr>
        <w:object w:dxaOrig="4459" w:dyaOrig="360">
          <v:shape id="_x0000_i1032" type="#_x0000_t75" style="width:222.9pt;height:17.85pt" o:ole="">
            <v:imagedata r:id="rId28" o:title=""/>
          </v:shape>
          <o:OLEObject Type="Embed" ProgID="Equation.3" ShapeID="_x0000_i1032" DrawAspect="Content" ObjectID="_1417409638" r:id="rId29"/>
        </w:object>
      </w:r>
      <w:r w:rsidRPr="00071346">
        <w:rPr>
          <w:noProof/>
          <w:lang w:val="en-US"/>
        </w:rPr>
        <w:t xml:space="preserve"> and </w:t>
      </w:r>
      <w:r w:rsidR="00B5531E">
        <w:rPr>
          <w:position w:val="-12"/>
        </w:rPr>
        <w:object w:dxaOrig="1740" w:dyaOrig="360">
          <v:shape id="_x0000_i1033" type="#_x0000_t75" style="width:87.55pt;height:17.85pt" o:ole="">
            <v:imagedata r:id="rId20" o:title=""/>
          </v:shape>
          <o:OLEObject Type="Embed" ProgID="Equation.3" ShapeID="_x0000_i1033" DrawAspect="Content" ObjectID="_1417409639" r:id="rId30"/>
        </w:object>
      </w:r>
      <w:r w:rsidRPr="00071346">
        <w:rPr>
          <w:lang w:val="en-US"/>
        </w:rPr>
        <w:t xml:space="preserve"> </w:t>
      </w:r>
      <w:r w:rsidRPr="00071346">
        <w:rPr>
          <w:noProof/>
          <w:lang w:val="en-US"/>
        </w:rPr>
        <w:t xml:space="preserve">from baseline pulsed source groups a, b, and c. </w:t>
      </w:r>
    </w:p>
    <w:p w:rsidR="00071346" w:rsidRPr="00071346" w:rsidRDefault="00071346" w:rsidP="00071346">
      <w:pPr>
        <w:rPr>
          <w:lang w:val="en-US"/>
        </w:rPr>
      </w:pPr>
      <w:r w:rsidRPr="00071346">
        <w:rPr>
          <w:lang w:val="en-US"/>
        </w:rPr>
        <w:t>If an additional pulsed source (or source group) Y is introduced, then by extension:</w:t>
      </w:r>
    </w:p>
    <w:p w:rsidR="00071346" w:rsidRPr="00071346" w:rsidRDefault="00071346" w:rsidP="00071346">
      <w:pPr>
        <w:pStyle w:val="Equation"/>
        <w:rPr>
          <w:noProof/>
          <w:lang w:val="en-US"/>
        </w:rPr>
      </w:pPr>
      <w:r w:rsidRPr="00071346">
        <w:rPr>
          <w:b/>
          <w:lang w:val="en-US"/>
        </w:rPr>
        <w:tab/>
      </w:r>
      <w:r w:rsidRPr="00071346">
        <w:rPr>
          <w:b/>
          <w:lang w:val="en-US"/>
        </w:rPr>
        <w:tab/>
      </w:r>
      <w:r w:rsidRPr="00071346">
        <w:rPr>
          <w:lang w:val="en-US"/>
        </w:rPr>
        <w:t>(1–</w:t>
      </w:r>
      <w:r w:rsidRPr="00071346">
        <w:rPr>
          <w:i/>
          <w:iCs/>
          <w:lang w:val="en-US"/>
        </w:rPr>
        <w:t>PDC</w:t>
      </w:r>
      <w:r w:rsidRPr="00071346">
        <w:rPr>
          <w:i/>
          <w:iCs/>
          <w:vertAlign w:val="subscript"/>
          <w:lang w:val="en-US"/>
        </w:rPr>
        <w:t>B</w:t>
      </w:r>
      <w:r w:rsidRPr="00071346">
        <w:rPr>
          <w:vertAlign w:val="subscript"/>
          <w:lang w:val="en-US"/>
        </w:rPr>
        <w:t>+</w:t>
      </w:r>
      <w:r w:rsidRPr="00071346">
        <w:rPr>
          <w:i/>
          <w:iCs/>
          <w:vertAlign w:val="subscript"/>
          <w:lang w:val="en-US"/>
        </w:rPr>
        <w:t>Y</w:t>
      </w:r>
      <w:r w:rsidRPr="00071346">
        <w:rPr>
          <w:lang w:val="en-US"/>
        </w:rPr>
        <w:t xml:space="preserve">) = </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a</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b</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c</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Y</w:t>
      </w:r>
      <w:r w:rsidRPr="00071346">
        <w:rPr>
          <w:noProof/>
          <w:lang w:val="en-US"/>
        </w:rPr>
        <w:t xml:space="preserve">) = </w:t>
      </w:r>
      <w:r w:rsidRPr="00071346">
        <w:rPr>
          <w:lang w:val="en-US"/>
        </w:rPr>
        <w:t>(1–</w:t>
      </w:r>
      <w:r w:rsidRPr="00071346">
        <w:rPr>
          <w:i/>
          <w:iCs/>
          <w:noProof/>
          <w:lang w:val="en-US"/>
        </w:rPr>
        <w:t>PDC</w:t>
      </w:r>
      <w:r w:rsidRPr="00071346">
        <w:rPr>
          <w:i/>
          <w:iCs/>
          <w:noProof/>
          <w:vertAlign w:val="subscript"/>
          <w:lang w:val="en-US"/>
        </w:rPr>
        <w:t>B</w:t>
      </w:r>
      <w:r w:rsidRPr="00071346">
        <w:rPr>
          <w:noProof/>
          <w:lang w:val="en-US"/>
        </w:rPr>
        <w:t>)(1</w:t>
      </w:r>
      <w:r w:rsidRPr="00071346">
        <w:rPr>
          <w:lang w:val="en-US"/>
        </w:rPr>
        <w:t>–</w:t>
      </w:r>
      <w:r w:rsidRPr="00071346">
        <w:rPr>
          <w:i/>
          <w:iCs/>
          <w:noProof/>
          <w:lang w:val="en-US"/>
        </w:rPr>
        <w:t>PDC</w:t>
      </w:r>
      <w:r w:rsidRPr="00071346">
        <w:rPr>
          <w:i/>
          <w:iCs/>
          <w:noProof/>
          <w:vertAlign w:val="subscript"/>
          <w:lang w:val="en-US"/>
        </w:rPr>
        <w:t>Y</w:t>
      </w:r>
      <w:r w:rsidRPr="00071346">
        <w:rPr>
          <w:noProof/>
          <w:lang w:val="en-US"/>
        </w:rPr>
        <w:t>) and</w:t>
      </w:r>
    </w:p>
    <w:p w:rsidR="00071346" w:rsidRDefault="00071346" w:rsidP="00071346">
      <w:pPr>
        <w:pStyle w:val="Equation"/>
        <w:rPr>
          <w:noProof/>
          <w:lang w:val="en-US"/>
        </w:rPr>
      </w:pPr>
      <w:r w:rsidRPr="00071346">
        <w:rPr>
          <w:b/>
          <w:noProof/>
          <w:lang w:val="en-US"/>
        </w:rPr>
        <w:tab/>
      </w:r>
      <w:r w:rsidRPr="00071346">
        <w:rPr>
          <w:b/>
          <w:noProof/>
          <w:lang w:val="en-US"/>
        </w:rPr>
        <w:tab/>
      </w:r>
      <w:r>
        <w:rPr>
          <w:i/>
          <w:iCs/>
          <w:noProof/>
          <w:lang w:val="en-US"/>
        </w:rPr>
        <w:t>R</w:t>
      </w:r>
      <w:r>
        <w:rPr>
          <w:i/>
          <w:iCs/>
          <w:noProof/>
          <w:vertAlign w:val="subscript"/>
          <w:lang w:val="en-US"/>
        </w:rPr>
        <w:t>I</w:t>
      </w:r>
      <w:r>
        <w:rPr>
          <w:noProof/>
          <w:vertAlign w:val="subscript"/>
          <w:lang w:val="en-US"/>
        </w:rPr>
        <w:t>+</w:t>
      </w:r>
      <w:r>
        <w:rPr>
          <w:i/>
          <w:iCs/>
          <w:noProof/>
          <w:vertAlign w:val="subscript"/>
          <w:lang w:val="en-US"/>
        </w:rPr>
        <w:t>Y</w:t>
      </w:r>
      <w:r>
        <w:rPr>
          <w:noProof/>
          <w:lang w:val="en-US"/>
        </w:rPr>
        <w:t xml:space="preserve"> = </w:t>
      </w:r>
      <w:r>
        <w:rPr>
          <w:i/>
          <w:iCs/>
          <w:noProof/>
          <w:lang w:val="en-US"/>
        </w:rPr>
        <w:t>R</w:t>
      </w:r>
      <w:r>
        <w:rPr>
          <w:i/>
          <w:iCs/>
          <w:noProof/>
          <w:vertAlign w:val="subscript"/>
          <w:lang w:val="en-US"/>
        </w:rPr>
        <w:t>a</w:t>
      </w:r>
      <w:r>
        <w:rPr>
          <w:noProof/>
          <w:lang w:val="en-US"/>
        </w:rPr>
        <w:t xml:space="preserve"> + </w:t>
      </w:r>
      <w:r>
        <w:rPr>
          <w:i/>
          <w:iCs/>
          <w:noProof/>
          <w:lang w:val="en-US"/>
        </w:rPr>
        <w:t>R</w:t>
      </w:r>
      <w:r>
        <w:rPr>
          <w:i/>
          <w:iCs/>
          <w:noProof/>
          <w:vertAlign w:val="subscript"/>
          <w:lang w:val="en-US"/>
        </w:rPr>
        <w:t>b</w:t>
      </w:r>
      <w:r>
        <w:rPr>
          <w:noProof/>
          <w:lang w:val="en-US"/>
        </w:rPr>
        <w:t xml:space="preserve"> + </w:t>
      </w:r>
      <w:r>
        <w:rPr>
          <w:i/>
          <w:iCs/>
          <w:noProof/>
          <w:lang w:val="en-US"/>
        </w:rPr>
        <w:t>R</w:t>
      </w:r>
      <w:r>
        <w:rPr>
          <w:i/>
          <w:iCs/>
          <w:noProof/>
          <w:vertAlign w:val="subscript"/>
          <w:lang w:val="en-US"/>
        </w:rPr>
        <w:t xml:space="preserve">c </w:t>
      </w:r>
      <w:r>
        <w:rPr>
          <w:noProof/>
          <w:lang w:val="en-US"/>
        </w:rPr>
        <w:t xml:space="preserve">+ </w:t>
      </w:r>
      <w:r>
        <w:rPr>
          <w:i/>
          <w:iCs/>
          <w:noProof/>
          <w:lang w:val="en-US"/>
        </w:rPr>
        <w:t>R</w:t>
      </w:r>
      <w:r>
        <w:rPr>
          <w:i/>
          <w:iCs/>
          <w:noProof/>
          <w:vertAlign w:val="subscript"/>
          <w:lang w:val="en-US"/>
        </w:rPr>
        <w:t>Y</w:t>
      </w:r>
      <w:r>
        <w:rPr>
          <w:noProof/>
          <w:lang w:val="en-US"/>
        </w:rPr>
        <w:t xml:space="preserve"> = </w:t>
      </w:r>
      <w:r>
        <w:rPr>
          <w:i/>
          <w:iCs/>
          <w:noProof/>
          <w:lang w:val="en-US"/>
        </w:rPr>
        <w:t>R</w:t>
      </w:r>
      <w:r>
        <w:rPr>
          <w:i/>
          <w:iCs/>
          <w:noProof/>
          <w:vertAlign w:val="subscript"/>
          <w:lang w:val="en-US"/>
        </w:rPr>
        <w:t>I</w:t>
      </w:r>
      <w:r>
        <w:rPr>
          <w:noProof/>
          <w:lang w:val="en-US"/>
        </w:rPr>
        <w:t xml:space="preserve"> + </w:t>
      </w:r>
      <w:r>
        <w:rPr>
          <w:i/>
          <w:iCs/>
          <w:noProof/>
          <w:lang w:val="en-US"/>
        </w:rPr>
        <w:t>R</w:t>
      </w:r>
      <w:r>
        <w:rPr>
          <w:i/>
          <w:iCs/>
          <w:noProof/>
          <w:vertAlign w:val="subscript"/>
          <w:lang w:val="en-US"/>
        </w:rPr>
        <w:t>Y</w:t>
      </w:r>
    </w:p>
    <w:p w:rsidR="00071346" w:rsidRPr="00071346" w:rsidRDefault="00071346" w:rsidP="00071346">
      <w:pPr>
        <w:rPr>
          <w:noProof/>
          <w:lang w:val="en-US"/>
        </w:rPr>
      </w:pPr>
      <w:r w:rsidRPr="00071346">
        <w:rPr>
          <w:noProof/>
          <w:lang w:val="en-US"/>
        </w:rPr>
        <w:t xml:space="preserve">Also by similarity, </w:t>
      </w:r>
    </w:p>
    <w:p w:rsidR="00071346" w:rsidRDefault="00071346" w:rsidP="00071346">
      <w:pPr>
        <w:pStyle w:val="Equation"/>
        <w:rPr>
          <w:noProof/>
        </w:rPr>
      </w:pPr>
      <w:r w:rsidRPr="00071346">
        <w:rPr>
          <w:lang w:val="en-US"/>
        </w:rPr>
        <w:tab/>
      </w:r>
      <w:r w:rsidRPr="00071346">
        <w:rPr>
          <w:lang w:val="en-US"/>
        </w:rPr>
        <w:tab/>
      </w:r>
      <w:r w:rsidR="00603D3A">
        <w:rPr>
          <w:position w:val="-32"/>
        </w:rPr>
        <w:object w:dxaOrig="3980" w:dyaOrig="760">
          <v:shape id="_x0000_i1034" type="#_x0000_t75" style="width:198.7pt;height:39.75pt" o:ole="">
            <v:imagedata r:id="rId31" o:title=""/>
          </v:shape>
          <o:OLEObject Type="Embed" ProgID="Equation.3" ShapeID="_x0000_i1034" DrawAspect="Content" ObjectID="_1417409640" r:id="rId32"/>
        </w:object>
      </w:r>
    </w:p>
    <w:p w:rsidR="00071346" w:rsidRPr="00071346" w:rsidRDefault="00071346" w:rsidP="00071346">
      <w:pPr>
        <w:rPr>
          <w:lang w:val="en-US"/>
        </w:rPr>
      </w:pPr>
      <w:r w:rsidRPr="00071346">
        <w:rPr>
          <w:lang w:val="en-US"/>
        </w:rPr>
        <w:t>The RFI degradation relative to the baseline can be computed as the ratio</w:t>
      </w:r>
      <w:r w:rsidR="00603D3A">
        <w:rPr>
          <w:position w:val="-26"/>
        </w:rPr>
        <w:object w:dxaOrig="1500" w:dyaOrig="639">
          <v:shape id="_x0000_i1035" type="#_x0000_t75" style="width:75.45pt;height:32.85pt" o:ole="">
            <v:imagedata r:id="rId33" o:title=""/>
          </v:shape>
          <o:OLEObject Type="Embed" ProgID="Equation.3" ShapeID="_x0000_i1035" DrawAspect="Content" ObjectID="_1417409641" r:id="rId34"/>
        </w:object>
      </w:r>
      <w:r w:rsidRPr="00071346">
        <w:rPr>
          <w:lang w:val="en-US"/>
        </w:rPr>
        <w:t>:</w:t>
      </w:r>
    </w:p>
    <w:p w:rsidR="00071346" w:rsidRPr="00071346" w:rsidRDefault="00603D3A" w:rsidP="00071346">
      <w:pPr>
        <w:pStyle w:val="Equation"/>
        <w:rPr>
          <w:lang w:val="en-US"/>
        </w:rPr>
      </w:pPr>
      <w:r>
        <w:rPr>
          <w:position w:val="-70"/>
        </w:rPr>
        <w:object w:dxaOrig="8100" w:dyaOrig="1520">
          <v:shape id="_x0000_i1036" type="#_x0000_t75" style="width:406.65pt;height:76.05pt" o:ole="">
            <v:imagedata r:id="rId35" o:title=""/>
          </v:shape>
          <o:OLEObject Type="Embed" ProgID="Equation.3" ShapeID="_x0000_i1036" DrawAspect="Content" ObjectID="_1417409642" r:id="rId36"/>
        </w:object>
      </w:r>
      <w:r w:rsidR="00071346" w:rsidRPr="00071346">
        <w:rPr>
          <w:lang w:val="en-US"/>
        </w:rPr>
        <w:tab/>
        <w:t>(6)</w:t>
      </w:r>
    </w:p>
    <w:p w:rsidR="00071346" w:rsidRPr="00071346" w:rsidRDefault="00071346" w:rsidP="00071346">
      <w:pPr>
        <w:rPr>
          <w:lang w:val="en-US"/>
        </w:rPr>
      </w:pPr>
      <w:r w:rsidRPr="00071346">
        <w:rPr>
          <w:lang w:val="en-US"/>
        </w:rPr>
        <w:t xml:space="preserve">Note that both </w:t>
      </w:r>
      <w:r w:rsidRPr="00071346">
        <w:rPr>
          <w:i/>
          <w:iCs/>
          <w:lang w:val="en-US"/>
        </w:rPr>
        <w:t>PDC</w:t>
      </w:r>
      <w:r w:rsidRPr="00071346">
        <w:rPr>
          <w:i/>
          <w:iCs/>
          <w:vertAlign w:val="subscript"/>
          <w:lang w:val="en-US"/>
        </w:rPr>
        <w:t>Y</w:t>
      </w:r>
      <w:r w:rsidRPr="00071346">
        <w:rPr>
          <w:lang w:val="en-US"/>
        </w:rPr>
        <w:t xml:space="preserve"> and </w:t>
      </w:r>
      <w:r w:rsidRPr="00071346">
        <w:rPr>
          <w:i/>
          <w:iCs/>
          <w:lang w:val="en-US"/>
        </w:rPr>
        <w:t>R</w:t>
      </w:r>
      <w:r w:rsidRPr="00071346">
        <w:rPr>
          <w:i/>
          <w:iCs/>
          <w:vertAlign w:val="subscript"/>
          <w:lang w:val="en-US"/>
        </w:rPr>
        <w:t>Y</w:t>
      </w:r>
      <w:r w:rsidRPr="00071346">
        <w:rPr>
          <w:lang w:val="en-US"/>
        </w:rPr>
        <w:t xml:space="preserve"> are estimated using the RNSS receiver input compression level as power reference point (upper bound to the blanker threshold). The duty cycle calculation of above-blanker threshold pulses (</w:t>
      </w:r>
      <w:r w:rsidRPr="00071346">
        <w:rPr>
          <w:i/>
          <w:iCs/>
          <w:lang w:val="en-US"/>
        </w:rPr>
        <w:t>PDC</w:t>
      </w:r>
      <w:r w:rsidRPr="00071346">
        <w:rPr>
          <w:i/>
          <w:iCs/>
          <w:vertAlign w:val="subscript"/>
          <w:lang w:val="en-US"/>
        </w:rPr>
        <w:t>Y</w:t>
      </w:r>
      <w:r w:rsidRPr="00071346">
        <w:rPr>
          <w:lang w:val="en-US"/>
        </w:rPr>
        <w:t>) makes use of the receiver overload recovery time as described in equation (3a).</w:t>
      </w:r>
    </w:p>
    <w:p w:rsidR="00071346" w:rsidRPr="00071346" w:rsidRDefault="00071346" w:rsidP="00071346">
      <w:pPr>
        <w:pStyle w:val="Heading2"/>
        <w:rPr>
          <w:lang w:val="en-US"/>
        </w:rPr>
      </w:pPr>
      <w:r w:rsidRPr="00071346">
        <w:rPr>
          <w:lang w:val="en-US"/>
        </w:rPr>
        <w:t>3.2</w:t>
      </w:r>
      <w:r w:rsidRPr="00071346">
        <w:rPr>
          <w:lang w:val="en-US"/>
        </w:rPr>
        <w:tab/>
        <w:t>Additional pulsed RFI to a saturating RNSS receiver (case 2)</w:t>
      </w:r>
    </w:p>
    <w:p w:rsidR="00071346" w:rsidRDefault="00071346" w:rsidP="00071346">
      <w:pPr>
        <w:pStyle w:val="Heading3"/>
        <w:rPr>
          <w:lang w:val="en-US"/>
        </w:rPr>
      </w:pPr>
      <w:r>
        <w:rPr>
          <w:lang w:val="en-US"/>
        </w:rPr>
        <w:t>3.2.1</w:t>
      </w:r>
      <w:r>
        <w:rPr>
          <w:lang w:val="en-US"/>
        </w:rPr>
        <w:tab/>
        <w:t>Saturating RNSS receiver – non-zero baseline pulsed RFI (case 2a)</w:t>
      </w:r>
    </w:p>
    <w:p w:rsidR="00071346" w:rsidRPr="00071346" w:rsidRDefault="00071346" w:rsidP="00071346">
      <w:pPr>
        <w:rPr>
          <w:lang w:val="en-US"/>
        </w:rPr>
      </w:pPr>
      <w:r w:rsidRPr="00071346">
        <w:rPr>
          <w:lang w:val="en-US"/>
        </w:rPr>
        <w:t xml:space="preserve">In this sub-case pulsed RFI is assumed to be present in the baseline environment (i.e. baseline </w:t>
      </w:r>
      <w:r w:rsidRPr="00071346">
        <w:rPr>
          <w:i/>
          <w:lang w:val="en-US"/>
        </w:rPr>
        <w:t>PDC</w:t>
      </w:r>
      <w:r w:rsidRPr="00071346">
        <w:rPr>
          <w:lang w:val="en-US"/>
        </w:rPr>
        <w:t xml:space="preserve"> and/or </w:t>
      </w:r>
      <w:r w:rsidRPr="00071346">
        <w:rPr>
          <w:i/>
          <w:lang w:val="en-US"/>
        </w:rPr>
        <w:t>R</w:t>
      </w:r>
      <w:r w:rsidRPr="00071346">
        <w:rPr>
          <w:i/>
          <w:vertAlign w:val="subscript"/>
          <w:lang w:val="en-US"/>
        </w:rPr>
        <w:t>I</w:t>
      </w:r>
      <w:r w:rsidRPr="00071346">
        <w:rPr>
          <w:lang w:val="en-US"/>
        </w:rPr>
        <w:t xml:space="preserve"> &gt;</w:t>
      </w:r>
      <w:r w:rsidR="00603D3A">
        <w:rPr>
          <w:lang w:val="en-US"/>
        </w:rPr>
        <w:t xml:space="preserve"> </w:t>
      </w:r>
      <w:r w:rsidRPr="00071346">
        <w:rPr>
          <w:lang w:val="en-US"/>
        </w:rPr>
        <w:t xml:space="preserve">0). If an additional saturating pulse source group Y is introduced, the new composite RNSS pulsed RFI parameters, </w:t>
      </w:r>
      <w:r w:rsidRPr="00071346">
        <w:rPr>
          <w:i/>
          <w:iCs/>
          <w:lang w:val="en-US"/>
        </w:rPr>
        <w:t>PDC</w:t>
      </w:r>
      <w:r w:rsidRPr="00071346">
        <w:rPr>
          <w:i/>
          <w:iCs/>
          <w:vertAlign w:val="subscript"/>
          <w:lang w:val="en-US"/>
        </w:rPr>
        <w:t>LIM</w:t>
      </w:r>
      <w:r w:rsidRPr="00071346">
        <w:rPr>
          <w:vertAlign w:val="subscript"/>
          <w:lang w:val="en-US"/>
        </w:rPr>
        <w:t>+</w:t>
      </w:r>
      <w:r w:rsidRPr="00071346">
        <w:rPr>
          <w:i/>
          <w:iCs/>
          <w:vertAlign w:val="subscript"/>
          <w:lang w:val="en-US"/>
        </w:rPr>
        <w:t>Y</w:t>
      </w:r>
      <w:r w:rsidRPr="00071346">
        <w:rPr>
          <w:lang w:val="en-US"/>
        </w:rPr>
        <w:t xml:space="preserve"> and </w:t>
      </w:r>
      <w:r>
        <w:rPr>
          <w:i/>
          <w:iCs/>
          <w:noProof/>
          <w:lang w:val="en-US"/>
        </w:rPr>
        <w:t>R</w:t>
      </w:r>
      <w:r>
        <w:rPr>
          <w:i/>
          <w:iCs/>
          <w:noProof/>
          <w:vertAlign w:val="subscript"/>
          <w:lang w:val="en-US"/>
        </w:rPr>
        <w:t>I</w:t>
      </w:r>
      <w:r>
        <w:rPr>
          <w:noProof/>
          <w:vertAlign w:val="subscript"/>
          <w:lang w:val="en-US"/>
        </w:rPr>
        <w:t>+</w:t>
      </w:r>
      <w:r>
        <w:rPr>
          <w:i/>
          <w:iCs/>
          <w:noProof/>
          <w:vertAlign w:val="subscript"/>
          <w:lang w:val="en-US"/>
        </w:rPr>
        <w:t>Y</w:t>
      </w:r>
      <w:r>
        <w:rPr>
          <w:noProof/>
          <w:lang w:val="en-US"/>
        </w:rPr>
        <w:t xml:space="preserve">, </w:t>
      </w:r>
      <w:r w:rsidRPr="00071346">
        <w:rPr>
          <w:lang w:val="en-US"/>
        </w:rPr>
        <w:t xml:space="preserve">can be defined similar to Case 1 as: </w:t>
      </w:r>
    </w:p>
    <w:p w:rsidR="00071346" w:rsidRPr="00071346" w:rsidRDefault="00071346" w:rsidP="00071346">
      <w:pPr>
        <w:pStyle w:val="Equation"/>
        <w:rPr>
          <w:noProof/>
          <w:lang w:val="en-US"/>
        </w:rPr>
      </w:pPr>
      <w:r w:rsidRPr="00071346">
        <w:rPr>
          <w:b/>
          <w:lang w:val="en-US"/>
        </w:rPr>
        <w:tab/>
      </w:r>
      <w:r w:rsidRPr="00071346">
        <w:rPr>
          <w:b/>
          <w:lang w:val="en-US"/>
        </w:rPr>
        <w:tab/>
      </w:r>
      <w:r w:rsidRPr="00071346">
        <w:rPr>
          <w:lang w:val="en-US"/>
        </w:rPr>
        <w:t>(1–</w:t>
      </w:r>
      <w:r w:rsidRPr="00071346">
        <w:rPr>
          <w:i/>
          <w:iCs/>
          <w:lang w:val="en-US"/>
        </w:rPr>
        <w:t>PDC</w:t>
      </w:r>
      <w:r w:rsidRPr="00071346">
        <w:rPr>
          <w:i/>
          <w:iCs/>
          <w:vertAlign w:val="subscript"/>
          <w:lang w:val="en-US"/>
        </w:rPr>
        <w:t>LIM</w:t>
      </w:r>
      <w:r w:rsidRPr="00071346">
        <w:rPr>
          <w:vertAlign w:val="subscript"/>
          <w:lang w:val="en-US"/>
        </w:rPr>
        <w:t>+</w:t>
      </w:r>
      <w:r w:rsidRPr="00071346">
        <w:rPr>
          <w:i/>
          <w:iCs/>
          <w:vertAlign w:val="subscript"/>
          <w:lang w:val="en-US"/>
        </w:rPr>
        <w:t>Y</w:t>
      </w:r>
      <w:r w:rsidRPr="00071346">
        <w:rPr>
          <w:lang w:val="en-US"/>
        </w:rPr>
        <w:t xml:space="preserve">) = </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LIM</w:t>
      </w:r>
      <w:r w:rsidRPr="00071346">
        <w:rPr>
          <w:noProof/>
          <w:lang w:val="en-US"/>
        </w:rPr>
        <w:t>)(1</w:t>
      </w:r>
      <w:r w:rsidRPr="00071346">
        <w:rPr>
          <w:b/>
          <w:lang w:val="en-US"/>
        </w:rPr>
        <w:t>–</w:t>
      </w:r>
      <w:r w:rsidRPr="00071346">
        <w:rPr>
          <w:i/>
          <w:iCs/>
          <w:noProof/>
          <w:lang w:val="en-US"/>
        </w:rPr>
        <w:t>PDC</w:t>
      </w:r>
      <w:r w:rsidRPr="00071346">
        <w:rPr>
          <w:i/>
          <w:iCs/>
          <w:noProof/>
          <w:vertAlign w:val="subscript"/>
          <w:lang w:val="en-US"/>
        </w:rPr>
        <w:t>Y</w:t>
      </w:r>
      <w:r w:rsidR="00D04753">
        <w:rPr>
          <w:noProof/>
          <w:lang w:val="en-US"/>
        </w:rPr>
        <w:t xml:space="preserve">) and </w:t>
      </w:r>
      <w:r>
        <w:rPr>
          <w:i/>
          <w:iCs/>
          <w:noProof/>
          <w:lang w:val="en-US"/>
        </w:rPr>
        <w:t>R</w:t>
      </w:r>
      <w:r>
        <w:rPr>
          <w:i/>
          <w:iCs/>
          <w:noProof/>
          <w:vertAlign w:val="subscript"/>
          <w:lang w:val="en-US"/>
        </w:rPr>
        <w:t>I</w:t>
      </w:r>
      <w:r>
        <w:rPr>
          <w:noProof/>
          <w:vertAlign w:val="subscript"/>
          <w:lang w:val="en-US"/>
        </w:rPr>
        <w:t>+</w:t>
      </w:r>
      <w:r>
        <w:rPr>
          <w:i/>
          <w:iCs/>
          <w:noProof/>
          <w:vertAlign w:val="subscript"/>
          <w:lang w:val="en-US"/>
        </w:rPr>
        <w:t>Y</w:t>
      </w:r>
      <w:r>
        <w:rPr>
          <w:noProof/>
          <w:lang w:val="en-US"/>
        </w:rPr>
        <w:t xml:space="preserve"> = </w:t>
      </w:r>
      <w:r>
        <w:rPr>
          <w:i/>
          <w:iCs/>
          <w:noProof/>
          <w:lang w:val="en-US"/>
        </w:rPr>
        <w:t>R</w:t>
      </w:r>
      <w:r>
        <w:rPr>
          <w:i/>
          <w:iCs/>
          <w:noProof/>
          <w:vertAlign w:val="subscript"/>
          <w:lang w:val="en-US"/>
        </w:rPr>
        <w:t>I</w:t>
      </w:r>
      <w:r>
        <w:rPr>
          <w:noProof/>
          <w:lang w:val="en-US"/>
        </w:rPr>
        <w:t xml:space="preserve"> + </w:t>
      </w:r>
      <w:r>
        <w:rPr>
          <w:i/>
          <w:iCs/>
          <w:noProof/>
          <w:lang w:val="en-US"/>
        </w:rPr>
        <w:t>R</w:t>
      </w:r>
      <w:r>
        <w:rPr>
          <w:i/>
          <w:iCs/>
          <w:noProof/>
          <w:vertAlign w:val="subscript"/>
          <w:lang w:val="en-US"/>
        </w:rPr>
        <w:t>Y</w:t>
      </w:r>
    </w:p>
    <w:p w:rsidR="00071346" w:rsidRPr="00071346" w:rsidRDefault="00071346" w:rsidP="00071346">
      <w:pPr>
        <w:spacing w:before="240"/>
        <w:rPr>
          <w:lang w:val="en-US"/>
        </w:rPr>
      </w:pPr>
      <w:r w:rsidRPr="00071346">
        <w:rPr>
          <w:lang w:val="en-US"/>
        </w:rPr>
        <w:t xml:space="preserve">where </w:t>
      </w:r>
      <w:r w:rsidRPr="00071346">
        <w:rPr>
          <w:i/>
          <w:iCs/>
          <w:lang w:val="en-US"/>
        </w:rPr>
        <w:t>PDC</w:t>
      </w:r>
      <w:r w:rsidRPr="00071346">
        <w:rPr>
          <w:i/>
          <w:iCs/>
          <w:vertAlign w:val="subscript"/>
          <w:lang w:val="en-US"/>
        </w:rPr>
        <w:t>LIM</w:t>
      </w:r>
      <w:r w:rsidRPr="00071346">
        <w:rPr>
          <w:lang w:val="en-US"/>
        </w:rPr>
        <w:t xml:space="preserve"> and </w:t>
      </w:r>
      <w:r>
        <w:rPr>
          <w:i/>
          <w:iCs/>
          <w:noProof/>
          <w:lang w:val="en-US"/>
        </w:rPr>
        <w:t>R</w:t>
      </w:r>
      <w:r>
        <w:rPr>
          <w:i/>
          <w:iCs/>
          <w:noProof/>
          <w:vertAlign w:val="subscript"/>
          <w:lang w:val="en-US"/>
        </w:rPr>
        <w:t>I</w:t>
      </w:r>
      <w:r w:rsidRPr="00071346">
        <w:rPr>
          <w:lang w:val="en-US"/>
        </w:rPr>
        <w:t xml:space="preserve"> represent the baseline environment pulsed RFI parameters and </w:t>
      </w:r>
      <w:r w:rsidRPr="00071346">
        <w:rPr>
          <w:i/>
          <w:iCs/>
          <w:lang w:val="en-US"/>
        </w:rPr>
        <w:t>PDC</w:t>
      </w:r>
      <w:r w:rsidRPr="00071346">
        <w:rPr>
          <w:i/>
          <w:iCs/>
          <w:vertAlign w:val="subscript"/>
          <w:lang w:val="en-US"/>
        </w:rPr>
        <w:t>Y</w:t>
      </w:r>
      <w:r w:rsidRPr="00071346">
        <w:rPr>
          <w:lang w:val="en-US"/>
        </w:rPr>
        <w:t xml:space="preserve"> and </w:t>
      </w:r>
      <w:r>
        <w:rPr>
          <w:i/>
          <w:iCs/>
          <w:noProof/>
          <w:lang w:val="en-US"/>
        </w:rPr>
        <w:t>R</w:t>
      </w:r>
      <w:r>
        <w:rPr>
          <w:i/>
          <w:iCs/>
          <w:noProof/>
          <w:vertAlign w:val="subscript"/>
          <w:lang w:val="en-US"/>
        </w:rPr>
        <w:t>Y</w:t>
      </w:r>
      <w:r w:rsidRPr="00071346">
        <w:rPr>
          <w:lang w:val="en-US"/>
        </w:rPr>
        <w:t xml:space="preserve"> represent the additional sourc</w:t>
      </w:r>
      <w:r w:rsidR="00603D3A">
        <w:rPr>
          <w:lang w:val="en-US"/>
        </w:rPr>
        <w:t xml:space="preserve">e group pulsed RFI parameters. </w:t>
      </w:r>
      <w:r w:rsidRPr="00071346">
        <w:rPr>
          <w:lang w:val="en-US"/>
        </w:rPr>
        <w:t>Similar to Case 1, the degradation ratio is then defined by extension using equation (5) as:</w:t>
      </w:r>
    </w:p>
    <w:p w:rsidR="00071346" w:rsidRPr="00071346" w:rsidRDefault="00071346" w:rsidP="00603D3A">
      <w:pPr>
        <w:pStyle w:val="Equation"/>
        <w:rPr>
          <w:lang w:val="en-US"/>
        </w:rPr>
      </w:pPr>
      <w:r>
        <w:object w:dxaOrig="8745" w:dyaOrig="3045">
          <v:shape id="_x0000_i1037" type="#_x0000_t75" style="width:436.05pt;height:152.05pt" o:ole="">
            <v:imagedata r:id="rId37" o:title=""/>
          </v:shape>
          <o:OLEObject Type="Embed" ProgID="Equation.DSMT4" ShapeID="_x0000_i1037" DrawAspect="Content" ObjectID="_1417409643" r:id="rId38"/>
        </w:object>
      </w:r>
      <w:r w:rsidR="00603D3A" w:rsidRPr="00603D3A">
        <w:rPr>
          <w:lang w:val="en-US"/>
        </w:rPr>
        <w:tab/>
      </w:r>
      <w:r w:rsidRPr="00071346">
        <w:rPr>
          <w:lang w:val="en-US"/>
        </w:rPr>
        <w:t>(7)</w:t>
      </w:r>
    </w:p>
    <w:p w:rsidR="00071346" w:rsidRPr="00071346" w:rsidRDefault="00071346" w:rsidP="00071346">
      <w:pPr>
        <w:rPr>
          <w:lang w:val="en-US"/>
        </w:rPr>
      </w:pPr>
      <w:r w:rsidRPr="00071346">
        <w:rPr>
          <w:lang w:val="en-US"/>
        </w:rPr>
        <w:t xml:space="preserve">If in addition, the RNSS receiver is a hard-limiting style, </w:t>
      </w:r>
      <w:r w:rsidRPr="00071346">
        <w:rPr>
          <w:i/>
          <w:iCs/>
          <w:lang w:val="en-US"/>
        </w:rPr>
        <w:t>N</w:t>
      </w:r>
      <w:r w:rsidRPr="00071346">
        <w:rPr>
          <w:i/>
          <w:iCs/>
          <w:vertAlign w:val="subscript"/>
          <w:lang w:val="en-US"/>
        </w:rPr>
        <w:t>LIM</w:t>
      </w:r>
      <w:r w:rsidRPr="00071346">
        <w:rPr>
          <w:lang w:val="en-US"/>
        </w:rPr>
        <w:t xml:space="preserve"> = 1 and </w:t>
      </w:r>
      <w:r w:rsidRPr="00071346">
        <w:rPr>
          <w:i/>
          <w:iCs/>
          <w:lang w:val="en-US"/>
        </w:rPr>
        <w:t>R</w:t>
      </w:r>
      <w:r w:rsidRPr="00071346">
        <w:rPr>
          <w:i/>
          <w:iCs/>
          <w:vertAlign w:val="subscript"/>
          <w:lang w:val="en-US"/>
        </w:rPr>
        <w:t>I</w:t>
      </w:r>
      <w:r w:rsidRPr="00071346">
        <w:rPr>
          <w:lang w:val="en-US"/>
        </w:rPr>
        <w:t xml:space="preserve"> = </w:t>
      </w:r>
      <w:r w:rsidRPr="00071346">
        <w:rPr>
          <w:i/>
          <w:iCs/>
          <w:lang w:val="en-US"/>
        </w:rPr>
        <w:t>R</w:t>
      </w:r>
      <w:r w:rsidRPr="00071346">
        <w:rPr>
          <w:i/>
          <w:iCs/>
          <w:vertAlign w:val="subscript"/>
          <w:lang w:val="en-US"/>
        </w:rPr>
        <w:t>Y</w:t>
      </w:r>
      <w:r w:rsidRPr="00071346">
        <w:rPr>
          <w:lang w:val="en-US"/>
        </w:rPr>
        <w:t xml:space="preserve"> </w:t>
      </w:r>
      <w:r>
        <w:rPr>
          <w:szCs w:val="24"/>
        </w:rPr>
        <w:sym w:font="Symbol" w:char="F040"/>
      </w:r>
      <w:r w:rsidRPr="00071346">
        <w:rPr>
          <w:lang w:val="en-US"/>
        </w:rPr>
        <w:t xml:space="preserve"> 0, then the degradation ratio simplifies to:</w:t>
      </w:r>
    </w:p>
    <w:p w:rsidR="00071346" w:rsidRPr="00071346" w:rsidRDefault="00071346" w:rsidP="009D620C">
      <w:pPr>
        <w:pStyle w:val="Equation"/>
        <w:rPr>
          <w:lang w:val="en-US"/>
        </w:rPr>
      </w:pPr>
      <w:r w:rsidRPr="00071346">
        <w:rPr>
          <w:lang w:val="en-US"/>
        </w:rPr>
        <w:tab/>
      </w:r>
      <w:r w:rsidRPr="00071346">
        <w:rPr>
          <w:lang w:val="en-US"/>
        </w:rPr>
        <w:tab/>
      </w:r>
      <w:r w:rsidR="009D620C" w:rsidRPr="009D620C">
        <w:rPr>
          <w:position w:val="-32"/>
        </w:rPr>
        <w:object w:dxaOrig="2940" w:dyaOrig="700">
          <v:shape id="_x0000_i1038" type="#_x0000_t75" style="width:148.05pt;height:35.7pt" o:ole="">
            <v:imagedata r:id="rId39" o:title=""/>
          </v:shape>
          <o:OLEObject Type="Embed" ProgID="Equation.3" ShapeID="_x0000_i1038" DrawAspect="Content" ObjectID="_1417409644" r:id="rId40"/>
        </w:object>
      </w:r>
      <w:r w:rsidRPr="00071346">
        <w:rPr>
          <w:lang w:val="en-US"/>
        </w:rPr>
        <w:tab/>
        <w:t>(7a)</w:t>
      </w:r>
    </w:p>
    <w:p w:rsidR="00071346" w:rsidRPr="00071346" w:rsidRDefault="00071346" w:rsidP="00071346">
      <w:pPr>
        <w:pStyle w:val="Heading3"/>
        <w:rPr>
          <w:lang w:val="en-US"/>
        </w:rPr>
      </w:pPr>
      <w:r w:rsidRPr="00071346">
        <w:rPr>
          <w:lang w:val="en-US"/>
        </w:rPr>
        <w:t>3.2.2</w:t>
      </w:r>
      <w:r w:rsidRPr="00071346">
        <w:rPr>
          <w:lang w:val="en-US"/>
        </w:rPr>
        <w:tab/>
        <w:t>Saturating RNSS receiver – zero baseline pulsed RFI (case 2b)</w:t>
      </w:r>
    </w:p>
    <w:p w:rsidR="00071346" w:rsidRPr="00071346" w:rsidRDefault="00071346" w:rsidP="009D620C">
      <w:pPr>
        <w:rPr>
          <w:lang w:val="en-US"/>
        </w:rPr>
      </w:pPr>
      <w:r w:rsidRPr="00071346">
        <w:rPr>
          <w:lang w:val="en-US"/>
        </w:rPr>
        <w:t xml:space="preserve">For the sub-case when no pulsed RFI is assumed in the baseline environment (i.e. baseline </w:t>
      </w:r>
      <w:r w:rsidRPr="00071346">
        <w:rPr>
          <w:i/>
          <w:lang w:val="en-US"/>
        </w:rPr>
        <w:t>PDC</w:t>
      </w:r>
      <w:r w:rsidRPr="00071346">
        <w:rPr>
          <w:lang w:val="en-US"/>
        </w:rPr>
        <w:t xml:space="preserve"> and </w:t>
      </w:r>
      <w:r w:rsidRPr="00071346">
        <w:rPr>
          <w:i/>
          <w:lang w:val="en-US"/>
        </w:rPr>
        <w:t>R</w:t>
      </w:r>
      <w:r w:rsidRPr="00071346">
        <w:rPr>
          <w:i/>
          <w:vertAlign w:val="subscript"/>
          <w:lang w:val="en-US"/>
        </w:rPr>
        <w:t>I</w:t>
      </w:r>
      <w:r w:rsidR="009D620C">
        <w:rPr>
          <w:lang w:val="en-US"/>
        </w:rPr>
        <w:t> </w:t>
      </w:r>
      <w:r w:rsidRPr="00071346">
        <w:rPr>
          <w:lang w:val="en-US"/>
        </w:rPr>
        <w:t>=</w:t>
      </w:r>
      <w:r w:rsidR="009D620C">
        <w:rPr>
          <w:lang w:val="en-US"/>
        </w:rPr>
        <w:t> </w:t>
      </w:r>
      <w:r w:rsidRPr="00071346">
        <w:rPr>
          <w:lang w:val="en-US"/>
        </w:rPr>
        <w:t xml:space="preserve">0) and a saturating pulse source group Y is introduced (pulsed RFI parameters </w:t>
      </w:r>
      <w:r w:rsidRPr="00071346">
        <w:rPr>
          <w:i/>
          <w:iCs/>
          <w:lang w:val="en-US"/>
        </w:rPr>
        <w:t>PDC</w:t>
      </w:r>
      <w:r w:rsidRPr="00071346">
        <w:rPr>
          <w:i/>
          <w:iCs/>
          <w:vertAlign w:val="subscript"/>
          <w:lang w:val="en-US"/>
        </w:rPr>
        <w:t>Y</w:t>
      </w:r>
      <w:r w:rsidRPr="00071346">
        <w:rPr>
          <w:lang w:val="en-US"/>
        </w:rPr>
        <w:t xml:space="preserve"> and </w:t>
      </w:r>
      <w:r>
        <w:rPr>
          <w:i/>
          <w:iCs/>
          <w:noProof/>
          <w:lang w:val="en-US"/>
        </w:rPr>
        <w:t>R</w:t>
      </w:r>
      <w:r>
        <w:rPr>
          <w:i/>
          <w:iCs/>
          <w:noProof/>
          <w:vertAlign w:val="subscript"/>
          <w:lang w:val="en-US"/>
        </w:rPr>
        <w:t>Y</w:t>
      </w:r>
      <w:r>
        <w:rPr>
          <w:iCs/>
          <w:noProof/>
          <w:lang w:val="en-US"/>
        </w:rPr>
        <w:t>)</w:t>
      </w:r>
      <w:r w:rsidRPr="00071346">
        <w:rPr>
          <w:lang w:val="en-US"/>
        </w:rPr>
        <w:t>, then the degradation ratio is defined as:</w:t>
      </w:r>
    </w:p>
    <w:p w:rsidR="00071346" w:rsidRPr="00071346" w:rsidRDefault="00071346" w:rsidP="00071346">
      <w:pPr>
        <w:pStyle w:val="Equation"/>
        <w:rPr>
          <w:lang w:val="en-US"/>
        </w:rPr>
      </w:pPr>
      <w:r w:rsidRPr="00071346">
        <w:rPr>
          <w:lang w:val="en-US"/>
        </w:rPr>
        <w:tab/>
      </w:r>
      <w:r w:rsidRPr="00071346">
        <w:rPr>
          <w:lang w:val="en-US"/>
        </w:rPr>
        <w:tab/>
      </w:r>
      <w:r>
        <w:rPr>
          <w:position w:val="-146"/>
        </w:rPr>
        <w:object w:dxaOrig="6195" w:dyaOrig="3045">
          <v:shape id="_x0000_i1039" type="#_x0000_t75" style="width:309.9pt;height:152.05pt" o:ole="">
            <v:imagedata r:id="rId41" o:title=""/>
          </v:shape>
          <o:OLEObject Type="Embed" ProgID="Equation.DSMT4" ShapeID="_x0000_i1039" DrawAspect="Content" ObjectID="_1417409645" r:id="rId42"/>
        </w:object>
      </w:r>
      <w:r w:rsidRPr="00071346">
        <w:rPr>
          <w:lang w:val="en-US"/>
        </w:rPr>
        <w:tab/>
        <w:t>(8)</w:t>
      </w:r>
    </w:p>
    <w:p w:rsidR="00071346" w:rsidRPr="00071346" w:rsidRDefault="00071346" w:rsidP="00071346">
      <w:pPr>
        <w:rPr>
          <w:lang w:val="en-US"/>
        </w:rPr>
      </w:pPr>
      <w:r w:rsidRPr="00071346">
        <w:rPr>
          <w:lang w:val="en-US"/>
        </w:rPr>
        <w:t xml:space="preserve">If in addition, the receiver is a hard-limiting style, </w:t>
      </w:r>
      <w:r w:rsidRPr="00071346">
        <w:rPr>
          <w:i/>
          <w:iCs/>
          <w:lang w:val="en-US"/>
        </w:rPr>
        <w:t>N</w:t>
      </w:r>
      <w:r w:rsidRPr="00071346">
        <w:rPr>
          <w:i/>
          <w:iCs/>
          <w:vertAlign w:val="subscript"/>
          <w:lang w:val="en-US"/>
        </w:rPr>
        <w:t>LIM</w:t>
      </w:r>
      <w:r w:rsidRPr="00071346">
        <w:rPr>
          <w:lang w:val="en-US"/>
        </w:rPr>
        <w:t xml:space="preserve"> = 1 and </w:t>
      </w:r>
      <w:r w:rsidRPr="00071346">
        <w:rPr>
          <w:i/>
          <w:iCs/>
          <w:lang w:val="en-US"/>
        </w:rPr>
        <w:t>R</w:t>
      </w:r>
      <w:r w:rsidRPr="00071346">
        <w:rPr>
          <w:i/>
          <w:iCs/>
          <w:vertAlign w:val="subscript"/>
          <w:lang w:val="en-US"/>
        </w:rPr>
        <w:t>Y</w:t>
      </w:r>
      <w:r w:rsidRPr="00071346">
        <w:rPr>
          <w:lang w:val="en-US"/>
        </w:rPr>
        <w:t xml:space="preserve"> </w:t>
      </w:r>
      <w:r>
        <w:rPr>
          <w:szCs w:val="24"/>
        </w:rPr>
        <w:sym w:font="Symbol" w:char="F040"/>
      </w:r>
      <w:r w:rsidRPr="00071346">
        <w:rPr>
          <w:lang w:val="en-US"/>
        </w:rPr>
        <w:t xml:space="preserve"> 0, then the degradation ratio becomes identical to equation (7a), that is:</w:t>
      </w:r>
    </w:p>
    <w:p w:rsidR="00071346" w:rsidRDefault="00071346" w:rsidP="009D620C">
      <w:pPr>
        <w:pStyle w:val="Equation"/>
      </w:pPr>
      <w:r w:rsidRPr="00071346">
        <w:rPr>
          <w:lang w:val="en-US"/>
        </w:rPr>
        <w:tab/>
      </w:r>
      <w:r w:rsidRPr="00071346">
        <w:rPr>
          <w:lang w:val="en-US"/>
        </w:rPr>
        <w:tab/>
      </w:r>
      <w:r w:rsidR="009D620C" w:rsidRPr="009D620C">
        <w:rPr>
          <w:position w:val="-32"/>
        </w:rPr>
        <w:object w:dxaOrig="2940" w:dyaOrig="700">
          <v:shape id="_x0000_i1040" type="#_x0000_t75" style="width:148.05pt;height:35.7pt" o:ole="">
            <v:imagedata r:id="rId43" o:title=""/>
          </v:shape>
          <o:OLEObject Type="Embed" ProgID="Equation.3" ShapeID="_x0000_i1040" DrawAspect="Content" ObjectID="_1417409646" r:id="rId44"/>
        </w:object>
      </w:r>
      <w:r>
        <w:tab/>
      </w:r>
    </w:p>
    <w:p w:rsidR="00071346" w:rsidRPr="00071346" w:rsidRDefault="00071346" w:rsidP="00071346">
      <w:pPr>
        <w:pStyle w:val="Heading1"/>
        <w:rPr>
          <w:lang w:val="en-US"/>
        </w:rPr>
      </w:pPr>
      <w:r w:rsidRPr="00071346">
        <w:rPr>
          <w:lang w:val="en-US"/>
        </w:rPr>
        <w:t>4</w:t>
      </w:r>
      <w:r w:rsidRPr="00071346">
        <w:rPr>
          <w:lang w:val="en-US"/>
        </w:rPr>
        <w:tab/>
        <w:t>Allowable degradation ratios and associated evaluation method parameters</w:t>
      </w:r>
    </w:p>
    <w:p w:rsidR="00071346" w:rsidRPr="00071346" w:rsidRDefault="00071346" w:rsidP="00D04753">
      <w:pPr>
        <w:ind w:right="-142"/>
        <w:rPr>
          <w:lang w:val="en-US"/>
        </w:rPr>
      </w:pPr>
      <w:r w:rsidRPr="00071346">
        <w:rPr>
          <w:lang w:val="en-US"/>
        </w:rPr>
        <w:t>Table 1 lists baseline method parameters and allowable degradation ratios</w:t>
      </w:r>
      <w:r>
        <w:rPr>
          <w:rStyle w:val="FootnoteReference"/>
        </w:rPr>
        <w:footnoteReference w:id="10"/>
      </w:r>
      <w:r w:rsidRPr="00071346">
        <w:rPr>
          <w:lang w:val="en-US"/>
        </w:rPr>
        <w:t xml:space="preserve"> to be used for a preliminary evaluation of the potential for pulsed interference from relevant radio sources other than in the RNSS to an RNSS system or network operating in the 1 164-1 215 MHz band. RNSS receiver types in the table are taken from Recommendation ITU-R M.1905. If the analysis of an additional pulsed interference source gives a degradation ratio value in dB </w:t>
      </w:r>
      <w:r w:rsidRPr="00071346">
        <w:rPr>
          <w:lang w:val="en-US"/>
        </w:rPr>
        <w:lastRenderedPageBreak/>
        <w:t>(10</w:t>
      </w:r>
      <w:r w:rsidR="000D471B" w:rsidRPr="000D471B">
        <w:rPr>
          <w:szCs w:val="24"/>
          <w:lang w:val="en-US"/>
        </w:rPr>
        <w:t> </w:t>
      </w:r>
      <w:r w:rsidRPr="00071346">
        <w:rPr>
          <w:lang w:val="en-US"/>
        </w:rPr>
        <w:t>log</w:t>
      </w:r>
      <w:r w:rsidRPr="00071346">
        <w:rPr>
          <w:vertAlign w:val="subscript"/>
          <w:lang w:val="en-US"/>
        </w:rPr>
        <w:t>10</w:t>
      </w:r>
      <w:r w:rsidRPr="00071346">
        <w:rPr>
          <w:lang w:val="en-US"/>
        </w:rPr>
        <w:t>(</w:t>
      </w:r>
      <w:r w:rsidRPr="00071346">
        <w:rPr>
          <w:i/>
          <w:lang w:val="en-US"/>
        </w:rPr>
        <w:t>N</w:t>
      </w:r>
      <w:r w:rsidRPr="00071346">
        <w:rPr>
          <w:vertAlign w:val="subscript"/>
          <w:lang w:val="en-US"/>
        </w:rPr>
        <w:t>0</w:t>
      </w:r>
      <w:r w:rsidRPr="00071346">
        <w:rPr>
          <w:i/>
          <w:vertAlign w:val="subscript"/>
          <w:lang w:val="en-US"/>
        </w:rPr>
        <w:t>,EFF+Y</w:t>
      </w:r>
      <w:r w:rsidRPr="00071346">
        <w:rPr>
          <w:i/>
          <w:lang w:val="en-US"/>
        </w:rPr>
        <w:t>/N</w:t>
      </w:r>
      <w:r w:rsidRPr="00071346">
        <w:rPr>
          <w:vertAlign w:val="subscript"/>
          <w:lang w:val="en-US"/>
        </w:rPr>
        <w:t>0</w:t>
      </w:r>
      <w:r w:rsidRPr="00071346">
        <w:rPr>
          <w:i/>
          <w:vertAlign w:val="subscript"/>
          <w:lang w:val="en-US"/>
        </w:rPr>
        <w:t>,EFF</w:t>
      </w:r>
      <w:r w:rsidRPr="00071346">
        <w:rPr>
          <w:lang w:val="en-US"/>
        </w:rPr>
        <w:t>)) that exceeds the allowable degradation ratio of an RNSS receiver in Table 1, then a more detailed analysis of the impact of the additional pulsed interference may be required to determine whether or not the new interference is acceptabl</w:t>
      </w:r>
      <w:r w:rsidR="000D471B">
        <w:rPr>
          <w:lang w:val="en-US"/>
        </w:rPr>
        <w:t xml:space="preserve">e to the victim RNSS receiver. </w:t>
      </w:r>
      <w:r w:rsidRPr="00071346">
        <w:rPr>
          <w:lang w:val="en-US"/>
        </w:rPr>
        <w:t xml:space="preserve">The listed baseline pulse RFI method parameters, </w:t>
      </w:r>
      <w:r w:rsidRPr="00071346">
        <w:rPr>
          <w:i/>
          <w:lang w:val="en-US"/>
        </w:rPr>
        <w:t>PDC</w:t>
      </w:r>
      <w:r w:rsidRPr="00071346">
        <w:rPr>
          <w:lang w:val="en-US"/>
        </w:rPr>
        <w:t xml:space="preserve"> and </w:t>
      </w:r>
      <w:r w:rsidRPr="00071346">
        <w:rPr>
          <w:i/>
          <w:lang w:val="en-US"/>
        </w:rPr>
        <w:t>R</w:t>
      </w:r>
      <w:r w:rsidRPr="00071346">
        <w:rPr>
          <w:i/>
          <w:vertAlign w:val="subscript"/>
          <w:lang w:val="en-US"/>
        </w:rPr>
        <w:t>I</w:t>
      </w:r>
      <w:r w:rsidRPr="00071346">
        <w:rPr>
          <w:lang w:val="en-US"/>
        </w:rPr>
        <w:t xml:space="preserve">, and continuous parameter, </w:t>
      </w:r>
      <w:r w:rsidRPr="00071346">
        <w:rPr>
          <w:i/>
          <w:lang w:val="en-US"/>
        </w:rPr>
        <w:t>I</w:t>
      </w:r>
      <w:r w:rsidRPr="00071346">
        <w:rPr>
          <w:vertAlign w:val="subscript"/>
          <w:lang w:val="en-US"/>
        </w:rPr>
        <w:t>0</w:t>
      </w:r>
      <w:r w:rsidRPr="00071346">
        <w:rPr>
          <w:i/>
          <w:vertAlign w:val="subscript"/>
          <w:lang w:val="en-US"/>
        </w:rPr>
        <w:t>,WB</w:t>
      </w:r>
      <w:r w:rsidRPr="00071346">
        <w:rPr>
          <w:i/>
          <w:lang w:val="en-US"/>
        </w:rPr>
        <w:t>/N</w:t>
      </w:r>
      <w:r w:rsidRPr="00071346">
        <w:rPr>
          <w:vertAlign w:val="subscript"/>
          <w:lang w:val="en-US"/>
        </w:rPr>
        <w:t>0</w:t>
      </w:r>
      <w:r w:rsidRPr="00071346">
        <w:rPr>
          <w:lang w:val="en-US"/>
        </w:rPr>
        <w:t>, are to be used in the appropriate degradation ratio equation (equation 6 for pulse-blanking RNSS receivers (</w:t>
      </w:r>
      <w:r w:rsidRPr="00071346">
        <w:rPr>
          <w:i/>
          <w:lang w:val="en-US"/>
        </w:rPr>
        <w:t>N</w:t>
      </w:r>
      <w:r w:rsidRPr="00071346">
        <w:rPr>
          <w:i/>
          <w:vertAlign w:val="subscript"/>
          <w:lang w:val="en-US"/>
        </w:rPr>
        <w:t>LIM</w:t>
      </w:r>
      <w:r w:rsidRPr="00071346">
        <w:rPr>
          <w:lang w:val="en-US"/>
        </w:rPr>
        <w:t xml:space="preserve"> =0), or equation 7, 7a, or 8 for saturating RNSS receivers (</w:t>
      </w:r>
      <w:r w:rsidRPr="00071346">
        <w:rPr>
          <w:i/>
          <w:lang w:val="en-US"/>
        </w:rPr>
        <w:t>N</w:t>
      </w:r>
      <w:r w:rsidRPr="00071346">
        <w:rPr>
          <w:i/>
          <w:vertAlign w:val="subscript"/>
          <w:lang w:val="en-US"/>
        </w:rPr>
        <w:t>LIM</w:t>
      </w:r>
      <w:r w:rsidRPr="00071346">
        <w:rPr>
          <w:lang w:val="en-US"/>
        </w:rPr>
        <w:t xml:space="preserve"> </w:t>
      </w:r>
      <w:r>
        <w:rPr>
          <w:szCs w:val="24"/>
        </w:rPr>
        <w:sym w:font="Symbol" w:char="F0B3"/>
      </w:r>
      <w:r w:rsidRPr="00071346">
        <w:rPr>
          <w:lang w:val="en-US"/>
        </w:rPr>
        <w:t xml:space="preserve"> 1)). The pulse parameters for the new pulsed RFI source (or source group) in the degradation equations may be computed using a method described in Report ITU-R M.2220.</w:t>
      </w:r>
    </w:p>
    <w:p w:rsidR="00071346" w:rsidRPr="00071346" w:rsidRDefault="00071346" w:rsidP="00071346">
      <w:pPr>
        <w:pStyle w:val="TableNo"/>
        <w:rPr>
          <w:lang w:val="en-US" w:eastAsia="ru-RU"/>
        </w:rPr>
      </w:pPr>
      <w:r w:rsidRPr="00071346">
        <w:rPr>
          <w:lang w:val="en-US" w:eastAsia="ru-RU"/>
        </w:rPr>
        <w:t>TABLE 1</w:t>
      </w:r>
    </w:p>
    <w:p w:rsidR="00071346" w:rsidRPr="00071346" w:rsidRDefault="00071346" w:rsidP="00071346">
      <w:pPr>
        <w:pStyle w:val="Tabletitle"/>
        <w:rPr>
          <w:lang w:val="en-US"/>
        </w:rPr>
      </w:pPr>
      <w:r w:rsidRPr="00071346">
        <w:rPr>
          <w:lang w:val="en-US"/>
        </w:rPr>
        <w:t xml:space="preserve">Baseline pulsed RFI method parameters and allowable degradation ratios for </w:t>
      </w:r>
      <w:r w:rsidRPr="00071346">
        <w:rPr>
          <w:lang w:val="en-US"/>
        </w:rPr>
        <w:br/>
        <w:t>RNSS receivers (space-to-Earth) operating in the band 1 164</w:t>
      </w:r>
      <w:r w:rsidRPr="00071346">
        <w:rPr>
          <w:lang w:val="en-US"/>
        </w:rPr>
        <w:noBreakHyphen/>
        <w:t>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1211"/>
        <w:gridCol w:w="1212"/>
        <w:gridCol w:w="1212"/>
        <w:gridCol w:w="1212"/>
        <w:gridCol w:w="2081"/>
      </w:tblGrid>
      <w:tr w:rsidR="00071346" w:rsidRPr="00400648" w:rsidTr="000D471B">
        <w:trPr>
          <w:jc w:val="center"/>
        </w:trPr>
        <w:tc>
          <w:tcPr>
            <w:tcW w:w="271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head"/>
              <w:spacing w:before="40" w:after="40"/>
              <w:rPr>
                <w:lang w:eastAsia="zh-CN"/>
              </w:rPr>
            </w:pPr>
            <w:r>
              <w:rPr>
                <w:lang w:eastAsia="zh-CN"/>
              </w:rPr>
              <w:t>Receiver type</w:t>
            </w:r>
          </w:p>
        </w:tc>
        <w:tc>
          <w:tcPr>
            <w:tcW w:w="1211" w:type="dxa"/>
            <w:tcBorders>
              <w:top w:val="single" w:sz="4" w:space="0" w:color="auto"/>
              <w:left w:val="single" w:sz="4" w:space="0" w:color="auto"/>
              <w:bottom w:val="single" w:sz="4" w:space="0" w:color="auto"/>
              <w:right w:val="single" w:sz="4" w:space="0" w:color="auto"/>
            </w:tcBorders>
          </w:tcPr>
          <w:p w:rsidR="00071346" w:rsidRPr="000D471B" w:rsidRDefault="00071346" w:rsidP="000D471B">
            <w:pPr>
              <w:pStyle w:val="Tablehead"/>
              <w:spacing w:before="40" w:after="40"/>
              <w:rPr>
                <w:lang w:eastAsia="zh-CN"/>
              </w:rPr>
            </w:pPr>
            <w:r w:rsidRPr="000D471B">
              <w:rPr>
                <w:i/>
                <w:iCs/>
                <w:lang w:eastAsia="zh-CN"/>
              </w:rPr>
              <w:t>N</w:t>
            </w:r>
            <w:r w:rsidRPr="000D471B">
              <w:rPr>
                <w:i/>
                <w:iCs/>
                <w:vertAlign w:val="subscript"/>
                <w:lang w:eastAsia="zh-CN"/>
              </w:rPr>
              <w:t>LIM</w:t>
            </w:r>
            <w:r w:rsidRPr="000D471B">
              <w:rPr>
                <w:iCs/>
                <w:vertAlign w:val="subscript"/>
                <w:lang w:eastAsia="zh-CN"/>
              </w:rPr>
              <w:br/>
            </w:r>
            <w:r w:rsidRPr="000D471B">
              <w:rPr>
                <w:iCs/>
                <w:lang w:eastAsia="zh-CN"/>
              </w:rPr>
              <w:t xml:space="preserve">(unitless) </w:t>
            </w:r>
            <w:r w:rsidRPr="000D471B">
              <w:rPr>
                <w:iCs/>
                <w:lang w:eastAsia="zh-CN"/>
              </w:rPr>
              <w:br/>
            </w:r>
            <w:r w:rsidRPr="000D471B">
              <w:rPr>
                <w:iCs/>
                <w:lang w:eastAsia="zh-CN"/>
              </w:rPr>
              <w:br/>
            </w:r>
            <w:r w:rsidRPr="000D471B">
              <w:rPr>
                <w:iCs/>
                <w:lang w:eastAsia="zh-CN"/>
              </w:rPr>
              <w:br/>
              <w:t>(Note 4)</w:t>
            </w:r>
          </w:p>
        </w:tc>
        <w:tc>
          <w:tcPr>
            <w:tcW w:w="1212" w:type="dxa"/>
            <w:tcBorders>
              <w:top w:val="single" w:sz="4" w:space="0" w:color="auto"/>
              <w:left w:val="single" w:sz="4" w:space="0" w:color="auto"/>
              <w:bottom w:val="single" w:sz="4" w:space="0" w:color="auto"/>
              <w:right w:val="single" w:sz="4" w:space="0" w:color="auto"/>
            </w:tcBorders>
          </w:tcPr>
          <w:p w:rsidR="00071346" w:rsidRPr="000D471B" w:rsidRDefault="00071346" w:rsidP="000D471B">
            <w:pPr>
              <w:pStyle w:val="Tablehead"/>
              <w:spacing w:before="40" w:after="40"/>
              <w:rPr>
                <w:lang w:eastAsia="zh-CN"/>
              </w:rPr>
            </w:pPr>
            <w:r w:rsidRPr="000D471B">
              <w:rPr>
                <w:lang w:eastAsia="zh-CN"/>
              </w:rPr>
              <w:t xml:space="preserve">Baseline </w:t>
            </w:r>
            <w:r w:rsidRPr="000D471B">
              <w:rPr>
                <w:i/>
                <w:lang w:eastAsia="zh-CN"/>
              </w:rPr>
              <w:t>PDC</w:t>
            </w:r>
            <w:r w:rsidRPr="000D471B">
              <w:rPr>
                <w:lang w:eastAsia="zh-CN"/>
              </w:rPr>
              <w:t xml:space="preserve"> </w:t>
            </w:r>
            <w:r w:rsidRPr="000D471B">
              <w:rPr>
                <w:iCs/>
                <w:lang w:eastAsia="zh-CN"/>
              </w:rPr>
              <w:t>(unitless)</w:t>
            </w:r>
          </w:p>
        </w:tc>
        <w:tc>
          <w:tcPr>
            <w:tcW w:w="1212" w:type="dxa"/>
            <w:tcBorders>
              <w:top w:val="single" w:sz="4" w:space="0" w:color="auto"/>
              <w:left w:val="single" w:sz="4" w:space="0" w:color="auto"/>
              <w:bottom w:val="single" w:sz="4" w:space="0" w:color="auto"/>
              <w:right w:val="single" w:sz="4" w:space="0" w:color="auto"/>
            </w:tcBorders>
          </w:tcPr>
          <w:p w:rsidR="00071346" w:rsidRPr="000D471B" w:rsidRDefault="00071346" w:rsidP="000D471B">
            <w:pPr>
              <w:pStyle w:val="Tablehead"/>
              <w:spacing w:before="40" w:after="40"/>
              <w:rPr>
                <w:lang w:eastAsia="zh-CN"/>
              </w:rPr>
            </w:pPr>
            <w:r w:rsidRPr="000D471B">
              <w:rPr>
                <w:lang w:eastAsia="zh-CN"/>
              </w:rPr>
              <w:t xml:space="preserve">Baseline </w:t>
            </w:r>
            <w:r w:rsidRPr="000D471B">
              <w:rPr>
                <w:i/>
                <w:lang w:eastAsia="zh-CN"/>
              </w:rPr>
              <w:t>R</w:t>
            </w:r>
            <w:r w:rsidRPr="000D471B">
              <w:rPr>
                <w:i/>
                <w:vertAlign w:val="subscript"/>
                <w:lang w:eastAsia="zh-CN"/>
              </w:rPr>
              <w:t>I</w:t>
            </w:r>
            <w:r w:rsidRPr="000D471B">
              <w:rPr>
                <w:vertAlign w:val="subscript"/>
                <w:lang w:eastAsia="zh-CN"/>
              </w:rPr>
              <w:t xml:space="preserve"> </w:t>
            </w:r>
            <w:r w:rsidRPr="000D471B">
              <w:rPr>
                <w:iCs/>
                <w:lang w:eastAsia="zh-CN"/>
              </w:rPr>
              <w:t>(unitless)</w:t>
            </w:r>
          </w:p>
        </w:tc>
        <w:tc>
          <w:tcPr>
            <w:tcW w:w="1212" w:type="dxa"/>
            <w:tcBorders>
              <w:top w:val="single" w:sz="4" w:space="0" w:color="auto"/>
              <w:left w:val="single" w:sz="4" w:space="0" w:color="auto"/>
              <w:bottom w:val="single" w:sz="4" w:space="0" w:color="auto"/>
              <w:right w:val="single" w:sz="4" w:space="0" w:color="auto"/>
            </w:tcBorders>
          </w:tcPr>
          <w:p w:rsidR="00071346" w:rsidRPr="000D471B" w:rsidRDefault="00071346" w:rsidP="000D471B">
            <w:pPr>
              <w:pStyle w:val="Tablehead"/>
              <w:spacing w:before="40" w:after="40"/>
              <w:rPr>
                <w:lang w:val="en-US" w:eastAsia="zh-CN"/>
              </w:rPr>
            </w:pPr>
            <w:r w:rsidRPr="000D471B">
              <w:rPr>
                <w:lang w:val="en-US" w:eastAsia="zh-CN"/>
              </w:rPr>
              <w:t xml:space="preserve">Baseline </w:t>
            </w:r>
            <w:r w:rsidRPr="000D471B">
              <w:rPr>
                <w:i/>
                <w:lang w:val="en-US" w:eastAsia="zh-CN"/>
              </w:rPr>
              <w:t>I</w:t>
            </w:r>
            <w:r w:rsidRPr="000D471B">
              <w:rPr>
                <w:i/>
                <w:vertAlign w:val="subscript"/>
                <w:lang w:val="en-US" w:eastAsia="zh-CN"/>
              </w:rPr>
              <w:t>0,WB</w:t>
            </w:r>
            <w:r w:rsidRPr="000D471B">
              <w:rPr>
                <w:i/>
                <w:lang w:val="en-US" w:eastAsia="zh-CN"/>
              </w:rPr>
              <w:t>/N</w:t>
            </w:r>
            <w:r w:rsidRPr="000D471B">
              <w:rPr>
                <w:i/>
                <w:vertAlign w:val="subscript"/>
                <w:lang w:val="en-US" w:eastAsia="zh-CN"/>
              </w:rPr>
              <w:t>0</w:t>
            </w:r>
            <w:r w:rsidRPr="000D471B">
              <w:rPr>
                <w:lang w:val="en-US" w:eastAsia="zh-CN"/>
              </w:rPr>
              <w:t xml:space="preserve"> ratio </w:t>
            </w:r>
            <w:r w:rsidRPr="000D471B">
              <w:rPr>
                <w:iCs/>
                <w:lang w:val="en-US" w:eastAsia="zh-CN"/>
              </w:rPr>
              <w:t>(unitless)</w:t>
            </w:r>
          </w:p>
        </w:tc>
        <w:tc>
          <w:tcPr>
            <w:tcW w:w="2081" w:type="dxa"/>
            <w:tcBorders>
              <w:top w:val="single" w:sz="4" w:space="0" w:color="auto"/>
              <w:left w:val="single" w:sz="4" w:space="0" w:color="auto"/>
              <w:bottom w:val="single" w:sz="4" w:space="0" w:color="auto"/>
              <w:right w:val="single" w:sz="4" w:space="0" w:color="auto"/>
            </w:tcBorders>
          </w:tcPr>
          <w:p w:rsidR="00071346" w:rsidRPr="00071346" w:rsidRDefault="00071346" w:rsidP="00CD4AD6">
            <w:pPr>
              <w:pStyle w:val="Tablehead"/>
              <w:spacing w:before="40" w:after="40"/>
              <w:rPr>
                <w:lang w:val="en-US" w:eastAsia="zh-CN"/>
              </w:rPr>
            </w:pPr>
            <w:r w:rsidRPr="00071346">
              <w:rPr>
                <w:lang w:val="en-US" w:eastAsia="zh-CN"/>
              </w:rPr>
              <w:t>Allowable degradation ratio for pulsed sources (dB)</w:t>
            </w:r>
            <w:r w:rsidRPr="00071346">
              <w:rPr>
                <w:lang w:val="en-US" w:eastAsia="zh-CN"/>
              </w:rPr>
              <w:br/>
              <w:t>(Notes 2, 3)</w:t>
            </w:r>
          </w:p>
        </w:tc>
      </w:tr>
      <w:tr w:rsidR="00071346" w:rsidTr="000D471B">
        <w:trPr>
          <w:jc w:val="center"/>
        </w:trPr>
        <w:tc>
          <w:tcPr>
            <w:tcW w:w="2711" w:type="dxa"/>
            <w:tcBorders>
              <w:top w:val="single" w:sz="4" w:space="0" w:color="auto"/>
              <w:left w:val="single" w:sz="4" w:space="0" w:color="auto"/>
              <w:bottom w:val="single" w:sz="4" w:space="0" w:color="auto"/>
              <w:right w:val="single" w:sz="4" w:space="0" w:color="auto"/>
            </w:tcBorders>
          </w:tcPr>
          <w:p w:rsidR="00071346" w:rsidRPr="00071346" w:rsidRDefault="00071346" w:rsidP="000D471B">
            <w:pPr>
              <w:pStyle w:val="Tabletext"/>
              <w:jc w:val="left"/>
              <w:rPr>
                <w:lang w:val="en-US" w:eastAsia="zh-CN"/>
              </w:rPr>
            </w:pPr>
            <w:r w:rsidRPr="00071346">
              <w:rPr>
                <w:lang w:val="en-US" w:eastAsia="zh-CN"/>
              </w:rPr>
              <w:t>Air navigation receiver #1 (CDMA) (Notes 1, 5)</w:t>
            </w:r>
          </w:p>
        </w:tc>
        <w:tc>
          <w:tcPr>
            <w:tcW w:w="121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0.6527</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0.9628</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1.0551</w:t>
            </w:r>
          </w:p>
        </w:tc>
        <w:tc>
          <w:tcPr>
            <w:tcW w:w="208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 xml:space="preserve">0.1 </w:t>
            </w:r>
            <w:r>
              <w:rPr>
                <w:lang w:eastAsia="zh-CN"/>
              </w:rPr>
              <w:br/>
            </w:r>
          </w:p>
        </w:tc>
      </w:tr>
      <w:tr w:rsidR="00071346" w:rsidTr="000D471B">
        <w:trPr>
          <w:jc w:val="center"/>
        </w:trPr>
        <w:tc>
          <w:tcPr>
            <w:tcW w:w="2711" w:type="dxa"/>
            <w:tcBorders>
              <w:top w:val="single" w:sz="4" w:space="0" w:color="auto"/>
              <w:left w:val="single" w:sz="4" w:space="0" w:color="auto"/>
              <w:bottom w:val="single" w:sz="4" w:space="0" w:color="auto"/>
              <w:right w:val="single" w:sz="4" w:space="0" w:color="auto"/>
            </w:tcBorders>
          </w:tcPr>
          <w:p w:rsidR="00071346" w:rsidRPr="00071346" w:rsidRDefault="00071346" w:rsidP="000D471B">
            <w:pPr>
              <w:pStyle w:val="Tabletext"/>
              <w:jc w:val="left"/>
              <w:rPr>
                <w:lang w:val="en-US" w:eastAsia="zh-CN"/>
              </w:rPr>
            </w:pPr>
            <w:r>
              <w:rPr>
                <w:rFonts w:eastAsia="MS PGothic"/>
                <w:lang w:val="en-US" w:eastAsia="zh-CN"/>
              </w:rPr>
              <w:t>Air-navigation receiver # 2 (FDMA) (Notes 1, 5)</w:t>
            </w:r>
          </w:p>
        </w:tc>
        <w:tc>
          <w:tcPr>
            <w:tcW w:w="121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1</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0.6527</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0.9628</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0.455</w:t>
            </w:r>
          </w:p>
        </w:tc>
        <w:tc>
          <w:tcPr>
            <w:tcW w:w="208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0.1</w:t>
            </w:r>
          </w:p>
        </w:tc>
      </w:tr>
      <w:tr w:rsidR="00071346" w:rsidTr="000D471B">
        <w:trPr>
          <w:jc w:val="center"/>
        </w:trPr>
        <w:tc>
          <w:tcPr>
            <w:tcW w:w="2711" w:type="dxa"/>
            <w:tcBorders>
              <w:top w:val="single" w:sz="4" w:space="0" w:color="auto"/>
              <w:left w:val="single" w:sz="4" w:space="0" w:color="auto"/>
              <w:bottom w:val="single" w:sz="4" w:space="0" w:color="auto"/>
              <w:right w:val="single" w:sz="4" w:space="0" w:color="auto"/>
            </w:tcBorders>
          </w:tcPr>
          <w:p w:rsidR="00071346" w:rsidRDefault="00071346" w:rsidP="000D471B">
            <w:pPr>
              <w:pStyle w:val="Tabletext"/>
              <w:jc w:val="left"/>
              <w:rPr>
                <w:lang w:eastAsia="zh-CN"/>
              </w:rPr>
            </w:pPr>
            <w:r>
              <w:rPr>
                <w:lang w:eastAsia="zh-CN"/>
              </w:rPr>
              <w:t>High precision (CDMA) (Note 5)</w:t>
            </w:r>
          </w:p>
        </w:tc>
        <w:tc>
          <w:tcPr>
            <w:tcW w:w="121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2</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0.0941</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0.5012</w:t>
            </w:r>
          </w:p>
        </w:tc>
        <w:tc>
          <w:tcPr>
            <w:tcW w:w="208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0.2</w:t>
            </w:r>
            <w:r>
              <w:rPr>
                <w:lang w:eastAsia="zh-CN"/>
              </w:rPr>
              <w:br/>
            </w:r>
          </w:p>
        </w:tc>
      </w:tr>
      <w:tr w:rsidR="00071346" w:rsidTr="000D471B">
        <w:trPr>
          <w:jc w:val="center"/>
        </w:trPr>
        <w:tc>
          <w:tcPr>
            <w:tcW w:w="2711" w:type="dxa"/>
            <w:tcBorders>
              <w:top w:val="single" w:sz="4" w:space="0" w:color="auto"/>
              <w:left w:val="single" w:sz="4" w:space="0" w:color="auto"/>
              <w:bottom w:val="single" w:sz="4" w:space="0" w:color="auto"/>
              <w:right w:val="single" w:sz="4" w:space="0" w:color="auto"/>
            </w:tcBorders>
          </w:tcPr>
          <w:p w:rsidR="00071346" w:rsidRDefault="00071346" w:rsidP="000D471B">
            <w:pPr>
              <w:pStyle w:val="Tabletext"/>
              <w:jc w:val="left"/>
              <w:rPr>
                <w:lang w:eastAsia="zh-CN"/>
              </w:rPr>
            </w:pPr>
            <w:r>
              <w:rPr>
                <w:lang w:eastAsia="zh-CN"/>
              </w:rPr>
              <w:t>High precision (</w:t>
            </w:r>
            <w:r>
              <w:rPr>
                <w:lang w:val="en-US" w:eastAsia="zh-CN"/>
              </w:rPr>
              <w:t>FDMA</w:t>
            </w:r>
            <w:r>
              <w:rPr>
                <w:lang w:eastAsia="zh-CN"/>
              </w:rPr>
              <w:t>) (Note 5)</w:t>
            </w:r>
          </w:p>
        </w:tc>
        <w:tc>
          <w:tcPr>
            <w:tcW w:w="121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2</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0.0941</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w:t>
            </w:r>
          </w:p>
        </w:tc>
        <w:tc>
          <w:tcPr>
            <w:tcW w:w="1212"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0.5012</w:t>
            </w:r>
          </w:p>
        </w:tc>
        <w:tc>
          <w:tcPr>
            <w:tcW w:w="2081" w:type="dxa"/>
            <w:tcBorders>
              <w:top w:val="single" w:sz="4" w:space="0" w:color="auto"/>
              <w:left w:val="single" w:sz="4" w:space="0" w:color="auto"/>
              <w:bottom w:val="single" w:sz="4" w:space="0" w:color="auto"/>
              <w:right w:val="single" w:sz="4" w:space="0" w:color="auto"/>
            </w:tcBorders>
          </w:tcPr>
          <w:p w:rsidR="00071346" w:rsidRDefault="00071346" w:rsidP="00CD4AD6">
            <w:pPr>
              <w:pStyle w:val="Tabletext"/>
              <w:jc w:val="center"/>
              <w:rPr>
                <w:lang w:eastAsia="zh-CN"/>
              </w:rPr>
            </w:pPr>
            <w:r>
              <w:rPr>
                <w:lang w:eastAsia="zh-CN"/>
              </w:rPr>
              <w:t>0.2</w:t>
            </w:r>
          </w:p>
        </w:tc>
      </w:tr>
      <w:tr w:rsidR="000D471B" w:rsidRPr="00400648" w:rsidTr="000D471B">
        <w:trPr>
          <w:jc w:val="center"/>
        </w:trPr>
        <w:tc>
          <w:tcPr>
            <w:tcW w:w="9639" w:type="dxa"/>
            <w:gridSpan w:val="6"/>
            <w:tcBorders>
              <w:top w:val="single" w:sz="4" w:space="0" w:color="auto"/>
              <w:left w:val="nil"/>
              <w:bottom w:val="nil"/>
              <w:right w:val="nil"/>
            </w:tcBorders>
          </w:tcPr>
          <w:p w:rsidR="000D471B" w:rsidRDefault="000D471B" w:rsidP="00882E71">
            <w:pPr>
              <w:pStyle w:val="Tablelegend"/>
              <w:ind w:hanging="284"/>
              <w:rPr>
                <w:lang w:val="en-US"/>
              </w:rPr>
            </w:pPr>
            <w:r w:rsidRPr="00071346">
              <w:rPr>
                <w:lang w:val="en-US"/>
              </w:rPr>
              <w:t>*</w:t>
            </w:r>
            <w:r w:rsidRPr="00071346">
              <w:rPr>
                <w:lang w:val="en-US"/>
              </w:rPr>
              <w:tab/>
              <w:t xml:space="preserve">Parameter values for other RNSS receiver types are yet to be developed. The degradation ratio equations in </w:t>
            </w:r>
            <w:r w:rsidR="00882E71">
              <w:rPr>
                <w:lang w:val="en-US"/>
              </w:rPr>
              <w:t>§ </w:t>
            </w:r>
            <w:r w:rsidRPr="00071346">
              <w:rPr>
                <w:lang w:val="en-US"/>
              </w:rPr>
              <w:t>3 of this Annex can be used to predict the general nature of the pulsed interference effects on RNSS receivers for which no parameters are listed.</w:t>
            </w:r>
          </w:p>
          <w:p w:rsidR="00A44EDF" w:rsidRPr="00071346" w:rsidRDefault="00A44EDF" w:rsidP="00A44EDF">
            <w:pPr>
              <w:pStyle w:val="Tablelegend"/>
              <w:ind w:left="0" w:firstLine="0"/>
              <w:rPr>
                <w:lang w:val="en-US"/>
              </w:rPr>
            </w:pPr>
            <w:r w:rsidRPr="00071346">
              <w:rPr>
                <w:lang w:val="en-US"/>
              </w:rPr>
              <w:t>NOTE 1 – The listed baseline parameters are for the high altitude U.S. hotspot case that includes existing DME/TACAN, CNI, and ARNS/ATC pulsed sources. The degradation limit applies to the effect from a new non-aeronautical pulsed source or source group.</w:t>
            </w:r>
          </w:p>
          <w:p w:rsidR="00A44EDF" w:rsidRPr="00071346" w:rsidRDefault="00A44EDF" w:rsidP="00882E71">
            <w:pPr>
              <w:pStyle w:val="Tablelegend"/>
              <w:ind w:left="0" w:firstLine="0"/>
              <w:rPr>
                <w:lang w:val="en-US"/>
              </w:rPr>
            </w:pPr>
            <w:r w:rsidRPr="00071346">
              <w:rPr>
                <w:lang w:val="en-US"/>
              </w:rPr>
              <w:t>NOTE 2 – Unwanted emissions from continuous sources, to which Recommendation ITU</w:t>
            </w:r>
            <w:r w:rsidRPr="00071346">
              <w:rPr>
                <w:lang w:val="en-US"/>
              </w:rPr>
              <w:noBreakHyphen/>
              <w:t>R M.1318</w:t>
            </w:r>
            <w:r w:rsidR="00882E71">
              <w:rPr>
                <w:lang w:val="en-US"/>
              </w:rPr>
              <w:noBreakHyphen/>
            </w:r>
            <w:r w:rsidRPr="00071346">
              <w:rPr>
                <w:lang w:val="en-US"/>
              </w:rPr>
              <w:t>1 applies, will not affect the allowable degradation ratio for pulsed sources.</w:t>
            </w:r>
          </w:p>
          <w:p w:rsidR="00A44EDF" w:rsidRPr="00071346" w:rsidRDefault="00A44EDF" w:rsidP="00A44EDF">
            <w:pPr>
              <w:pStyle w:val="Tablelegend"/>
              <w:ind w:left="0" w:firstLine="0"/>
              <w:rPr>
                <w:lang w:val="en-US"/>
              </w:rPr>
            </w:pPr>
            <w:r w:rsidRPr="00071346">
              <w:rPr>
                <w:lang w:val="en-US"/>
              </w:rPr>
              <w:t xml:space="preserve">NOTE 3 – </w:t>
            </w:r>
            <w:r w:rsidRPr="00071346">
              <w:rPr>
                <w:szCs w:val="24"/>
                <w:lang w:val="en-US"/>
              </w:rPr>
              <w:t>The allowable degradation ratio for new pulsed sources not in the baseline RFI condition requires consideration of the cumulative impact on an RNSS receiver from multiple pulsed sources that simultaneously illuminate the RNSS receiver.</w:t>
            </w:r>
          </w:p>
          <w:p w:rsidR="00A44EDF" w:rsidRPr="00071346" w:rsidRDefault="00A44EDF" w:rsidP="00A44EDF">
            <w:pPr>
              <w:pStyle w:val="Tablelegend"/>
              <w:ind w:left="0" w:firstLine="0"/>
              <w:rPr>
                <w:lang w:val="en-US"/>
              </w:rPr>
            </w:pPr>
            <w:r w:rsidRPr="00071346">
              <w:rPr>
                <w:lang w:val="en-US"/>
              </w:rPr>
              <w:t xml:space="preserve">NOTE 4 – A receiver with pulse blanking has an </w:t>
            </w:r>
            <w:r w:rsidRPr="00A44EDF">
              <w:rPr>
                <w:i/>
                <w:iCs/>
                <w:lang w:val="en-US"/>
              </w:rPr>
              <w:t>N</w:t>
            </w:r>
            <w:r w:rsidRPr="00A44EDF">
              <w:rPr>
                <w:i/>
                <w:iCs/>
                <w:vertAlign w:val="subscript"/>
                <w:lang w:val="en-US"/>
              </w:rPr>
              <w:t>LIM</w:t>
            </w:r>
            <w:r w:rsidRPr="00071346">
              <w:rPr>
                <w:lang w:val="en-US"/>
              </w:rPr>
              <w:t xml:space="preserve"> value of zero.</w:t>
            </w:r>
          </w:p>
          <w:p w:rsidR="00A44EDF" w:rsidRPr="000D471B" w:rsidRDefault="00A44EDF" w:rsidP="00A44EDF">
            <w:pPr>
              <w:pStyle w:val="Tablelegend"/>
              <w:ind w:left="0" w:firstLine="0"/>
              <w:rPr>
                <w:lang w:val="en-US" w:eastAsia="zh-CN"/>
              </w:rPr>
            </w:pPr>
            <w:r w:rsidRPr="00071346">
              <w:rPr>
                <w:lang w:val="en-US"/>
              </w:rPr>
              <w:t>NOTE 5 – Based on a 1 microsecond overload recovery time.</w:t>
            </w:r>
          </w:p>
        </w:tc>
      </w:tr>
    </w:tbl>
    <w:p w:rsidR="00A44EDF" w:rsidRDefault="00A44EDF" w:rsidP="00A44EDF">
      <w:pPr>
        <w:pStyle w:val="Tablefin"/>
      </w:pPr>
    </w:p>
    <w:p w:rsidR="00071346" w:rsidRPr="00071346" w:rsidRDefault="00071346" w:rsidP="00D04753">
      <w:pPr>
        <w:spacing w:before="240"/>
        <w:rPr>
          <w:lang w:val="en-US"/>
        </w:rPr>
      </w:pPr>
      <w:r w:rsidRPr="00071346">
        <w:rPr>
          <w:lang w:val="en-US"/>
        </w:rPr>
        <w:t xml:space="preserve">Table 2 gives similar listings for the frequency band 1 215-1 300 MHz. RNSS receiver types in the table are taken from Recommendation ITU-R M.1902. Similar to the process for Table 1, the listed baseline model pulse RFI parameters, </w:t>
      </w:r>
      <w:r w:rsidRPr="00071346">
        <w:rPr>
          <w:i/>
          <w:lang w:val="en-US"/>
        </w:rPr>
        <w:t>PDC</w:t>
      </w:r>
      <w:r w:rsidRPr="00071346">
        <w:rPr>
          <w:lang w:val="en-US"/>
        </w:rPr>
        <w:t xml:space="preserve"> and </w:t>
      </w:r>
      <w:r w:rsidRPr="00071346">
        <w:rPr>
          <w:i/>
          <w:lang w:val="en-US"/>
        </w:rPr>
        <w:t>R</w:t>
      </w:r>
      <w:r w:rsidRPr="00071346">
        <w:rPr>
          <w:i/>
          <w:vertAlign w:val="subscript"/>
          <w:lang w:val="en-US"/>
        </w:rPr>
        <w:t>I</w:t>
      </w:r>
      <w:r w:rsidRPr="00071346">
        <w:rPr>
          <w:lang w:val="en-US"/>
        </w:rPr>
        <w:t xml:space="preserve">, and continuous parameter, </w:t>
      </w:r>
      <w:r w:rsidRPr="00071346">
        <w:rPr>
          <w:i/>
          <w:lang w:val="en-US"/>
        </w:rPr>
        <w:t>I</w:t>
      </w:r>
      <w:r w:rsidRPr="00071346">
        <w:rPr>
          <w:vertAlign w:val="subscript"/>
          <w:lang w:val="en-US"/>
        </w:rPr>
        <w:t>0</w:t>
      </w:r>
      <w:r w:rsidRPr="00071346">
        <w:rPr>
          <w:i/>
          <w:vertAlign w:val="subscript"/>
          <w:lang w:val="en-US"/>
        </w:rPr>
        <w:t>,WB</w:t>
      </w:r>
      <w:r w:rsidRPr="00071346">
        <w:rPr>
          <w:i/>
          <w:lang w:val="en-US"/>
        </w:rPr>
        <w:t>/N</w:t>
      </w:r>
      <w:r w:rsidRPr="00071346">
        <w:rPr>
          <w:vertAlign w:val="subscript"/>
          <w:lang w:val="en-US"/>
        </w:rPr>
        <w:t>0</w:t>
      </w:r>
      <w:r w:rsidRPr="00071346">
        <w:rPr>
          <w:lang w:val="en-US"/>
        </w:rPr>
        <w:t>, are to be used in the appropriate degradation ratio equation (</w:t>
      </w:r>
      <w:r w:rsidR="00A44EDF">
        <w:rPr>
          <w:lang w:val="en-US"/>
        </w:rPr>
        <w:t>e</w:t>
      </w:r>
      <w:r w:rsidRPr="00071346">
        <w:rPr>
          <w:lang w:val="en-US"/>
        </w:rPr>
        <w:t>quation 6 for pulse-blanking RNSS receivers (</w:t>
      </w:r>
      <w:r w:rsidRPr="00071346">
        <w:rPr>
          <w:i/>
          <w:lang w:val="en-US"/>
        </w:rPr>
        <w:t>N</w:t>
      </w:r>
      <w:r w:rsidRPr="00071346">
        <w:rPr>
          <w:i/>
          <w:vertAlign w:val="subscript"/>
          <w:lang w:val="en-US"/>
        </w:rPr>
        <w:t>LIM</w:t>
      </w:r>
      <w:r w:rsidRPr="00071346">
        <w:rPr>
          <w:lang w:val="en-US"/>
        </w:rPr>
        <w:t xml:space="preserve"> =0), or equation 7, 7a, or 8 for saturating RNSS receivers (</w:t>
      </w:r>
      <w:r w:rsidRPr="00071346">
        <w:rPr>
          <w:i/>
          <w:lang w:val="en-US"/>
        </w:rPr>
        <w:t>N</w:t>
      </w:r>
      <w:r w:rsidRPr="00071346">
        <w:rPr>
          <w:i/>
          <w:vertAlign w:val="subscript"/>
          <w:lang w:val="en-US"/>
        </w:rPr>
        <w:t>LIM</w:t>
      </w:r>
      <w:r w:rsidRPr="00071346">
        <w:rPr>
          <w:lang w:val="en-US"/>
        </w:rPr>
        <w:t xml:space="preserve"> </w:t>
      </w:r>
      <w:r>
        <w:rPr>
          <w:szCs w:val="24"/>
        </w:rPr>
        <w:sym w:font="Symbol" w:char="F0B3"/>
      </w:r>
      <w:r w:rsidRPr="00071346">
        <w:rPr>
          <w:lang w:val="en-US"/>
        </w:rPr>
        <w:t xml:space="preserve"> 1)). The equation result for the actual degradation ratio is compared to the allowable degradation ratio value in Table 2.</w:t>
      </w:r>
    </w:p>
    <w:p w:rsidR="00071346" w:rsidRPr="00071346" w:rsidRDefault="00071346" w:rsidP="00071346">
      <w:pPr>
        <w:pStyle w:val="TableNo"/>
        <w:spacing w:before="240"/>
        <w:rPr>
          <w:lang w:val="en-US" w:eastAsia="ru-RU"/>
        </w:rPr>
      </w:pPr>
      <w:r w:rsidRPr="00071346">
        <w:rPr>
          <w:lang w:val="en-US"/>
        </w:rPr>
        <w:lastRenderedPageBreak/>
        <w:t>TABLE</w:t>
      </w:r>
      <w:r w:rsidRPr="00071346">
        <w:rPr>
          <w:lang w:val="en-US" w:eastAsia="ru-RU"/>
        </w:rPr>
        <w:t xml:space="preserve"> 2</w:t>
      </w:r>
    </w:p>
    <w:p w:rsidR="00071346" w:rsidRPr="00071346" w:rsidRDefault="00071346" w:rsidP="00D04753">
      <w:pPr>
        <w:pStyle w:val="Tabletitle"/>
        <w:rPr>
          <w:lang w:val="en-US"/>
        </w:rPr>
      </w:pPr>
      <w:r w:rsidRPr="00071346">
        <w:rPr>
          <w:lang w:val="en-US"/>
        </w:rPr>
        <w:t xml:space="preserve">Baseline pulsed RFI method parameters and allowable degradation ratios for </w:t>
      </w:r>
      <w:r w:rsidRPr="00071346">
        <w:rPr>
          <w:lang w:val="en-US"/>
        </w:rPr>
        <w:br/>
        <w:t>RNSS receivers (space-to-Earth) operating in the band 1 215</w:t>
      </w:r>
      <w:r w:rsidRPr="00071346">
        <w:rPr>
          <w:lang w:val="en-US"/>
        </w:rPr>
        <w:noBreakHyphen/>
        <w:t>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2"/>
        <w:gridCol w:w="1201"/>
        <w:gridCol w:w="1201"/>
        <w:gridCol w:w="1214"/>
        <w:gridCol w:w="1301"/>
        <w:gridCol w:w="2140"/>
      </w:tblGrid>
      <w:tr w:rsidR="00071346" w:rsidRPr="00400648" w:rsidTr="00A44EDF">
        <w:trPr>
          <w:jc w:val="center"/>
        </w:trPr>
        <w:tc>
          <w:tcPr>
            <w:tcW w:w="2582" w:type="dxa"/>
            <w:tcBorders>
              <w:top w:val="single" w:sz="4" w:space="0" w:color="auto"/>
              <w:left w:val="single" w:sz="4" w:space="0" w:color="auto"/>
              <w:bottom w:val="single" w:sz="4" w:space="0" w:color="auto"/>
              <w:right w:val="single" w:sz="4" w:space="0" w:color="auto"/>
            </w:tcBorders>
          </w:tcPr>
          <w:p w:rsidR="00071346" w:rsidRPr="00A44EDF" w:rsidRDefault="00071346" w:rsidP="00CD4AD6">
            <w:pPr>
              <w:pStyle w:val="Tablehead"/>
              <w:spacing w:before="40" w:after="40"/>
              <w:rPr>
                <w:lang w:eastAsia="zh-CN"/>
              </w:rPr>
            </w:pPr>
            <w:r w:rsidRPr="00A44EDF">
              <w:rPr>
                <w:lang w:eastAsia="zh-CN"/>
              </w:rPr>
              <w:t>Receiver type</w:t>
            </w:r>
          </w:p>
        </w:tc>
        <w:tc>
          <w:tcPr>
            <w:tcW w:w="1201" w:type="dxa"/>
            <w:tcBorders>
              <w:top w:val="single" w:sz="4" w:space="0" w:color="auto"/>
              <w:left w:val="single" w:sz="4" w:space="0" w:color="auto"/>
              <w:bottom w:val="single" w:sz="4" w:space="0" w:color="auto"/>
              <w:right w:val="single" w:sz="4" w:space="0" w:color="auto"/>
            </w:tcBorders>
          </w:tcPr>
          <w:p w:rsidR="00071346" w:rsidRPr="00A44EDF" w:rsidRDefault="00071346" w:rsidP="00CD4AD6">
            <w:pPr>
              <w:pStyle w:val="Tablehead"/>
              <w:spacing w:before="40" w:after="40"/>
              <w:rPr>
                <w:lang w:eastAsia="zh-CN"/>
              </w:rPr>
            </w:pPr>
            <w:r w:rsidRPr="00A44EDF">
              <w:rPr>
                <w:i/>
                <w:iCs/>
                <w:lang w:eastAsia="zh-CN"/>
              </w:rPr>
              <w:t>N</w:t>
            </w:r>
            <w:r w:rsidRPr="00A44EDF">
              <w:rPr>
                <w:i/>
                <w:iCs/>
                <w:vertAlign w:val="subscript"/>
                <w:lang w:eastAsia="zh-CN"/>
              </w:rPr>
              <w:t>LIM</w:t>
            </w:r>
            <w:r w:rsidRPr="00A44EDF">
              <w:rPr>
                <w:iCs/>
                <w:vertAlign w:val="subscript"/>
                <w:lang w:eastAsia="zh-CN"/>
              </w:rPr>
              <w:br/>
            </w:r>
            <w:r w:rsidRPr="00A44EDF">
              <w:rPr>
                <w:iCs/>
                <w:lang w:eastAsia="zh-CN"/>
              </w:rPr>
              <w:t xml:space="preserve">(unitless) </w:t>
            </w:r>
            <w:r w:rsidRPr="00A44EDF">
              <w:rPr>
                <w:iCs/>
                <w:lang w:eastAsia="zh-CN"/>
              </w:rPr>
              <w:br/>
            </w:r>
            <w:r w:rsidRPr="00A44EDF">
              <w:rPr>
                <w:iCs/>
                <w:lang w:eastAsia="zh-CN"/>
              </w:rPr>
              <w:br/>
            </w:r>
            <w:r w:rsidRPr="00A44EDF">
              <w:rPr>
                <w:iCs/>
                <w:lang w:eastAsia="zh-CN"/>
              </w:rPr>
              <w:br/>
              <w:t>(Note 1)</w:t>
            </w:r>
          </w:p>
        </w:tc>
        <w:tc>
          <w:tcPr>
            <w:tcW w:w="1201" w:type="dxa"/>
            <w:tcBorders>
              <w:top w:val="single" w:sz="4" w:space="0" w:color="auto"/>
              <w:left w:val="single" w:sz="4" w:space="0" w:color="auto"/>
              <w:bottom w:val="single" w:sz="4" w:space="0" w:color="auto"/>
              <w:right w:val="single" w:sz="4" w:space="0" w:color="auto"/>
            </w:tcBorders>
          </w:tcPr>
          <w:p w:rsidR="00071346" w:rsidRPr="00A44EDF" w:rsidRDefault="00071346" w:rsidP="00CD4AD6">
            <w:pPr>
              <w:pStyle w:val="Tablehead"/>
              <w:spacing w:before="40" w:after="40"/>
              <w:rPr>
                <w:lang w:eastAsia="zh-CN"/>
              </w:rPr>
            </w:pPr>
            <w:r w:rsidRPr="00A44EDF">
              <w:rPr>
                <w:lang w:eastAsia="zh-CN"/>
              </w:rPr>
              <w:t xml:space="preserve">Baseline </w:t>
            </w:r>
            <w:r w:rsidRPr="00A44EDF">
              <w:rPr>
                <w:i/>
                <w:lang w:eastAsia="zh-CN"/>
              </w:rPr>
              <w:t>PDC</w:t>
            </w:r>
            <w:r w:rsidRPr="00A44EDF">
              <w:rPr>
                <w:lang w:eastAsia="zh-CN"/>
              </w:rPr>
              <w:t xml:space="preserve"> </w:t>
            </w:r>
            <w:r w:rsidRPr="00A44EDF">
              <w:rPr>
                <w:iCs/>
                <w:lang w:eastAsia="zh-CN"/>
              </w:rPr>
              <w:t>(unitless)</w:t>
            </w:r>
            <w:r w:rsidRPr="00A44EDF">
              <w:rPr>
                <w:iCs/>
                <w:lang w:eastAsia="zh-CN"/>
              </w:rPr>
              <w:br/>
            </w:r>
            <w:r w:rsidRPr="00A44EDF">
              <w:rPr>
                <w:iCs/>
                <w:lang w:eastAsia="zh-CN"/>
              </w:rPr>
              <w:br/>
            </w:r>
            <w:r w:rsidRPr="00A44EDF">
              <w:rPr>
                <w:lang w:eastAsia="zh-CN"/>
              </w:rPr>
              <w:t>(Note 2)</w:t>
            </w:r>
          </w:p>
        </w:tc>
        <w:tc>
          <w:tcPr>
            <w:tcW w:w="1214" w:type="dxa"/>
            <w:tcBorders>
              <w:top w:val="single" w:sz="4" w:space="0" w:color="auto"/>
              <w:left w:val="single" w:sz="4" w:space="0" w:color="auto"/>
              <w:bottom w:val="single" w:sz="4" w:space="0" w:color="auto"/>
              <w:right w:val="single" w:sz="4" w:space="0" w:color="auto"/>
            </w:tcBorders>
          </w:tcPr>
          <w:p w:rsidR="00071346" w:rsidRPr="00A44EDF" w:rsidRDefault="00071346" w:rsidP="00CD4AD6">
            <w:pPr>
              <w:pStyle w:val="Tablehead"/>
              <w:spacing w:before="40" w:after="40"/>
              <w:rPr>
                <w:lang w:eastAsia="zh-CN"/>
              </w:rPr>
            </w:pPr>
            <w:r w:rsidRPr="00A44EDF">
              <w:rPr>
                <w:lang w:eastAsia="zh-CN"/>
              </w:rPr>
              <w:t xml:space="preserve">Baseline </w:t>
            </w:r>
            <w:r w:rsidRPr="00A44EDF">
              <w:rPr>
                <w:i/>
                <w:lang w:eastAsia="zh-CN"/>
              </w:rPr>
              <w:t>R</w:t>
            </w:r>
            <w:r w:rsidRPr="00A44EDF">
              <w:rPr>
                <w:i/>
                <w:vertAlign w:val="subscript"/>
                <w:lang w:eastAsia="zh-CN"/>
              </w:rPr>
              <w:t xml:space="preserve">I </w:t>
            </w:r>
            <w:r w:rsidRPr="00A44EDF">
              <w:rPr>
                <w:iCs/>
                <w:lang w:eastAsia="zh-CN"/>
              </w:rPr>
              <w:t>(unitless)</w:t>
            </w:r>
            <w:r w:rsidRPr="00A44EDF">
              <w:rPr>
                <w:iCs/>
                <w:lang w:eastAsia="zh-CN"/>
              </w:rPr>
              <w:br/>
            </w:r>
            <w:r w:rsidRPr="00A44EDF">
              <w:rPr>
                <w:iCs/>
                <w:lang w:eastAsia="zh-CN"/>
              </w:rPr>
              <w:br/>
            </w:r>
            <w:r w:rsidRPr="00A44EDF">
              <w:rPr>
                <w:lang w:eastAsia="zh-CN"/>
              </w:rPr>
              <w:t>(Note 2)</w:t>
            </w:r>
          </w:p>
        </w:tc>
        <w:tc>
          <w:tcPr>
            <w:tcW w:w="1301" w:type="dxa"/>
            <w:tcBorders>
              <w:top w:val="single" w:sz="4" w:space="0" w:color="auto"/>
              <w:left w:val="single" w:sz="4" w:space="0" w:color="auto"/>
              <w:bottom w:val="single" w:sz="4" w:space="0" w:color="auto"/>
              <w:right w:val="single" w:sz="4" w:space="0" w:color="auto"/>
            </w:tcBorders>
          </w:tcPr>
          <w:p w:rsidR="00071346" w:rsidRPr="00A44EDF" w:rsidRDefault="00071346" w:rsidP="00CD4AD6">
            <w:pPr>
              <w:pStyle w:val="Tablehead"/>
              <w:spacing w:before="40" w:after="40"/>
              <w:rPr>
                <w:lang w:val="en-US" w:eastAsia="zh-CN"/>
              </w:rPr>
            </w:pPr>
            <w:r w:rsidRPr="00A44EDF">
              <w:rPr>
                <w:lang w:val="en-US" w:eastAsia="zh-CN"/>
              </w:rPr>
              <w:t xml:space="preserve">Baseline </w:t>
            </w:r>
            <w:r w:rsidRPr="00A44EDF">
              <w:rPr>
                <w:i/>
                <w:lang w:val="en-US" w:eastAsia="zh-CN"/>
              </w:rPr>
              <w:t>I</w:t>
            </w:r>
            <w:r w:rsidRPr="00A44EDF">
              <w:rPr>
                <w:vertAlign w:val="subscript"/>
                <w:lang w:val="en-US" w:eastAsia="zh-CN"/>
              </w:rPr>
              <w:t>0</w:t>
            </w:r>
            <w:r w:rsidRPr="00A44EDF">
              <w:rPr>
                <w:i/>
                <w:vertAlign w:val="subscript"/>
                <w:lang w:val="en-US" w:eastAsia="zh-CN"/>
              </w:rPr>
              <w:t>,WB</w:t>
            </w:r>
            <w:r w:rsidRPr="00A44EDF">
              <w:rPr>
                <w:i/>
                <w:lang w:val="en-US" w:eastAsia="zh-CN"/>
              </w:rPr>
              <w:t>/N</w:t>
            </w:r>
            <w:r w:rsidRPr="00A44EDF">
              <w:rPr>
                <w:vertAlign w:val="subscript"/>
                <w:lang w:val="en-US" w:eastAsia="zh-CN"/>
              </w:rPr>
              <w:t>0</w:t>
            </w:r>
            <w:r w:rsidRPr="00A44EDF">
              <w:rPr>
                <w:lang w:val="en-US" w:eastAsia="zh-CN"/>
              </w:rPr>
              <w:t xml:space="preserve"> ratio </w:t>
            </w:r>
            <w:r w:rsidRPr="00A44EDF">
              <w:rPr>
                <w:iCs/>
                <w:lang w:val="en-US" w:eastAsia="zh-CN"/>
              </w:rPr>
              <w:t>(unitless)</w:t>
            </w:r>
          </w:p>
        </w:tc>
        <w:tc>
          <w:tcPr>
            <w:tcW w:w="2140" w:type="dxa"/>
            <w:tcBorders>
              <w:top w:val="single" w:sz="4" w:space="0" w:color="auto"/>
              <w:left w:val="single" w:sz="4" w:space="0" w:color="auto"/>
              <w:bottom w:val="single" w:sz="4" w:space="0" w:color="auto"/>
              <w:right w:val="single" w:sz="4" w:space="0" w:color="auto"/>
            </w:tcBorders>
          </w:tcPr>
          <w:p w:rsidR="00071346" w:rsidRPr="00A44EDF" w:rsidRDefault="00071346" w:rsidP="00CD4AD6">
            <w:pPr>
              <w:pStyle w:val="Tablehead"/>
              <w:spacing w:before="40" w:after="40"/>
              <w:rPr>
                <w:lang w:val="en-US" w:eastAsia="zh-CN"/>
              </w:rPr>
            </w:pPr>
            <w:r w:rsidRPr="00A44EDF">
              <w:rPr>
                <w:lang w:val="en-US" w:eastAsia="zh-CN"/>
              </w:rPr>
              <w:t>Allowable degradation ratio for pulsed sources (dB)</w:t>
            </w:r>
            <w:r w:rsidRPr="00A44EDF">
              <w:rPr>
                <w:lang w:val="en-US" w:eastAsia="zh-CN"/>
              </w:rPr>
              <w:br/>
              <w:t>(Note 3)</w:t>
            </w:r>
          </w:p>
        </w:tc>
      </w:tr>
      <w:tr w:rsidR="00071346" w:rsidRPr="00007D9C" w:rsidTr="00A44EDF">
        <w:trPr>
          <w:jc w:val="center"/>
        </w:trPr>
        <w:tc>
          <w:tcPr>
            <w:tcW w:w="2582" w:type="dxa"/>
            <w:tcBorders>
              <w:top w:val="single" w:sz="4" w:space="0" w:color="auto"/>
              <w:left w:val="single" w:sz="4" w:space="0" w:color="auto"/>
              <w:bottom w:val="single" w:sz="4" w:space="0" w:color="auto"/>
              <w:right w:val="single" w:sz="4" w:space="0" w:color="auto"/>
            </w:tcBorders>
          </w:tcPr>
          <w:p w:rsidR="00071346" w:rsidRPr="00007D9C" w:rsidRDefault="00071346" w:rsidP="00A44EDF">
            <w:pPr>
              <w:pStyle w:val="Tabletext"/>
              <w:jc w:val="left"/>
            </w:pPr>
            <w:r w:rsidRPr="00007D9C">
              <w:t>SBAS</w:t>
            </w:r>
            <w:r w:rsidRPr="00445E38">
              <w:rPr>
                <w:rStyle w:val="FootnoteReference"/>
                <w:sz w:val="20"/>
                <w:vertAlign w:val="superscript"/>
              </w:rPr>
              <w:footnoteReference w:id="11"/>
            </w:r>
            <w:r w:rsidRPr="00445E38">
              <w:t xml:space="preserve"> </w:t>
            </w:r>
            <w:r w:rsidRPr="00007D9C">
              <w:t>ground reference receiver</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0.0793</w:t>
            </w:r>
            <w:r w:rsidRPr="00007D9C">
              <w:br/>
              <w:t>(Note 4)</w:t>
            </w:r>
          </w:p>
        </w:tc>
        <w:tc>
          <w:tcPr>
            <w:tcW w:w="1214"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0.3925</w:t>
            </w:r>
          </w:p>
        </w:tc>
        <w:tc>
          <w:tcPr>
            <w:tcW w:w="2140"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0.2</w:t>
            </w:r>
          </w:p>
        </w:tc>
      </w:tr>
      <w:tr w:rsidR="00071346" w:rsidRPr="00007D9C" w:rsidTr="00A44EDF">
        <w:trPr>
          <w:jc w:val="center"/>
        </w:trPr>
        <w:tc>
          <w:tcPr>
            <w:tcW w:w="2582" w:type="dxa"/>
            <w:tcBorders>
              <w:top w:val="single" w:sz="4" w:space="0" w:color="auto"/>
              <w:left w:val="single" w:sz="4" w:space="0" w:color="auto"/>
              <w:bottom w:val="single" w:sz="4" w:space="0" w:color="auto"/>
              <w:right w:val="single" w:sz="4" w:space="0" w:color="auto"/>
            </w:tcBorders>
          </w:tcPr>
          <w:p w:rsidR="00071346" w:rsidRPr="00071346" w:rsidRDefault="00071346" w:rsidP="00A44EDF">
            <w:pPr>
              <w:pStyle w:val="Tabletext"/>
              <w:jc w:val="left"/>
              <w:rPr>
                <w:lang w:val="en-US"/>
              </w:rPr>
            </w:pPr>
            <w:r w:rsidRPr="00071346">
              <w:rPr>
                <w:lang w:val="en-US"/>
              </w:rPr>
              <w:t>High-precision semi-codeless receiver</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2</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0.0765</w:t>
            </w:r>
            <w:r w:rsidRPr="00007D9C">
              <w:br/>
              <w:t>(Note 4)</w:t>
            </w:r>
          </w:p>
        </w:tc>
        <w:tc>
          <w:tcPr>
            <w:tcW w:w="1214"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0.3983</w:t>
            </w:r>
          </w:p>
        </w:tc>
        <w:tc>
          <w:tcPr>
            <w:tcW w:w="2140"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0.2</w:t>
            </w:r>
          </w:p>
        </w:tc>
      </w:tr>
      <w:tr w:rsidR="00071346" w:rsidRPr="00007D9C" w:rsidTr="00A44EDF">
        <w:trPr>
          <w:jc w:val="center"/>
        </w:trPr>
        <w:tc>
          <w:tcPr>
            <w:tcW w:w="2582" w:type="dxa"/>
            <w:tcBorders>
              <w:top w:val="single" w:sz="4" w:space="0" w:color="auto"/>
              <w:left w:val="single" w:sz="4" w:space="0" w:color="auto"/>
              <w:bottom w:val="single" w:sz="4" w:space="0" w:color="auto"/>
              <w:right w:val="single" w:sz="4" w:space="0" w:color="auto"/>
            </w:tcBorders>
          </w:tcPr>
          <w:p w:rsidR="00071346" w:rsidRPr="00007D9C" w:rsidRDefault="00071346" w:rsidP="00A44EDF">
            <w:pPr>
              <w:pStyle w:val="Tabletext"/>
              <w:jc w:val="left"/>
            </w:pPr>
            <w:r w:rsidRPr="00007D9C">
              <w:rPr>
                <w:rFonts w:eastAsia="MS PGothic"/>
              </w:rPr>
              <w:t>Air-navigation receiver (FDMA)</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0.1327</w:t>
            </w:r>
            <w:r w:rsidRPr="00007D9C">
              <w:br/>
              <w:t>(Note 4)</w:t>
            </w:r>
          </w:p>
        </w:tc>
        <w:tc>
          <w:tcPr>
            <w:tcW w:w="1214"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0.455</w:t>
            </w:r>
          </w:p>
        </w:tc>
        <w:tc>
          <w:tcPr>
            <w:tcW w:w="2140"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0.1</w:t>
            </w:r>
          </w:p>
        </w:tc>
      </w:tr>
      <w:tr w:rsidR="00071346" w:rsidRPr="00007D9C" w:rsidTr="00A44EDF">
        <w:trPr>
          <w:jc w:val="center"/>
        </w:trPr>
        <w:tc>
          <w:tcPr>
            <w:tcW w:w="2582" w:type="dxa"/>
            <w:tcBorders>
              <w:top w:val="single" w:sz="4" w:space="0" w:color="auto"/>
              <w:left w:val="single" w:sz="4" w:space="0" w:color="auto"/>
              <w:bottom w:val="single" w:sz="4" w:space="0" w:color="auto"/>
              <w:right w:val="single" w:sz="4" w:space="0" w:color="auto"/>
            </w:tcBorders>
          </w:tcPr>
          <w:p w:rsidR="00071346" w:rsidRPr="00007D9C" w:rsidRDefault="00071346" w:rsidP="00A44EDF">
            <w:pPr>
              <w:pStyle w:val="Tabletext"/>
              <w:jc w:val="left"/>
            </w:pPr>
            <w:r w:rsidRPr="00007D9C">
              <w:rPr>
                <w:rFonts w:eastAsia="MS PGothic"/>
              </w:rPr>
              <w:t>Air-navigation receiver (FDMA)</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1</w:t>
            </w:r>
          </w:p>
        </w:tc>
        <w:tc>
          <w:tcPr>
            <w:tcW w:w="12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0.1723</w:t>
            </w:r>
            <w:r w:rsidRPr="00007D9C">
              <w:br/>
              <w:t>(Note 5)</w:t>
            </w:r>
          </w:p>
        </w:tc>
        <w:tc>
          <w:tcPr>
            <w:tcW w:w="1214"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w:t>
            </w:r>
          </w:p>
        </w:tc>
        <w:tc>
          <w:tcPr>
            <w:tcW w:w="1301"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0.455</w:t>
            </w:r>
          </w:p>
        </w:tc>
        <w:tc>
          <w:tcPr>
            <w:tcW w:w="2140" w:type="dxa"/>
            <w:tcBorders>
              <w:top w:val="single" w:sz="4" w:space="0" w:color="auto"/>
              <w:left w:val="single" w:sz="4" w:space="0" w:color="auto"/>
              <w:bottom w:val="single" w:sz="4" w:space="0" w:color="auto"/>
              <w:right w:val="single" w:sz="4" w:space="0" w:color="auto"/>
            </w:tcBorders>
          </w:tcPr>
          <w:p w:rsidR="00071346" w:rsidRPr="00007D9C" w:rsidRDefault="00071346" w:rsidP="00CD4AD6">
            <w:pPr>
              <w:pStyle w:val="Tabletext"/>
              <w:jc w:val="center"/>
            </w:pPr>
            <w:r w:rsidRPr="00007D9C">
              <w:t>0.1</w:t>
            </w:r>
          </w:p>
        </w:tc>
      </w:tr>
      <w:tr w:rsidR="00A44EDF" w:rsidRPr="00400648" w:rsidTr="00A44EDF">
        <w:trPr>
          <w:jc w:val="center"/>
        </w:trPr>
        <w:tc>
          <w:tcPr>
            <w:tcW w:w="9639" w:type="dxa"/>
            <w:gridSpan w:val="6"/>
            <w:tcBorders>
              <w:top w:val="single" w:sz="4" w:space="0" w:color="auto"/>
              <w:left w:val="nil"/>
              <w:bottom w:val="nil"/>
              <w:right w:val="nil"/>
            </w:tcBorders>
          </w:tcPr>
          <w:p w:rsidR="00A44EDF" w:rsidRPr="00882E71" w:rsidRDefault="00A44EDF" w:rsidP="00882E71">
            <w:pPr>
              <w:pStyle w:val="Tablelegend"/>
              <w:rPr>
                <w:lang w:val="en-US"/>
              </w:rPr>
            </w:pPr>
            <w:r w:rsidRPr="0090605E">
              <w:rPr>
                <w:lang w:val="en-US"/>
              </w:rPr>
              <w:t>*</w:t>
            </w:r>
            <w:r w:rsidRPr="0090605E">
              <w:rPr>
                <w:lang w:val="en-US"/>
              </w:rPr>
              <w:tab/>
              <w:t xml:space="preserve">Parameter values for other RNSS receiver types are yet to be developed. </w:t>
            </w:r>
            <w:r w:rsidRPr="00882E71">
              <w:rPr>
                <w:lang w:val="en-US"/>
              </w:rPr>
              <w:t xml:space="preserve">The degradation ratio equations in </w:t>
            </w:r>
            <w:r w:rsidR="00882E71" w:rsidRPr="00882E71">
              <w:rPr>
                <w:lang w:val="en-US"/>
              </w:rPr>
              <w:t>§</w:t>
            </w:r>
            <w:r w:rsidR="00882E71">
              <w:rPr>
                <w:lang w:val="en-US"/>
              </w:rPr>
              <w:t> </w:t>
            </w:r>
            <w:r w:rsidRPr="00882E71">
              <w:rPr>
                <w:lang w:val="en-US"/>
              </w:rPr>
              <w:t>3 of this Annex can be used to predict the general nature of the pulsed interference effects on RNSS receiver types for which no parameters are listed.</w:t>
            </w:r>
          </w:p>
          <w:p w:rsidR="00A44EDF" w:rsidRPr="0090605E" w:rsidRDefault="00A44EDF" w:rsidP="00882E71">
            <w:pPr>
              <w:pStyle w:val="Tablelegend"/>
              <w:ind w:left="0" w:right="0" w:firstLine="0"/>
              <w:rPr>
                <w:lang w:val="en-US"/>
              </w:rPr>
            </w:pPr>
            <w:r w:rsidRPr="0090605E">
              <w:rPr>
                <w:lang w:val="en-US"/>
              </w:rPr>
              <w:t>NOTE 1 – A receiver with pulse blanking has an NLIM value of zero.</w:t>
            </w:r>
          </w:p>
          <w:p w:rsidR="00A44EDF" w:rsidRPr="0090605E" w:rsidRDefault="00A44EDF" w:rsidP="00882E71">
            <w:pPr>
              <w:pStyle w:val="Tablelegend"/>
              <w:ind w:left="0" w:right="0" w:firstLine="0"/>
              <w:rPr>
                <w:lang w:val="en-US"/>
              </w:rPr>
            </w:pPr>
            <w:r w:rsidRPr="00882E71">
              <w:rPr>
                <w:rFonts w:hint="eastAsia"/>
                <w:lang w:val="en-US"/>
              </w:rPr>
              <w:t>NOTE</w:t>
            </w:r>
            <w:r w:rsidRPr="00882E71">
              <w:rPr>
                <w:lang w:val="en-US"/>
              </w:rPr>
              <w:t xml:space="preserve"> </w:t>
            </w:r>
            <w:r w:rsidRPr="00882E71">
              <w:rPr>
                <w:rFonts w:hint="eastAsia"/>
                <w:lang w:val="en-US"/>
              </w:rPr>
              <w:t xml:space="preserve">2 </w:t>
            </w:r>
            <w:r w:rsidRPr="00882E71">
              <w:rPr>
                <w:lang w:val="en-US"/>
              </w:rPr>
              <w:t>–</w:t>
            </w:r>
            <w:r w:rsidRPr="00882E71">
              <w:rPr>
                <w:rFonts w:hint="eastAsia"/>
                <w:lang w:val="en-US"/>
              </w:rPr>
              <w:t xml:space="preserve"> The parameters for the baseline pulsed sources given in this </w:t>
            </w:r>
            <w:r w:rsidR="00882E71" w:rsidRPr="00882E71">
              <w:rPr>
                <w:lang w:val="en-US"/>
              </w:rPr>
              <w:t>T</w:t>
            </w:r>
            <w:r w:rsidRPr="00882E71">
              <w:rPr>
                <w:rFonts w:hint="eastAsia"/>
                <w:lang w:val="en-US"/>
              </w:rPr>
              <w:t xml:space="preserve">able are considered to be the worst-case values. </w:t>
            </w:r>
            <w:r w:rsidRPr="0090605E">
              <w:rPr>
                <w:rFonts w:hint="eastAsia"/>
                <w:lang w:val="en-US"/>
              </w:rPr>
              <w:t>It is expected that</w:t>
            </w:r>
            <w:r w:rsidRPr="0090605E">
              <w:rPr>
                <w:lang w:val="en-US"/>
              </w:rPr>
              <w:t>,</w:t>
            </w:r>
            <w:r w:rsidRPr="0090605E">
              <w:rPr>
                <w:rFonts w:hint="eastAsia"/>
                <w:lang w:val="en-US"/>
              </w:rPr>
              <w:t xml:space="preserve"> in most actual environments, there</w:t>
            </w:r>
            <w:r w:rsidRPr="0090605E">
              <w:rPr>
                <w:lang w:val="en-US"/>
              </w:rPr>
              <w:t xml:space="preserve"> may</w:t>
            </w:r>
            <w:r w:rsidRPr="0090605E">
              <w:rPr>
                <w:rFonts w:hint="eastAsia"/>
                <w:lang w:val="en-US"/>
              </w:rPr>
              <w:t xml:space="preserve"> be various types of pulsed interference sources with lower </w:t>
            </w:r>
            <w:r w:rsidRPr="0090605E">
              <w:rPr>
                <w:lang w:val="en-US"/>
              </w:rPr>
              <w:t xml:space="preserve">individual </w:t>
            </w:r>
            <w:r w:rsidRPr="0090605E">
              <w:rPr>
                <w:rFonts w:hint="eastAsia"/>
                <w:lang w:val="en-US"/>
              </w:rPr>
              <w:t xml:space="preserve">values for </w:t>
            </w:r>
            <w:r w:rsidRPr="0090605E">
              <w:rPr>
                <w:lang w:val="en-US"/>
              </w:rPr>
              <w:t>PDC</w:t>
            </w:r>
            <w:r w:rsidRPr="0090605E">
              <w:rPr>
                <w:rFonts w:hint="eastAsia"/>
                <w:lang w:val="en-US"/>
              </w:rPr>
              <w:t xml:space="preserve"> and the </w:t>
            </w:r>
            <w:r w:rsidRPr="0090605E">
              <w:rPr>
                <w:lang w:val="en-US"/>
              </w:rPr>
              <w:t xml:space="preserve">therefore the aggregate </w:t>
            </w:r>
            <w:r w:rsidRPr="0090605E">
              <w:rPr>
                <w:rFonts w:hint="eastAsia"/>
                <w:lang w:val="en-US"/>
              </w:rPr>
              <w:t xml:space="preserve">baseline pulsed interference </w:t>
            </w:r>
            <w:r w:rsidRPr="0090605E">
              <w:rPr>
                <w:lang w:val="en-US"/>
              </w:rPr>
              <w:t xml:space="preserve">PDC </w:t>
            </w:r>
            <w:r w:rsidRPr="0090605E">
              <w:rPr>
                <w:rFonts w:hint="eastAsia"/>
                <w:lang w:val="en-US"/>
              </w:rPr>
              <w:t>would be less than given in the table.</w:t>
            </w:r>
            <w:r w:rsidRPr="0090605E">
              <w:rPr>
                <w:lang w:val="en-US"/>
              </w:rPr>
              <w:t xml:space="preserve"> These actual </w:t>
            </w:r>
            <w:r w:rsidRPr="0090605E">
              <w:rPr>
                <w:rFonts w:hint="eastAsia"/>
                <w:lang w:val="en-US"/>
              </w:rPr>
              <w:t>conditions</w:t>
            </w:r>
            <w:r w:rsidRPr="0090605E">
              <w:rPr>
                <w:lang w:val="en-US"/>
              </w:rPr>
              <w:t xml:space="preserve"> should be taken into account when performing the detailed analysis requested by recommends 2.</w:t>
            </w:r>
          </w:p>
          <w:p w:rsidR="00A44EDF" w:rsidRPr="0090605E" w:rsidRDefault="00A44EDF" w:rsidP="00882E71">
            <w:pPr>
              <w:pStyle w:val="Tablelegend"/>
              <w:ind w:left="0" w:right="0" w:firstLine="0"/>
              <w:rPr>
                <w:lang w:val="en-US"/>
              </w:rPr>
            </w:pPr>
            <w:r w:rsidRPr="0090605E">
              <w:rPr>
                <w:lang w:val="en-US"/>
              </w:rPr>
              <w:t>NOTE 3 – The allowable degradation ratio for new pulsed sources not in the baseline RFI condition requires consideration of the cumulative impact on an RNSS receiver from multiple pulsed sources that simultaneously illuminate the RNSS receiver.</w:t>
            </w:r>
          </w:p>
          <w:p w:rsidR="00A44EDF" w:rsidRPr="0090605E" w:rsidRDefault="00A44EDF" w:rsidP="00882E71">
            <w:pPr>
              <w:pStyle w:val="Tablelegend"/>
              <w:ind w:left="0" w:right="0" w:firstLine="0"/>
              <w:rPr>
                <w:lang w:val="en-US"/>
              </w:rPr>
            </w:pPr>
            <w:r w:rsidRPr="0090605E">
              <w:rPr>
                <w:lang w:val="en-US"/>
              </w:rPr>
              <w:t>NOTE 4 – Based on a 1 microsecond overload recovery time.</w:t>
            </w:r>
          </w:p>
          <w:p w:rsidR="00A44EDF" w:rsidRPr="0090605E" w:rsidRDefault="00A44EDF" w:rsidP="00882E71">
            <w:pPr>
              <w:pStyle w:val="Tablelegend"/>
              <w:ind w:left="0" w:right="0" w:firstLine="0"/>
              <w:rPr>
                <w:lang w:val="en-US"/>
              </w:rPr>
            </w:pPr>
            <w:r w:rsidRPr="0090605E">
              <w:rPr>
                <w:lang w:val="en-US"/>
              </w:rPr>
              <w:t>NOTE 5 – Based on a 30 microsecond overload recovery time.</w:t>
            </w:r>
          </w:p>
        </w:tc>
      </w:tr>
    </w:tbl>
    <w:p w:rsidR="00071346" w:rsidRPr="00071346" w:rsidRDefault="00071346" w:rsidP="00A44EDF">
      <w:pPr>
        <w:pStyle w:val="Tablefin"/>
      </w:pPr>
    </w:p>
    <w:p w:rsidR="00071346" w:rsidRPr="00071346" w:rsidRDefault="00071346" w:rsidP="00882E71">
      <w:pPr>
        <w:rPr>
          <w:szCs w:val="24"/>
          <w:highlight w:val="yellow"/>
          <w:lang w:val="en-US"/>
        </w:rPr>
      </w:pPr>
      <w:r w:rsidRPr="00071346">
        <w:rPr>
          <w:lang w:val="en-US"/>
        </w:rPr>
        <w:t xml:space="preserve">The degradation ratio equations in </w:t>
      </w:r>
      <w:r w:rsidR="00882E71">
        <w:rPr>
          <w:lang w:val="en-US"/>
        </w:rPr>
        <w:t>§</w:t>
      </w:r>
      <w:r w:rsidRPr="00071346">
        <w:rPr>
          <w:lang w:val="en-US"/>
        </w:rPr>
        <w:t xml:space="preserve"> 3 of this </w:t>
      </w:r>
      <w:r w:rsidR="00882E71">
        <w:rPr>
          <w:lang w:val="en-US"/>
        </w:rPr>
        <w:t>A</w:t>
      </w:r>
      <w:r w:rsidRPr="00071346">
        <w:rPr>
          <w:lang w:val="en-US"/>
        </w:rPr>
        <w:t>nnex can also be used to predict the general nature of the pulsed interference effects on RNSS receivers operating in the 1 559-1 610 MHz frequency band. However, the table of recommended evaluation method parameters and allowable degradation limits for the 1 559-1 610 MHz band, necessary to perform pulsed interference impact evaluations, has yet to be developed. The starting point for that development can be the basic method described in Report ITU-R M.2220 as adapted to determine aggregate interference parameters of pulsed RF systems in and near the 1 559-1 610 MHz band while accounting for the continuous interference sources in and near that frequency band.</w:t>
      </w:r>
      <w:r w:rsidRPr="00071346">
        <w:rPr>
          <w:szCs w:val="24"/>
          <w:highlight w:val="yellow"/>
          <w:lang w:val="en-US"/>
        </w:rPr>
        <w:t xml:space="preserve"> </w:t>
      </w:r>
    </w:p>
    <w:p w:rsidR="00071346" w:rsidRPr="00071346" w:rsidRDefault="00071346" w:rsidP="00071346">
      <w:pPr>
        <w:overflowPunct/>
        <w:autoSpaceDE/>
        <w:autoSpaceDN/>
        <w:adjustRightInd/>
        <w:spacing w:before="0"/>
        <w:textAlignment w:val="auto"/>
        <w:rPr>
          <w:szCs w:val="24"/>
          <w:highlight w:val="yellow"/>
          <w:lang w:val="en-US"/>
        </w:rPr>
      </w:pPr>
      <w:r w:rsidRPr="00071346">
        <w:rPr>
          <w:szCs w:val="24"/>
          <w:highlight w:val="yellow"/>
          <w:lang w:val="en-US"/>
        </w:rPr>
        <w:br w:type="page"/>
      </w:r>
    </w:p>
    <w:p w:rsidR="00071346" w:rsidRPr="00AC5D7D" w:rsidRDefault="00071346" w:rsidP="00AC5D7D">
      <w:pPr>
        <w:pStyle w:val="AnnexNoTitle"/>
        <w:rPr>
          <w:lang w:val="en-US"/>
        </w:rPr>
      </w:pPr>
      <w:r w:rsidRPr="00AC5D7D">
        <w:rPr>
          <w:lang w:val="en-US"/>
        </w:rPr>
        <w:lastRenderedPageBreak/>
        <w:t>Annex 2</w:t>
      </w:r>
      <w:r w:rsidR="00AC5D7D" w:rsidRPr="00AC5D7D">
        <w:rPr>
          <w:lang w:val="en-US"/>
        </w:rPr>
        <w:br/>
      </w:r>
      <w:r w:rsidR="00AC5D7D" w:rsidRPr="00AC5D7D">
        <w:rPr>
          <w:lang w:val="en-US"/>
        </w:rPr>
        <w:br/>
      </w:r>
      <w:r w:rsidRPr="00AC5D7D">
        <w:rPr>
          <w:lang w:val="en-US"/>
        </w:rPr>
        <w:t>Application examples of the pulsed RFI analytic evaluation method</w:t>
      </w:r>
    </w:p>
    <w:p w:rsidR="00071346" w:rsidRDefault="00071346" w:rsidP="00AC5D7D">
      <w:pPr>
        <w:pStyle w:val="Normalaftertitle"/>
        <w:rPr>
          <w:lang w:val="en-US" w:eastAsia="zh-CN"/>
        </w:rPr>
      </w:pPr>
      <w:r>
        <w:rPr>
          <w:lang w:val="en-US" w:eastAsia="zh-CN"/>
        </w:rPr>
        <w:t xml:space="preserve">This Annex presents two examples of applying the Annex 1 analytic evaluation method to determine the pulsed interference impact from the same new pulsed RF source on two different RNSS receiver types operating in the 1 215-1 300 MHz frequency band. </w:t>
      </w:r>
    </w:p>
    <w:p w:rsidR="00071346" w:rsidRPr="00071346" w:rsidRDefault="00071346" w:rsidP="00071346">
      <w:pPr>
        <w:pStyle w:val="Heading1"/>
        <w:rPr>
          <w:lang w:val="en-US"/>
        </w:rPr>
      </w:pPr>
      <w:r w:rsidRPr="00071346">
        <w:rPr>
          <w:lang w:val="en-US"/>
        </w:rPr>
        <w:t>1</w:t>
      </w:r>
      <w:r w:rsidRPr="00071346">
        <w:rPr>
          <w:lang w:val="en-US"/>
        </w:rPr>
        <w:tab/>
        <w:t>RNSS receiver operational baseline case description</w:t>
      </w:r>
    </w:p>
    <w:p w:rsidR="00071346" w:rsidRPr="00071346" w:rsidRDefault="00071346" w:rsidP="00071346">
      <w:pPr>
        <w:rPr>
          <w:lang w:val="en-US"/>
        </w:rPr>
      </w:pPr>
      <w:r w:rsidRPr="00071346">
        <w:rPr>
          <w:lang w:val="en-US"/>
        </w:rPr>
        <w:t>The two types of RNSS receivers, an SBAS ground reference receiver and some high-precision semi-codeless receivers (1 215-1 300 MHz band) are assumed operating normally in the vicinity of a single pulsed radar system. That radar is assumed to produce pulsed signals within the pre</w:t>
      </w:r>
      <w:r w:rsidRPr="00071346">
        <w:rPr>
          <w:lang w:val="en-US"/>
        </w:rPr>
        <w:noBreakHyphen/>
        <w:t>correlator filter passbands of the two receiver types that fully saturate them. As listed in Annex 1, Table 2, row 2, the baseline radar is assumed to produce the following received pulsed RFI factors:</w:t>
      </w:r>
    </w:p>
    <w:p w:rsidR="00071346" w:rsidRPr="00071346" w:rsidRDefault="00071346" w:rsidP="00071346">
      <w:pPr>
        <w:pStyle w:val="Equation"/>
        <w:rPr>
          <w:lang w:val="en-US"/>
        </w:rPr>
      </w:pPr>
      <w:r w:rsidRPr="00071346">
        <w:rPr>
          <w:lang w:val="en-US"/>
        </w:rPr>
        <w:tab/>
      </w:r>
      <w:r w:rsidRPr="00071346">
        <w:rPr>
          <w:lang w:val="en-US"/>
        </w:rPr>
        <w:tab/>
      </w:r>
      <w:r w:rsidRPr="00071346">
        <w:rPr>
          <w:i/>
          <w:lang w:val="en-US"/>
        </w:rPr>
        <w:t>PDC</w:t>
      </w:r>
      <w:r w:rsidRPr="00071346">
        <w:rPr>
          <w:lang w:val="en-US"/>
        </w:rPr>
        <w:t xml:space="preserve"> = 0.0765, </w:t>
      </w:r>
      <w:r w:rsidRPr="00071346">
        <w:rPr>
          <w:lang w:val="en-US"/>
        </w:rPr>
        <w:br/>
      </w:r>
      <w:r w:rsidRPr="00071346">
        <w:rPr>
          <w:lang w:val="en-US"/>
        </w:rPr>
        <w:tab/>
      </w:r>
      <w:r w:rsidRPr="00071346">
        <w:rPr>
          <w:lang w:val="en-US"/>
        </w:rPr>
        <w:tab/>
      </w:r>
      <w:r w:rsidRPr="00071346">
        <w:rPr>
          <w:i/>
          <w:lang w:val="en-US"/>
        </w:rPr>
        <w:t>R</w:t>
      </w:r>
      <w:r w:rsidRPr="00071346">
        <w:rPr>
          <w:i/>
          <w:vertAlign w:val="subscript"/>
          <w:lang w:val="en-US"/>
        </w:rPr>
        <w:t>I</w:t>
      </w:r>
      <w:r w:rsidRPr="00071346">
        <w:rPr>
          <w:lang w:val="en-US"/>
        </w:rPr>
        <w:t xml:space="preserve"> =0.</w:t>
      </w:r>
    </w:p>
    <w:p w:rsidR="00071346" w:rsidRPr="00071346" w:rsidRDefault="00071346" w:rsidP="00071346">
      <w:pPr>
        <w:spacing w:before="240"/>
        <w:rPr>
          <w:lang w:val="en-US"/>
        </w:rPr>
      </w:pPr>
      <w:r w:rsidRPr="00071346">
        <w:rPr>
          <w:lang w:val="en-US"/>
        </w:rPr>
        <w:t>The SBAS ground reference receiver pertinent parameters are:</w:t>
      </w:r>
    </w:p>
    <w:p w:rsidR="00071346" w:rsidRPr="00071346" w:rsidRDefault="00071346" w:rsidP="00071346">
      <w:pPr>
        <w:pStyle w:val="Equation"/>
        <w:rPr>
          <w:lang w:val="en-US"/>
        </w:rPr>
      </w:pPr>
      <w:r w:rsidRPr="00071346">
        <w:rPr>
          <w:lang w:val="en-US"/>
        </w:rPr>
        <w:tab/>
      </w:r>
      <w:r w:rsidRPr="00071346">
        <w:rPr>
          <w:lang w:val="en-US"/>
        </w:rPr>
        <w:tab/>
      </w:r>
      <w:r w:rsidRPr="00071346">
        <w:rPr>
          <w:i/>
          <w:lang w:val="en-US"/>
        </w:rPr>
        <w:t>N</w:t>
      </w:r>
      <w:r w:rsidRPr="00071346">
        <w:rPr>
          <w:i/>
          <w:vertAlign w:val="subscript"/>
          <w:lang w:val="en-US"/>
        </w:rPr>
        <w:t>LIM</w:t>
      </w:r>
      <w:r w:rsidRPr="00071346">
        <w:rPr>
          <w:lang w:val="en-US"/>
        </w:rPr>
        <w:t xml:space="preserve"> = 1.0</w:t>
      </w:r>
      <w:r w:rsidRPr="00071346">
        <w:rPr>
          <w:lang w:val="en-US"/>
        </w:rPr>
        <w:br/>
      </w:r>
      <w:r w:rsidRPr="00071346">
        <w:rPr>
          <w:lang w:val="en-US"/>
        </w:rPr>
        <w:tab/>
      </w:r>
      <w:r w:rsidRPr="00071346">
        <w:rPr>
          <w:lang w:val="en-US"/>
        </w:rPr>
        <w:tab/>
      </w:r>
      <w:r w:rsidRPr="00AC5D7D">
        <w:rPr>
          <w:iCs/>
          <w:szCs w:val="24"/>
        </w:rPr>
        <w:sym w:font="Symbol" w:char="F074"/>
      </w:r>
      <w:r w:rsidRPr="00071346">
        <w:rPr>
          <w:i/>
          <w:vertAlign w:val="subscript"/>
          <w:lang w:val="en-US"/>
        </w:rPr>
        <w:t>REC</w:t>
      </w:r>
      <w:r w:rsidRPr="00071346">
        <w:rPr>
          <w:lang w:val="en-US"/>
        </w:rPr>
        <w:t xml:space="preserve"> = 1.0 µs.</w:t>
      </w:r>
    </w:p>
    <w:p w:rsidR="00071346" w:rsidRPr="00071346" w:rsidRDefault="00071346" w:rsidP="00071346">
      <w:pPr>
        <w:spacing w:before="240"/>
        <w:rPr>
          <w:lang w:val="en-US"/>
        </w:rPr>
      </w:pPr>
      <w:r w:rsidRPr="00071346">
        <w:rPr>
          <w:lang w:val="en-US"/>
        </w:rPr>
        <w:t>The High-precision semi-codeless receiver pertinent parameters are:</w:t>
      </w:r>
    </w:p>
    <w:p w:rsidR="00071346" w:rsidRPr="00071346" w:rsidRDefault="00071346" w:rsidP="00071346">
      <w:pPr>
        <w:pStyle w:val="Equation"/>
        <w:rPr>
          <w:lang w:val="en-US"/>
        </w:rPr>
      </w:pPr>
      <w:r w:rsidRPr="00071346">
        <w:rPr>
          <w:lang w:val="en-US"/>
        </w:rPr>
        <w:tab/>
      </w:r>
      <w:r w:rsidRPr="00071346">
        <w:rPr>
          <w:lang w:val="en-US"/>
        </w:rPr>
        <w:tab/>
      </w:r>
      <w:r w:rsidRPr="00071346">
        <w:rPr>
          <w:i/>
          <w:lang w:val="en-US"/>
        </w:rPr>
        <w:t>N</w:t>
      </w:r>
      <w:r w:rsidRPr="00071346">
        <w:rPr>
          <w:i/>
          <w:vertAlign w:val="subscript"/>
          <w:lang w:val="en-US"/>
        </w:rPr>
        <w:t>LIM</w:t>
      </w:r>
      <w:r w:rsidRPr="00071346">
        <w:rPr>
          <w:lang w:val="en-US"/>
        </w:rPr>
        <w:t xml:space="preserve"> = 2.0</w:t>
      </w:r>
      <w:r w:rsidRPr="00071346">
        <w:rPr>
          <w:lang w:val="en-US"/>
        </w:rPr>
        <w:br/>
      </w:r>
      <w:r w:rsidRPr="00071346">
        <w:rPr>
          <w:lang w:val="en-US"/>
        </w:rPr>
        <w:tab/>
      </w:r>
      <w:r w:rsidRPr="00071346">
        <w:rPr>
          <w:lang w:val="en-US"/>
        </w:rPr>
        <w:tab/>
      </w:r>
      <w:r w:rsidRPr="00AC5D7D">
        <w:rPr>
          <w:iCs/>
          <w:szCs w:val="24"/>
        </w:rPr>
        <w:sym w:font="Symbol" w:char="F074"/>
      </w:r>
      <w:r w:rsidRPr="00071346">
        <w:rPr>
          <w:i/>
          <w:vertAlign w:val="subscript"/>
          <w:lang w:val="en-US"/>
        </w:rPr>
        <w:t>REC</w:t>
      </w:r>
      <w:r w:rsidRPr="00071346">
        <w:rPr>
          <w:lang w:val="en-US"/>
        </w:rPr>
        <w:t xml:space="preserve"> = 1.0 µs.</w:t>
      </w:r>
    </w:p>
    <w:p w:rsidR="00071346" w:rsidRDefault="00071346" w:rsidP="00071346">
      <w:pPr>
        <w:pStyle w:val="Equation"/>
        <w:spacing w:before="240"/>
        <w:rPr>
          <w:lang w:val="en-US" w:eastAsia="ru-RU"/>
        </w:rPr>
      </w:pPr>
      <w:r w:rsidRPr="00071346">
        <w:rPr>
          <w:lang w:val="en-US"/>
        </w:rPr>
        <w:t>Each is assumed to operate in the simultaneous presence of continuous interference with an I</w:t>
      </w:r>
      <w:r w:rsidRPr="00071346">
        <w:rPr>
          <w:vertAlign w:val="subscript"/>
          <w:lang w:val="en-US"/>
        </w:rPr>
        <w:t>0</w:t>
      </w:r>
      <w:r w:rsidRPr="00071346">
        <w:rPr>
          <w:lang w:val="en-US"/>
        </w:rPr>
        <w:t>/N</w:t>
      </w:r>
      <w:r w:rsidRPr="00071346">
        <w:rPr>
          <w:vertAlign w:val="subscript"/>
          <w:lang w:val="en-US"/>
        </w:rPr>
        <w:t>0</w:t>
      </w:r>
      <w:r w:rsidRPr="00071346">
        <w:rPr>
          <w:lang w:val="en-US"/>
        </w:rPr>
        <w:t xml:space="preserve"> density ratio from Annex 1, Table 2. </w:t>
      </w:r>
    </w:p>
    <w:p w:rsidR="00071346" w:rsidRPr="00071346" w:rsidRDefault="00071346" w:rsidP="00D04753">
      <w:pPr>
        <w:pStyle w:val="Heading1"/>
        <w:rPr>
          <w:lang w:val="en-US"/>
        </w:rPr>
      </w:pPr>
      <w:r w:rsidRPr="00071346">
        <w:rPr>
          <w:lang w:val="en-US"/>
        </w:rPr>
        <w:t>2</w:t>
      </w:r>
      <w:r w:rsidRPr="00071346">
        <w:rPr>
          <w:lang w:val="en-US"/>
        </w:rPr>
        <w:tab/>
        <w:t>Analytic method pulsed RFI degradation ratio calculation examples</w:t>
      </w:r>
    </w:p>
    <w:p w:rsidR="00071346" w:rsidRPr="00071346" w:rsidRDefault="00071346" w:rsidP="00071346">
      <w:pPr>
        <w:tabs>
          <w:tab w:val="clear" w:pos="1191"/>
          <w:tab w:val="left" w:pos="1170"/>
        </w:tabs>
        <w:rPr>
          <w:lang w:val="en-US"/>
        </w:rPr>
      </w:pPr>
      <w:r w:rsidRPr="00071346">
        <w:rPr>
          <w:lang w:val="en-US"/>
        </w:rPr>
        <w:t>A single new pulsed RF transmitter is proposed to be placed into the baseline ope</w:t>
      </w:r>
      <w:r w:rsidR="00AC5D7D">
        <w:rPr>
          <w:lang w:val="en-US"/>
        </w:rPr>
        <w:t xml:space="preserve">rational case described above. </w:t>
      </w:r>
      <w:r w:rsidRPr="00071346">
        <w:rPr>
          <w:lang w:val="en-US"/>
        </w:rPr>
        <w:t>It is assumed to have sufficiently high peak received power to saturate both RNSS operating receiver types. The proposed transmit pulse parameters for the new source are:</w:t>
      </w:r>
    </w:p>
    <w:p w:rsidR="00071346" w:rsidRPr="00071346" w:rsidRDefault="00071346" w:rsidP="00071346">
      <w:pPr>
        <w:pStyle w:val="Equation"/>
        <w:rPr>
          <w:lang w:val="en-US"/>
        </w:rPr>
      </w:pPr>
      <w:r w:rsidRPr="00071346">
        <w:rPr>
          <w:lang w:val="en-US"/>
        </w:rPr>
        <w:tab/>
      </w:r>
      <w:r w:rsidRPr="00071346">
        <w:rPr>
          <w:lang w:val="en-US"/>
        </w:rPr>
        <w:tab/>
      </w:r>
      <w:r w:rsidRPr="00071346">
        <w:rPr>
          <w:i/>
          <w:lang w:val="en-US"/>
        </w:rPr>
        <w:t>PW</w:t>
      </w:r>
      <w:r w:rsidRPr="00071346">
        <w:rPr>
          <w:i/>
          <w:vertAlign w:val="subscript"/>
          <w:lang w:val="en-US"/>
        </w:rPr>
        <w:t>Y</w:t>
      </w:r>
      <w:r w:rsidRPr="00071346">
        <w:rPr>
          <w:lang w:val="en-US"/>
        </w:rPr>
        <w:t xml:space="preserve"> = 44.0 µs, and</w:t>
      </w:r>
      <w:r w:rsidRPr="00071346">
        <w:rPr>
          <w:lang w:val="en-US"/>
        </w:rPr>
        <w:br/>
      </w:r>
      <w:r w:rsidRPr="00071346">
        <w:rPr>
          <w:lang w:val="en-US"/>
        </w:rPr>
        <w:tab/>
      </w:r>
      <w:r w:rsidRPr="00071346">
        <w:rPr>
          <w:lang w:val="en-US"/>
        </w:rPr>
        <w:tab/>
      </w:r>
      <w:r w:rsidRPr="00071346">
        <w:rPr>
          <w:i/>
          <w:lang w:val="en-US"/>
        </w:rPr>
        <w:t>PRF</w:t>
      </w:r>
      <w:r w:rsidRPr="00071346">
        <w:rPr>
          <w:i/>
          <w:vertAlign w:val="subscript"/>
          <w:lang w:val="en-US"/>
        </w:rPr>
        <w:t>Y</w:t>
      </w:r>
      <w:r w:rsidRPr="00071346">
        <w:rPr>
          <w:lang w:val="en-US"/>
        </w:rPr>
        <w:t xml:space="preserve"> = 500 Hz.</w:t>
      </w:r>
    </w:p>
    <w:p w:rsidR="00071346" w:rsidRPr="00071346" w:rsidRDefault="00071346" w:rsidP="00071346">
      <w:pPr>
        <w:pStyle w:val="Heading2"/>
        <w:rPr>
          <w:lang w:val="en-US"/>
        </w:rPr>
      </w:pPr>
      <w:r w:rsidRPr="00071346">
        <w:rPr>
          <w:lang w:val="en-US"/>
        </w:rPr>
        <w:t>2.1</w:t>
      </w:r>
      <w:r w:rsidRPr="00071346">
        <w:rPr>
          <w:lang w:val="en-US"/>
        </w:rPr>
        <w:tab/>
        <w:t>SBAS ground reference receiver pulsed RFI degradation ratio calculation</w:t>
      </w:r>
    </w:p>
    <w:p w:rsidR="00071346" w:rsidRPr="00071346" w:rsidRDefault="00071346" w:rsidP="00071346">
      <w:pPr>
        <w:rPr>
          <w:lang w:val="en-US"/>
        </w:rPr>
      </w:pPr>
      <w:r w:rsidRPr="00071346">
        <w:rPr>
          <w:lang w:val="en-US"/>
        </w:rPr>
        <w:t xml:space="preserve">For the SBAS ground reference receiver, the effective saturated received pulse duty cycle to the proposed new source, </w:t>
      </w:r>
      <w:r w:rsidRPr="00071346">
        <w:rPr>
          <w:i/>
          <w:lang w:val="en-US"/>
        </w:rPr>
        <w:t>PDC</w:t>
      </w:r>
      <w:r w:rsidRPr="00071346">
        <w:rPr>
          <w:i/>
          <w:vertAlign w:val="subscript"/>
          <w:lang w:val="en-US"/>
        </w:rPr>
        <w:t>Y</w:t>
      </w:r>
      <w:r w:rsidRPr="00071346">
        <w:rPr>
          <w:lang w:val="en-US"/>
        </w:rPr>
        <w:t>, from Annex 1, equation (3a) is:</w:t>
      </w:r>
    </w:p>
    <w:p w:rsidR="00071346" w:rsidRPr="00071346" w:rsidRDefault="00071346" w:rsidP="00AC5D7D">
      <w:pPr>
        <w:pStyle w:val="Equation"/>
        <w:rPr>
          <w:lang w:val="en-US"/>
        </w:rPr>
      </w:pPr>
      <w:r w:rsidRPr="00071346">
        <w:rPr>
          <w:lang w:val="en-US"/>
        </w:rPr>
        <w:tab/>
      </w:r>
      <w:r w:rsidRPr="00071346">
        <w:rPr>
          <w:lang w:val="en-US"/>
        </w:rPr>
        <w:tab/>
      </w:r>
      <w:r w:rsidRPr="00071346">
        <w:rPr>
          <w:i/>
          <w:lang w:val="en-US"/>
        </w:rPr>
        <w:t>PDC</w:t>
      </w:r>
      <w:r w:rsidRPr="00071346">
        <w:rPr>
          <w:i/>
          <w:vertAlign w:val="subscript"/>
          <w:lang w:val="en-US"/>
        </w:rPr>
        <w:t>Y</w:t>
      </w:r>
      <w:r w:rsidRPr="00071346">
        <w:rPr>
          <w:i/>
          <w:lang w:val="en-US"/>
        </w:rPr>
        <w:t xml:space="preserve"> = (PW</w:t>
      </w:r>
      <w:r w:rsidRPr="00071346">
        <w:rPr>
          <w:i/>
          <w:vertAlign w:val="subscript"/>
          <w:lang w:val="en-US"/>
        </w:rPr>
        <w:t>Y</w:t>
      </w:r>
      <w:r w:rsidRPr="00071346">
        <w:rPr>
          <w:i/>
          <w:lang w:val="en-US"/>
        </w:rPr>
        <w:t xml:space="preserve"> + </w:t>
      </w:r>
      <w:r w:rsidRPr="00AC5D7D">
        <w:rPr>
          <w:iCs/>
          <w:szCs w:val="24"/>
        </w:rPr>
        <w:sym w:font="Symbol" w:char="F074"/>
      </w:r>
      <w:r w:rsidRPr="00071346">
        <w:rPr>
          <w:i/>
          <w:vertAlign w:val="subscript"/>
          <w:lang w:val="en-US"/>
        </w:rPr>
        <w:t>REC</w:t>
      </w:r>
      <w:r w:rsidRPr="00071346">
        <w:rPr>
          <w:i/>
          <w:lang w:val="en-US"/>
        </w:rPr>
        <w:t>)</w:t>
      </w:r>
      <w:r>
        <w:rPr>
          <w:i/>
          <w:szCs w:val="24"/>
        </w:rPr>
        <w:sym w:font="Symbol" w:char="F0D7"/>
      </w:r>
      <w:r w:rsidRPr="00071346">
        <w:rPr>
          <w:i/>
          <w:lang w:val="en-US"/>
        </w:rPr>
        <w:t>PRF</w:t>
      </w:r>
      <w:r w:rsidRPr="00071346">
        <w:rPr>
          <w:i/>
          <w:vertAlign w:val="subscript"/>
          <w:lang w:val="en-US"/>
        </w:rPr>
        <w:t>Y</w:t>
      </w:r>
      <w:r w:rsidRPr="00071346">
        <w:rPr>
          <w:i/>
          <w:lang w:val="en-US"/>
        </w:rPr>
        <w:t xml:space="preserve"> = </w:t>
      </w:r>
      <w:r w:rsidRPr="00071346">
        <w:rPr>
          <w:lang w:val="en-US"/>
        </w:rPr>
        <w:t>(44 + 1.0)</w:t>
      </w:r>
      <w:r>
        <w:rPr>
          <w:szCs w:val="24"/>
        </w:rPr>
        <w:sym w:font="Symbol" w:char="F0D7"/>
      </w:r>
      <w:r w:rsidRPr="00071346">
        <w:rPr>
          <w:lang w:val="en-US"/>
        </w:rPr>
        <w:t>500</w:t>
      </w:r>
      <w:r>
        <w:rPr>
          <w:szCs w:val="24"/>
        </w:rPr>
        <w:sym w:font="Symbol" w:char="F0D7"/>
      </w:r>
      <w:r w:rsidRPr="00071346">
        <w:rPr>
          <w:lang w:val="en-US"/>
        </w:rPr>
        <w:t>10</w:t>
      </w:r>
      <w:r w:rsidR="00AC5D7D">
        <w:rPr>
          <w:vertAlign w:val="superscript"/>
          <w:lang w:val="en-US"/>
        </w:rPr>
        <w:t>–</w:t>
      </w:r>
      <w:r w:rsidRPr="00071346">
        <w:rPr>
          <w:vertAlign w:val="superscript"/>
          <w:lang w:val="en-US"/>
        </w:rPr>
        <w:t>6</w:t>
      </w:r>
      <w:r w:rsidRPr="00071346">
        <w:rPr>
          <w:lang w:val="en-US"/>
        </w:rPr>
        <w:t xml:space="preserve"> = 0.02250</w:t>
      </w:r>
    </w:p>
    <w:p w:rsidR="00071346" w:rsidRPr="00071346" w:rsidRDefault="00071346" w:rsidP="00071346">
      <w:pPr>
        <w:spacing w:before="240"/>
        <w:ind w:left="1168" w:hanging="1168"/>
        <w:rPr>
          <w:lang w:val="en-US"/>
        </w:rPr>
      </w:pPr>
      <w:r w:rsidRPr="00071346">
        <w:rPr>
          <w:lang w:val="en-US"/>
        </w:rPr>
        <w:t>Since the new source pulses fully saturate the receiver,</w:t>
      </w:r>
    </w:p>
    <w:p w:rsidR="00071346" w:rsidRPr="00071346" w:rsidRDefault="00071346" w:rsidP="00071346">
      <w:pPr>
        <w:pStyle w:val="Equation"/>
        <w:rPr>
          <w:lang w:val="en-US"/>
        </w:rPr>
      </w:pPr>
      <w:r w:rsidRPr="00071346">
        <w:rPr>
          <w:lang w:val="en-US"/>
        </w:rPr>
        <w:tab/>
      </w:r>
      <w:r w:rsidRPr="00071346">
        <w:rPr>
          <w:lang w:val="en-US"/>
        </w:rPr>
        <w:tab/>
      </w:r>
      <w:r w:rsidRPr="00071346">
        <w:rPr>
          <w:i/>
          <w:lang w:val="en-US"/>
        </w:rPr>
        <w:t>R</w:t>
      </w:r>
      <w:r w:rsidRPr="00071346">
        <w:rPr>
          <w:i/>
          <w:vertAlign w:val="subscript"/>
          <w:lang w:val="en-US"/>
        </w:rPr>
        <w:t>Y</w:t>
      </w:r>
      <w:r w:rsidRPr="00071346">
        <w:rPr>
          <w:lang w:val="en-US"/>
        </w:rPr>
        <w:t xml:space="preserve"> = 0</w:t>
      </w:r>
    </w:p>
    <w:p w:rsidR="00071346" w:rsidRPr="0090605E" w:rsidRDefault="00071346" w:rsidP="00D04753">
      <w:pPr>
        <w:tabs>
          <w:tab w:val="left" w:pos="1080"/>
        </w:tabs>
        <w:rPr>
          <w:lang w:val="en-US"/>
        </w:rPr>
      </w:pPr>
      <w:r w:rsidRPr="00071346">
        <w:rPr>
          <w:lang w:val="en-US"/>
        </w:rPr>
        <w:t xml:space="preserve">According to Annex 1 Table 2 for the SBAS ground reference receiver, </w:t>
      </w:r>
      <w:r w:rsidRPr="00071346">
        <w:rPr>
          <w:i/>
          <w:lang w:val="en-US"/>
        </w:rPr>
        <w:t>N</w:t>
      </w:r>
      <w:r w:rsidRPr="00071346">
        <w:rPr>
          <w:i/>
          <w:vertAlign w:val="subscript"/>
          <w:lang w:val="en-US"/>
        </w:rPr>
        <w:t>LIM</w:t>
      </w:r>
      <w:r w:rsidRPr="00071346">
        <w:rPr>
          <w:lang w:val="en-US"/>
        </w:rPr>
        <w:t xml:space="preserve"> = 1. Since for the new pulsed RF source, </w:t>
      </w:r>
      <w:r w:rsidRPr="00071346">
        <w:rPr>
          <w:i/>
          <w:lang w:val="en-US"/>
        </w:rPr>
        <w:t>R</w:t>
      </w:r>
      <w:r w:rsidRPr="00071346">
        <w:rPr>
          <w:i/>
          <w:vertAlign w:val="subscript"/>
          <w:lang w:val="en-US"/>
        </w:rPr>
        <w:t>Y</w:t>
      </w:r>
      <w:r w:rsidRPr="00071346">
        <w:rPr>
          <w:i/>
          <w:lang w:val="en-US"/>
        </w:rPr>
        <w:t xml:space="preserve"> = </w:t>
      </w:r>
      <w:r w:rsidRPr="00071346">
        <w:rPr>
          <w:lang w:val="en-US"/>
        </w:rPr>
        <w:t xml:space="preserve">0, the pulsed RFI degradation equation is Annex 1 equation (7a). </w:t>
      </w:r>
      <w:r w:rsidRPr="0090605E">
        <w:rPr>
          <w:lang w:val="en-US"/>
        </w:rPr>
        <w:t>Thus,</w:t>
      </w:r>
    </w:p>
    <w:p w:rsidR="00071346" w:rsidRPr="0090605E" w:rsidRDefault="00071346" w:rsidP="000947E5">
      <w:pPr>
        <w:pStyle w:val="Equation"/>
        <w:rPr>
          <w:lang w:val="en-US"/>
        </w:rPr>
      </w:pPr>
      <w:r w:rsidRPr="0090605E">
        <w:rPr>
          <w:lang w:val="en-US"/>
        </w:rPr>
        <w:lastRenderedPageBreak/>
        <w:tab/>
      </w:r>
      <w:r w:rsidR="000947E5" w:rsidRPr="009D620C">
        <w:rPr>
          <w:position w:val="-32"/>
        </w:rPr>
        <w:object w:dxaOrig="2940" w:dyaOrig="700">
          <v:shape id="_x0000_i1041" type="#_x0000_t75" style="width:148.05pt;height:35.7pt" o:ole="">
            <v:imagedata r:id="rId43" o:title=""/>
          </v:shape>
          <o:OLEObject Type="Embed" ProgID="Equation.3" ShapeID="_x0000_i1041" DrawAspect="Content" ObjectID="_1417409647" r:id="rId45"/>
        </w:object>
      </w:r>
      <w:r w:rsidRPr="0090605E">
        <w:rPr>
          <w:lang w:val="en-US"/>
        </w:rPr>
        <w:tab/>
        <w:t>= 1/(1 – 0.0225)</w:t>
      </w:r>
      <w:r w:rsidRPr="0090605E">
        <w:rPr>
          <w:vertAlign w:val="superscript"/>
          <w:lang w:val="en-US"/>
        </w:rPr>
        <w:t>2</w:t>
      </w:r>
      <w:r w:rsidRPr="0090605E">
        <w:rPr>
          <w:lang w:val="en-US"/>
        </w:rPr>
        <w:t xml:space="preserve"> = </w:t>
      </w:r>
      <w:r w:rsidRPr="0090605E">
        <w:rPr>
          <w:b/>
          <w:lang w:val="en-US"/>
        </w:rPr>
        <w:t>1.04657</w:t>
      </w:r>
      <w:r w:rsidR="000947E5" w:rsidRPr="0090605E">
        <w:rPr>
          <w:lang w:val="en-US"/>
        </w:rPr>
        <w:t xml:space="preserve"> (algebraic ratio). </w:t>
      </w:r>
    </w:p>
    <w:p w:rsidR="00071346" w:rsidRPr="00071346" w:rsidRDefault="00071346" w:rsidP="00071346">
      <w:pPr>
        <w:tabs>
          <w:tab w:val="left" w:pos="1080"/>
        </w:tabs>
        <w:rPr>
          <w:lang w:val="en-US"/>
        </w:rPr>
      </w:pPr>
      <w:r w:rsidRPr="00071346">
        <w:rPr>
          <w:lang w:val="en-US"/>
        </w:rPr>
        <w:t>To compare the computed degradation ratio to the allowable degradation factor (0.2 dB) from Annex 1, Table 2, convert the algebraic ratio to dB:</w:t>
      </w:r>
    </w:p>
    <w:p w:rsidR="00071346" w:rsidRPr="00071346" w:rsidRDefault="00071346" w:rsidP="00071346">
      <w:pPr>
        <w:pStyle w:val="Equation"/>
        <w:rPr>
          <w:lang w:val="en-US"/>
        </w:rPr>
      </w:pPr>
      <w:r w:rsidRPr="00071346">
        <w:rPr>
          <w:lang w:val="en-US"/>
        </w:rPr>
        <w:tab/>
      </w:r>
      <w:r w:rsidRPr="00071346">
        <w:rPr>
          <w:lang w:val="en-US"/>
        </w:rPr>
        <w:tab/>
        <w:t>10</w:t>
      </w:r>
      <w:r>
        <w:rPr>
          <w:szCs w:val="24"/>
        </w:rPr>
        <w:sym w:font="Symbol" w:char="F0D7"/>
      </w:r>
      <w:r w:rsidRPr="00071346">
        <w:rPr>
          <w:lang w:val="en-US"/>
        </w:rPr>
        <w:t>log</w:t>
      </w:r>
      <w:r w:rsidRPr="00071346">
        <w:rPr>
          <w:vertAlign w:val="subscript"/>
          <w:lang w:val="en-US"/>
        </w:rPr>
        <w:t>10</w:t>
      </w:r>
      <w:r w:rsidRPr="00071346">
        <w:rPr>
          <w:lang w:val="en-US"/>
        </w:rPr>
        <w:t xml:space="preserve">(1.04657) = </w:t>
      </w:r>
      <w:r w:rsidRPr="00071346">
        <w:rPr>
          <w:b/>
          <w:lang w:val="en-US"/>
        </w:rPr>
        <w:t>0.198 dB</w:t>
      </w:r>
    </w:p>
    <w:p w:rsidR="00071346" w:rsidRPr="00071346" w:rsidRDefault="00071346" w:rsidP="00071346">
      <w:pPr>
        <w:tabs>
          <w:tab w:val="left" w:pos="1080"/>
        </w:tabs>
        <w:rPr>
          <w:lang w:val="en-US"/>
        </w:rPr>
      </w:pPr>
      <w:r w:rsidRPr="00071346">
        <w:rPr>
          <w:lang w:val="en-US"/>
        </w:rPr>
        <w:t>Thus the proposed new source produces less than the SBAS ground reference receiver allowable degradation limit by a small margin.</w:t>
      </w:r>
    </w:p>
    <w:p w:rsidR="00071346" w:rsidRPr="00071346" w:rsidRDefault="00071346" w:rsidP="00071346">
      <w:pPr>
        <w:pStyle w:val="Heading2"/>
        <w:rPr>
          <w:lang w:val="en-US"/>
        </w:rPr>
      </w:pPr>
      <w:r w:rsidRPr="00071346">
        <w:rPr>
          <w:lang w:val="en-US"/>
        </w:rPr>
        <w:t>2.2</w:t>
      </w:r>
      <w:r w:rsidRPr="00071346">
        <w:rPr>
          <w:lang w:val="en-US"/>
        </w:rPr>
        <w:tab/>
        <w:t>High-precision semi-codeless receiver pulsed RFI degradation ratio calculation</w:t>
      </w:r>
    </w:p>
    <w:p w:rsidR="00071346" w:rsidRPr="00071346" w:rsidRDefault="00071346" w:rsidP="000947E5">
      <w:pPr>
        <w:rPr>
          <w:lang w:val="en-US"/>
        </w:rPr>
      </w:pPr>
      <w:r w:rsidRPr="00071346">
        <w:rPr>
          <w:lang w:val="en-US"/>
        </w:rPr>
        <w:t>Since the high-precision semi-codeless receiver is assumed to have the same pulse overload recovery time (1.0</w:t>
      </w:r>
      <w:r w:rsidR="000947E5">
        <w:rPr>
          <w:lang w:val="en-US"/>
        </w:rPr>
        <w:t> </w:t>
      </w:r>
      <w:r w:rsidRPr="00071346">
        <w:rPr>
          <w:lang w:val="en-US"/>
        </w:rPr>
        <w:t>µs) as the SBAS ground reference receiver, the new source saturation received pulse duty cycle is also the same (</w:t>
      </w:r>
      <w:r w:rsidRPr="00071346">
        <w:rPr>
          <w:i/>
          <w:lang w:val="en-US"/>
        </w:rPr>
        <w:t>PDC</w:t>
      </w:r>
      <w:r w:rsidRPr="00071346">
        <w:rPr>
          <w:i/>
          <w:vertAlign w:val="subscript"/>
          <w:lang w:val="en-US"/>
        </w:rPr>
        <w:t>Y</w:t>
      </w:r>
      <w:r w:rsidR="000947E5">
        <w:rPr>
          <w:lang w:val="en-US"/>
        </w:rPr>
        <w:t xml:space="preserve"> = 0.0225). </w:t>
      </w:r>
      <w:r w:rsidRPr="00071346">
        <w:rPr>
          <w:lang w:val="en-US"/>
        </w:rPr>
        <w:t xml:space="preserve">Since there are no below-saturation pulses received by the high-precision semi-codeless receiver, </w:t>
      </w:r>
      <w:r w:rsidRPr="00071346">
        <w:rPr>
          <w:i/>
          <w:lang w:val="en-US"/>
        </w:rPr>
        <w:t>R</w:t>
      </w:r>
      <w:r w:rsidRPr="00071346">
        <w:rPr>
          <w:i/>
          <w:vertAlign w:val="subscript"/>
          <w:lang w:val="en-US"/>
        </w:rPr>
        <w:t>Y</w:t>
      </w:r>
      <w:r w:rsidRPr="00071346">
        <w:rPr>
          <w:lang w:val="en-US"/>
        </w:rPr>
        <w:t xml:space="preserve"> = 0 as well. The baseline pulse duty cycle, </w:t>
      </w:r>
      <w:r w:rsidRPr="00071346">
        <w:rPr>
          <w:i/>
          <w:lang w:val="en-US"/>
        </w:rPr>
        <w:t>PDC</w:t>
      </w:r>
      <w:r w:rsidRPr="00071346">
        <w:rPr>
          <w:i/>
          <w:vertAlign w:val="subscript"/>
          <w:lang w:val="en-US"/>
        </w:rPr>
        <w:t>LIM</w:t>
      </w:r>
      <w:r w:rsidRPr="00071346">
        <w:rPr>
          <w:lang w:val="en-US"/>
        </w:rPr>
        <w:t xml:space="preserve">, from Annex 1, Table 2 is 0.0765. Because the receiver </w:t>
      </w:r>
      <w:r w:rsidRPr="00071346">
        <w:rPr>
          <w:i/>
          <w:lang w:val="en-US"/>
        </w:rPr>
        <w:t>N</w:t>
      </w:r>
      <w:r w:rsidRPr="00071346">
        <w:rPr>
          <w:i/>
          <w:vertAlign w:val="subscript"/>
          <w:lang w:val="en-US"/>
        </w:rPr>
        <w:t>LIM</w:t>
      </w:r>
      <w:r w:rsidRPr="00071346">
        <w:rPr>
          <w:lang w:val="en-US"/>
        </w:rPr>
        <w:t xml:space="preserve"> = 2, the pulsed RFI degradation equation to use is Annex 1, equation 7. Thus after substituting </w:t>
      </w:r>
      <w:r w:rsidRPr="00071346">
        <w:rPr>
          <w:i/>
          <w:lang w:val="en-US"/>
        </w:rPr>
        <w:t>PDC</w:t>
      </w:r>
      <w:r w:rsidRPr="00071346">
        <w:rPr>
          <w:i/>
          <w:vertAlign w:val="subscript"/>
          <w:lang w:val="en-US"/>
        </w:rPr>
        <w:t>LIM</w:t>
      </w:r>
      <w:r w:rsidRPr="00071346">
        <w:rPr>
          <w:lang w:val="en-US"/>
        </w:rPr>
        <w:t xml:space="preserve">, </w:t>
      </w:r>
      <w:r w:rsidRPr="00071346">
        <w:rPr>
          <w:i/>
          <w:lang w:val="en-US"/>
        </w:rPr>
        <w:t>N</w:t>
      </w:r>
      <w:r w:rsidRPr="00071346">
        <w:rPr>
          <w:i/>
          <w:vertAlign w:val="subscript"/>
          <w:lang w:val="en-US"/>
        </w:rPr>
        <w:t>LIM</w:t>
      </w:r>
      <w:r w:rsidRPr="00071346">
        <w:rPr>
          <w:lang w:val="en-US"/>
        </w:rPr>
        <w:t xml:space="preserve"> and </w:t>
      </w:r>
      <w:r w:rsidRPr="00071346">
        <w:rPr>
          <w:i/>
          <w:lang w:val="en-US"/>
        </w:rPr>
        <w:t>R</w:t>
      </w:r>
      <w:r w:rsidRPr="00071346">
        <w:rPr>
          <w:i/>
          <w:vertAlign w:val="subscript"/>
          <w:lang w:val="en-US"/>
        </w:rPr>
        <w:t>Y</w:t>
      </w:r>
      <w:r w:rsidRPr="00071346">
        <w:rPr>
          <w:lang w:val="en-US"/>
        </w:rPr>
        <w:t xml:space="preserve"> parameter values into the equation and simplifying it, the computed degradation ratio is:</w:t>
      </w:r>
    </w:p>
    <w:p w:rsidR="00071346" w:rsidRPr="00071346" w:rsidRDefault="00071346" w:rsidP="000947E5">
      <w:pPr>
        <w:rPr>
          <w:lang w:val="en-US"/>
        </w:rPr>
      </w:pPr>
      <w:r w:rsidRPr="00071346">
        <w:rPr>
          <w:lang w:val="en-US"/>
        </w:rPr>
        <w:tab/>
      </w:r>
      <w:r w:rsidRPr="00071346">
        <w:rPr>
          <w:i/>
          <w:lang w:val="en-US"/>
        </w:rPr>
        <w:t>N</w:t>
      </w:r>
      <w:r w:rsidRPr="00071346">
        <w:rPr>
          <w:vertAlign w:val="subscript"/>
          <w:lang w:val="en-US"/>
        </w:rPr>
        <w:t>0</w:t>
      </w:r>
      <w:r w:rsidRPr="00071346">
        <w:rPr>
          <w:i/>
          <w:vertAlign w:val="subscript"/>
          <w:lang w:val="en-US"/>
        </w:rPr>
        <w:t>,EFF+Y</w:t>
      </w:r>
      <w:r w:rsidRPr="00071346">
        <w:rPr>
          <w:i/>
          <w:lang w:val="en-US"/>
        </w:rPr>
        <w:t>/N</w:t>
      </w:r>
      <w:r w:rsidRPr="00071346">
        <w:rPr>
          <w:vertAlign w:val="subscript"/>
          <w:lang w:val="en-US"/>
        </w:rPr>
        <w:t>0</w:t>
      </w:r>
      <w:r w:rsidRPr="00071346">
        <w:rPr>
          <w:i/>
          <w:vertAlign w:val="subscript"/>
          <w:lang w:val="en-US"/>
        </w:rPr>
        <w:t>,EFF</w:t>
      </w:r>
      <w:r w:rsidRPr="00071346">
        <w:rPr>
          <w:lang w:val="en-US"/>
        </w:rPr>
        <w:t xml:space="preserve"> = {1/(1-</w:t>
      </w:r>
      <w:r w:rsidRPr="00071346">
        <w:rPr>
          <w:i/>
          <w:lang w:val="en-US"/>
        </w:rPr>
        <w:t>PDC</w:t>
      </w:r>
      <w:r w:rsidRPr="00071346">
        <w:rPr>
          <w:i/>
          <w:vertAlign w:val="subscript"/>
          <w:lang w:val="en-US"/>
        </w:rPr>
        <w:t>Y</w:t>
      </w:r>
      <w:r w:rsidRPr="00071346">
        <w:rPr>
          <w:lang w:val="en-US"/>
        </w:rPr>
        <w:t>)}</w:t>
      </w:r>
      <w:r>
        <w:rPr>
          <w:szCs w:val="24"/>
        </w:rPr>
        <w:sym w:font="Symbol" w:char="F0D7"/>
      </w:r>
      <w:r w:rsidRPr="00071346">
        <w:rPr>
          <w:lang w:val="en-US"/>
        </w:rPr>
        <w:t>(1)</w:t>
      </w:r>
      <w:r>
        <w:rPr>
          <w:szCs w:val="24"/>
        </w:rPr>
        <w:sym w:font="Symbol" w:char="F0D7"/>
      </w:r>
      <w:r w:rsidRPr="00071346">
        <w:rPr>
          <w:lang w:val="en-US"/>
        </w:rPr>
        <w:t>{1+(4</w:t>
      </w:r>
      <w:r>
        <w:rPr>
          <w:szCs w:val="24"/>
        </w:rPr>
        <w:sym w:font="Symbol" w:char="F0D7"/>
      </w:r>
      <w:r w:rsidRPr="00071346">
        <w:rPr>
          <w:i/>
          <w:lang w:val="en-US"/>
        </w:rPr>
        <w:t>PDC</w:t>
      </w:r>
      <w:r w:rsidRPr="00071346">
        <w:rPr>
          <w:i/>
          <w:vertAlign w:val="subscript"/>
          <w:lang w:val="en-US"/>
        </w:rPr>
        <w:t>Y</w:t>
      </w:r>
      <w:r w:rsidR="000947E5">
        <w:rPr>
          <w:lang w:val="en-US"/>
        </w:rPr>
        <w:t>)/[(1-</w:t>
      </w:r>
      <w:r w:rsidRPr="00071346">
        <w:rPr>
          <w:i/>
          <w:lang w:val="en-US"/>
        </w:rPr>
        <w:t>PDC</w:t>
      </w:r>
      <w:r w:rsidRPr="00071346">
        <w:rPr>
          <w:i/>
          <w:vertAlign w:val="subscript"/>
          <w:lang w:val="en-US"/>
        </w:rPr>
        <w:t>Y</w:t>
      </w:r>
      <w:r w:rsidRPr="00071346">
        <w:rPr>
          <w:lang w:val="en-US"/>
        </w:rPr>
        <w:t>)(1+3</w:t>
      </w:r>
      <w:r>
        <w:rPr>
          <w:szCs w:val="24"/>
        </w:rPr>
        <w:sym w:font="Symbol" w:char="F0D7"/>
      </w:r>
      <w:r w:rsidRPr="00071346">
        <w:rPr>
          <w:i/>
          <w:lang w:val="en-US"/>
        </w:rPr>
        <w:t>PDC</w:t>
      </w:r>
      <w:r w:rsidRPr="00071346">
        <w:rPr>
          <w:i/>
          <w:vertAlign w:val="subscript"/>
          <w:lang w:val="en-US"/>
        </w:rPr>
        <w:t>LIM</w:t>
      </w:r>
      <w:r w:rsidRPr="00071346">
        <w:rPr>
          <w:lang w:val="en-US"/>
        </w:rPr>
        <w:t>)]}</w:t>
      </w:r>
    </w:p>
    <w:p w:rsidR="00071346" w:rsidRPr="00071346" w:rsidRDefault="00071346" w:rsidP="00071346">
      <w:pPr>
        <w:rPr>
          <w:lang w:val="en-US"/>
        </w:rPr>
      </w:pPr>
      <w:r w:rsidRPr="00071346">
        <w:rPr>
          <w:lang w:val="en-US"/>
        </w:rPr>
        <w:tab/>
      </w:r>
      <w:r w:rsidRPr="00071346">
        <w:rPr>
          <w:lang w:val="en-US"/>
        </w:rPr>
        <w:tab/>
      </w:r>
      <w:r w:rsidRPr="00071346">
        <w:rPr>
          <w:lang w:val="en-US"/>
        </w:rPr>
        <w:tab/>
        <w:t xml:space="preserve"> = {1.02302}</w:t>
      </w:r>
      <w:r>
        <w:rPr>
          <w:szCs w:val="24"/>
        </w:rPr>
        <w:sym w:font="Symbol" w:char="F0D7"/>
      </w:r>
      <w:r w:rsidRPr="00071346">
        <w:rPr>
          <w:lang w:val="en-US"/>
        </w:rPr>
        <w:t xml:space="preserve">{1+[0.090/1.20184]} = </w:t>
      </w:r>
      <w:r w:rsidRPr="00071346">
        <w:rPr>
          <w:b/>
          <w:lang w:val="en-US"/>
        </w:rPr>
        <w:t>1.09963</w:t>
      </w:r>
      <w:r w:rsidR="000947E5">
        <w:rPr>
          <w:lang w:val="en-US"/>
        </w:rPr>
        <w:t xml:space="preserve"> </w:t>
      </w:r>
      <w:r w:rsidRPr="00071346">
        <w:rPr>
          <w:lang w:val="en-US"/>
        </w:rPr>
        <w:t>(algebraic ratio)</w:t>
      </w:r>
    </w:p>
    <w:p w:rsidR="00071346" w:rsidRPr="00071346" w:rsidRDefault="00071346" w:rsidP="00071346">
      <w:pPr>
        <w:tabs>
          <w:tab w:val="left" w:pos="1080"/>
        </w:tabs>
        <w:spacing w:before="240"/>
        <w:rPr>
          <w:lang w:val="en-US"/>
        </w:rPr>
      </w:pPr>
      <w:r w:rsidRPr="00071346">
        <w:rPr>
          <w:lang w:val="en-US"/>
        </w:rPr>
        <w:t>Converting the algebraic ratio to dB yields:</w:t>
      </w:r>
    </w:p>
    <w:p w:rsidR="00071346" w:rsidRPr="00071346" w:rsidRDefault="00071346" w:rsidP="00071346">
      <w:pPr>
        <w:tabs>
          <w:tab w:val="left" w:pos="1080"/>
        </w:tabs>
        <w:jc w:val="center"/>
        <w:rPr>
          <w:lang w:val="en-US"/>
        </w:rPr>
      </w:pPr>
      <w:r w:rsidRPr="00071346">
        <w:rPr>
          <w:lang w:val="en-US"/>
        </w:rPr>
        <w:t>10</w:t>
      </w:r>
      <w:r>
        <w:rPr>
          <w:szCs w:val="24"/>
        </w:rPr>
        <w:sym w:font="Symbol" w:char="F0D7"/>
      </w:r>
      <w:r w:rsidRPr="00071346">
        <w:rPr>
          <w:lang w:val="en-US"/>
        </w:rPr>
        <w:t>log</w:t>
      </w:r>
      <w:r w:rsidRPr="00071346">
        <w:rPr>
          <w:vertAlign w:val="subscript"/>
          <w:lang w:val="en-US"/>
        </w:rPr>
        <w:t>10</w:t>
      </w:r>
      <w:r w:rsidRPr="00071346">
        <w:rPr>
          <w:lang w:val="en-US"/>
        </w:rPr>
        <w:t xml:space="preserve">(1.099627) = </w:t>
      </w:r>
      <w:r w:rsidRPr="00071346">
        <w:rPr>
          <w:b/>
          <w:lang w:val="en-US"/>
        </w:rPr>
        <w:t>0.413 dB</w:t>
      </w:r>
    </w:p>
    <w:p w:rsidR="00071346" w:rsidRPr="00071346" w:rsidRDefault="00071346" w:rsidP="00071346">
      <w:pPr>
        <w:tabs>
          <w:tab w:val="left" w:pos="1080"/>
        </w:tabs>
        <w:spacing w:before="240"/>
        <w:rPr>
          <w:lang w:val="en-US"/>
        </w:rPr>
      </w:pPr>
      <w:r w:rsidRPr="00071346">
        <w:rPr>
          <w:lang w:val="en-US"/>
        </w:rPr>
        <w:t>Thus, the proposed new pulse source produces more RFI degradation than the high-precision semi</w:t>
      </w:r>
      <w:r w:rsidRPr="00071346">
        <w:rPr>
          <w:lang w:val="en-US"/>
        </w:rPr>
        <w:noBreakHyphen/>
        <w:t>codeless receiver allowable degradation limit of 0.2 dB.</w:t>
      </w:r>
    </w:p>
    <w:p w:rsidR="00071346" w:rsidRPr="00071346" w:rsidRDefault="00071346" w:rsidP="00071346">
      <w:pPr>
        <w:rPr>
          <w:lang w:val="en-US" w:eastAsia="zh-CN"/>
        </w:rPr>
      </w:pPr>
    </w:p>
    <w:p w:rsidR="00071346" w:rsidRPr="00071346" w:rsidRDefault="00071346" w:rsidP="00071346">
      <w:pPr>
        <w:rPr>
          <w:lang w:val="en-US" w:eastAsia="zh-CN"/>
        </w:rPr>
      </w:pPr>
    </w:p>
    <w:p w:rsidR="00071346" w:rsidRPr="00071346" w:rsidRDefault="00071346" w:rsidP="00071346">
      <w:pPr>
        <w:pStyle w:val="Line"/>
      </w:pPr>
    </w:p>
    <w:sectPr w:rsidR="00071346" w:rsidRPr="00071346" w:rsidSect="00E852E6">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346" w:rsidRDefault="00071346">
      <w:r>
        <w:separator/>
      </w:r>
    </w:p>
  </w:endnote>
  <w:endnote w:type="continuationSeparator" w:id="0">
    <w:p w:rsidR="00071346" w:rsidRDefault="0007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346" w:rsidRDefault="00071346">
      <w:r>
        <w:separator/>
      </w:r>
    </w:p>
  </w:footnote>
  <w:footnote w:type="continuationSeparator" w:id="0">
    <w:p w:rsidR="00071346" w:rsidRDefault="00071346">
      <w:r>
        <w:continuationSeparator/>
      </w:r>
    </w:p>
  </w:footnote>
  <w:footnote w:id="1">
    <w:p w:rsidR="00071346" w:rsidRPr="00071346" w:rsidRDefault="00071346" w:rsidP="00071346">
      <w:pPr>
        <w:pStyle w:val="FootnoteText"/>
        <w:rPr>
          <w:lang w:val="en-US"/>
        </w:rPr>
      </w:pPr>
      <w:r>
        <w:rPr>
          <w:rStyle w:val="FootnoteReference"/>
        </w:rPr>
        <w:footnoteRef/>
      </w:r>
      <w:r w:rsidRPr="00071346">
        <w:rPr>
          <w:lang w:val="en-US"/>
        </w:rPr>
        <w:tab/>
        <w:t>The term “relevant” refers to radio sources that transmit RF pulses or that generate equivalent RF pulses at the RNSS receiver by other means such as, for example, the use of a scanning antenna beam.</w:t>
      </w:r>
    </w:p>
  </w:footnote>
  <w:footnote w:id="2">
    <w:p w:rsidR="00071346" w:rsidRPr="00071346" w:rsidRDefault="00071346" w:rsidP="00071346">
      <w:pPr>
        <w:pStyle w:val="FootnoteText"/>
        <w:rPr>
          <w:lang w:val="en-US"/>
        </w:rPr>
      </w:pPr>
      <w:r>
        <w:rPr>
          <w:rStyle w:val="FootnoteReference"/>
        </w:rPr>
        <w:footnoteRef/>
      </w:r>
      <w:r w:rsidRPr="00071346">
        <w:rPr>
          <w:lang w:val="en-US"/>
        </w:rPr>
        <w:t xml:space="preserve"> </w:t>
      </w:r>
      <w:r>
        <w:rPr>
          <w:lang w:val="en-US"/>
        </w:rPr>
        <w:tab/>
      </w:r>
      <w:r w:rsidRPr="00071346">
        <w:rPr>
          <w:lang w:val="en-US"/>
        </w:rPr>
        <w:t>Recommendation ITU-R M.1318-1 provides an analysis method for continuous interference sources.</w:t>
      </w:r>
    </w:p>
  </w:footnote>
  <w:footnote w:id="3">
    <w:p w:rsidR="00071346" w:rsidRDefault="00071346" w:rsidP="00EC673B">
      <w:pPr>
        <w:pStyle w:val="FootnoteText"/>
        <w:rPr>
          <w:lang w:val="en-US"/>
        </w:rPr>
      </w:pPr>
      <w:r>
        <w:rPr>
          <w:rStyle w:val="FootnoteReference"/>
        </w:rPr>
        <w:footnoteRef/>
      </w:r>
      <w:r w:rsidRPr="00071346">
        <w:rPr>
          <w:lang w:val="en-US"/>
        </w:rPr>
        <w:tab/>
        <w:t xml:space="preserve">See Annex 1, </w:t>
      </w:r>
      <w:r w:rsidR="00EC673B">
        <w:rPr>
          <w:lang w:val="en-US"/>
        </w:rPr>
        <w:t>§</w:t>
      </w:r>
      <w:r w:rsidRPr="00071346">
        <w:rPr>
          <w:lang w:val="en-US"/>
        </w:rPr>
        <w:t xml:space="preserve"> 3 for the degradation ratio description and </w:t>
      </w:r>
      <w:r w:rsidR="00EC673B">
        <w:rPr>
          <w:lang w:val="en-US"/>
        </w:rPr>
        <w:t>§</w:t>
      </w:r>
      <w:r w:rsidRPr="00071346">
        <w:rPr>
          <w:lang w:val="en-US"/>
        </w:rPr>
        <w:t xml:space="preserve"> 4 for more information on the allowable degradation ratio values.</w:t>
      </w:r>
    </w:p>
  </w:footnote>
  <w:footnote w:id="4">
    <w:p w:rsidR="00071346" w:rsidRPr="00071346" w:rsidRDefault="00071346" w:rsidP="00071346">
      <w:pPr>
        <w:pStyle w:val="FootnoteText"/>
        <w:rPr>
          <w:lang w:val="en-US"/>
        </w:rPr>
      </w:pPr>
      <w:r>
        <w:rPr>
          <w:rStyle w:val="FootnoteReference"/>
          <w:szCs w:val="22"/>
        </w:rPr>
        <w:footnoteRef/>
      </w:r>
      <w:r w:rsidRPr="00071346">
        <w:rPr>
          <w:szCs w:val="22"/>
          <w:lang w:val="en-US"/>
        </w:rPr>
        <w:tab/>
      </w:r>
      <w:r>
        <w:rPr>
          <w:szCs w:val="22"/>
          <w:lang w:val="en-US"/>
        </w:rPr>
        <w:t xml:space="preserve">Continuous interference is used here to mean interference from sources of fairly constant power that is generally present at all times. </w:t>
      </w:r>
      <w:r w:rsidRPr="00071346">
        <w:rPr>
          <w:szCs w:val="22"/>
          <w:lang w:val="en-US"/>
        </w:rPr>
        <w:t>This is distinguished from pulsed interference which requires an analysis based on pulse duration, peak power and duty cycle.</w:t>
      </w:r>
    </w:p>
  </w:footnote>
  <w:footnote w:id="5">
    <w:p w:rsidR="00071346" w:rsidRPr="00071346" w:rsidRDefault="00071346" w:rsidP="00071346">
      <w:pPr>
        <w:pStyle w:val="FootnoteText"/>
        <w:rPr>
          <w:lang w:val="en-US"/>
        </w:rPr>
      </w:pPr>
      <w:r>
        <w:rPr>
          <w:rStyle w:val="FootnoteReference"/>
        </w:rPr>
        <w:footnoteRef/>
      </w:r>
      <w:r w:rsidRPr="00071346">
        <w:rPr>
          <w:lang w:val="en-US"/>
        </w:rPr>
        <w:tab/>
        <w:t>RTCA, headquartered in the United States, and EUROCAE in Europe.</w:t>
      </w:r>
    </w:p>
  </w:footnote>
  <w:footnote w:id="6">
    <w:p w:rsidR="00071346" w:rsidRPr="00071346" w:rsidRDefault="00071346" w:rsidP="004F4738">
      <w:pPr>
        <w:pStyle w:val="FootnoteText"/>
        <w:rPr>
          <w:lang w:val="en-US"/>
        </w:rPr>
      </w:pPr>
      <w:r>
        <w:rPr>
          <w:rStyle w:val="FootnoteReference"/>
        </w:rPr>
        <w:footnoteRef/>
      </w:r>
      <w:r w:rsidRPr="00071346">
        <w:rPr>
          <w:lang w:val="en-US"/>
        </w:rPr>
        <w:tab/>
        <w:t>SC-159, “Assessment of radio frequency interference relevant to the GNSS L5/E5A frequency band”</w:t>
      </w:r>
      <w:r w:rsidR="004F4738">
        <w:rPr>
          <w:lang w:val="en-US"/>
        </w:rPr>
        <w:t>,</w:t>
      </w:r>
      <w:r w:rsidRPr="00071346">
        <w:rPr>
          <w:lang w:val="en-US"/>
        </w:rPr>
        <w:t xml:space="preserve"> RTCA Document No. RTCA/DO-292, Washington, DC, 29 July 2004, Section 2.6.2.3.</w:t>
      </w:r>
    </w:p>
  </w:footnote>
  <w:footnote w:id="7">
    <w:p w:rsidR="00071346" w:rsidRPr="00071346" w:rsidRDefault="00071346" w:rsidP="00071346">
      <w:pPr>
        <w:pStyle w:val="FootnoteText"/>
        <w:rPr>
          <w:lang w:val="en-US"/>
        </w:rPr>
      </w:pPr>
      <w:r>
        <w:rPr>
          <w:rStyle w:val="FootnoteReference"/>
        </w:rPr>
        <w:footnoteRef/>
      </w:r>
      <w:r w:rsidRPr="00071346">
        <w:rPr>
          <w:lang w:val="en-US"/>
        </w:rPr>
        <w:tab/>
      </w:r>
      <w:r w:rsidRPr="00071346">
        <w:rPr>
          <w:i/>
          <w:lang w:val="en-US"/>
        </w:rPr>
        <w:t xml:space="preserve">ibid </w:t>
      </w:r>
      <w:r w:rsidRPr="00071346">
        <w:rPr>
          <w:lang w:val="en-US"/>
        </w:rPr>
        <w:t>RTCA/DO-292, Appendix D.2.2.</w:t>
      </w:r>
    </w:p>
  </w:footnote>
  <w:footnote w:id="8">
    <w:p w:rsidR="00071346" w:rsidRPr="00071346" w:rsidRDefault="00071346" w:rsidP="00071346">
      <w:pPr>
        <w:pStyle w:val="FootnoteText"/>
        <w:rPr>
          <w:lang w:val="en-US"/>
        </w:rPr>
      </w:pPr>
      <w:r>
        <w:rPr>
          <w:rStyle w:val="FootnoteReference"/>
        </w:rPr>
        <w:footnoteRef/>
      </w:r>
      <w:r w:rsidRPr="00071346">
        <w:rPr>
          <w:lang w:val="en-US"/>
        </w:rPr>
        <w:tab/>
        <w:t>See Report ITU-R M.2220 for more details about this parameter.</w:t>
      </w:r>
    </w:p>
  </w:footnote>
  <w:footnote w:id="9">
    <w:p w:rsidR="00071346" w:rsidRPr="00071346" w:rsidRDefault="00071346" w:rsidP="00071346">
      <w:pPr>
        <w:pStyle w:val="FootnoteText"/>
        <w:rPr>
          <w:lang w:val="en-US"/>
        </w:rPr>
      </w:pPr>
      <w:r>
        <w:rPr>
          <w:rStyle w:val="FootnoteReference"/>
        </w:rPr>
        <w:footnoteRef/>
      </w:r>
      <w:r w:rsidRPr="00071346">
        <w:rPr>
          <w:lang w:val="en-US"/>
        </w:rPr>
        <w:tab/>
        <w:t xml:space="preserve">See Report ITU-R M.2220 for more details on </w:t>
      </w:r>
      <w:r w:rsidRPr="00071346">
        <w:rPr>
          <w:i/>
          <w:lang w:val="en-US"/>
        </w:rPr>
        <w:t>N</w:t>
      </w:r>
      <w:r w:rsidRPr="00071346">
        <w:rPr>
          <w:vertAlign w:val="subscript"/>
          <w:lang w:val="en-US"/>
        </w:rPr>
        <w:t>0</w:t>
      </w:r>
      <w:r w:rsidRPr="00071346">
        <w:rPr>
          <w:i/>
          <w:vertAlign w:val="subscript"/>
          <w:lang w:val="en-US"/>
        </w:rPr>
        <w:t>,EFF</w:t>
      </w:r>
      <w:r w:rsidRPr="00071346">
        <w:rPr>
          <w:lang w:val="en-US"/>
        </w:rPr>
        <w:t>.</w:t>
      </w:r>
    </w:p>
  </w:footnote>
  <w:footnote w:id="10">
    <w:p w:rsidR="00071346" w:rsidRDefault="00071346" w:rsidP="00071346">
      <w:pPr>
        <w:pStyle w:val="FootnoteText"/>
        <w:spacing w:before="0"/>
        <w:rPr>
          <w:lang w:val="en-US"/>
        </w:rPr>
      </w:pPr>
      <w:r>
        <w:rPr>
          <w:rStyle w:val="FootnoteReference"/>
        </w:rPr>
        <w:footnoteRef/>
      </w:r>
      <w:r w:rsidRPr="00071346">
        <w:rPr>
          <w:lang w:val="en-US"/>
        </w:rPr>
        <w:tab/>
        <w:t>The allowable degradation ratio is the upper limit for the RFI effect of new planned pulsed sources not in the baseline RFI condition. It is determined from consideration of the overall RFI, including the baseline parameters, that the receiver can tolerate and still meet required performance.</w:t>
      </w:r>
    </w:p>
  </w:footnote>
  <w:footnote w:id="11">
    <w:p w:rsidR="00071346" w:rsidRDefault="00071346" w:rsidP="00071346">
      <w:pPr>
        <w:pStyle w:val="FootnoteText"/>
        <w:rPr>
          <w:lang w:val="en-US"/>
        </w:rPr>
      </w:pPr>
      <w:r>
        <w:rPr>
          <w:rStyle w:val="FootnoteReference"/>
        </w:rPr>
        <w:footnoteRef/>
      </w:r>
      <w:r>
        <w:tab/>
      </w:r>
      <w:r>
        <w:rPr>
          <w:lang w:eastAsia="zh-CN"/>
        </w:rPr>
        <w:t>Satellite-based augmentation system (SBAS).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46" w:rsidRDefault="0007134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46" w:rsidRDefault="00071346" w:rsidP="00B033C8">
    <w:pPr>
      <w:ind w:right="360" w:firstLine="360"/>
    </w:pPr>
    <w:r>
      <w:rPr>
        <w:noProof/>
        <w:lang w:val="en-US" w:eastAsia="zh-CN"/>
      </w:rPr>
      <w:drawing>
        <wp:anchor distT="0" distB="0" distL="114300" distR="114300" simplePos="0" relativeHeight="251659264" behindDoc="1" locked="0" layoutInCell="1" allowOverlap="1" wp14:anchorId="3B5DAC70" wp14:editId="13AD06B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46" w:rsidRPr="00FC42AF" w:rsidRDefault="00071346"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E9189D" w:rsidRPr="00E9189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189D">
      <w:rPr>
        <w:b/>
        <w:bCs/>
        <w:noProof/>
      </w:rPr>
      <w:t>ITU-R  M.2030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46" w:rsidRPr="00FC42AF" w:rsidRDefault="0007134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00648">
      <w:rPr>
        <w:rStyle w:val="PageNumber"/>
        <w:b/>
        <w:bCs/>
        <w:noProof/>
      </w:rPr>
      <w:t>ii</w:t>
    </w:r>
    <w:r>
      <w:rPr>
        <w:rStyle w:val="PageNumber"/>
        <w:b/>
        <w:bCs/>
      </w:rPr>
      <w:fldChar w:fldCharType="end"/>
    </w:r>
    <w:r w:rsidRPr="00FC42AF">
      <w:tab/>
    </w:r>
    <w:fldSimple w:instr=" DOCPROPERTY &quot;Header&quot; \* MERGEFORMAT ">
      <w:r w:rsidR="00E9189D" w:rsidRPr="00E9189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00648">
      <w:rPr>
        <w:b/>
        <w:bCs/>
        <w:noProof/>
      </w:rPr>
      <w:t>ITU-R  M.2030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346" w:rsidRDefault="00071346">
    <w:r>
      <w:tab/>
    </w:r>
    <w:fldSimple w:instr=" DOCPROPERTY &quot;Header&quot; \* MERGEFORMAT ">
      <w:r w:rsidR="00E9189D" w:rsidRPr="00E918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9189D">
      <w:rPr>
        <w:b/>
        <w:bCs/>
        <w:noProof/>
      </w:rPr>
      <w:t>ITU-R  M.2030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0648">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9189D" w:rsidRPr="00E9189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00648">
      <w:rPr>
        <w:b/>
        <w:bCs/>
        <w:noProof/>
      </w:rPr>
      <w:t>ITU-R  M.2030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E9189D" w:rsidRPr="00E9189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00648">
      <w:rPr>
        <w:b/>
        <w:bCs/>
        <w:noProof/>
      </w:rPr>
      <w:t>ITU-R  M.2030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00648">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346"/>
    <w:rsid w:val="000506CF"/>
    <w:rsid w:val="00071346"/>
    <w:rsid w:val="000947E5"/>
    <w:rsid w:val="000D471B"/>
    <w:rsid w:val="00186BEB"/>
    <w:rsid w:val="00217EBF"/>
    <w:rsid w:val="00242AEE"/>
    <w:rsid w:val="002D76C4"/>
    <w:rsid w:val="0030360A"/>
    <w:rsid w:val="00400648"/>
    <w:rsid w:val="004F4738"/>
    <w:rsid w:val="0052529D"/>
    <w:rsid w:val="00603D3A"/>
    <w:rsid w:val="00607D68"/>
    <w:rsid w:val="007468DA"/>
    <w:rsid w:val="00882E71"/>
    <w:rsid w:val="0090605E"/>
    <w:rsid w:val="009D620C"/>
    <w:rsid w:val="009E00A8"/>
    <w:rsid w:val="009E243E"/>
    <w:rsid w:val="00A44EDF"/>
    <w:rsid w:val="00A6617B"/>
    <w:rsid w:val="00A74A18"/>
    <w:rsid w:val="00AB0DC8"/>
    <w:rsid w:val="00AC5D7D"/>
    <w:rsid w:val="00B11C88"/>
    <w:rsid w:val="00B44E24"/>
    <w:rsid w:val="00B5531E"/>
    <w:rsid w:val="00B87904"/>
    <w:rsid w:val="00D04753"/>
    <w:rsid w:val="00D46BCE"/>
    <w:rsid w:val="00DF4176"/>
    <w:rsid w:val="00E852E6"/>
    <w:rsid w:val="00E9189D"/>
    <w:rsid w:val="00EC673B"/>
    <w:rsid w:val="00F720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852E6"/>
    <w:pPr>
      <w:keepNext/>
      <w:keepLines/>
      <w:spacing w:before="480"/>
      <w:ind w:left="794" w:hanging="794"/>
      <w:outlineLvl w:val="0"/>
    </w:pPr>
    <w:rPr>
      <w:b/>
    </w:rPr>
  </w:style>
  <w:style w:type="paragraph" w:styleId="Heading2">
    <w:name w:val="heading 2"/>
    <w:basedOn w:val="Heading1"/>
    <w:next w:val="Normal"/>
    <w:qFormat/>
    <w:rsid w:val="00E852E6"/>
    <w:pPr>
      <w:spacing w:before="320"/>
      <w:outlineLvl w:val="1"/>
    </w:pPr>
  </w:style>
  <w:style w:type="paragraph" w:styleId="Heading3">
    <w:name w:val="heading 3"/>
    <w:basedOn w:val="Heading1"/>
    <w:next w:val="Normal"/>
    <w:qFormat/>
    <w:rsid w:val="00E852E6"/>
    <w:pPr>
      <w:spacing w:before="200"/>
      <w:outlineLvl w:val="2"/>
    </w:pPr>
  </w:style>
  <w:style w:type="paragraph" w:styleId="Heading4">
    <w:name w:val="heading 4"/>
    <w:basedOn w:val="Heading3"/>
    <w:next w:val="Normal"/>
    <w:qFormat/>
    <w:rsid w:val="00E852E6"/>
    <w:pPr>
      <w:tabs>
        <w:tab w:val="clear" w:pos="794"/>
        <w:tab w:val="left" w:pos="992"/>
      </w:tabs>
      <w:ind w:left="992" w:hanging="992"/>
      <w:outlineLvl w:val="3"/>
    </w:pPr>
  </w:style>
  <w:style w:type="paragraph" w:styleId="Heading5">
    <w:name w:val="heading 5"/>
    <w:basedOn w:val="Heading4"/>
    <w:next w:val="Normal"/>
    <w:qFormat/>
    <w:rsid w:val="00E852E6"/>
    <w:pPr>
      <w:outlineLvl w:val="4"/>
    </w:pPr>
  </w:style>
  <w:style w:type="paragraph" w:styleId="Heading6">
    <w:name w:val="heading 6"/>
    <w:basedOn w:val="Heading4"/>
    <w:next w:val="Normal"/>
    <w:qFormat/>
    <w:rsid w:val="00E852E6"/>
    <w:pPr>
      <w:tabs>
        <w:tab w:val="clear" w:pos="992"/>
        <w:tab w:val="clear" w:pos="1191"/>
      </w:tabs>
      <w:ind w:left="1588" w:hanging="1588"/>
      <w:outlineLvl w:val="5"/>
    </w:pPr>
  </w:style>
  <w:style w:type="paragraph" w:styleId="Heading7">
    <w:name w:val="heading 7"/>
    <w:basedOn w:val="Heading6"/>
    <w:next w:val="Normal"/>
    <w:qFormat/>
    <w:rsid w:val="00E852E6"/>
    <w:pPr>
      <w:outlineLvl w:val="6"/>
    </w:pPr>
  </w:style>
  <w:style w:type="paragraph" w:styleId="Heading8">
    <w:name w:val="heading 8"/>
    <w:basedOn w:val="Heading6"/>
    <w:next w:val="Normal"/>
    <w:qFormat/>
    <w:rsid w:val="00E852E6"/>
    <w:pPr>
      <w:outlineLvl w:val="7"/>
    </w:pPr>
  </w:style>
  <w:style w:type="paragraph" w:styleId="Heading9">
    <w:name w:val="heading 9"/>
    <w:basedOn w:val="Heading6"/>
    <w:next w:val="Normal"/>
    <w:qFormat/>
    <w:rsid w:val="00E852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2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2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2E6"/>
  </w:style>
  <w:style w:type="paragraph" w:customStyle="1" w:styleId="Headingb">
    <w:name w:val="Heading_b"/>
    <w:basedOn w:val="Heading3"/>
    <w:next w:val="Normal"/>
    <w:link w:val="HeadingbChar"/>
    <w:rsid w:val="00E852E6"/>
    <w:pPr>
      <w:spacing w:before="160"/>
      <w:ind w:left="0" w:firstLine="0"/>
      <w:outlineLvl w:val="9"/>
    </w:pPr>
  </w:style>
  <w:style w:type="paragraph" w:customStyle="1" w:styleId="Headingi">
    <w:name w:val="Heading_i"/>
    <w:basedOn w:val="Heading3"/>
    <w:next w:val="Normal"/>
    <w:rsid w:val="00E852E6"/>
    <w:pPr>
      <w:spacing w:before="160"/>
      <w:ind w:left="0" w:firstLine="0"/>
    </w:pPr>
    <w:rPr>
      <w:b w:val="0"/>
      <w:i/>
    </w:rPr>
  </w:style>
  <w:style w:type="character" w:customStyle="1" w:styleId="href">
    <w:name w:val="href"/>
    <w:basedOn w:val="DefaultParagraphFont"/>
    <w:rsid w:val="00E852E6"/>
  </w:style>
  <w:style w:type="paragraph" w:customStyle="1" w:styleId="enumlev1">
    <w:name w:val="enumlev1"/>
    <w:basedOn w:val="Normal"/>
    <w:rsid w:val="00E852E6"/>
    <w:pPr>
      <w:spacing w:before="80"/>
      <w:ind w:left="794" w:hanging="794"/>
    </w:pPr>
  </w:style>
  <w:style w:type="paragraph" w:customStyle="1" w:styleId="enumlev2">
    <w:name w:val="enumlev2"/>
    <w:basedOn w:val="enumlev1"/>
    <w:rsid w:val="00E852E6"/>
    <w:pPr>
      <w:ind w:left="1191" w:hanging="397"/>
    </w:pPr>
  </w:style>
  <w:style w:type="paragraph" w:customStyle="1" w:styleId="enumlev3">
    <w:name w:val="enumlev3"/>
    <w:basedOn w:val="enumlev2"/>
    <w:rsid w:val="00E852E6"/>
    <w:pPr>
      <w:ind w:left="1588"/>
    </w:pPr>
  </w:style>
  <w:style w:type="paragraph" w:customStyle="1" w:styleId="Normalaftertitle">
    <w:name w:val="Normal_after_title"/>
    <w:basedOn w:val="Normal"/>
    <w:next w:val="Normal"/>
    <w:link w:val="NormalaftertitleChar"/>
    <w:rsid w:val="00E852E6"/>
    <w:pPr>
      <w:spacing w:before="320"/>
    </w:pPr>
  </w:style>
  <w:style w:type="paragraph" w:customStyle="1" w:styleId="Note">
    <w:name w:val="Note"/>
    <w:basedOn w:val="Normal"/>
    <w:link w:val="NoteChar"/>
    <w:rsid w:val="00E852E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852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852E6"/>
    <w:pPr>
      <w:spacing w:before="240"/>
    </w:pPr>
    <w:rPr>
      <w:sz w:val="22"/>
      <w:lang w:val="es-ES_tradnl"/>
    </w:rPr>
  </w:style>
  <w:style w:type="paragraph" w:customStyle="1" w:styleId="Recref">
    <w:name w:val="Rec_ref"/>
    <w:basedOn w:val="Normal"/>
    <w:next w:val="Recdate"/>
    <w:rsid w:val="00E852E6"/>
    <w:pPr>
      <w:jc w:val="center"/>
    </w:pPr>
  </w:style>
  <w:style w:type="paragraph" w:customStyle="1" w:styleId="Recdate">
    <w:name w:val="Rec_date"/>
    <w:basedOn w:val="Recref"/>
    <w:next w:val="Normalaftertitle"/>
    <w:rsid w:val="00E852E6"/>
    <w:pPr>
      <w:jc w:val="right"/>
    </w:pPr>
  </w:style>
  <w:style w:type="paragraph" w:customStyle="1" w:styleId="AnnexNoTitle">
    <w:name w:val="Annex_NoTitle"/>
    <w:basedOn w:val="Normal"/>
    <w:next w:val="Normalaftertitle"/>
    <w:rsid w:val="00E852E6"/>
    <w:pPr>
      <w:keepNext/>
      <w:keepLines/>
      <w:spacing w:before="480" w:after="80"/>
      <w:jc w:val="center"/>
    </w:pPr>
    <w:rPr>
      <w:b/>
      <w:sz w:val="28"/>
    </w:rPr>
  </w:style>
  <w:style w:type="paragraph" w:customStyle="1" w:styleId="AppendixNoTitle">
    <w:name w:val="Appendix_NoTitle"/>
    <w:basedOn w:val="AnnexNoTitle"/>
    <w:next w:val="Normal"/>
    <w:rsid w:val="00E852E6"/>
  </w:style>
  <w:style w:type="paragraph" w:customStyle="1" w:styleId="Tablefin">
    <w:name w:val="Table_fin"/>
    <w:basedOn w:val="Normal"/>
    <w:next w:val="Normal"/>
    <w:rsid w:val="00E852E6"/>
    <w:pPr>
      <w:spacing w:before="0"/>
    </w:pPr>
    <w:rPr>
      <w:sz w:val="20"/>
      <w:lang w:val="en-GB"/>
    </w:rPr>
  </w:style>
  <w:style w:type="paragraph" w:customStyle="1" w:styleId="Tablehead">
    <w:name w:val="Table_head"/>
    <w:basedOn w:val="Normal"/>
    <w:next w:val="Normal"/>
    <w:link w:val="TableheadChar"/>
    <w:rsid w:val="00E852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852E6"/>
    <w:pPr>
      <w:keepNext/>
      <w:spacing w:before="360" w:after="120"/>
      <w:jc w:val="center"/>
    </w:pPr>
  </w:style>
  <w:style w:type="paragraph" w:customStyle="1" w:styleId="Tabletext">
    <w:name w:val="Table_text"/>
    <w:basedOn w:val="Normal"/>
    <w:link w:val="TabletextChar"/>
    <w:rsid w:val="00E85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852E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852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2E6"/>
    <w:pPr>
      <w:ind w:left="794"/>
    </w:pPr>
  </w:style>
  <w:style w:type="paragraph" w:customStyle="1" w:styleId="Figurelegend">
    <w:name w:val="Figure_legend"/>
    <w:basedOn w:val="Normal"/>
    <w:rsid w:val="00E852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2E6"/>
    <w:pPr>
      <w:keepNext/>
      <w:keepLines/>
      <w:spacing w:before="480" w:after="80"/>
      <w:jc w:val="center"/>
    </w:pPr>
    <w:rPr>
      <w:caps/>
      <w:sz w:val="18"/>
    </w:rPr>
  </w:style>
  <w:style w:type="paragraph" w:customStyle="1" w:styleId="tocpart">
    <w:name w:val="tocpart"/>
    <w:basedOn w:val="Normal"/>
    <w:rsid w:val="00E852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2E6"/>
    <w:pPr>
      <w:keepNext/>
      <w:keepLines/>
      <w:spacing w:before="480"/>
      <w:jc w:val="center"/>
    </w:pPr>
    <w:rPr>
      <w:sz w:val="28"/>
    </w:rPr>
  </w:style>
  <w:style w:type="paragraph" w:customStyle="1" w:styleId="Arttitle">
    <w:name w:val="Art_title"/>
    <w:basedOn w:val="Normal"/>
    <w:next w:val="Normalaftertitle"/>
    <w:rsid w:val="00E852E6"/>
    <w:pPr>
      <w:keepNext/>
      <w:keepLines/>
      <w:spacing w:before="240"/>
      <w:jc w:val="center"/>
    </w:pPr>
    <w:rPr>
      <w:b/>
      <w:sz w:val="28"/>
    </w:rPr>
  </w:style>
  <w:style w:type="paragraph" w:customStyle="1" w:styleId="Blanc">
    <w:name w:val="Blanc"/>
    <w:basedOn w:val="Normal"/>
    <w:next w:val="Tabletext"/>
    <w:rsid w:val="00E852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2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2E6"/>
    <w:pPr>
      <w:keepNext/>
      <w:keepLines/>
      <w:spacing w:before="160"/>
      <w:ind w:left="794"/>
    </w:pPr>
    <w:rPr>
      <w:i/>
    </w:rPr>
  </w:style>
  <w:style w:type="paragraph" w:customStyle="1" w:styleId="ChapNo">
    <w:name w:val="Chap_No"/>
    <w:basedOn w:val="ArtNo"/>
    <w:next w:val="Chaptitle"/>
    <w:rsid w:val="00E852E6"/>
    <w:rPr>
      <w:b/>
    </w:rPr>
  </w:style>
  <w:style w:type="paragraph" w:customStyle="1" w:styleId="Chaptitle">
    <w:name w:val="Chap_title"/>
    <w:basedOn w:val="Arttitle"/>
    <w:next w:val="Normalaftertitle"/>
    <w:rsid w:val="00E852E6"/>
  </w:style>
  <w:style w:type="character" w:styleId="FootnoteReference">
    <w:name w:val="footnote reference"/>
    <w:basedOn w:val="DefaultParagraphFont"/>
    <w:rsid w:val="00E852E6"/>
    <w:rPr>
      <w:position w:val="6"/>
      <w:sz w:val="18"/>
    </w:rPr>
  </w:style>
  <w:style w:type="paragraph" w:styleId="FootnoteText">
    <w:name w:val="footnote text"/>
    <w:basedOn w:val="Normal"/>
    <w:link w:val="FootnoteTextChar"/>
    <w:rsid w:val="00E852E6"/>
    <w:pPr>
      <w:keepLines/>
      <w:tabs>
        <w:tab w:val="left" w:pos="255"/>
      </w:tabs>
      <w:ind w:left="255" w:hanging="255"/>
    </w:pPr>
    <w:rPr>
      <w:sz w:val="22"/>
    </w:rPr>
  </w:style>
  <w:style w:type="paragraph" w:styleId="Index1">
    <w:name w:val="index 1"/>
    <w:basedOn w:val="Normal"/>
    <w:next w:val="Normal"/>
    <w:semiHidden/>
    <w:rsid w:val="00E852E6"/>
  </w:style>
  <w:style w:type="paragraph" w:styleId="Index2">
    <w:name w:val="index 2"/>
    <w:basedOn w:val="Normal"/>
    <w:next w:val="Normal"/>
    <w:semiHidden/>
    <w:rsid w:val="00E852E6"/>
    <w:pPr>
      <w:ind w:left="283"/>
    </w:pPr>
  </w:style>
  <w:style w:type="paragraph" w:styleId="Index3">
    <w:name w:val="index 3"/>
    <w:basedOn w:val="Normal"/>
    <w:next w:val="Normal"/>
    <w:semiHidden/>
    <w:rsid w:val="00E852E6"/>
    <w:pPr>
      <w:ind w:left="566"/>
    </w:pPr>
  </w:style>
  <w:style w:type="paragraph" w:styleId="IndexHeading">
    <w:name w:val="index heading"/>
    <w:basedOn w:val="Normal"/>
    <w:next w:val="Index1"/>
    <w:semiHidden/>
    <w:rsid w:val="00E852E6"/>
  </w:style>
  <w:style w:type="paragraph" w:customStyle="1" w:styleId="Line">
    <w:name w:val="Line"/>
    <w:basedOn w:val="Normal"/>
    <w:next w:val="Normal"/>
    <w:rsid w:val="00E852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2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2E6"/>
  </w:style>
  <w:style w:type="paragraph" w:customStyle="1" w:styleId="Partref">
    <w:name w:val="Part_ref"/>
    <w:basedOn w:val="Normal"/>
    <w:next w:val="Normal"/>
    <w:rsid w:val="00E852E6"/>
    <w:pPr>
      <w:keepNext/>
      <w:keepLines/>
      <w:spacing w:after="280"/>
      <w:jc w:val="center"/>
    </w:pPr>
  </w:style>
  <w:style w:type="paragraph" w:customStyle="1" w:styleId="Parttitle">
    <w:name w:val="Part_title"/>
    <w:basedOn w:val="Normal"/>
    <w:next w:val="Normalaftertitle"/>
    <w:rsid w:val="00E852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2E6"/>
  </w:style>
  <w:style w:type="paragraph" w:customStyle="1" w:styleId="QuestionNo">
    <w:name w:val="Question_No"/>
    <w:basedOn w:val="RecNo"/>
    <w:next w:val="Normal"/>
    <w:rsid w:val="00E852E6"/>
  </w:style>
  <w:style w:type="paragraph" w:customStyle="1" w:styleId="Questionref">
    <w:name w:val="Question_ref"/>
    <w:basedOn w:val="Recref"/>
    <w:next w:val="Questiondate"/>
    <w:rsid w:val="00E852E6"/>
  </w:style>
  <w:style w:type="paragraph" w:customStyle="1" w:styleId="Questiontitle">
    <w:name w:val="Question_title"/>
    <w:basedOn w:val="Normal"/>
    <w:next w:val="Questionref"/>
    <w:rsid w:val="00E852E6"/>
  </w:style>
  <w:style w:type="paragraph" w:customStyle="1" w:styleId="Reftext">
    <w:name w:val="Ref_text"/>
    <w:basedOn w:val="Normal"/>
    <w:rsid w:val="00E852E6"/>
    <w:pPr>
      <w:ind w:left="794" w:hanging="794"/>
    </w:pPr>
    <w:rPr>
      <w:sz w:val="22"/>
    </w:rPr>
  </w:style>
  <w:style w:type="paragraph" w:customStyle="1" w:styleId="Reftitle">
    <w:name w:val="Ref_title"/>
    <w:basedOn w:val="Normal"/>
    <w:next w:val="Reftext"/>
    <w:rsid w:val="00E852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2E6"/>
  </w:style>
  <w:style w:type="paragraph" w:customStyle="1" w:styleId="RepNo">
    <w:name w:val="Rep_No"/>
    <w:basedOn w:val="RecNo"/>
    <w:next w:val="Reptitle"/>
    <w:rsid w:val="00E852E6"/>
  </w:style>
  <w:style w:type="paragraph" w:customStyle="1" w:styleId="Repref">
    <w:name w:val="Rep_ref"/>
    <w:basedOn w:val="Recref"/>
    <w:next w:val="Repdate"/>
    <w:rsid w:val="00E852E6"/>
  </w:style>
  <w:style w:type="paragraph" w:customStyle="1" w:styleId="Reptitle">
    <w:name w:val="Rep_title"/>
    <w:basedOn w:val="Rectitle"/>
    <w:next w:val="Repref"/>
    <w:rsid w:val="00E852E6"/>
  </w:style>
  <w:style w:type="paragraph" w:customStyle="1" w:styleId="Resdate">
    <w:name w:val="Res_date"/>
    <w:basedOn w:val="Recdate"/>
    <w:next w:val="Normalaftertitle"/>
    <w:rsid w:val="00E852E6"/>
  </w:style>
  <w:style w:type="paragraph" w:customStyle="1" w:styleId="ResNo">
    <w:name w:val="Res_No"/>
    <w:basedOn w:val="RecNo"/>
    <w:next w:val="Restitle"/>
    <w:rsid w:val="00E852E6"/>
  </w:style>
  <w:style w:type="paragraph" w:customStyle="1" w:styleId="Resref">
    <w:name w:val="Res_ref"/>
    <w:basedOn w:val="Recref"/>
    <w:next w:val="Resdate"/>
    <w:rsid w:val="00E852E6"/>
  </w:style>
  <w:style w:type="paragraph" w:customStyle="1" w:styleId="Restitle">
    <w:name w:val="Res_title"/>
    <w:basedOn w:val="Normal"/>
    <w:next w:val="Resref"/>
    <w:rsid w:val="00E852E6"/>
    <w:pPr>
      <w:spacing w:before="240"/>
      <w:jc w:val="center"/>
    </w:pPr>
    <w:rPr>
      <w:b/>
      <w:sz w:val="28"/>
    </w:rPr>
  </w:style>
  <w:style w:type="paragraph" w:customStyle="1" w:styleId="SectionNo">
    <w:name w:val="Section_No"/>
    <w:basedOn w:val="Normal"/>
    <w:next w:val="Normal"/>
    <w:rsid w:val="00E852E6"/>
  </w:style>
  <w:style w:type="paragraph" w:customStyle="1" w:styleId="Sectiontitle">
    <w:name w:val="Section_title"/>
    <w:basedOn w:val="Normal"/>
    <w:next w:val="Normalaftertitle"/>
    <w:rsid w:val="00E852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2E6"/>
    <w:pPr>
      <w:tabs>
        <w:tab w:val="clear" w:pos="794"/>
        <w:tab w:val="clear" w:pos="1191"/>
        <w:tab w:val="clear" w:pos="1588"/>
        <w:tab w:val="clear" w:pos="1985"/>
        <w:tab w:val="right" w:pos="9611"/>
      </w:tabs>
    </w:pPr>
    <w:rPr>
      <w:i/>
    </w:rPr>
  </w:style>
  <w:style w:type="paragraph" w:styleId="TOC1">
    <w:name w:val="toc 1"/>
    <w:basedOn w:val="Normal"/>
    <w:semiHidden/>
    <w:rsid w:val="00E852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2E6"/>
    <w:pPr>
      <w:tabs>
        <w:tab w:val="clear" w:pos="567"/>
        <w:tab w:val="left" w:pos="1276"/>
      </w:tabs>
      <w:spacing w:before="160"/>
      <w:ind w:left="1276" w:hanging="709"/>
    </w:pPr>
  </w:style>
  <w:style w:type="paragraph" w:styleId="TOC3">
    <w:name w:val="toc 3"/>
    <w:basedOn w:val="TOC2"/>
    <w:semiHidden/>
    <w:rsid w:val="00E852E6"/>
    <w:pPr>
      <w:tabs>
        <w:tab w:val="clear" w:pos="1276"/>
        <w:tab w:val="left" w:pos="2155"/>
      </w:tabs>
      <w:ind w:left="2155" w:hanging="879"/>
    </w:pPr>
  </w:style>
  <w:style w:type="paragraph" w:styleId="TOC4">
    <w:name w:val="toc 4"/>
    <w:basedOn w:val="TOC3"/>
    <w:semiHidden/>
    <w:rsid w:val="00E852E6"/>
    <w:pPr>
      <w:tabs>
        <w:tab w:val="left" w:pos="3261"/>
      </w:tabs>
      <w:spacing w:before="80"/>
      <w:ind w:left="3261" w:hanging="993"/>
    </w:pPr>
  </w:style>
  <w:style w:type="paragraph" w:styleId="TOC5">
    <w:name w:val="toc 5"/>
    <w:basedOn w:val="TOC4"/>
    <w:semiHidden/>
    <w:rsid w:val="00E852E6"/>
  </w:style>
  <w:style w:type="paragraph" w:styleId="TOC6">
    <w:name w:val="toc 6"/>
    <w:basedOn w:val="TOC4"/>
    <w:semiHidden/>
    <w:rsid w:val="00E852E6"/>
  </w:style>
  <w:style w:type="paragraph" w:styleId="TOC7">
    <w:name w:val="toc 7"/>
    <w:basedOn w:val="TOC4"/>
    <w:semiHidden/>
    <w:rsid w:val="00E852E6"/>
  </w:style>
  <w:style w:type="paragraph" w:styleId="TOC8">
    <w:name w:val="toc 8"/>
    <w:basedOn w:val="TOC4"/>
    <w:semiHidden/>
    <w:rsid w:val="00E852E6"/>
  </w:style>
  <w:style w:type="paragraph" w:customStyle="1" w:styleId="Rectitle">
    <w:name w:val="Rec_title"/>
    <w:basedOn w:val="Normal"/>
    <w:next w:val="Recref"/>
    <w:link w:val="Rectitle0"/>
    <w:rsid w:val="00E852E6"/>
    <w:pPr>
      <w:keepNext/>
      <w:keepLines/>
      <w:spacing w:before="240"/>
      <w:jc w:val="center"/>
    </w:pPr>
    <w:rPr>
      <w:b/>
      <w:sz w:val="28"/>
    </w:rPr>
  </w:style>
  <w:style w:type="paragraph" w:customStyle="1" w:styleId="Annexref">
    <w:name w:val="Annex_ref"/>
    <w:basedOn w:val="Normal"/>
    <w:next w:val="Normalaftertitle"/>
    <w:rsid w:val="00E852E6"/>
    <w:pPr>
      <w:keepNext/>
      <w:keepLines/>
      <w:spacing w:after="280"/>
      <w:jc w:val="center"/>
    </w:pPr>
  </w:style>
  <w:style w:type="paragraph" w:customStyle="1" w:styleId="Appendixref">
    <w:name w:val="Appendix_ref"/>
    <w:basedOn w:val="Annexref"/>
    <w:next w:val="Normalaftertitle"/>
    <w:rsid w:val="00E852E6"/>
  </w:style>
  <w:style w:type="paragraph" w:customStyle="1" w:styleId="Figuretitle">
    <w:name w:val="Figure_title"/>
    <w:basedOn w:val="Normal"/>
    <w:next w:val="Figure"/>
    <w:rsid w:val="00E852E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852E6"/>
    <w:pPr>
      <w:keepNext/>
      <w:spacing w:before="0" w:after="120"/>
      <w:jc w:val="center"/>
    </w:pPr>
    <w:rPr>
      <w:b/>
    </w:rPr>
  </w:style>
  <w:style w:type="paragraph" w:customStyle="1" w:styleId="Summary">
    <w:name w:val="Summary"/>
    <w:basedOn w:val="Normal"/>
    <w:next w:val="Normalaftertitle"/>
    <w:autoRedefine/>
    <w:rsid w:val="00E852E6"/>
    <w:pPr>
      <w:spacing w:after="480"/>
    </w:pPr>
    <w:rPr>
      <w:sz w:val="22"/>
      <w:lang w:val="es-ES_tradnl"/>
    </w:rPr>
  </w:style>
  <w:style w:type="paragraph" w:customStyle="1" w:styleId="TableLegendNote">
    <w:name w:val="Table_Legend_Note"/>
    <w:basedOn w:val="Tablelegend"/>
    <w:next w:val="Tablelegend"/>
    <w:rsid w:val="00E852E6"/>
    <w:pPr>
      <w:ind w:left="-85" w:firstLine="0"/>
    </w:pPr>
    <w:rPr>
      <w:lang w:val="en-US"/>
    </w:rPr>
  </w:style>
  <w:style w:type="paragraph" w:customStyle="1" w:styleId="Figure">
    <w:name w:val="Figure"/>
    <w:basedOn w:val="FigureNo"/>
    <w:next w:val="Normal"/>
    <w:rsid w:val="00E852E6"/>
    <w:pPr>
      <w:keepNext w:val="0"/>
      <w:spacing w:before="0" w:after="240"/>
    </w:pPr>
  </w:style>
  <w:style w:type="character" w:customStyle="1" w:styleId="Heading1Char">
    <w:name w:val="Heading 1 Char"/>
    <w:basedOn w:val="DefaultParagraphFont"/>
    <w:link w:val="Heading1"/>
    <w:rsid w:val="00071346"/>
    <w:rPr>
      <w:b/>
      <w:sz w:val="24"/>
      <w:lang w:val="fr-FR" w:eastAsia="en-US"/>
    </w:rPr>
  </w:style>
  <w:style w:type="character" w:customStyle="1" w:styleId="TableheadChar">
    <w:name w:val="Table_head Char"/>
    <w:basedOn w:val="DefaultParagraphFont"/>
    <w:link w:val="Tablehead"/>
    <w:locked/>
    <w:rsid w:val="00071346"/>
    <w:rPr>
      <w:b/>
      <w:sz w:val="22"/>
      <w:lang w:val="fr-FR" w:eastAsia="en-US"/>
    </w:rPr>
  </w:style>
  <w:style w:type="character" w:customStyle="1" w:styleId="TabletextChar">
    <w:name w:val="Table_text Char"/>
    <w:basedOn w:val="DefaultParagraphFont"/>
    <w:link w:val="Tabletext"/>
    <w:locked/>
    <w:rsid w:val="00071346"/>
    <w:rPr>
      <w:sz w:val="22"/>
      <w:lang w:val="fr-FR" w:eastAsia="en-US"/>
    </w:rPr>
  </w:style>
  <w:style w:type="character" w:styleId="Hyperlink">
    <w:name w:val="Hyperlink"/>
    <w:basedOn w:val="DefaultParagraphFont"/>
    <w:rsid w:val="00071346"/>
    <w:rPr>
      <w:color w:val="0000FF"/>
      <w:u w:val="single"/>
    </w:rPr>
  </w:style>
  <w:style w:type="character" w:customStyle="1" w:styleId="FootnoteTextChar">
    <w:name w:val="Footnote Text Char"/>
    <w:basedOn w:val="DefaultParagraphFont"/>
    <w:link w:val="FootnoteText"/>
    <w:rsid w:val="00071346"/>
    <w:rPr>
      <w:sz w:val="22"/>
      <w:lang w:val="fr-FR" w:eastAsia="en-US"/>
    </w:rPr>
  </w:style>
  <w:style w:type="character" w:customStyle="1" w:styleId="EquationlegendChar">
    <w:name w:val="Equation_legend Char"/>
    <w:link w:val="Equationlegend"/>
    <w:locked/>
    <w:rsid w:val="00071346"/>
    <w:rPr>
      <w:sz w:val="24"/>
      <w:lang w:eastAsia="en-US"/>
    </w:rPr>
  </w:style>
  <w:style w:type="character" w:customStyle="1" w:styleId="Rectitle0">
    <w:name w:val="Rec_title Знак"/>
    <w:link w:val="Rectitle"/>
    <w:locked/>
    <w:rsid w:val="00071346"/>
    <w:rPr>
      <w:b/>
      <w:sz w:val="28"/>
      <w:lang w:val="fr-FR" w:eastAsia="en-US"/>
    </w:rPr>
  </w:style>
  <w:style w:type="character" w:customStyle="1" w:styleId="Tabletitle0">
    <w:name w:val="Table_title Знак"/>
    <w:link w:val="Tabletitle"/>
    <w:locked/>
    <w:rsid w:val="00071346"/>
    <w:rPr>
      <w:b/>
      <w:sz w:val="24"/>
      <w:lang w:val="fr-FR" w:eastAsia="en-US"/>
    </w:rPr>
  </w:style>
  <w:style w:type="character" w:customStyle="1" w:styleId="TableNo0">
    <w:name w:val="Table_No Знак"/>
    <w:link w:val="TableNo"/>
    <w:locked/>
    <w:rsid w:val="00071346"/>
    <w:rPr>
      <w:sz w:val="24"/>
      <w:lang w:val="fr-FR" w:eastAsia="en-US"/>
    </w:rPr>
  </w:style>
  <w:style w:type="character" w:customStyle="1" w:styleId="EquationChar">
    <w:name w:val="Equation Char"/>
    <w:link w:val="Equation"/>
    <w:locked/>
    <w:rsid w:val="00071346"/>
    <w:rPr>
      <w:sz w:val="24"/>
      <w:lang w:val="fr-FR" w:eastAsia="en-US"/>
    </w:rPr>
  </w:style>
  <w:style w:type="character" w:customStyle="1" w:styleId="HeadingbChar">
    <w:name w:val="Heading_b Char"/>
    <w:link w:val="Headingb"/>
    <w:locked/>
    <w:rsid w:val="00071346"/>
    <w:rPr>
      <w:b/>
      <w:sz w:val="24"/>
      <w:lang w:val="fr-FR" w:eastAsia="en-US"/>
    </w:rPr>
  </w:style>
  <w:style w:type="character" w:customStyle="1" w:styleId="NormalaftertitleChar">
    <w:name w:val="Normal_after_title Char"/>
    <w:link w:val="Normalaftertitle"/>
    <w:locked/>
    <w:rsid w:val="00071346"/>
    <w:rPr>
      <w:sz w:val="24"/>
      <w:lang w:val="fr-FR" w:eastAsia="en-US"/>
    </w:rPr>
  </w:style>
  <w:style w:type="character" w:customStyle="1" w:styleId="CallChar">
    <w:name w:val="Call Char"/>
    <w:link w:val="Call"/>
    <w:locked/>
    <w:rsid w:val="00071346"/>
    <w:rPr>
      <w:i/>
      <w:sz w:val="24"/>
      <w:lang w:val="fr-FR" w:eastAsia="en-US"/>
    </w:rPr>
  </w:style>
  <w:style w:type="character" w:customStyle="1" w:styleId="NoteChar">
    <w:name w:val="Note Char"/>
    <w:link w:val="Note"/>
    <w:locked/>
    <w:rsid w:val="00071346"/>
    <w:rPr>
      <w:sz w:val="22"/>
      <w:lang w:val="fr-FR" w:eastAsia="en-US"/>
    </w:rPr>
  </w:style>
  <w:style w:type="character" w:customStyle="1" w:styleId="RecNoChar">
    <w:name w:val="Rec_No Char"/>
    <w:link w:val="RecNo"/>
    <w:locked/>
    <w:rsid w:val="00071346"/>
    <w:rPr>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5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852E6"/>
    <w:pPr>
      <w:keepNext/>
      <w:keepLines/>
      <w:spacing w:before="480"/>
      <w:ind w:left="794" w:hanging="794"/>
      <w:outlineLvl w:val="0"/>
    </w:pPr>
    <w:rPr>
      <w:b/>
    </w:rPr>
  </w:style>
  <w:style w:type="paragraph" w:styleId="Heading2">
    <w:name w:val="heading 2"/>
    <w:basedOn w:val="Heading1"/>
    <w:next w:val="Normal"/>
    <w:qFormat/>
    <w:rsid w:val="00E852E6"/>
    <w:pPr>
      <w:spacing w:before="320"/>
      <w:outlineLvl w:val="1"/>
    </w:pPr>
  </w:style>
  <w:style w:type="paragraph" w:styleId="Heading3">
    <w:name w:val="heading 3"/>
    <w:basedOn w:val="Heading1"/>
    <w:next w:val="Normal"/>
    <w:qFormat/>
    <w:rsid w:val="00E852E6"/>
    <w:pPr>
      <w:spacing w:before="200"/>
      <w:outlineLvl w:val="2"/>
    </w:pPr>
  </w:style>
  <w:style w:type="paragraph" w:styleId="Heading4">
    <w:name w:val="heading 4"/>
    <w:basedOn w:val="Heading3"/>
    <w:next w:val="Normal"/>
    <w:qFormat/>
    <w:rsid w:val="00E852E6"/>
    <w:pPr>
      <w:tabs>
        <w:tab w:val="clear" w:pos="794"/>
        <w:tab w:val="left" w:pos="992"/>
      </w:tabs>
      <w:ind w:left="992" w:hanging="992"/>
      <w:outlineLvl w:val="3"/>
    </w:pPr>
  </w:style>
  <w:style w:type="paragraph" w:styleId="Heading5">
    <w:name w:val="heading 5"/>
    <w:basedOn w:val="Heading4"/>
    <w:next w:val="Normal"/>
    <w:qFormat/>
    <w:rsid w:val="00E852E6"/>
    <w:pPr>
      <w:outlineLvl w:val="4"/>
    </w:pPr>
  </w:style>
  <w:style w:type="paragraph" w:styleId="Heading6">
    <w:name w:val="heading 6"/>
    <w:basedOn w:val="Heading4"/>
    <w:next w:val="Normal"/>
    <w:qFormat/>
    <w:rsid w:val="00E852E6"/>
    <w:pPr>
      <w:tabs>
        <w:tab w:val="clear" w:pos="992"/>
        <w:tab w:val="clear" w:pos="1191"/>
      </w:tabs>
      <w:ind w:left="1588" w:hanging="1588"/>
      <w:outlineLvl w:val="5"/>
    </w:pPr>
  </w:style>
  <w:style w:type="paragraph" w:styleId="Heading7">
    <w:name w:val="heading 7"/>
    <w:basedOn w:val="Heading6"/>
    <w:next w:val="Normal"/>
    <w:qFormat/>
    <w:rsid w:val="00E852E6"/>
    <w:pPr>
      <w:outlineLvl w:val="6"/>
    </w:pPr>
  </w:style>
  <w:style w:type="paragraph" w:styleId="Heading8">
    <w:name w:val="heading 8"/>
    <w:basedOn w:val="Heading6"/>
    <w:next w:val="Normal"/>
    <w:qFormat/>
    <w:rsid w:val="00E852E6"/>
    <w:pPr>
      <w:outlineLvl w:val="7"/>
    </w:pPr>
  </w:style>
  <w:style w:type="paragraph" w:styleId="Heading9">
    <w:name w:val="heading 9"/>
    <w:basedOn w:val="Heading6"/>
    <w:next w:val="Normal"/>
    <w:qFormat/>
    <w:rsid w:val="00E852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2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2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2E6"/>
  </w:style>
  <w:style w:type="paragraph" w:customStyle="1" w:styleId="Headingb">
    <w:name w:val="Heading_b"/>
    <w:basedOn w:val="Heading3"/>
    <w:next w:val="Normal"/>
    <w:link w:val="HeadingbChar"/>
    <w:rsid w:val="00E852E6"/>
    <w:pPr>
      <w:spacing w:before="160"/>
      <w:ind w:left="0" w:firstLine="0"/>
      <w:outlineLvl w:val="9"/>
    </w:pPr>
  </w:style>
  <w:style w:type="paragraph" w:customStyle="1" w:styleId="Headingi">
    <w:name w:val="Heading_i"/>
    <w:basedOn w:val="Heading3"/>
    <w:next w:val="Normal"/>
    <w:rsid w:val="00E852E6"/>
    <w:pPr>
      <w:spacing w:before="160"/>
      <w:ind w:left="0" w:firstLine="0"/>
    </w:pPr>
    <w:rPr>
      <w:b w:val="0"/>
      <w:i/>
    </w:rPr>
  </w:style>
  <w:style w:type="character" w:customStyle="1" w:styleId="href">
    <w:name w:val="href"/>
    <w:basedOn w:val="DefaultParagraphFont"/>
    <w:rsid w:val="00E852E6"/>
  </w:style>
  <w:style w:type="paragraph" w:customStyle="1" w:styleId="enumlev1">
    <w:name w:val="enumlev1"/>
    <w:basedOn w:val="Normal"/>
    <w:rsid w:val="00E852E6"/>
    <w:pPr>
      <w:spacing w:before="80"/>
      <w:ind w:left="794" w:hanging="794"/>
    </w:pPr>
  </w:style>
  <w:style w:type="paragraph" w:customStyle="1" w:styleId="enumlev2">
    <w:name w:val="enumlev2"/>
    <w:basedOn w:val="enumlev1"/>
    <w:rsid w:val="00E852E6"/>
    <w:pPr>
      <w:ind w:left="1191" w:hanging="397"/>
    </w:pPr>
  </w:style>
  <w:style w:type="paragraph" w:customStyle="1" w:styleId="enumlev3">
    <w:name w:val="enumlev3"/>
    <w:basedOn w:val="enumlev2"/>
    <w:rsid w:val="00E852E6"/>
    <w:pPr>
      <w:ind w:left="1588"/>
    </w:pPr>
  </w:style>
  <w:style w:type="paragraph" w:customStyle="1" w:styleId="Normalaftertitle">
    <w:name w:val="Normal_after_title"/>
    <w:basedOn w:val="Normal"/>
    <w:next w:val="Normal"/>
    <w:link w:val="NormalaftertitleChar"/>
    <w:rsid w:val="00E852E6"/>
    <w:pPr>
      <w:spacing w:before="320"/>
    </w:pPr>
  </w:style>
  <w:style w:type="paragraph" w:customStyle="1" w:styleId="Note">
    <w:name w:val="Note"/>
    <w:basedOn w:val="Normal"/>
    <w:link w:val="NoteChar"/>
    <w:rsid w:val="00E852E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E852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852E6"/>
    <w:pPr>
      <w:spacing w:before="240"/>
    </w:pPr>
    <w:rPr>
      <w:sz w:val="22"/>
      <w:lang w:val="es-ES_tradnl"/>
    </w:rPr>
  </w:style>
  <w:style w:type="paragraph" w:customStyle="1" w:styleId="Recref">
    <w:name w:val="Rec_ref"/>
    <w:basedOn w:val="Normal"/>
    <w:next w:val="Recdate"/>
    <w:rsid w:val="00E852E6"/>
    <w:pPr>
      <w:jc w:val="center"/>
    </w:pPr>
  </w:style>
  <w:style w:type="paragraph" w:customStyle="1" w:styleId="Recdate">
    <w:name w:val="Rec_date"/>
    <w:basedOn w:val="Recref"/>
    <w:next w:val="Normalaftertitle"/>
    <w:rsid w:val="00E852E6"/>
    <w:pPr>
      <w:jc w:val="right"/>
    </w:pPr>
  </w:style>
  <w:style w:type="paragraph" w:customStyle="1" w:styleId="AnnexNoTitle">
    <w:name w:val="Annex_NoTitle"/>
    <w:basedOn w:val="Normal"/>
    <w:next w:val="Normalaftertitle"/>
    <w:rsid w:val="00E852E6"/>
    <w:pPr>
      <w:keepNext/>
      <w:keepLines/>
      <w:spacing w:before="480" w:after="80"/>
      <w:jc w:val="center"/>
    </w:pPr>
    <w:rPr>
      <w:b/>
      <w:sz w:val="28"/>
    </w:rPr>
  </w:style>
  <w:style w:type="paragraph" w:customStyle="1" w:styleId="AppendixNoTitle">
    <w:name w:val="Appendix_NoTitle"/>
    <w:basedOn w:val="AnnexNoTitle"/>
    <w:next w:val="Normal"/>
    <w:rsid w:val="00E852E6"/>
  </w:style>
  <w:style w:type="paragraph" w:customStyle="1" w:styleId="Tablefin">
    <w:name w:val="Table_fin"/>
    <w:basedOn w:val="Normal"/>
    <w:next w:val="Normal"/>
    <w:rsid w:val="00E852E6"/>
    <w:pPr>
      <w:spacing w:before="0"/>
    </w:pPr>
    <w:rPr>
      <w:sz w:val="20"/>
      <w:lang w:val="en-GB"/>
    </w:rPr>
  </w:style>
  <w:style w:type="paragraph" w:customStyle="1" w:styleId="Tablehead">
    <w:name w:val="Table_head"/>
    <w:basedOn w:val="Normal"/>
    <w:next w:val="Normal"/>
    <w:link w:val="TableheadChar"/>
    <w:rsid w:val="00E852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852E6"/>
    <w:pPr>
      <w:keepNext/>
      <w:spacing w:before="360" w:after="120"/>
      <w:jc w:val="center"/>
    </w:pPr>
  </w:style>
  <w:style w:type="paragraph" w:customStyle="1" w:styleId="Tabletext">
    <w:name w:val="Table_text"/>
    <w:basedOn w:val="Normal"/>
    <w:link w:val="TabletextChar"/>
    <w:rsid w:val="00E85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852E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852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2E6"/>
    <w:pPr>
      <w:ind w:left="794"/>
    </w:pPr>
  </w:style>
  <w:style w:type="paragraph" w:customStyle="1" w:styleId="Figurelegend">
    <w:name w:val="Figure_legend"/>
    <w:basedOn w:val="Normal"/>
    <w:rsid w:val="00E852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2E6"/>
    <w:pPr>
      <w:keepNext/>
      <w:keepLines/>
      <w:spacing w:before="480" w:after="80"/>
      <w:jc w:val="center"/>
    </w:pPr>
    <w:rPr>
      <w:caps/>
      <w:sz w:val="18"/>
    </w:rPr>
  </w:style>
  <w:style w:type="paragraph" w:customStyle="1" w:styleId="tocpart">
    <w:name w:val="tocpart"/>
    <w:basedOn w:val="Normal"/>
    <w:rsid w:val="00E852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2E6"/>
    <w:pPr>
      <w:keepNext/>
      <w:keepLines/>
      <w:spacing w:before="480"/>
      <w:jc w:val="center"/>
    </w:pPr>
    <w:rPr>
      <w:sz w:val="28"/>
    </w:rPr>
  </w:style>
  <w:style w:type="paragraph" w:customStyle="1" w:styleId="Arttitle">
    <w:name w:val="Art_title"/>
    <w:basedOn w:val="Normal"/>
    <w:next w:val="Normalaftertitle"/>
    <w:rsid w:val="00E852E6"/>
    <w:pPr>
      <w:keepNext/>
      <w:keepLines/>
      <w:spacing w:before="240"/>
      <w:jc w:val="center"/>
    </w:pPr>
    <w:rPr>
      <w:b/>
      <w:sz w:val="28"/>
    </w:rPr>
  </w:style>
  <w:style w:type="paragraph" w:customStyle="1" w:styleId="Blanc">
    <w:name w:val="Blanc"/>
    <w:basedOn w:val="Normal"/>
    <w:next w:val="Tabletext"/>
    <w:rsid w:val="00E852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2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2E6"/>
    <w:pPr>
      <w:keepNext/>
      <w:keepLines/>
      <w:spacing w:before="160"/>
      <w:ind w:left="794"/>
    </w:pPr>
    <w:rPr>
      <w:i/>
    </w:rPr>
  </w:style>
  <w:style w:type="paragraph" w:customStyle="1" w:styleId="ChapNo">
    <w:name w:val="Chap_No"/>
    <w:basedOn w:val="ArtNo"/>
    <w:next w:val="Chaptitle"/>
    <w:rsid w:val="00E852E6"/>
    <w:rPr>
      <w:b/>
    </w:rPr>
  </w:style>
  <w:style w:type="paragraph" w:customStyle="1" w:styleId="Chaptitle">
    <w:name w:val="Chap_title"/>
    <w:basedOn w:val="Arttitle"/>
    <w:next w:val="Normalaftertitle"/>
    <w:rsid w:val="00E852E6"/>
  </w:style>
  <w:style w:type="character" w:styleId="FootnoteReference">
    <w:name w:val="footnote reference"/>
    <w:basedOn w:val="DefaultParagraphFont"/>
    <w:rsid w:val="00E852E6"/>
    <w:rPr>
      <w:position w:val="6"/>
      <w:sz w:val="18"/>
    </w:rPr>
  </w:style>
  <w:style w:type="paragraph" w:styleId="FootnoteText">
    <w:name w:val="footnote text"/>
    <w:basedOn w:val="Normal"/>
    <w:link w:val="FootnoteTextChar"/>
    <w:rsid w:val="00E852E6"/>
    <w:pPr>
      <w:keepLines/>
      <w:tabs>
        <w:tab w:val="left" w:pos="255"/>
      </w:tabs>
      <w:ind w:left="255" w:hanging="255"/>
    </w:pPr>
    <w:rPr>
      <w:sz w:val="22"/>
    </w:rPr>
  </w:style>
  <w:style w:type="paragraph" w:styleId="Index1">
    <w:name w:val="index 1"/>
    <w:basedOn w:val="Normal"/>
    <w:next w:val="Normal"/>
    <w:semiHidden/>
    <w:rsid w:val="00E852E6"/>
  </w:style>
  <w:style w:type="paragraph" w:styleId="Index2">
    <w:name w:val="index 2"/>
    <w:basedOn w:val="Normal"/>
    <w:next w:val="Normal"/>
    <w:semiHidden/>
    <w:rsid w:val="00E852E6"/>
    <w:pPr>
      <w:ind w:left="283"/>
    </w:pPr>
  </w:style>
  <w:style w:type="paragraph" w:styleId="Index3">
    <w:name w:val="index 3"/>
    <w:basedOn w:val="Normal"/>
    <w:next w:val="Normal"/>
    <w:semiHidden/>
    <w:rsid w:val="00E852E6"/>
    <w:pPr>
      <w:ind w:left="566"/>
    </w:pPr>
  </w:style>
  <w:style w:type="paragraph" w:styleId="IndexHeading">
    <w:name w:val="index heading"/>
    <w:basedOn w:val="Normal"/>
    <w:next w:val="Index1"/>
    <w:semiHidden/>
    <w:rsid w:val="00E852E6"/>
  </w:style>
  <w:style w:type="paragraph" w:customStyle="1" w:styleId="Line">
    <w:name w:val="Line"/>
    <w:basedOn w:val="Normal"/>
    <w:next w:val="Normal"/>
    <w:rsid w:val="00E852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2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2E6"/>
  </w:style>
  <w:style w:type="paragraph" w:customStyle="1" w:styleId="Partref">
    <w:name w:val="Part_ref"/>
    <w:basedOn w:val="Normal"/>
    <w:next w:val="Normal"/>
    <w:rsid w:val="00E852E6"/>
    <w:pPr>
      <w:keepNext/>
      <w:keepLines/>
      <w:spacing w:after="280"/>
      <w:jc w:val="center"/>
    </w:pPr>
  </w:style>
  <w:style w:type="paragraph" w:customStyle="1" w:styleId="Parttitle">
    <w:name w:val="Part_title"/>
    <w:basedOn w:val="Normal"/>
    <w:next w:val="Normalaftertitle"/>
    <w:rsid w:val="00E852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2E6"/>
  </w:style>
  <w:style w:type="paragraph" w:customStyle="1" w:styleId="QuestionNo">
    <w:name w:val="Question_No"/>
    <w:basedOn w:val="RecNo"/>
    <w:next w:val="Normal"/>
    <w:rsid w:val="00E852E6"/>
  </w:style>
  <w:style w:type="paragraph" w:customStyle="1" w:styleId="Questionref">
    <w:name w:val="Question_ref"/>
    <w:basedOn w:val="Recref"/>
    <w:next w:val="Questiondate"/>
    <w:rsid w:val="00E852E6"/>
  </w:style>
  <w:style w:type="paragraph" w:customStyle="1" w:styleId="Questiontitle">
    <w:name w:val="Question_title"/>
    <w:basedOn w:val="Normal"/>
    <w:next w:val="Questionref"/>
    <w:rsid w:val="00E852E6"/>
  </w:style>
  <w:style w:type="paragraph" w:customStyle="1" w:styleId="Reftext">
    <w:name w:val="Ref_text"/>
    <w:basedOn w:val="Normal"/>
    <w:rsid w:val="00E852E6"/>
    <w:pPr>
      <w:ind w:left="794" w:hanging="794"/>
    </w:pPr>
    <w:rPr>
      <w:sz w:val="22"/>
    </w:rPr>
  </w:style>
  <w:style w:type="paragraph" w:customStyle="1" w:styleId="Reftitle">
    <w:name w:val="Ref_title"/>
    <w:basedOn w:val="Normal"/>
    <w:next w:val="Reftext"/>
    <w:rsid w:val="00E852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2E6"/>
  </w:style>
  <w:style w:type="paragraph" w:customStyle="1" w:styleId="RepNo">
    <w:name w:val="Rep_No"/>
    <w:basedOn w:val="RecNo"/>
    <w:next w:val="Reptitle"/>
    <w:rsid w:val="00E852E6"/>
  </w:style>
  <w:style w:type="paragraph" w:customStyle="1" w:styleId="Repref">
    <w:name w:val="Rep_ref"/>
    <w:basedOn w:val="Recref"/>
    <w:next w:val="Repdate"/>
    <w:rsid w:val="00E852E6"/>
  </w:style>
  <w:style w:type="paragraph" w:customStyle="1" w:styleId="Reptitle">
    <w:name w:val="Rep_title"/>
    <w:basedOn w:val="Rectitle"/>
    <w:next w:val="Repref"/>
    <w:rsid w:val="00E852E6"/>
  </w:style>
  <w:style w:type="paragraph" w:customStyle="1" w:styleId="Resdate">
    <w:name w:val="Res_date"/>
    <w:basedOn w:val="Recdate"/>
    <w:next w:val="Normalaftertitle"/>
    <w:rsid w:val="00E852E6"/>
  </w:style>
  <w:style w:type="paragraph" w:customStyle="1" w:styleId="ResNo">
    <w:name w:val="Res_No"/>
    <w:basedOn w:val="RecNo"/>
    <w:next w:val="Restitle"/>
    <w:rsid w:val="00E852E6"/>
  </w:style>
  <w:style w:type="paragraph" w:customStyle="1" w:styleId="Resref">
    <w:name w:val="Res_ref"/>
    <w:basedOn w:val="Recref"/>
    <w:next w:val="Resdate"/>
    <w:rsid w:val="00E852E6"/>
  </w:style>
  <w:style w:type="paragraph" w:customStyle="1" w:styleId="Restitle">
    <w:name w:val="Res_title"/>
    <w:basedOn w:val="Normal"/>
    <w:next w:val="Resref"/>
    <w:rsid w:val="00E852E6"/>
    <w:pPr>
      <w:spacing w:before="240"/>
      <w:jc w:val="center"/>
    </w:pPr>
    <w:rPr>
      <w:b/>
      <w:sz w:val="28"/>
    </w:rPr>
  </w:style>
  <w:style w:type="paragraph" w:customStyle="1" w:styleId="SectionNo">
    <w:name w:val="Section_No"/>
    <w:basedOn w:val="Normal"/>
    <w:next w:val="Normal"/>
    <w:rsid w:val="00E852E6"/>
  </w:style>
  <w:style w:type="paragraph" w:customStyle="1" w:styleId="Sectiontitle">
    <w:name w:val="Section_title"/>
    <w:basedOn w:val="Normal"/>
    <w:next w:val="Normalaftertitle"/>
    <w:rsid w:val="00E852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2E6"/>
    <w:pPr>
      <w:tabs>
        <w:tab w:val="clear" w:pos="794"/>
        <w:tab w:val="clear" w:pos="1191"/>
        <w:tab w:val="clear" w:pos="1588"/>
        <w:tab w:val="clear" w:pos="1985"/>
        <w:tab w:val="right" w:pos="9611"/>
      </w:tabs>
    </w:pPr>
    <w:rPr>
      <w:i/>
    </w:rPr>
  </w:style>
  <w:style w:type="paragraph" w:styleId="TOC1">
    <w:name w:val="toc 1"/>
    <w:basedOn w:val="Normal"/>
    <w:semiHidden/>
    <w:rsid w:val="00E852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2E6"/>
    <w:pPr>
      <w:tabs>
        <w:tab w:val="clear" w:pos="567"/>
        <w:tab w:val="left" w:pos="1276"/>
      </w:tabs>
      <w:spacing w:before="160"/>
      <w:ind w:left="1276" w:hanging="709"/>
    </w:pPr>
  </w:style>
  <w:style w:type="paragraph" w:styleId="TOC3">
    <w:name w:val="toc 3"/>
    <w:basedOn w:val="TOC2"/>
    <w:semiHidden/>
    <w:rsid w:val="00E852E6"/>
    <w:pPr>
      <w:tabs>
        <w:tab w:val="clear" w:pos="1276"/>
        <w:tab w:val="left" w:pos="2155"/>
      </w:tabs>
      <w:ind w:left="2155" w:hanging="879"/>
    </w:pPr>
  </w:style>
  <w:style w:type="paragraph" w:styleId="TOC4">
    <w:name w:val="toc 4"/>
    <w:basedOn w:val="TOC3"/>
    <w:semiHidden/>
    <w:rsid w:val="00E852E6"/>
    <w:pPr>
      <w:tabs>
        <w:tab w:val="left" w:pos="3261"/>
      </w:tabs>
      <w:spacing w:before="80"/>
      <w:ind w:left="3261" w:hanging="993"/>
    </w:pPr>
  </w:style>
  <w:style w:type="paragraph" w:styleId="TOC5">
    <w:name w:val="toc 5"/>
    <w:basedOn w:val="TOC4"/>
    <w:semiHidden/>
    <w:rsid w:val="00E852E6"/>
  </w:style>
  <w:style w:type="paragraph" w:styleId="TOC6">
    <w:name w:val="toc 6"/>
    <w:basedOn w:val="TOC4"/>
    <w:semiHidden/>
    <w:rsid w:val="00E852E6"/>
  </w:style>
  <w:style w:type="paragraph" w:styleId="TOC7">
    <w:name w:val="toc 7"/>
    <w:basedOn w:val="TOC4"/>
    <w:semiHidden/>
    <w:rsid w:val="00E852E6"/>
  </w:style>
  <w:style w:type="paragraph" w:styleId="TOC8">
    <w:name w:val="toc 8"/>
    <w:basedOn w:val="TOC4"/>
    <w:semiHidden/>
    <w:rsid w:val="00E852E6"/>
  </w:style>
  <w:style w:type="paragraph" w:customStyle="1" w:styleId="Rectitle">
    <w:name w:val="Rec_title"/>
    <w:basedOn w:val="Normal"/>
    <w:next w:val="Recref"/>
    <w:link w:val="Rectitle0"/>
    <w:rsid w:val="00E852E6"/>
    <w:pPr>
      <w:keepNext/>
      <w:keepLines/>
      <w:spacing w:before="240"/>
      <w:jc w:val="center"/>
    </w:pPr>
    <w:rPr>
      <w:b/>
      <w:sz w:val="28"/>
    </w:rPr>
  </w:style>
  <w:style w:type="paragraph" w:customStyle="1" w:styleId="Annexref">
    <w:name w:val="Annex_ref"/>
    <w:basedOn w:val="Normal"/>
    <w:next w:val="Normalaftertitle"/>
    <w:rsid w:val="00E852E6"/>
    <w:pPr>
      <w:keepNext/>
      <w:keepLines/>
      <w:spacing w:after="280"/>
      <w:jc w:val="center"/>
    </w:pPr>
  </w:style>
  <w:style w:type="paragraph" w:customStyle="1" w:styleId="Appendixref">
    <w:name w:val="Appendix_ref"/>
    <w:basedOn w:val="Annexref"/>
    <w:next w:val="Normalaftertitle"/>
    <w:rsid w:val="00E852E6"/>
  </w:style>
  <w:style w:type="paragraph" w:customStyle="1" w:styleId="Figuretitle">
    <w:name w:val="Figure_title"/>
    <w:basedOn w:val="Normal"/>
    <w:next w:val="Figure"/>
    <w:rsid w:val="00E852E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852E6"/>
    <w:pPr>
      <w:keepNext/>
      <w:spacing w:before="0" w:after="120"/>
      <w:jc w:val="center"/>
    </w:pPr>
    <w:rPr>
      <w:b/>
    </w:rPr>
  </w:style>
  <w:style w:type="paragraph" w:customStyle="1" w:styleId="Summary">
    <w:name w:val="Summary"/>
    <w:basedOn w:val="Normal"/>
    <w:next w:val="Normalaftertitle"/>
    <w:autoRedefine/>
    <w:rsid w:val="00E852E6"/>
    <w:pPr>
      <w:spacing w:after="480"/>
    </w:pPr>
    <w:rPr>
      <w:sz w:val="22"/>
      <w:lang w:val="es-ES_tradnl"/>
    </w:rPr>
  </w:style>
  <w:style w:type="paragraph" w:customStyle="1" w:styleId="TableLegendNote">
    <w:name w:val="Table_Legend_Note"/>
    <w:basedOn w:val="Tablelegend"/>
    <w:next w:val="Tablelegend"/>
    <w:rsid w:val="00E852E6"/>
    <w:pPr>
      <w:ind w:left="-85" w:firstLine="0"/>
    </w:pPr>
    <w:rPr>
      <w:lang w:val="en-US"/>
    </w:rPr>
  </w:style>
  <w:style w:type="paragraph" w:customStyle="1" w:styleId="Figure">
    <w:name w:val="Figure"/>
    <w:basedOn w:val="FigureNo"/>
    <w:next w:val="Normal"/>
    <w:rsid w:val="00E852E6"/>
    <w:pPr>
      <w:keepNext w:val="0"/>
      <w:spacing w:before="0" w:after="240"/>
    </w:pPr>
  </w:style>
  <w:style w:type="character" w:customStyle="1" w:styleId="Heading1Char">
    <w:name w:val="Heading 1 Char"/>
    <w:basedOn w:val="DefaultParagraphFont"/>
    <w:link w:val="Heading1"/>
    <w:rsid w:val="00071346"/>
    <w:rPr>
      <w:b/>
      <w:sz w:val="24"/>
      <w:lang w:val="fr-FR" w:eastAsia="en-US"/>
    </w:rPr>
  </w:style>
  <w:style w:type="character" w:customStyle="1" w:styleId="TableheadChar">
    <w:name w:val="Table_head Char"/>
    <w:basedOn w:val="DefaultParagraphFont"/>
    <w:link w:val="Tablehead"/>
    <w:locked/>
    <w:rsid w:val="00071346"/>
    <w:rPr>
      <w:b/>
      <w:sz w:val="22"/>
      <w:lang w:val="fr-FR" w:eastAsia="en-US"/>
    </w:rPr>
  </w:style>
  <w:style w:type="character" w:customStyle="1" w:styleId="TabletextChar">
    <w:name w:val="Table_text Char"/>
    <w:basedOn w:val="DefaultParagraphFont"/>
    <w:link w:val="Tabletext"/>
    <w:locked/>
    <w:rsid w:val="00071346"/>
    <w:rPr>
      <w:sz w:val="22"/>
      <w:lang w:val="fr-FR" w:eastAsia="en-US"/>
    </w:rPr>
  </w:style>
  <w:style w:type="character" w:styleId="Hyperlink">
    <w:name w:val="Hyperlink"/>
    <w:basedOn w:val="DefaultParagraphFont"/>
    <w:rsid w:val="00071346"/>
    <w:rPr>
      <w:color w:val="0000FF"/>
      <w:u w:val="single"/>
    </w:rPr>
  </w:style>
  <w:style w:type="character" w:customStyle="1" w:styleId="FootnoteTextChar">
    <w:name w:val="Footnote Text Char"/>
    <w:basedOn w:val="DefaultParagraphFont"/>
    <w:link w:val="FootnoteText"/>
    <w:rsid w:val="00071346"/>
    <w:rPr>
      <w:sz w:val="22"/>
      <w:lang w:val="fr-FR" w:eastAsia="en-US"/>
    </w:rPr>
  </w:style>
  <w:style w:type="character" w:customStyle="1" w:styleId="EquationlegendChar">
    <w:name w:val="Equation_legend Char"/>
    <w:link w:val="Equationlegend"/>
    <w:locked/>
    <w:rsid w:val="00071346"/>
    <w:rPr>
      <w:sz w:val="24"/>
      <w:lang w:eastAsia="en-US"/>
    </w:rPr>
  </w:style>
  <w:style w:type="character" w:customStyle="1" w:styleId="Rectitle0">
    <w:name w:val="Rec_title Знак"/>
    <w:link w:val="Rectitle"/>
    <w:locked/>
    <w:rsid w:val="00071346"/>
    <w:rPr>
      <w:b/>
      <w:sz w:val="28"/>
      <w:lang w:val="fr-FR" w:eastAsia="en-US"/>
    </w:rPr>
  </w:style>
  <w:style w:type="character" w:customStyle="1" w:styleId="Tabletitle0">
    <w:name w:val="Table_title Знак"/>
    <w:link w:val="Tabletitle"/>
    <w:locked/>
    <w:rsid w:val="00071346"/>
    <w:rPr>
      <w:b/>
      <w:sz w:val="24"/>
      <w:lang w:val="fr-FR" w:eastAsia="en-US"/>
    </w:rPr>
  </w:style>
  <w:style w:type="character" w:customStyle="1" w:styleId="TableNo0">
    <w:name w:val="Table_No Знак"/>
    <w:link w:val="TableNo"/>
    <w:locked/>
    <w:rsid w:val="00071346"/>
    <w:rPr>
      <w:sz w:val="24"/>
      <w:lang w:val="fr-FR" w:eastAsia="en-US"/>
    </w:rPr>
  </w:style>
  <w:style w:type="character" w:customStyle="1" w:styleId="EquationChar">
    <w:name w:val="Equation Char"/>
    <w:link w:val="Equation"/>
    <w:locked/>
    <w:rsid w:val="00071346"/>
    <w:rPr>
      <w:sz w:val="24"/>
      <w:lang w:val="fr-FR" w:eastAsia="en-US"/>
    </w:rPr>
  </w:style>
  <w:style w:type="character" w:customStyle="1" w:styleId="HeadingbChar">
    <w:name w:val="Heading_b Char"/>
    <w:link w:val="Headingb"/>
    <w:locked/>
    <w:rsid w:val="00071346"/>
    <w:rPr>
      <w:b/>
      <w:sz w:val="24"/>
      <w:lang w:val="fr-FR" w:eastAsia="en-US"/>
    </w:rPr>
  </w:style>
  <w:style w:type="character" w:customStyle="1" w:styleId="NormalaftertitleChar">
    <w:name w:val="Normal_after_title Char"/>
    <w:link w:val="Normalaftertitle"/>
    <w:locked/>
    <w:rsid w:val="00071346"/>
    <w:rPr>
      <w:sz w:val="24"/>
      <w:lang w:val="fr-FR" w:eastAsia="en-US"/>
    </w:rPr>
  </w:style>
  <w:style w:type="character" w:customStyle="1" w:styleId="CallChar">
    <w:name w:val="Call Char"/>
    <w:link w:val="Call"/>
    <w:locked/>
    <w:rsid w:val="00071346"/>
    <w:rPr>
      <w:i/>
      <w:sz w:val="24"/>
      <w:lang w:val="fr-FR" w:eastAsia="en-US"/>
    </w:rPr>
  </w:style>
  <w:style w:type="character" w:customStyle="1" w:styleId="NoteChar">
    <w:name w:val="Note Char"/>
    <w:link w:val="Note"/>
    <w:locked/>
    <w:rsid w:val="00071346"/>
    <w:rPr>
      <w:sz w:val="22"/>
      <w:lang w:val="fr-FR" w:eastAsia="en-US"/>
    </w:rPr>
  </w:style>
  <w:style w:type="character" w:customStyle="1" w:styleId="RecNoChar">
    <w:name w:val="Rec_No Char"/>
    <w:link w:val="RecNo"/>
    <w:locked/>
    <w:rsid w:val="00071346"/>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5.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oleObject" Target="embeddings/oleObject17.bin"/><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0.wmf"/><Relationship Id="rId44"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14</Pages>
  <Words>4661</Words>
  <Characters>25696</Characters>
  <Application>Microsoft Office Word</Application>
  <DocSecurity>0</DocSecurity>
  <Lines>597</Lines>
  <Paragraphs>322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M.2030 - Evaluation method for pulsed interference from relevant radio sources other than in the radionavigation-satellite service to the radionavigation-satellite  service systems and networks operating in the 1 164-1 215 MHz, 1 215-1 300 MHz and 1 559-1 610 MHz frequency bands</dc:title>
  <dc:subject>M Series = Mobile, radiodetermination, amateur and related satellite services</dc:subject>
  <dc:creator>ITU Radiocommunication Bureau (BR)</dc:creator>
  <cp:keywords>M,2030</cp:keywords>
  <dc:description>Soby, 19.12.2012, ITU51007790</dc:description>
  <cp:lastModifiedBy>Soby, Michele</cp:lastModifiedBy>
  <cp:revision>25</cp:revision>
  <cp:lastPrinted>2005-02-10T15:54:00Z</cp:lastPrinted>
  <dcterms:created xsi:type="dcterms:W3CDTF">2012-11-02T06:37:00Z</dcterms:created>
  <dcterms:modified xsi:type="dcterms:W3CDTF">2012-12-19T07:04:00Z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19. décembre 2012</vt:lpwstr>
  </property>
</Properties>
</file>