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2D3F" w:rsidRPr="0010490F" w:rsidRDefault="00D72D3F" w:rsidP="00042292"/>
    <w:p w:rsidR="00D72D3F" w:rsidRPr="0010490F" w:rsidRDefault="00D72D3F" w:rsidP="00042292"/>
    <w:p w:rsidR="00D72D3F" w:rsidRPr="0010490F" w:rsidRDefault="00D72D3F" w:rsidP="00042292"/>
    <w:p w:rsidR="00D72D3F" w:rsidRPr="0010490F" w:rsidRDefault="00D72D3F" w:rsidP="00042292"/>
    <w:p w:rsidR="00D72D3F" w:rsidRPr="0010490F" w:rsidRDefault="00D72D3F" w:rsidP="00042292"/>
    <w:p w:rsidR="00D72D3F" w:rsidRPr="0010490F" w:rsidRDefault="00D72D3F" w:rsidP="00042292"/>
    <w:p w:rsidR="00D72D3F" w:rsidRPr="0010490F" w:rsidRDefault="00D72D3F" w:rsidP="00042292"/>
    <w:p w:rsidR="00D72D3F" w:rsidRPr="0010490F" w:rsidRDefault="00D72D3F" w:rsidP="00042292"/>
    <w:p w:rsidR="00D72D3F" w:rsidRPr="0010490F" w:rsidRDefault="00D72D3F" w:rsidP="00042292"/>
    <w:p w:rsidR="00D72D3F" w:rsidRPr="0010490F" w:rsidRDefault="00D72D3F" w:rsidP="00042292"/>
    <w:tbl>
      <w:tblPr>
        <w:tblW w:w="10089" w:type="dxa"/>
        <w:tblLook w:val="01E0" w:firstRow="1" w:lastRow="1" w:firstColumn="1" w:lastColumn="1" w:noHBand="0" w:noVBand="0"/>
      </w:tblPr>
      <w:tblGrid>
        <w:gridCol w:w="10089"/>
      </w:tblGrid>
      <w:tr w:rsidR="00D72D3F" w:rsidRPr="0010490F" w:rsidTr="00A07AEB">
        <w:tc>
          <w:tcPr>
            <w:tcW w:w="10089" w:type="dxa"/>
          </w:tcPr>
          <w:p w:rsidR="00D72D3F" w:rsidRPr="0010490F" w:rsidRDefault="00D72D3F" w:rsidP="00A07AEB">
            <w:pPr>
              <w:spacing w:before="380" w:line="280" w:lineRule="exact"/>
              <w:jc w:val="right"/>
              <w:rPr>
                <w:rFonts w:ascii="Tahoma" w:hAnsi="Tahoma" w:cs="Tahoma"/>
                <w:b/>
                <w:bCs/>
                <w:iCs/>
                <w:color w:val="243285"/>
                <w:sz w:val="32"/>
                <w:szCs w:val="32"/>
              </w:rPr>
            </w:pPr>
          </w:p>
          <w:p w:rsidR="00D72D3F" w:rsidRPr="0010490F" w:rsidRDefault="00D72D3F" w:rsidP="00A07AEB">
            <w:pPr>
              <w:spacing w:before="380" w:line="280" w:lineRule="exact"/>
              <w:jc w:val="right"/>
              <w:rPr>
                <w:rFonts w:ascii="Tahoma" w:hAnsi="Tahoma" w:cs="Tahoma"/>
                <w:b/>
                <w:bCs/>
                <w:iCs/>
                <w:color w:val="243285"/>
                <w:sz w:val="36"/>
                <w:szCs w:val="36"/>
              </w:rPr>
            </w:pPr>
            <w:r w:rsidRPr="0010490F">
              <w:rPr>
                <w:rFonts w:ascii="Tahoma" w:hAnsi="Tahoma" w:cs="Tahoma"/>
                <w:b/>
                <w:bCs/>
                <w:iCs/>
                <w:color w:val="243285"/>
                <w:sz w:val="36"/>
                <w:szCs w:val="36"/>
              </w:rPr>
              <w:t>Recomendación  UIT-R  M.2015</w:t>
            </w:r>
          </w:p>
          <w:p w:rsidR="00D72D3F" w:rsidRPr="0010490F" w:rsidRDefault="00D72D3F" w:rsidP="00A07AEB">
            <w:pPr>
              <w:spacing w:before="80" w:line="280" w:lineRule="exact"/>
              <w:jc w:val="right"/>
              <w:rPr>
                <w:rFonts w:ascii="Tahoma" w:hAnsi="Tahoma" w:cs="Tahoma"/>
                <w:b/>
                <w:bCs/>
                <w:iCs/>
                <w:color w:val="243285"/>
                <w:szCs w:val="24"/>
              </w:rPr>
            </w:pPr>
            <w:r w:rsidRPr="0010490F">
              <w:rPr>
                <w:rFonts w:ascii="Tahoma" w:hAnsi="Tahoma" w:cs="Tahoma"/>
                <w:b/>
                <w:bCs/>
                <w:iCs/>
                <w:color w:val="243285"/>
                <w:szCs w:val="24"/>
              </w:rPr>
              <w:t>(03/2012)</w:t>
            </w:r>
          </w:p>
        </w:tc>
      </w:tr>
      <w:tr w:rsidR="00D72D3F" w:rsidRPr="0010490F" w:rsidTr="00A07AEB">
        <w:tc>
          <w:tcPr>
            <w:tcW w:w="10089" w:type="dxa"/>
          </w:tcPr>
          <w:p w:rsidR="00D72D3F" w:rsidRPr="0010490F" w:rsidRDefault="00D72D3F" w:rsidP="00A07AEB">
            <w:pPr>
              <w:spacing w:before="80" w:line="500" w:lineRule="exact"/>
              <w:jc w:val="right"/>
              <w:rPr>
                <w:rFonts w:ascii="Tahoma" w:hAnsi="Tahoma" w:cs="Tahoma"/>
                <w:b/>
                <w:bCs/>
                <w:iCs/>
                <w:color w:val="243285"/>
                <w:sz w:val="44"/>
                <w:szCs w:val="44"/>
              </w:rPr>
            </w:pPr>
          </w:p>
          <w:p w:rsidR="00D72D3F" w:rsidRPr="0010490F" w:rsidRDefault="0022192F" w:rsidP="00FA3280">
            <w:pPr>
              <w:spacing w:before="80" w:line="500" w:lineRule="exact"/>
              <w:jc w:val="right"/>
              <w:rPr>
                <w:rFonts w:ascii="Tahoma" w:hAnsi="Tahoma" w:cs="Tahoma"/>
                <w:b/>
                <w:bCs/>
                <w:iCs/>
                <w:color w:val="243285"/>
                <w:sz w:val="44"/>
                <w:szCs w:val="44"/>
              </w:rPr>
            </w:pPr>
            <w:r w:rsidRPr="0010490F">
              <w:rPr>
                <w:rFonts w:ascii="Tahoma" w:hAnsi="Tahoma" w:cs="Tahoma"/>
                <w:b/>
                <w:bCs/>
                <w:iCs/>
                <w:color w:val="243285"/>
                <w:sz w:val="44"/>
                <w:szCs w:val="44"/>
              </w:rPr>
              <w:t>Disposición de frecuencias para sistemas</w:t>
            </w:r>
            <w:r w:rsidRPr="0010490F">
              <w:rPr>
                <w:rFonts w:ascii="Tahoma" w:hAnsi="Tahoma" w:cs="Tahoma"/>
                <w:b/>
                <w:bCs/>
                <w:iCs/>
                <w:color w:val="243285"/>
                <w:sz w:val="44"/>
                <w:szCs w:val="44"/>
              </w:rPr>
              <w:br/>
              <w:t>de radiocomunicaciones</w:t>
            </w:r>
            <w:r w:rsidR="00537CE1" w:rsidRPr="0010490F">
              <w:rPr>
                <w:rFonts w:ascii="Tahoma" w:hAnsi="Tahoma" w:cs="Tahoma"/>
                <w:b/>
                <w:bCs/>
                <w:iCs/>
                <w:color w:val="243285"/>
                <w:sz w:val="44"/>
                <w:szCs w:val="44"/>
              </w:rPr>
              <w:t xml:space="preserve"> </w:t>
            </w:r>
            <w:r w:rsidRPr="0010490F">
              <w:rPr>
                <w:rFonts w:ascii="Tahoma" w:hAnsi="Tahoma" w:cs="Tahoma"/>
                <w:b/>
                <w:bCs/>
                <w:iCs/>
                <w:color w:val="243285"/>
                <w:sz w:val="44"/>
                <w:szCs w:val="44"/>
              </w:rPr>
              <w:t>de protección</w:t>
            </w:r>
            <w:r w:rsidRPr="0010490F">
              <w:rPr>
                <w:rFonts w:ascii="Tahoma" w:hAnsi="Tahoma" w:cs="Tahoma"/>
                <w:b/>
                <w:bCs/>
                <w:iCs/>
                <w:color w:val="243285"/>
                <w:sz w:val="44"/>
                <w:szCs w:val="44"/>
              </w:rPr>
              <w:br/>
              <w:t>pública</w:t>
            </w:r>
            <w:r w:rsidR="00537CE1" w:rsidRPr="0010490F">
              <w:rPr>
                <w:rFonts w:ascii="Tahoma" w:hAnsi="Tahoma" w:cs="Tahoma"/>
                <w:b/>
                <w:bCs/>
                <w:iCs/>
                <w:color w:val="243285"/>
                <w:sz w:val="44"/>
                <w:szCs w:val="44"/>
              </w:rPr>
              <w:t xml:space="preserve"> </w:t>
            </w:r>
            <w:r w:rsidRPr="0010490F">
              <w:rPr>
                <w:rFonts w:ascii="Tahoma" w:hAnsi="Tahoma" w:cs="Tahoma"/>
                <w:b/>
                <w:bCs/>
                <w:iCs/>
                <w:color w:val="243285"/>
                <w:sz w:val="44"/>
                <w:szCs w:val="44"/>
              </w:rPr>
              <w:t>y operaciones de socorro</w:t>
            </w:r>
            <w:r w:rsidR="00FA3280" w:rsidRPr="0010490F">
              <w:rPr>
                <w:rFonts w:ascii="Tahoma" w:hAnsi="Tahoma" w:cs="Tahoma"/>
                <w:b/>
                <w:bCs/>
                <w:iCs/>
                <w:color w:val="243285"/>
                <w:sz w:val="44"/>
                <w:szCs w:val="44"/>
              </w:rPr>
              <w:t xml:space="preserve"> en</w:t>
            </w:r>
            <w:r w:rsidRPr="0010490F">
              <w:rPr>
                <w:rFonts w:ascii="Tahoma" w:hAnsi="Tahoma" w:cs="Tahoma"/>
                <w:b/>
                <w:bCs/>
                <w:iCs/>
                <w:color w:val="243285"/>
                <w:sz w:val="44"/>
                <w:szCs w:val="44"/>
              </w:rPr>
              <w:br/>
              <w:t>caso</w:t>
            </w:r>
            <w:r w:rsidRPr="0010490F">
              <w:t xml:space="preserve"> </w:t>
            </w:r>
            <w:r w:rsidRPr="0010490F">
              <w:rPr>
                <w:rFonts w:ascii="Tahoma" w:hAnsi="Tahoma" w:cs="Tahoma"/>
                <w:b/>
                <w:bCs/>
                <w:iCs/>
                <w:color w:val="243285"/>
                <w:sz w:val="44"/>
                <w:szCs w:val="44"/>
              </w:rPr>
              <w:t>de catástrofe en las bandas</w:t>
            </w:r>
            <w:r w:rsidR="00FA3280" w:rsidRPr="0010490F">
              <w:rPr>
                <w:rFonts w:ascii="Tahoma" w:hAnsi="Tahoma" w:cs="Tahoma"/>
                <w:b/>
                <w:bCs/>
                <w:iCs/>
                <w:color w:val="243285"/>
                <w:sz w:val="44"/>
                <w:szCs w:val="44"/>
              </w:rPr>
              <w:t xml:space="preserve"> de</w:t>
            </w:r>
            <w:r w:rsidRPr="0010490F">
              <w:rPr>
                <w:rFonts w:ascii="Tahoma" w:hAnsi="Tahoma" w:cs="Tahoma"/>
                <w:b/>
                <w:bCs/>
                <w:iCs/>
                <w:color w:val="243285"/>
                <w:sz w:val="44"/>
                <w:szCs w:val="44"/>
              </w:rPr>
              <w:br/>
              <w:t>ondas decimétricas con arreglo</w:t>
            </w:r>
            <w:r w:rsidR="00FA3280" w:rsidRPr="0010490F">
              <w:rPr>
                <w:rFonts w:ascii="Tahoma" w:hAnsi="Tahoma" w:cs="Tahoma"/>
                <w:b/>
                <w:bCs/>
                <w:iCs/>
                <w:color w:val="243285"/>
                <w:sz w:val="44"/>
                <w:szCs w:val="44"/>
              </w:rPr>
              <w:t xml:space="preserve"> a</w:t>
            </w:r>
            <w:r w:rsidR="00FA3280" w:rsidRPr="0010490F">
              <w:rPr>
                <w:rFonts w:ascii="Tahoma" w:hAnsi="Tahoma" w:cs="Tahoma"/>
                <w:b/>
                <w:bCs/>
                <w:iCs/>
                <w:color w:val="243285"/>
                <w:sz w:val="44"/>
                <w:szCs w:val="44"/>
              </w:rPr>
              <w:br/>
            </w:r>
            <w:r w:rsidRPr="0010490F">
              <w:rPr>
                <w:rFonts w:ascii="Tahoma" w:hAnsi="Tahoma" w:cs="Tahoma"/>
                <w:b/>
                <w:bCs/>
                <w:iCs/>
                <w:color w:val="243285"/>
                <w:sz w:val="44"/>
                <w:szCs w:val="44"/>
              </w:rPr>
              <w:t xml:space="preserve">la Resolución 646 (Rev.CMR-12) </w:t>
            </w:r>
          </w:p>
          <w:p w:rsidR="00D72D3F" w:rsidRPr="0010490F" w:rsidRDefault="00D72D3F" w:rsidP="00A07AEB">
            <w:pPr>
              <w:spacing w:before="80" w:line="500" w:lineRule="exact"/>
              <w:jc w:val="right"/>
              <w:rPr>
                <w:rFonts w:ascii="Tahoma" w:hAnsi="Tahoma" w:cs="Tahoma"/>
                <w:b/>
                <w:bCs/>
                <w:iCs/>
                <w:color w:val="243285"/>
                <w:sz w:val="44"/>
                <w:szCs w:val="44"/>
              </w:rPr>
            </w:pPr>
          </w:p>
        </w:tc>
      </w:tr>
      <w:tr w:rsidR="00D72D3F" w:rsidRPr="0010490F" w:rsidTr="00A07AEB">
        <w:tc>
          <w:tcPr>
            <w:tcW w:w="10089" w:type="dxa"/>
          </w:tcPr>
          <w:p w:rsidR="00D72D3F" w:rsidRPr="0010490F" w:rsidRDefault="00D72D3F" w:rsidP="00A07AEB">
            <w:pPr>
              <w:spacing w:before="80" w:line="280" w:lineRule="exact"/>
              <w:ind w:right="640"/>
              <w:rPr>
                <w:rFonts w:ascii="Tahoma" w:hAnsi="Tahoma" w:cs="Tahoma"/>
                <w:b/>
                <w:bCs/>
                <w:iCs/>
                <w:color w:val="243285"/>
                <w:sz w:val="32"/>
                <w:szCs w:val="32"/>
              </w:rPr>
            </w:pPr>
          </w:p>
          <w:p w:rsidR="00D72D3F" w:rsidRPr="0010490F" w:rsidRDefault="00D72D3F" w:rsidP="00A07AEB">
            <w:pPr>
              <w:spacing w:before="80" w:line="280" w:lineRule="exact"/>
              <w:ind w:right="640"/>
              <w:rPr>
                <w:rFonts w:ascii="Tahoma" w:hAnsi="Tahoma" w:cs="Tahoma"/>
                <w:b/>
                <w:bCs/>
                <w:iCs/>
                <w:color w:val="243285"/>
                <w:sz w:val="32"/>
                <w:szCs w:val="32"/>
              </w:rPr>
            </w:pPr>
          </w:p>
          <w:p w:rsidR="00D72D3F" w:rsidRPr="0010490F" w:rsidRDefault="00D72D3F" w:rsidP="00A07AEB">
            <w:pPr>
              <w:spacing w:before="80" w:after="180" w:line="360" w:lineRule="exact"/>
              <w:ind w:right="720"/>
              <w:rPr>
                <w:rFonts w:ascii="Tahoma" w:hAnsi="Tahoma" w:cs="Tahoma"/>
                <w:b/>
                <w:bCs/>
                <w:iCs/>
                <w:color w:val="243285"/>
                <w:sz w:val="36"/>
                <w:szCs w:val="36"/>
              </w:rPr>
            </w:pPr>
          </w:p>
          <w:p w:rsidR="00D72D3F" w:rsidRPr="0010490F" w:rsidRDefault="00D72D3F" w:rsidP="00A07AEB">
            <w:pPr>
              <w:spacing w:before="80" w:after="180" w:line="360" w:lineRule="exact"/>
              <w:jc w:val="right"/>
              <w:rPr>
                <w:rFonts w:ascii="Tahoma" w:hAnsi="Tahoma" w:cs="Tahoma"/>
                <w:b/>
                <w:bCs/>
                <w:iCs/>
                <w:color w:val="243285"/>
                <w:sz w:val="36"/>
                <w:szCs w:val="36"/>
              </w:rPr>
            </w:pPr>
            <w:r w:rsidRPr="0010490F">
              <w:rPr>
                <w:rFonts w:ascii="Tahoma" w:hAnsi="Tahoma" w:cs="Tahoma"/>
                <w:b/>
                <w:bCs/>
                <w:iCs/>
                <w:color w:val="243285"/>
                <w:sz w:val="36"/>
                <w:szCs w:val="36"/>
              </w:rPr>
              <w:t>Serie M</w:t>
            </w:r>
          </w:p>
          <w:p w:rsidR="00D72D3F" w:rsidRPr="0010490F" w:rsidRDefault="00D72D3F" w:rsidP="00A07AEB">
            <w:pPr>
              <w:spacing w:before="80" w:line="420" w:lineRule="exact"/>
              <w:jc w:val="right"/>
              <w:rPr>
                <w:rFonts w:ascii="Tahoma" w:hAnsi="Tahoma" w:cs="Tahoma"/>
                <w:b/>
                <w:bCs/>
                <w:iCs/>
                <w:color w:val="243285"/>
                <w:sz w:val="36"/>
                <w:szCs w:val="36"/>
              </w:rPr>
            </w:pPr>
            <w:r w:rsidRPr="0010490F">
              <w:rPr>
                <w:rFonts w:ascii="Tahoma" w:hAnsi="Tahoma" w:cs="Tahoma"/>
                <w:b/>
                <w:bCs/>
                <w:iCs/>
                <w:color w:val="243285"/>
                <w:sz w:val="36"/>
                <w:szCs w:val="36"/>
              </w:rPr>
              <w:t>Servicios móviles, de radiodeterminación,</w:t>
            </w:r>
            <w:r w:rsidRPr="0010490F">
              <w:rPr>
                <w:rFonts w:ascii="Tahoma" w:hAnsi="Tahoma" w:cs="Tahoma"/>
                <w:b/>
                <w:bCs/>
                <w:iCs/>
                <w:color w:val="243285"/>
                <w:sz w:val="36"/>
                <w:szCs w:val="36"/>
              </w:rPr>
              <w:br/>
              <w:t>de aficionados y otros servicios</w:t>
            </w:r>
            <w:r w:rsidRPr="0010490F">
              <w:rPr>
                <w:rFonts w:ascii="Tahoma" w:hAnsi="Tahoma" w:cs="Tahoma"/>
                <w:b/>
                <w:bCs/>
                <w:iCs/>
                <w:color w:val="243285"/>
                <w:sz w:val="36"/>
                <w:szCs w:val="36"/>
              </w:rPr>
              <w:br/>
              <w:t>por satélite conexos</w:t>
            </w:r>
          </w:p>
        </w:tc>
      </w:tr>
    </w:tbl>
    <w:p w:rsidR="00D72D3F" w:rsidRPr="0010490F" w:rsidRDefault="00D72D3F" w:rsidP="00042292">
      <w:pPr>
        <w:spacing w:before="80"/>
        <w:rPr>
          <w:i/>
          <w:sz w:val="22"/>
        </w:rPr>
      </w:pPr>
    </w:p>
    <w:p w:rsidR="00D72D3F" w:rsidRPr="0010490F" w:rsidRDefault="00D72D3F" w:rsidP="00042292">
      <w:pPr>
        <w:pStyle w:val="Equation"/>
        <w:tabs>
          <w:tab w:val="clear" w:pos="4820"/>
          <w:tab w:val="clear" w:pos="9639"/>
          <w:tab w:val="left" w:pos="1191"/>
          <w:tab w:val="left" w:pos="1588"/>
          <w:tab w:val="left" w:pos="1985"/>
        </w:tabs>
        <w:rPr>
          <w:rFonts w:ascii="Palatino Linotype" w:hAnsi="Palatino Linotype"/>
        </w:rPr>
        <w:sectPr w:rsidR="00D72D3F" w:rsidRPr="0010490F" w:rsidSect="006E33FA">
          <w:headerReference w:type="even" r:id="rId7"/>
          <w:headerReference w:type="default" r:id="rId8"/>
          <w:pgSz w:w="11907" w:h="16834" w:code="9"/>
          <w:pgMar w:top="1418" w:right="1134" w:bottom="1134" w:left="1134" w:header="720" w:footer="482" w:gutter="0"/>
          <w:paperSrc w:first="15" w:other="15"/>
          <w:cols w:space="720"/>
        </w:sectPr>
      </w:pPr>
    </w:p>
    <w:p w:rsidR="00D72D3F" w:rsidRPr="0010490F" w:rsidRDefault="00D72D3F" w:rsidP="000422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rPr>
      </w:pPr>
      <w:bookmarkStart w:id="0" w:name="c2tope"/>
      <w:bookmarkEnd w:id="0"/>
      <w:r w:rsidRPr="0010490F">
        <w:rPr>
          <w:bCs/>
          <w:sz w:val="24"/>
          <w:szCs w:val="24"/>
        </w:rPr>
        <w:lastRenderedPageBreak/>
        <w:t>Prólogo</w:t>
      </w:r>
    </w:p>
    <w:p w:rsidR="00D72D3F" w:rsidRPr="0010490F" w:rsidRDefault="00D72D3F" w:rsidP="00042292">
      <w:pPr>
        <w:spacing w:before="180"/>
        <w:rPr>
          <w:sz w:val="20"/>
        </w:rPr>
      </w:pPr>
      <w:r w:rsidRPr="0010490F">
        <w:rPr>
          <w:sz w:val="20"/>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D72D3F" w:rsidRPr="0010490F" w:rsidRDefault="00D72D3F" w:rsidP="00042292">
      <w:pPr>
        <w:rPr>
          <w:sz w:val="20"/>
        </w:rPr>
      </w:pPr>
      <w:r w:rsidRPr="0010490F">
        <w:rPr>
          <w:sz w:val="20"/>
        </w:rPr>
        <w:t>Las Conferencias Mundiales y Regionales de Radiocomunicaciones y las Asambleas de Radiocomunicaciones, con la colaboración de las Comisiones de Estudio, cumplen las funciones reglamentarias y políticas del Sector de Radiocomunicaciones.</w:t>
      </w:r>
    </w:p>
    <w:p w:rsidR="00D72D3F" w:rsidRPr="0010490F" w:rsidRDefault="00D72D3F" w:rsidP="00042292">
      <w:pPr>
        <w:pStyle w:val="Heading1"/>
        <w:spacing w:before="340"/>
        <w:jc w:val="center"/>
        <w:rPr>
          <w:szCs w:val="24"/>
        </w:rPr>
      </w:pPr>
      <w:r w:rsidRPr="0010490F">
        <w:t>Política sobre Derechos de Propiedad Intelectual</w:t>
      </w:r>
      <w:r w:rsidRPr="0010490F">
        <w:rPr>
          <w:szCs w:val="24"/>
        </w:rPr>
        <w:t xml:space="preserve"> (IPR)</w:t>
      </w:r>
    </w:p>
    <w:p w:rsidR="00D72D3F" w:rsidRPr="0010490F" w:rsidRDefault="00D72D3F" w:rsidP="00042292">
      <w:pPr>
        <w:spacing w:before="180"/>
        <w:rPr>
          <w:sz w:val="20"/>
        </w:rPr>
      </w:pPr>
      <w:r w:rsidRPr="0010490F">
        <w:rPr>
          <w:sz w:val="20"/>
        </w:rPr>
        <w:t>La política del UIT</w:t>
      </w:r>
      <w:r w:rsidRPr="0010490F">
        <w:rPr>
          <w:sz w:val="20"/>
        </w:rPr>
        <w:noBreakHyphen/>
        <w:t>R sobre Derechos de Propiedad Intelectual se describe en la Política Común de Patentes UIT</w:t>
      </w:r>
      <w:r w:rsidRPr="0010490F">
        <w:rPr>
          <w:sz w:val="20"/>
        </w:rPr>
        <w:noBreakHyphen/>
        <w:t>T/UIT</w:t>
      </w:r>
      <w:r w:rsidRPr="0010490F">
        <w:rPr>
          <w:sz w:val="20"/>
        </w:rPr>
        <w:noBreakHyphen/>
        <w:t>R/ISO/CEI a la que se hace referencia en el Anexo 1 a la Resolución UIT</w:t>
      </w:r>
      <w:r w:rsidRPr="0010490F">
        <w:rPr>
          <w:sz w:val="20"/>
        </w:rPr>
        <w:noBreakHyphen/>
        <w:t xml:space="preserve">R 1. Los formularios que deben utilizarse en la declaración sobre patentes y utilización de patentes por los titulares de las mismas figuran en la dirección web </w:t>
      </w:r>
      <w:hyperlink r:id="rId9" w:history="1">
        <w:r w:rsidRPr="0010490F">
          <w:rPr>
            <w:rStyle w:val="Hyperlink"/>
            <w:sz w:val="20"/>
          </w:rPr>
          <w:t>http://www.itu.int/ITU-R/go/patents/es</w:t>
        </w:r>
      </w:hyperlink>
      <w:r w:rsidRPr="0010490F">
        <w:rPr>
          <w:sz w:val="20"/>
        </w:rPr>
        <w:t>, donde también aparecen las Directrices para la implementación de la Política Común de Patentes UIT</w:t>
      </w:r>
      <w:r w:rsidRPr="0010490F">
        <w:rPr>
          <w:sz w:val="20"/>
        </w:rPr>
        <w:noBreakHyphen/>
        <w:t>T/UIT</w:t>
      </w:r>
      <w:r w:rsidRPr="0010490F">
        <w:rPr>
          <w:sz w:val="20"/>
        </w:rPr>
        <w:noBreakHyphen/>
        <w:t>R/ISO/CEI y la base de datos sobre información de patentes del UIT</w:t>
      </w:r>
      <w:r w:rsidRPr="0010490F">
        <w:rPr>
          <w:sz w:val="20"/>
        </w:rPr>
        <w:noBreakHyphen/>
        <w:t>R sobre este asunto.</w:t>
      </w:r>
    </w:p>
    <w:p w:rsidR="00D72D3F" w:rsidRPr="0010490F" w:rsidRDefault="00D72D3F" w:rsidP="00042292">
      <w:pPr>
        <w:spacing w:before="0"/>
        <w:jc w:val="center"/>
        <w:rPr>
          <w:sz w:val="22"/>
        </w:rPr>
      </w:pPr>
    </w:p>
    <w:p w:rsidR="00D72D3F" w:rsidRPr="0010490F" w:rsidRDefault="00D72D3F" w:rsidP="00042292">
      <w:pPr>
        <w:spacing w:before="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72D3F" w:rsidRPr="0010490F" w:rsidTr="00CB1354">
        <w:tc>
          <w:tcPr>
            <w:tcW w:w="9360" w:type="dxa"/>
            <w:gridSpan w:val="2"/>
          </w:tcPr>
          <w:p w:rsidR="00D72D3F" w:rsidRPr="0010490F" w:rsidRDefault="00D72D3F" w:rsidP="00CB1354">
            <w:pPr>
              <w:pStyle w:val="Chaptitle"/>
              <w:keepLines w:val="0"/>
              <w:tabs>
                <w:tab w:val="clear" w:pos="794"/>
                <w:tab w:val="clear" w:pos="1191"/>
                <w:tab w:val="clear" w:pos="1588"/>
                <w:tab w:val="clear" w:pos="1985"/>
              </w:tabs>
              <w:overflowPunct/>
              <w:spacing w:before="140"/>
              <w:textAlignment w:val="auto"/>
              <w:rPr>
                <w:sz w:val="22"/>
                <w:szCs w:val="22"/>
              </w:rPr>
            </w:pPr>
            <w:r w:rsidRPr="0010490F">
              <w:rPr>
                <w:sz w:val="22"/>
                <w:szCs w:val="22"/>
              </w:rPr>
              <w:t xml:space="preserve">Series de las Recomendaciones UIT-R </w:t>
            </w:r>
          </w:p>
          <w:p w:rsidR="00D72D3F" w:rsidRPr="0010490F" w:rsidRDefault="00D72D3F"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10490F">
              <w:rPr>
                <w:b w:val="0"/>
                <w:sz w:val="18"/>
                <w:szCs w:val="18"/>
              </w:rPr>
              <w:t xml:space="preserve">(También disponible en línea en </w:t>
            </w:r>
            <w:hyperlink r:id="rId10" w:history="1">
              <w:r w:rsidRPr="0010490F">
                <w:rPr>
                  <w:rStyle w:val="Hyperlink"/>
                  <w:b w:val="0"/>
                  <w:bCs/>
                  <w:sz w:val="18"/>
                  <w:szCs w:val="18"/>
                </w:rPr>
                <w:t>http://www.itu.int/publ/R-REC/es</w:t>
              </w:r>
            </w:hyperlink>
            <w:r w:rsidRPr="0010490F">
              <w:rPr>
                <w:b w:val="0"/>
                <w:bCs/>
                <w:sz w:val="18"/>
                <w:szCs w:val="18"/>
              </w:rPr>
              <w:t>)</w:t>
            </w:r>
          </w:p>
        </w:tc>
      </w:tr>
      <w:tr w:rsidR="00D72D3F" w:rsidRPr="0010490F" w:rsidTr="00CB1354">
        <w:tc>
          <w:tcPr>
            <w:tcW w:w="1140" w:type="dxa"/>
          </w:tcPr>
          <w:p w:rsidR="00D72D3F" w:rsidRPr="0010490F" w:rsidRDefault="00D72D3F" w:rsidP="00CB1354">
            <w:pPr>
              <w:spacing w:before="180" w:after="100"/>
              <w:ind w:left="57"/>
              <w:rPr>
                <w:b/>
                <w:bCs/>
                <w:sz w:val="20"/>
              </w:rPr>
            </w:pPr>
            <w:r w:rsidRPr="0010490F">
              <w:rPr>
                <w:b/>
                <w:bCs/>
                <w:sz w:val="20"/>
              </w:rPr>
              <w:t>Series</w:t>
            </w:r>
          </w:p>
        </w:tc>
        <w:tc>
          <w:tcPr>
            <w:tcW w:w="8220" w:type="dxa"/>
          </w:tcPr>
          <w:p w:rsidR="00D72D3F" w:rsidRPr="0010490F" w:rsidRDefault="00D72D3F"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rPr>
            </w:pPr>
            <w:r w:rsidRPr="0010490F">
              <w:rPr>
                <w:bCs/>
                <w:sz w:val="20"/>
              </w:rPr>
              <w:t>Título</w:t>
            </w:r>
          </w:p>
        </w:tc>
      </w:tr>
      <w:tr w:rsidR="00D72D3F" w:rsidRPr="0010490F" w:rsidTr="00CB1354">
        <w:tc>
          <w:tcPr>
            <w:tcW w:w="1140" w:type="dxa"/>
          </w:tcPr>
          <w:p w:rsidR="00D72D3F" w:rsidRPr="0010490F" w:rsidRDefault="00D72D3F" w:rsidP="00CB1354">
            <w:pPr>
              <w:spacing w:before="30" w:after="30"/>
              <w:ind w:left="57"/>
              <w:jc w:val="left"/>
              <w:rPr>
                <w:b/>
                <w:bCs/>
                <w:sz w:val="20"/>
              </w:rPr>
            </w:pPr>
            <w:r w:rsidRPr="0010490F">
              <w:rPr>
                <w:b/>
                <w:bCs/>
                <w:sz w:val="20"/>
              </w:rPr>
              <w:t>BO</w:t>
            </w:r>
          </w:p>
        </w:tc>
        <w:tc>
          <w:tcPr>
            <w:tcW w:w="8220" w:type="dxa"/>
          </w:tcPr>
          <w:p w:rsidR="00D72D3F" w:rsidRPr="0010490F" w:rsidRDefault="00D72D3F"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10490F">
              <w:rPr>
                <w:b w:val="0"/>
                <w:bCs/>
                <w:sz w:val="20"/>
              </w:rPr>
              <w:t>Distribución por satélite</w:t>
            </w:r>
          </w:p>
        </w:tc>
      </w:tr>
      <w:tr w:rsidR="00D72D3F" w:rsidRPr="0010490F" w:rsidTr="00CB1354">
        <w:tc>
          <w:tcPr>
            <w:tcW w:w="1140" w:type="dxa"/>
          </w:tcPr>
          <w:p w:rsidR="00D72D3F" w:rsidRPr="0010490F" w:rsidRDefault="00D72D3F" w:rsidP="00CB1354">
            <w:pPr>
              <w:spacing w:before="30" w:after="30"/>
              <w:ind w:left="57"/>
              <w:jc w:val="left"/>
              <w:rPr>
                <w:b/>
                <w:bCs/>
                <w:sz w:val="20"/>
              </w:rPr>
            </w:pPr>
            <w:r w:rsidRPr="0010490F">
              <w:rPr>
                <w:b/>
                <w:bCs/>
                <w:sz w:val="20"/>
              </w:rPr>
              <w:t>BR</w:t>
            </w:r>
          </w:p>
        </w:tc>
        <w:tc>
          <w:tcPr>
            <w:tcW w:w="8220" w:type="dxa"/>
          </w:tcPr>
          <w:p w:rsidR="00D72D3F" w:rsidRPr="0010490F" w:rsidRDefault="00D72D3F"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10490F">
              <w:rPr>
                <w:b w:val="0"/>
                <w:bCs/>
                <w:sz w:val="20"/>
              </w:rPr>
              <w:t>Registro para producción, archivo y reproducción; películas en televisión</w:t>
            </w:r>
          </w:p>
        </w:tc>
      </w:tr>
      <w:tr w:rsidR="00D72D3F" w:rsidRPr="0010490F" w:rsidTr="00CB1354">
        <w:tc>
          <w:tcPr>
            <w:tcW w:w="1140" w:type="dxa"/>
          </w:tcPr>
          <w:p w:rsidR="00D72D3F" w:rsidRPr="0010490F" w:rsidRDefault="00D72D3F" w:rsidP="00CB1354">
            <w:pPr>
              <w:spacing w:before="30" w:after="30"/>
              <w:ind w:left="57"/>
              <w:jc w:val="left"/>
              <w:rPr>
                <w:b/>
                <w:bCs/>
                <w:sz w:val="20"/>
              </w:rPr>
            </w:pPr>
            <w:r w:rsidRPr="0010490F">
              <w:rPr>
                <w:b/>
                <w:bCs/>
                <w:sz w:val="20"/>
              </w:rPr>
              <w:t>BS</w:t>
            </w:r>
          </w:p>
        </w:tc>
        <w:tc>
          <w:tcPr>
            <w:tcW w:w="8220" w:type="dxa"/>
          </w:tcPr>
          <w:p w:rsidR="00D72D3F" w:rsidRPr="0010490F" w:rsidRDefault="00D72D3F"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10490F">
              <w:rPr>
                <w:b w:val="0"/>
                <w:bCs/>
                <w:sz w:val="20"/>
              </w:rPr>
              <w:t>Servicio de radiodifusión (sonora)</w:t>
            </w:r>
          </w:p>
        </w:tc>
      </w:tr>
      <w:tr w:rsidR="00D72D3F" w:rsidRPr="0010490F" w:rsidTr="00CB1354">
        <w:tc>
          <w:tcPr>
            <w:tcW w:w="1140" w:type="dxa"/>
            <w:shd w:val="clear" w:color="auto" w:fill="auto"/>
          </w:tcPr>
          <w:p w:rsidR="00D72D3F" w:rsidRPr="0010490F" w:rsidRDefault="00D72D3F" w:rsidP="00CB1354">
            <w:pPr>
              <w:spacing w:before="30" w:after="30"/>
              <w:ind w:left="57"/>
              <w:jc w:val="left"/>
              <w:rPr>
                <w:b/>
                <w:bCs/>
                <w:sz w:val="20"/>
              </w:rPr>
            </w:pPr>
            <w:r w:rsidRPr="0010490F">
              <w:rPr>
                <w:b/>
                <w:bCs/>
                <w:sz w:val="20"/>
              </w:rPr>
              <w:t>BT</w:t>
            </w:r>
          </w:p>
        </w:tc>
        <w:tc>
          <w:tcPr>
            <w:tcW w:w="8220" w:type="dxa"/>
            <w:shd w:val="clear" w:color="auto" w:fill="auto"/>
          </w:tcPr>
          <w:p w:rsidR="00D72D3F" w:rsidRPr="0010490F" w:rsidRDefault="00D72D3F"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10490F">
              <w:rPr>
                <w:b w:val="0"/>
                <w:bCs/>
                <w:sz w:val="20"/>
              </w:rPr>
              <w:t>Servicio de radiodifusión (televisión)</w:t>
            </w:r>
          </w:p>
        </w:tc>
      </w:tr>
      <w:tr w:rsidR="00D72D3F" w:rsidRPr="0010490F" w:rsidTr="00CB1354">
        <w:tc>
          <w:tcPr>
            <w:tcW w:w="1140" w:type="dxa"/>
            <w:shd w:val="clear" w:color="auto" w:fill="auto"/>
          </w:tcPr>
          <w:p w:rsidR="00D72D3F" w:rsidRPr="0010490F" w:rsidRDefault="00D72D3F" w:rsidP="00CB1354">
            <w:pPr>
              <w:spacing w:before="30" w:after="30"/>
              <w:ind w:left="57"/>
              <w:jc w:val="left"/>
              <w:rPr>
                <w:b/>
                <w:bCs/>
                <w:sz w:val="20"/>
              </w:rPr>
            </w:pPr>
            <w:r w:rsidRPr="0010490F">
              <w:rPr>
                <w:b/>
                <w:bCs/>
                <w:sz w:val="20"/>
              </w:rPr>
              <w:t>F</w:t>
            </w:r>
          </w:p>
        </w:tc>
        <w:tc>
          <w:tcPr>
            <w:tcW w:w="8220" w:type="dxa"/>
            <w:shd w:val="clear" w:color="auto" w:fill="auto"/>
          </w:tcPr>
          <w:p w:rsidR="00D72D3F" w:rsidRPr="0010490F" w:rsidRDefault="00D72D3F"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rPr>
            </w:pPr>
            <w:r w:rsidRPr="0010490F">
              <w:rPr>
                <w:bCs/>
                <w:sz w:val="20"/>
              </w:rPr>
              <w:t>Servicio fijo</w:t>
            </w:r>
          </w:p>
        </w:tc>
      </w:tr>
      <w:tr w:rsidR="00D72D3F" w:rsidRPr="0010490F" w:rsidTr="00CB1354">
        <w:tc>
          <w:tcPr>
            <w:tcW w:w="1140" w:type="dxa"/>
            <w:shd w:val="clear" w:color="auto" w:fill="F3F3F3"/>
          </w:tcPr>
          <w:p w:rsidR="00D72D3F" w:rsidRPr="0010490F" w:rsidRDefault="00D72D3F" w:rsidP="00CB1354">
            <w:pPr>
              <w:spacing w:before="30" w:after="30"/>
              <w:ind w:left="57"/>
              <w:jc w:val="left"/>
              <w:rPr>
                <w:b/>
                <w:bCs/>
                <w:color w:val="000080"/>
                <w:sz w:val="20"/>
              </w:rPr>
            </w:pPr>
            <w:r w:rsidRPr="0010490F">
              <w:rPr>
                <w:b/>
                <w:bCs/>
                <w:color w:val="000080"/>
                <w:sz w:val="20"/>
              </w:rPr>
              <w:t>M</w:t>
            </w:r>
          </w:p>
        </w:tc>
        <w:tc>
          <w:tcPr>
            <w:tcW w:w="8220" w:type="dxa"/>
            <w:shd w:val="clear" w:color="auto" w:fill="F3F3F3"/>
          </w:tcPr>
          <w:p w:rsidR="00D72D3F" w:rsidRPr="0010490F" w:rsidRDefault="00D72D3F"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10490F">
              <w:rPr>
                <w:bCs/>
                <w:color w:val="000080"/>
                <w:sz w:val="20"/>
              </w:rPr>
              <w:t>Servicios móviles, de radiodeterminación, de aficionados y otros servicios por satélite conexos</w:t>
            </w:r>
          </w:p>
        </w:tc>
      </w:tr>
      <w:tr w:rsidR="00D72D3F" w:rsidRPr="0010490F" w:rsidTr="00CB1354">
        <w:tc>
          <w:tcPr>
            <w:tcW w:w="1140" w:type="dxa"/>
          </w:tcPr>
          <w:p w:rsidR="00D72D3F" w:rsidRPr="0010490F" w:rsidRDefault="00D72D3F" w:rsidP="00CB1354">
            <w:pPr>
              <w:spacing w:before="30" w:after="30"/>
              <w:ind w:left="57"/>
              <w:jc w:val="left"/>
              <w:rPr>
                <w:b/>
                <w:bCs/>
                <w:sz w:val="20"/>
              </w:rPr>
            </w:pPr>
            <w:r w:rsidRPr="0010490F">
              <w:rPr>
                <w:b/>
                <w:bCs/>
                <w:sz w:val="20"/>
              </w:rPr>
              <w:t>P</w:t>
            </w:r>
          </w:p>
        </w:tc>
        <w:tc>
          <w:tcPr>
            <w:tcW w:w="8220" w:type="dxa"/>
          </w:tcPr>
          <w:p w:rsidR="00D72D3F" w:rsidRPr="0010490F" w:rsidRDefault="00D72D3F" w:rsidP="00CB1354">
            <w:pPr>
              <w:spacing w:before="30" w:after="30"/>
              <w:jc w:val="left"/>
              <w:rPr>
                <w:bCs/>
                <w:sz w:val="20"/>
              </w:rPr>
            </w:pPr>
            <w:r w:rsidRPr="0010490F">
              <w:rPr>
                <w:bCs/>
                <w:sz w:val="20"/>
              </w:rPr>
              <w:t>Propagación de las ondas radioeléctricas</w:t>
            </w:r>
          </w:p>
        </w:tc>
      </w:tr>
      <w:tr w:rsidR="00D72D3F" w:rsidRPr="0010490F" w:rsidTr="00CB1354">
        <w:tc>
          <w:tcPr>
            <w:tcW w:w="1140" w:type="dxa"/>
          </w:tcPr>
          <w:p w:rsidR="00D72D3F" w:rsidRPr="0010490F" w:rsidRDefault="00D72D3F" w:rsidP="00CB1354">
            <w:pPr>
              <w:spacing w:before="30" w:after="30"/>
              <w:ind w:left="57"/>
              <w:jc w:val="left"/>
              <w:rPr>
                <w:b/>
                <w:bCs/>
                <w:sz w:val="20"/>
              </w:rPr>
            </w:pPr>
            <w:r w:rsidRPr="0010490F">
              <w:rPr>
                <w:b/>
                <w:bCs/>
                <w:sz w:val="20"/>
              </w:rPr>
              <w:t>RA</w:t>
            </w:r>
          </w:p>
        </w:tc>
        <w:tc>
          <w:tcPr>
            <w:tcW w:w="8220" w:type="dxa"/>
          </w:tcPr>
          <w:p w:rsidR="00D72D3F" w:rsidRPr="0010490F" w:rsidRDefault="00D72D3F"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rPr>
            </w:pPr>
            <w:r w:rsidRPr="0010490F">
              <w:rPr>
                <w:bCs/>
                <w:sz w:val="20"/>
              </w:rPr>
              <w:t>Radio astronomía</w:t>
            </w:r>
          </w:p>
        </w:tc>
      </w:tr>
      <w:tr w:rsidR="00D72D3F" w:rsidRPr="0010490F" w:rsidTr="00CB1354">
        <w:tc>
          <w:tcPr>
            <w:tcW w:w="1140" w:type="dxa"/>
          </w:tcPr>
          <w:p w:rsidR="00D72D3F" w:rsidRPr="0010490F" w:rsidRDefault="00D72D3F" w:rsidP="00CB1354">
            <w:pPr>
              <w:spacing w:before="30" w:after="30"/>
              <w:ind w:left="57"/>
              <w:jc w:val="left"/>
              <w:rPr>
                <w:b/>
                <w:bCs/>
                <w:sz w:val="20"/>
              </w:rPr>
            </w:pPr>
            <w:r w:rsidRPr="0010490F">
              <w:rPr>
                <w:b/>
                <w:bCs/>
                <w:sz w:val="20"/>
              </w:rPr>
              <w:t>RS</w:t>
            </w:r>
          </w:p>
        </w:tc>
        <w:tc>
          <w:tcPr>
            <w:tcW w:w="8220" w:type="dxa"/>
          </w:tcPr>
          <w:p w:rsidR="00D72D3F" w:rsidRPr="0010490F" w:rsidRDefault="00D72D3F"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rPr>
            </w:pPr>
            <w:r w:rsidRPr="0010490F">
              <w:rPr>
                <w:bCs/>
                <w:sz w:val="20"/>
              </w:rPr>
              <w:t>Sistemas de detección a distancia</w:t>
            </w:r>
          </w:p>
        </w:tc>
      </w:tr>
      <w:tr w:rsidR="00D72D3F" w:rsidRPr="0010490F" w:rsidTr="00CB1354">
        <w:tc>
          <w:tcPr>
            <w:tcW w:w="1140" w:type="dxa"/>
          </w:tcPr>
          <w:p w:rsidR="00D72D3F" w:rsidRPr="0010490F" w:rsidRDefault="00D72D3F" w:rsidP="00CB1354">
            <w:pPr>
              <w:spacing w:before="30" w:after="30"/>
              <w:ind w:left="57"/>
              <w:jc w:val="left"/>
              <w:rPr>
                <w:b/>
                <w:bCs/>
                <w:sz w:val="20"/>
              </w:rPr>
            </w:pPr>
            <w:r w:rsidRPr="0010490F">
              <w:rPr>
                <w:b/>
                <w:bCs/>
                <w:sz w:val="20"/>
              </w:rPr>
              <w:t>S</w:t>
            </w:r>
          </w:p>
        </w:tc>
        <w:tc>
          <w:tcPr>
            <w:tcW w:w="8220" w:type="dxa"/>
          </w:tcPr>
          <w:p w:rsidR="00D72D3F" w:rsidRPr="0010490F" w:rsidRDefault="00D72D3F" w:rsidP="00CB1354">
            <w:pPr>
              <w:spacing w:before="30" w:after="30"/>
              <w:jc w:val="left"/>
              <w:rPr>
                <w:bCs/>
                <w:sz w:val="20"/>
              </w:rPr>
            </w:pPr>
            <w:r w:rsidRPr="0010490F">
              <w:rPr>
                <w:bCs/>
                <w:sz w:val="20"/>
              </w:rPr>
              <w:t>Servicio fijo por satélite</w:t>
            </w:r>
          </w:p>
        </w:tc>
      </w:tr>
      <w:tr w:rsidR="00D72D3F" w:rsidRPr="0010490F" w:rsidTr="00CB1354">
        <w:tc>
          <w:tcPr>
            <w:tcW w:w="1140" w:type="dxa"/>
          </w:tcPr>
          <w:p w:rsidR="00D72D3F" w:rsidRPr="0010490F" w:rsidRDefault="00D72D3F" w:rsidP="00CB1354">
            <w:pPr>
              <w:spacing w:before="30" w:after="30"/>
              <w:ind w:left="57"/>
              <w:jc w:val="left"/>
              <w:rPr>
                <w:b/>
                <w:bCs/>
                <w:sz w:val="20"/>
              </w:rPr>
            </w:pPr>
            <w:r w:rsidRPr="0010490F">
              <w:rPr>
                <w:b/>
                <w:bCs/>
                <w:sz w:val="20"/>
              </w:rPr>
              <w:t>SA</w:t>
            </w:r>
          </w:p>
        </w:tc>
        <w:tc>
          <w:tcPr>
            <w:tcW w:w="8220" w:type="dxa"/>
          </w:tcPr>
          <w:p w:rsidR="00D72D3F" w:rsidRPr="0010490F" w:rsidRDefault="00D72D3F" w:rsidP="00CB1354">
            <w:pPr>
              <w:spacing w:before="30" w:after="30"/>
              <w:jc w:val="left"/>
              <w:rPr>
                <w:bCs/>
                <w:sz w:val="20"/>
              </w:rPr>
            </w:pPr>
            <w:r w:rsidRPr="0010490F">
              <w:rPr>
                <w:bCs/>
                <w:sz w:val="20"/>
              </w:rPr>
              <w:t>Aplicaciones espaciales y meteorología</w:t>
            </w:r>
          </w:p>
        </w:tc>
      </w:tr>
      <w:tr w:rsidR="00D72D3F" w:rsidRPr="0010490F" w:rsidTr="00CB1354">
        <w:tc>
          <w:tcPr>
            <w:tcW w:w="1140" w:type="dxa"/>
          </w:tcPr>
          <w:p w:rsidR="00D72D3F" w:rsidRPr="0010490F" w:rsidRDefault="00D72D3F" w:rsidP="00CB1354">
            <w:pPr>
              <w:spacing w:before="30" w:after="30"/>
              <w:ind w:left="57"/>
              <w:jc w:val="left"/>
              <w:rPr>
                <w:b/>
                <w:bCs/>
                <w:sz w:val="20"/>
              </w:rPr>
            </w:pPr>
            <w:r w:rsidRPr="0010490F">
              <w:rPr>
                <w:b/>
                <w:bCs/>
                <w:sz w:val="20"/>
              </w:rPr>
              <w:t>SF</w:t>
            </w:r>
          </w:p>
        </w:tc>
        <w:tc>
          <w:tcPr>
            <w:tcW w:w="8220" w:type="dxa"/>
          </w:tcPr>
          <w:p w:rsidR="00D72D3F" w:rsidRPr="0010490F" w:rsidRDefault="00D72D3F" w:rsidP="00CB1354">
            <w:pPr>
              <w:spacing w:before="30" w:after="30"/>
              <w:jc w:val="left"/>
              <w:rPr>
                <w:bCs/>
                <w:sz w:val="20"/>
              </w:rPr>
            </w:pPr>
            <w:r w:rsidRPr="0010490F">
              <w:rPr>
                <w:bCs/>
                <w:sz w:val="20"/>
              </w:rPr>
              <w:t>Compartición de frecuencias y coordinación entre los sistemas del servicio fijo por satélite y del servicio fijo</w:t>
            </w:r>
          </w:p>
        </w:tc>
      </w:tr>
      <w:tr w:rsidR="00D72D3F" w:rsidRPr="0010490F" w:rsidTr="00CB1354">
        <w:tc>
          <w:tcPr>
            <w:tcW w:w="1140" w:type="dxa"/>
            <w:shd w:val="clear" w:color="auto" w:fill="auto"/>
          </w:tcPr>
          <w:p w:rsidR="00D72D3F" w:rsidRPr="0010490F" w:rsidRDefault="00D72D3F" w:rsidP="00CB1354">
            <w:pPr>
              <w:spacing w:before="30" w:after="30"/>
              <w:ind w:left="57"/>
              <w:jc w:val="left"/>
              <w:rPr>
                <w:b/>
                <w:bCs/>
                <w:sz w:val="20"/>
              </w:rPr>
            </w:pPr>
            <w:r w:rsidRPr="0010490F">
              <w:rPr>
                <w:b/>
                <w:bCs/>
                <w:sz w:val="20"/>
              </w:rPr>
              <w:t>SM</w:t>
            </w:r>
          </w:p>
        </w:tc>
        <w:tc>
          <w:tcPr>
            <w:tcW w:w="8220" w:type="dxa"/>
            <w:shd w:val="clear" w:color="auto" w:fill="auto"/>
          </w:tcPr>
          <w:p w:rsidR="00D72D3F" w:rsidRPr="0010490F" w:rsidRDefault="00D72D3F" w:rsidP="00CB1354">
            <w:pPr>
              <w:spacing w:before="30" w:after="30"/>
              <w:jc w:val="left"/>
              <w:rPr>
                <w:sz w:val="20"/>
              </w:rPr>
            </w:pPr>
            <w:r w:rsidRPr="0010490F">
              <w:rPr>
                <w:sz w:val="20"/>
              </w:rPr>
              <w:t>Gestión del espectro</w:t>
            </w:r>
          </w:p>
        </w:tc>
      </w:tr>
      <w:tr w:rsidR="00D72D3F" w:rsidRPr="0010490F" w:rsidTr="00CB1354">
        <w:tc>
          <w:tcPr>
            <w:tcW w:w="1140" w:type="dxa"/>
          </w:tcPr>
          <w:p w:rsidR="00D72D3F" w:rsidRPr="0010490F" w:rsidRDefault="00D72D3F" w:rsidP="00CB1354">
            <w:pPr>
              <w:spacing w:before="30" w:after="30"/>
              <w:ind w:left="57"/>
              <w:jc w:val="left"/>
              <w:rPr>
                <w:b/>
                <w:bCs/>
                <w:sz w:val="20"/>
              </w:rPr>
            </w:pPr>
            <w:r w:rsidRPr="0010490F">
              <w:rPr>
                <w:b/>
                <w:bCs/>
                <w:sz w:val="20"/>
              </w:rPr>
              <w:t>SNG</w:t>
            </w:r>
          </w:p>
        </w:tc>
        <w:tc>
          <w:tcPr>
            <w:tcW w:w="8220" w:type="dxa"/>
          </w:tcPr>
          <w:p w:rsidR="00D72D3F" w:rsidRPr="0010490F" w:rsidRDefault="00D72D3F" w:rsidP="00CB1354">
            <w:pPr>
              <w:spacing w:before="30" w:after="30"/>
              <w:jc w:val="left"/>
              <w:rPr>
                <w:bCs/>
                <w:sz w:val="20"/>
              </w:rPr>
            </w:pPr>
            <w:r w:rsidRPr="0010490F">
              <w:rPr>
                <w:bCs/>
                <w:sz w:val="20"/>
              </w:rPr>
              <w:t>Periodismo electrónico por satélite</w:t>
            </w:r>
          </w:p>
        </w:tc>
      </w:tr>
      <w:tr w:rsidR="00D72D3F" w:rsidRPr="0010490F" w:rsidTr="00CB1354">
        <w:tc>
          <w:tcPr>
            <w:tcW w:w="1140" w:type="dxa"/>
          </w:tcPr>
          <w:p w:rsidR="00D72D3F" w:rsidRPr="0010490F" w:rsidRDefault="00D72D3F" w:rsidP="00CB1354">
            <w:pPr>
              <w:spacing w:before="30" w:after="30"/>
              <w:ind w:left="57"/>
              <w:jc w:val="left"/>
              <w:rPr>
                <w:b/>
                <w:bCs/>
                <w:sz w:val="20"/>
              </w:rPr>
            </w:pPr>
            <w:r w:rsidRPr="0010490F">
              <w:rPr>
                <w:b/>
                <w:bCs/>
                <w:sz w:val="20"/>
              </w:rPr>
              <w:t>TF</w:t>
            </w:r>
          </w:p>
        </w:tc>
        <w:tc>
          <w:tcPr>
            <w:tcW w:w="8220" w:type="dxa"/>
          </w:tcPr>
          <w:p w:rsidR="00D72D3F" w:rsidRPr="0010490F" w:rsidRDefault="00D72D3F" w:rsidP="00CB1354">
            <w:pPr>
              <w:spacing w:before="30" w:after="30"/>
              <w:jc w:val="left"/>
              <w:rPr>
                <w:bCs/>
                <w:sz w:val="20"/>
              </w:rPr>
            </w:pPr>
            <w:r w:rsidRPr="0010490F">
              <w:rPr>
                <w:bCs/>
                <w:sz w:val="20"/>
              </w:rPr>
              <w:t>Emisiones de frecuencias patrón y señales horarias</w:t>
            </w:r>
          </w:p>
        </w:tc>
      </w:tr>
      <w:tr w:rsidR="00D72D3F" w:rsidRPr="0010490F" w:rsidTr="00CB1354">
        <w:tc>
          <w:tcPr>
            <w:tcW w:w="1140" w:type="dxa"/>
          </w:tcPr>
          <w:p w:rsidR="00D72D3F" w:rsidRPr="0010490F" w:rsidRDefault="00D72D3F" w:rsidP="00CB1354">
            <w:pPr>
              <w:spacing w:before="30" w:after="30"/>
              <w:ind w:left="57"/>
              <w:jc w:val="left"/>
              <w:rPr>
                <w:b/>
                <w:bCs/>
                <w:sz w:val="20"/>
              </w:rPr>
            </w:pPr>
            <w:r w:rsidRPr="0010490F">
              <w:rPr>
                <w:b/>
                <w:bCs/>
                <w:sz w:val="20"/>
              </w:rPr>
              <w:t>V</w:t>
            </w:r>
          </w:p>
        </w:tc>
        <w:tc>
          <w:tcPr>
            <w:tcW w:w="8220" w:type="dxa"/>
          </w:tcPr>
          <w:p w:rsidR="00D72D3F" w:rsidRPr="0010490F" w:rsidRDefault="00D72D3F" w:rsidP="00CB1354">
            <w:pPr>
              <w:spacing w:before="30" w:after="140"/>
              <w:jc w:val="left"/>
              <w:rPr>
                <w:bCs/>
                <w:sz w:val="20"/>
              </w:rPr>
            </w:pPr>
            <w:r w:rsidRPr="0010490F">
              <w:rPr>
                <w:bCs/>
                <w:sz w:val="20"/>
              </w:rPr>
              <w:t>Vocabulario y cuestiones afines</w:t>
            </w:r>
          </w:p>
        </w:tc>
      </w:tr>
    </w:tbl>
    <w:p w:rsidR="00D72D3F" w:rsidRPr="0010490F" w:rsidRDefault="00D72D3F" w:rsidP="00042292">
      <w:pPr>
        <w:spacing w:before="0" w:after="140"/>
        <w:jc w:val="center"/>
        <w:rPr>
          <w:sz w:val="20"/>
        </w:rPr>
      </w:pPr>
    </w:p>
    <w:tbl>
      <w:tblPr>
        <w:tblpPr w:leftFromText="180" w:rightFromText="180" w:vertAnchor="text" w:tblpX="-5771" w:tblpY="-4031"/>
        <w:tblW w:w="0" w:type="auto"/>
        <w:tblLook w:val="0000" w:firstRow="0" w:lastRow="0" w:firstColumn="0" w:lastColumn="0" w:noHBand="0" w:noVBand="0"/>
      </w:tblPr>
      <w:tblGrid>
        <w:gridCol w:w="720"/>
      </w:tblGrid>
      <w:tr w:rsidR="00D72D3F" w:rsidRPr="0010490F" w:rsidTr="00CB1354">
        <w:tc>
          <w:tcPr>
            <w:tcW w:w="720" w:type="dxa"/>
          </w:tcPr>
          <w:p w:rsidR="00D72D3F" w:rsidRPr="0010490F" w:rsidRDefault="00D72D3F" w:rsidP="00CB1354">
            <w:pPr>
              <w:spacing w:before="0"/>
              <w:jc w:val="center"/>
              <w:rPr>
                <w:sz w:val="22"/>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D72D3F" w:rsidRPr="0010490F" w:rsidTr="00A07AEB">
        <w:tc>
          <w:tcPr>
            <w:tcW w:w="9360" w:type="dxa"/>
          </w:tcPr>
          <w:p w:rsidR="00D72D3F" w:rsidRPr="0010490F" w:rsidRDefault="00D72D3F" w:rsidP="00537CE1">
            <w:pPr>
              <w:spacing w:before="92" w:after="92"/>
              <w:jc w:val="left"/>
              <w:rPr>
                <w:i/>
                <w:iCs/>
                <w:sz w:val="20"/>
              </w:rPr>
            </w:pPr>
            <w:r w:rsidRPr="0010490F">
              <w:rPr>
                <w:b/>
                <w:bCs/>
                <w:i/>
                <w:iCs/>
                <w:sz w:val="20"/>
              </w:rPr>
              <w:t>Nota</w:t>
            </w:r>
            <w:r w:rsidRPr="0010490F">
              <w:rPr>
                <w:i/>
                <w:iCs/>
                <w:sz w:val="20"/>
              </w:rPr>
              <w:t>: Esta Recomendación UIT-R fue aprobada en inglés conforme al procedimiento detallado en la Resolución UIT-R 1.</w:t>
            </w:r>
          </w:p>
        </w:tc>
      </w:tr>
    </w:tbl>
    <w:p w:rsidR="00D72D3F" w:rsidRPr="0010490F" w:rsidRDefault="00D72D3F" w:rsidP="00042292">
      <w:pPr>
        <w:spacing w:before="0"/>
        <w:jc w:val="center"/>
        <w:rPr>
          <w:sz w:val="22"/>
        </w:rPr>
      </w:pPr>
    </w:p>
    <w:p w:rsidR="00D72D3F" w:rsidRPr="0010490F" w:rsidRDefault="00D72D3F" w:rsidP="00042292">
      <w:pPr>
        <w:spacing w:before="60"/>
        <w:jc w:val="right"/>
        <w:rPr>
          <w:i/>
          <w:iCs/>
          <w:sz w:val="20"/>
        </w:rPr>
      </w:pPr>
      <w:r w:rsidRPr="0010490F">
        <w:rPr>
          <w:i/>
          <w:iCs/>
          <w:sz w:val="20"/>
        </w:rPr>
        <w:t>Publicación electrónica</w:t>
      </w:r>
    </w:p>
    <w:p w:rsidR="00D72D3F" w:rsidRPr="0010490F" w:rsidRDefault="00D72D3F" w:rsidP="00906075">
      <w:pPr>
        <w:spacing w:before="0" w:after="40"/>
        <w:jc w:val="right"/>
        <w:rPr>
          <w:sz w:val="20"/>
        </w:rPr>
      </w:pPr>
      <w:r w:rsidRPr="0010490F">
        <w:rPr>
          <w:sz w:val="20"/>
        </w:rPr>
        <w:t>Ginebra, 2013</w:t>
      </w:r>
    </w:p>
    <w:p w:rsidR="00D72D3F" w:rsidRPr="0010490F" w:rsidRDefault="00D72D3F" w:rsidP="00042292">
      <w:pPr>
        <w:spacing w:before="0"/>
        <w:jc w:val="center"/>
        <w:rPr>
          <w:sz w:val="22"/>
        </w:rPr>
      </w:pPr>
    </w:p>
    <w:p w:rsidR="00D72D3F" w:rsidRPr="0010490F" w:rsidRDefault="00D72D3F" w:rsidP="00F91385">
      <w:pPr>
        <w:spacing w:before="0"/>
        <w:jc w:val="center"/>
        <w:rPr>
          <w:sz w:val="20"/>
        </w:rPr>
      </w:pPr>
      <w:r w:rsidRPr="0010490F">
        <w:rPr>
          <w:sz w:val="20"/>
        </w:rPr>
        <w:sym w:font="Symbol" w:char="F0E3"/>
      </w:r>
      <w:r w:rsidRPr="0010490F">
        <w:rPr>
          <w:sz w:val="20"/>
        </w:rPr>
        <w:t xml:space="preserve"> UIT </w:t>
      </w:r>
      <w:bookmarkStart w:id="1" w:name="iiannee"/>
      <w:bookmarkEnd w:id="1"/>
      <w:r w:rsidRPr="0010490F">
        <w:rPr>
          <w:sz w:val="20"/>
        </w:rPr>
        <w:t>2013</w:t>
      </w:r>
    </w:p>
    <w:p w:rsidR="00D72D3F" w:rsidRPr="0010490F" w:rsidRDefault="00D72D3F" w:rsidP="00042292">
      <w:pPr>
        <w:spacing w:before="80"/>
        <w:rPr>
          <w:sz w:val="18"/>
          <w:szCs w:val="18"/>
        </w:rPr>
      </w:pPr>
      <w:r w:rsidRPr="0010490F">
        <w:rPr>
          <w:sz w:val="18"/>
          <w:szCs w:val="18"/>
        </w:rPr>
        <w:t>Reservados todos los derechos. Ninguna parte de esta publicación puede reproducirse por ningún procedimiento sin previa autorización escrita por parte de la UIT.</w:t>
      </w:r>
    </w:p>
    <w:p w:rsidR="00D72D3F" w:rsidRPr="0010490F" w:rsidRDefault="00D72D3F" w:rsidP="00042292">
      <w:pPr>
        <w:spacing w:before="160"/>
        <w:rPr>
          <w:i/>
          <w:sz w:val="20"/>
          <w:highlight w:val="yellow"/>
        </w:rPr>
        <w:sectPr w:rsidR="00D72D3F" w:rsidRPr="0010490F" w:rsidSect="00CB1354">
          <w:headerReference w:type="even" r:id="rId11"/>
          <w:headerReference w:type="default" r:id="rId12"/>
          <w:pgSz w:w="11907" w:h="16834" w:code="9"/>
          <w:pgMar w:top="1418" w:right="1134" w:bottom="1134" w:left="1134" w:header="720" w:footer="482" w:gutter="0"/>
          <w:pgNumType w:fmt="lowerRoman" w:start="2"/>
          <w:cols w:space="720"/>
        </w:sectPr>
      </w:pPr>
    </w:p>
    <w:p w:rsidR="00D72D3F" w:rsidRPr="0010490F" w:rsidRDefault="00D72D3F" w:rsidP="00042292">
      <w:pPr>
        <w:pStyle w:val="RecNo"/>
        <w:spacing w:before="0"/>
      </w:pPr>
      <w:bookmarkStart w:id="2" w:name="irecnoe"/>
      <w:bookmarkEnd w:id="2"/>
      <w:r w:rsidRPr="0010490F">
        <w:lastRenderedPageBreak/>
        <w:t xml:space="preserve">RECOMENDACIÓN  </w:t>
      </w:r>
      <w:r w:rsidRPr="0010490F">
        <w:rPr>
          <w:rStyle w:val="href"/>
        </w:rPr>
        <w:t>UIT-R  M.2015</w:t>
      </w:r>
    </w:p>
    <w:p w:rsidR="00A6617B" w:rsidRDefault="0022192F" w:rsidP="0022192F">
      <w:pPr>
        <w:pStyle w:val="Rectitle"/>
      </w:pPr>
      <w:r w:rsidRPr="0010490F">
        <w:t>Disposición de frecuencias para sistemas de radiocomunicaciones</w:t>
      </w:r>
      <w:r w:rsidRPr="0010490F">
        <w:br/>
        <w:t>de protección pública y operaciones de socorro en caso</w:t>
      </w:r>
      <w:r w:rsidRPr="0010490F">
        <w:br/>
        <w:t>de catástrofe en las bandas de ondas decimétricas</w:t>
      </w:r>
      <w:r w:rsidRPr="0010490F">
        <w:br/>
        <w:t>con arreglo a la Resolución 646 (Rev.CMR-12)</w:t>
      </w:r>
    </w:p>
    <w:p w:rsidR="00F12172" w:rsidRPr="00F12172" w:rsidRDefault="00F12172" w:rsidP="00F12172">
      <w:pPr>
        <w:pStyle w:val="Blanc"/>
      </w:pPr>
    </w:p>
    <w:p w:rsidR="00F12172" w:rsidRPr="00F12172" w:rsidRDefault="00F12172" w:rsidP="00F12172">
      <w:pPr>
        <w:pStyle w:val="Recdate"/>
      </w:pPr>
      <w:r>
        <w:t>(2012)</w:t>
      </w:r>
    </w:p>
    <w:p w:rsidR="00F12172" w:rsidRPr="00F12172" w:rsidRDefault="00F12172" w:rsidP="00F12172">
      <w:pPr>
        <w:pStyle w:val="Blanc"/>
      </w:pPr>
    </w:p>
    <w:p w:rsidR="00C938E8" w:rsidRPr="0010490F" w:rsidRDefault="00C938E8" w:rsidP="00C938E8">
      <w:pPr>
        <w:pStyle w:val="HeadingSum"/>
        <w:rPr>
          <w:lang w:val="es-ES"/>
        </w:rPr>
      </w:pPr>
      <w:r w:rsidRPr="0010490F">
        <w:rPr>
          <w:lang w:val="es-ES"/>
        </w:rPr>
        <w:t>Cometido</w:t>
      </w:r>
    </w:p>
    <w:p w:rsidR="00C938E8" w:rsidRPr="0010490F" w:rsidRDefault="00C938E8" w:rsidP="00D10CD0">
      <w:pPr>
        <w:pStyle w:val="Summary"/>
        <w:rPr>
          <w:lang w:val="es-ES"/>
        </w:rPr>
      </w:pPr>
      <w:r w:rsidRPr="0010490F">
        <w:rPr>
          <w:lang w:val="es-ES"/>
        </w:rPr>
        <w:t>En esta Recomendación se proporcionan orientaciones sobre la disposición de frecuencias para radiocomunicaciones de protección pública y operaciones de socorro en caso de catástrofe en determinadas regiones en algunas de las bandas por debajo de 1 GHz indicada</w:t>
      </w:r>
      <w:r w:rsidR="00D10CD0">
        <w:rPr>
          <w:lang w:val="es-ES"/>
        </w:rPr>
        <w:t>s en la Resolución 646 (Rev.CMR-</w:t>
      </w:r>
      <w:r w:rsidRPr="0010490F">
        <w:rPr>
          <w:lang w:val="es-ES"/>
        </w:rPr>
        <w:t>12). Actualmente, la Recomendación trata de las disposiciones en las gamas de</w:t>
      </w:r>
      <w:r w:rsidR="00D10CD0">
        <w:rPr>
          <w:lang w:val="es-ES"/>
        </w:rPr>
        <w:t xml:space="preserve"> 380-</w:t>
      </w:r>
      <w:r w:rsidRPr="0010490F">
        <w:rPr>
          <w:lang w:val="es-ES"/>
        </w:rPr>
        <w:t>470 MHz en ciertos países de la Región 1, en las bandas de 746</w:t>
      </w:r>
      <w:r w:rsidR="00D10CD0">
        <w:rPr>
          <w:lang w:val="es-ES"/>
        </w:rPr>
        <w:t>-</w:t>
      </w:r>
      <w:r w:rsidRPr="0010490F">
        <w:rPr>
          <w:lang w:val="es-ES"/>
        </w:rPr>
        <w:t>806 MHz y 806</w:t>
      </w:r>
      <w:r w:rsidR="00D10CD0">
        <w:rPr>
          <w:lang w:val="es-ES"/>
        </w:rPr>
        <w:t>-</w:t>
      </w:r>
      <w:r w:rsidRPr="0010490F">
        <w:rPr>
          <w:lang w:val="es-ES"/>
        </w:rPr>
        <w:t>869 MHz de la Región 2, y en las bandas de 806</w:t>
      </w:r>
      <w:r w:rsidR="00D10CD0">
        <w:rPr>
          <w:lang w:val="es-ES"/>
        </w:rPr>
        <w:t>-</w:t>
      </w:r>
      <w:r w:rsidRPr="0010490F">
        <w:rPr>
          <w:lang w:val="es-ES"/>
        </w:rPr>
        <w:t>824/</w:t>
      </w:r>
      <w:r w:rsidR="00D10CD0">
        <w:rPr>
          <w:lang w:val="es-ES"/>
        </w:rPr>
        <w:br/>
      </w:r>
      <w:r w:rsidRPr="0010490F">
        <w:rPr>
          <w:lang w:val="es-ES"/>
        </w:rPr>
        <w:t>851</w:t>
      </w:r>
      <w:r w:rsidRPr="0010490F">
        <w:rPr>
          <w:lang w:val="es-ES"/>
        </w:rPr>
        <w:noBreakHyphen/>
        <w:t>869 MHz en ciertos países de la Región 3, con arreglo a las Resoluciones UIT</w:t>
      </w:r>
      <w:r w:rsidRPr="0010490F">
        <w:rPr>
          <w:lang w:val="es-ES"/>
        </w:rPr>
        <w:noBreakHyphen/>
        <w:t>R 53, UIT</w:t>
      </w:r>
      <w:r w:rsidRPr="0010490F">
        <w:rPr>
          <w:lang w:val="es-ES"/>
        </w:rPr>
        <w:noBreakHyphen/>
        <w:t xml:space="preserve">R 55 </w:t>
      </w:r>
      <w:r w:rsidR="00D10CD0">
        <w:rPr>
          <w:lang w:val="es-ES"/>
        </w:rPr>
        <w:t>y las Resoluciones 644 (Rev.CMR-</w:t>
      </w:r>
      <w:r w:rsidRPr="0010490F">
        <w:rPr>
          <w:lang w:val="es-ES"/>
        </w:rPr>
        <w:t>07</w:t>
      </w:r>
      <w:r w:rsidR="00D10CD0">
        <w:rPr>
          <w:lang w:val="es-ES"/>
        </w:rPr>
        <w:t>), 646 (Rev.CMR-12), y 647 (CMR-</w:t>
      </w:r>
      <w:r w:rsidRPr="0010490F">
        <w:rPr>
          <w:lang w:val="es-ES"/>
        </w:rPr>
        <w:t>07).</w:t>
      </w:r>
    </w:p>
    <w:p w:rsidR="00AD6982" w:rsidRPr="0010490F" w:rsidRDefault="00AD6982" w:rsidP="00AD6982">
      <w:pPr>
        <w:pStyle w:val="Normalaftertitle"/>
      </w:pPr>
      <w:r w:rsidRPr="0010490F">
        <w:t>La Asamblea de Radiocomunicaciones de la UIT,</w:t>
      </w:r>
    </w:p>
    <w:p w:rsidR="00AD6982" w:rsidRPr="0010490F" w:rsidRDefault="00AD6982" w:rsidP="00AD6982">
      <w:pPr>
        <w:pStyle w:val="Call"/>
        <w:rPr>
          <w:b/>
        </w:rPr>
      </w:pPr>
      <w:r w:rsidRPr="0010490F">
        <w:t>considerando</w:t>
      </w:r>
    </w:p>
    <w:p w:rsidR="00AD6982" w:rsidRPr="0010490F" w:rsidRDefault="00AD6982" w:rsidP="00AD6982">
      <w:r w:rsidRPr="0010490F">
        <w:t>a)</w:t>
      </w:r>
      <w:r w:rsidRPr="0010490F">
        <w:tab/>
        <w:t>que las necesidades de telecomunicaciones y radiocomunicaciones de las agencias y organizaciones encargadas de la protección pública y de las operaciones de socorro que son fundamentales para mantener el orden público, la protección de vida y bienes y la intervención ante situaciones de emergencia y operaciones de socorro son cada vez mayores;</w:t>
      </w:r>
    </w:p>
    <w:p w:rsidR="00AD6982" w:rsidRPr="0010490F" w:rsidRDefault="00AD6982" w:rsidP="00AD6982">
      <w:r w:rsidRPr="0010490F">
        <w:t>b)</w:t>
      </w:r>
      <w:r w:rsidRPr="0010490F">
        <w:tab/>
        <w:t>que muchas administraciones desean facilitar la interoperabilidad y el interfuncionamiento entre sistemas utilizados en las radiocomunicaciones para la protección pública y las operaciones de socorro, tanto a nivel nacional como transfronterizo en situaciones de emergencia y operaciones de socorro;</w:t>
      </w:r>
    </w:p>
    <w:p w:rsidR="00AD6982" w:rsidRPr="0010490F" w:rsidRDefault="00AD6982" w:rsidP="00AD6982">
      <w:r w:rsidRPr="0010490F">
        <w:t>c)</w:t>
      </w:r>
      <w:r w:rsidRPr="0010490F">
        <w:tab/>
        <w:t>que continuarán los requisitos de banda estrecha, banda amplia y banda ancha en las futuras aplicaciones;</w:t>
      </w:r>
    </w:p>
    <w:p w:rsidR="00AD6982" w:rsidRPr="0010490F" w:rsidRDefault="00AD6982" w:rsidP="00AD6982">
      <w:r w:rsidRPr="0010490F">
        <w:t>d)</w:t>
      </w:r>
      <w:r w:rsidRPr="0010490F">
        <w:tab/>
        <w:t>que el continuo desarrollo de nuevas tecnologías tales como las telecomunicaciones móviles internacionales (IMT) y los sistemas de transporte inteligentes (ITS) pueden apoyar o complementar las aplicaciones avanzadas de protección pública y operaciones de socorro;</w:t>
      </w:r>
    </w:p>
    <w:p w:rsidR="00AD6982" w:rsidRPr="0010490F" w:rsidRDefault="00AD6982" w:rsidP="00AD6982">
      <w:r w:rsidRPr="0010490F">
        <w:t>e)</w:t>
      </w:r>
      <w:r w:rsidRPr="0010490F">
        <w:tab/>
        <w:t>que dependiendo de las circunstancias, las necesidades operativas y los requisitos de espectro en caso de emergencia y operaciones de socorro pueden ser distintas para algunas administraciones;</w:t>
      </w:r>
    </w:p>
    <w:p w:rsidR="00AD6982" w:rsidRPr="0010490F" w:rsidRDefault="00AD6982" w:rsidP="00AD6982">
      <w:r w:rsidRPr="0010490F">
        <w:t>f)</w:t>
      </w:r>
      <w:r w:rsidRPr="0010490F">
        <w:tab/>
        <w:t>que la planificación nacional del espectro para los sistemas de radiocomunicaciones de protección pública y operaciones de socorro deben tener en cuenta la necesidad cooperación y consultas bilaterales con otras administraciones afectadas para facilitar un mayor nivel de armonización del espectro;</w:t>
      </w:r>
    </w:p>
    <w:p w:rsidR="00AD6982" w:rsidRPr="0010490F" w:rsidRDefault="00AD6982" w:rsidP="00AD6982">
      <w:r w:rsidRPr="0010490F">
        <w:t>g)</w:t>
      </w:r>
      <w:r w:rsidRPr="0010490F">
        <w:tab/>
        <w:t>que la utilización de las mismas frecuencias en el mismo emplazamiento permitirá a las administraciones beneficiarse de la armonización y continuar satisfaciendo los requisitos de planificación nacionales,</w:t>
      </w:r>
    </w:p>
    <w:p w:rsidR="00AD6982" w:rsidRPr="0010490F" w:rsidRDefault="00AD6982" w:rsidP="00AD6982">
      <w:pPr>
        <w:pStyle w:val="Call"/>
      </w:pPr>
      <w:r w:rsidRPr="0010490F">
        <w:lastRenderedPageBreak/>
        <w:t>observando</w:t>
      </w:r>
    </w:p>
    <w:p w:rsidR="00AD6982" w:rsidRPr="0010490F" w:rsidRDefault="00AD6982" w:rsidP="00AD6982">
      <w:pPr>
        <w:keepNext/>
        <w:keepLines/>
      </w:pPr>
      <w:r w:rsidRPr="0010490F">
        <w:t>a)</w:t>
      </w:r>
      <w:r w:rsidRPr="0010490F">
        <w:tab/>
        <w:t>que los beneficios de la homogeneización del espectro son:</w:t>
      </w:r>
    </w:p>
    <w:p w:rsidR="00AD6982" w:rsidRPr="0010490F" w:rsidRDefault="00AD6982" w:rsidP="00F12172">
      <w:pPr>
        <w:pStyle w:val="enumlev1"/>
      </w:pPr>
      <w:r w:rsidRPr="0010490F">
        <w:t>–</w:t>
      </w:r>
      <w:r w:rsidRPr="0010490F">
        <w:tab/>
        <w:t>el mayor potencial para la interoperabilidad;</w:t>
      </w:r>
    </w:p>
    <w:p w:rsidR="00AD6982" w:rsidRPr="0010490F" w:rsidRDefault="00AD6982" w:rsidP="00AD6982">
      <w:pPr>
        <w:pStyle w:val="enumlev1"/>
      </w:pPr>
      <w:r w:rsidRPr="0010490F">
        <w:t>–</w:t>
      </w:r>
      <w:r w:rsidRPr="0010490F">
        <w:tab/>
        <w:t>una mayor base de fabricación y un mayor volumen de equipos que se traduzca en economías de escala y en una amplia disponibilidad de equipos;</w:t>
      </w:r>
    </w:p>
    <w:p w:rsidR="00AD6982" w:rsidRPr="0010490F" w:rsidRDefault="00AD6982" w:rsidP="00AD6982">
      <w:pPr>
        <w:pStyle w:val="enumlev1"/>
      </w:pPr>
      <w:r w:rsidRPr="0010490F">
        <w:t>–</w:t>
      </w:r>
      <w:r w:rsidRPr="0010490F">
        <w:tab/>
        <w:t>la mejora de la gestión y la planificación del espectro; y</w:t>
      </w:r>
    </w:p>
    <w:p w:rsidR="00AD6982" w:rsidRPr="0010490F" w:rsidRDefault="00AD6982" w:rsidP="00AD6982">
      <w:pPr>
        <w:pStyle w:val="enumlev1"/>
      </w:pPr>
      <w:r w:rsidRPr="0010490F">
        <w:t>–</w:t>
      </w:r>
      <w:r w:rsidRPr="0010490F">
        <w:tab/>
        <w:t>la mayor coordinación internacional y la mayor circulación de equipos;</w:t>
      </w:r>
    </w:p>
    <w:p w:rsidR="00AD6982" w:rsidRPr="0010490F" w:rsidRDefault="00AD6982" w:rsidP="00AD6982">
      <w:r w:rsidRPr="0010490F">
        <w:t>b)</w:t>
      </w:r>
      <w:r w:rsidRPr="0010490F">
        <w:tab/>
        <w:t>que la planificación del espectro para las radiocomunicaciones de protección pública y operaciones de socorro se lleva a cabo a nivel nacional, teniendo presente la necesidad de interoperabilidad y las ventajas que se derivan para administraciones vecinas de la utilización armonizada o común de las bandas de frecuencia;</w:t>
      </w:r>
    </w:p>
    <w:p w:rsidR="00AD6982" w:rsidRPr="0010490F" w:rsidRDefault="00AD6982" w:rsidP="00AD6982">
      <w:r w:rsidRPr="0010490F">
        <w:t>c)</w:t>
      </w:r>
      <w:r w:rsidRPr="0010490F">
        <w:tab/>
        <w:t>los beneficios derivados de la cooperación entre países para la prestación de asistencia humanitaria eficaz y adecuada durante las catástrofes;</w:t>
      </w:r>
    </w:p>
    <w:p w:rsidR="00AD6982" w:rsidRPr="0010490F" w:rsidRDefault="00AD6982" w:rsidP="00AD6982">
      <w:r w:rsidRPr="0010490F">
        <w:t>d)</w:t>
      </w:r>
      <w:r w:rsidRPr="0010490F">
        <w:tab/>
        <w:t>las necesidades de los países, en particular los países en desarrollo, de contar con equipos de comunicaciones de bajo coste;</w:t>
      </w:r>
    </w:p>
    <w:p w:rsidR="00AD6982" w:rsidRPr="0010490F" w:rsidRDefault="00AD6982" w:rsidP="00AD6982">
      <w:r w:rsidRPr="0010490F">
        <w:t>e)</w:t>
      </w:r>
      <w:r w:rsidRPr="0010490F">
        <w:tab/>
        <w:t>que no todas las frecuencias dentro de una gama de frecuencias común identificada estarán disponibles en cada país de la Región UIT correspondiente;</w:t>
      </w:r>
    </w:p>
    <w:p w:rsidR="00AD6982" w:rsidRPr="0010490F" w:rsidRDefault="00AD6982" w:rsidP="00AD6982">
      <w:r w:rsidRPr="0010490F">
        <w:t>f)</w:t>
      </w:r>
      <w:r w:rsidRPr="0010490F">
        <w:tab/>
        <w:t>que las administraciones deben tener flexibilidad para:</w:t>
      </w:r>
    </w:p>
    <w:p w:rsidR="00AD6982" w:rsidRPr="0010490F" w:rsidRDefault="00AD6982" w:rsidP="00AD6982">
      <w:pPr>
        <w:pStyle w:val="enumlev1"/>
        <w:spacing w:before="60"/>
      </w:pPr>
      <w:r w:rsidRPr="0010490F">
        <w:t>–</w:t>
      </w:r>
      <w:r w:rsidRPr="0010490F">
        <w:tab/>
        <w:t>determinar, en el plano nacional, la cantidad de espectro que deben poner a disposición para la protección pública y las operaciones de socorro, de las bandas identificadas en la Resolución 646 (Rev.CMR-12), a fin de atender a sus necesidades nacionales particulares;</w:t>
      </w:r>
    </w:p>
    <w:p w:rsidR="00AD6982" w:rsidRPr="0010490F" w:rsidRDefault="00AD6982" w:rsidP="00AD6982">
      <w:pPr>
        <w:pStyle w:val="enumlev1"/>
        <w:spacing w:before="60"/>
      </w:pPr>
      <w:r w:rsidRPr="0010490F">
        <w:t>–</w:t>
      </w:r>
      <w:r w:rsidRPr="0010490F">
        <w:tab/>
        <w:t>hacer posible que las bandas identificadas en la Resolución 646 (Rev.CMR-12) puedan ser utilizadas por todos los servicios que tienen atribuciones dentro de esas bandas de conformidad con las disposiciones del Reglamento de Radiocomunicaciones, teniendo en cuenta las aplicaciones actuales y su evolución;</w:t>
      </w:r>
    </w:p>
    <w:p w:rsidR="00AD6982" w:rsidRPr="0010490F" w:rsidRDefault="00AD6982" w:rsidP="00AD6982">
      <w:pPr>
        <w:pStyle w:val="enumlev1"/>
        <w:spacing w:before="60"/>
      </w:pPr>
      <w:r w:rsidRPr="0010490F">
        <w:t>–</w:t>
      </w:r>
      <w:r w:rsidRPr="0010490F">
        <w:tab/>
      </w:r>
      <w:r w:rsidRPr="0010490F">
        <w:rPr>
          <w:spacing w:val="-2"/>
        </w:rPr>
        <w:t xml:space="preserve">determinar la necesidad y oportunidad de poner a disposición las bandas identificadas en la </w:t>
      </w:r>
      <w:r w:rsidRPr="0010490F">
        <w:t>Resolución 646 (Rev.CMR-12)</w:t>
      </w:r>
      <w:r w:rsidRPr="0010490F">
        <w:rPr>
          <w:spacing w:val="-2"/>
        </w:rPr>
        <w:t xml:space="preserve">, </w:t>
      </w:r>
      <w:r w:rsidRPr="0010490F">
        <w:t>así</w:t>
      </w:r>
      <w:r w:rsidRPr="0010490F">
        <w:rPr>
          <w:spacing w:val="-2"/>
        </w:rPr>
        <w:t xml:space="preserve"> como las condiciones de su utilización, con fines de protección pública y operaciones de socorro, a fin de atender a las situaciones nacionales particulares,</w:t>
      </w:r>
    </w:p>
    <w:p w:rsidR="00AD6982" w:rsidRPr="0010490F" w:rsidRDefault="00AD6982" w:rsidP="00AD6982">
      <w:r w:rsidRPr="0010490F">
        <w:t>g)</w:t>
      </w:r>
      <w:r w:rsidRPr="0010490F">
        <w:tab/>
        <w:t>que la información sobre tecnologías adecuadas para su utilización en estas disposiciones de frecuencia figura en la Recomendación UIT-R M.2009 que se envió para adopción/aprobación por correspondencia en la Circular Administrativa CAR/329;</w:t>
      </w:r>
    </w:p>
    <w:p w:rsidR="00AD6982" w:rsidRPr="0010490F" w:rsidRDefault="00AD6982" w:rsidP="00366F2F">
      <w:r w:rsidRPr="0010490F">
        <w:t>h)</w:t>
      </w:r>
      <w:r w:rsidRPr="0010490F">
        <w:rPr>
          <w:sz w:val="14"/>
          <w:szCs w:val="14"/>
        </w:rPr>
        <w:tab/>
      </w:r>
      <w:r w:rsidRPr="0010490F">
        <w:t>la relación de la Resolución 646 (Rev.CMR-12), sobre protección pública y operaciones de socorro que invita a desarrollar esta Recomendación, con la Resolución 647 (CMR-07) relativa a directrices sobre gestión del espectro para radiocomunicaciones de emergencia y operaciones de socorro en caso de catástrofe y con la Resolución</w:t>
      </w:r>
      <w:r w:rsidR="00366F2F">
        <w:t> </w:t>
      </w:r>
      <w:r w:rsidRPr="0010490F">
        <w:t>644 (Rev.CMR-</w:t>
      </w:r>
      <w:r w:rsidR="00AF1E28">
        <w:t>07</w:t>
      </w:r>
      <w:r w:rsidRPr="0010490F">
        <w:t>) sobre recursos de radiocomunicaciones para la alerta temprana, la mitigación de los efectos de las catástrofes y las operaciones de socorro, que también aborda la necesidad de coordinar las actividades llevadas a cabo con arreglo a estas Resoluciones a fin de evitar la posible duplicación de trabajos,</w:t>
      </w:r>
    </w:p>
    <w:p w:rsidR="00AD6982" w:rsidRPr="0010490F" w:rsidRDefault="00AD6982" w:rsidP="00AD6982">
      <w:pPr>
        <w:pStyle w:val="Call"/>
      </w:pPr>
      <w:r w:rsidRPr="0010490F">
        <w:lastRenderedPageBreak/>
        <w:t>reconociendo</w:t>
      </w:r>
    </w:p>
    <w:p w:rsidR="00AD6982" w:rsidRPr="0010490F" w:rsidRDefault="00AD6982" w:rsidP="00370AA1">
      <w:pPr>
        <w:keepNext/>
        <w:keepLines/>
      </w:pPr>
      <w:r w:rsidRPr="0010490F">
        <w:t>a)</w:t>
      </w:r>
      <w:r w:rsidRPr="0010490F">
        <w:tab/>
        <w:t>la Resolución</w:t>
      </w:r>
      <w:r w:rsidR="00370AA1">
        <w:t> </w:t>
      </w:r>
      <w:r w:rsidRPr="0010490F">
        <w:t>646 (Rev.CMR-12) que alienta a las administraciones a considerar las siguientes bandas/gamas de frecuencia identificadas o partes de ellas cuando lleven a cabo su plan nacional a fin de lograr unas bandas/gamas de frecuencia armonizadas a nivel regional para la protección pública y las operaciones de socorro:</w:t>
      </w:r>
    </w:p>
    <w:p w:rsidR="00AD6982" w:rsidRPr="0010490F" w:rsidRDefault="00AD6982" w:rsidP="00F12172">
      <w:pPr>
        <w:pStyle w:val="enumlev1"/>
      </w:pPr>
      <w:r w:rsidRPr="0010490F">
        <w:rPr>
          <w:rFonts w:ascii="TimesNewRoman" w:hAnsi="TimesNewRoman"/>
        </w:rPr>
        <w:t>–</w:t>
      </w:r>
      <w:r w:rsidRPr="0010490F">
        <w:tab/>
        <w:t>en la Región</w:t>
      </w:r>
      <w:r w:rsidR="00F12172">
        <w:t> </w:t>
      </w:r>
      <w:r w:rsidRPr="0010490F">
        <w:t>1: 380</w:t>
      </w:r>
      <w:r w:rsidR="00F12172">
        <w:t>-</w:t>
      </w:r>
      <w:r w:rsidRPr="0010490F">
        <w:t>470</w:t>
      </w:r>
      <w:r w:rsidR="00F12172">
        <w:t> </w:t>
      </w:r>
      <w:r w:rsidRPr="0010490F">
        <w:t>MHz como gama de frecuencia dentro de la cual la banda</w:t>
      </w:r>
      <w:r w:rsidR="00F12172">
        <w:t xml:space="preserve"> </w:t>
      </w:r>
      <w:r w:rsidRPr="0010490F">
        <w:t>380</w:t>
      </w:r>
      <w:r w:rsidR="00F12172">
        <w:noBreakHyphen/>
      </w:r>
      <w:r w:rsidRPr="0010490F">
        <w:t>385/390</w:t>
      </w:r>
      <w:r w:rsidR="00F12172">
        <w:t>-</w:t>
      </w:r>
      <w:r w:rsidRPr="0010490F">
        <w:t>395 MHz es una banda armonizada básica preferida para las actividades permanentes de protección pública dentro de determinados países de la Región 1 que dieron su acuerdo;</w:t>
      </w:r>
    </w:p>
    <w:p w:rsidR="00AD6982" w:rsidRPr="0010490F" w:rsidRDefault="00AD6982" w:rsidP="00AD6982">
      <w:pPr>
        <w:pStyle w:val="enumlev1"/>
      </w:pPr>
      <w:r w:rsidRPr="0010490F">
        <w:rPr>
          <w:rFonts w:ascii="TimesNewRoman" w:hAnsi="TimesNewRoman"/>
        </w:rPr>
        <w:t>–</w:t>
      </w:r>
      <w:r w:rsidRPr="0010490F">
        <w:rPr>
          <w:rFonts w:ascii="TimesNewRoman" w:hAnsi="TimesNewRoman"/>
        </w:rPr>
        <w:tab/>
        <w:t>e</w:t>
      </w:r>
      <w:r w:rsidRPr="0010490F">
        <w:t>n la Región 2</w:t>
      </w:r>
      <w:r w:rsidRPr="0010490F">
        <w:rPr>
          <w:rStyle w:val="FootnoteReference"/>
        </w:rPr>
        <w:footnoteReference w:id="1"/>
      </w:r>
      <w:r w:rsidRPr="0010490F">
        <w:t>: 746-806 MHz, 806-869 MHz, 4 940-4 990 MHz;</w:t>
      </w:r>
    </w:p>
    <w:p w:rsidR="00AD6982" w:rsidRPr="0010490F" w:rsidRDefault="00AD6982" w:rsidP="00CF2F5E">
      <w:pPr>
        <w:pStyle w:val="enumlev1"/>
      </w:pPr>
      <w:r w:rsidRPr="0010490F">
        <w:rPr>
          <w:rFonts w:ascii="TimesNewRoman" w:hAnsi="TimesNewRoman"/>
        </w:rPr>
        <w:t>–</w:t>
      </w:r>
      <w:r w:rsidRPr="0010490F">
        <w:rPr>
          <w:rFonts w:ascii="TimesNewRoman" w:hAnsi="TimesNewRoman"/>
        </w:rPr>
        <w:tab/>
      </w:r>
      <w:r w:rsidRPr="0010490F">
        <w:t>en Región 3</w:t>
      </w:r>
      <w:r w:rsidRPr="0010490F">
        <w:rPr>
          <w:rStyle w:val="FootnoteReference"/>
        </w:rPr>
        <w:footnoteReference w:id="2"/>
      </w:r>
      <w:r w:rsidRPr="0010490F">
        <w:t>: 406</w:t>
      </w:r>
      <w:r w:rsidR="00CF2F5E">
        <w:t>,</w:t>
      </w:r>
      <w:r w:rsidRPr="0010490F">
        <w:t>1-430 MHz, 440-470 MHz, 806-824/851-869 MHz, 4 940</w:t>
      </w:r>
      <w:r w:rsidRPr="0010490F">
        <w:noBreakHyphen/>
        <w:t>4 990 MHz y 5 850-5 925 MHz;</w:t>
      </w:r>
    </w:p>
    <w:p w:rsidR="00AD6982" w:rsidRPr="0010490F" w:rsidRDefault="00AD6982" w:rsidP="00AD6982">
      <w:r w:rsidRPr="0010490F">
        <w:t>b)</w:t>
      </w:r>
      <w:r w:rsidRPr="0010490F">
        <w:tab/>
        <w:t>la urgente necesidad de establecer disposiciones de frecuencia armonizadas regionalmente en la gama de frecuencias 380-470 MHz en la Región 1, en la gama 746-806 MHz en la Región 2 y en la gama de frecuencias 806-824/851-869 MHz en algunos países de la Región 3 a efectos de implementar soluciones avanzadas para la protección pública y las operaciones de socorro</w:t>
      </w:r>
      <w:r w:rsidRPr="0010490F">
        <w:rPr>
          <w:szCs w:val="24"/>
        </w:rPr>
        <w:t>;</w:t>
      </w:r>
    </w:p>
    <w:p w:rsidR="00AD6982" w:rsidRPr="0010490F" w:rsidRDefault="00AD6982" w:rsidP="000A2DF6">
      <w:r w:rsidRPr="0010490F">
        <w:t>c)</w:t>
      </w:r>
      <w:r w:rsidRPr="0010490F">
        <w:tab/>
        <w:t>que en el contexto de la Resolución</w:t>
      </w:r>
      <w:r w:rsidR="000A2DF6">
        <w:t> </w:t>
      </w:r>
      <w:r w:rsidRPr="0010490F">
        <w:t>646 (Rev.CMR-12), el término «gama de frecuencias» se refiere a una gama de frecuencias en la cual está previsto que un equipo de radiocomunicaciones sea capaz de funcionar, pero limitado a bandas de frecuencias específicas de acuerdo con las condiciones y necesidades nacionales;</w:t>
      </w:r>
    </w:p>
    <w:p w:rsidR="00AD6982" w:rsidRPr="0010490F" w:rsidRDefault="00AD6982" w:rsidP="00366F2F">
      <w:r w:rsidRPr="0010490F">
        <w:t>d)</w:t>
      </w:r>
      <w:r w:rsidRPr="0010490F">
        <w:tab/>
        <w:t>que la identificación de estas bandas/gamas de frecuencia o partes de ellas para las radiocomunicaciones de protección pública y operaciones de socorro no impide la utilización de cualquier otra frecuencia, ni establece prioridad alguna al respecto, para la protección pública y las operaciones de socorro de conformidad con el Reglamento de Radiocomunicaciones, incluidas las disposiciones de la Resolución</w:t>
      </w:r>
      <w:r w:rsidR="00366F2F">
        <w:t> </w:t>
      </w:r>
      <w:r w:rsidRPr="0010490F">
        <w:t>646 (Rev.CMR-12) y no impide tampoco el uso de estas bandas/frecuencias para cualquier aplicación de los servicios a los que estas bandas/frecuencias estén atribuidas;</w:t>
      </w:r>
    </w:p>
    <w:p w:rsidR="00AD6982" w:rsidRPr="0010490F" w:rsidRDefault="00AD6982" w:rsidP="000A2DF6">
      <w:pPr>
        <w:rPr>
          <w:color w:val="000000"/>
        </w:rPr>
      </w:pPr>
      <w:r w:rsidRPr="0010490F">
        <w:t>e)</w:t>
      </w:r>
      <w:r w:rsidRPr="0010490F">
        <w:tab/>
        <w:t>que las bandas de frecuencias identificadas en la Resolución</w:t>
      </w:r>
      <w:r w:rsidR="000A2DF6">
        <w:t> </w:t>
      </w:r>
      <w:r w:rsidRPr="0010490F">
        <w:t>646 (Rev.CMR-12) y cubiertas por la presente Recomendación están atribuidas a una variedad de servicios de acuerdo con las disposiciones pertinentes del Reglamento de Radiocomunicaciones</w:t>
      </w:r>
      <w:r w:rsidRPr="0010490F">
        <w:rPr>
          <w:color w:val="000000"/>
        </w:rPr>
        <w:t>;</w:t>
      </w:r>
    </w:p>
    <w:p w:rsidR="00AD6982" w:rsidRPr="0010490F" w:rsidRDefault="00AD6982" w:rsidP="00AD6982">
      <w:r w:rsidRPr="0010490F">
        <w:t>f)</w:t>
      </w:r>
      <w:r w:rsidRPr="0010490F">
        <w:tab/>
        <w:t>que las disposiciones de frecuencia de los Anexos se destinan a aplicaciones de protección pública y operaciones de socorro del servicio móvil a nivel nacional;</w:t>
      </w:r>
    </w:p>
    <w:p w:rsidR="00AD6982" w:rsidRPr="0010490F" w:rsidRDefault="00AD6982" w:rsidP="00AD6982">
      <w:r w:rsidRPr="0010490F">
        <w:t>g)</w:t>
      </w:r>
      <w:r w:rsidRPr="0010490F">
        <w:tab/>
        <w:t>que la compatibilidad de las estaciones que utilizan estas disposiciones de frecuencia con otros servicios que funcionan en otros países se estudia en la UIT a nivel de servicio y no a nivel de aplicación;</w:t>
      </w:r>
    </w:p>
    <w:p w:rsidR="00AD6982" w:rsidRPr="0010490F" w:rsidRDefault="00AD6982" w:rsidP="008C2201">
      <w:pPr>
        <w:keepNext/>
        <w:keepLines/>
      </w:pPr>
      <w:r w:rsidRPr="0010490F">
        <w:lastRenderedPageBreak/>
        <w:t>h)</w:t>
      </w:r>
      <w:r w:rsidRPr="0010490F">
        <w:tab/>
        <w:t>que la Resolución UIT-R 53 encarga al Director de la Oficina de Radiocomunicaciones que ayude a los Estados Miembros con sus actividades de preparación de las radiocomunicaciones de emergencia, que incluyen la elaboración de una lista de frecuencias disponibles actualmente para su empleo en situaciones de emergencia a fin de incluirlas en una base de datos mantenida por la Oficina;</w:t>
      </w:r>
    </w:p>
    <w:p w:rsidR="00AD6982" w:rsidRPr="0010490F" w:rsidRDefault="00AD6982" w:rsidP="000A2DF6">
      <w:r w:rsidRPr="0010490F">
        <w:t>j)</w:t>
      </w:r>
      <w:r w:rsidRPr="0010490F">
        <w:tab/>
      </w:r>
      <w:r w:rsidRPr="0010490F">
        <w:rPr>
          <w:szCs w:val="24"/>
        </w:rPr>
        <w:t>que la CMR</w:t>
      </w:r>
      <w:r w:rsidRPr="0010490F">
        <w:rPr>
          <w:szCs w:val="24"/>
        </w:rPr>
        <w:noBreakHyphen/>
        <w:t xml:space="preserve">07 identificó bandas de frecuencias, incluida la banda 450-470 MHz y parte de las bandas o </w:t>
      </w:r>
      <w:r w:rsidR="00F12172">
        <w:rPr>
          <w:szCs w:val="24"/>
        </w:rPr>
        <w:t>todas las bandas de la gama 698-</w:t>
      </w:r>
      <w:r w:rsidRPr="0010490F">
        <w:rPr>
          <w:szCs w:val="24"/>
        </w:rPr>
        <w:t>960 MHz en ciertas Regiones y países, para su utilización por las administraciones que deseen implementar las IMT, como se indica en los números 5.286AA, 5.317A,</w:t>
      </w:r>
      <w:r w:rsidR="000A2DF6">
        <w:rPr>
          <w:szCs w:val="24"/>
        </w:rPr>
        <w:t xml:space="preserve"> </w:t>
      </w:r>
      <w:r w:rsidRPr="0010490F">
        <w:rPr>
          <w:szCs w:val="24"/>
        </w:rPr>
        <w:t>5.313A, 5.316, 5.316A y 5.316B del RR, en la Resolución</w:t>
      </w:r>
      <w:r w:rsidR="00F12172">
        <w:rPr>
          <w:szCs w:val="24"/>
        </w:rPr>
        <w:t> </w:t>
      </w:r>
      <w:r w:rsidR="00F12172">
        <w:rPr>
          <w:bCs/>
          <w:szCs w:val="24"/>
        </w:rPr>
        <w:t>224 (Rev.CMR-</w:t>
      </w:r>
      <w:r w:rsidRPr="0010490F">
        <w:rPr>
          <w:bCs/>
          <w:szCs w:val="24"/>
        </w:rPr>
        <w:t>07)</w:t>
      </w:r>
      <w:r w:rsidRPr="0010490F">
        <w:rPr>
          <w:szCs w:val="24"/>
        </w:rPr>
        <w:t xml:space="preserve"> y en la Resolución </w:t>
      </w:r>
      <w:r w:rsidRPr="0010490F">
        <w:rPr>
          <w:bCs/>
          <w:szCs w:val="24"/>
        </w:rPr>
        <w:t>749 (CMR</w:t>
      </w:r>
      <w:r w:rsidR="00F12172">
        <w:rPr>
          <w:bCs/>
          <w:szCs w:val="24"/>
        </w:rPr>
        <w:t>-</w:t>
      </w:r>
      <w:r w:rsidRPr="0010490F">
        <w:rPr>
          <w:bCs/>
          <w:szCs w:val="24"/>
        </w:rPr>
        <w:t>07)</w:t>
      </w:r>
      <w:r w:rsidRPr="0010490F">
        <w:rPr>
          <w:szCs w:val="24"/>
        </w:rPr>
        <w:t>;</w:t>
      </w:r>
      <w:r w:rsidRPr="0010490F">
        <w:t xml:space="preserve"> </w:t>
      </w:r>
    </w:p>
    <w:p w:rsidR="00AD6982" w:rsidRPr="0010490F" w:rsidRDefault="00AD6982" w:rsidP="000A2DF6">
      <w:pPr>
        <w:rPr>
          <w:iCs/>
        </w:rPr>
      </w:pPr>
      <w:r w:rsidRPr="0010490F">
        <w:rPr>
          <w:szCs w:val="24"/>
        </w:rPr>
        <w:t>k)</w:t>
      </w:r>
      <w:r w:rsidRPr="0010490F">
        <w:rPr>
          <w:szCs w:val="24"/>
        </w:rPr>
        <w:tab/>
        <w:t>que la Conferencia Regional de Radiocomunicaciones (Ginebra, 2006) estableció un Acuerdo Regional relativo a la planificación del servicio de radiodifusión terrenal digital en la</w:t>
      </w:r>
      <w:r w:rsidRPr="0010490F">
        <w:rPr>
          <w:iCs/>
        </w:rPr>
        <w:t xml:space="preserve"> Región 1 (partes</w:t>
      </w:r>
      <w:r w:rsidR="000A2DF6">
        <w:rPr>
          <w:iCs/>
        </w:rPr>
        <w:t xml:space="preserve"> </w:t>
      </w:r>
      <w:r w:rsidRPr="0010490F">
        <w:rPr>
          <w:iCs/>
        </w:rPr>
        <w:t>de la Región 1</w:t>
      </w:r>
      <w:r w:rsidRPr="0010490F">
        <w:rPr>
          <w:i/>
          <w:iCs/>
        </w:rPr>
        <w:t xml:space="preserve"> situadas al oeste del meridiano</w:t>
      </w:r>
      <w:r w:rsidR="000A2DF6">
        <w:rPr>
          <w:i/>
          <w:iCs/>
        </w:rPr>
        <w:t xml:space="preserve"> </w:t>
      </w:r>
      <w:r w:rsidRPr="0010490F">
        <w:rPr>
          <w:i/>
          <w:iCs/>
        </w:rPr>
        <w:t>170° E y al norte del paralelo</w:t>
      </w:r>
      <w:r w:rsidR="00F12172">
        <w:rPr>
          <w:i/>
          <w:iCs/>
        </w:rPr>
        <w:t> </w:t>
      </w:r>
      <w:r w:rsidRPr="0010490F">
        <w:rPr>
          <w:i/>
          <w:iCs/>
        </w:rPr>
        <w:t>40° S</w:t>
      </w:r>
      <w:r w:rsidRPr="0010490F">
        <w:rPr>
          <w:iCs/>
        </w:rPr>
        <w:t>, exceptuando el territorio de Mongolia) y en la República Islámica del Irán, en las bandas de frecuencia 174</w:t>
      </w:r>
      <w:r w:rsidR="00F12172">
        <w:rPr>
          <w:iCs/>
        </w:rPr>
        <w:t>-</w:t>
      </w:r>
      <w:r w:rsidRPr="0010490F">
        <w:rPr>
          <w:iCs/>
        </w:rPr>
        <w:t>230 MHz y 470-862 MHz (GE-06);</w:t>
      </w:r>
    </w:p>
    <w:p w:rsidR="00AD6982" w:rsidRPr="0010490F" w:rsidRDefault="00AD6982" w:rsidP="00AD6982">
      <w:r w:rsidRPr="0010490F">
        <w:rPr>
          <w:iCs/>
        </w:rPr>
        <w:t>l)</w:t>
      </w:r>
      <w:r w:rsidRPr="0010490F">
        <w:rPr>
          <w:iCs/>
        </w:rPr>
        <w:tab/>
      </w:r>
      <w:r w:rsidRPr="0010490F">
        <w:t>que los sistemas inalámbricos terrenales comerciales pueden complementar de manera eficaz a los sistemas especializados en apoyo a las tareas protección pública y operaciones de socorro, especialmente cuando pueden aprovecharse las ventajas inherentes a la disponibilidad, velocidad binaria elevada y características de fiabilidad de estos sistemas comerciales. Puede que en algunos casos sea necesario mejorar el comportamiento de tales sistemas comerciales para que satisfagan las necesidades específicas de los organismos de protección pública y operaciones de socorro</w:t>
      </w:r>
      <w:r w:rsidRPr="0010490F">
        <w:rPr>
          <w:iCs/>
        </w:rPr>
        <w:t>,</w:t>
      </w:r>
    </w:p>
    <w:p w:rsidR="00AD6982" w:rsidRPr="0010490F" w:rsidRDefault="00AD6982" w:rsidP="00AD6982">
      <w:pPr>
        <w:pStyle w:val="Call"/>
      </w:pPr>
      <w:r w:rsidRPr="0010490F">
        <w:t>recomienda</w:t>
      </w:r>
    </w:p>
    <w:p w:rsidR="00AD6982" w:rsidRPr="0010490F" w:rsidRDefault="00AD6982" w:rsidP="00AD6982">
      <w:r w:rsidRPr="0010490F">
        <w:rPr>
          <w:b/>
          <w:bCs/>
        </w:rPr>
        <w:t>1</w:t>
      </w:r>
      <w:r w:rsidRPr="0010490F">
        <w:tab/>
        <w:t>que las administraciones que implementen las disposiciones de frecuencia que figuran en los Anexos hagan todos los esfuerzos necesarios para garantizar la compatibilidad entre la protección pública y las operaciones de socorro y las estaciones de otros servicios situados en países vecinos;</w:t>
      </w:r>
    </w:p>
    <w:p w:rsidR="00AD6982" w:rsidRPr="0010490F" w:rsidRDefault="00AD6982" w:rsidP="00AD6982">
      <w:r w:rsidRPr="0010490F">
        <w:rPr>
          <w:b/>
          <w:bCs/>
        </w:rPr>
        <w:t>2</w:t>
      </w:r>
      <w:r w:rsidRPr="0010490F">
        <w:tab/>
        <w:t xml:space="preserve">que las administraciones empleen como directrices las disposiciones de frecuencia de los Anexos cuando pongan espectro disponible para las aplicaciones de protección pública y operaciones de socorro en las bandas de frecuencia descritas en el </w:t>
      </w:r>
      <w:r w:rsidRPr="0010490F">
        <w:rPr>
          <w:i/>
          <w:iCs/>
        </w:rPr>
        <w:t>reconociendo</w:t>
      </w:r>
      <w:r w:rsidRPr="0010490F">
        <w:t xml:space="preserve"> b).</w:t>
      </w:r>
    </w:p>
    <w:p w:rsidR="007E4114" w:rsidRDefault="007E4114" w:rsidP="00AD6982"/>
    <w:p w:rsidR="00C0532B" w:rsidRPr="0010490F" w:rsidRDefault="00C0532B" w:rsidP="00AD6982"/>
    <w:p w:rsidR="00AD6982" w:rsidRPr="0010490F" w:rsidRDefault="00AD6982" w:rsidP="005068A4">
      <w:pPr>
        <w:pStyle w:val="AnnexNoTitle"/>
      </w:pPr>
      <w:r w:rsidRPr="0010490F">
        <w:lastRenderedPageBreak/>
        <w:t>Anexo 1</w:t>
      </w:r>
      <w:r w:rsidR="005068A4">
        <w:br/>
      </w:r>
      <w:r w:rsidRPr="0010490F">
        <w:br/>
        <w:t>Ejemplos de disposiciones de frecuencias para la banda 380-470 MHz</w:t>
      </w:r>
      <w:r w:rsidR="00EE3F35">
        <w:br/>
        <w:t xml:space="preserve">en </w:t>
      </w:r>
      <w:r w:rsidRPr="0010490F">
        <w:t>ciertos países de la Región 1 para operaciones</w:t>
      </w:r>
      <w:r w:rsidR="00751200" w:rsidRPr="0010490F">
        <w:t xml:space="preserve"> de</w:t>
      </w:r>
      <w:r w:rsidR="00200282">
        <w:t xml:space="preserve"> </w:t>
      </w:r>
      <w:r w:rsidR="00EE3F35" w:rsidRPr="0010490F">
        <w:t>protección</w:t>
      </w:r>
      <w:r w:rsidR="00EE3F35">
        <w:br/>
      </w:r>
      <w:r w:rsidRPr="0010490F">
        <w:t>pública</w:t>
      </w:r>
      <w:r w:rsidR="00EE3F35">
        <w:t xml:space="preserve"> </w:t>
      </w:r>
      <w:r w:rsidRPr="0010490F">
        <w:t>y socorro en caso de catástrofe</w:t>
      </w:r>
      <w:r w:rsidR="00EE3F35">
        <w:t xml:space="preserve"> </w:t>
      </w:r>
      <w:r w:rsidRPr="0010490F">
        <w:t>en banda</w:t>
      </w:r>
      <w:r w:rsidR="00EE3F35">
        <w:br/>
      </w:r>
      <w:r w:rsidRPr="0010490F">
        <w:t>estrecha</w:t>
      </w:r>
      <w:r w:rsidR="00200282">
        <w:t xml:space="preserve"> </w:t>
      </w:r>
      <w:r w:rsidRPr="0010490F">
        <w:t>y banda amplia</w:t>
      </w:r>
    </w:p>
    <w:p w:rsidR="00AD6982" w:rsidRPr="0010490F" w:rsidRDefault="00AD6982" w:rsidP="000A2DF6">
      <w:pPr>
        <w:pStyle w:val="Normalaftertitle"/>
        <w:keepNext/>
        <w:keepLines/>
      </w:pPr>
      <w:r w:rsidRPr="0010490F">
        <w:t>La gama de frecuencias 380-470</w:t>
      </w:r>
      <w:r w:rsidR="000A2DF6">
        <w:t> </w:t>
      </w:r>
      <w:r w:rsidRPr="0010490F">
        <w:t>MHz se ha identificado como gama de sintonía para la protección pública y las operaciones de socorro en la Región 1. La banda de frecuencias 380-385</w:t>
      </w:r>
      <w:r w:rsidR="000A2DF6">
        <w:t> </w:t>
      </w:r>
      <w:r w:rsidRPr="0010490F">
        <w:t>MHz (enlace ascendente)/390-395 MHz (enlace descendente) es la banda central armonizada para su utilización permanente por tareas de protección pública y operaciones de socorro. Para más información sobre países de Europa consúltese ECC/DEC(08) y ECC Informe 102.</w:t>
      </w:r>
    </w:p>
    <w:p w:rsidR="00AD6982" w:rsidRPr="0010490F" w:rsidRDefault="00AD6982" w:rsidP="000A2DF6">
      <w:r w:rsidRPr="0010490F">
        <w:t>Las aplicaciones de protección pública y operaciones de socorro de banda amplia utilizan canales situados en partes disponibles de la gama de frecuencias 380</w:t>
      </w:r>
      <w:r w:rsidR="000A2DF6">
        <w:t>-</w:t>
      </w:r>
      <w:r w:rsidRPr="0010490F">
        <w:t>470 MHz.</w:t>
      </w:r>
    </w:p>
    <w:p w:rsidR="00AD6982" w:rsidRPr="0010490F" w:rsidRDefault="00AD6982" w:rsidP="00EE3F35">
      <w:r w:rsidRPr="0010490F">
        <w:t>Adicionalmente, ciertos canales se han identificado para DMO (funcionamiento en modo directo) y AGA (funcionamiento aire-tierra).</w:t>
      </w:r>
    </w:p>
    <w:p w:rsidR="00AD6982" w:rsidRPr="0010490F" w:rsidRDefault="00AD6982" w:rsidP="00AD6982">
      <w:pPr>
        <w:pStyle w:val="Headingb"/>
      </w:pPr>
      <w:r w:rsidRPr="0010490F">
        <w:t>DMO (funcionamiento en modo directo)</w:t>
      </w:r>
    </w:p>
    <w:p w:rsidR="00AD6982" w:rsidRPr="0010490F" w:rsidRDefault="00AD6982" w:rsidP="00AD6982">
      <w:r w:rsidRPr="0010490F">
        <w:t xml:space="preserve">Los canales </w:t>
      </w:r>
      <w:r w:rsidR="0010490F" w:rsidRPr="0010490F">
        <w:t>simplex</w:t>
      </w:r>
      <w:r w:rsidRPr="0010490F">
        <w:t xml:space="preserve"> en las bandas de frecuencias 380-380,150 MHz y 390-390,150 MHz deben utilizarse como canales armonizados para DMO. Para más información relativa a países de Europa consúltese ERC/DEC/(01)19.</w:t>
      </w:r>
    </w:p>
    <w:p w:rsidR="00AD6982" w:rsidRPr="0010490F" w:rsidRDefault="00AD6982" w:rsidP="00AD6982">
      <w:pPr>
        <w:pStyle w:val="Headingb"/>
      </w:pPr>
      <w:r w:rsidRPr="0010490F">
        <w:t>AGA (funcionamiento aire-tierra)</w:t>
      </w:r>
    </w:p>
    <w:p w:rsidR="00AD6982" w:rsidRPr="0010490F" w:rsidRDefault="00AD6982" w:rsidP="003A1D80">
      <w:r w:rsidRPr="0010490F">
        <w:t>Los canales dúplex en las bandas de frecuencia 384,800-385 MHz/394</w:t>
      </w:r>
      <w:r w:rsidR="008C2201">
        <w:t>,</w:t>
      </w:r>
      <w:r w:rsidRPr="0010490F">
        <w:t>800-395 MHz deben utilizarse como bandas centrales armonizados de AGA. Los canales dúplex en las bandas de frecuencias 384,750-384,800 MHz/394,750-394,800 MHz pueden emplease como banda de extensión preferida para AGA cuando se necesitan canales adicionales. Para más información relativa a países de Europa consúltese ECC/DEC/(06)05.</w:t>
      </w:r>
    </w:p>
    <w:p w:rsidR="00AD6982" w:rsidRPr="0010490F" w:rsidRDefault="000627FC" w:rsidP="00AD6982">
      <w:pPr>
        <w:pStyle w:val="Headingb"/>
      </w:pPr>
      <w:r>
        <w:t>Frecuencias centrales:</w:t>
      </w:r>
    </w:p>
    <w:p w:rsidR="00AD6982" w:rsidRPr="0010490F" w:rsidRDefault="00AD6982" w:rsidP="00AD6982">
      <w:pPr>
        <w:pStyle w:val="Headingi"/>
      </w:pPr>
      <w:r w:rsidRPr="0010490F">
        <w:t>a)</w:t>
      </w:r>
      <w:r w:rsidRPr="0010490F">
        <w:tab/>
        <w:t>Para sistemas con anchura de banda de canal de hasta 150 kHz</w:t>
      </w:r>
    </w:p>
    <w:p w:rsidR="00AD6982" w:rsidRPr="0010490F" w:rsidRDefault="00AD6982" w:rsidP="00AD6982">
      <w:pPr>
        <w:pStyle w:val="Equation"/>
      </w:pPr>
      <w:r w:rsidRPr="0010490F">
        <w:tab/>
      </w:r>
      <w:r w:rsidRPr="0010490F">
        <w:tab/>
      </w:r>
      <w:r w:rsidRPr="0010490F">
        <w:rPr>
          <w:i/>
        </w:rPr>
        <w:t>F</w:t>
      </w:r>
      <w:r w:rsidRPr="0010490F">
        <w:rPr>
          <w:i/>
          <w:szCs w:val="24"/>
          <w:vertAlign w:val="subscript"/>
        </w:rPr>
        <w:t>CH</w:t>
      </w:r>
      <w:r w:rsidRPr="0010490F">
        <w:t xml:space="preserve"> = borde de la banda – (anchura de banda de canal/2) + </w:t>
      </w:r>
      <w:r w:rsidRPr="0010490F">
        <w:rPr>
          <w:i/>
        </w:rPr>
        <w:t>n</w:t>
      </w:r>
      <w:r w:rsidRPr="0010490F">
        <w:t xml:space="preserve"> * anchura de banda de canal</w:t>
      </w:r>
    </w:p>
    <w:p w:rsidR="00AD6982" w:rsidRPr="0010490F" w:rsidRDefault="00AD6982" w:rsidP="00AD6982">
      <w:r w:rsidRPr="0010490F">
        <w:t>donde:</w:t>
      </w:r>
    </w:p>
    <w:p w:rsidR="00AD6982" w:rsidRPr="0010490F" w:rsidRDefault="00AD6982" w:rsidP="00A5422D">
      <w:pPr>
        <w:pStyle w:val="Equationlegend"/>
        <w:tabs>
          <w:tab w:val="clear" w:pos="1701"/>
          <w:tab w:val="right" w:pos="1871"/>
        </w:tabs>
        <w:rPr>
          <w:lang w:val="es-ES"/>
        </w:rPr>
      </w:pPr>
      <w:r w:rsidRPr="0010490F">
        <w:rPr>
          <w:lang w:val="es-ES"/>
        </w:rPr>
        <w:tab/>
      </w:r>
      <w:r w:rsidRPr="0010490F">
        <w:rPr>
          <w:i/>
          <w:lang w:val="es-ES"/>
        </w:rPr>
        <w:t>F</w:t>
      </w:r>
      <w:r w:rsidRPr="0010490F">
        <w:rPr>
          <w:i/>
          <w:szCs w:val="24"/>
          <w:vertAlign w:val="subscript"/>
          <w:lang w:val="es-ES"/>
        </w:rPr>
        <w:t>CH</w:t>
      </w:r>
      <w:r w:rsidRPr="0010490F">
        <w:rPr>
          <w:lang w:val="es-ES"/>
        </w:rPr>
        <w:t xml:space="preserve"> </w:t>
      </w:r>
      <w:r w:rsidR="00A5422D">
        <w:rPr>
          <w:lang w:val="es-ES"/>
        </w:rPr>
        <w:t xml:space="preserve"> </w:t>
      </w:r>
      <w:r w:rsidRPr="0010490F">
        <w:rPr>
          <w:lang w:val="es-ES"/>
        </w:rPr>
        <w:t xml:space="preserve">= </w:t>
      </w:r>
      <w:r w:rsidRPr="0010490F">
        <w:rPr>
          <w:lang w:val="es-ES"/>
        </w:rPr>
        <w:tab/>
        <w:t>frecuencia central</w:t>
      </w:r>
    </w:p>
    <w:p w:rsidR="00AD6982" w:rsidRPr="0010490F" w:rsidRDefault="00AD6982" w:rsidP="00A5422D">
      <w:pPr>
        <w:pStyle w:val="Equationlegend"/>
        <w:tabs>
          <w:tab w:val="clear" w:pos="1701"/>
          <w:tab w:val="right" w:pos="1871"/>
        </w:tabs>
        <w:rPr>
          <w:lang w:val="es-ES"/>
        </w:rPr>
      </w:pPr>
      <w:r w:rsidRPr="0010490F">
        <w:rPr>
          <w:lang w:val="es-ES"/>
        </w:rPr>
        <w:tab/>
      </w:r>
      <w:r w:rsidRPr="0010490F">
        <w:rPr>
          <w:i/>
          <w:lang w:val="es-ES"/>
        </w:rPr>
        <w:t xml:space="preserve">n </w:t>
      </w:r>
      <w:r w:rsidR="00A5422D">
        <w:rPr>
          <w:i/>
          <w:lang w:val="es-ES"/>
        </w:rPr>
        <w:t xml:space="preserve"> </w:t>
      </w:r>
      <w:r w:rsidRPr="0010490F">
        <w:rPr>
          <w:lang w:val="es-ES"/>
        </w:rPr>
        <w:t xml:space="preserve">= </w:t>
      </w:r>
      <w:r w:rsidRPr="0010490F">
        <w:rPr>
          <w:lang w:val="es-ES"/>
        </w:rPr>
        <w:tab/>
        <w:t>número de canal (1, 2, 3, ...)</w:t>
      </w:r>
    </w:p>
    <w:p w:rsidR="00AD6982" w:rsidRPr="0010490F" w:rsidRDefault="00AD6982" w:rsidP="00A5422D">
      <w:pPr>
        <w:pStyle w:val="Equationlegend"/>
        <w:tabs>
          <w:tab w:val="clear" w:pos="1701"/>
          <w:tab w:val="right" w:pos="1871"/>
        </w:tabs>
        <w:rPr>
          <w:lang w:val="es-ES"/>
        </w:rPr>
      </w:pPr>
      <w:r w:rsidRPr="0010490F">
        <w:rPr>
          <w:lang w:val="es-ES"/>
        </w:rPr>
        <w:tab/>
        <w:t>borde de la banda:</w:t>
      </w:r>
      <w:r w:rsidRPr="0010490F">
        <w:rPr>
          <w:lang w:val="es-ES"/>
        </w:rPr>
        <w:tab/>
        <w:t>es el borde inferior de la banda.</w:t>
      </w:r>
    </w:p>
    <w:p w:rsidR="00AD6982" w:rsidRPr="0010490F" w:rsidRDefault="00AD6982" w:rsidP="00AD6982">
      <w:pPr>
        <w:pStyle w:val="Headingi"/>
      </w:pPr>
      <w:r w:rsidRPr="0010490F">
        <w:t>b)</w:t>
      </w:r>
      <w:r w:rsidRPr="0010490F">
        <w:tab/>
        <w:t>Para sistemas con una anchura de banda de canal de 200 kHz</w:t>
      </w:r>
    </w:p>
    <w:p w:rsidR="00AD6982" w:rsidRPr="0010490F" w:rsidRDefault="00AD6982" w:rsidP="00AD6982">
      <w:r w:rsidRPr="0010490F">
        <w:t xml:space="preserve">Las frecuencias centrales deben seleccionarse de acuerdo a la fórmula que aparece en </w:t>
      </w:r>
      <w:r w:rsidRPr="0010490F">
        <w:rPr>
          <w:i/>
        </w:rPr>
        <w:t xml:space="preserve">a) </w:t>
      </w:r>
      <w:r w:rsidRPr="0010490F">
        <w:t>con una opción para desplazar estas frecuencias centrales 100 kHz.</w:t>
      </w:r>
    </w:p>
    <w:p w:rsidR="00AD6982" w:rsidRPr="0010490F" w:rsidRDefault="00AD6982" w:rsidP="00AD6982">
      <w:pPr>
        <w:pStyle w:val="Headingi"/>
      </w:pPr>
      <w:r w:rsidRPr="0010490F">
        <w:t>c)</w:t>
      </w:r>
      <w:r w:rsidRPr="0010490F">
        <w:tab/>
        <w:t>Para sistemas con una anchura de banda de canal de 1,25 MHz</w:t>
      </w:r>
    </w:p>
    <w:p w:rsidR="00AD6982" w:rsidRPr="0010490F" w:rsidRDefault="00AD6982" w:rsidP="00AD6982">
      <w:r w:rsidRPr="0010490F">
        <w:t xml:space="preserve">Las frecuencias centrales deben seleccionarse de acuerdo a la fórmula que aparece en </w:t>
      </w:r>
      <w:r w:rsidRPr="0010490F">
        <w:rPr>
          <w:i/>
        </w:rPr>
        <w:t xml:space="preserve">a) </w:t>
      </w:r>
      <w:r w:rsidRPr="0010490F">
        <w:t>con una opción para desplazar estas frecuencias centrales con un número múltiplo de 12,5 kHz, a fin de ofrecer la flexibilidad de ubicar las frecuencias centrales en la posición óptima dentro de la banda.</w:t>
      </w:r>
    </w:p>
    <w:p w:rsidR="004A348E" w:rsidRDefault="004A348E" w:rsidP="00AD6982"/>
    <w:p w:rsidR="00AD6982" w:rsidRPr="0010490F" w:rsidRDefault="00AD6982" w:rsidP="00A5422D">
      <w:pPr>
        <w:pStyle w:val="AnnexNoTitle"/>
      </w:pPr>
      <w:r w:rsidRPr="0010490F">
        <w:lastRenderedPageBreak/>
        <w:t>Anexo 2</w:t>
      </w:r>
      <w:r w:rsidRPr="0010490F">
        <w:br/>
      </w:r>
      <w:r w:rsidRPr="0010490F">
        <w:br/>
        <w:t>Ejemplos de disposiciones de frecuencias en las bandas</w:t>
      </w:r>
      <w:r w:rsidR="008C2201">
        <w:t xml:space="preserve"> </w:t>
      </w:r>
      <w:r w:rsidR="000C0A15">
        <w:t xml:space="preserve">763-776 </w:t>
      </w:r>
      <w:r w:rsidRPr="0010490F">
        <w:t>MHz</w:t>
      </w:r>
      <w:r w:rsidR="00A5422D">
        <w:br/>
      </w:r>
      <w:r w:rsidRPr="0010490F">
        <w:t>y</w:t>
      </w:r>
      <w:r w:rsidR="00A5422D">
        <w:t xml:space="preserve"> </w:t>
      </w:r>
      <w:r w:rsidRPr="0010490F">
        <w:t>793-806 MHz en ciertos países</w:t>
      </w:r>
      <w:r w:rsidR="004A348E" w:rsidRPr="0010490F">
        <w:t xml:space="preserve"> de la</w:t>
      </w:r>
      <w:r w:rsidR="008C2201">
        <w:t xml:space="preserve"> </w:t>
      </w:r>
      <w:r w:rsidRPr="0010490F">
        <w:t>Región 2</w:t>
      </w:r>
      <w:r w:rsidR="008C2201">
        <w:t xml:space="preserve"> </w:t>
      </w:r>
      <w:r w:rsidRPr="0010490F">
        <w:t>para</w:t>
      </w:r>
      <w:r w:rsidR="00A5422D">
        <w:t xml:space="preserve"> </w:t>
      </w:r>
      <w:r w:rsidRPr="0010490F">
        <w:t>las operaciones</w:t>
      </w:r>
      <w:r w:rsidR="00A5422D">
        <w:br/>
      </w:r>
      <w:r w:rsidRPr="0010490F">
        <w:t>de protección pública</w:t>
      </w:r>
      <w:r w:rsidR="008C2201">
        <w:t xml:space="preserve"> </w:t>
      </w:r>
      <w:r w:rsidRPr="0010490F">
        <w:t>y socorro</w:t>
      </w:r>
      <w:r w:rsidR="00A5422D">
        <w:t xml:space="preserve"> </w:t>
      </w:r>
      <w:r w:rsidRPr="0010490F">
        <w:t>en caso de</w:t>
      </w:r>
      <w:r w:rsidR="004A348E" w:rsidRPr="0010490F">
        <w:t xml:space="preserve"> </w:t>
      </w:r>
      <w:r w:rsidRPr="0010490F">
        <w:t>catástrofe en banda</w:t>
      </w:r>
      <w:r w:rsidR="00A5422D">
        <w:br/>
      </w:r>
      <w:r w:rsidRPr="0010490F">
        <w:t>estrecha,</w:t>
      </w:r>
      <w:r w:rsidR="00A5422D">
        <w:t xml:space="preserve"> </w:t>
      </w:r>
      <w:r w:rsidRPr="0010490F">
        <w:t>banda amplia y banda ancha</w:t>
      </w:r>
    </w:p>
    <w:p w:rsidR="00AD6982" w:rsidRPr="0010490F" w:rsidRDefault="00AD6982" w:rsidP="004A348E">
      <w:pPr>
        <w:pStyle w:val="Heading1"/>
        <w:rPr>
          <w:rFonts w:eastAsia="MS Mincho"/>
        </w:rPr>
      </w:pPr>
      <w:r w:rsidRPr="0010490F">
        <w:rPr>
          <w:rFonts w:eastAsia="MS Mincho"/>
        </w:rPr>
        <w:t>1</w:t>
      </w:r>
      <w:r w:rsidRPr="0010490F">
        <w:rPr>
          <w:rFonts w:eastAsia="MS Mincho"/>
        </w:rPr>
        <w:tab/>
        <w:t>Región 2</w:t>
      </w:r>
    </w:p>
    <w:p w:rsidR="00AD6982" w:rsidRPr="0010490F" w:rsidRDefault="00AD6982" w:rsidP="00080C0C">
      <w:pPr>
        <w:rPr>
          <w:rFonts w:eastAsia="MS Mincho"/>
        </w:rPr>
      </w:pPr>
      <w:r w:rsidRPr="0010490F">
        <w:rPr>
          <w:rFonts w:eastAsia="MS Mincho"/>
        </w:rPr>
        <w:t>La gama de frecuencias 764-776 MHz y 794-806 MHz se ha identificado para protección pública y operaciones de socorro en el Documento de la CITEL</w:t>
      </w:r>
      <w:r w:rsidRPr="0010490F">
        <w:rPr>
          <w:szCs w:val="22"/>
        </w:rPr>
        <w:t xml:space="preserve"> PCC.II/REC.</w:t>
      </w:r>
      <w:r w:rsidR="00080C0C">
        <w:rPr>
          <w:szCs w:val="22"/>
        </w:rPr>
        <w:t> </w:t>
      </w:r>
      <w:r w:rsidRPr="0010490F">
        <w:rPr>
          <w:szCs w:val="22"/>
        </w:rPr>
        <w:t>18 (VII-06)</w:t>
      </w:r>
      <w:r w:rsidRPr="0010490F">
        <w:rPr>
          <w:rFonts w:eastAsia="MS Mincho"/>
        </w:rPr>
        <w:t xml:space="preserve">. </w:t>
      </w:r>
      <w:r w:rsidRPr="0010490F">
        <w:t>En esta gama de frecuencias las administraciones podrían considerar un cierto número de posibles ejemplos de disposiciones de frecuencias, como se indica a continuación.</w:t>
      </w:r>
    </w:p>
    <w:p w:rsidR="00AD6982" w:rsidRPr="0010490F" w:rsidRDefault="00AD6982" w:rsidP="00AD6982">
      <w:pPr>
        <w:pStyle w:val="Heading2"/>
        <w:rPr>
          <w:rFonts w:eastAsia="MS Mincho"/>
          <w:b w:val="0"/>
        </w:rPr>
      </w:pPr>
      <w:r w:rsidRPr="0010490F">
        <w:rPr>
          <w:rFonts w:eastAsia="MS Mincho"/>
        </w:rPr>
        <w:t>1.1</w:t>
      </w:r>
      <w:r w:rsidRPr="0010490F">
        <w:rPr>
          <w:rFonts w:eastAsia="MS Mincho"/>
        </w:rPr>
        <w:tab/>
        <w:t>Ejemplo de disposición de frecuencias «A»</w:t>
      </w:r>
      <w:r w:rsidRPr="00AB410F">
        <w:rPr>
          <w:rFonts w:eastAsia="MS Mincho"/>
          <w:b w:val="0"/>
          <w:bCs/>
          <w:vertAlign w:val="superscript"/>
        </w:rPr>
        <w:footnoteReference w:id="3"/>
      </w:r>
    </w:p>
    <w:p w:rsidR="00AD6982" w:rsidRPr="0010490F" w:rsidRDefault="00AD6982" w:rsidP="00AD698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3118"/>
        <w:gridCol w:w="3288"/>
      </w:tblGrid>
      <w:tr w:rsidR="00AD6982" w:rsidRPr="0010490F" w:rsidTr="008C2201">
        <w:trPr>
          <w:jc w:val="center"/>
        </w:trPr>
        <w:tc>
          <w:tcPr>
            <w:tcW w:w="3118" w:type="dxa"/>
            <w:vAlign w:val="center"/>
          </w:tcPr>
          <w:p w:rsidR="00AD6982" w:rsidRPr="0010490F" w:rsidRDefault="00AD6982" w:rsidP="008C2201">
            <w:pPr>
              <w:pStyle w:val="Tablehead"/>
            </w:pPr>
            <w:r w:rsidRPr="0010490F">
              <w:t>Estación de base transmisora</w:t>
            </w:r>
            <w:r w:rsidR="008C2201">
              <w:br/>
            </w:r>
            <w:r w:rsidRPr="0010490F">
              <w:t>(MHz)</w:t>
            </w:r>
          </w:p>
        </w:tc>
        <w:tc>
          <w:tcPr>
            <w:tcW w:w="3118" w:type="dxa"/>
            <w:vAlign w:val="center"/>
          </w:tcPr>
          <w:p w:rsidR="00AD6982" w:rsidRPr="0010490F" w:rsidRDefault="00AD6982" w:rsidP="008C2201">
            <w:pPr>
              <w:pStyle w:val="Tablehead"/>
            </w:pPr>
            <w:r w:rsidRPr="0010490F">
              <w:t>Estación móvil transmisora</w:t>
            </w:r>
            <w:r w:rsidR="008C2201">
              <w:br/>
            </w:r>
            <w:r w:rsidRPr="0010490F">
              <w:t>(MHz)</w:t>
            </w:r>
          </w:p>
        </w:tc>
        <w:tc>
          <w:tcPr>
            <w:tcW w:w="3288" w:type="dxa"/>
            <w:vAlign w:val="center"/>
          </w:tcPr>
          <w:p w:rsidR="00AD6982" w:rsidRPr="0010490F" w:rsidRDefault="00AD6982" w:rsidP="00B17B93">
            <w:pPr>
              <w:pStyle w:val="Tablehead"/>
            </w:pPr>
            <w:r w:rsidRPr="0010490F">
              <w:t>Bloque de frecuencias</w:t>
            </w:r>
          </w:p>
        </w:tc>
      </w:tr>
      <w:tr w:rsidR="00AD6982" w:rsidRPr="0010490F" w:rsidTr="008C2201">
        <w:trPr>
          <w:jc w:val="center"/>
        </w:trPr>
        <w:tc>
          <w:tcPr>
            <w:tcW w:w="3118" w:type="dxa"/>
          </w:tcPr>
          <w:p w:rsidR="00AD6982" w:rsidRPr="0010490F" w:rsidRDefault="00AD6982" w:rsidP="00B17B93">
            <w:pPr>
              <w:pStyle w:val="Tabletext"/>
              <w:jc w:val="center"/>
            </w:pPr>
            <w:r w:rsidRPr="0010490F">
              <w:t>764-768</w:t>
            </w:r>
          </w:p>
        </w:tc>
        <w:tc>
          <w:tcPr>
            <w:tcW w:w="3118" w:type="dxa"/>
          </w:tcPr>
          <w:p w:rsidR="00AD6982" w:rsidRPr="0010490F" w:rsidRDefault="00AD6982" w:rsidP="00B17B93">
            <w:pPr>
              <w:pStyle w:val="Tabletext"/>
              <w:jc w:val="center"/>
            </w:pPr>
            <w:r w:rsidRPr="0010490F">
              <w:t>794-798</w:t>
            </w:r>
          </w:p>
        </w:tc>
        <w:tc>
          <w:tcPr>
            <w:tcW w:w="3288" w:type="dxa"/>
          </w:tcPr>
          <w:p w:rsidR="00AD6982" w:rsidRPr="0010490F" w:rsidRDefault="00AD6982" w:rsidP="008C2201">
            <w:pPr>
              <w:pStyle w:val="Tabletext"/>
              <w:jc w:val="center"/>
            </w:pPr>
            <w:r w:rsidRPr="0010490F">
              <w:t>Protección pública y</w:t>
            </w:r>
            <w:r w:rsidR="008C2201">
              <w:t xml:space="preserve"> </w:t>
            </w:r>
            <w:r w:rsidRPr="0010490F">
              <w:t>operaciones socorro 1</w:t>
            </w:r>
          </w:p>
        </w:tc>
      </w:tr>
      <w:tr w:rsidR="00AD6982" w:rsidRPr="0010490F" w:rsidTr="008C2201">
        <w:trPr>
          <w:jc w:val="center"/>
        </w:trPr>
        <w:tc>
          <w:tcPr>
            <w:tcW w:w="3118" w:type="dxa"/>
            <w:tcBorders>
              <w:top w:val="single" w:sz="4" w:space="0" w:color="auto"/>
              <w:left w:val="single" w:sz="4" w:space="0" w:color="auto"/>
              <w:bottom w:val="single" w:sz="4" w:space="0" w:color="auto"/>
              <w:right w:val="single" w:sz="4" w:space="0" w:color="auto"/>
            </w:tcBorders>
          </w:tcPr>
          <w:p w:rsidR="00AD6982" w:rsidRPr="0010490F" w:rsidRDefault="00AD6982" w:rsidP="00B17B93">
            <w:pPr>
              <w:pStyle w:val="Tabletext"/>
              <w:jc w:val="center"/>
            </w:pPr>
            <w:r w:rsidRPr="0010490F">
              <w:t>768-776</w:t>
            </w:r>
          </w:p>
        </w:tc>
        <w:tc>
          <w:tcPr>
            <w:tcW w:w="3118" w:type="dxa"/>
            <w:tcBorders>
              <w:top w:val="single" w:sz="4" w:space="0" w:color="auto"/>
              <w:left w:val="single" w:sz="4" w:space="0" w:color="auto"/>
              <w:bottom w:val="single" w:sz="4" w:space="0" w:color="auto"/>
              <w:right w:val="single" w:sz="4" w:space="0" w:color="auto"/>
            </w:tcBorders>
          </w:tcPr>
          <w:p w:rsidR="00AD6982" w:rsidRPr="0010490F" w:rsidRDefault="00AD6982" w:rsidP="00B17B93">
            <w:pPr>
              <w:pStyle w:val="Tabletext"/>
              <w:jc w:val="center"/>
            </w:pPr>
            <w:r w:rsidRPr="0010490F">
              <w:t>798-806</w:t>
            </w:r>
          </w:p>
        </w:tc>
        <w:tc>
          <w:tcPr>
            <w:tcW w:w="3288" w:type="dxa"/>
            <w:tcBorders>
              <w:top w:val="single" w:sz="4" w:space="0" w:color="auto"/>
              <w:left w:val="single" w:sz="4" w:space="0" w:color="auto"/>
              <w:bottom w:val="single" w:sz="4" w:space="0" w:color="auto"/>
              <w:right w:val="single" w:sz="4" w:space="0" w:color="auto"/>
            </w:tcBorders>
          </w:tcPr>
          <w:p w:rsidR="00AD6982" w:rsidRPr="0010490F" w:rsidRDefault="00AD6982" w:rsidP="008C2201">
            <w:pPr>
              <w:pStyle w:val="Tabletext"/>
              <w:jc w:val="center"/>
            </w:pPr>
            <w:r w:rsidRPr="0010490F">
              <w:t>Protección pública y</w:t>
            </w:r>
            <w:r w:rsidR="008C2201">
              <w:t xml:space="preserve"> </w:t>
            </w:r>
            <w:r w:rsidRPr="0010490F">
              <w:t>operaciones socorro 2</w:t>
            </w:r>
          </w:p>
        </w:tc>
      </w:tr>
    </w:tbl>
    <w:p w:rsidR="00AD6982" w:rsidRPr="0010490F" w:rsidRDefault="00AD6982" w:rsidP="00AD6982">
      <w:pPr>
        <w:pStyle w:val="Tablefin"/>
        <w:rPr>
          <w:lang w:val="es-ES"/>
        </w:rPr>
      </w:pPr>
    </w:p>
    <w:p w:rsidR="00AD6982" w:rsidRPr="0010490F" w:rsidRDefault="00AD6982" w:rsidP="00AD6982">
      <w:pPr>
        <w:pStyle w:val="FigureNo"/>
        <w:keepNext w:val="0"/>
        <w:keepLines w:val="0"/>
      </w:pPr>
      <w:r w:rsidRPr="0010490F">
        <w:rPr>
          <w:noProof/>
          <w:lang w:val="en-US" w:eastAsia="zh-CN"/>
        </w:rPr>
        <mc:AlternateContent>
          <mc:Choice Requires="wps">
            <w:drawing>
              <wp:anchor distT="0" distB="0" distL="114300" distR="114300" simplePos="0" relativeHeight="251663360" behindDoc="0" locked="0" layoutInCell="1" allowOverlap="1" wp14:anchorId="6B99A86D" wp14:editId="00DF5F9A">
                <wp:simplePos x="0" y="0"/>
                <wp:positionH relativeFrom="column">
                  <wp:posOffset>753475</wp:posOffset>
                </wp:positionH>
                <wp:positionV relativeFrom="paragraph">
                  <wp:posOffset>1689539</wp:posOffset>
                </wp:positionV>
                <wp:extent cx="4933813" cy="651263"/>
                <wp:effectExtent l="0" t="0" r="19685" b="15875"/>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813" cy="651263"/>
                        </a:xfrm>
                        <a:prstGeom prst="rect">
                          <a:avLst/>
                        </a:prstGeom>
                        <a:solidFill>
                          <a:sysClr val="window" lastClr="FFFFFF"/>
                        </a:solidFill>
                        <a:ln w="9525">
                          <a:solidFill>
                            <a:sysClr val="window" lastClr="FFFFFF"/>
                          </a:solidFill>
                          <a:miter lim="800000"/>
                          <a:headEnd/>
                          <a:tailEnd/>
                        </a:ln>
                      </wps:spPr>
                      <wps:txbx>
                        <w:txbxContent>
                          <w:p w:rsidR="00AD6982" w:rsidRDefault="00AD6982" w:rsidP="00AD6982">
                            <w:pPr>
                              <w:tabs>
                                <w:tab w:val="left" w:pos="426"/>
                              </w:tabs>
                              <w:spacing w:before="0"/>
                              <w:rPr>
                                <w:sz w:val="20"/>
                                <w:lang w:val="es-ES_tradnl"/>
                              </w:rPr>
                            </w:pPr>
                            <w:r>
                              <w:rPr>
                                <w:sz w:val="20"/>
                                <w:lang w:val="es-ES_tradnl"/>
                              </w:rPr>
                              <w:t>*</w:t>
                            </w:r>
                            <w:r>
                              <w:rPr>
                                <w:sz w:val="20"/>
                                <w:lang w:val="es-ES_tradnl"/>
                              </w:rPr>
                              <w:tab/>
                              <w:t>El bloque A está sujeto a una futura consulta.</w:t>
                            </w:r>
                          </w:p>
                          <w:p w:rsidR="00AD6982" w:rsidRPr="004D3040" w:rsidRDefault="00AD6982" w:rsidP="000C0A15">
                            <w:pPr>
                              <w:tabs>
                                <w:tab w:val="left" w:pos="426"/>
                              </w:tabs>
                              <w:spacing w:before="60"/>
                              <w:jc w:val="left"/>
                              <w:rPr>
                                <w:sz w:val="20"/>
                                <w:lang w:val="es-ES_tradnl"/>
                              </w:rPr>
                            </w:pPr>
                            <w:r>
                              <w:rPr>
                                <w:sz w:val="20"/>
                                <w:lang w:val="es-ES_tradnl"/>
                              </w:rPr>
                              <w:t>**</w:t>
                            </w:r>
                            <w:r>
                              <w:rPr>
                                <w:sz w:val="20"/>
                                <w:lang w:val="es-ES_tradnl"/>
                              </w:rPr>
                              <w:tab/>
                              <w:t xml:space="preserve">La cantidad de espectro de banda estrecha (BE) y banda amplia (BA) vendrá fijado </w:t>
                            </w:r>
                            <w:r w:rsidR="000C0A15">
                              <w:rPr>
                                <w:sz w:val="20"/>
                                <w:lang w:val="es-ES_tradnl"/>
                              </w:rPr>
                              <w:t>norma</w:t>
                            </w:r>
                            <w:r>
                              <w:rPr>
                                <w:sz w:val="20"/>
                                <w:lang w:val="es-ES_tradnl"/>
                              </w:rPr>
                              <w:tab/>
                            </w:r>
                            <w:r w:rsidR="000C0A15">
                              <w:rPr>
                                <w:sz w:val="20"/>
                                <w:lang w:val="es-ES_tradnl"/>
                              </w:rPr>
                              <w:t xml:space="preserve">en la </w:t>
                            </w:r>
                            <w:r>
                              <w:rPr>
                                <w:sz w:val="20"/>
                                <w:lang w:val="es-ES_tradnl"/>
                              </w:rPr>
                              <w:t>pertinente.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9.35pt;margin-top:133.05pt;width:388.5pt;height:5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" fillcolor="window" strokecolor="window">
                <v:textbox inset="0,0,0,0">
                  <w:txbxContent>
                    <w:p w:rsidR="00AD6982" w:rsidRDefault="00AD6982" w:rsidP="00AD6982">
                      <w:pPr>
                        <w:tabs>
                          <w:tab w:val="left" w:pos="426"/>
                        </w:tabs>
                        <w:spacing w:before="0"/>
                        <w:rPr>
                          <w:sz w:val="20"/>
                          <w:lang w:val="es-ES_tradnl"/>
                        </w:rPr>
                      </w:pPr>
                      <w:r>
                        <w:rPr>
                          <w:sz w:val="20"/>
                          <w:lang w:val="es-ES_tradnl"/>
                        </w:rPr>
                        <w:t>*</w:t>
                      </w:r>
                      <w:r>
                        <w:rPr>
                          <w:sz w:val="20"/>
                          <w:lang w:val="es-ES_tradnl"/>
                        </w:rPr>
                        <w:tab/>
                        <w:t>El bloque A está sujeto a una futura consulta.</w:t>
                      </w:r>
                    </w:p>
                    <w:p w:rsidR="00AD6982" w:rsidRPr="004D3040" w:rsidRDefault="00AD6982" w:rsidP="000C0A15">
                      <w:pPr>
                        <w:tabs>
                          <w:tab w:val="left" w:pos="426"/>
                        </w:tabs>
                        <w:spacing w:before="60"/>
                        <w:jc w:val="left"/>
                        <w:rPr>
                          <w:sz w:val="20"/>
                          <w:lang w:val="es-ES_tradnl"/>
                        </w:rPr>
                      </w:pPr>
                      <w:r>
                        <w:rPr>
                          <w:sz w:val="20"/>
                          <w:lang w:val="es-ES_tradnl"/>
                        </w:rPr>
                        <w:t>**</w:t>
                      </w:r>
                      <w:r>
                        <w:rPr>
                          <w:sz w:val="20"/>
                          <w:lang w:val="es-ES_tradnl"/>
                        </w:rPr>
                        <w:tab/>
                        <w:t>La cantidad de espectro de b</w:t>
                      </w:r>
                      <w:bookmarkStart w:id="4" w:name="_GoBack"/>
                      <w:bookmarkEnd w:id="4"/>
                      <w:r>
                        <w:rPr>
                          <w:sz w:val="20"/>
                          <w:lang w:val="es-ES_tradnl"/>
                        </w:rPr>
                        <w:t xml:space="preserve">anda estrecha (BE) y banda amplia (BA) vendrá fijado </w:t>
                      </w:r>
                      <w:r w:rsidR="000C0A15">
                        <w:rPr>
                          <w:sz w:val="20"/>
                          <w:lang w:val="es-ES_tradnl"/>
                        </w:rPr>
                        <w:t>norma</w:t>
                      </w:r>
                      <w:r>
                        <w:rPr>
                          <w:sz w:val="20"/>
                          <w:lang w:val="es-ES_tradnl"/>
                        </w:rPr>
                        <w:tab/>
                      </w:r>
                      <w:r w:rsidR="000C0A15">
                        <w:rPr>
                          <w:sz w:val="20"/>
                          <w:lang w:val="es-ES_tradnl"/>
                        </w:rPr>
                        <w:t>en la</w:t>
                      </w:r>
                      <w:r w:rsidR="000C0A15">
                        <w:rPr>
                          <w:sz w:val="20"/>
                          <w:lang w:val="es-ES_tradnl"/>
                        </w:rPr>
                        <w:t xml:space="preserve"> </w:t>
                      </w:r>
                      <w:r>
                        <w:rPr>
                          <w:sz w:val="20"/>
                          <w:lang w:val="es-ES_tradnl"/>
                        </w:rPr>
                        <w:t>pertinente.</w:t>
                      </w:r>
                    </w:p>
                  </w:txbxContent>
                </v:textbox>
              </v:shape>
            </w:pict>
          </mc:Fallback>
        </mc:AlternateContent>
      </w:r>
      <w:r w:rsidRPr="0010490F">
        <w:rPr>
          <w:noProof/>
          <w:lang w:val="en-US" w:eastAsia="zh-CN"/>
        </w:rPr>
        <mc:AlternateContent>
          <mc:Choice Requires="wps">
            <w:drawing>
              <wp:anchor distT="0" distB="0" distL="114300" distR="114300" simplePos="0" relativeHeight="251662336" behindDoc="0" locked="0" layoutInCell="1" allowOverlap="1" wp14:anchorId="1463501E" wp14:editId="41055914">
                <wp:simplePos x="0" y="0"/>
                <wp:positionH relativeFrom="column">
                  <wp:posOffset>4431030</wp:posOffset>
                </wp:positionH>
                <wp:positionV relativeFrom="paragraph">
                  <wp:posOffset>814655</wp:posOffset>
                </wp:positionV>
                <wp:extent cx="611505" cy="131445"/>
                <wp:effectExtent l="0" t="0" r="0" b="1905"/>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131445"/>
                        </a:xfrm>
                        <a:prstGeom prst="rect">
                          <a:avLst/>
                        </a:prstGeom>
                        <a:solidFill>
                          <a:srgbClr val="CC99FF"/>
                        </a:solidFill>
                        <a:ln w="9525">
                          <a:noFill/>
                          <a:miter lim="800000"/>
                          <a:headEnd/>
                          <a:tailEnd/>
                        </a:ln>
                      </wps:spPr>
                      <wps:txbx>
                        <w:txbxContent>
                          <w:p w:rsidR="00AD6982" w:rsidRPr="009744E8" w:rsidRDefault="00AD6982" w:rsidP="00AD6982">
                            <w:pPr>
                              <w:spacing w:before="0"/>
                              <w:jc w:val="center"/>
                              <w:rPr>
                                <w:sz w:val="20"/>
                                <w:lang w:val="es-ES_tradnl"/>
                              </w:rPr>
                            </w:pPr>
                            <w:r>
                              <w:rPr>
                                <w:sz w:val="20"/>
                                <w:lang w:val="es-ES_tradnl"/>
                              </w:rPr>
                              <w:t>BE/BA**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48.9pt;margin-top:64.15pt;width:48.15pt;height:10.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" fillcolor="#c9f" stroked="f">
                <v:textbox inset="0,0,0,0">
                  <w:txbxContent>
                    <w:p w:rsidR="00AD6982" w:rsidRPr="009744E8" w:rsidRDefault="00AD6982" w:rsidP="00AD6982">
                      <w:pPr>
                        <w:spacing w:before="0"/>
                        <w:jc w:val="center"/>
                        <w:rPr>
                          <w:sz w:val="20"/>
                          <w:lang w:val="es-ES_tradnl"/>
                        </w:rPr>
                      </w:pPr>
                      <w:r>
                        <w:rPr>
                          <w:sz w:val="20"/>
                          <w:lang w:val="es-ES_tradnl"/>
                        </w:rPr>
                        <w:t>BE/BA**</w:t>
                      </w:r>
                    </w:p>
                  </w:txbxContent>
                </v:textbox>
              </v:shape>
            </w:pict>
          </mc:Fallback>
        </mc:AlternateContent>
      </w:r>
      <w:r w:rsidRPr="0010490F">
        <w:rPr>
          <w:noProof/>
          <w:lang w:val="en-US" w:eastAsia="zh-CN"/>
        </w:rPr>
        <mc:AlternateContent>
          <mc:Choice Requires="wps">
            <w:drawing>
              <wp:anchor distT="0" distB="0" distL="114300" distR="114300" simplePos="0" relativeHeight="251661312" behindDoc="0" locked="0" layoutInCell="1" allowOverlap="1" wp14:anchorId="053732DE" wp14:editId="31A71B4F">
                <wp:simplePos x="0" y="0"/>
                <wp:positionH relativeFrom="column">
                  <wp:posOffset>1582356</wp:posOffset>
                </wp:positionH>
                <wp:positionV relativeFrom="paragraph">
                  <wp:posOffset>814610</wp:posOffset>
                </wp:positionV>
                <wp:extent cx="611793" cy="131568"/>
                <wp:effectExtent l="0" t="0" r="0" b="1905"/>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93" cy="131568"/>
                        </a:xfrm>
                        <a:prstGeom prst="rect">
                          <a:avLst/>
                        </a:prstGeom>
                        <a:solidFill>
                          <a:srgbClr val="CC99FF"/>
                        </a:solidFill>
                        <a:ln w="9525">
                          <a:noFill/>
                          <a:miter lim="800000"/>
                          <a:headEnd/>
                          <a:tailEnd/>
                        </a:ln>
                      </wps:spPr>
                      <wps:txbx>
                        <w:txbxContent>
                          <w:p w:rsidR="00AD6982" w:rsidRPr="009744E8" w:rsidRDefault="00AD6982" w:rsidP="00AD6982">
                            <w:pPr>
                              <w:spacing w:before="0"/>
                              <w:jc w:val="center"/>
                              <w:rPr>
                                <w:sz w:val="20"/>
                                <w:lang w:val="es-ES_tradnl"/>
                              </w:rPr>
                            </w:pPr>
                            <w:r>
                              <w:rPr>
                                <w:sz w:val="20"/>
                                <w:lang w:val="es-ES_tradnl"/>
                              </w:rPr>
                              <w:t>BE/BA**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24.6pt;margin-top:64.15pt;width:48.15pt;height:1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" fillcolor="#c9f" stroked="f">
                <v:textbox inset="0,0,0,0">
                  <w:txbxContent>
                    <w:p w:rsidR="00AD6982" w:rsidRPr="009744E8" w:rsidRDefault="00AD6982" w:rsidP="00AD6982">
                      <w:pPr>
                        <w:spacing w:before="0"/>
                        <w:jc w:val="center"/>
                        <w:rPr>
                          <w:sz w:val="20"/>
                          <w:lang w:val="es-ES_tradnl"/>
                        </w:rPr>
                      </w:pPr>
                      <w:r>
                        <w:rPr>
                          <w:sz w:val="20"/>
                          <w:lang w:val="es-ES_tradnl"/>
                        </w:rPr>
                        <w:t>BE/BA**</w:t>
                      </w:r>
                    </w:p>
                  </w:txbxContent>
                </v:textbox>
              </v:shape>
            </w:pict>
          </mc:Fallback>
        </mc:AlternateContent>
      </w:r>
      <w:r w:rsidRPr="0010490F">
        <w:rPr>
          <w:noProof/>
          <w:lang w:val="en-US" w:eastAsia="zh-CN"/>
        </w:rPr>
        <mc:AlternateContent>
          <mc:Choice Requires="wps">
            <w:drawing>
              <wp:anchor distT="0" distB="0" distL="114300" distR="114300" simplePos="0" relativeHeight="251660288" behindDoc="0" locked="0" layoutInCell="1" allowOverlap="1" wp14:anchorId="72CF6310" wp14:editId="191853F4">
                <wp:simplePos x="0" y="0"/>
                <wp:positionH relativeFrom="column">
                  <wp:posOffset>3943985</wp:posOffset>
                </wp:positionH>
                <wp:positionV relativeFrom="paragraph">
                  <wp:posOffset>541883</wp:posOffset>
                </wp:positionV>
                <wp:extent cx="1038860" cy="1403985"/>
                <wp:effectExtent l="0" t="0" r="27940" b="16510"/>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860" cy="1403985"/>
                        </a:xfrm>
                        <a:prstGeom prst="rect">
                          <a:avLst/>
                        </a:prstGeom>
                        <a:solidFill>
                          <a:sysClr val="window" lastClr="FFFFFF"/>
                        </a:solidFill>
                        <a:ln w="9525">
                          <a:solidFill>
                            <a:sysClr val="window" lastClr="FFFFFF"/>
                          </a:solidFill>
                          <a:miter lim="800000"/>
                          <a:headEnd/>
                          <a:tailEnd/>
                        </a:ln>
                      </wps:spPr>
                      <wps:txbx>
                        <w:txbxContent>
                          <w:p w:rsidR="00AD6982" w:rsidRPr="009744E8" w:rsidRDefault="00AD6982" w:rsidP="00AD6982">
                            <w:pPr>
                              <w:spacing w:before="0"/>
                              <w:rPr>
                                <w:sz w:val="20"/>
                                <w:lang w:val="en-US"/>
                              </w:rPr>
                            </w:pPr>
                            <w:r w:rsidRPr="009744E8">
                              <w:rPr>
                                <w:sz w:val="20"/>
                              </w:rPr>
                              <w:t>Seguridad pública</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310.55pt;margin-top:42.65pt;width:81.8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" fillcolor="window" strokecolor="window">
                <v:textbox style="mso-fit-shape-to-text:t" inset="0,0,0,0">
                  <w:txbxContent>
                    <w:p w:rsidR="00AD6982" w:rsidRPr="009744E8" w:rsidRDefault="00AD6982" w:rsidP="00AD6982">
                      <w:pPr>
                        <w:spacing w:before="0"/>
                        <w:rPr>
                          <w:sz w:val="20"/>
                          <w:lang w:val="en-US"/>
                        </w:rPr>
                      </w:pPr>
                      <w:r w:rsidRPr="009744E8">
                        <w:rPr>
                          <w:sz w:val="20"/>
                        </w:rPr>
                        <w:t>Seguridad pública</w:t>
                      </w:r>
                    </w:p>
                  </w:txbxContent>
                </v:textbox>
              </v:shape>
            </w:pict>
          </mc:Fallback>
        </mc:AlternateContent>
      </w:r>
      <w:r w:rsidRPr="0010490F">
        <w:rPr>
          <w:noProof/>
          <w:lang w:val="en-US" w:eastAsia="zh-CN"/>
        </w:rPr>
        <mc:AlternateContent>
          <mc:Choice Requires="wps">
            <w:drawing>
              <wp:anchor distT="0" distB="0" distL="114300" distR="114300" simplePos="0" relativeHeight="251659264" behindDoc="0" locked="0" layoutInCell="1" allowOverlap="1" wp14:anchorId="555963EC" wp14:editId="615B3BFC">
                <wp:simplePos x="0" y="0"/>
                <wp:positionH relativeFrom="column">
                  <wp:posOffset>1226692</wp:posOffset>
                </wp:positionH>
                <wp:positionV relativeFrom="paragraph">
                  <wp:posOffset>538448</wp:posOffset>
                </wp:positionV>
                <wp:extent cx="1039390" cy="1403985"/>
                <wp:effectExtent l="0" t="0" r="27940" b="165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390" cy="1403985"/>
                        </a:xfrm>
                        <a:prstGeom prst="rect">
                          <a:avLst/>
                        </a:prstGeom>
                        <a:solidFill>
                          <a:sysClr val="window" lastClr="FFFFFF"/>
                        </a:solidFill>
                        <a:ln w="9525">
                          <a:solidFill>
                            <a:sysClr val="window" lastClr="FFFFFF"/>
                          </a:solidFill>
                          <a:miter lim="800000"/>
                          <a:headEnd/>
                          <a:tailEnd/>
                        </a:ln>
                      </wps:spPr>
                      <wps:txbx>
                        <w:txbxContent>
                          <w:p w:rsidR="00AD6982" w:rsidRPr="009744E8" w:rsidRDefault="00AD6982" w:rsidP="00AD6982">
                            <w:pPr>
                              <w:spacing w:before="0"/>
                              <w:rPr>
                                <w:sz w:val="20"/>
                                <w:lang w:val="en-US"/>
                              </w:rPr>
                            </w:pPr>
                            <w:r w:rsidRPr="009744E8">
                              <w:rPr>
                                <w:sz w:val="20"/>
                              </w:rPr>
                              <w:t>Seguridad pública</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96.6pt;margin-top:42.4pt;width:81.8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" fillcolor="window" strokecolor="window">
                <v:textbox style="mso-fit-shape-to-text:t" inset="0,0,0,0">
                  <w:txbxContent>
                    <w:p w:rsidR="00AD6982" w:rsidRPr="009744E8" w:rsidRDefault="00AD6982" w:rsidP="00AD6982">
                      <w:pPr>
                        <w:spacing w:before="0"/>
                        <w:rPr>
                          <w:sz w:val="20"/>
                          <w:lang w:val="en-US"/>
                        </w:rPr>
                      </w:pPr>
                      <w:r w:rsidRPr="009744E8">
                        <w:rPr>
                          <w:sz w:val="20"/>
                        </w:rPr>
                        <w:t>Seguridad pública</w:t>
                      </w:r>
                    </w:p>
                  </w:txbxContent>
                </v:textbox>
              </v:shape>
            </w:pict>
          </mc:Fallback>
        </mc:AlternateContent>
      </w:r>
      <w:bookmarkStart w:id="3" w:name="_GoBack"/>
      <w:r w:rsidRPr="0010490F">
        <w:rPr>
          <w:noProof/>
          <w:lang w:val="en-US" w:eastAsia="zh-CN"/>
        </w:rPr>
        <w:drawing>
          <wp:inline distT="0" distB="0" distL="0" distR="0" wp14:anchorId="041917EE" wp14:editId="51B7AFB8">
            <wp:extent cx="5486400" cy="183642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1836420"/>
                    </a:xfrm>
                    <a:prstGeom prst="rect">
                      <a:avLst/>
                    </a:prstGeom>
                    <a:noFill/>
                    <a:ln>
                      <a:noFill/>
                    </a:ln>
                  </pic:spPr>
                </pic:pic>
              </a:graphicData>
            </a:graphic>
          </wp:inline>
        </w:drawing>
      </w:r>
      <w:bookmarkEnd w:id="3"/>
    </w:p>
    <w:p w:rsidR="00AD6982" w:rsidRPr="0010490F" w:rsidRDefault="00AD6982" w:rsidP="00AD6982">
      <w:pPr>
        <w:pStyle w:val="Heading2"/>
        <w:rPr>
          <w:rFonts w:eastAsia="MS Mincho"/>
        </w:rPr>
      </w:pPr>
      <w:r w:rsidRPr="0010490F">
        <w:rPr>
          <w:rFonts w:eastAsia="MS Mincho"/>
        </w:rPr>
        <w:lastRenderedPageBreak/>
        <w:t>1.2</w:t>
      </w:r>
      <w:r w:rsidRPr="0010490F">
        <w:rPr>
          <w:rFonts w:eastAsia="MS Mincho"/>
        </w:rPr>
        <w:tab/>
        <w:t>Ejemplo de disposición de frecuencias «B»</w:t>
      </w:r>
      <w:r w:rsidRPr="00DE347D">
        <w:rPr>
          <w:rStyle w:val="FootnoteReference"/>
          <w:rFonts w:eastAsia="MS Mincho"/>
          <w:b w:val="0"/>
          <w:bCs/>
        </w:rPr>
        <w:footnoteReference w:id="4"/>
      </w:r>
    </w:p>
    <w:p w:rsidR="00AD6982" w:rsidRPr="0010490F" w:rsidRDefault="00AD6982" w:rsidP="00BE1920">
      <w:pPr>
        <w:keepNext/>
        <w:keepLine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3119"/>
        <w:gridCol w:w="3289"/>
      </w:tblGrid>
      <w:tr w:rsidR="004A348E" w:rsidRPr="0010490F" w:rsidTr="00DE347D">
        <w:trPr>
          <w:tblHeader/>
          <w:jc w:val="center"/>
        </w:trPr>
        <w:tc>
          <w:tcPr>
            <w:tcW w:w="3119" w:type="dxa"/>
            <w:vAlign w:val="center"/>
          </w:tcPr>
          <w:p w:rsidR="004A348E" w:rsidRPr="0010490F" w:rsidRDefault="004A348E" w:rsidP="00B17B93">
            <w:pPr>
              <w:pStyle w:val="Tablehead"/>
              <w:keepLines/>
            </w:pPr>
            <w:r w:rsidRPr="0010490F">
              <w:t>Estación de base transmisora (MHz)</w:t>
            </w:r>
          </w:p>
        </w:tc>
        <w:tc>
          <w:tcPr>
            <w:tcW w:w="3119" w:type="dxa"/>
            <w:vAlign w:val="center"/>
          </w:tcPr>
          <w:p w:rsidR="004A348E" w:rsidRPr="0010490F" w:rsidRDefault="004A348E" w:rsidP="00B17B93">
            <w:pPr>
              <w:pStyle w:val="Tablehead"/>
              <w:keepLines/>
            </w:pPr>
            <w:r w:rsidRPr="0010490F">
              <w:t>Estación móvil transmisora (MHz)</w:t>
            </w:r>
          </w:p>
        </w:tc>
        <w:tc>
          <w:tcPr>
            <w:tcW w:w="3289" w:type="dxa"/>
            <w:vAlign w:val="center"/>
          </w:tcPr>
          <w:p w:rsidR="004A348E" w:rsidRPr="0010490F" w:rsidRDefault="004A348E" w:rsidP="00B17B93">
            <w:pPr>
              <w:pStyle w:val="Tablehead"/>
              <w:keepLines/>
            </w:pPr>
            <w:r w:rsidRPr="0010490F">
              <w:t>Bloque de frecuencias</w:t>
            </w:r>
          </w:p>
        </w:tc>
      </w:tr>
      <w:tr w:rsidR="00AD6982" w:rsidRPr="0010490F" w:rsidTr="00DE347D">
        <w:trPr>
          <w:jc w:val="center"/>
        </w:trPr>
        <w:tc>
          <w:tcPr>
            <w:tcW w:w="3119" w:type="dxa"/>
          </w:tcPr>
          <w:p w:rsidR="00AD6982" w:rsidRPr="0010490F" w:rsidRDefault="00AD6982" w:rsidP="00B17B93">
            <w:pPr>
              <w:pStyle w:val="Tabletext"/>
              <w:keepNext/>
              <w:keepLines/>
              <w:jc w:val="center"/>
            </w:pPr>
            <w:r w:rsidRPr="0010490F">
              <w:t>763-768</w:t>
            </w:r>
          </w:p>
        </w:tc>
        <w:tc>
          <w:tcPr>
            <w:tcW w:w="3119" w:type="dxa"/>
          </w:tcPr>
          <w:p w:rsidR="00AD6982" w:rsidRPr="0010490F" w:rsidRDefault="00AD6982" w:rsidP="00B17B93">
            <w:pPr>
              <w:pStyle w:val="Tabletext"/>
              <w:keepNext/>
              <w:keepLines/>
              <w:jc w:val="center"/>
            </w:pPr>
            <w:r w:rsidRPr="0010490F">
              <w:t>793-798</w:t>
            </w:r>
          </w:p>
        </w:tc>
        <w:tc>
          <w:tcPr>
            <w:tcW w:w="3289" w:type="dxa"/>
          </w:tcPr>
          <w:p w:rsidR="00AD6982" w:rsidRPr="0010490F" w:rsidRDefault="00AD6982" w:rsidP="00DE347D">
            <w:pPr>
              <w:pStyle w:val="Tabletext"/>
              <w:keepNext/>
              <w:keepLines/>
              <w:jc w:val="center"/>
            </w:pPr>
            <w:r w:rsidRPr="0010490F">
              <w:t>Protección pública y</w:t>
            </w:r>
            <w:r w:rsidR="00DE347D">
              <w:t xml:space="preserve"> </w:t>
            </w:r>
            <w:r w:rsidRPr="0010490F">
              <w:t>operaciones socorro 1</w:t>
            </w:r>
            <w:r w:rsidR="00DE347D">
              <w:t xml:space="preserve"> (Nota 1)</w:t>
            </w:r>
          </w:p>
        </w:tc>
      </w:tr>
      <w:tr w:rsidR="00AD6982" w:rsidRPr="0010490F" w:rsidTr="00DE347D">
        <w:trPr>
          <w:jc w:val="center"/>
        </w:trPr>
        <w:tc>
          <w:tcPr>
            <w:tcW w:w="3119" w:type="dxa"/>
          </w:tcPr>
          <w:p w:rsidR="00AD6982" w:rsidRPr="0010490F" w:rsidRDefault="00AD6982" w:rsidP="00B17B93">
            <w:pPr>
              <w:pStyle w:val="Tabletext"/>
              <w:keepNext/>
              <w:keepLines/>
              <w:jc w:val="center"/>
            </w:pPr>
            <w:r w:rsidRPr="0010490F">
              <w:t>769-775</w:t>
            </w:r>
          </w:p>
        </w:tc>
        <w:tc>
          <w:tcPr>
            <w:tcW w:w="3119" w:type="dxa"/>
          </w:tcPr>
          <w:p w:rsidR="00AD6982" w:rsidRPr="0010490F" w:rsidRDefault="00AD6982" w:rsidP="00B17B93">
            <w:pPr>
              <w:pStyle w:val="Tabletext"/>
              <w:keepNext/>
              <w:keepLines/>
              <w:jc w:val="center"/>
            </w:pPr>
            <w:r w:rsidRPr="0010490F">
              <w:t>799-805</w:t>
            </w:r>
          </w:p>
        </w:tc>
        <w:tc>
          <w:tcPr>
            <w:tcW w:w="3289" w:type="dxa"/>
          </w:tcPr>
          <w:p w:rsidR="00AD6982" w:rsidRPr="0010490F" w:rsidRDefault="00AD6982" w:rsidP="00DE347D">
            <w:pPr>
              <w:pStyle w:val="Tabletext"/>
              <w:keepNext/>
              <w:keepLines/>
              <w:jc w:val="center"/>
            </w:pPr>
            <w:r w:rsidRPr="0010490F">
              <w:t>Protección pública y</w:t>
            </w:r>
            <w:r w:rsidR="00DE347D">
              <w:t xml:space="preserve"> </w:t>
            </w:r>
            <w:r w:rsidRPr="0010490F">
              <w:t>operaciones socorro 2</w:t>
            </w:r>
            <w:r w:rsidR="00DE347D">
              <w:t xml:space="preserve"> (Nota 2)</w:t>
            </w:r>
          </w:p>
        </w:tc>
      </w:tr>
      <w:tr w:rsidR="00AD6982" w:rsidRPr="0010490F" w:rsidTr="00DE347D">
        <w:trPr>
          <w:jc w:val="center"/>
        </w:trPr>
        <w:tc>
          <w:tcPr>
            <w:tcW w:w="3119" w:type="dxa"/>
          </w:tcPr>
          <w:p w:rsidR="00AD6982" w:rsidRPr="0010490F" w:rsidRDefault="00AD6982" w:rsidP="00B17B93">
            <w:pPr>
              <w:pStyle w:val="Tabletext"/>
              <w:keepNext/>
              <w:keepLines/>
              <w:jc w:val="center"/>
            </w:pPr>
            <w:r w:rsidRPr="0010490F">
              <w:t>768-769</w:t>
            </w:r>
          </w:p>
        </w:tc>
        <w:tc>
          <w:tcPr>
            <w:tcW w:w="3119" w:type="dxa"/>
          </w:tcPr>
          <w:p w:rsidR="00AD6982" w:rsidRPr="0010490F" w:rsidRDefault="00AD6982" w:rsidP="00B17B93">
            <w:pPr>
              <w:pStyle w:val="Tabletext"/>
              <w:keepNext/>
              <w:keepLines/>
              <w:jc w:val="center"/>
            </w:pPr>
            <w:r w:rsidRPr="0010490F">
              <w:t>798-799</w:t>
            </w:r>
          </w:p>
        </w:tc>
        <w:tc>
          <w:tcPr>
            <w:tcW w:w="3289" w:type="dxa"/>
          </w:tcPr>
          <w:p w:rsidR="00AD6982" w:rsidRPr="0010490F" w:rsidRDefault="00AD6982" w:rsidP="00DE347D">
            <w:pPr>
              <w:pStyle w:val="Tabletext"/>
              <w:keepNext/>
              <w:keepLines/>
              <w:jc w:val="center"/>
            </w:pPr>
            <w:r w:rsidRPr="0010490F">
              <w:t>Banda de guarda interna</w:t>
            </w:r>
            <w:r w:rsidR="00DE347D">
              <w:t xml:space="preserve"> </w:t>
            </w:r>
            <w:r w:rsidRPr="0010490F">
              <w:t>para protección pública y</w:t>
            </w:r>
            <w:r w:rsidR="00DE347D">
              <w:br/>
            </w:r>
            <w:r w:rsidRPr="0010490F">
              <w:t>operaciones de socorro</w:t>
            </w:r>
          </w:p>
        </w:tc>
      </w:tr>
      <w:tr w:rsidR="00B813DE" w:rsidRPr="0010490F" w:rsidTr="00B813DE">
        <w:trPr>
          <w:jc w:val="center"/>
        </w:trPr>
        <w:tc>
          <w:tcPr>
            <w:tcW w:w="3119" w:type="dxa"/>
            <w:tcBorders>
              <w:bottom w:val="single" w:sz="4" w:space="0" w:color="auto"/>
            </w:tcBorders>
          </w:tcPr>
          <w:p w:rsidR="00B813DE" w:rsidRPr="0010490F" w:rsidRDefault="00B813DE" w:rsidP="00896C1D">
            <w:pPr>
              <w:pStyle w:val="Tabletext"/>
              <w:keepNext/>
              <w:keepLines/>
              <w:jc w:val="center"/>
            </w:pPr>
            <w:r w:rsidRPr="0010490F">
              <w:t>758-763</w:t>
            </w:r>
          </w:p>
        </w:tc>
        <w:tc>
          <w:tcPr>
            <w:tcW w:w="3119" w:type="dxa"/>
            <w:tcBorders>
              <w:bottom w:val="single" w:sz="4" w:space="0" w:color="auto"/>
            </w:tcBorders>
          </w:tcPr>
          <w:p w:rsidR="00B813DE" w:rsidRPr="0010490F" w:rsidRDefault="00B813DE" w:rsidP="00896C1D">
            <w:pPr>
              <w:pStyle w:val="Tabletext"/>
              <w:keepNext/>
              <w:keepLines/>
              <w:jc w:val="center"/>
            </w:pPr>
            <w:r w:rsidRPr="0010490F">
              <w:t>788-793</w:t>
            </w:r>
          </w:p>
        </w:tc>
        <w:tc>
          <w:tcPr>
            <w:tcW w:w="3289" w:type="dxa"/>
            <w:tcBorders>
              <w:bottom w:val="single" w:sz="4" w:space="0" w:color="auto"/>
            </w:tcBorders>
          </w:tcPr>
          <w:p w:rsidR="00B813DE" w:rsidRPr="0010490F" w:rsidRDefault="00B813DE" w:rsidP="00B813DE">
            <w:pPr>
              <w:pStyle w:val="Tabletext"/>
              <w:keepNext/>
              <w:keepLines/>
              <w:jc w:val="center"/>
            </w:pPr>
            <w:r w:rsidRPr="0010490F">
              <w:t>D (asociación pública/privada) con acceso prioritario de la protección pública y las operaciones socorro en</w:t>
            </w:r>
            <w:r>
              <w:br/>
              <w:t xml:space="preserve">caso </w:t>
            </w:r>
            <w:r w:rsidRPr="0010490F">
              <w:t>de emergencia</w:t>
            </w:r>
          </w:p>
        </w:tc>
      </w:tr>
      <w:tr w:rsidR="00B813DE" w:rsidRPr="0010490F" w:rsidTr="00B813DE">
        <w:trPr>
          <w:jc w:val="center"/>
        </w:trPr>
        <w:tc>
          <w:tcPr>
            <w:tcW w:w="9527" w:type="dxa"/>
            <w:gridSpan w:val="3"/>
            <w:tcBorders>
              <w:left w:val="nil"/>
              <w:bottom w:val="nil"/>
              <w:right w:val="nil"/>
            </w:tcBorders>
          </w:tcPr>
          <w:p w:rsidR="00B813DE" w:rsidRPr="0010490F" w:rsidRDefault="00B813DE" w:rsidP="00B813DE">
            <w:pPr>
              <w:pStyle w:val="TableLegendNote"/>
            </w:pPr>
            <w:r w:rsidRPr="0010490F">
              <w:t>NOTA</w:t>
            </w:r>
            <w:r>
              <w:t> </w:t>
            </w:r>
            <w:r w:rsidRPr="0010490F">
              <w:t>1</w:t>
            </w:r>
            <w:r>
              <w:t> </w:t>
            </w:r>
            <w:r w:rsidRPr="0010490F">
              <w:t>–</w:t>
            </w:r>
            <w:r>
              <w:t> </w:t>
            </w:r>
            <w:r w:rsidRPr="0010490F">
              <w:t>Este bloque de frecuencias se utiliza para aplicaciones de protección pública y operaciones de socorro de banda ancha</w:t>
            </w:r>
            <w:r w:rsidRPr="0010490F">
              <w:rPr>
                <w:rStyle w:val="FootnoteReference"/>
              </w:rPr>
              <w:footnoteReference w:id="5"/>
            </w:r>
            <w:r w:rsidRPr="0010490F">
              <w:t>. Estas aplicaciones incluyen navegación por la web, vídeo táctico, vigilancia por vídeo, imágenes de alta resolución, acceso a bases de datos y redes privadas virtuales.</w:t>
            </w:r>
          </w:p>
          <w:p w:rsidR="00B813DE" w:rsidRPr="0010490F" w:rsidRDefault="00B813DE" w:rsidP="00366F2F">
            <w:pPr>
              <w:pStyle w:val="TableLegendNote"/>
            </w:pPr>
            <w:r w:rsidRPr="0010490F">
              <w:t>NOTA</w:t>
            </w:r>
            <w:r>
              <w:t> 2 </w:t>
            </w:r>
            <w:r w:rsidRPr="0010490F">
              <w:t>–</w:t>
            </w:r>
            <w:r>
              <w:t> </w:t>
            </w:r>
            <w:r w:rsidRPr="0010490F">
              <w:t>Este bloque de frecuencias se utiliza para aplicaciones de protección pública y operaciones de socorro que proporcionan servicios vocales de banda estrecha y de datos a baja velocidad. En el contexto de la protección pública y las operaciones de socorro, la banda estrecha se define en la Resolución</w:t>
            </w:r>
            <w:r w:rsidR="00366F2F">
              <w:t> </w:t>
            </w:r>
            <w:r w:rsidRPr="0010490F">
              <w:t>646 (Rev.CMR-12) como «aplicaciones que soportan telefonía y datos en baja velocidad, generalmente en anchuras de banda de canal de 25</w:t>
            </w:r>
            <w:r>
              <w:t> </w:t>
            </w:r>
            <w:r w:rsidRPr="0010490F">
              <w:t>kHz o inferiores». Los canales de banda estrecha también pueden agruparse en canales de banda amplia (50 a 150</w:t>
            </w:r>
            <w:r>
              <w:t> </w:t>
            </w:r>
            <w:r w:rsidRPr="0010490F">
              <w:t>kHz) si se obtiene el acuerdo de la administración que concede la licencia mediante un proceso de dispensa limitado.</w:t>
            </w:r>
          </w:p>
        </w:tc>
      </w:tr>
    </w:tbl>
    <w:p w:rsidR="00AD6982" w:rsidRDefault="00AD6982" w:rsidP="00AD6982">
      <w:pPr>
        <w:pStyle w:val="Tablefin"/>
        <w:rPr>
          <w:lang w:val="es-ES"/>
        </w:rPr>
      </w:pPr>
    </w:p>
    <w:p w:rsidR="00B813DE" w:rsidRPr="00B813DE" w:rsidRDefault="00B813DE" w:rsidP="00B813DE">
      <w:pPr>
        <w:spacing w:before="0"/>
      </w:pPr>
    </w:p>
    <w:p w:rsidR="00AD6982" w:rsidRPr="0010490F" w:rsidRDefault="00AD6982" w:rsidP="00AD6982">
      <w:pPr>
        <w:pStyle w:val="FigureNo"/>
      </w:pPr>
      <w:r w:rsidRPr="0010490F">
        <w:rPr>
          <w:noProof/>
          <w:lang w:val="en-US" w:eastAsia="zh-CN"/>
        </w:rPr>
        <mc:AlternateContent>
          <mc:Choice Requires="wps">
            <w:drawing>
              <wp:anchor distT="0" distB="0" distL="114300" distR="114300" simplePos="0" relativeHeight="251669504" behindDoc="0" locked="0" layoutInCell="1" allowOverlap="1" wp14:anchorId="0EDD10C5" wp14:editId="51D910C2">
                <wp:simplePos x="0" y="0"/>
                <wp:positionH relativeFrom="column">
                  <wp:posOffset>4753610</wp:posOffset>
                </wp:positionH>
                <wp:positionV relativeFrom="paragraph">
                  <wp:posOffset>799465</wp:posOffset>
                </wp:positionV>
                <wp:extent cx="545465" cy="249555"/>
                <wp:effectExtent l="0" t="0" r="26035" b="17145"/>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249555"/>
                        </a:xfrm>
                        <a:prstGeom prst="rect">
                          <a:avLst/>
                        </a:prstGeom>
                        <a:solidFill>
                          <a:srgbClr val="CCFFFF"/>
                        </a:solidFill>
                        <a:ln w="9525">
                          <a:solidFill>
                            <a:sysClr val="window" lastClr="FFFFFF"/>
                          </a:solidFill>
                          <a:miter lim="800000"/>
                          <a:headEnd/>
                          <a:tailEnd/>
                        </a:ln>
                      </wps:spPr>
                      <wps:txbx>
                        <w:txbxContent>
                          <w:p w:rsidR="00AD6982" w:rsidRPr="0075336C" w:rsidRDefault="00AD6982" w:rsidP="00AD6982">
                            <w:pPr>
                              <w:spacing w:before="0"/>
                              <w:jc w:val="center"/>
                              <w:rPr>
                                <w:sz w:val="16"/>
                                <w:szCs w:val="16"/>
                                <w:lang w:val="es-ES_tradnl"/>
                              </w:rPr>
                            </w:pPr>
                            <w:r>
                              <w:rPr>
                                <w:sz w:val="16"/>
                                <w:szCs w:val="16"/>
                                <w:lang w:val="es-ES_tradnl"/>
                              </w:rPr>
                              <w:t>Banda</w:t>
                            </w:r>
                            <w:r>
                              <w:rPr>
                                <w:sz w:val="16"/>
                                <w:szCs w:val="16"/>
                                <w:lang w:val="es-ES_tradnl"/>
                              </w:rPr>
                              <w:br/>
                              <w:t>estrecha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74.3pt;margin-top:62.95pt;width:42.95pt;height:19.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" fillcolor="#cff" strokecolor="window">
                <v:textbox inset="0,0,0,0">
                  <w:txbxContent>
                    <w:p w:rsidR="00AD6982" w:rsidRPr="0075336C" w:rsidRDefault="00AD6982" w:rsidP="00AD6982">
                      <w:pPr>
                        <w:spacing w:before="0"/>
                        <w:jc w:val="center"/>
                        <w:rPr>
                          <w:sz w:val="16"/>
                          <w:szCs w:val="16"/>
                          <w:lang w:val="es-ES_tradnl"/>
                        </w:rPr>
                      </w:pPr>
                      <w:r>
                        <w:rPr>
                          <w:sz w:val="16"/>
                          <w:szCs w:val="16"/>
                          <w:lang w:val="es-ES_tradnl"/>
                        </w:rPr>
                        <w:t>Banda</w:t>
                      </w:r>
                      <w:r>
                        <w:rPr>
                          <w:sz w:val="16"/>
                          <w:szCs w:val="16"/>
                          <w:lang w:val="es-ES_tradnl"/>
                        </w:rPr>
                        <w:br/>
                        <w:t>estrecha</w:t>
                      </w:r>
                    </w:p>
                  </w:txbxContent>
                </v:textbox>
              </v:shape>
            </w:pict>
          </mc:Fallback>
        </mc:AlternateContent>
      </w:r>
      <w:r w:rsidRPr="0010490F">
        <w:rPr>
          <w:noProof/>
          <w:lang w:val="en-US" w:eastAsia="zh-CN"/>
        </w:rPr>
        <mc:AlternateContent>
          <mc:Choice Requires="wps">
            <w:drawing>
              <wp:anchor distT="0" distB="0" distL="114300" distR="114300" simplePos="0" relativeHeight="251668480" behindDoc="0" locked="0" layoutInCell="1" allowOverlap="1" wp14:anchorId="0F64CF5A" wp14:editId="29736040">
                <wp:simplePos x="0" y="0"/>
                <wp:positionH relativeFrom="column">
                  <wp:posOffset>1759973</wp:posOffset>
                </wp:positionH>
                <wp:positionV relativeFrom="paragraph">
                  <wp:posOffset>851649</wp:posOffset>
                </wp:positionV>
                <wp:extent cx="546009" cy="249555"/>
                <wp:effectExtent l="0" t="0" r="26035" b="17145"/>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009" cy="249555"/>
                        </a:xfrm>
                        <a:prstGeom prst="rect">
                          <a:avLst/>
                        </a:prstGeom>
                        <a:solidFill>
                          <a:srgbClr val="CCFFFF"/>
                        </a:solidFill>
                        <a:ln w="9525">
                          <a:solidFill>
                            <a:sysClr val="window" lastClr="FFFFFF"/>
                          </a:solidFill>
                          <a:miter lim="800000"/>
                          <a:headEnd/>
                          <a:tailEnd/>
                        </a:ln>
                      </wps:spPr>
                      <wps:txbx>
                        <w:txbxContent>
                          <w:p w:rsidR="00AD6982" w:rsidRPr="0075336C" w:rsidRDefault="00AD6982" w:rsidP="00AD6982">
                            <w:pPr>
                              <w:spacing w:before="0"/>
                              <w:jc w:val="center"/>
                              <w:rPr>
                                <w:sz w:val="16"/>
                                <w:szCs w:val="16"/>
                                <w:lang w:val="es-ES_tradnl"/>
                              </w:rPr>
                            </w:pPr>
                            <w:r>
                              <w:rPr>
                                <w:sz w:val="16"/>
                                <w:szCs w:val="16"/>
                                <w:lang w:val="es-ES_tradnl"/>
                              </w:rPr>
                              <w:t>Banda</w:t>
                            </w:r>
                            <w:r>
                              <w:rPr>
                                <w:sz w:val="16"/>
                                <w:szCs w:val="16"/>
                                <w:lang w:val="es-ES_tradnl"/>
                              </w:rPr>
                              <w:br/>
                              <w:t>estrecha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38.6pt;margin-top:67.05pt;width:43pt;height:19.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" fillcolor="#cff" strokecolor="window">
                <v:textbox inset="0,0,0,0">
                  <w:txbxContent>
                    <w:p w:rsidR="00AD6982" w:rsidRPr="0075336C" w:rsidRDefault="00AD6982" w:rsidP="00AD6982">
                      <w:pPr>
                        <w:spacing w:before="0"/>
                        <w:jc w:val="center"/>
                        <w:rPr>
                          <w:sz w:val="16"/>
                          <w:szCs w:val="16"/>
                          <w:lang w:val="es-ES_tradnl"/>
                        </w:rPr>
                      </w:pPr>
                      <w:r>
                        <w:rPr>
                          <w:sz w:val="16"/>
                          <w:szCs w:val="16"/>
                          <w:lang w:val="es-ES_tradnl"/>
                        </w:rPr>
                        <w:t>Banda</w:t>
                      </w:r>
                      <w:r>
                        <w:rPr>
                          <w:sz w:val="16"/>
                          <w:szCs w:val="16"/>
                          <w:lang w:val="es-ES_tradnl"/>
                        </w:rPr>
                        <w:br/>
                        <w:t>estrecha</w:t>
                      </w:r>
                    </w:p>
                  </w:txbxContent>
                </v:textbox>
              </v:shape>
            </w:pict>
          </mc:Fallback>
        </mc:AlternateContent>
      </w:r>
      <w:r w:rsidRPr="0010490F">
        <w:rPr>
          <w:noProof/>
          <w:lang w:val="en-US" w:eastAsia="zh-CN"/>
        </w:rPr>
        <mc:AlternateContent>
          <mc:Choice Requires="wps">
            <w:drawing>
              <wp:anchor distT="0" distB="0" distL="114300" distR="114300" simplePos="0" relativeHeight="251667456" behindDoc="0" locked="0" layoutInCell="1" allowOverlap="1" wp14:anchorId="4A4045B3" wp14:editId="1EBEC4B0">
                <wp:simplePos x="0" y="0"/>
                <wp:positionH relativeFrom="column">
                  <wp:posOffset>4134485</wp:posOffset>
                </wp:positionH>
                <wp:positionV relativeFrom="paragraph">
                  <wp:posOffset>799465</wp:posOffset>
                </wp:positionV>
                <wp:extent cx="466090" cy="249555"/>
                <wp:effectExtent l="0" t="0" r="10160" b="17145"/>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49555"/>
                        </a:xfrm>
                        <a:prstGeom prst="rect">
                          <a:avLst/>
                        </a:prstGeom>
                        <a:solidFill>
                          <a:srgbClr val="CCFFFF"/>
                        </a:solidFill>
                        <a:ln w="9525">
                          <a:solidFill>
                            <a:sysClr val="window" lastClr="FFFFFF"/>
                          </a:solidFill>
                          <a:miter lim="800000"/>
                          <a:headEnd/>
                          <a:tailEnd/>
                        </a:ln>
                      </wps:spPr>
                      <wps:txbx>
                        <w:txbxContent>
                          <w:p w:rsidR="00AD6982" w:rsidRPr="0075336C" w:rsidRDefault="00AD6982" w:rsidP="00AD6982">
                            <w:pPr>
                              <w:spacing w:before="0"/>
                              <w:jc w:val="center"/>
                              <w:rPr>
                                <w:sz w:val="16"/>
                                <w:szCs w:val="16"/>
                                <w:lang w:val="es-ES_tradnl"/>
                              </w:rPr>
                            </w:pPr>
                            <w:r>
                              <w:rPr>
                                <w:sz w:val="16"/>
                                <w:szCs w:val="16"/>
                                <w:lang w:val="es-ES_tradnl"/>
                              </w:rPr>
                              <w:t>Banda</w:t>
                            </w:r>
                            <w:r>
                              <w:rPr>
                                <w:sz w:val="16"/>
                                <w:szCs w:val="16"/>
                                <w:lang w:val="es-ES_tradnl"/>
                              </w:rPr>
                              <w:br/>
                              <w:t>ancha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25.55pt;margin-top:62.95pt;width:36.7pt;height:1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" fillcolor="#cff" strokecolor="window">
                <v:textbox inset="0,0,0,0">
                  <w:txbxContent>
                    <w:p w:rsidR="00AD6982" w:rsidRPr="0075336C" w:rsidRDefault="00AD6982" w:rsidP="00AD6982">
                      <w:pPr>
                        <w:spacing w:before="0"/>
                        <w:jc w:val="center"/>
                        <w:rPr>
                          <w:sz w:val="16"/>
                          <w:szCs w:val="16"/>
                          <w:lang w:val="es-ES_tradnl"/>
                        </w:rPr>
                      </w:pPr>
                      <w:r>
                        <w:rPr>
                          <w:sz w:val="16"/>
                          <w:szCs w:val="16"/>
                          <w:lang w:val="es-ES_tradnl"/>
                        </w:rPr>
                        <w:t>Banda</w:t>
                      </w:r>
                      <w:r>
                        <w:rPr>
                          <w:sz w:val="16"/>
                          <w:szCs w:val="16"/>
                          <w:lang w:val="es-ES_tradnl"/>
                        </w:rPr>
                        <w:br/>
                        <w:t>ancha</w:t>
                      </w:r>
                    </w:p>
                  </w:txbxContent>
                </v:textbox>
              </v:shape>
            </w:pict>
          </mc:Fallback>
        </mc:AlternateContent>
      </w:r>
      <w:r w:rsidRPr="0010490F">
        <w:rPr>
          <w:noProof/>
          <w:lang w:val="en-US" w:eastAsia="zh-CN"/>
        </w:rPr>
        <mc:AlternateContent>
          <mc:Choice Requires="wps">
            <w:drawing>
              <wp:anchor distT="0" distB="0" distL="114300" distR="114300" simplePos="0" relativeHeight="251666432" behindDoc="0" locked="0" layoutInCell="1" allowOverlap="1" wp14:anchorId="178C538E" wp14:editId="7D6E2A3A">
                <wp:simplePos x="0" y="0"/>
                <wp:positionH relativeFrom="column">
                  <wp:posOffset>1173708</wp:posOffset>
                </wp:positionH>
                <wp:positionV relativeFrom="paragraph">
                  <wp:posOffset>838200</wp:posOffset>
                </wp:positionV>
                <wp:extent cx="466597" cy="249980"/>
                <wp:effectExtent l="0" t="0" r="10160" b="17145"/>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597" cy="249980"/>
                        </a:xfrm>
                        <a:prstGeom prst="rect">
                          <a:avLst/>
                        </a:prstGeom>
                        <a:solidFill>
                          <a:srgbClr val="CCFFFF"/>
                        </a:solidFill>
                        <a:ln w="9525">
                          <a:solidFill>
                            <a:sysClr val="window" lastClr="FFFFFF"/>
                          </a:solidFill>
                          <a:miter lim="800000"/>
                          <a:headEnd/>
                          <a:tailEnd/>
                        </a:ln>
                      </wps:spPr>
                      <wps:txbx>
                        <w:txbxContent>
                          <w:p w:rsidR="00AD6982" w:rsidRPr="0075336C" w:rsidRDefault="00AD6982" w:rsidP="00AD6982">
                            <w:pPr>
                              <w:spacing w:before="0"/>
                              <w:jc w:val="center"/>
                              <w:rPr>
                                <w:sz w:val="16"/>
                                <w:szCs w:val="16"/>
                                <w:lang w:val="es-ES_tradnl"/>
                              </w:rPr>
                            </w:pPr>
                            <w:r>
                              <w:rPr>
                                <w:sz w:val="16"/>
                                <w:szCs w:val="16"/>
                                <w:lang w:val="es-ES_tradnl"/>
                              </w:rPr>
                              <w:t>Banda</w:t>
                            </w:r>
                            <w:r>
                              <w:rPr>
                                <w:sz w:val="16"/>
                                <w:szCs w:val="16"/>
                                <w:lang w:val="es-ES_tradnl"/>
                              </w:rPr>
                              <w:br/>
                              <w:t>ancha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92.4pt;margin-top:66pt;width:36.75pt;height:19.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" fillcolor="#cff" strokecolor="window">
                <v:textbox inset="0,0,0,0">
                  <w:txbxContent>
                    <w:p w:rsidR="00AD6982" w:rsidRPr="0075336C" w:rsidRDefault="00AD6982" w:rsidP="00AD6982">
                      <w:pPr>
                        <w:spacing w:before="0"/>
                        <w:jc w:val="center"/>
                        <w:rPr>
                          <w:sz w:val="16"/>
                          <w:szCs w:val="16"/>
                          <w:lang w:val="es-ES_tradnl"/>
                        </w:rPr>
                      </w:pPr>
                      <w:r>
                        <w:rPr>
                          <w:sz w:val="16"/>
                          <w:szCs w:val="16"/>
                          <w:lang w:val="es-ES_tradnl"/>
                        </w:rPr>
                        <w:t>Banda</w:t>
                      </w:r>
                      <w:r>
                        <w:rPr>
                          <w:sz w:val="16"/>
                          <w:szCs w:val="16"/>
                          <w:lang w:val="es-ES_tradnl"/>
                        </w:rPr>
                        <w:br/>
                        <w:t>ancha</w:t>
                      </w:r>
                    </w:p>
                  </w:txbxContent>
                </v:textbox>
              </v:shape>
            </w:pict>
          </mc:Fallback>
        </mc:AlternateContent>
      </w:r>
      <w:r w:rsidRPr="0010490F">
        <w:rPr>
          <w:noProof/>
          <w:lang w:val="en-US" w:eastAsia="zh-CN"/>
        </w:rPr>
        <mc:AlternateContent>
          <mc:Choice Requires="wps">
            <w:drawing>
              <wp:anchor distT="0" distB="0" distL="114300" distR="114300" simplePos="0" relativeHeight="251664384" behindDoc="0" locked="0" layoutInCell="1" allowOverlap="1" wp14:anchorId="0656E364" wp14:editId="4E5E3198">
                <wp:simplePos x="0" y="0"/>
                <wp:positionH relativeFrom="column">
                  <wp:posOffset>1325245</wp:posOffset>
                </wp:positionH>
                <wp:positionV relativeFrom="paragraph">
                  <wp:posOffset>515620</wp:posOffset>
                </wp:positionV>
                <wp:extent cx="868045" cy="1403985"/>
                <wp:effectExtent l="0" t="0" r="27305" b="2667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045" cy="1403985"/>
                        </a:xfrm>
                        <a:prstGeom prst="rect">
                          <a:avLst/>
                        </a:prstGeom>
                        <a:solidFill>
                          <a:sysClr val="window" lastClr="FFFFFF"/>
                        </a:solidFill>
                        <a:ln w="9525">
                          <a:solidFill>
                            <a:sysClr val="window" lastClr="FFFFFF"/>
                          </a:solidFill>
                          <a:miter lim="800000"/>
                          <a:headEnd/>
                          <a:tailEnd/>
                        </a:ln>
                      </wps:spPr>
                      <wps:txbx>
                        <w:txbxContent>
                          <w:p w:rsidR="00AD6982" w:rsidRPr="00A93C76" w:rsidRDefault="00AD6982" w:rsidP="00AD6982">
                            <w:pPr>
                              <w:spacing w:before="0"/>
                              <w:rPr>
                                <w:i/>
                                <w:iCs/>
                                <w:sz w:val="16"/>
                                <w:szCs w:val="16"/>
                                <w:lang w:val="en-US"/>
                              </w:rPr>
                            </w:pPr>
                            <w:r w:rsidRPr="00A93C76">
                              <w:rPr>
                                <w:i/>
                                <w:iCs/>
                                <w:sz w:val="16"/>
                                <w:szCs w:val="16"/>
                              </w:rPr>
                              <w:t>Seguridad pública</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104.35pt;margin-top:40.6pt;width:68.3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" fillcolor="window" strokecolor="window">
                <v:textbox style="mso-fit-shape-to-text:t" inset="0,0,0,0">
                  <w:txbxContent>
                    <w:p w:rsidR="00AD6982" w:rsidRPr="00A93C76" w:rsidRDefault="00AD6982" w:rsidP="00AD6982">
                      <w:pPr>
                        <w:spacing w:before="0"/>
                        <w:rPr>
                          <w:i/>
                          <w:iCs/>
                          <w:sz w:val="16"/>
                          <w:szCs w:val="16"/>
                          <w:lang w:val="en-US"/>
                        </w:rPr>
                      </w:pPr>
                      <w:r w:rsidRPr="00A93C76">
                        <w:rPr>
                          <w:i/>
                          <w:iCs/>
                          <w:sz w:val="16"/>
                          <w:szCs w:val="16"/>
                        </w:rPr>
                        <w:t>Seguridad pública</w:t>
                      </w:r>
                    </w:p>
                  </w:txbxContent>
                </v:textbox>
              </v:shape>
            </w:pict>
          </mc:Fallback>
        </mc:AlternateContent>
      </w:r>
      <w:r w:rsidRPr="0010490F">
        <w:rPr>
          <w:noProof/>
          <w:lang w:val="en-US" w:eastAsia="zh-CN"/>
        </w:rPr>
        <mc:AlternateContent>
          <mc:Choice Requires="wps">
            <w:drawing>
              <wp:anchor distT="0" distB="0" distL="114300" distR="114300" simplePos="0" relativeHeight="251665408" behindDoc="0" locked="0" layoutInCell="1" allowOverlap="1" wp14:anchorId="0EA16BE3" wp14:editId="61B4AADF">
                <wp:simplePos x="0" y="0"/>
                <wp:positionH relativeFrom="column">
                  <wp:posOffset>4287520</wp:posOffset>
                </wp:positionH>
                <wp:positionV relativeFrom="paragraph">
                  <wp:posOffset>518567</wp:posOffset>
                </wp:positionV>
                <wp:extent cx="868045" cy="1403985"/>
                <wp:effectExtent l="0" t="0" r="27305" b="26670"/>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045" cy="1403985"/>
                        </a:xfrm>
                        <a:prstGeom prst="rect">
                          <a:avLst/>
                        </a:prstGeom>
                        <a:solidFill>
                          <a:sysClr val="window" lastClr="FFFFFF"/>
                        </a:solidFill>
                        <a:ln w="9525">
                          <a:solidFill>
                            <a:sysClr val="window" lastClr="FFFFFF"/>
                          </a:solidFill>
                          <a:miter lim="800000"/>
                          <a:headEnd/>
                          <a:tailEnd/>
                        </a:ln>
                      </wps:spPr>
                      <wps:txbx>
                        <w:txbxContent>
                          <w:p w:rsidR="00AD6982" w:rsidRPr="00A93C76" w:rsidRDefault="00AD6982" w:rsidP="00AD6982">
                            <w:pPr>
                              <w:spacing w:before="0"/>
                              <w:rPr>
                                <w:i/>
                                <w:iCs/>
                                <w:sz w:val="16"/>
                                <w:szCs w:val="16"/>
                                <w:lang w:val="en-US"/>
                              </w:rPr>
                            </w:pPr>
                            <w:r w:rsidRPr="00A93C76">
                              <w:rPr>
                                <w:i/>
                                <w:iCs/>
                                <w:sz w:val="16"/>
                                <w:szCs w:val="16"/>
                              </w:rPr>
                              <w:t>Seguridad pública</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337.6pt;margin-top:40.85pt;width:68.3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" fillcolor="window" strokecolor="window">
                <v:textbox style="mso-fit-shape-to-text:t" inset="0,0,0,0">
                  <w:txbxContent>
                    <w:p w:rsidR="00AD6982" w:rsidRPr="00A93C76" w:rsidRDefault="00AD6982" w:rsidP="00AD6982">
                      <w:pPr>
                        <w:spacing w:before="0"/>
                        <w:rPr>
                          <w:i/>
                          <w:iCs/>
                          <w:sz w:val="16"/>
                          <w:szCs w:val="16"/>
                          <w:lang w:val="en-US"/>
                        </w:rPr>
                      </w:pPr>
                      <w:r w:rsidRPr="00A93C76">
                        <w:rPr>
                          <w:i/>
                          <w:iCs/>
                          <w:sz w:val="16"/>
                          <w:szCs w:val="16"/>
                        </w:rPr>
                        <w:t>Seguridad pública</w:t>
                      </w:r>
                    </w:p>
                  </w:txbxContent>
                </v:textbox>
              </v:shape>
            </w:pict>
          </mc:Fallback>
        </mc:AlternateContent>
      </w:r>
      <w:r w:rsidRPr="0010490F">
        <w:rPr>
          <w:noProof/>
          <w:lang w:val="en-US" w:eastAsia="zh-CN"/>
        </w:rPr>
        <w:drawing>
          <wp:inline distT="0" distB="0" distL="0" distR="0" wp14:anchorId="6B0C0AD2" wp14:editId="48080403">
            <wp:extent cx="5303520" cy="115062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3520" cy="1150620"/>
                    </a:xfrm>
                    <a:prstGeom prst="rect">
                      <a:avLst/>
                    </a:prstGeom>
                    <a:noFill/>
                    <a:ln>
                      <a:noFill/>
                    </a:ln>
                  </pic:spPr>
                </pic:pic>
              </a:graphicData>
            </a:graphic>
          </wp:inline>
        </w:drawing>
      </w:r>
    </w:p>
    <w:p w:rsidR="00AD6982" w:rsidRDefault="00AD6982" w:rsidP="00AD6982"/>
    <w:p w:rsidR="00C0532B" w:rsidRDefault="00C0532B" w:rsidP="00AD6982"/>
    <w:p w:rsidR="00AD6982" w:rsidRPr="0010490F" w:rsidRDefault="00AD6982" w:rsidP="00AD6982">
      <w:pPr>
        <w:pStyle w:val="AnnexNoTitle"/>
        <w:spacing w:before="0"/>
      </w:pPr>
      <w:r w:rsidRPr="0010490F">
        <w:lastRenderedPageBreak/>
        <w:t>Anexo 3</w:t>
      </w:r>
      <w:r w:rsidRPr="0010490F">
        <w:br/>
      </w:r>
      <w:r w:rsidRPr="0010490F">
        <w:br/>
        <w:t>Ejemplos de disposiciones de frecuencias para la banda 806-869 MHz</w:t>
      </w:r>
      <w:r w:rsidRPr="0010490F">
        <w:br/>
        <w:t>en ciertos países de la Región 2 para las operaciones de protección</w:t>
      </w:r>
      <w:r w:rsidRPr="0010490F">
        <w:br/>
        <w:t>pública y socorro en caso de catástrofe en banda estrecha</w:t>
      </w:r>
    </w:p>
    <w:p w:rsidR="00AD6982" w:rsidRPr="0010490F" w:rsidRDefault="00AD6982" w:rsidP="00AD6982">
      <w:pPr>
        <w:pStyle w:val="Heading1"/>
        <w:rPr>
          <w:rFonts w:eastAsia="MS Mincho"/>
        </w:rPr>
      </w:pPr>
      <w:r w:rsidRPr="0010490F">
        <w:rPr>
          <w:rFonts w:eastAsia="MS Mincho"/>
        </w:rPr>
        <w:t>1</w:t>
      </w:r>
      <w:r w:rsidRPr="0010490F">
        <w:rPr>
          <w:rFonts w:eastAsia="MS Mincho"/>
        </w:rPr>
        <w:tab/>
        <w:t>Plan general de la banda – 806-824/851-869 MHz</w:t>
      </w:r>
    </w:p>
    <w:p w:rsidR="00AD6982" w:rsidRPr="0010490F" w:rsidRDefault="00AD6982" w:rsidP="000A2DF6">
      <w:pPr>
        <w:rPr>
          <w:rFonts w:eastAsia="MS Mincho"/>
        </w:rPr>
      </w:pPr>
      <w:r w:rsidRPr="0010490F">
        <w:t xml:space="preserve">En algunos países de la Región 2, la banda </w:t>
      </w:r>
      <w:r w:rsidRPr="0010490F">
        <w:rPr>
          <w:rFonts w:eastAsia="MS Mincho"/>
        </w:rPr>
        <w:t>806-824/851-869 MHz</w:t>
      </w:r>
      <w:r w:rsidRPr="0010490F">
        <w:t xml:space="preserve"> está atribuida al servicio móvil y designada para aplicaciones de radiocomunicaciones móviles terrestres (LMR). La separación dúplex es de 45</w:t>
      </w:r>
      <w:r w:rsidR="00DE347D">
        <w:t> </w:t>
      </w:r>
      <w:r w:rsidRPr="0010490F">
        <w:t>MHz, transmitiendo las estaciones de base en la banda 851-869</w:t>
      </w:r>
      <w:r w:rsidR="000A2DF6">
        <w:t> </w:t>
      </w:r>
      <w:r w:rsidRPr="0010490F">
        <w:t>MHz y las estaciones móviles en la banda 806-824</w:t>
      </w:r>
      <w:r w:rsidR="000A2DF6">
        <w:t> </w:t>
      </w:r>
      <w:r w:rsidRPr="0010490F">
        <w:t xml:space="preserve">MHz. Los canales de protección pública y operaciones de socorro pueden asignarse en esta banda y pueden designarse bloques específicos exclusivamente para aplicaciones de protección pública y operaciones de socorro. (Véase el </w:t>
      </w:r>
      <w:r w:rsidRPr="0010490F">
        <w:rPr>
          <w:lang w:eastAsia="ja-JP"/>
        </w:rPr>
        <w:t>§</w:t>
      </w:r>
      <w:r w:rsidR="00DE347D">
        <w:rPr>
          <w:rFonts w:eastAsia="MS Mincho"/>
        </w:rPr>
        <w:t> </w:t>
      </w:r>
      <w:r w:rsidRPr="0010490F">
        <w:rPr>
          <w:rFonts w:eastAsia="MS Mincho"/>
        </w:rPr>
        <w:t>1.1.</w:t>
      </w:r>
      <w:r w:rsidRPr="0010490F">
        <w:t>) Los equipos de radiocomunicaciones son capaces de sintonizar todos los canales en la banda garantizando la interoperabilidad. Para simplificar la coordinación transfronteriza y asegurar que los organismos de seguridad pública tienen acceso a un grupo estable y predecible de radiocanales, las administraciones vecinas podrían establecer disposiciones de frecuencias complementarias. A</w:t>
      </w:r>
      <w:r w:rsidR="000A2DF6">
        <w:t xml:space="preserve"> </w:t>
      </w:r>
      <w:r w:rsidRPr="0010490F">
        <w:t xml:space="preserve">continuación aparece un ejemplo en la </w:t>
      </w:r>
      <w:r w:rsidR="000A2DF6">
        <w:t xml:space="preserve">siguiente </w:t>
      </w:r>
      <w:r w:rsidRPr="0010490F">
        <w:t>Figura.</w:t>
      </w:r>
    </w:p>
    <w:p w:rsidR="00AD6982" w:rsidRDefault="00AD6982" w:rsidP="00AD6982">
      <w:pPr>
        <w:pStyle w:val="FigureNo"/>
        <w:rPr>
          <w:rFonts w:eastAsia="MS Mincho"/>
        </w:rPr>
      </w:pPr>
      <w:r w:rsidRPr="0010490F">
        <w:rPr>
          <w:noProof/>
          <w:lang w:val="en-US" w:eastAsia="zh-CN"/>
        </w:rPr>
        <mc:AlternateContent>
          <mc:Choice Requires="wps">
            <w:drawing>
              <wp:anchor distT="0" distB="0" distL="114300" distR="114300" simplePos="0" relativeHeight="251675648" behindDoc="0" locked="0" layoutInCell="1" allowOverlap="1" wp14:anchorId="768ECC51" wp14:editId="5F412879">
                <wp:simplePos x="0" y="0"/>
                <wp:positionH relativeFrom="column">
                  <wp:posOffset>3456305</wp:posOffset>
                </wp:positionH>
                <wp:positionV relativeFrom="paragraph">
                  <wp:posOffset>565150</wp:posOffset>
                </wp:positionV>
                <wp:extent cx="1651000" cy="1403985"/>
                <wp:effectExtent l="0" t="0" r="25400" b="266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1403985"/>
                        </a:xfrm>
                        <a:prstGeom prst="rect">
                          <a:avLst/>
                        </a:prstGeom>
                        <a:solidFill>
                          <a:sysClr val="window" lastClr="FFFFFF"/>
                        </a:solidFill>
                        <a:ln w="9525">
                          <a:solidFill>
                            <a:sysClr val="window" lastClr="FFFFFF"/>
                          </a:solidFill>
                          <a:miter lim="800000"/>
                          <a:headEnd/>
                          <a:tailEnd/>
                        </a:ln>
                      </wps:spPr>
                      <wps:txbx>
                        <w:txbxContent>
                          <w:p w:rsidR="00AD6982" w:rsidRPr="00A14D81" w:rsidRDefault="00AD6982" w:rsidP="00AD6982">
                            <w:pPr>
                              <w:spacing w:before="0"/>
                              <w:jc w:val="left"/>
                              <w:rPr>
                                <w:sz w:val="16"/>
                                <w:szCs w:val="16"/>
                                <w:lang w:val="es-ES_tradnl"/>
                              </w:rPr>
                            </w:pPr>
                            <w:r w:rsidRPr="00A14D81">
                              <w:rPr>
                                <w:sz w:val="16"/>
                                <w:szCs w:val="16"/>
                                <w:lang w:val="es-ES_tradnl"/>
                              </w:rPr>
                              <w:t>Radio</w:t>
                            </w:r>
                            <w:r>
                              <w:rPr>
                                <w:sz w:val="16"/>
                                <w:szCs w:val="16"/>
                                <w:lang w:val="es-ES_tradnl"/>
                              </w:rPr>
                              <w:t>comunicaciones</w:t>
                            </w:r>
                            <w:r w:rsidRPr="00A14D81">
                              <w:rPr>
                                <w:sz w:val="16"/>
                                <w:szCs w:val="16"/>
                                <w:lang w:val="es-ES_tradnl"/>
                              </w:rPr>
                              <w:t xml:space="preserve"> móviles terrestres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272.15pt;margin-top:44.5pt;width:130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" fillcolor="window" strokecolor="window">
                <v:textbox style="mso-fit-shape-to-text:t" inset="0,0,0,0">
                  <w:txbxContent>
                    <w:p w:rsidR="00AD6982" w:rsidRPr="00A14D81" w:rsidRDefault="00AD6982" w:rsidP="00AD6982">
                      <w:pPr>
                        <w:spacing w:before="0"/>
                        <w:jc w:val="left"/>
                        <w:rPr>
                          <w:sz w:val="16"/>
                          <w:szCs w:val="16"/>
                          <w:lang w:val="es-ES_tradnl"/>
                        </w:rPr>
                      </w:pPr>
                      <w:r w:rsidRPr="00A14D81">
                        <w:rPr>
                          <w:sz w:val="16"/>
                          <w:szCs w:val="16"/>
                          <w:lang w:val="es-ES_tradnl"/>
                        </w:rPr>
                        <w:t>Radio</w:t>
                      </w:r>
                      <w:r>
                        <w:rPr>
                          <w:sz w:val="16"/>
                          <w:szCs w:val="16"/>
                          <w:lang w:val="es-ES_tradnl"/>
                        </w:rPr>
                        <w:t>comunicaciones</w:t>
                      </w:r>
                      <w:r w:rsidRPr="00A14D81">
                        <w:rPr>
                          <w:sz w:val="16"/>
                          <w:szCs w:val="16"/>
                          <w:lang w:val="es-ES_tradnl"/>
                        </w:rPr>
                        <w:t xml:space="preserve"> móviles terrestres</w:t>
                      </w:r>
                    </w:p>
                  </w:txbxContent>
                </v:textbox>
              </v:shape>
            </w:pict>
          </mc:Fallback>
        </mc:AlternateContent>
      </w:r>
      <w:r w:rsidRPr="0010490F">
        <w:rPr>
          <w:noProof/>
          <w:lang w:val="en-US" w:eastAsia="zh-CN"/>
        </w:rPr>
        <mc:AlternateContent>
          <mc:Choice Requires="wps">
            <w:drawing>
              <wp:anchor distT="0" distB="0" distL="114300" distR="114300" simplePos="0" relativeHeight="251670528" behindDoc="0" locked="0" layoutInCell="1" allowOverlap="1" wp14:anchorId="61BA9D45" wp14:editId="4F304ECF">
                <wp:simplePos x="0" y="0"/>
                <wp:positionH relativeFrom="column">
                  <wp:posOffset>667385</wp:posOffset>
                </wp:positionH>
                <wp:positionV relativeFrom="paragraph">
                  <wp:posOffset>559028</wp:posOffset>
                </wp:positionV>
                <wp:extent cx="1651000" cy="1403985"/>
                <wp:effectExtent l="0" t="0" r="25400" b="26670"/>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1403985"/>
                        </a:xfrm>
                        <a:prstGeom prst="rect">
                          <a:avLst/>
                        </a:prstGeom>
                        <a:solidFill>
                          <a:sysClr val="window" lastClr="FFFFFF"/>
                        </a:solidFill>
                        <a:ln w="9525">
                          <a:solidFill>
                            <a:sysClr val="window" lastClr="FFFFFF"/>
                          </a:solidFill>
                          <a:miter lim="800000"/>
                          <a:headEnd/>
                          <a:tailEnd/>
                        </a:ln>
                      </wps:spPr>
                      <wps:txbx>
                        <w:txbxContent>
                          <w:p w:rsidR="00AD6982" w:rsidRPr="00A14D81" w:rsidRDefault="00AD6982" w:rsidP="00AD6982">
                            <w:pPr>
                              <w:spacing w:before="0"/>
                              <w:jc w:val="left"/>
                              <w:rPr>
                                <w:sz w:val="16"/>
                                <w:szCs w:val="16"/>
                                <w:lang w:val="es-ES_tradnl"/>
                              </w:rPr>
                            </w:pPr>
                            <w:r w:rsidRPr="00A14D81">
                              <w:rPr>
                                <w:sz w:val="16"/>
                                <w:szCs w:val="16"/>
                                <w:lang w:val="es-ES_tradnl"/>
                              </w:rPr>
                              <w:t>Radio</w:t>
                            </w:r>
                            <w:r>
                              <w:rPr>
                                <w:sz w:val="16"/>
                                <w:szCs w:val="16"/>
                                <w:lang w:val="es-ES_tradnl"/>
                              </w:rPr>
                              <w:t>comunicaciones</w:t>
                            </w:r>
                            <w:r w:rsidRPr="00A14D81">
                              <w:rPr>
                                <w:sz w:val="16"/>
                                <w:szCs w:val="16"/>
                                <w:lang w:val="es-ES_tradnl"/>
                              </w:rPr>
                              <w:t xml:space="preserve"> móviles terrestres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52.55pt;margin-top:44pt;width:130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" fillcolor="window" strokecolor="window">
                <v:textbox style="mso-fit-shape-to-text:t" inset="0,0,0,0">
                  <w:txbxContent>
                    <w:p w:rsidR="00AD6982" w:rsidRPr="00A14D81" w:rsidRDefault="00AD6982" w:rsidP="00AD6982">
                      <w:pPr>
                        <w:spacing w:before="0"/>
                        <w:jc w:val="left"/>
                        <w:rPr>
                          <w:sz w:val="16"/>
                          <w:szCs w:val="16"/>
                          <w:lang w:val="es-ES_tradnl"/>
                        </w:rPr>
                      </w:pPr>
                      <w:r w:rsidRPr="00A14D81">
                        <w:rPr>
                          <w:sz w:val="16"/>
                          <w:szCs w:val="16"/>
                          <w:lang w:val="es-ES_tradnl"/>
                        </w:rPr>
                        <w:t>Radio</w:t>
                      </w:r>
                      <w:r>
                        <w:rPr>
                          <w:sz w:val="16"/>
                          <w:szCs w:val="16"/>
                          <w:lang w:val="es-ES_tradnl"/>
                        </w:rPr>
                        <w:t>comunicaciones</w:t>
                      </w:r>
                      <w:r w:rsidRPr="00A14D81">
                        <w:rPr>
                          <w:sz w:val="16"/>
                          <w:szCs w:val="16"/>
                          <w:lang w:val="es-ES_tradnl"/>
                        </w:rPr>
                        <w:t xml:space="preserve"> móviles terrestres</w:t>
                      </w:r>
                    </w:p>
                  </w:txbxContent>
                </v:textbox>
              </v:shape>
            </w:pict>
          </mc:Fallback>
        </mc:AlternateContent>
      </w:r>
      <w:r w:rsidRPr="0010490F">
        <w:rPr>
          <w:noProof/>
          <w:lang w:val="en-US" w:eastAsia="zh-CN"/>
        </w:rPr>
        <mc:AlternateContent>
          <mc:Choice Requires="wps">
            <w:drawing>
              <wp:anchor distT="0" distB="0" distL="114300" distR="114300" simplePos="0" relativeHeight="251674624" behindDoc="0" locked="0" layoutInCell="1" allowOverlap="1" wp14:anchorId="0B4C46E0" wp14:editId="0847B387">
                <wp:simplePos x="0" y="0"/>
                <wp:positionH relativeFrom="column">
                  <wp:posOffset>4839335</wp:posOffset>
                </wp:positionH>
                <wp:positionV relativeFrom="paragraph">
                  <wp:posOffset>704850</wp:posOffset>
                </wp:positionV>
                <wp:extent cx="506095" cy="321945"/>
                <wp:effectExtent l="0" t="0" r="8255" b="190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321945"/>
                        </a:xfrm>
                        <a:prstGeom prst="rect">
                          <a:avLst/>
                        </a:prstGeom>
                        <a:solidFill>
                          <a:srgbClr val="66FFFF"/>
                        </a:solidFill>
                        <a:ln w="9525">
                          <a:noFill/>
                          <a:miter lim="800000"/>
                          <a:headEnd/>
                          <a:tailEnd/>
                        </a:ln>
                      </wps:spPr>
                      <wps:txbx>
                        <w:txbxContent>
                          <w:p w:rsidR="00AD6982" w:rsidRPr="00621AE9" w:rsidRDefault="00AD6982" w:rsidP="00621AE9">
                            <w:pPr>
                              <w:spacing w:before="0" w:line="120" w:lineRule="exact"/>
                              <w:jc w:val="center"/>
                              <w:rPr>
                                <w:sz w:val="13"/>
                                <w:szCs w:val="13"/>
                                <w:lang w:val="es-ES_tradnl"/>
                              </w:rPr>
                            </w:pPr>
                            <w:r w:rsidRPr="00621AE9">
                              <w:rPr>
                                <w:sz w:val="13"/>
                                <w:szCs w:val="13"/>
                                <w:lang w:val="es-ES_tradnl"/>
                              </w:rPr>
                              <w:t>Protección pública y operaciones</w:t>
                            </w:r>
                            <w:r w:rsidRPr="00621AE9">
                              <w:rPr>
                                <w:sz w:val="13"/>
                                <w:szCs w:val="13"/>
                                <w:lang w:val="es-ES_tradnl"/>
                              </w:rPr>
                              <w:br/>
                              <w:t>de socorro 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381.05pt;margin-top:55.5pt;width:39.85pt;height:25.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" fillcolor="#6ff" stroked="f">
                <v:textbox inset="0,0,0,0">
                  <w:txbxContent>
                    <w:p w:rsidR="00AD6982" w:rsidRPr="00621AE9" w:rsidRDefault="00AD6982" w:rsidP="00621AE9">
                      <w:pPr>
                        <w:spacing w:before="0" w:line="120" w:lineRule="exact"/>
                        <w:jc w:val="center"/>
                        <w:rPr>
                          <w:sz w:val="13"/>
                          <w:szCs w:val="13"/>
                          <w:lang w:val="es-ES_tradnl"/>
                        </w:rPr>
                      </w:pPr>
                      <w:r w:rsidRPr="00621AE9">
                        <w:rPr>
                          <w:sz w:val="13"/>
                          <w:szCs w:val="13"/>
                          <w:lang w:val="es-ES_tradnl"/>
                        </w:rPr>
                        <w:t>Protección pública y operaciones</w:t>
                      </w:r>
                      <w:r w:rsidRPr="00621AE9">
                        <w:rPr>
                          <w:sz w:val="13"/>
                          <w:szCs w:val="13"/>
                          <w:lang w:val="es-ES_tradnl"/>
                        </w:rPr>
                        <w:br/>
                        <w:t>de socorro 2</w:t>
                      </w:r>
                    </w:p>
                  </w:txbxContent>
                </v:textbox>
              </v:shape>
            </w:pict>
          </mc:Fallback>
        </mc:AlternateContent>
      </w:r>
      <w:r w:rsidRPr="0010490F">
        <w:rPr>
          <w:noProof/>
          <w:lang w:val="en-US" w:eastAsia="zh-CN"/>
        </w:rPr>
        <mc:AlternateContent>
          <mc:Choice Requires="wps">
            <w:drawing>
              <wp:anchor distT="0" distB="0" distL="114300" distR="114300" simplePos="0" relativeHeight="251673600" behindDoc="0" locked="0" layoutInCell="1" allowOverlap="1" wp14:anchorId="41BF05B4" wp14:editId="584AA50D">
                <wp:simplePos x="0" y="0"/>
                <wp:positionH relativeFrom="column">
                  <wp:posOffset>3286760</wp:posOffset>
                </wp:positionH>
                <wp:positionV relativeFrom="paragraph">
                  <wp:posOffset>704850</wp:posOffset>
                </wp:positionV>
                <wp:extent cx="506095" cy="321945"/>
                <wp:effectExtent l="0" t="0" r="8255" b="1905"/>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321945"/>
                        </a:xfrm>
                        <a:prstGeom prst="rect">
                          <a:avLst/>
                        </a:prstGeom>
                        <a:solidFill>
                          <a:srgbClr val="66FFFF"/>
                        </a:solidFill>
                        <a:ln w="9525">
                          <a:noFill/>
                          <a:miter lim="800000"/>
                          <a:headEnd/>
                          <a:tailEnd/>
                        </a:ln>
                      </wps:spPr>
                      <wps:txbx>
                        <w:txbxContent>
                          <w:p w:rsidR="00AD6982" w:rsidRPr="00621AE9" w:rsidRDefault="00AD6982" w:rsidP="00621AE9">
                            <w:pPr>
                              <w:spacing w:before="0" w:line="120" w:lineRule="exact"/>
                              <w:jc w:val="center"/>
                              <w:rPr>
                                <w:sz w:val="13"/>
                                <w:szCs w:val="13"/>
                                <w:lang w:val="es-ES_tradnl"/>
                              </w:rPr>
                            </w:pPr>
                            <w:r w:rsidRPr="00621AE9">
                              <w:rPr>
                                <w:sz w:val="13"/>
                                <w:szCs w:val="13"/>
                                <w:lang w:val="es-ES_tradnl"/>
                              </w:rPr>
                              <w:t>Protección pública y operaciones</w:t>
                            </w:r>
                            <w:r w:rsidRPr="00621AE9">
                              <w:rPr>
                                <w:sz w:val="13"/>
                                <w:szCs w:val="13"/>
                                <w:lang w:val="es-ES_tradnl"/>
                              </w:rPr>
                              <w:br/>
                              <w:t>de socorro 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58.8pt;margin-top:55.5pt;width:39.85pt;height:25.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" fillcolor="#6ff" stroked="f">
                <v:textbox inset="0,0,0,0">
                  <w:txbxContent>
                    <w:p w:rsidR="00AD6982" w:rsidRPr="00621AE9" w:rsidRDefault="00AD6982" w:rsidP="00621AE9">
                      <w:pPr>
                        <w:spacing w:before="0" w:line="120" w:lineRule="exact"/>
                        <w:jc w:val="center"/>
                        <w:rPr>
                          <w:sz w:val="13"/>
                          <w:szCs w:val="13"/>
                          <w:lang w:val="es-ES_tradnl"/>
                        </w:rPr>
                      </w:pPr>
                      <w:r w:rsidRPr="00621AE9">
                        <w:rPr>
                          <w:sz w:val="13"/>
                          <w:szCs w:val="13"/>
                          <w:lang w:val="es-ES_tradnl"/>
                        </w:rPr>
                        <w:t>Protección pública y operaciones</w:t>
                      </w:r>
                      <w:r w:rsidRPr="00621AE9">
                        <w:rPr>
                          <w:sz w:val="13"/>
                          <w:szCs w:val="13"/>
                          <w:lang w:val="es-ES_tradnl"/>
                        </w:rPr>
                        <w:br/>
                        <w:t>de socorro 1</w:t>
                      </w:r>
                    </w:p>
                  </w:txbxContent>
                </v:textbox>
              </v:shape>
            </w:pict>
          </mc:Fallback>
        </mc:AlternateContent>
      </w:r>
      <w:r w:rsidRPr="0010490F">
        <w:rPr>
          <w:noProof/>
          <w:lang w:val="en-US" w:eastAsia="zh-CN"/>
        </w:rPr>
        <mc:AlternateContent>
          <mc:Choice Requires="wps">
            <w:drawing>
              <wp:anchor distT="0" distB="0" distL="114300" distR="114300" simplePos="0" relativeHeight="251672576" behindDoc="0" locked="0" layoutInCell="1" allowOverlap="1" wp14:anchorId="42AADBAF" wp14:editId="2FBA9AFF">
                <wp:simplePos x="0" y="0"/>
                <wp:positionH relativeFrom="column">
                  <wp:posOffset>1918335</wp:posOffset>
                </wp:positionH>
                <wp:positionV relativeFrom="paragraph">
                  <wp:posOffset>697865</wp:posOffset>
                </wp:positionV>
                <wp:extent cx="506095" cy="321945"/>
                <wp:effectExtent l="0" t="0" r="8255" b="1905"/>
                <wp:wrapNone/>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321945"/>
                        </a:xfrm>
                        <a:prstGeom prst="rect">
                          <a:avLst/>
                        </a:prstGeom>
                        <a:solidFill>
                          <a:srgbClr val="66FFFF"/>
                        </a:solidFill>
                        <a:ln w="9525">
                          <a:noFill/>
                          <a:miter lim="800000"/>
                          <a:headEnd/>
                          <a:tailEnd/>
                        </a:ln>
                      </wps:spPr>
                      <wps:txbx>
                        <w:txbxContent>
                          <w:p w:rsidR="00AD6982" w:rsidRPr="00621AE9" w:rsidRDefault="00AD6982" w:rsidP="00621AE9">
                            <w:pPr>
                              <w:spacing w:before="0" w:line="120" w:lineRule="exact"/>
                              <w:jc w:val="center"/>
                              <w:rPr>
                                <w:sz w:val="13"/>
                                <w:szCs w:val="13"/>
                                <w:lang w:val="es-ES_tradnl"/>
                              </w:rPr>
                            </w:pPr>
                            <w:r w:rsidRPr="00621AE9">
                              <w:rPr>
                                <w:sz w:val="13"/>
                                <w:szCs w:val="13"/>
                                <w:lang w:val="es-ES_tradnl"/>
                              </w:rPr>
                              <w:t>Protección pública y operaciones</w:t>
                            </w:r>
                            <w:r w:rsidRPr="00621AE9">
                              <w:rPr>
                                <w:sz w:val="13"/>
                                <w:szCs w:val="13"/>
                                <w:lang w:val="es-ES_tradnl"/>
                              </w:rPr>
                              <w:br/>
                              <w:t>de socorro 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51.05pt;margin-top:54.95pt;width:39.85pt;height:25.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" fillcolor="#6ff" stroked="f">
                <v:textbox inset="0,0,0,0">
                  <w:txbxContent>
                    <w:p w:rsidR="00AD6982" w:rsidRPr="00621AE9" w:rsidRDefault="00AD6982" w:rsidP="00621AE9">
                      <w:pPr>
                        <w:spacing w:before="0" w:line="120" w:lineRule="exact"/>
                        <w:jc w:val="center"/>
                        <w:rPr>
                          <w:sz w:val="13"/>
                          <w:szCs w:val="13"/>
                          <w:lang w:val="es-ES_tradnl"/>
                        </w:rPr>
                      </w:pPr>
                      <w:r w:rsidRPr="00621AE9">
                        <w:rPr>
                          <w:sz w:val="13"/>
                          <w:szCs w:val="13"/>
                          <w:lang w:val="es-ES_tradnl"/>
                        </w:rPr>
                        <w:t>Protección pública y operaciones</w:t>
                      </w:r>
                      <w:r w:rsidRPr="00621AE9">
                        <w:rPr>
                          <w:sz w:val="13"/>
                          <w:szCs w:val="13"/>
                          <w:lang w:val="es-ES_tradnl"/>
                        </w:rPr>
                        <w:br/>
                        <w:t>de socorro 2</w:t>
                      </w:r>
                    </w:p>
                  </w:txbxContent>
                </v:textbox>
              </v:shape>
            </w:pict>
          </mc:Fallback>
        </mc:AlternateContent>
      </w:r>
      <w:r w:rsidRPr="0010490F">
        <w:rPr>
          <w:noProof/>
          <w:lang w:val="en-US" w:eastAsia="zh-CN"/>
        </w:rPr>
        <mc:AlternateContent>
          <mc:Choice Requires="wps">
            <w:drawing>
              <wp:anchor distT="0" distB="0" distL="114300" distR="114300" simplePos="0" relativeHeight="251671552" behindDoc="0" locked="0" layoutInCell="1" allowOverlap="1" wp14:anchorId="24D8FAFC" wp14:editId="332160ED">
                <wp:simplePos x="0" y="0"/>
                <wp:positionH relativeFrom="column">
                  <wp:posOffset>404819</wp:posOffset>
                </wp:positionH>
                <wp:positionV relativeFrom="paragraph">
                  <wp:posOffset>697952</wp:posOffset>
                </wp:positionV>
                <wp:extent cx="506538" cy="322342"/>
                <wp:effectExtent l="0" t="0" r="8255" b="1905"/>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538" cy="322342"/>
                        </a:xfrm>
                        <a:prstGeom prst="rect">
                          <a:avLst/>
                        </a:prstGeom>
                        <a:solidFill>
                          <a:srgbClr val="66FFFF"/>
                        </a:solidFill>
                        <a:ln w="9525">
                          <a:noFill/>
                          <a:miter lim="800000"/>
                          <a:headEnd/>
                          <a:tailEnd/>
                        </a:ln>
                      </wps:spPr>
                      <wps:txbx>
                        <w:txbxContent>
                          <w:p w:rsidR="00AD6982" w:rsidRPr="00621AE9" w:rsidRDefault="00AD6982" w:rsidP="00621AE9">
                            <w:pPr>
                              <w:spacing w:before="0" w:line="120" w:lineRule="exact"/>
                              <w:jc w:val="center"/>
                              <w:rPr>
                                <w:sz w:val="13"/>
                                <w:szCs w:val="13"/>
                                <w:lang w:val="es-ES_tradnl"/>
                              </w:rPr>
                            </w:pPr>
                            <w:r w:rsidRPr="00621AE9">
                              <w:rPr>
                                <w:sz w:val="13"/>
                                <w:szCs w:val="13"/>
                                <w:lang w:val="es-ES_tradnl"/>
                              </w:rPr>
                              <w:t>Protección pública y operaciones</w:t>
                            </w:r>
                            <w:r w:rsidRPr="00621AE9">
                              <w:rPr>
                                <w:sz w:val="13"/>
                                <w:szCs w:val="13"/>
                                <w:lang w:val="es-ES_tradnl"/>
                              </w:rPr>
                              <w:br/>
                              <w:t>de socorro 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1.9pt;margin-top:54.95pt;width:39.9pt;height:2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" fillcolor="#6ff" stroked="f">
                <v:textbox inset="0,0,0,0">
                  <w:txbxContent>
                    <w:p w:rsidR="00AD6982" w:rsidRPr="00621AE9" w:rsidRDefault="00AD6982" w:rsidP="00621AE9">
                      <w:pPr>
                        <w:spacing w:before="0" w:line="120" w:lineRule="exact"/>
                        <w:jc w:val="center"/>
                        <w:rPr>
                          <w:sz w:val="13"/>
                          <w:szCs w:val="13"/>
                          <w:lang w:val="es-ES_tradnl"/>
                        </w:rPr>
                      </w:pPr>
                      <w:r w:rsidRPr="00621AE9">
                        <w:rPr>
                          <w:sz w:val="13"/>
                          <w:szCs w:val="13"/>
                          <w:lang w:val="es-ES_tradnl"/>
                        </w:rPr>
                        <w:t>Protección pública y operaciones</w:t>
                      </w:r>
                      <w:r w:rsidRPr="00621AE9">
                        <w:rPr>
                          <w:sz w:val="13"/>
                          <w:szCs w:val="13"/>
                          <w:lang w:val="es-ES_tradnl"/>
                        </w:rPr>
                        <w:br/>
                        <w:t>de socorro 1</w:t>
                      </w:r>
                    </w:p>
                  </w:txbxContent>
                </v:textbox>
              </v:shape>
            </w:pict>
          </mc:Fallback>
        </mc:AlternateContent>
      </w:r>
      <w:r w:rsidRPr="0010490F">
        <w:rPr>
          <w:rFonts w:eastAsia="MS Mincho"/>
          <w:noProof/>
          <w:lang w:val="en-US" w:eastAsia="zh-CN"/>
        </w:rPr>
        <w:drawing>
          <wp:inline distT="0" distB="0" distL="0" distR="0" wp14:anchorId="22903399" wp14:editId="111843B6">
            <wp:extent cx="6042660" cy="105156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2660" cy="1051560"/>
                    </a:xfrm>
                    <a:prstGeom prst="rect">
                      <a:avLst/>
                    </a:prstGeom>
                    <a:noFill/>
                    <a:ln w="0">
                      <a:noFill/>
                    </a:ln>
                  </pic:spPr>
                </pic:pic>
              </a:graphicData>
            </a:graphic>
          </wp:inline>
        </w:drawing>
      </w:r>
    </w:p>
    <w:p w:rsidR="00DE347D" w:rsidRPr="00DE347D" w:rsidRDefault="00DE347D" w:rsidP="00DE347D">
      <w:pPr>
        <w:rPr>
          <w:rFonts w:eastAsia="MS Mincho"/>
        </w:rPr>
      </w:pPr>
    </w:p>
    <w:p w:rsidR="00AD6982" w:rsidRPr="0010490F" w:rsidRDefault="00AD6982" w:rsidP="00AD6982">
      <w:pPr>
        <w:pStyle w:val="Heading2"/>
        <w:rPr>
          <w:rFonts w:eastAsia="MS Mincho"/>
          <w:b w:val="0"/>
        </w:rPr>
      </w:pPr>
      <w:r w:rsidRPr="0010490F">
        <w:rPr>
          <w:rFonts w:eastAsia="MS Mincho"/>
        </w:rPr>
        <w:t>1.1</w:t>
      </w:r>
      <w:r w:rsidRPr="0010490F">
        <w:rPr>
          <w:rFonts w:eastAsia="MS Mincho"/>
        </w:rPr>
        <w:tab/>
        <w:t>Ejemplo de disposición de frecuencias</w:t>
      </w:r>
    </w:p>
    <w:p w:rsidR="00AD6982" w:rsidRPr="0010490F" w:rsidRDefault="00AD6982" w:rsidP="00AD6982">
      <w:pPr>
        <w:pStyle w:val="Heading3"/>
      </w:pPr>
      <w:r w:rsidRPr="0010490F">
        <w:t>1.1.1</w:t>
      </w:r>
      <w:r w:rsidRPr="0010490F">
        <w:tab/>
        <w:t>Designación de bloques de frecuencias</w:t>
      </w:r>
    </w:p>
    <w:p w:rsidR="00AD6982" w:rsidRPr="0010490F" w:rsidRDefault="00AD6982" w:rsidP="00BE1920">
      <w:pPr>
        <w:keepNext/>
        <w:keepLine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2835"/>
        <w:gridCol w:w="3288"/>
      </w:tblGrid>
      <w:tr w:rsidR="00AD6982" w:rsidRPr="0010490F" w:rsidTr="00621AE9">
        <w:trPr>
          <w:jc w:val="center"/>
        </w:trPr>
        <w:tc>
          <w:tcPr>
            <w:tcW w:w="2551" w:type="dxa"/>
            <w:vAlign w:val="center"/>
          </w:tcPr>
          <w:p w:rsidR="00AD6982" w:rsidRPr="0010490F" w:rsidRDefault="00AD6982" w:rsidP="00B17B93">
            <w:pPr>
              <w:pStyle w:val="Tablehead"/>
            </w:pPr>
            <w:r w:rsidRPr="0010490F">
              <w:t>Estación móvil/estación de control transmisora (MHz)</w:t>
            </w:r>
          </w:p>
        </w:tc>
        <w:tc>
          <w:tcPr>
            <w:tcW w:w="2835" w:type="dxa"/>
            <w:vAlign w:val="center"/>
          </w:tcPr>
          <w:p w:rsidR="00AD6982" w:rsidRPr="0010490F" w:rsidRDefault="00AD6982" w:rsidP="00621AE9">
            <w:pPr>
              <w:pStyle w:val="Tablehead"/>
            </w:pPr>
            <w:r w:rsidRPr="0010490F">
              <w:t>Estación de base</w:t>
            </w:r>
            <w:r w:rsidR="00621AE9">
              <w:br/>
            </w:r>
            <w:r w:rsidRPr="0010490F">
              <w:t>transmisora</w:t>
            </w:r>
            <w:r w:rsidR="00621AE9">
              <w:br/>
            </w:r>
            <w:r w:rsidRPr="0010490F">
              <w:t>(MHz)</w:t>
            </w:r>
          </w:p>
        </w:tc>
        <w:tc>
          <w:tcPr>
            <w:tcW w:w="3288" w:type="dxa"/>
            <w:vAlign w:val="center"/>
          </w:tcPr>
          <w:p w:rsidR="00AD6982" w:rsidRPr="0010490F" w:rsidRDefault="00AD6982" w:rsidP="00B17B93">
            <w:pPr>
              <w:pStyle w:val="Tablehead"/>
            </w:pPr>
            <w:r w:rsidRPr="0010490F">
              <w:t>Bloque de frecuencias</w:t>
            </w:r>
          </w:p>
        </w:tc>
      </w:tr>
      <w:tr w:rsidR="00AD6982" w:rsidRPr="0010490F" w:rsidTr="00621AE9">
        <w:trPr>
          <w:jc w:val="center"/>
        </w:trPr>
        <w:tc>
          <w:tcPr>
            <w:tcW w:w="2551" w:type="dxa"/>
          </w:tcPr>
          <w:p w:rsidR="00AD6982" w:rsidRPr="0010490F" w:rsidRDefault="00AD6982" w:rsidP="00B17B93">
            <w:pPr>
              <w:pStyle w:val="Tabletext"/>
              <w:jc w:val="center"/>
            </w:pPr>
            <w:r w:rsidRPr="0010490F">
              <w:t>806-809</w:t>
            </w:r>
          </w:p>
        </w:tc>
        <w:tc>
          <w:tcPr>
            <w:tcW w:w="2835" w:type="dxa"/>
          </w:tcPr>
          <w:p w:rsidR="00AD6982" w:rsidRPr="0010490F" w:rsidRDefault="00AD6982" w:rsidP="00B17B93">
            <w:pPr>
              <w:pStyle w:val="Tabletext"/>
              <w:jc w:val="center"/>
            </w:pPr>
            <w:r w:rsidRPr="0010490F">
              <w:t>851-854</w:t>
            </w:r>
          </w:p>
        </w:tc>
        <w:tc>
          <w:tcPr>
            <w:tcW w:w="3288" w:type="dxa"/>
          </w:tcPr>
          <w:p w:rsidR="00AD6982" w:rsidRPr="0010490F" w:rsidRDefault="00AD6982" w:rsidP="00B17B93">
            <w:pPr>
              <w:pStyle w:val="Tabletext"/>
              <w:jc w:val="center"/>
            </w:pPr>
            <w:r w:rsidRPr="0010490F">
              <w:t>Protección pública y operaciones socorro 1</w:t>
            </w:r>
            <w:r w:rsidRPr="0010490F">
              <w:rPr>
                <w:rStyle w:val="FootnoteReference"/>
              </w:rPr>
              <w:footnoteReference w:id="6"/>
            </w:r>
          </w:p>
        </w:tc>
      </w:tr>
      <w:tr w:rsidR="00AD6982" w:rsidRPr="0010490F" w:rsidTr="00621AE9">
        <w:trPr>
          <w:jc w:val="center"/>
        </w:trPr>
        <w:tc>
          <w:tcPr>
            <w:tcW w:w="2551" w:type="dxa"/>
          </w:tcPr>
          <w:p w:rsidR="00AD6982" w:rsidRPr="0010490F" w:rsidRDefault="00AD6982" w:rsidP="00B17B93">
            <w:pPr>
              <w:pStyle w:val="Tabletext"/>
              <w:jc w:val="center"/>
            </w:pPr>
            <w:r w:rsidRPr="0010490F">
              <w:t>821-824</w:t>
            </w:r>
          </w:p>
        </w:tc>
        <w:tc>
          <w:tcPr>
            <w:tcW w:w="2835" w:type="dxa"/>
          </w:tcPr>
          <w:p w:rsidR="00AD6982" w:rsidRPr="0010490F" w:rsidRDefault="00AD6982" w:rsidP="00B17B93">
            <w:pPr>
              <w:pStyle w:val="Tabletext"/>
              <w:jc w:val="center"/>
            </w:pPr>
            <w:r w:rsidRPr="0010490F">
              <w:t>866-869</w:t>
            </w:r>
          </w:p>
        </w:tc>
        <w:tc>
          <w:tcPr>
            <w:tcW w:w="3288" w:type="dxa"/>
          </w:tcPr>
          <w:p w:rsidR="00AD6982" w:rsidRPr="0010490F" w:rsidRDefault="00AD6982" w:rsidP="00B17B93">
            <w:pPr>
              <w:pStyle w:val="Tabletext"/>
              <w:jc w:val="center"/>
            </w:pPr>
            <w:r w:rsidRPr="0010490F">
              <w:t>Protección pública y operaciones socorro 2</w:t>
            </w:r>
            <w:r w:rsidRPr="0010490F">
              <w:rPr>
                <w:rStyle w:val="FootnoteReference"/>
              </w:rPr>
              <w:footnoteReference w:id="7"/>
            </w:r>
            <w:r w:rsidRPr="0010490F">
              <w:t xml:space="preserve"> </w:t>
            </w:r>
          </w:p>
        </w:tc>
      </w:tr>
    </w:tbl>
    <w:p w:rsidR="00AD6982" w:rsidRPr="0010490F" w:rsidRDefault="00AD6982" w:rsidP="00AD6982">
      <w:pPr>
        <w:pStyle w:val="Tablefin"/>
        <w:rPr>
          <w:sz w:val="16"/>
          <w:szCs w:val="16"/>
          <w:lang w:val="es-ES"/>
        </w:rPr>
      </w:pPr>
    </w:p>
    <w:p w:rsidR="00AD6982" w:rsidRPr="0010490F" w:rsidRDefault="00AD6982" w:rsidP="00AD6982">
      <w:pPr>
        <w:pStyle w:val="Heading3"/>
      </w:pPr>
      <w:r w:rsidRPr="0010490F">
        <w:lastRenderedPageBreak/>
        <w:t>1.1.2</w:t>
      </w:r>
      <w:r w:rsidRPr="0010490F">
        <w:tab/>
        <w:t>Canalización</w:t>
      </w:r>
    </w:p>
    <w:p w:rsidR="00AD6982" w:rsidRPr="0010490F" w:rsidRDefault="00AD6982" w:rsidP="00AD6982">
      <w:pPr>
        <w:keepNext/>
        <w:keepLines/>
      </w:pPr>
      <w:r w:rsidRPr="0010490F">
        <w:t xml:space="preserve">Las frecuencias correspondientes a la frecuencia central del número de canal se definen mediante las siguientes fórmulas, donde </w:t>
      </w:r>
      <w:r w:rsidRPr="0010490F">
        <w:rPr>
          <w:i/>
        </w:rPr>
        <w:t>n</w:t>
      </w:r>
      <w:r w:rsidRPr="0010490F">
        <w:t xml:space="preserve"> es el número de canal:</w:t>
      </w:r>
    </w:p>
    <w:p w:rsidR="00AD6982" w:rsidRPr="0010490F" w:rsidRDefault="00AD6982" w:rsidP="00BE1920">
      <w:pPr>
        <w:keepNext/>
        <w:keepLine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8"/>
        <w:gridCol w:w="3005"/>
        <w:gridCol w:w="3061"/>
        <w:gridCol w:w="1644"/>
      </w:tblGrid>
      <w:tr w:rsidR="00C0532B" w:rsidRPr="0010490F" w:rsidTr="00E7731E">
        <w:trPr>
          <w:jc w:val="center"/>
        </w:trPr>
        <w:tc>
          <w:tcPr>
            <w:tcW w:w="1928" w:type="dxa"/>
            <w:vAlign w:val="center"/>
          </w:tcPr>
          <w:p w:rsidR="00C0532B" w:rsidRPr="0010490F" w:rsidRDefault="00C0532B" w:rsidP="00101A16">
            <w:pPr>
              <w:pStyle w:val="Tablehead"/>
            </w:pPr>
            <w:r w:rsidRPr="0010490F">
              <w:t>Número de canal</w:t>
            </w:r>
          </w:p>
        </w:tc>
        <w:tc>
          <w:tcPr>
            <w:tcW w:w="3005" w:type="dxa"/>
            <w:vAlign w:val="center"/>
          </w:tcPr>
          <w:p w:rsidR="00C0532B" w:rsidRPr="0010490F" w:rsidRDefault="00C0532B" w:rsidP="00B17B93">
            <w:pPr>
              <w:pStyle w:val="Tablehead"/>
            </w:pPr>
            <w:r w:rsidRPr="0010490F">
              <w:t>Estación móvil transmisora</w:t>
            </w:r>
            <w:r w:rsidRPr="0010490F">
              <w:br/>
              <w:t>Frecuencia central del canal (MHz)</w:t>
            </w:r>
          </w:p>
        </w:tc>
        <w:tc>
          <w:tcPr>
            <w:tcW w:w="3061" w:type="dxa"/>
            <w:vAlign w:val="center"/>
          </w:tcPr>
          <w:p w:rsidR="00C0532B" w:rsidRPr="0010490F" w:rsidRDefault="00C0532B" w:rsidP="00B17B93">
            <w:pPr>
              <w:pStyle w:val="Tablehead"/>
            </w:pPr>
            <w:r w:rsidRPr="0010490F">
              <w:t>Estación de base transmisora</w:t>
            </w:r>
            <w:r w:rsidRPr="0010490F">
              <w:br/>
              <w:t>Frecuencia central del canal (MHz)</w:t>
            </w:r>
          </w:p>
        </w:tc>
        <w:tc>
          <w:tcPr>
            <w:tcW w:w="1644" w:type="dxa"/>
            <w:vAlign w:val="center"/>
          </w:tcPr>
          <w:p w:rsidR="00C0532B" w:rsidRPr="0010490F" w:rsidRDefault="00C0532B" w:rsidP="00B17B93">
            <w:pPr>
              <w:pStyle w:val="Tablehead"/>
            </w:pPr>
            <w:r w:rsidRPr="0010490F">
              <w:t>Anchura de banda de canal (kHz)</w:t>
            </w:r>
          </w:p>
        </w:tc>
      </w:tr>
      <w:tr w:rsidR="00C0532B" w:rsidRPr="0010490F" w:rsidTr="00BE1920">
        <w:trPr>
          <w:trHeight w:val="296"/>
          <w:jc w:val="center"/>
        </w:trPr>
        <w:tc>
          <w:tcPr>
            <w:tcW w:w="1928" w:type="dxa"/>
          </w:tcPr>
          <w:p w:rsidR="00C0532B" w:rsidRPr="0010490F" w:rsidRDefault="00C0532B" w:rsidP="00B17B93">
            <w:pPr>
              <w:pStyle w:val="Tabletext"/>
              <w:jc w:val="center"/>
            </w:pPr>
            <w:r w:rsidRPr="0010490F">
              <w:rPr>
                <w:i/>
                <w:iCs/>
              </w:rPr>
              <w:t>n</w:t>
            </w:r>
            <w:r w:rsidRPr="0010490F">
              <w:t xml:space="preserve"> = 1 a 600</w:t>
            </w:r>
          </w:p>
        </w:tc>
        <w:tc>
          <w:tcPr>
            <w:tcW w:w="3005" w:type="dxa"/>
          </w:tcPr>
          <w:p w:rsidR="00C0532B" w:rsidRPr="0010490F" w:rsidRDefault="00C0532B" w:rsidP="00B17B93">
            <w:pPr>
              <w:pStyle w:val="Tabletext"/>
              <w:jc w:val="center"/>
            </w:pPr>
            <w:r w:rsidRPr="0010490F">
              <w:rPr>
                <w:i/>
                <w:iCs/>
              </w:rPr>
              <w:t>f</w:t>
            </w:r>
            <w:r w:rsidRPr="0010490F">
              <w:rPr>
                <w:i/>
                <w:iCs/>
                <w:vertAlign w:val="subscript"/>
              </w:rPr>
              <w:t>n</w:t>
            </w:r>
            <w:r w:rsidRPr="0010490F">
              <w:t xml:space="preserve"> = 806,0125 + (0,025) </w:t>
            </w:r>
            <w:r w:rsidRPr="0010490F">
              <w:sym w:font="Symbol" w:char="F0B4"/>
            </w:r>
            <w:r w:rsidRPr="0010490F">
              <w:t xml:space="preserve"> (</w:t>
            </w:r>
            <w:r w:rsidRPr="0010490F">
              <w:rPr>
                <w:i/>
                <w:iCs/>
              </w:rPr>
              <w:t>n</w:t>
            </w:r>
            <w:r w:rsidRPr="0010490F">
              <w:t> − 1)</w:t>
            </w:r>
          </w:p>
        </w:tc>
        <w:tc>
          <w:tcPr>
            <w:tcW w:w="3061" w:type="dxa"/>
          </w:tcPr>
          <w:p w:rsidR="00C0532B" w:rsidRPr="0010490F" w:rsidRDefault="00C0532B" w:rsidP="00B17B93">
            <w:pPr>
              <w:pStyle w:val="Tabletext"/>
              <w:jc w:val="center"/>
            </w:pPr>
            <w:r w:rsidRPr="0010490F">
              <w:rPr>
                <w:i/>
                <w:iCs/>
              </w:rPr>
              <w:t>f</w:t>
            </w:r>
            <w:r w:rsidRPr="0010490F">
              <w:rPr>
                <w:i/>
                <w:iCs/>
                <w:vertAlign w:val="subscript"/>
              </w:rPr>
              <w:t>n</w:t>
            </w:r>
            <w:r w:rsidRPr="0010490F">
              <w:t xml:space="preserve"> = 851,0125 + (0,025) </w:t>
            </w:r>
            <w:r w:rsidRPr="0010490F">
              <w:sym w:font="Symbol" w:char="F0B4"/>
            </w:r>
            <w:r w:rsidRPr="0010490F">
              <w:t xml:space="preserve"> </w:t>
            </w:r>
            <w:r w:rsidR="00E33EB7" w:rsidRPr="0010490F">
              <w:t>(</w:t>
            </w:r>
            <w:r w:rsidR="00E33EB7" w:rsidRPr="0010490F">
              <w:rPr>
                <w:i/>
                <w:iCs/>
              </w:rPr>
              <w:t>n</w:t>
            </w:r>
            <w:r w:rsidR="00E33EB7" w:rsidRPr="0010490F">
              <w:t> − 1)</w:t>
            </w:r>
          </w:p>
        </w:tc>
        <w:tc>
          <w:tcPr>
            <w:tcW w:w="1644" w:type="dxa"/>
          </w:tcPr>
          <w:p w:rsidR="00C0532B" w:rsidRPr="0010490F" w:rsidRDefault="00C0532B" w:rsidP="00BE1920">
            <w:pPr>
              <w:pStyle w:val="Tabletext"/>
              <w:jc w:val="center"/>
              <w:rPr>
                <w:iCs/>
              </w:rPr>
            </w:pPr>
            <w:r w:rsidRPr="0010490F">
              <w:rPr>
                <w:iCs/>
              </w:rPr>
              <w:t>25</w:t>
            </w:r>
          </w:p>
        </w:tc>
      </w:tr>
      <w:tr w:rsidR="00C0532B" w:rsidRPr="0010490F" w:rsidTr="00BE1920">
        <w:trPr>
          <w:trHeight w:val="296"/>
          <w:jc w:val="center"/>
        </w:trPr>
        <w:tc>
          <w:tcPr>
            <w:tcW w:w="1928" w:type="dxa"/>
          </w:tcPr>
          <w:p w:rsidR="00C0532B" w:rsidRPr="0010490F" w:rsidRDefault="00C0532B" w:rsidP="00E33EB7">
            <w:pPr>
              <w:pStyle w:val="Tabletext"/>
              <w:jc w:val="center"/>
              <w:rPr>
                <w:i/>
                <w:iCs/>
              </w:rPr>
            </w:pPr>
            <w:r w:rsidRPr="0010490F">
              <w:rPr>
                <w:i/>
                <w:iCs/>
              </w:rPr>
              <w:t>n</w:t>
            </w:r>
            <w:r w:rsidRPr="0010490F">
              <w:t xml:space="preserve"> = 602 a 790 salvo</w:t>
            </w:r>
            <w:r w:rsidR="00E33EB7">
              <w:br/>
            </w:r>
            <w:r w:rsidRPr="0010490F">
              <w:t>639, 677, 715, 753</w:t>
            </w:r>
          </w:p>
        </w:tc>
        <w:tc>
          <w:tcPr>
            <w:tcW w:w="3005" w:type="dxa"/>
          </w:tcPr>
          <w:p w:rsidR="00C0532B" w:rsidRPr="0010490F" w:rsidRDefault="00C0532B" w:rsidP="00B17B93">
            <w:pPr>
              <w:pStyle w:val="Tabletext"/>
              <w:jc w:val="center"/>
              <w:rPr>
                <w:i/>
                <w:iCs/>
              </w:rPr>
            </w:pPr>
            <w:r w:rsidRPr="0010490F">
              <w:rPr>
                <w:i/>
                <w:iCs/>
              </w:rPr>
              <w:t>f</w:t>
            </w:r>
            <w:r w:rsidRPr="0010490F">
              <w:rPr>
                <w:i/>
                <w:iCs/>
                <w:vertAlign w:val="subscript"/>
              </w:rPr>
              <w:t>n</w:t>
            </w:r>
            <w:r w:rsidRPr="0010490F">
              <w:t xml:space="preserve"> = 821,0375 + 0,0125 </w:t>
            </w:r>
            <w:r w:rsidRPr="0010490F">
              <w:sym w:font="Symbol" w:char="F0B4"/>
            </w:r>
            <w:r w:rsidRPr="0010490F">
              <w:t xml:space="preserve"> (</w:t>
            </w:r>
            <w:r w:rsidRPr="0010490F">
              <w:rPr>
                <w:i/>
                <w:iCs/>
              </w:rPr>
              <w:t>n</w:t>
            </w:r>
            <w:r w:rsidRPr="0010490F">
              <w:t xml:space="preserve"> − 602) + 0,025 </w:t>
            </w:r>
            <w:r w:rsidRPr="0010490F">
              <w:sym w:font="Symbol" w:char="F0B4"/>
            </w:r>
            <w:r w:rsidRPr="0010490F">
              <w:t xml:space="preserve"> fondo[(</w:t>
            </w:r>
            <w:r w:rsidRPr="0010490F">
              <w:rPr>
                <w:i/>
                <w:iCs/>
              </w:rPr>
              <w:t>n</w:t>
            </w:r>
            <w:r w:rsidRPr="0010490F">
              <w:t> − 601) / 38]</w:t>
            </w:r>
          </w:p>
        </w:tc>
        <w:tc>
          <w:tcPr>
            <w:tcW w:w="3061" w:type="dxa"/>
          </w:tcPr>
          <w:p w:rsidR="00C0532B" w:rsidRPr="0010490F" w:rsidRDefault="00C0532B" w:rsidP="00B17B93">
            <w:pPr>
              <w:pStyle w:val="Tabletext"/>
              <w:jc w:val="center"/>
              <w:rPr>
                <w:i/>
                <w:iCs/>
              </w:rPr>
            </w:pPr>
            <w:r w:rsidRPr="0010490F">
              <w:rPr>
                <w:i/>
                <w:iCs/>
              </w:rPr>
              <w:t>f</w:t>
            </w:r>
            <w:r w:rsidRPr="0010490F">
              <w:rPr>
                <w:i/>
                <w:iCs/>
                <w:vertAlign w:val="subscript"/>
              </w:rPr>
              <w:t>n</w:t>
            </w:r>
            <w:r w:rsidRPr="0010490F">
              <w:t xml:space="preserve"> = 866,0375 + 0,0125 </w:t>
            </w:r>
            <w:r w:rsidRPr="0010490F">
              <w:sym w:font="Symbol" w:char="F0B4"/>
            </w:r>
            <w:r w:rsidRPr="0010490F">
              <w:t xml:space="preserve"> (</w:t>
            </w:r>
            <w:r w:rsidRPr="0010490F">
              <w:rPr>
                <w:i/>
                <w:iCs/>
              </w:rPr>
              <w:t>n</w:t>
            </w:r>
            <w:r w:rsidRPr="0010490F">
              <w:t xml:space="preserve"> − 602) + 0,025 </w:t>
            </w:r>
            <w:r w:rsidRPr="0010490F">
              <w:sym w:font="Symbol" w:char="F0B4"/>
            </w:r>
            <w:r w:rsidRPr="0010490F">
              <w:t xml:space="preserve"> fondo[(</w:t>
            </w:r>
            <w:r w:rsidRPr="0010490F">
              <w:rPr>
                <w:i/>
                <w:iCs/>
              </w:rPr>
              <w:t>n</w:t>
            </w:r>
            <w:r w:rsidRPr="0010490F">
              <w:t> − 601) / 38]</w:t>
            </w:r>
          </w:p>
        </w:tc>
        <w:tc>
          <w:tcPr>
            <w:tcW w:w="1644" w:type="dxa"/>
          </w:tcPr>
          <w:p w:rsidR="00C0532B" w:rsidRPr="0010490F" w:rsidRDefault="00C0532B" w:rsidP="00BE1920">
            <w:pPr>
              <w:pStyle w:val="Tabletext"/>
              <w:jc w:val="center"/>
              <w:rPr>
                <w:iCs/>
              </w:rPr>
            </w:pPr>
            <w:r w:rsidRPr="0010490F">
              <w:rPr>
                <w:iCs/>
              </w:rPr>
              <w:t>12,5</w:t>
            </w:r>
          </w:p>
        </w:tc>
      </w:tr>
      <w:tr w:rsidR="00C0532B" w:rsidRPr="0010490F" w:rsidTr="00BE1920">
        <w:trPr>
          <w:trHeight w:val="296"/>
          <w:jc w:val="center"/>
        </w:trPr>
        <w:tc>
          <w:tcPr>
            <w:tcW w:w="1928" w:type="dxa"/>
          </w:tcPr>
          <w:p w:rsidR="00C0532B" w:rsidRPr="0010490F" w:rsidRDefault="00C0532B" w:rsidP="00C0532B">
            <w:pPr>
              <w:pStyle w:val="Tabletext"/>
              <w:keepNext/>
              <w:keepLines/>
              <w:jc w:val="center"/>
              <w:rPr>
                <w:i/>
                <w:iCs/>
              </w:rPr>
            </w:pPr>
            <w:r w:rsidRPr="0010490F">
              <w:rPr>
                <w:i/>
                <w:iCs/>
              </w:rPr>
              <w:t>n</w:t>
            </w:r>
            <w:r w:rsidRPr="0010490F">
              <w:t xml:space="preserve"> = 601, 639, 677, 715, 753</w:t>
            </w:r>
          </w:p>
        </w:tc>
        <w:tc>
          <w:tcPr>
            <w:tcW w:w="3005" w:type="dxa"/>
          </w:tcPr>
          <w:p w:rsidR="00C0532B" w:rsidRPr="0010490F" w:rsidRDefault="00C0532B" w:rsidP="00C0532B">
            <w:pPr>
              <w:pStyle w:val="Tabletext"/>
              <w:keepNext/>
              <w:keepLines/>
              <w:jc w:val="center"/>
              <w:rPr>
                <w:i/>
                <w:iCs/>
              </w:rPr>
            </w:pPr>
            <w:r w:rsidRPr="0010490F">
              <w:rPr>
                <w:i/>
                <w:iCs/>
              </w:rPr>
              <w:t>f</w:t>
            </w:r>
            <w:r w:rsidRPr="0010490F">
              <w:rPr>
                <w:i/>
                <w:iCs/>
                <w:vertAlign w:val="subscript"/>
              </w:rPr>
              <w:t>n</w:t>
            </w:r>
            <w:r w:rsidRPr="0010490F">
              <w:t xml:space="preserve"> = 821,0125 + 0,5 </w:t>
            </w:r>
            <w:r w:rsidRPr="0010490F">
              <w:sym w:font="Symbol" w:char="F0B4"/>
            </w:r>
            <w:r w:rsidRPr="0010490F">
              <w:t xml:space="preserve"> fondo[(</w:t>
            </w:r>
            <w:r w:rsidRPr="0010490F">
              <w:rPr>
                <w:i/>
                <w:iCs/>
              </w:rPr>
              <w:t>n</w:t>
            </w:r>
            <w:r w:rsidRPr="0010490F">
              <w:t> − 601) / 38]</w:t>
            </w:r>
          </w:p>
        </w:tc>
        <w:tc>
          <w:tcPr>
            <w:tcW w:w="3061" w:type="dxa"/>
          </w:tcPr>
          <w:p w:rsidR="00C0532B" w:rsidRPr="0010490F" w:rsidRDefault="00C0532B" w:rsidP="00C0532B">
            <w:pPr>
              <w:pStyle w:val="Tabletext"/>
              <w:keepNext/>
              <w:keepLines/>
              <w:jc w:val="center"/>
              <w:rPr>
                <w:i/>
                <w:iCs/>
              </w:rPr>
            </w:pPr>
            <w:r w:rsidRPr="0010490F">
              <w:rPr>
                <w:i/>
                <w:iCs/>
              </w:rPr>
              <w:t>f</w:t>
            </w:r>
            <w:r w:rsidRPr="0010490F">
              <w:rPr>
                <w:i/>
                <w:iCs/>
                <w:vertAlign w:val="subscript"/>
              </w:rPr>
              <w:t>n</w:t>
            </w:r>
            <w:r w:rsidRPr="0010490F">
              <w:t xml:space="preserve"> = 866,0125 + 0,5 </w:t>
            </w:r>
            <w:r w:rsidRPr="0010490F">
              <w:sym w:font="Symbol" w:char="F0B4"/>
            </w:r>
            <w:r w:rsidRPr="0010490F">
              <w:t xml:space="preserve"> fondo[(</w:t>
            </w:r>
            <w:r w:rsidRPr="0010490F">
              <w:rPr>
                <w:i/>
                <w:iCs/>
              </w:rPr>
              <w:t>n</w:t>
            </w:r>
            <w:r w:rsidRPr="0010490F">
              <w:t> − 601) / 38]</w:t>
            </w:r>
          </w:p>
        </w:tc>
        <w:tc>
          <w:tcPr>
            <w:tcW w:w="1644" w:type="dxa"/>
          </w:tcPr>
          <w:p w:rsidR="00C0532B" w:rsidRPr="0010490F" w:rsidRDefault="00C0532B" w:rsidP="00BE1920">
            <w:pPr>
              <w:pStyle w:val="Tabletext"/>
              <w:keepNext/>
              <w:keepLines/>
              <w:jc w:val="center"/>
              <w:rPr>
                <w:iCs/>
              </w:rPr>
            </w:pPr>
            <w:r w:rsidRPr="0010490F">
              <w:rPr>
                <w:iCs/>
              </w:rPr>
              <w:t>25</w:t>
            </w:r>
          </w:p>
        </w:tc>
      </w:tr>
      <w:tr w:rsidR="00C0532B" w:rsidRPr="0010490F" w:rsidTr="00BE1920">
        <w:trPr>
          <w:trHeight w:val="296"/>
          <w:jc w:val="center"/>
        </w:trPr>
        <w:tc>
          <w:tcPr>
            <w:tcW w:w="1928" w:type="dxa"/>
          </w:tcPr>
          <w:p w:rsidR="00C0532B" w:rsidRPr="0010490F" w:rsidRDefault="00C0532B" w:rsidP="00C0532B">
            <w:pPr>
              <w:pStyle w:val="Tabletext"/>
              <w:keepNext/>
              <w:keepLines/>
              <w:jc w:val="center"/>
              <w:rPr>
                <w:i/>
                <w:iCs/>
              </w:rPr>
            </w:pPr>
            <w:r w:rsidRPr="0010490F">
              <w:rPr>
                <w:i/>
                <w:iCs/>
              </w:rPr>
              <w:t>n</w:t>
            </w:r>
            <w:r w:rsidRPr="0010490F">
              <w:t xml:space="preserve"> = 791 a 830</w:t>
            </w:r>
          </w:p>
        </w:tc>
        <w:tc>
          <w:tcPr>
            <w:tcW w:w="3005" w:type="dxa"/>
          </w:tcPr>
          <w:p w:rsidR="00C0532B" w:rsidRPr="0010490F" w:rsidRDefault="00C0532B" w:rsidP="00C0532B">
            <w:pPr>
              <w:pStyle w:val="Tabletext"/>
              <w:keepNext/>
              <w:keepLines/>
              <w:jc w:val="center"/>
              <w:rPr>
                <w:i/>
                <w:iCs/>
              </w:rPr>
            </w:pPr>
            <w:r w:rsidRPr="0010490F">
              <w:rPr>
                <w:i/>
                <w:iCs/>
              </w:rPr>
              <w:t>f</w:t>
            </w:r>
            <w:r w:rsidRPr="0010490F">
              <w:rPr>
                <w:i/>
                <w:iCs/>
                <w:vertAlign w:val="subscript"/>
              </w:rPr>
              <w:t>n</w:t>
            </w:r>
            <w:r w:rsidRPr="0010490F">
              <w:t xml:space="preserve"> = 823,5 + (0,0125) </w:t>
            </w:r>
            <w:r w:rsidRPr="0010490F">
              <w:sym w:font="Symbol" w:char="F0B4"/>
            </w:r>
            <w:r w:rsidRPr="0010490F">
              <w:t xml:space="preserve"> (</w:t>
            </w:r>
            <w:r w:rsidRPr="0010490F">
              <w:rPr>
                <w:i/>
                <w:iCs/>
              </w:rPr>
              <w:t>n</w:t>
            </w:r>
            <w:r w:rsidRPr="0010490F">
              <w:t> − 791)</w:t>
            </w:r>
          </w:p>
        </w:tc>
        <w:tc>
          <w:tcPr>
            <w:tcW w:w="3061" w:type="dxa"/>
          </w:tcPr>
          <w:p w:rsidR="00C0532B" w:rsidRPr="0010490F" w:rsidRDefault="00C0532B" w:rsidP="00C0532B">
            <w:pPr>
              <w:pStyle w:val="Tabletext"/>
              <w:keepNext/>
              <w:keepLines/>
              <w:jc w:val="center"/>
              <w:rPr>
                <w:i/>
                <w:iCs/>
              </w:rPr>
            </w:pPr>
            <w:r w:rsidRPr="0010490F">
              <w:rPr>
                <w:i/>
                <w:iCs/>
              </w:rPr>
              <w:t>f</w:t>
            </w:r>
            <w:r w:rsidRPr="0010490F">
              <w:rPr>
                <w:i/>
                <w:iCs/>
                <w:vertAlign w:val="subscript"/>
              </w:rPr>
              <w:t>n</w:t>
            </w:r>
            <w:r w:rsidRPr="0010490F">
              <w:t xml:space="preserve"> = 868,5 + (0,0125) </w:t>
            </w:r>
            <w:r w:rsidRPr="0010490F">
              <w:sym w:font="Symbol" w:char="F0B4"/>
            </w:r>
            <w:r w:rsidRPr="0010490F">
              <w:t xml:space="preserve"> (</w:t>
            </w:r>
            <w:r w:rsidRPr="0010490F">
              <w:rPr>
                <w:i/>
                <w:iCs/>
              </w:rPr>
              <w:t>n</w:t>
            </w:r>
            <w:r w:rsidRPr="0010490F">
              <w:t> − 791)</w:t>
            </w:r>
          </w:p>
        </w:tc>
        <w:tc>
          <w:tcPr>
            <w:tcW w:w="1644" w:type="dxa"/>
          </w:tcPr>
          <w:p w:rsidR="00C0532B" w:rsidRPr="0010490F" w:rsidRDefault="00C0532B" w:rsidP="00BE1920">
            <w:pPr>
              <w:pStyle w:val="Tabletext"/>
              <w:keepNext/>
              <w:keepLines/>
              <w:ind w:left="794" w:hanging="794"/>
              <w:jc w:val="center"/>
              <w:outlineLvl w:val="2"/>
              <w:rPr>
                <w:iCs/>
              </w:rPr>
            </w:pPr>
            <w:r w:rsidRPr="0010490F">
              <w:rPr>
                <w:iCs/>
              </w:rPr>
              <w:t>12,5</w:t>
            </w:r>
          </w:p>
        </w:tc>
      </w:tr>
    </w:tbl>
    <w:p w:rsidR="00C0532B" w:rsidRDefault="00C0532B" w:rsidP="00C0532B">
      <w:pPr>
        <w:pStyle w:val="Tablefin"/>
      </w:pPr>
    </w:p>
    <w:p w:rsidR="00C0532B" w:rsidRDefault="00C0532B" w:rsidP="00C0532B">
      <w:pPr>
        <w:rPr>
          <w:lang w:val="en-GB"/>
        </w:rPr>
      </w:pPr>
    </w:p>
    <w:p w:rsidR="00CB6F05" w:rsidRDefault="00CB6F05" w:rsidP="00C0532B">
      <w:pPr>
        <w:rPr>
          <w:lang w:val="en-GB"/>
        </w:rPr>
      </w:pPr>
    </w:p>
    <w:p w:rsidR="00CB6F05" w:rsidRDefault="00CB6F05" w:rsidP="00C0532B">
      <w:pPr>
        <w:rPr>
          <w:lang w:val="en-GB"/>
        </w:rPr>
      </w:pPr>
    </w:p>
    <w:p w:rsidR="00A1267C" w:rsidRDefault="00A1267C" w:rsidP="00A1267C">
      <w:pPr>
        <w:spacing w:before="0"/>
        <w:rPr>
          <w:lang w:val="en-GB"/>
        </w:rPr>
      </w:pPr>
    </w:p>
    <w:p w:rsidR="00AD6982" w:rsidRPr="0010490F" w:rsidRDefault="00AD6982" w:rsidP="00DE347D">
      <w:pPr>
        <w:pStyle w:val="AnnexNoTitle"/>
      </w:pPr>
      <w:r w:rsidRPr="0010490F">
        <w:t>Anexo 4</w:t>
      </w:r>
      <w:r w:rsidRPr="0010490F">
        <w:br/>
      </w:r>
      <w:r w:rsidRPr="0010490F">
        <w:br/>
        <w:t>Ejemplos de disposiciones de frecuencias para las bandas 806-824 MHz</w:t>
      </w:r>
      <w:r w:rsidR="00DE347D">
        <w:br/>
      </w:r>
      <w:r w:rsidRPr="0010490F">
        <w:t>y</w:t>
      </w:r>
      <w:r w:rsidR="00DE347D">
        <w:t xml:space="preserve"> </w:t>
      </w:r>
      <w:r w:rsidRPr="0010490F">
        <w:t xml:space="preserve">851-869 MHz en ciertos países de la Región 3 para las operaciones </w:t>
      </w:r>
      <w:r w:rsidR="00DE347D">
        <w:t>de</w:t>
      </w:r>
      <w:r w:rsidRPr="0010490F">
        <w:br/>
        <w:t>protección pública y socorro en caso</w:t>
      </w:r>
      <w:r w:rsidR="00DE347D">
        <w:t xml:space="preserve"> </w:t>
      </w:r>
      <w:r w:rsidRPr="0010490F">
        <w:t>de catástrofe en banda estrecha</w:t>
      </w:r>
    </w:p>
    <w:p w:rsidR="00AD6982" w:rsidRPr="0010490F" w:rsidRDefault="00AD6982" w:rsidP="00AD6982">
      <w:pPr>
        <w:pStyle w:val="Normalaftertitle"/>
        <w:rPr>
          <w:rFonts w:eastAsia="BatangChe"/>
          <w:lang w:eastAsia="ko-KR"/>
        </w:rPr>
      </w:pPr>
      <w:r w:rsidRPr="0010490F">
        <w:rPr>
          <w:rFonts w:eastAsia="BatangChe"/>
          <w:lang w:eastAsia="ko-KR"/>
        </w:rPr>
        <w:t>Este ejemplo de disposición de frecuencias se indica a título informativo.</w:t>
      </w:r>
    </w:p>
    <w:p w:rsidR="00AD6982" w:rsidRPr="0010490F" w:rsidRDefault="00AD6982" w:rsidP="00CB6F05">
      <w:pPr>
        <w:rPr>
          <w:rFonts w:eastAsia="BatangChe"/>
        </w:rPr>
      </w:pPr>
      <w:r w:rsidRPr="0010490F">
        <w:rPr>
          <w:rFonts w:eastAsia="BatangChe"/>
          <w:lang w:eastAsia="ko-KR"/>
        </w:rPr>
        <w:t>Normalmente puede utilizarse toda la banda con anchuras de banda de canal de 25</w:t>
      </w:r>
      <w:r w:rsidR="00DE347D">
        <w:rPr>
          <w:rFonts w:eastAsia="BatangChe"/>
          <w:lang w:eastAsia="ko-KR"/>
        </w:rPr>
        <w:t> </w:t>
      </w:r>
      <w:r w:rsidRPr="0010490F">
        <w:rPr>
          <w:rFonts w:eastAsia="BatangChe"/>
          <w:lang w:eastAsia="ko-KR"/>
        </w:rPr>
        <w:t xml:space="preserve">kHz para sistemas de radiocomunicaciones digitales con concentración de enlaces. Sin embargo, algunas administraciones puede que deseen emplear diferentes anchuras de banda de canal de acuerdo a su política. Este Anexo proporciona un ejemplo de caso de canalización. </w:t>
      </w:r>
      <w:r w:rsidRPr="0010490F">
        <w:rPr>
          <w:rFonts w:eastAsia="BatangChe"/>
        </w:rPr>
        <w:t>Pueden considerarse tres esquemas de canalización en esta banda. En la subbanda de 806-811/851-856 MHz la anchura de banda de canal es de 25</w:t>
      </w:r>
      <w:r w:rsidR="00CB6F05">
        <w:rPr>
          <w:rFonts w:eastAsia="BatangChe"/>
        </w:rPr>
        <w:t> </w:t>
      </w:r>
      <w:r w:rsidRPr="0010490F">
        <w:rPr>
          <w:rFonts w:eastAsia="BatangChe"/>
        </w:rPr>
        <w:t>kHz, en subbanda de 811-813,5/856-858,5 MHz la anchura de banda de canal es de 12,5 kHz y en la subbanda 813,5-816/858-861 MHz la anchura de banda de canal es de 6,25</w:t>
      </w:r>
      <w:r w:rsidR="00CB6F05">
        <w:rPr>
          <w:rFonts w:eastAsia="BatangChe"/>
        </w:rPr>
        <w:t> </w:t>
      </w:r>
      <w:r w:rsidRPr="0010490F">
        <w:rPr>
          <w:rFonts w:eastAsia="BatangChe"/>
        </w:rPr>
        <w:t>kHz.</w:t>
      </w:r>
    </w:p>
    <w:p w:rsidR="00AD6982" w:rsidRPr="0010490F" w:rsidRDefault="00AD6982" w:rsidP="00CB6F05">
      <w:pPr>
        <w:keepNext/>
        <w:keepLines/>
        <w:rPr>
          <w:rFonts w:eastAsia="BatangChe"/>
          <w:lang w:eastAsia="ko-KR"/>
        </w:rPr>
      </w:pPr>
      <w:r w:rsidRPr="0010490F">
        <w:rPr>
          <w:rFonts w:eastAsia="BatangChe"/>
        </w:rPr>
        <w:t>Las fórmulas para calcular la frecuencia central de cada canal son las siguientes:</w:t>
      </w:r>
    </w:p>
    <w:p w:rsidR="00AD6982" w:rsidRPr="0010490F" w:rsidRDefault="00AD6982" w:rsidP="00CB6F05">
      <w:pPr>
        <w:pStyle w:val="enumlev1"/>
        <w:keepNext/>
        <w:keepLines/>
        <w:rPr>
          <w:rFonts w:eastAsia="BatangChe"/>
        </w:rPr>
      </w:pPr>
      <w:r w:rsidRPr="0010490F">
        <w:rPr>
          <w:rFonts w:eastAsia="BatangChe"/>
        </w:rPr>
        <w:t>–</w:t>
      </w:r>
      <w:r w:rsidRPr="0010490F">
        <w:rPr>
          <w:rFonts w:eastAsia="BatangChe"/>
        </w:rPr>
        <w:tab/>
        <w:t>En la subbanda 806-811/851-856 MHz:</w:t>
      </w:r>
    </w:p>
    <w:p w:rsidR="00AD6982" w:rsidRPr="0010490F" w:rsidRDefault="00AD6982" w:rsidP="00AD6982">
      <w:pPr>
        <w:pStyle w:val="enumlev1"/>
        <w:rPr>
          <w:rFonts w:eastAsia="BatangChe"/>
        </w:rPr>
      </w:pPr>
      <w:r w:rsidRPr="0010490F">
        <w:rPr>
          <w:rFonts w:eastAsia="BatangChe"/>
        </w:rPr>
        <w:tab/>
        <w:t>La banda se divide en canales de 25 kHz.</w:t>
      </w:r>
    </w:p>
    <w:p w:rsidR="00AD6982" w:rsidRPr="0010490F" w:rsidRDefault="00AD6982" w:rsidP="00AD6982">
      <w:pPr>
        <w:pStyle w:val="enumlev1"/>
        <w:rPr>
          <w:rFonts w:eastAsia="BatangChe"/>
        </w:rPr>
      </w:pPr>
      <w:r w:rsidRPr="0010490F">
        <w:rPr>
          <w:rFonts w:eastAsia="BatangChe"/>
        </w:rPr>
        <w:tab/>
        <w:t>Frecuencia central del N-ésimo canal de transmisión de la estación de base (MHz):</w:t>
      </w:r>
    </w:p>
    <w:p w:rsidR="00AD6982" w:rsidRPr="0010490F" w:rsidRDefault="00AD6982" w:rsidP="006F4CCD">
      <w:pPr>
        <w:pStyle w:val="enumlev2"/>
        <w:tabs>
          <w:tab w:val="left" w:pos="5670"/>
        </w:tabs>
        <w:rPr>
          <w:rFonts w:eastAsia="BatangChe"/>
        </w:rPr>
      </w:pPr>
      <w:r w:rsidRPr="0010490F">
        <w:rPr>
          <w:rFonts w:eastAsia="BatangChe"/>
        </w:rPr>
        <w:tab/>
        <w:t>F</w:t>
      </w:r>
      <w:r w:rsidRPr="0010490F">
        <w:rPr>
          <w:rFonts w:eastAsia="BatangChe"/>
          <w:vertAlign w:val="subscript"/>
        </w:rPr>
        <w:t>N</w:t>
      </w:r>
      <w:r w:rsidR="002E6280">
        <w:rPr>
          <w:rFonts w:eastAsia="BatangChe"/>
        </w:rPr>
        <w:t xml:space="preserve"> = 851,0125 + (N − 1) × 0,025</w:t>
      </w:r>
      <w:r w:rsidRPr="0010490F">
        <w:rPr>
          <w:rFonts w:eastAsia="BatangChe"/>
        </w:rPr>
        <w:tab/>
        <w:t>N = 1, 2, 3, …, 200</w:t>
      </w:r>
    </w:p>
    <w:p w:rsidR="00AD6982" w:rsidRPr="0010490F" w:rsidRDefault="00AD6982" w:rsidP="00AD6982">
      <w:pPr>
        <w:rPr>
          <w:rFonts w:eastAsia="BatangChe"/>
        </w:rPr>
      </w:pPr>
      <w:r w:rsidRPr="0010490F">
        <w:rPr>
          <w:rFonts w:eastAsia="BatangChe"/>
        </w:rPr>
        <w:tab/>
        <w:t>Frecuencia central del N-ésimo canal de recepción de la estación de base (MHz):</w:t>
      </w:r>
    </w:p>
    <w:p w:rsidR="00AD6982" w:rsidRPr="0010490F" w:rsidRDefault="00AD6982" w:rsidP="006F4CCD">
      <w:pPr>
        <w:pStyle w:val="enumlev2"/>
        <w:tabs>
          <w:tab w:val="left" w:pos="5670"/>
        </w:tabs>
        <w:rPr>
          <w:rFonts w:eastAsia="BatangChe"/>
          <w:lang w:eastAsia="ko-KR"/>
        </w:rPr>
      </w:pPr>
      <w:r w:rsidRPr="0010490F">
        <w:rPr>
          <w:rFonts w:eastAsia="BatangChe"/>
        </w:rPr>
        <w:tab/>
        <w:t>F</w:t>
      </w:r>
      <w:r w:rsidRPr="0010490F">
        <w:rPr>
          <w:rFonts w:eastAsia="BatangChe"/>
          <w:vertAlign w:val="subscript"/>
        </w:rPr>
        <w:t>N</w:t>
      </w:r>
      <w:r w:rsidR="00A838C7">
        <w:rPr>
          <w:rFonts w:eastAsia="BatangChe"/>
          <w:vertAlign w:val="subscript"/>
        </w:rPr>
        <w:t>´</w:t>
      </w:r>
      <w:r w:rsidRPr="0010490F">
        <w:rPr>
          <w:rFonts w:eastAsia="BatangChe"/>
        </w:rPr>
        <w:t xml:space="preserve"> = 806,0125 +</w:t>
      </w:r>
      <w:r w:rsidR="002E6280">
        <w:rPr>
          <w:rFonts w:eastAsia="BatangChe"/>
        </w:rPr>
        <w:t xml:space="preserve"> (N − 1) × 0,025</w:t>
      </w:r>
      <w:r w:rsidRPr="0010490F">
        <w:rPr>
          <w:rFonts w:eastAsia="BatangChe"/>
        </w:rPr>
        <w:tab/>
        <w:t>N = 1, 2, 3, …, 200</w:t>
      </w:r>
    </w:p>
    <w:p w:rsidR="00AD6982" w:rsidRPr="0010490F" w:rsidRDefault="00AD6982" w:rsidP="00A1267C">
      <w:pPr>
        <w:pStyle w:val="enumlev1"/>
        <w:keepNext/>
        <w:keepLines/>
        <w:rPr>
          <w:rFonts w:eastAsia="BatangChe"/>
        </w:rPr>
      </w:pPr>
      <w:r w:rsidRPr="0010490F">
        <w:rPr>
          <w:rFonts w:eastAsia="BatangChe"/>
        </w:rPr>
        <w:lastRenderedPageBreak/>
        <w:t>–</w:t>
      </w:r>
      <w:r w:rsidRPr="0010490F">
        <w:rPr>
          <w:rFonts w:eastAsia="BatangChe"/>
        </w:rPr>
        <w:tab/>
        <w:t>En la subbanda 811-813,5/856-858,5 MHz:</w:t>
      </w:r>
    </w:p>
    <w:p w:rsidR="00AD6982" w:rsidRPr="0010490F" w:rsidRDefault="00AD6982" w:rsidP="00AD6982">
      <w:pPr>
        <w:pStyle w:val="enumlev1"/>
        <w:rPr>
          <w:rFonts w:eastAsia="BatangChe"/>
        </w:rPr>
      </w:pPr>
      <w:r w:rsidRPr="0010490F">
        <w:rPr>
          <w:rFonts w:eastAsia="BatangChe"/>
        </w:rPr>
        <w:tab/>
        <w:t>Esta subbanda se divide en canales de 12,5 kHz.</w:t>
      </w:r>
    </w:p>
    <w:p w:rsidR="00AD6982" w:rsidRPr="0010490F" w:rsidRDefault="00AD6982" w:rsidP="00AD6982">
      <w:pPr>
        <w:pStyle w:val="enumlev1"/>
        <w:keepNext/>
        <w:keepLines/>
        <w:rPr>
          <w:rFonts w:eastAsia="BatangChe"/>
        </w:rPr>
      </w:pPr>
      <w:r w:rsidRPr="0010490F">
        <w:rPr>
          <w:rFonts w:eastAsia="BatangChe"/>
        </w:rPr>
        <w:tab/>
        <w:t>Frecuencia central del N-ésimo canal de transmisión de la estación de base (MHz):</w:t>
      </w:r>
    </w:p>
    <w:p w:rsidR="00AD6982" w:rsidRPr="0010490F" w:rsidRDefault="00AD6982" w:rsidP="006F4CCD">
      <w:pPr>
        <w:pStyle w:val="enumlev2"/>
        <w:tabs>
          <w:tab w:val="left" w:pos="5670"/>
        </w:tabs>
        <w:rPr>
          <w:rFonts w:eastAsia="BatangChe"/>
        </w:rPr>
      </w:pPr>
      <w:r w:rsidRPr="0010490F">
        <w:rPr>
          <w:rFonts w:eastAsia="BatangChe"/>
        </w:rPr>
        <w:tab/>
        <w:t>F</w:t>
      </w:r>
      <w:r w:rsidRPr="0010490F">
        <w:rPr>
          <w:rFonts w:eastAsia="BatangChe"/>
          <w:vertAlign w:val="subscript"/>
        </w:rPr>
        <w:t>N</w:t>
      </w:r>
      <w:r w:rsidR="002E6280">
        <w:rPr>
          <w:rFonts w:eastAsia="BatangChe"/>
        </w:rPr>
        <w:t xml:space="preserve"> = 856,00625 + (N − 1) × 0,0125</w:t>
      </w:r>
      <w:r w:rsidRPr="0010490F">
        <w:rPr>
          <w:rFonts w:eastAsia="BatangChe"/>
        </w:rPr>
        <w:tab/>
        <w:t>N = 1, 2, 3, …, 200</w:t>
      </w:r>
    </w:p>
    <w:p w:rsidR="00AD6982" w:rsidRPr="0010490F" w:rsidRDefault="00AD6982" w:rsidP="00AD6982">
      <w:pPr>
        <w:pStyle w:val="enumlev1"/>
        <w:rPr>
          <w:rFonts w:eastAsia="BatangChe"/>
        </w:rPr>
      </w:pPr>
      <w:r w:rsidRPr="0010490F">
        <w:rPr>
          <w:rFonts w:eastAsia="BatangChe"/>
        </w:rPr>
        <w:tab/>
        <w:t>Frecuencia central del N-ésimo canal de recepción de la estación de base (MHz):</w:t>
      </w:r>
    </w:p>
    <w:p w:rsidR="00AD6982" w:rsidRPr="0010490F" w:rsidRDefault="00AD6982" w:rsidP="002E6280">
      <w:pPr>
        <w:pStyle w:val="enumlev2"/>
        <w:tabs>
          <w:tab w:val="left" w:pos="5670"/>
        </w:tabs>
        <w:rPr>
          <w:rFonts w:eastAsia="BatangChe"/>
        </w:rPr>
      </w:pPr>
      <w:r w:rsidRPr="0010490F">
        <w:rPr>
          <w:rFonts w:eastAsia="BatangChe"/>
        </w:rPr>
        <w:tab/>
        <w:t>FN′ = 811,00625 + (N − 1) × 0,0125</w:t>
      </w:r>
      <w:r w:rsidRPr="0010490F">
        <w:rPr>
          <w:rFonts w:eastAsia="BatangChe"/>
        </w:rPr>
        <w:tab/>
        <w:t>N = 1, 2, 3, …, 200</w:t>
      </w:r>
    </w:p>
    <w:p w:rsidR="00AD6982" w:rsidRPr="0010490F" w:rsidRDefault="00AD6982" w:rsidP="00C0532B">
      <w:pPr>
        <w:pStyle w:val="enumlev1"/>
        <w:keepNext/>
        <w:keepLines/>
        <w:rPr>
          <w:rFonts w:eastAsia="BatangChe"/>
        </w:rPr>
      </w:pPr>
      <w:r w:rsidRPr="0010490F">
        <w:rPr>
          <w:rFonts w:eastAsia="BatangChe"/>
        </w:rPr>
        <w:t>–</w:t>
      </w:r>
      <w:r w:rsidRPr="0010490F">
        <w:rPr>
          <w:rFonts w:eastAsia="BatangChe"/>
        </w:rPr>
        <w:tab/>
        <w:t>En la subbanda 813,5-816/858,5-861 MHz:</w:t>
      </w:r>
    </w:p>
    <w:p w:rsidR="00AD6982" w:rsidRPr="0010490F" w:rsidRDefault="00AD6982" w:rsidP="00C0532B">
      <w:pPr>
        <w:pStyle w:val="enumlev1"/>
        <w:keepNext/>
        <w:keepLines/>
        <w:rPr>
          <w:rFonts w:eastAsia="BatangChe"/>
        </w:rPr>
      </w:pPr>
      <w:r w:rsidRPr="0010490F">
        <w:rPr>
          <w:rFonts w:eastAsia="BatangChe"/>
        </w:rPr>
        <w:tab/>
        <w:t>Esta subbanda se divide en canales de 6,25 kHz.</w:t>
      </w:r>
    </w:p>
    <w:p w:rsidR="00AD6982" w:rsidRPr="0010490F" w:rsidRDefault="00AD6982" w:rsidP="00C0532B">
      <w:pPr>
        <w:pStyle w:val="enumlev1"/>
        <w:keepNext/>
        <w:keepLines/>
        <w:rPr>
          <w:rFonts w:eastAsia="BatangChe"/>
        </w:rPr>
      </w:pPr>
      <w:r w:rsidRPr="0010490F">
        <w:rPr>
          <w:rFonts w:eastAsia="BatangChe"/>
        </w:rPr>
        <w:tab/>
        <w:t>Frecuencia central del N-ésimo canal de transmisión de la estación de base (MHz):</w:t>
      </w:r>
    </w:p>
    <w:p w:rsidR="00AD6982" w:rsidRPr="0010490F" w:rsidRDefault="00AD6982" w:rsidP="006F4CCD">
      <w:pPr>
        <w:pStyle w:val="enumlev2"/>
        <w:tabs>
          <w:tab w:val="left" w:pos="5670"/>
        </w:tabs>
        <w:rPr>
          <w:rFonts w:eastAsia="BatangChe"/>
        </w:rPr>
      </w:pPr>
      <w:r w:rsidRPr="0010490F">
        <w:rPr>
          <w:rFonts w:eastAsia="BatangChe"/>
        </w:rPr>
        <w:tab/>
        <w:t>FN = 858,503125 + (N − 1) × 0,00625</w:t>
      </w:r>
      <w:r w:rsidR="006F4CCD">
        <w:rPr>
          <w:rFonts w:eastAsia="BatangChe"/>
        </w:rPr>
        <w:tab/>
      </w:r>
      <w:r w:rsidRPr="0010490F">
        <w:rPr>
          <w:rFonts w:eastAsia="BatangChe"/>
        </w:rPr>
        <w:t>N = 1, 2, 3, …, 400</w:t>
      </w:r>
    </w:p>
    <w:p w:rsidR="00AD6982" w:rsidRPr="0010490F" w:rsidRDefault="00AD6982" w:rsidP="00AD6982">
      <w:pPr>
        <w:pStyle w:val="enumlev1"/>
        <w:rPr>
          <w:rFonts w:eastAsia="BatangChe"/>
        </w:rPr>
      </w:pPr>
      <w:r w:rsidRPr="0010490F">
        <w:rPr>
          <w:rFonts w:eastAsia="BatangChe"/>
        </w:rPr>
        <w:tab/>
        <w:t>Frecuencia central del N-ésimo canal de recepción de la estación de base (MHz):</w:t>
      </w:r>
    </w:p>
    <w:p w:rsidR="00AD6982" w:rsidRDefault="00AD6982" w:rsidP="006F4CCD">
      <w:pPr>
        <w:pStyle w:val="enumlev2"/>
        <w:tabs>
          <w:tab w:val="left" w:pos="5670"/>
        </w:tabs>
        <w:rPr>
          <w:rFonts w:eastAsia="BatangChe"/>
        </w:rPr>
      </w:pPr>
      <w:r w:rsidRPr="0010490F">
        <w:rPr>
          <w:rFonts w:eastAsia="BatangChe"/>
        </w:rPr>
        <w:tab/>
        <w:t>F</w:t>
      </w:r>
      <w:r w:rsidRPr="0010490F">
        <w:rPr>
          <w:rFonts w:eastAsia="BatangChe"/>
          <w:vertAlign w:val="subscript"/>
        </w:rPr>
        <w:t>N</w:t>
      </w:r>
      <w:r w:rsidR="00E33EB7">
        <w:rPr>
          <w:rFonts w:eastAsia="BatangChe"/>
          <w:vertAlign w:val="subscript"/>
        </w:rPr>
        <w:t>´</w:t>
      </w:r>
      <w:r w:rsidRPr="0010490F">
        <w:rPr>
          <w:rFonts w:eastAsia="BatangChe"/>
        </w:rPr>
        <w:t xml:space="preserve"> = 813,503125 + (N − 1) × 0,00625</w:t>
      </w:r>
      <w:r w:rsidR="006F4CCD">
        <w:rPr>
          <w:rFonts w:eastAsia="BatangChe"/>
        </w:rPr>
        <w:tab/>
      </w:r>
      <w:r w:rsidRPr="0010490F">
        <w:rPr>
          <w:rFonts w:eastAsia="BatangChe"/>
        </w:rPr>
        <w:t>N = 1,2, 3, …, 400</w:t>
      </w:r>
    </w:p>
    <w:p w:rsidR="00CB6F05" w:rsidRDefault="00CB6F05" w:rsidP="00CB6F05">
      <w:pPr>
        <w:rPr>
          <w:rFonts w:eastAsia="BatangChe"/>
        </w:rPr>
      </w:pPr>
    </w:p>
    <w:p w:rsidR="00CB6F05" w:rsidRPr="0010490F" w:rsidRDefault="00CB6F05" w:rsidP="00CB6F05">
      <w:pPr>
        <w:spacing w:before="0"/>
        <w:rPr>
          <w:rFonts w:eastAsia="BatangChe"/>
        </w:rPr>
      </w:pPr>
    </w:p>
    <w:p w:rsidR="00AF6A53" w:rsidRPr="0010490F" w:rsidRDefault="00AF6A53" w:rsidP="00AF6A53">
      <w:pPr>
        <w:pStyle w:val="Line"/>
        <w:rPr>
          <w:rFonts w:eastAsia="BatangChe"/>
          <w:lang w:val="es-ES"/>
        </w:rPr>
      </w:pPr>
    </w:p>
    <w:sectPr w:rsidR="00AF6A53" w:rsidRPr="0010490F" w:rsidSect="00D72D3F">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2D3F" w:rsidRDefault="00D72D3F">
      <w:r>
        <w:separator/>
      </w:r>
    </w:p>
  </w:endnote>
  <w:endnote w:type="continuationSeparator" w:id="0">
    <w:p w:rsidR="00D72D3F" w:rsidRDefault="00D72D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BatangChe">
    <w:panose1 w:val="02030609000101010101"/>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2D3F" w:rsidRDefault="00D72D3F">
      <w:r>
        <w:separator/>
      </w:r>
    </w:p>
  </w:footnote>
  <w:footnote w:type="continuationSeparator" w:id="0">
    <w:p w:rsidR="00D72D3F" w:rsidRDefault="00D72D3F">
      <w:r>
        <w:continuationSeparator/>
      </w:r>
    </w:p>
  </w:footnote>
  <w:footnote w:id="1">
    <w:p w:rsidR="00AD6982" w:rsidRPr="001B323F" w:rsidRDefault="00AD6982" w:rsidP="00F12172">
      <w:pPr>
        <w:pStyle w:val="FootnoteText"/>
        <w:rPr>
          <w:lang w:val="es-ES_tradnl"/>
        </w:rPr>
      </w:pPr>
      <w:r w:rsidRPr="00E757D2">
        <w:rPr>
          <w:rStyle w:val="FootnoteReference"/>
        </w:rPr>
        <w:footnoteRef/>
      </w:r>
      <w:r w:rsidRPr="001B323F">
        <w:rPr>
          <w:lang w:val="es-ES_tradnl"/>
        </w:rPr>
        <w:t xml:space="preserve"> </w:t>
      </w:r>
      <w:r w:rsidRPr="001B323F">
        <w:rPr>
          <w:lang w:val="es-ES_tradnl"/>
        </w:rPr>
        <w:tab/>
      </w:r>
      <w:r w:rsidRPr="001B323F">
        <w:rPr>
          <w:color w:val="000000"/>
          <w:lang w:val="es-ES_tradnl"/>
        </w:rPr>
        <w:t>Venezuela ha identificado la banda 380-400</w:t>
      </w:r>
      <w:r w:rsidR="00F12172">
        <w:rPr>
          <w:color w:val="000000"/>
          <w:lang w:val="es-ES_tradnl"/>
        </w:rPr>
        <w:t> </w:t>
      </w:r>
      <w:r w:rsidRPr="001B323F">
        <w:rPr>
          <w:color w:val="000000"/>
          <w:lang w:val="es-ES_tradnl"/>
        </w:rPr>
        <w:t>MHz para las aplicaciones de protección pública y las operaciones de socorro</w:t>
      </w:r>
      <w:r>
        <w:rPr>
          <w:color w:val="000000"/>
          <w:lang w:val="es-ES_tradnl"/>
        </w:rPr>
        <w:t>.</w:t>
      </w:r>
    </w:p>
  </w:footnote>
  <w:footnote w:id="2">
    <w:p w:rsidR="00AD6982" w:rsidRPr="001B323F" w:rsidRDefault="00AD6982" w:rsidP="000A2DF6">
      <w:pPr>
        <w:pStyle w:val="FootnoteText"/>
        <w:rPr>
          <w:lang w:val="es-ES_tradnl"/>
        </w:rPr>
      </w:pPr>
      <w:r w:rsidRPr="00E757D2">
        <w:rPr>
          <w:rStyle w:val="FootnoteReference"/>
        </w:rPr>
        <w:footnoteRef/>
      </w:r>
      <w:r w:rsidRPr="001B323F">
        <w:rPr>
          <w:lang w:val="es-ES_tradnl"/>
        </w:rPr>
        <w:t xml:space="preserve"> </w:t>
      </w:r>
      <w:r w:rsidRPr="001B323F">
        <w:rPr>
          <w:lang w:val="es-ES_tradnl"/>
        </w:rPr>
        <w:tab/>
      </w:r>
      <w:r w:rsidRPr="001B323F">
        <w:rPr>
          <w:color w:val="000000"/>
          <w:lang w:val="es-ES_tradnl"/>
        </w:rPr>
        <w:t>Algunos países de la Región</w:t>
      </w:r>
      <w:r w:rsidR="000A2DF6">
        <w:rPr>
          <w:color w:val="000000"/>
          <w:lang w:val="es-ES_tradnl"/>
        </w:rPr>
        <w:t> </w:t>
      </w:r>
      <w:r w:rsidRPr="001B323F">
        <w:rPr>
          <w:color w:val="000000"/>
          <w:lang w:val="es-ES_tradnl"/>
        </w:rPr>
        <w:t xml:space="preserve">3 también </w:t>
      </w:r>
      <w:r w:rsidR="00F12172">
        <w:rPr>
          <w:color w:val="000000"/>
          <w:lang w:val="es-ES_tradnl"/>
        </w:rPr>
        <w:t>han identificado las bandas 380-</w:t>
      </w:r>
      <w:r w:rsidR="000A2DF6">
        <w:rPr>
          <w:color w:val="000000"/>
          <w:lang w:val="es-ES_tradnl"/>
        </w:rPr>
        <w:t xml:space="preserve">400 MHz y </w:t>
      </w:r>
      <w:r w:rsidRPr="001B323F">
        <w:rPr>
          <w:color w:val="000000"/>
          <w:lang w:val="es-ES_tradnl"/>
        </w:rPr>
        <w:t>746</w:t>
      </w:r>
      <w:r w:rsidR="00F12172">
        <w:rPr>
          <w:color w:val="000000"/>
          <w:lang w:val="es-ES_tradnl"/>
        </w:rPr>
        <w:t>-</w:t>
      </w:r>
      <w:r w:rsidRPr="001B323F">
        <w:rPr>
          <w:color w:val="000000"/>
          <w:lang w:val="es-ES_tradnl"/>
        </w:rPr>
        <w:t>806 MHz para aplicaciones de protección pública y operaciones de socorro</w:t>
      </w:r>
      <w:r w:rsidRPr="001B323F">
        <w:rPr>
          <w:lang w:val="es-ES_tradnl"/>
        </w:rPr>
        <w:t>.</w:t>
      </w:r>
    </w:p>
  </w:footnote>
  <w:footnote w:id="3">
    <w:p w:rsidR="00AD6982" w:rsidRPr="00454116" w:rsidRDefault="00AD6982" w:rsidP="008C2201">
      <w:pPr>
        <w:pStyle w:val="FootnoteText"/>
        <w:jc w:val="left"/>
        <w:rPr>
          <w:lang w:val="en-US"/>
        </w:rPr>
      </w:pPr>
      <w:r>
        <w:rPr>
          <w:rStyle w:val="FootnoteReference"/>
        </w:rPr>
        <w:footnoteRef/>
      </w:r>
      <w:r w:rsidRPr="0073535C">
        <w:rPr>
          <w:lang w:val="es-ES_tradnl"/>
        </w:rPr>
        <w:tab/>
        <w:t>Esta disposición de frecuencias se ajusta a la reglamentación de Canad</w:t>
      </w:r>
      <w:r>
        <w:rPr>
          <w:lang w:val="es-ES_tradnl"/>
        </w:rPr>
        <w:t>á</w:t>
      </w:r>
      <w:r w:rsidRPr="0073535C">
        <w:rPr>
          <w:lang w:val="es-ES_tradnl"/>
        </w:rPr>
        <w:t xml:space="preserve">. </w:t>
      </w:r>
      <w:r>
        <w:rPr>
          <w:lang w:val="en-US"/>
        </w:rPr>
        <w:t>Para más detalles</w:t>
      </w:r>
      <w:r w:rsidRPr="00454116">
        <w:rPr>
          <w:lang w:val="en-US"/>
        </w:rPr>
        <w:t xml:space="preserve"> </w:t>
      </w:r>
      <w:r>
        <w:rPr>
          <w:lang w:val="en-US"/>
        </w:rPr>
        <w:t>véase</w:t>
      </w:r>
      <w:r w:rsidRPr="00454116">
        <w:rPr>
          <w:lang w:val="en-US"/>
        </w:rPr>
        <w:t xml:space="preserve"> Industry Canada’s Gazette Notice No. DGTP-007-09 </w:t>
      </w:r>
      <w:r w:rsidRPr="00173FA0">
        <w:rPr>
          <w:lang w:val="en-US"/>
        </w:rPr>
        <w:t>–</w:t>
      </w:r>
      <w:r w:rsidRPr="00454116">
        <w:rPr>
          <w:lang w:val="en-US"/>
        </w:rPr>
        <w:t xml:space="preserve"> Narrowband and Wideband Public Safety Radiocommunication</w:t>
      </w:r>
      <w:r w:rsidR="008C2201">
        <w:rPr>
          <w:lang w:val="en-US"/>
        </w:rPr>
        <w:t> </w:t>
      </w:r>
      <w:r w:rsidRPr="00454116">
        <w:rPr>
          <w:lang w:val="en-US"/>
        </w:rPr>
        <w:t>Systems</w:t>
      </w:r>
      <w:r w:rsidR="008C2201">
        <w:rPr>
          <w:lang w:val="en-US"/>
        </w:rPr>
        <w:t> </w:t>
      </w:r>
      <w:r w:rsidRPr="00454116">
        <w:rPr>
          <w:lang w:val="en-US"/>
        </w:rPr>
        <w:t>in</w:t>
      </w:r>
      <w:r w:rsidR="008C2201">
        <w:rPr>
          <w:lang w:val="en-US"/>
        </w:rPr>
        <w:t> </w:t>
      </w:r>
      <w:r w:rsidRPr="00454116">
        <w:rPr>
          <w:lang w:val="en-US"/>
        </w:rPr>
        <w:t>the bands 768-776 MHz and 798-806 MHz (</w:t>
      </w:r>
      <w:hyperlink r:id="rId1" w:history="1">
        <w:r w:rsidRPr="00454116">
          <w:rPr>
            <w:rStyle w:val="Hyperlink"/>
            <w:lang w:val="en-US"/>
          </w:rPr>
          <w:t>http://www.ic.gc.ca/eic/site/smt-gst.nsf/eng/sf09553.html</w:t>
        </w:r>
      </w:hyperlink>
      <w:r w:rsidRPr="00454116">
        <w:rPr>
          <w:lang w:val="en-US"/>
        </w:rPr>
        <w:t>).</w:t>
      </w:r>
    </w:p>
  </w:footnote>
  <w:footnote w:id="4">
    <w:p w:rsidR="00AD6982" w:rsidRPr="002C79EA" w:rsidRDefault="00AD6982" w:rsidP="00AD6982">
      <w:pPr>
        <w:pStyle w:val="FootnoteText"/>
        <w:rPr>
          <w:lang w:val="es-ES_tradnl"/>
        </w:rPr>
      </w:pPr>
      <w:r>
        <w:rPr>
          <w:rStyle w:val="FootnoteReference"/>
        </w:rPr>
        <w:footnoteRef/>
      </w:r>
      <w:r w:rsidRPr="002C79EA">
        <w:rPr>
          <w:lang w:val="es-ES_tradnl"/>
        </w:rPr>
        <w:t xml:space="preserve"> </w:t>
      </w:r>
      <w:r w:rsidRPr="002C79EA">
        <w:rPr>
          <w:lang w:val="es-ES_tradnl"/>
        </w:rPr>
        <w:tab/>
      </w:r>
      <w:r>
        <w:rPr>
          <w:lang w:val="es-ES_tradnl"/>
        </w:rPr>
        <w:t>Este plan de la banda procede de las Reglas de la FCC de EE.UU. Para más detalles véase la Parte 90 de las Reglas de la FCC en</w:t>
      </w:r>
      <w:r w:rsidRPr="002C79EA">
        <w:rPr>
          <w:szCs w:val="24"/>
          <w:lang w:val="es-ES_tradnl"/>
        </w:rPr>
        <w:t xml:space="preserve"> </w:t>
      </w:r>
      <w:hyperlink r:id="rId2" w:history="1">
        <w:r w:rsidRPr="002C79EA">
          <w:rPr>
            <w:rStyle w:val="Hyperlink"/>
            <w:szCs w:val="24"/>
            <w:lang w:val="es-ES_tradnl"/>
          </w:rPr>
          <w:t>http://wireless.fcc.gov/index.htm?job=rules_and_regulations</w:t>
        </w:r>
      </w:hyperlink>
      <w:r w:rsidRPr="002C79EA">
        <w:rPr>
          <w:lang w:val="es-ES_tradnl"/>
        </w:rPr>
        <w:t>.</w:t>
      </w:r>
    </w:p>
  </w:footnote>
  <w:footnote w:id="5">
    <w:p w:rsidR="00B813DE" w:rsidRPr="002C79EA" w:rsidRDefault="00B813DE" w:rsidP="00B813DE">
      <w:pPr>
        <w:pStyle w:val="FootnoteText"/>
        <w:rPr>
          <w:lang w:val="es-ES_tradnl"/>
        </w:rPr>
      </w:pPr>
      <w:r>
        <w:rPr>
          <w:rStyle w:val="FootnoteReference"/>
        </w:rPr>
        <w:footnoteRef/>
      </w:r>
      <w:r w:rsidRPr="002C79EA">
        <w:rPr>
          <w:lang w:val="es-ES_tradnl"/>
        </w:rPr>
        <w:tab/>
      </w:r>
      <w:r>
        <w:rPr>
          <w:lang w:val="es-ES_tradnl"/>
        </w:rPr>
        <w:t>La utilización del termino «banda ancha» en este Anexo significa velocidades de datos indicativas del orden de 1-100 Mbit/s con anchuras de banda del canal dependientes de la utilización de tecnologías espectralmente eficaces (Resolución 646 (Rev.CMR-12) e Informe UIT-R M.2033). Cabe señalar que existen otras definiciones de estos términos en diversos textos de la UIT (tales como la Recomendación UIT-T F.1399) o en los reglamentos de varias administraciones.</w:t>
      </w:r>
    </w:p>
  </w:footnote>
  <w:footnote w:id="6">
    <w:p w:rsidR="00AD6982" w:rsidRPr="005C5962" w:rsidRDefault="00AD6982" w:rsidP="00AD6982">
      <w:pPr>
        <w:pStyle w:val="FootnoteText"/>
        <w:rPr>
          <w:lang w:val="es-ES_tradnl"/>
        </w:rPr>
      </w:pPr>
      <w:r>
        <w:rPr>
          <w:rStyle w:val="FootnoteReference"/>
        </w:rPr>
        <w:footnoteRef/>
      </w:r>
      <w:r w:rsidRPr="005C5962">
        <w:rPr>
          <w:lang w:val="es-ES_tradnl"/>
        </w:rPr>
        <w:t xml:space="preserve"> </w:t>
      </w:r>
      <w:r w:rsidRPr="005C5962">
        <w:rPr>
          <w:lang w:val="es-ES_tradnl"/>
        </w:rPr>
        <w:tab/>
        <w:t xml:space="preserve">Esta disposición de frecuencias se ajusta a las Reglas de la FCC de EE.UU. </w:t>
      </w:r>
      <w:r>
        <w:rPr>
          <w:lang w:val="es-ES_tradnl"/>
        </w:rPr>
        <w:t>Para más detalles véase la</w:t>
      </w:r>
      <w:r w:rsidRPr="005C5962">
        <w:rPr>
          <w:lang w:val="es-ES_tradnl"/>
        </w:rPr>
        <w:t xml:space="preserve"> Part</w:t>
      </w:r>
      <w:r>
        <w:rPr>
          <w:lang w:val="es-ES_tradnl"/>
        </w:rPr>
        <w:t>e </w:t>
      </w:r>
      <w:r w:rsidRPr="005C5962">
        <w:rPr>
          <w:lang w:val="es-ES_tradnl"/>
        </w:rPr>
        <w:t xml:space="preserve">90 </w:t>
      </w:r>
      <w:r>
        <w:rPr>
          <w:lang w:val="es-ES_tradnl"/>
        </w:rPr>
        <w:t>de las Reglas de la FCC en</w:t>
      </w:r>
      <w:r w:rsidRPr="005C5962">
        <w:rPr>
          <w:lang w:val="es-ES_tradnl"/>
        </w:rPr>
        <w:t xml:space="preserve"> </w:t>
      </w:r>
      <w:hyperlink r:id="rId3" w:history="1">
        <w:r w:rsidRPr="005C5962">
          <w:rPr>
            <w:rStyle w:val="Hyperlink"/>
            <w:lang w:val="es-ES_tradnl"/>
          </w:rPr>
          <w:t>http://wireless.fcc.gov/index.htm?job=rules_and_regulations</w:t>
        </w:r>
      </w:hyperlink>
      <w:r w:rsidRPr="005C5962">
        <w:rPr>
          <w:lang w:val="es-ES_tradnl"/>
        </w:rPr>
        <w:t>.</w:t>
      </w:r>
    </w:p>
  </w:footnote>
  <w:footnote w:id="7">
    <w:p w:rsidR="00AD6982" w:rsidRPr="005C5962" w:rsidRDefault="00AD6982" w:rsidP="00AD6982">
      <w:pPr>
        <w:pStyle w:val="FootnoteText"/>
        <w:rPr>
          <w:lang w:val="es-ES_tradnl"/>
        </w:rPr>
      </w:pPr>
      <w:r>
        <w:rPr>
          <w:rStyle w:val="FootnoteReference"/>
        </w:rPr>
        <w:footnoteRef/>
      </w:r>
      <w:r w:rsidRPr="005C5962">
        <w:rPr>
          <w:lang w:val="es-ES_tradnl"/>
        </w:rPr>
        <w:t xml:space="preserve"> </w:t>
      </w:r>
      <w:r w:rsidRPr="005C5962">
        <w:rPr>
          <w:lang w:val="es-ES_tradnl"/>
        </w:rPr>
        <w:tab/>
        <w:t xml:space="preserve">Esta disposición de frecuencias se ajusta a las </w:t>
      </w:r>
      <w:r>
        <w:rPr>
          <w:lang w:val="es-ES_tradnl"/>
        </w:rPr>
        <w:t>r</w:t>
      </w:r>
      <w:r w:rsidRPr="005C5962">
        <w:rPr>
          <w:lang w:val="es-ES_tradnl"/>
        </w:rPr>
        <w:t>eglas de</w:t>
      </w:r>
      <w:r>
        <w:rPr>
          <w:lang w:val="es-ES_tradnl"/>
        </w:rPr>
        <w:t xml:space="preserve"> Canadá</w:t>
      </w:r>
      <w:r w:rsidRPr="005C5962">
        <w:rPr>
          <w:lang w:val="es-ES_tradnl"/>
        </w:rPr>
        <w:t>. Para más detalles v</w:t>
      </w:r>
      <w:r>
        <w:rPr>
          <w:lang w:val="es-ES_tradnl"/>
        </w:rPr>
        <w:t>éase</w:t>
      </w:r>
      <w:r w:rsidRPr="005C5962">
        <w:rPr>
          <w:lang w:val="es-ES_tradnl"/>
        </w:rPr>
        <w:t xml:space="preserve"> Standard Radio System Plan 502 </w:t>
      </w:r>
      <w:r>
        <w:rPr>
          <w:lang w:val="es-ES_tradnl"/>
        </w:rPr>
        <w:t>en</w:t>
      </w:r>
      <w:r w:rsidRPr="005C5962">
        <w:rPr>
          <w:lang w:val="es-ES_tradnl"/>
        </w:rPr>
        <w:t xml:space="preserve"> </w:t>
      </w:r>
      <w:hyperlink r:id="rId4" w:history="1">
        <w:r w:rsidRPr="005C5962">
          <w:rPr>
            <w:rStyle w:val="Hyperlink"/>
            <w:lang w:val="es-ES_tradnl"/>
          </w:rPr>
          <w:t>http://www.ic.gc.ca/eic/site/smt-gst.nsf/eng/sf00050.html</w:t>
        </w:r>
      </w:hyperlink>
      <w:r w:rsidRPr="005C5962">
        <w:rPr>
          <w:lang w:val="es-ES_tradn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D3F" w:rsidRDefault="00D72D3F">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D3F" w:rsidRDefault="00D72D3F" w:rsidP="00CB1354">
    <w:pPr>
      <w:ind w:right="360" w:firstLine="360"/>
    </w:pPr>
    <w:r>
      <w:rPr>
        <w:noProof/>
        <w:lang w:val="en-US" w:eastAsia="zh-CN"/>
      </w:rPr>
      <w:drawing>
        <wp:anchor distT="0" distB="0" distL="114300" distR="114300" simplePos="0" relativeHeight="251659264" behindDoc="1" locked="0" layoutInCell="1" allowOverlap="1" wp14:anchorId="216D956B" wp14:editId="0409EA9D">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D3F" w:rsidRDefault="00D72D3F"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2E6280">
      <w:rPr>
        <w:rStyle w:val="PageNumber"/>
        <w:b/>
        <w:bCs/>
        <w:noProof/>
      </w:rPr>
      <w:t>ii</w:t>
    </w:r>
    <w:r>
      <w:rPr>
        <w:rStyle w:val="PageNumber"/>
        <w:b/>
        <w:bCs/>
      </w:rPr>
      <w:fldChar w:fldCharType="end"/>
    </w:r>
    <w:r>
      <w:tab/>
    </w:r>
    <w:r w:rsidR="002E6280">
      <w:fldChar w:fldCharType="begin"/>
    </w:r>
    <w:r w:rsidR="002E6280">
      <w:instrText xml:space="preserve"> DOCPROPERTY "Header" \* MERGEFORMAT </w:instrText>
    </w:r>
    <w:r w:rsidR="002E6280">
      <w:fldChar w:fldCharType="separate"/>
    </w:r>
    <w:r w:rsidR="00AF660E" w:rsidRPr="00AF660E">
      <w:rPr>
        <w:b/>
        <w:bCs/>
      </w:rPr>
      <w:t xml:space="preserve">Rec. </w:t>
    </w:r>
    <w:r w:rsidR="002E6280">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2E6280">
      <w:rPr>
        <w:b/>
        <w:bCs/>
        <w:noProof/>
      </w:rPr>
      <w:t>UIT-R  M.2015</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D3F" w:rsidRDefault="00D72D3F">
    <w:r>
      <w:tab/>
    </w:r>
    <w:r w:rsidR="002E6280">
      <w:fldChar w:fldCharType="begin"/>
    </w:r>
    <w:r w:rsidR="002E6280">
      <w:instrText xml:space="preserve"> DOCPROPERTY "Header" \* MERGEFORMAT </w:instrText>
    </w:r>
    <w:r w:rsidR="002E6280">
      <w:fldChar w:fldCharType="separate"/>
    </w:r>
    <w:r w:rsidR="00AF660E" w:rsidRPr="00AF660E">
      <w:rPr>
        <w:b/>
        <w:bCs/>
      </w:rPr>
      <w:t xml:space="preserve">Rec. </w:t>
    </w:r>
    <w:r w:rsidR="002E6280">
      <w:rPr>
        <w:b/>
        <w:bCs/>
      </w:rPr>
      <w:fldChar w:fldCharType="end"/>
    </w:r>
    <w:r>
      <w:rPr>
        <w:b/>
        <w:bCs/>
      </w:rPr>
      <w:t xml:space="preserve"> </w:t>
    </w:r>
    <w:r>
      <w:rPr>
        <w:b/>
        <w:bCs/>
      </w:rPr>
      <w:fldChar w:fldCharType="begin"/>
    </w:r>
    <w:r>
      <w:rPr>
        <w:b/>
        <w:bCs/>
      </w:rPr>
      <w:instrText>styleref href</w:instrText>
    </w:r>
    <w:r>
      <w:rPr>
        <w:b/>
        <w:bCs/>
      </w:rPr>
      <w:fldChar w:fldCharType="separate"/>
    </w:r>
    <w:r w:rsidR="00AF660E">
      <w:rPr>
        <w:b/>
        <w:bCs/>
        <w:noProof/>
      </w:rPr>
      <w:t>UIT-R  M.2015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E6280">
      <w:rPr>
        <w:rStyle w:val="PageNumber"/>
        <w:b/>
        <w:bCs/>
        <w:noProof/>
        <w:lang w:val="en-US"/>
      </w:rPr>
      <w:t>6</w:t>
    </w:r>
    <w:r>
      <w:rPr>
        <w:rStyle w:val="PageNumber"/>
        <w:b/>
        <w:bCs/>
      </w:rPr>
      <w:fldChar w:fldCharType="end"/>
    </w:r>
    <w:r>
      <w:rPr>
        <w:lang w:val="en-US"/>
      </w:rPr>
      <w:tab/>
    </w:r>
    <w:r w:rsidR="009E00A8">
      <w:rPr>
        <w:lang w:val="fr-FR"/>
      </w:rPr>
      <w:fldChar w:fldCharType="begin"/>
    </w:r>
    <w:r w:rsidR="009E00A8" w:rsidRPr="009E00A8">
      <w:rPr>
        <w:lang w:val="en-US"/>
      </w:rPr>
      <w:instrText xml:space="preserve"> DOCPROPERTY "Header" \* MERGEFORMAT </w:instrText>
    </w:r>
    <w:r w:rsidR="009E00A8">
      <w:rPr>
        <w:lang w:val="fr-FR"/>
      </w:rPr>
      <w:fldChar w:fldCharType="separate"/>
    </w:r>
    <w:r w:rsidR="00AF660E" w:rsidRPr="00AF660E">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E6280">
      <w:rPr>
        <w:b/>
        <w:bCs/>
        <w:noProof/>
      </w:rPr>
      <w:t>UIT-R  M.2015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rsidP="00D72D3F">
    <w:pPr>
      <w:pStyle w:val="Header"/>
    </w:pPr>
    <w:r>
      <w:tab/>
    </w:r>
    <w:fldSimple w:instr=" DOCPROPERTY &quot;Header&quot; \* MERGEFORMAT ">
      <w:r w:rsidR="00AF660E" w:rsidRPr="00AF660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E6280">
      <w:rPr>
        <w:b/>
        <w:bCs/>
        <w:noProof/>
      </w:rPr>
      <w:t>UIT-R  M.2015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E6280">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2D3F"/>
    <w:rsid w:val="000627FC"/>
    <w:rsid w:val="00080C0C"/>
    <w:rsid w:val="000A2DF6"/>
    <w:rsid w:val="000C0A15"/>
    <w:rsid w:val="0010490F"/>
    <w:rsid w:val="00200282"/>
    <w:rsid w:val="00217EBF"/>
    <w:rsid w:val="0022192F"/>
    <w:rsid w:val="00242AEE"/>
    <w:rsid w:val="00275B48"/>
    <w:rsid w:val="002D76C4"/>
    <w:rsid w:val="002E6280"/>
    <w:rsid w:val="00325E7D"/>
    <w:rsid w:val="00366F2F"/>
    <w:rsid w:val="00370AA1"/>
    <w:rsid w:val="003A1D80"/>
    <w:rsid w:val="0045243D"/>
    <w:rsid w:val="004A348E"/>
    <w:rsid w:val="005068A4"/>
    <w:rsid w:val="0052529D"/>
    <w:rsid w:val="00525BD0"/>
    <w:rsid w:val="00537CE1"/>
    <w:rsid w:val="00607D68"/>
    <w:rsid w:val="00621AE9"/>
    <w:rsid w:val="006A64A6"/>
    <w:rsid w:val="006F362E"/>
    <w:rsid w:val="006F4CCD"/>
    <w:rsid w:val="007468DA"/>
    <w:rsid w:val="00751200"/>
    <w:rsid w:val="007E4114"/>
    <w:rsid w:val="008106C9"/>
    <w:rsid w:val="00827D6A"/>
    <w:rsid w:val="008C2201"/>
    <w:rsid w:val="009E00A8"/>
    <w:rsid w:val="00A1267C"/>
    <w:rsid w:val="00A5422D"/>
    <w:rsid w:val="00A6617B"/>
    <w:rsid w:val="00A838C7"/>
    <w:rsid w:val="00AA3100"/>
    <w:rsid w:val="00AB0DC8"/>
    <w:rsid w:val="00AB410F"/>
    <w:rsid w:val="00AD6982"/>
    <w:rsid w:val="00AF1E28"/>
    <w:rsid w:val="00AF660E"/>
    <w:rsid w:val="00AF6A53"/>
    <w:rsid w:val="00B44E24"/>
    <w:rsid w:val="00B813DE"/>
    <w:rsid w:val="00BE1920"/>
    <w:rsid w:val="00C0532B"/>
    <w:rsid w:val="00C06DB6"/>
    <w:rsid w:val="00C938E8"/>
    <w:rsid w:val="00CB6F05"/>
    <w:rsid w:val="00CF2F5E"/>
    <w:rsid w:val="00D10CD0"/>
    <w:rsid w:val="00D72D3F"/>
    <w:rsid w:val="00DE347D"/>
    <w:rsid w:val="00DF4176"/>
    <w:rsid w:val="00E26A4A"/>
    <w:rsid w:val="00E33EB7"/>
    <w:rsid w:val="00E5797B"/>
    <w:rsid w:val="00E7731E"/>
    <w:rsid w:val="00EE3F35"/>
    <w:rsid w:val="00F12172"/>
    <w:rsid w:val="00FA3280"/>
    <w:rsid w:val="00FD390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72D3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 w:eastAsia="en-US"/>
    </w:rPr>
  </w:style>
  <w:style w:type="paragraph" w:styleId="Heading1">
    <w:name w:val="heading 1"/>
    <w:basedOn w:val="Normal"/>
    <w:next w:val="Normal"/>
    <w:link w:val="Heading1Char"/>
    <w:qFormat/>
    <w:rsid w:val="00D72D3F"/>
    <w:pPr>
      <w:keepNext/>
      <w:keepLines/>
      <w:spacing w:before="480"/>
      <w:ind w:left="794" w:hanging="794"/>
      <w:outlineLvl w:val="0"/>
    </w:pPr>
    <w:rPr>
      <w:b/>
    </w:rPr>
  </w:style>
  <w:style w:type="paragraph" w:styleId="Heading2">
    <w:name w:val="heading 2"/>
    <w:basedOn w:val="Heading1"/>
    <w:next w:val="Normal"/>
    <w:link w:val="Heading2Char"/>
    <w:qFormat/>
    <w:rsid w:val="00D72D3F"/>
    <w:pPr>
      <w:spacing w:before="320"/>
      <w:outlineLvl w:val="1"/>
    </w:pPr>
  </w:style>
  <w:style w:type="paragraph" w:styleId="Heading3">
    <w:name w:val="heading 3"/>
    <w:basedOn w:val="Heading1"/>
    <w:next w:val="Normal"/>
    <w:link w:val="Heading3Char"/>
    <w:qFormat/>
    <w:rsid w:val="00D72D3F"/>
    <w:pPr>
      <w:spacing w:before="200"/>
      <w:outlineLvl w:val="2"/>
    </w:pPr>
  </w:style>
  <w:style w:type="paragraph" w:styleId="Heading4">
    <w:name w:val="heading 4"/>
    <w:basedOn w:val="Heading3"/>
    <w:next w:val="Normal"/>
    <w:qFormat/>
    <w:rsid w:val="00D72D3F"/>
    <w:pPr>
      <w:tabs>
        <w:tab w:val="clear" w:pos="794"/>
        <w:tab w:val="left" w:pos="992"/>
      </w:tabs>
      <w:ind w:left="992" w:hanging="992"/>
      <w:outlineLvl w:val="3"/>
    </w:pPr>
  </w:style>
  <w:style w:type="paragraph" w:styleId="Heading5">
    <w:name w:val="heading 5"/>
    <w:basedOn w:val="Heading4"/>
    <w:next w:val="Normal"/>
    <w:qFormat/>
    <w:rsid w:val="00D72D3F"/>
    <w:pPr>
      <w:outlineLvl w:val="4"/>
    </w:pPr>
  </w:style>
  <w:style w:type="paragraph" w:styleId="Heading6">
    <w:name w:val="heading 6"/>
    <w:basedOn w:val="Heading4"/>
    <w:next w:val="Normal"/>
    <w:qFormat/>
    <w:rsid w:val="00D72D3F"/>
    <w:pPr>
      <w:tabs>
        <w:tab w:val="clear" w:pos="992"/>
        <w:tab w:val="clear" w:pos="1191"/>
      </w:tabs>
      <w:ind w:left="1588" w:hanging="1588"/>
      <w:outlineLvl w:val="5"/>
    </w:pPr>
  </w:style>
  <w:style w:type="paragraph" w:styleId="Heading7">
    <w:name w:val="heading 7"/>
    <w:basedOn w:val="Heading6"/>
    <w:next w:val="Normal"/>
    <w:qFormat/>
    <w:rsid w:val="00D72D3F"/>
    <w:pPr>
      <w:outlineLvl w:val="6"/>
    </w:pPr>
  </w:style>
  <w:style w:type="paragraph" w:styleId="Heading8">
    <w:name w:val="heading 8"/>
    <w:basedOn w:val="Heading6"/>
    <w:next w:val="Normal"/>
    <w:qFormat/>
    <w:rsid w:val="00D72D3F"/>
    <w:pPr>
      <w:outlineLvl w:val="7"/>
    </w:pPr>
  </w:style>
  <w:style w:type="paragraph" w:styleId="Heading9">
    <w:name w:val="heading 9"/>
    <w:basedOn w:val="Heading6"/>
    <w:next w:val="Normal"/>
    <w:qFormat/>
    <w:rsid w:val="00D72D3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72D3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D72D3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72D3F"/>
  </w:style>
  <w:style w:type="paragraph" w:customStyle="1" w:styleId="Headingb">
    <w:name w:val="Heading_b"/>
    <w:basedOn w:val="Heading3"/>
    <w:next w:val="Normal"/>
    <w:rsid w:val="00D72D3F"/>
    <w:pPr>
      <w:spacing w:before="160"/>
      <w:ind w:left="0" w:firstLine="0"/>
      <w:outlineLvl w:val="9"/>
    </w:pPr>
  </w:style>
  <w:style w:type="paragraph" w:customStyle="1" w:styleId="Headingi">
    <w:name w:val="Heading_i"/>
    <w:basedOn w:val="Heading3"/>
    <w:next w:val="Normal"/>
    <w:rsid w:val="00D72D3F"/>
    <w:pPr>
      <w:spacing w:before="160"/>
      <w:ind w:left="0" w:firstLine="0"/>
    </w:pPr>
    <w:rPr>
      <w:b w:val="0"/>
      <w:i/>
    </w:rPr>
  </w:style>
  <w:style w:type="character" w:customStyle="1" w:styleId="href">
    <w:name w:val="href"/>
    <w:basedOn w:val="DefaultParagraphFont"/>
    <w:rsid w:val="00D72D3F"/>
  </w:style>
  <w:style w:type="paragraph" w:customStyle="1" w:styleId="enumlev1">
    <w:name w:val="enumlev1"/>
    <w:basedOn w:val="Normal"/>
    <w:link w:val="enumlev1Char"/>
    <w:rsid w:val="00D72D3F"/>
    <w:pPr>
      <w:spacing w:before="80"/>
      <w:ind w:left="794" w:hanging="794"/>
    </w:pPr>
  </w:style>
  <w:style w:type="paragraph" w:customStyle="1" w:styleId="enumlev2">
    <w:name w:val="enumlev2"/>
    <w:basedOn w:val="enumlev1"/>
    <w:rsid w:val="00D72D3F"/>
    <w:pPr>
      <w:ind w:left="1191" w:hanging="397"/>
    </w:pPr>
  </w:style>
  <w:style w:type="paragraph" w:customStyle="1" w:styleId="enumlev3">
    <w:name w:val="enumlev3"/>
    <w:basedOn w:val="enumlev2"/>
    <w:rsid w:val="00D72D3F"/>
    <w:pPr>
      <w:ind w:left="1588"/>
    </w:pPr>
  </w:style>
  <w:style w:type="paragraph" w:customStyle="1" w:styleId="Normalaftertitle">
    <w:name w:val="Normal_after_title"/>
    <w:basedOn w:val="Normal"/>
    <w:next w:val="Normal"/>
    <w:rsid w:val="00D72D3F"/>
    <w:pPr>
      <w:spacing w:before="320"/>
    </w:pPr>
  </w:style>
  <w:style w:type="paragraph" w:customStyle="1" w:styleId="Note">
    <w:name w:val="Note"/>
    <w:basedOn w:val="Normal"/>
    <w:rsid w:val="00D72D3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72D3F"/>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D72D3F"/>
    <w:pPr>
      <w:spacing w:before="240"/>
    </w:pPr>
    <w:rPr>
      <w:sz w:val="22"/>
      <w:lang w:val="es-ES_tradnl"/>
    </w:rPr>
  </w:style>
  <w:style w:type="paragraph" w:customStyle="1" w:styleId="Recref">
    <w:name w:val="Rec_ref"/>
    <w:basedOn w:val="Normal"/>
    <w:next w:val="Recdate"/>
    <w:rsid w:val="00D72D3F"/>
    <w:pPr>
      <w:jc w:val="center"/>
    </w:pPr>
  </w:style>
  <w:style w:type="paragraph" w:customStyle="1" w:styleId="Recdate">
    <w:name w:val="Rec_date"/>
    <w:basedOn w:val="Recref"/>
    <w:next w:val="Normalaftertitle"/>
    <w:rsid w:val="00D72D3F"/>
    <w:pPr>
      <w:jc w:val="right"/>
    </w:pPr>
  </w:style>
  <w:style w:type="paragraph" w:customStyle="1" w:styleId="AnnexNoTitle">
    <w:name w:val="Annex_NoTitle"/>
    <w:basedOn w:val="Normal"/>
    <w:next w:val="Normalaftertitle"/>
    <w:link w:val="AnnexNoTitleChar"/>
    <w:rsid w:val="00D72D3F"/>
    <w:pPr>
      <w:keepNext/>
      <w:keepLines/>
      <w:spacing w:before="480" w:after="80"/>
      <w:jc w:val="center"/>
    </w:pPr>
    <w:rPr>
      <w:b/>
      <w:sz w:val="28"/>
    </w:rPr>
  </w:style>
  <w:style w:type="paragraph" w:customStyle="1" w:styleId="AppendixNoTitle">
    <w:name w:val="Appendix_NoTitle"/>
    <w:basedOn w:val="AnnexNoTitle"/>
    <w:next w:val="Normal"/>
    <w:rsid w:val="00D72D3F"/>
  </w:style>
  <w:style w:type="paragraph" w:customStyle="1" w:styleId="Tablefin">
    <w:name w:val="Table_fin"/>
    <w:basedOn w:val="Normal"/>
    <w:next w:val="Normal"/>
    <w:rsid w:val="00D72D3F"/>
    <w:pPr>
      <w:spacing w:before="0"/>
    </w:pPr>
    <w:rPr>
      <w:sz w:val="20"/>
      <w:lang w:val="en-GB"/>
    </w:rPr>
  </w:style>
  <w:style w:type="paragraph" w:customStyle="1" w:styleId="Tablehead">
    <w:name w:val="Table_head"/>
    <w:basedOn w:val="Normal"/>
    <w:next w:val="Normal"/>
    <w:link w:val="TableheadChar"/>
    <w:rsid w:val="00D72D3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72D3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D72D3F"/>
    <w:pPr>
      <w:keepNext/>
      <w:spacing w:before="360" w:after="120"/>
      <w:jc w:val="center"/>
    </w:pPr>
  </w:style>
  <w:style w:type="paragraph" w:customStyle="1" w:styleId="Tabletext">
    <w:name w:val="Table_text"/>
    <w:basedOn w:val="Normal"/>
    <w:link w:val="TabletextChar"/>
    <w:rsid w:val="00D72D3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72D3F"/>
    <w:pPr>
      <w:tabs>
        <w:tab w:val="clear" w:pos="1191"/>
        <w:tab w:val="clear" w:pos="1588"/>
        <w:tab w:val="clear" w:pos="1985"/>
        <w:tab w:val="center" w:pos="4820"/>
        <w:tab w:val="right" w:pos="9639"/>
      </w:tabs>
    </w:pPr>
  </w:style>
  <w:style w:type="paragraph" w:customStyle="1" w:styleId="Equationlegend">
    <w:name w:val="Equation_legend"/>
    <w:basedOn w:val="NormalIndent"/>
    <w:rsid w:val="00D72D3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72D3F"/>
    <w:pPr>
      <w:ind w:left="794"/>
    </w:pPr>
  </w:style>
  <w:style w:type="paragraph" w:customStyle="1" w:styleId="Figurelegend">
    <w:name w:val="Figure_legend"/>
    <w:basedOn w:val="Normal"/>
    <w:rsid w:val="00D72D3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72D3F"/>
    <w:pPr>
      <w:keepNext/>
      <w:keepLines/>
      <w:spacing w:before="480" w:after="80"/>
      <w:jc w:val="center"/>
    </w:pPr>
    <w:rPr>
      <w:caps/>
      <w:sz w:val="18"/>
    </w:rPr>
  </w:style>
  <w:style w:type="paragraph" w:customStyle="1" w:styleId="tocpart">
    <w:name w:val="tocpart"/>
    <w:basedOn w:val="Normal"/>
    <w:rsid w:val="00D72D3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72D3F"/>
    <w:pPr>
      <w:keepNext/>
      <w:keepLines/>
      <w:spacing w:before="480"/>
      <w:jc w:val="center"/>
    </w:pPr>
    <w:rPr>
      <w:sz w:val="28"/>
    </w:rPr>
  </w:style>
  <w:style w:type="paragraph" w:customStyle="1" w:styleId="Arttitle">
    <w:name w:val="Art_title"/>
    <w:basedOn w:val="Normal"/>
    <w:next w:val="Normalaftertitle"/>
    <w:rsid w:val="00D72D3F"/>
    <w:pPr>
      <w:keepNext/>
      <w:keepLines/>
      <w:spacing w:before="240"/>
      <w:jc w:val="center"/>
    </w:pPr>
    <w:rPr>
      <w:b/>
      <w:sz w:val="28"/>
    </w:rPr>
  </w:style>
  <w:style w:type="paragraph" w:customStyle="1" w:styleId="Blanc">
    <w:name w:val="Blanc"/>
    <w:basedOn w:val="Normal"/>
    <w:next w:val="Tabletext"/>
    <w:rsid w:val="00D72D3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72D3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72D3F"/>
    <w:pPr>
      <w:keepNext/>
      <w:keepLines/>
      <w:spacing w:before="160"/>
      <w:ind w:left="794"/>
    </w:pPr>
    <w:rPr>
      <w:i/>
    </w:rPr>
  </w:style>
  <w:style w:type="paragraph" w:customStyle="1" w:styleId="ChapNo">
    <w:name w:val="Chap_No"/>
    <w:basedOn w:val="ArtNo"/>
    <w:next w:val="Chaptitle"/>
    <w:rsid w:val="00D72D3F"/>
    <w:rPr>
      <w:b/>
    </w:rPr>
  </w:style>
  <w:style w:type="paragraph" w:customStyle="1" w:styleId="Chaptitle">
    <w:name w:val="Chap_title"/>
    <w:basedOn w:val="Arttitle"/>
    <w:next w:val="Normalaftertitle"/>
    <w:rsid w:val="00D72D3F"/>
  </w:style>
  <w:style w:type="character" w:styleId="FootnoteReference">
    <w:name w:val="footnote reference"/>
    <w:aliases w:val="Footnote Reference/,Appel note de bas de p,Style 12,(NECG) Footnote Reference,Style 124"/>
    <w:basedOn w:val="DefaultParagraphFont"/>
    <w:rsid w:val="00D72D3F"/>
    <w:rPr>
      <w:position w:val="6"/>
      <w:sz w:val="18"/>
    </w:rPr>
  </w:style>
  <w:style w:type="paragraph" w:styleId="FootnoteText">
    <w:name w:val="footnote text"/>
    <w:basedOn w:val="Normal"/>
    <w:link w:val="FootnoteTextChar"/>
    <w:rsid w:val="00D72D3F"/>
    <w:pPr>
      <w:keepLines/>
      <w:tabs>
        <w:tab w:val="left" w:pos="255"/>
      </w:tabs>
      <w:ind w:left="255" w:hanging="255"/>
    </w:pPr>
    <w:rPr>
      <w:sz w:val="22"/>
    </w:rPr>
  </w:style>
  <w:style w:type="paragraph" w:styleId="Index1">
    <w:name w:val="index 1"/>
    <w:basedOn w:val="Normal"/>
    <w:next w:val="Normal"/>
    <w:semiHidden/>
    <w:rsid w:val="00D72D3F"/>
  </w:style>
  <w:style w:type="paragraph" w:styleId="Index2">
    <w:name w:val="index 2"/>
    <w:basedOn w:val="Normal"/>
    <w:next w:val="Normal"/>
    <w:semiHidden/>
    <w:rsid w:val="00D72D3F"/>
    <w:pPr>
      <w:ind w:left="283"/>
    </w:pPr>
  </w:style>
  <w:style w:type="paragraph" w:styleId="Index3">
    <w:name w:val="index 3"/>
    <w:basedOn w:val="Normal"/>
    <w:next w:val="Normal"/>
    <w:semiHidden/>
    <w:rsid w:val="00D72D3F"/>
    <w:pPr>
      <w:ind w:left="566"/>
    </w:pPr>
  </w:style>
  <w:style w:type="paragraph" w:styleId="IndexHeading">
    <w:name w:val="index heading"/>
    <w:basedOn w:val="Normal"/>
    <w:next w:val="Index1"/>
    <w:semiHidden/>
    <w:rsid w:val="00D72D3F"/>
  </w:style>
  <w:style w:type="paragraph" w:customStyle="1" w:styleId="Line">
    <w:name w:val="Line"/>
    <w:basedOn w:val="Normal"/>
    <w:next w:val="Normal"/>
    <w:rsid w:val="00D72D3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72D3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72D3F"/>
  </w:style>
  <w:style w:type="paragraph" w:customStyle="1" w:styleId="Partref">
    <w:name w:val="Part_ref"/>
    <w:basedOn w:val="Normal"/>
    <w:next w:val="Normal"/>
    <w:rsid w:val="00D72D3F"/>
    <w:pPr>
      <w:keepNext/>
      <w:keepLines/>
      <w:spacing w:after="280"/>
      <w:jc w:val="center"/>
    </w:pPr>
  </w:style>
  <w:style w:type="paragraph" w:customStyle="1" w:styleId="Parttitle">
    <w:name w:val="Part_title"/>
    <w:basedOn w:val="Normal"/>
    <w:next w:val="Normalaftertitle"/>
    <w:rsid w:val="00D72D3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72D3F"/>
  </w:style>
  <w:style w:type="paragraph" w:customStyle="1" w:styleId="QuestionNo">
    <w:name w:val="Question_No"/>
    <w:basedOn w:val="RecNo"/>
    <w:next w:val="Normal"/>
    <w:rsid w:val="00D72D3F"/>
  </w:style>
  <w:style w:type="paragraph" w:customStyle="1" w:styleId="Questionref">
    <w:name w:val="Question_ref"/>
    <w:basedOn w:val="Recref"/>
    <w:next w:val="Questiondate"/>
    <w:rsid w:val="00D72D3F"/>
  </w:style>
  <w:style w:type="paragraph" w:customStyle="1" w:styleId="Questiontitle">
    <w:name w:val="Question_title"/>
    <w:basedOn w:val="Normal"/>
    <w:next w:val="Questionref"/>
    <w:rsid w:val="00D72D3F"/>
  </w:style>
  <w:style w:type="paragraph" w:customStyle="1" w:styleId="Reftext">
    <w:name w:val="Ref_text"/>
    <w:basedOn w:val="Normal"/>
    <w:rsid w:val="00D72D3F"/>
    <w:pPr>
      <w:ind w:left="794" w:hanging="794"/>
    </w:pPr>
    <w:rPr>
      <w:sz w:val="22"/>
    </w:rPr>
  </w:style>
  <w:style w:type="paragraph" w:customStyle="1" w:styleId="Reftitle">
    <w:name w:val="Ref_title"/>
    <w:basedOn w:val="Normal"/>
    <w:next w:val="Reftext"/>
    <w:rsid w:val="00D72D3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72D3F"/>
  </w:style>
  <w:style w:type="paragraph" w:customStyle="1" w:styleId="RepNo">
    <w:name w:val="Rep_No"/>
    <w:basedOn w:val="RecNo"/>
    <w:next w:val="Reptitle"/>
    <w:rsid w:val="00D72D3F"/>
  </w:style>
  <w:style w:type="paragraph" w:customStyle="1" w:styleId="Repref">
    <w:name w:val="Rep_ref"/>
    <w:basedOn w:val="Recref"/>
    <w:next w:val="Repdate"/>
    <w:rsid w:val="00D72D3F"/>
  </w:style>
  <w:style w:type="paragraph" w:customStyle="1" w:styleId="Reptitle">
    <w:name w:val="Rep_title"/>
    <w:basedOn w:val="Rectitle"/>
    <w:next w:val="Repref"/>
    <w:rsid w:val="00D72D3F"/>
  </w:style>
  <w:style w:type="paragraph" w:customStyle="1" w:styleId="Resdate">
    <w:name w:val="Res_date"/>
    <w:basedOn w:val="Recdate"/>
    <w:next w:val="Normalaftertitle"/>
    <w:rsid w:val="00D72D3F"/>
  </w:style>
  <w:style w:type="paragraph" w:customStyle="1" w:styleId="ResNo">
    <w:name w:val="Res_No"/>
    <w:basedOn w:val="RecNo"/>
    <w:next w:val="Restitle"/>
    <w:rsid w:val="00D72D3F"/>
  </w:style>
  <w:style w:type="paragraph" w:customStyle="1" w:styleId="Resref">
    <w:name w:val="Res_ref"/>
    <w:basedOn w:val="Recref"/>
    <w:next w:val="Resdate"/>
    <w:rsid w:val="00D72D3F"/>
  </w:style>
  <w:style w:type="paragraph" w:customStyle="1" w:styleId="Restitle">
    <w:name w:val="Res_title"/>
    <w:basedOn w:val="Normal"/>
    <w:next w:val="Resref"/>
    <w:rsid w:val="00D72D3F"/>
    <w:pPr>
      <w:spacing w:before="240"/>
      <w:jc w:val="center"/>
    </w:pPr>
    <w:rPr>
      <w:b/>
      <w:sz w:val="28"/>
    </w:rPr>
  </w:style>
  <w:style w:type="paragraph" w:customStyle="1" w:styleId="SectionNo">
    <w:name w:val="Section_No"/>
    <w:basedOn w:val="Normal"/>
    <w:next w:val="Normal"/>
    <w:rsid w:val="00D72D3F"/>
  </w:style>
  <w:style w:type="paragraph" w:customStyle="1" w:styleId="Sectiontitle">
    <w:name w:val="Section_title"/>
    <w:basedOn w:val="Normal"/>
    <w:next w:val="Normalaftertitle"/>
    <w:rsid w:val="00D72D3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72D3F"/>
    <w:pPr>
      <w:tabs>
        <w:tab w:val="clear" w:pos="794"/>
        <w:tab w:val="clear" w:pos="1191"/>
        <w:tab w:val="clear" w:pos="1588"/>
        <w:tab w:val="clear" w:pos="1985"/>
        <w:tab w:val="right" w:pos="9611"/>
      </w:tabs>
    </w:pPr>
    <w:rPr>
      <w:i/>
    </w:rPr>
  </w:style>
  <w:style w:type="paragraph" w:styleId="TOC1">
    <w:name w:val="toc 1"/>
    <w:basedOn w:val="Normal"/>
    <w:semiHidden/>
    <w:rsid w:val="00D72D3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72D3F"/>
    <w:pPr>
      <w:tabs>
        <w:tab w:val="clear" w:pos="567"/>
        <w:tab w:val="left" w:pos="1276"/>
      </w:tabs>
      <w:spacing w:before="160"/>
      <w:ind w:left="1276" w:hanging="709"/>
    </w:pPr>
  </w:style>
  <w:style w:type="paragraph" w:styleId="TOC3">
    <w:name w:val="toc 3"/>
    <w:basedOn w:val="TOC2"/>
    <w:semiHidden/>
    <w:rsid w:val="00D72D3F"/>
    <w:pPr>
      <w:tabs>
        <w:tab w:val="clear" w:pos="1276"/>
        <w:tab w:val="left" w:pos="2155"/>
      </w:tabs>
      <w:ind w:left="2155" w:hanging="879"/>
    </w:pPr>
  </w:style>
  <w:style w:type="paragraph" w:styleId="TOC4">
    <w:name w:val="toc 4"/>
    <w:basedOn w:val="TOC3"/>
    <w:semiHidden/>
    <w:rsid w:val="00D72D3F"/>
    <w:pPr>
      <w:tabs>
        <w:tab w:val="left" w:pos="3261"/>
      </w:tabs>
      <w:spacing w:before="80"/>
      <w:ind w:left="3261" w:hanging="993"/>
    </w:pPr>
  </w:style>
  <w:style w:type="paragraph" w:styleId="TOC5">
    <w:name w:val="toc 5"/>
    <w:basedOn w:val="TOC4"/>
    <w:semiHidden/>
    <w:rsid w:val="00D72D3F"/>
  </w:style>
  <w:style w:type="paragraph" w:styleId="TOC6">
    <w:name w:val="toc 6"/>
    <w:basedOn w:val="TOC4"/>
    <w:semiHidden/>
    <w:rsid w:val="00D72D3F"/>
  </w:style>
  <w:style w:type="paragraph" w:styleId="TOC7">
    <w:name w:val="toc 7"/>
    <w:basedOn w:val="TOC4"/>
    <w:semiHidden/>
    <w:rsid w:val="00D72D3F"/>
  </w:style>
  <w:style w:type="paragraph" w:styleId="TOC8">
    <w:name w:val="toc 8"/>
    <w:basedOn w:val="TOC4"/>
    <w:semiHidden/>
    <w:rsid w:val="00D72D3F"/>
  </w:style>
  <w:style w:type="paragraph" w:customStyle="1" w:styleId="Rectitle">
    <w:name w:val="Rec_title"/>
    <w:basedOn w:val="Normal"/>
    <w:next w:val="Recref"/>
    <w:rsid w:val="00D72D3F"/>
    <w:pPr>
      <w:keepNext/>
      <w:keepLines/>
      <w:spacing w:before="240"/>
      <w:jc w:val="center"/>
    </w:pPr>
    <w:rPr>
      <w:b/>
      <w:sz w:val="28"/>
    </w:rPr>
  </w:style>
  <w:style w:type="paragraph" w:customStyle="1" w:styleId="Annexref">
    <w:name w:val="Annex_ref"/>
    <w:basedOn w:val="Normal"/>
    <w:next w:val="Normalaftertitle"/>
    <w:rsid w:val="00D72D3F"/>
    <w:pPr>
      <w:keepNext/>
      <w:keepLines/>
      <w:spacing w:after="280"/>
      <w:jc w:val="center"/>
    </w:pPr>
  </w:style>
  <w:style w:type="paragraph" w:customStyle="1" w:styleId="Appendixref">
    <w:name w:val="Appendix_ref"/>
    <w:basedOn w:val="Annexref"/>
    <w:next w:val="Normalaftertitle"/>
    <w:rsid w:val="00D72D3F"/>
  </w:style>
  <w:style w:type="paragraph" w:customStyle="1" w:styleId="Figuretitle">
    <w:name w:val="Figure_title"/>
    <w:basedOn w:val="Normal"/>
    <w:next w:val="Figure"/>
    <w:rsid w:val="00D72D3F"/>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D72D3F"/>
    <w:pPr>
      <w:keepNext/>
      <w:spacing w:before="0" w:after="120"/>
      <w:jc w:val="center"/>
    </w:pPr>
    <w:rPr>
      <w:b/>
    </w:rPr>
  </w:style>
  <w:style w:type="paragraph" w:customStyle="1" w:styleId="Summary">
    <w:name w:val="Summary"/>
    <w:basedOn w:val="Normal"/>
    <w:next w:val="Normalaftertitle"/>
    <w:autoRedefine/>
    <w:rsid w:val="00D72D3F"/>
    <w:pPr>
      <w:spacing w:after="480"/>
    </w:pPr>
    <w:rPr>
      <w:sz w:val="22"/>
      <w:lang w:val="es-ES_tradnl"/>
    </w:rPr>
  </w:style>
  <w:style w:type="paragraph" w:customStyle="1" w:styleId="TableLegendNote">
    <w:name w:val="Table_Legend_Note"/>
    <w:basedOn w:val="Tablelegend"/>
    <w:next w:val="Tablelegend"/>
    <w:rsid w:val="00D72D3F"/>
    <w:pPr>
      <w:ind w:left="-85" w:firstLine="0"/>
    </w:pPr>
    <w:rPr>
      <w:lang w:val="en-US"/>
    </w:rPr>
  </w:style>
  <w:style w:type="paragraph" w:customStyle="1" w:styleId="Figure">
    <w:name w:val="Figure"/>
    <w:basedOn w:val="FigureNo"/>
    <w:next w:val="Normal"/>
    <w:rsid w:val="00D72D3F"/>
    <w:pPr>
      <w:keepNext w:val="0"/>
      <w:spacing w:before="0" w:after="240"/>
    </w:pPr>
  </w:style>
  <w:style w:type="character" w:styleId="Hyperlink">
    <w:name w:val="Hyperlink"/>
    <w:basedOn w:val="DefaultParagraphFont"/>
    <w:rsid w:val="00D72D3F"/>
    <w:rPr>
      <w:color w:val="0000FF"/>
      <w:u w:val="single"/>
    </w:rPr>
  </w:style>
  <w:style w:type="character" w:customStyle="1" w:styleId="Heading1Char">
    <w:name w:val="Heading 1 Char"/>
    <w:basedOn w:val="DefaultParagraphFont"/>
    <w:link w:val="Heading1"/>
    <w:rsid w:val="00AD6982"/>
    <w:rPr>
      <w:b/>
      <w:sz w:val="24"/>
      <w:lang w:val="fr-FR" w:eastAsia="en-US"/>
    </w:rPr>
  </w:style>
  <w:style w:type="character" w:customStyle="1" w:styleId="Heading2Char">
    <w:name w:val="Heading 2 Char"/>
    <w:basedOn w:val="DefaultParagraphFont"/>
    <w:link w:val="Heading2"/>
    <w:rsid w:val="00AD6982"/>
    <w:rPr>
      <w:b/>
      <w:sz w:val="24"/>
      <w:lang w:val="fr-FR" w:eastAsia="en-US"/>
    </w:rPr>
  </w:style>
  <w:style w:type="character" w:customStyle="1" w:styleId="Heading3Char">
    <w:name w:val="Heading 3 Char"/>
    <w:basedOn w:val="DefaultParagraphFont"/>
    <w:link w:val="Heading3"/>
    <w:rsid w:val="00AD6982"/>
    <w:rPr>
      <w:b/>
      <w:sz w:val="24"/>
      <w:lang w:val="fr-FR" w:eastAsia="en-US"/>
    </w:rPr>
  </w:style>
  <w:style w:type="character" w:customStyle="1" w:styleId="FootnoteTextChar">
    <w:name w:val="Footnote Text Char"/>
    <w:basedOn w:val="DefaultParagraphFont"/>
    <w:link w:val="FootnoteText"/>
    <w:rsid w:val="00AD6982"/>
    <w:rPr>
      <w:sz w:val="22"/>
      <w:lang w:val="fr-FR" w:eastAsia="en-US"/>
    </w:rPr>
  </w:style>
  <w:style w:type="character" w:customStyle="1" w:styleId="TableheadChar">
    <w:name w:val="Table_head Char"/>
    <w:basedOn w:val="DefaultParagraphFont"/>
    <w:link w:val="Tablehead"/>
    <w:locked/>
    <w:rsid w:val="00AD6982"/>
    <w:rPr>
      <w:b/>
      <w:sz w:val="22"/>
      <w:lang w:val="fr-FR" w:eastAsia="en-US"/>
    </w:rPr>
  </w:style>
  <w:style w:type="character" w:customStyle="1" w:styleId="TabletextChar">
    <w:name w:val="Table_text Char"/>
    <w:basedOn w:val="DefaultParagraphFont"/>
    <w:link w:val="Tabletext"/>
    <w:locked/>
    <w:rsid w:val="00AD6982"/>
    <w:rPr>
      <w:sz w:val="22"/>
      <w:lang w:val="fr-FR" w:eastAsia="en-US"/>
    </w:rPr>
  </w:style>
  <w:style w:type="character" w:customStyle="1" w:styleId="enumlev1Char">
    <w:name w:val="enumlev1 Char"/>
    <w:basedOn w:val="DefaultParagraphFont"/>
    <w:link w:val="enumlev1"/>
    <w:rsid w:val="00AD6982"/>
    <w:rPr>
      <w:sz w:val="24"/>
      <w:lang w:val="fr-FR" w:eastAsia="en-US"/>
    </w:rPr>
  </w:style>
  <w:style w:type="character" w:customStyle="1" w:styleId="AnnexNoTitleChar">
    <w:name w:val="Annex_NoTitle Char"/>
    <w:basedOn w:val="DefaultParagraphFont"/>
    <w:link w:val="AnnexNoTitle"/>
    <w:rsid w:val="00AD6982"/>
    <w:rPr>
      <w:b/>
      <w:sz w:val="28"/>
      <w:lang w:val="fr-FR" w:eastAsia="en-US"/>
    </w:rPr>
  </w:style>
  <w:style w:type="paragraph" w:customStyle="1" w:styleId="Reasons">
    <w:name w:val="Reasons"/>
    <w:basedOn w:val="Normal"/>
    <w:qFormat/>
    <w:rsid w:val="00AD6982"/>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72D3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 w:eastAsia="en-US"/>
    </w:rPr>
  </w:style>
  <w:style w:type="paragraph" w:styleId="Heading1">
    <w:name w:val="heading 1"/>
    <w:basedOn w:val="Normal"/>
    <w:next w:val="Normal"/>
    <w:link w:val="Heading1Char"/>
    <w:qFormat/>
    <w:rsid w:val="00D72D3F"/>
    <w:pPr>
      <w:keepNext/>
      <w:keepLines/>
      <w:spacing w:before="480"/>
      <w:ind w:left="794" w:hanging="794"/>
      <w:outlineLvl w:val="0"/>
    </w:pPr>
    <w:rPr>
      <w:b/>
    </w:rPr>
  </w:style>
  <w:style w:type="paragraph" w:styleId="Heading2">
    <w:name w:val="heading 2"/>
    <w:basedOn w:val="Heading1"/>
    <w:next w:val="Normal"/>
    <w:link w:val="Heading2Char"/>
    <w:qFormat/>
    <w:rsid w:val="00D72D3F"/>
    <w:pPr>
      <w:spacing w:before="320"/>
      <w:outlineLvl w:val="1"/>
    </w:pPr>
  </w:style>
  <w:style w:type="paragraph" w:styleId="Heading3">
    <w:name w:val="heading 3"/>
    <w:basedOn w:val="Heading1"/>
    <w:next w:val="Normal"/>
    <w:link w:val="Heading3Char"/>
    <w:qFormat/>
    <w:rsid w:val="00D72D3F"/>
    <w:pPr>
      <w:spacing w:before="200"/>
      <w:outlineLvl w:val="2"/>
    </w:pPr>
  </w:style>
  <w:style w:type="paragraph" w:styleId="Heading4">
    <w:name w:val="heading 4"/>
    <w:basedOn w:val="Heading3"/>
    <w:next w:val="Normal"/>
    <w:qFormat/>
    <w:rsid w:val="00D72D3F"/>
    <w:pPr>
      <w:tabs>
        <w:tab w:val="clear" w:pos="794"/>
        <w:tab w:val="left" w:pos="992"/>
      </w:tabs>
      <w:ind w:left="992" w:hanging="992"/>
      <w:outlineLvl w:val="3"/>
    </w:pPr>
  </w:style>
  <w:style w:type="paragraph" w:styleId="Heading5">
    <w:name w:val="heading 5"/>
    <w:basedOn w:val="Heading4"/>
    <w:next w:val="Normal"/>
    <w:qFormat/>
    <w:rsid w:val="00D72D3F"/>
    <w:pPr>
      <w:outlineLvl w:val="4"/>
    </w:pPr>
  </w:style>
  <w:style w:type="paragraph" w:styleId="Heading6">
    <w:name w:val="heading 6"/>
    <w:basedOn w:val="Heading4"/>
    <w:next w:val="Normal"/>
    <w:qFormat/>
    <w:rsid w:val="00D72D3F"/>
    <w:pPr>
      <w:tabs>
        <w:tab w:val="clear" w:pos="992"/>
        <w:tab w:val="clear" w:pos="1191"/>
      </w:tabs>
      <w:ind w:left="1588" w:hanging="1588"/>
      <w:outlineLvl w:val="5"/>
    </w:pPr>
  </w:style>
  <w:style w:type="paragraph" w:styleId="Heading7">
    <w:name w:val="heading 7"/>
    <w:basedOn w:val="Heading6"/>
    <w:next w:val="Normal"/>
    <w:qFormat/>
    <w:rsid w:val="00D72D3F"/>
    <w:pPr>
      <w:outlineLvl w:val="6"/>
    </w:pPr>
  </w:style>
  <w:style w:type="paragraph" w:styleId="Heading8">
    <w:name w:val="heading 8"/>
    <w:basedOn w:val="Heading6"/>
    <w:next w:val="Normal"/>
    <w:qFormat/>
    <w:rsid w:val="00D72D3F"/>
    <w:pPr>
      <w:outlineLvl w:val="7"/>
    </w:pPr>
  </w:style>
  <w:style w:type="paragraph" w:styleId="Heading9">
    <w:name w:val="heading 9"/>
    <w:basedOn w:val="Heading6"/>
    <w:next w:val="Normal"/>
    <w:qFormat/>
    <w:rsid w:val="00D72D3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72D3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D72D3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72D3F"/>
  </w:style>
  <w:style w:type="paragraph" w:customStyle="1" w:styleId="Headingb">
    <w:name w:val="Heading_b"/>
    <w:basedOn w:val="Heading3"/>
    <w:next w:val="Normal"/>
    <w:rsid w:val="00D72D3F"/>
    <w:pPr>
      <w:spacing w:before="160"/>
      <w:ind w:left="0" w:firstLine="0"/>
      <w:outlineLvl w:val="9"/>
    </w:pPr>
  </w:style>
  <w:style w:type="paragraph" w:customStyle="1" w:styleId="Headingi">
    <w:name w:val="Heading_i"/>
    <w:basedOn w:val="Heading3"/>
    <w:next w:val="Normal"/>
    <w:rsid w:val="00D72D3F"/>
    <w:pPr>
      <w:spacing w:before="160"/>
      <w:ind w:left="0" w:firstLine="0"/>
    </w:pPr>
    <w:rPr>
      <w:b w:val="0"/>
      <w:i/>
    </w:rPr>
  </w:style>
  <w:style w:type="character" w:customStyle="1" w:styleId="href">
    <w:name w:val="href"/>
    <w:basedOn w:val="DefaultParagraphFont"/>
    <w:rsid w:val="00D72D3F"/>
  </w:style>
  <w:style w:type="paragraph" w:customStyle="1" w:styleId="enumlev1">
    <w:name w:val="enumlev1"/>
    <w:basedOn w:val="Normal"/>
    <w:link w:val="enumlev1Char"/>
    <w:rsid w:val="00D72D3F"/>
    <w:pPr>
      <w:spacing w:before="80"/>
      <w:ind w:left="794" w:hanging="794"/>
    </w:pPr>
  </w:style>
  <w:style w:type="paragraph" w:customStyle="1" w:styleId="enumlev2">
    <w:name w:val="enumlev2"/>
    <w:basedOn w:val="enumlev1"/>
    <w:rsid w:val="00D72D3F"/>
    <w:pPr>
      <w:ind w:left="1191" w:hanging="397"/>
    </w:pPr>
  </w:style>
  <w:style w:type="paragraph" w:customStyle="1" w:styleId="enumlev3">
    <w:name w:val="enumlev3"/>
    <w:basedOn w:val="enumlev2"/>
    <w:rsid w:val="00D72D3F"/>
    <w:pPr>
      <w:ind w:left="1588"/>
    </w:pPr>
  </w:style>
  <w:style w:type="paragraph" w:customStyle="1" w:styleId="Normalaftertitle">
    <w:name w:val="Normal_after_title"/>
    <w:basedOn w:val="Normal"/>
    <w:next w:val="Normal"/>
    <w:rsid w:val="00D72D3F"/>
    <w:pPr>
      <w:spacing w:before="320"/>
    </w:pPr>
  </w:style>
  <w:style w:type="paragraph" w:customStyle="1" w:styleId="Note">
    <w:name w:val="Note"/>
    <w:basedOn w:val="Normal"/>
    <w:rsid w:val="00D72D3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72D3F"/>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D72D3F"/>
    <w:pPr>
      <w:spacing w:before="240"/>
    </w:pPr>
    <w:rPr>
      <w:sz w:val="22"/>
      <w:lang w:val="es-ES_tradnl"/>
    </w:rPr>
  </w:style>
  <w:style w:type="paragraph" w:customStyle="1" w:styleId="Recref">
    <w:name w:val="Rec_ref"/>
    <w:basedOn w:val="Normal"/>
    <w:next w:val="Recdate"/>
    <w:rsid w:val="00D72D3F"/>
    <w:pPr>
      <w:jc w:val="center"/>
    </w:pPr>
  </w:style>
  <w:style w:type="paragraph" w:customStyle="1" w:styleId="Recdate">
    <w:name w:val="Rec_date"/>
    <w:basedOn w:val="Recref"/>
    <w:next w:val="Normalaftertitle"/>
    <w:rsid w:val="00D72D3F"/>
    <w:pPr>
      <w:jc w:val="right"/>
    </w:pPr>
  </w:style>
  <w:style w:type="paragraph" w:customStyle="1" w:styleId="AnnexNoTitle">
    <w:name w:val="Annex_NoTitle"/>
    <w:basedOn w:val="Normal"/>
    <w:next w:val="Normalaftertitle"/>
    <w:link w:val="AnnexNoTitleChar"/>
    <w:rsid w:val="00D72D3F"/>
    <w:pPr>
      <w:keepNext/>
      <w:keepLines/>
      <w:spacing w:before="480" w:after="80"/>
      <w:jc w:val="center"/>
    </w:pPr>
    <w:rPr>
      <w:b/>
      <w:sz w:val="28"/>
    </w:rPr>
  </w:style>
  <w:style w:type="paragraph" w:customStyle="1" w:styleId="AppendixNoTitle">
    <w:name w:val="Appendix_NoTitle"/>
    <w:basedOn w:val="AnnexNoTitle"/>
    <w:next w:val="Normal"/>
    <w:rsid w:val="00D72D3F"/>
  </w:style>
  <w:style w:type="paragraph" w:customStyle="1" w:styleId="Tablefin">
    <w:name w:val="Table_fin"/>
    <w:basedOn w:val="Normal"/>
    <w:next w:val="Normal"/>
    <w:rsid w:val="00D72D3F"/>
    <w:pPr>
      <w:spacing w:before="0"/>
    </w:pPr>
    <w:rPr>
      <w:sz w:val="20"/>
      <w:lang w:val="en-GB"/>
    </w:rPr>
  </w:style>
  <w:style w:type="paragraph" w:customStyle="1" w:styleId="Tablehead">
    <w:name w:val="Table_head"/>
    <w:basedOn w:val="Normal"/>
    <w:next w:val="Normal"/>
    <w:link w:val="TableheadChar"/>
    <w:rsid w:val="00D72D3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72D3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D72D3F"/>
    <w:pPr>
      <w:keepNext/>
      <w:spacing w:before="360" w:after="120"/>
      <w:jc w:val="center"/>
    </w:pPr>
  </w:style>
  <w:style w:type="paragraph" w:customStyle="1" w:styleId="Tabletext">
    <w:name w:val="Table_text"/>
    <w:basedOn w:val="Normal"/>
    <w:link w:val="TabletextChar"/>
    <w:rsid w:val="00D72D3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72D3F"/>
    <w:pPr>
      <w:tabs>
        <w:tab w:val="clear" w:pos="1191"/>
        <w:tab w:val="clear" w:pos="1588"/>
        <w:tab w:val="clear" w:pos="1985"/>
        <w:tab w:val="center" w:pos="4820"/>
        <w:tab w:val="right" w:pos="9639"/>
      </w:tabs>
    </w:pPr>
  </w:style>
  <w:style w:type="paragraph" w:customStyle="1" w:styleId="Equationlegend">
    <w:name w:val="Equation_legend"/>
    <w:basedOn w:val="NormalIndent"/>
    <w:rsid w:val="00D72D3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72D3F"/>
    <w:pPr>
      <w:ind w:left="794"/>
    </w:pPr>
  </w:style>
  <w:style w:type="paragraph" w:customStyle="1" w:styleId="Figurelegend">
    <w:name w:val="Figure_legend"/>
    <w:basedOn w:val="Normal"/>
    <w:rsid w:val="00D72D3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72D3F"/>
    <w:pPr>
      <w:keepNext/>
      <w:keepLines/>
      <w:spacing w:before="480" w:after="80"/>
      <w:jc w:val="center"/>
    </w:pPr>
    <w:rPr>
      <w:caps/>
      <w:sz w:val="18"/>
    </w:rPr>
  </w:style>
  <w:style w:type="paragraph" w:customStyle="1" w:styleId="tocpart">
    <w:name w:val="tocpart"/>
    <w:basedOn w:val="Normal"/>
    <w:rsid w:val="00D72D3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72D3F"/>
    <w:pPr>
      <w:keepNext/>
      <w:keepLines/>
      <w:spacing w:before="480"/>
      <w:jc w:val="center"/>
    </w:pPr>
    <w:rPr>
      <w:sz w:val="28"/>
    </w:rPr>
  </w:style>
  <w:style w:type="paragraph" w:customStyle="1" w:styleId="Arttitle">
    <w:name w:val="Art_title"/>
    <w:basedOn w:val="Normal"/>
    <w:next w:val="Normalaftertitle"/>
    <w:rsid w:val="00D72D3F"/>
    <w:pPr>
      <w:keepNext/>
      <w:keepLines/>
      <w:spacing w:before="240"/>
      <w:jc w:val="center"/>
    </w:pPr>
    <w:rPr>
      <w:b/>
      <w:sz w:val="28"/>
    </w:rPr>
  </w:style>
  <w:style w:type="paragraph" w:customStyle="1" w:styleId="Blanc">
    <w:name w:val="Blanc"/>
    <w:basedOn w:val="Normal"/>
    <w:next w:val="Tabletext"/>
    <w:rsid w:val="00D72D3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72D3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72D3F"/>
    <w:pPr>
      <w:keepNext/>
      <w:keepLines/>
      <w:spacing w:before="160"/>
      <w:ind w:left="794"/>
    </w:pPr>
    <w:rPr>
      <w:i/>
    </w:rPr>
  </w:style>
  <w:style w:type="paragraph" w:customStyle="1" w:styleId="ChapNo">
    <w:name w:val="Chap_No"/>
    <w:basedOn w:val="ArtNo"/>
    <w:next w:val="Chaptitle"/>
    <w:rsid w:val="00D72D3F"/>
    <w:rPr>
      <w:b/>
    </w:rPr>
  </w:style>
  <w:style w:type="paragraph" w:customStyle="1" w:styleId="Chaptitle">
    <w:name w:val="Chap_title"/>
    <w:basedOn w:val="Arttitle"/>
    <w:next w:val="Normalaftertitle"/>
    <w:rsid w:val="00D72D3F"/>
  </w:style>
  <w:style w:type="character" w:styleId="FootnoteReference">
    <w:name w:val="footnote reference"/>
    <w:aliases w:val="Footnote Reference/,Appel note de bas de p,Style 12,(NECG) Footnote Reference,Style 124"/>
    <w:basedOn w:val="DefaultParagraphFont"/>
    <w:rsid w:val="00D72D3F"/>
    <w:rPr>
      <w:position w:val="6"/>
      <w:sz w:val="18"/>
    </w:rPr>
  </w:style>
  <w:style w:type="paragraph" w:styleId="FootnoteText">
    <w:name w:val="footnote text"/>
    <w:basedOn w:val="Normal"/>
    <w:link w:val="FootnoteTextChar"/>
    <w:rsid w:val="00D72D3F"/>
    <w:pPr>
      <w:keepLines/>
      <w:tabs>
        <w:tab w:val="left" w:pos="255"/>
      </w:tabs>
      <w:ind w:left="255" w:hanging="255"/>
    </w:pPr>
    <w:rPr>
      <w:sz w:val="22"/>
    </w:rPr>
  </w:style>
  <w:style w:type="paragraph" w:styleId="Index1">
    <w:name w:val="index 1"/>
    <w:basedOn w:val="Normal"/>
    <w:next w:val="Normal"/>
    <w:semiHidden/>
    <w:rsid w:val="00D72D3F"/>
  </w:style>
  <w:style w:type="paragraph" w:styleId="Index2">
    <w:name w:val="index 2"/>
    <w:basedOn w:val="Normal"/>
    <w:next w:val="Normal"/>
    <w:semiHidden/>
    <w:rsid w:val="00D72D3F"/>
    <w:pPr>
      <w:ind w:left="283"/>
    </w:pPr>
  </w:style>
  <w:style w:type="paragraph" w:styleId="Index3">
    <w:name w:val="index 3"/>
    <w:basedOn w:val="Normal"/>
    <w:next w:val="Normal"/>
    <w:semiHidden/>
    <w:rsid w:val="00D72D3F"/>
    <w:pPr>
      <w:ind w:left="566"/>
    </w:pPr>
  </w:style>
  <w:style w:type="paragraph" w:styleId="IndexHeading">
    <w:name w:val="index heading"/>
    <w:basedOn w:val="Normal"/>
    <w:next w:val="Index1"/>
    <w:semiHidden/>
    <w:rsid w:val="00D72D3F"/>
  </w:style>
  <w:style w:type="paragraph" w:customStyle="1" w:styleId="Line">
    <w:name w:val="Line"/>
    <w:basedOn w:val="Normal"/>
    <w:next w:val="Normal"/>
    <w:rsid w:val="00D72D3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72D3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72D3F"/>
  </w:style>
  <w:style w:type="paragraph" w:customStyle="1" w:styleId="Partref">
    <w:name w:val="Part_ref"/>
    <w:basedOn w:val="Normal"/>
    <w:next w:val="Normal"/>
    <w:rsid w:val="00D72D3F"/>
    <w:pPr>
      <w:keepNext/>
      <w:keepLines/>
      <w:spacing w:after="280"/>
      <w:jc w:val="center"/>
    </w:pPr>
  </w:style>
  <w:style w:type="paragraph" w:customStyle="1" w:styleId="Parttitle">
    <w:name w:val="Part_title"/>
    <w:basedOn w:val="Normal"/>
    <w:next w:val="Normalaftertitle"/>
    <w:rsid w:val="00D72D3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72D3F"/>
  </w:style>
  <w:style w:type="paragraph" w:customStyle="1" w:styleId="QuestionNo">
    <w:name w:val="Question_No"/>
    <w:basedOn w:val="RecNo"/>
    <w:next w:val="Normal"/>
    <w:rsid w:val="00D72D3F"/>
  </w:style>
  <w:style w:type="paragraph" w:customStyle="1" w:styleId="Questionref">
    <w:name w:val="Question_ref"/>
    <w:basedOn w:val="Recref"/>
    <w:next w:val="Questiondate"/>
    <w:rsid w:val="00D72D3F"/>
  </w:style>
  <w:style w:type="paragraph" w:customStyle="1" w:styleId="Questiontitle">
    <w:name w:val="Question_title"/>
    <w:basedOn w:val="Normal"/>
    <w:next w:val="Questionref"/>
    <w:rsid w:val="00D72D3F"/>
  </w:style>
  <w:style w:type="paragraph" w:customStyle="1" w:styleId="Reftext">
    <w:name w:val="Ref_text"/>
    <w:basedOn w:val="Normal"/>
    <w:rsid w:val="00D72D3F"/>
    <w:pPr>
      <w:ind w:left="794" w:hanging="794"/>
    </w:pPr>
    <w:rPr>
      <w:sz w:val="22"/>
    </w:rPr>
  </w:style>
  <w:style w:type="paragraph" w:customStyle="1" w:styleId="Reftitle">
    <w:name w:val="Ref_title"/>
    <w:basedOn w:val="Normal"/>
    <w:next w:val="Reftext"/>
    <w:rsid w:val="00D72D3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72D3F"/>
  </w:style>
  <w:style w:type="paragraph" w:customStyle="1" w:styleId="RepNo">
    <w:name w:val="Rep_No"/>
    <w:basedOn w:val="RecNo"/>
    <w:next w:val="Reptitle"/>
    <w:rsid w:val="00D72D3F"/>
  </w:style>
  <w:style w:type="paragraph" w:customStyle="1" w:styleId="Repref">
    <w:name w:val="Rep_ref"/>
    <w:basedOn w:val="Recref"/>
    <w:next w:val="Repdate"/>
    <w:rsid w:val="00D72D3F"/>
  </w:style>
  <w:style w:type="paragraph" w:customStyle="1" w:styleId="Reptitle">
    <w:name w:val="Rep_title"/>
    <w:basedOn w:val="Rectitle"/>
    <w:next w:val="Repref"/>
    <w:rsid w:val="00D72D3F"/>
  </w:style>
  <w:style w:type="paragraph" w:customStyle="1" w:styleId="Resdate">
    <w:name w:val="Res_date"/>
    <w:basedOn w:val="Recdate"/>
    <w:next w:val="Normalaftertitle"/>
    <w:rsid w:val="00D72D3F"/>
  </w:style>
  <w:style w:type="paragraph" w:customStyle="1" w:styleId="ResNo">
    <w:name w:val="Res_No"/>
    <w:basedOn w:val="RecNo"/>
    <w:next w:val="Restitle"/>
    <w:rsid w:val="00D72D3F"/>
  </w:style>
  <w:style w:type="paragraph" w:customStyle="1" w:styleId="Resref">
    <w:name w:val="Res_ref"/>
    <w:basedOn w:val="Recref"/>
    <w:next w:val="Resdate"/>
    <w:rsid w:val="00D72D3F"/>
  </w:style>
  <w:style w:type="paragraph" w:customStyle="1" w:styleId="Restitle">
    <w:name w:val="Res_title"/>
    <w:basedOn w:val="Normal"/>
    <w:next w:val="Resref"/>
    <w:rsid w:val="00D72D3F"/>
    <w:pPr>
      <w:spacing w:before="240"/>
      <w:jc w:val="center"/>
    </w:pPr>
    <w:rPr>
      <w:b/>
      <w:sz w:val="28"/>
    </w:rPr>
  </w:style>
  <w:style w:type="paragraph" w:customStyle="1" w:styleId="SectionNo">
    <w:name w:val="Section_No"/>
    <w:basedOn w:val="Normal"/>
    <w:next w:val="Normal"/>
    <w:rsid w:val="00D72D3F"/>
  </w:style>
  <w:style w:type="paragraph" w:customStyle="1" w:styleId="Sectiontitle">
    <w:name w:val="Section_title"/>
    <w:basedOn w:val="Normal"/>
    <w:next w:val="Normalaftertitle"/>
    <w:rsid w:val="00D72D3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72D3F"/>
    <w:pPr>
      <w:tabs>
        <w:tab w:val="clear" w:pos="794"/>
        <w:tab w:val="clear" w:pos="1191"/>
        <w:tab w:val="clear" w:pos="1588"/>
        <w:tab w:val="clear" w:pos="1985"/>
        <w:tab w:val="right" w:pos="9611"/>
      </w:tabs>
    </w:pPr>
    <w:rPr>
      <w:i/>
    </w:rPr>
  </w:style>
  <w:style w:type="paragraph" w:styleId="TOC1">
    <w:name w:val="toc 1"/>
    <w:basedOn w:val="Normal"/>
    <w:semiHidden/>
    <w:rsid w:val="00D72D3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72D3F"/>
    <w:pPr>
      <w:tabs>
        <w:tab w:val="clear" w:pos="567"/>
        <w:tab w:val="left" w:pos="1276"/>
      </w:tabs>
      <w:spacing w:before="160"/>
      <w:ind w:left="1276" w:hanging="709"/>
    </w:pPr>
  </w:style>
  <w:style w:type="paragraph" w:styleId="TOC3">
    <w:name w:val="toc 3"/>
    <w:basedOn w:val="TOC2"/>
    <w:semiHidden/>
    <w:rsid w:val="00D72D3F"/>
    <w:pPr>
      <w:tabs>
        <w:tab w:val="clear" w:pos="1276"/>
        <w:tab w:val="left" w:pos="2155"/>
      </w:tabs>
      <w:ind w:left="2155" w:hanging="879"/>
    </w:pPr>
  </w:style>
  <w:style w:type="paragraph" w:styleId="TOC4">
    <w:name w:val="toc 4"/>
    <w:basedOn w:val="TOC3"/>
    <w:semiHidden/>
    <w:rsid w:val="00D72D3F"/>
    <w:pPr>
      <w:tabs>
        <w:tab w:val="left" w:pos="3261"/>
      </w:tabs>
      <w:spacing w:before="80"/>
      <w:ind w:left="3261" w:hanging="993"/>
    </w:pPr>
  </w:style>
  <w:style w:type="paragraph" w:styleId="TOC5">
    <w:name w:val="toc 5"/>
    <w:basedOn w:val="TOC4"/>
    <w:semiHidden/>
    <w:rsid w:val="00D72D3F"/>
  </w:style>
  <w:style w:type="paragraph" w:styleId="TOC6">
    <w:name w:val="toc 6"/>
    <w:basedOn w:val="TOC4"/>
    <w:semiHidden/>
    <w:rsid w:val="00D72D3F"/>
  </w:style>
  <w:style w:type="paragraph" w:styleId="TOC7">
    <w:name w:val="toc 7"/>
    <w:basedOn w:val="TOC4"/>
    <w:semiHidden/>
    <w:rsid w:val="00D72D3F"/>
  </w:style>
  <w:style w:type="paragraph" w:styleId="TOC8">
    <w:name w:val="toc 8"/>
    <w:basedOn w:val="TOC4"/>
    <w:semiHidden/>
    <w:rsid w:val="00D72D3F"/>
  </w:style>
  <w:style w:type="paragraph" w:customStyle="1" w:styleId="Rectitle">
    <w:name w:val="Rec_title"/>
    <w:basedOn w:val="Normal"/>
    <w:next w:val="Recref"/>
    <w:rsid w:val="00D72D3F"/>
    <w:pPr>
      <w:keepNext/>
      <w:keepLines/>
      <w:spacing w:before="240"/>
      <w:jc w:val="center"/>
    </w:pPr>
    <w:rPr>
      <w:b/>
      <w:sz w:val="28"/>
    </w:rPr>
  </w:style>
  <w:style w:type="paragraph" w:customStyle="1" w:styleId="Annexref">
    <w:name w:val="Annex_ref"/>
    <w:basedOn w:val="Normal"/>
    <w:next w:val="Normalaftertitle"/>
    <w:rsid w:val="00D72D3F"/>
    <w:pPr>
      <w:keepNext/>
      <w:keepLines/>
      <w:spacing w:after="280"/>
      <w:jc w:val="center"/>
    </w:pPr>
  </w:style>
  <w:style w:type="paragraph" w:customStyle="1" w:styleId="Appendixref">
    <w:name w:val="Appendix_ref"/>
    <w:basedOn w:val="Annexref"/>
    <w:next w:val="Normalaftertitle"/>
    <w:rsid w:val="00D72D3F"/>
  </w:style>
  <w:style w:type="paragraph" w:customStyle="1" w:styleId="Figuretitle">
    <w:name w:val="Figure_title"/>
    <w:basedOn w:val="Normal"/>
    <w:next w:val="Figure"/>
    <w:rsid w:val="00D72D3F"/>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D72D3F"/>
    <w:pPr>
      <w:keepNext/>
      <w:spacing w:before="0" w:after="120"/>
      <w:jc w:val="center"/>
    </w:pPr>
    <w:rPr>
      <w:b/>
    </w:rPr>
  </w:style>
  <w:style w:type="paragraph" w:customStyle="1" w:styleId="Summary">
    <w:name w:val="Summary"/>
    <w:basedOn w:val="Normal"/>
    <w:next w:val="Normalaftertitle"/>
    <w:autoRedefine/>
    <w:rsid w:val="00D72D3F"/>
    <w:pPr>
      <w:spacing w:after="480"/>
    </w:pPr>
    <w:rPr>
      <w:sz w:val="22"/>
      <w:lang w:val="es-ES_tradnl"/>
    </w:rPr>
  </w:style>
  <w:style w:type="paragraph" w:customStyle="1" w:styleId="TableLegendNote">
    <w:name w:val="Table_Legend_Note"/>
    <w:basedOn w:val="Tablelegend"/>
    <w:next w:val="Tablelegend"/>
    <w:rsid w:val="00D72D3F"/>
    <w:pPr>
      <w:ind w:left="-85" w:firstLine="0"/>
    </w:pPr>
    <w:rPr>
      <w:lang w:val="en-US"/>
    </w:rPr>
  </w:style>
  <w:style w:type="paragraph" w:customStyle="1" w:styleId="Figure">
    <w:name w:val="Figure"/>
    <w:basedOn w:val="FigureNo"/>
    <w:next w:val="Normal"/>
    <w:rsid w:val="00D72D3F"/>
    <w:pPr>
      <w:keepNext w:val="0"/>
      <w:spacing w:before="0" w:after="240"/>
    </w:pPr>
  </w:style>
  <w:style w:type="character" w:styleId="Hyperlink">
    <w:name w:val="Hyperlink"/>
    <w:basedOn w:val="DefaultParagraphFont"/>
    <w:rsid w:val="00D72D3F"/>
    <w:rPr>
      <w:color w:val="0000FF"/>
      <w:u w:val="single"/>
    </w:rPr>
  </w:style>
  <w:style w:type="character" w:customStyle="1" w:styleId="Heading1Char">
    <w:name w:val="Heading 1 Char"/>
    <w:basedOn w:val="DefaultParagraphFont"/>
    <w:link w:val="Heading1"/>
    <w:rsid w:val="00AD6982"/>
    <w:rPr>
      <w:b/>
      <w:sz w:val="24"/>
      <w:lang w:val="fr-FR" w:eastAsia="en-US"/>
    </w:rPr>
  </w:style>
  <w:style w:type="character" w:customStyle="1" w:styleId="Heading2Char">
    <w:name w:val="Heading 2 Char"/>
    <w:basedOn w:val="DefaultParagraphFont"/>
    <w:link w:val="Heading2"/>
    <w:rsid w:val="00AD6982"/>
    <w:rPr>
      <w:b/>
      <w:sz w:val="24"/>
      <w:lang w:val="fr-FR" w:eastAsia="en-US"/>
    </w:rPr>
  </w:style>
  <w:style w:type="character" w:customStyle="1" w:styleId="Heading3Char">
    <w:name w:val="Heading 3 Char"/>
    <w:basedOn w:val="DefaultParagraphFont"/>
    <w:link w:val="Heading3"/>
    <w:rsid w:val="00AD6982"/>
    <w:rPr>
      <w:b/>
      <w:sz w:val="24"/>
      <w:lang w:val="fr-FR" w:eastAsia="en-US"/>
    </w:rPr>
  </w:style>
  <w:style w:type="character" w:customStyle="1" w:styleId="FootnoteTextChar">
    <w:name w:val="Footnote Text Char"/>
    <w:basedOn w:val="DefaultParagraphFont"/>
    <w:link w:val="FootnoteText"/>
    <w:rsid w:val="00AD6982"/>
    <w:rPr>
      <w:sz w:val="22"/>
      <w:lang w:val="fr-FR" w:eastAsia="en-US"/>
    </w:rPr>
  </w:style>
  <w:style w:type="character" w:customStyle="1" w:styleId="TableheadChar">
    <w:name w:val="Table_head Char"/>
    <w:basedOn w:val="DefaultParagraphFont"/>
    <w:link w:val="Tablehead"/>
    <w:locked/>
    <w:rsid w:val="00AD6982"/>
    <w:rPr>
      <w:b/>
      <w:sz w:val="22"/>
      <w:lang w:val="fr-FR" w:eastAsia="en-US"/>
    </w:rPr>
  </w:style>
  <w:style w:type="character" w:customStyle="1" w:styleId="TabletextChar">
    <w:name w:val="Table_text Char"/>
    <w:basedOn w:val="DefaultParagraphFont"/>
    <w:link w:val="Tabletext"/>
    <w:locked/>
    <w:rsid w:val="00AD6982"/>
    <w:rPr>
      <w:sz w:val="22"/>
      <w:lang w:val="fr-FR" w:eastAsia="en-US"/>
    </w:rPr>
  </w:style>
  <w:style w:type="character" w:customStyle="1" w:styleId="enumlev1Char">
    <w:name w:val="enumlev1 Char"/>
    <w:basedOn w:val="DefaultParagraphFont"/>
    <w:link w:val="enumlev1"/>
    <w:rsid w:val="00AD6982"/>
    <w:rPr>
      <w:sz w:val="24"/>
      <w:lang w:val="fr-FR" w:eastAsia="en-US"/>
    </w:rPr>
  </w:style>
  <w:style w:type="character" w:customStyle="1" w:styleId="AnnexNoTitleChar">
    <w:name w:val="Annex_NoTitle Char"/>
    <w:basedOn w:val="DefaultParagraphFont"/>
    <w:link w:val="AnnexNoTitle"/>
    <w:rsid w:val="00AD6982"/>
    <w:rPr>
      <w:b/>
      <w:sz w:val="28"/>
      <w:lang w:val="fr-FR" w:eastAsia="en-US"/>
    </w:rPr>
  </w:style>
  <w:style w:type="paragraph" w:customStyle="1" w:styleId="Reasons">
    <w:name w:val="Reasons"/>
    <w:basedOn w:val="Normal"/>
    <w:qFormat/>
    <w:rsid w:val="00AD6982"/>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6.xml"/><Relationship Id="rId2" Type="http://schemas.microsoft.com/office/2007/relationships/stylesWithEffects" Target="stylesWithEffects.xml"/><Relationship Id="rId16" Type="http://schemas.openxmlformats.org/officeDocument/2006/relationships/header" Target="header5.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www.itu.int/publ/R-REC/e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wireless.fcc.gov/index.htm?job=rules_and_regulations" TargetMode="External"/><Relationship Id="rId2" Type="http://schemas.openxmlformats.org/officeDocument/2006/relationships/hyperlink" Target="http://wireless.fcc.gov/index.htm?job=rules_and_regulations" TargetMode="External"/><Relationship Id="rId1" Type="http://schemas.openxmlformats.org/officeDocument/2006/relationships/hyperlink" Target="http://www.ic.gc.ca/eic/site/smt-gst.nsf/eng/sf09553.html" TargetMode="External"/><Relationship Id="rId4" Type="http://schemas.openxmlformats.org/officeDocument/2006/relationships/hyperlink" Target="http://www.ic.gc.ca/eic/site/smt-gst.nsf/eng/sf00050.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rquizul\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Template>
  <TotalTime>234</TotalTime>
  <Pages>12</Pages>
  <Words>3547</Words>
  <Characters>19517</Characters>
  <Application>Microsoft Office Word</Application>
  <DocSecurity>0</DocSecurity>
  <Lines>162</Lines>
  <Paragraphs>46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23018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Urquizu, Luisa </dc:creator>
  <cp:keywords/>
  <dc:description/>
  <cp:lastModifiedBy>Martinez Romera, Angel</cp:lastModifiedBy>
  <cp:revision>46</cp:revision>
  <cp:lastPrinted>2013-02-11T13:31:00Z</cp:lastPrinted>
  <dcterms:created xsi:type="dcterms:W3CDTF">2013-01-23T10:13:00Z</dcterms:created>
  <dcterms:modified xsi:type="dcterms:W3CDTF">2013-02-12T07:59:00Z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