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F01" w:rsidRPr="00433347" w:rsidRDefault="006C1F01" w:rsidP="00433347">
      <w:bookmarkStart w:id="0" w:name="_GoBack"/>
      <w:bookmarkEnd w:id="0"/>
    </w:p>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p w:rsidR="006C1F01" w:rsidRPr="00433347" w:rsidRDefault="006C1F01" w:rsidP="00433347"/>
    <w:tbl>
      <w:tblPr>
        <w:tblW w:w="10089" w:type="dxa"/>
        <w:tblLook w:val="01E0" w:firstRow="1" w:lastRow="1" w:firstColumn="1" w:lastColumn="1" w:noHBand="0" w:noVBand="0"/>
      </w:tblPr>
      <w:tblGrid>
        <w:gridCol w:w="10089"/>
      </w:tblGrid>
      <w:tr w:rsidR="006C1F01" w:rsidRPr="00433347">
        <w:tc>
          <w:tcPr>
            <w:tcW w:w="10089" w:type="dxa"/>
          </w:tcPr>
          <w:p w:rsidR="006C1F01" w:rsidRPr="00433347" w:rsidRDefault="006C1F01" w:rsidP="00433347">
            <w:pPr>
              <w:spacing w:before="380"/>
              <w:jc w:val="right"/>
              <w:rPr>
                <w:rFonts w:ascii="Tahoma" w:hAnsi="Tahoma" w:cs="Tahoma"/>
                <w:b/>
                <w:bCs/>
                <w:iCs/>
                <w:color w:val="243285"/>
                <w:sz w:val="32"/>
                <w:szCs w:val="32"/>
              </w:rPr>
            </w:pPr>
          </w:p>
          <w:p w:rsidR="006C1F01" w:rsidRPr="00433347" w:rsidRDefault="006C1F01" w:rsidP="00433347">
            <w:pPr>
              <w:spacing w:before="380"/>
              <w:jc w:val="right"/>
              <w:rPr>
                <w:rFonts w:ascii="Tahoma" w:hAnsi="Tahoma" w:cs="Tahoma"/>
                <w:b/>
                <w:bCs/>
                <w:iCs/>
                <w:color w:val="243285"/>
                <w:sz w:val="36"/>
                <w:szCs w:val="36"/>
              </w:rPr>
            </w:pPr>
            <w:r w:rsidRPr="00433347">
              <w:rPr>
                <w:rFonts w:ascii="Tahoma" w:hAnsi="Tahoma" w:cs="Tahoma"/>
                <w:b/>
                <w:bCs/>
                <w:iCs/>
                <w:color w:val="243285"/>
                <w:sz w:val="36"/>
                <w:szCs w:val="36"/>
              </w:rPr>
              <w:t>Recommandation  UIT-R  M.</w:t>
            </w:r>
            <w:r w:rsidR="003829B3" w:rsidRPr="00433347">
              <w:rPr>
                <w:rFonts w:ascii="Tahoma" w:hAnsi="Tahoma" w:cs="Tahoma"/>
                <w:b/>
                <w:bCs/>
                <w:iCs/>
                <w:color w:val="243285"/>
                <w:sz w:val="36"/>
                <w:szCs w:val="36"/>
              </w:rPr>
              <w:t>2014</w:t>
            </w:r>
            <w:r w:rsidR="000961C8" w:rsidRPr="00433347">
              <w:rPr>
                <w:rFonts w:ascii="Tahoma" w:hAnsi="Tahoma" w:cs="Tahoma"/>
                <w:b/>
                <w:bCs/>
                <w:iCs/>
                <w:color w:val="243285"/>
                <w:sz w:val="36"/>
                <w:szCs w:val="36"/>
              </w:rPr>
              <w:t>-1</w:t>
            </w:r>
          </w:p>
          <w:p w:rsidR="006C1F01" w:rsidRPr="00433347" w:rsidRDefault="006C1F01" w:rsidP="00433347">
            <w:pPr>
              <w:spacing w:before="80"/>
              <w:jc w:val="right"/>
              <w:rPr>
                <w:rFonts w:ascii="Tahoma" w:hAnsi="Tahoma" w:cs="Tahoma"/>
                <w:b/>
                <w:bCs/>
                <w:iCs/>
                <w:color w:val="243285"/>
                <w:szCs w:val="24"/>
              </w:rPr>
            </w:pPr>
            <w:r w:rsidRPr="00433347">
              <w:rPr>
                <w:rFonts w:ascii="Tahoma" w:hAnsi="Tahoma" w:cs="Tahoma"/>
                <w:b/>
                <w:bCs/>
                <w:iCs/>
                <w:color w:val="243285"/>
                <w:szCs w:val="24"/>
              </w:rPr>
              <w:t>(</w:t>
            </w:r>
            <w:r w:rsidR="000961C8" w:rsidRPr="00433347">
              <w:rPr>
                <w:rFonts w:ascii="Tahoma" w:hAnsi="Tahoma" w:cs="Tahoma"/>
                <w:b/>
                <w:bCs/>
                <w:iCs/>
                <w:color w:val="243285"/>
                <w:szCs w:val="24"/>
              </w:rPr>
              <w:t>09/2015</w:t>
            </w:r>
            <w:r w:rsidRPr="00433347">
              <w:rPr>
                <w:rFonts w:ascii="Tahoma" w:hAnsi="Tahoma" w:cs="Tahoma"/>
                <w:b/>
                <w:bCs/>
                <w:iCs/>
                <w:color w:val="243285"/>
                <w:szCs w:val="24"/>
              </w:rPr>
              <w:t>)</w:t>
            </w:r>
          </w:p>
        </w:tc>
      </w:tr>
      <w:tr w:rsidR="006C1F01" w:rsidRPr="00433347">
        <w:tc>
          <w:tcPr>
            <w:tcW w:w="10089" w:type="dxa"/>
          </w:tcPr>
          <w:p w:rsidR="006C1F01" w:rsidRPr="00433347" w:rsidRDefault="006C1F01" w:rsidP="00433347">
            <w:pPr>
              <w:spacing w:before="80"/>
              <w:jc w:val="right"/>
              <w:rPr>
                <w:rFonts w:ascii="Tahoma" w:hAnsi="Tahoma" w:cs="Tahoma"/>
                <w:b/>
                <w:bCs/>
                <w:iCs/>
                <w:color w:val="243285"/>
                <w:sz w:val="44"/>
                <w:szCs w:val="44"/>
              </w:rPr>
            </w:pPr>
          </w:p>
          <w:p w:rsidR="006C1F01" w:rsidRPr="00433347" w:rsidRDefault="00752506" w:rsidP="00433347">
            <w:pPr>
              <w:spacing w:before="80"/>
              <w:jc w:val="right"/>
              <w:rPr>
                <w:rFonts w:ascii="Tahoma" w:hAnsi="Tahoma" w:cs="Tahoma"/>
                <w:b/>
                <w:bCs/>
                <w:iCs/>
                <w:color w:val="243285"/>
                <w:sz w:val="44"/>
                <w:szCs w:val="44"/>
              </w:rPr>
            </w:pPr>
            <w:r w:rsidRPr="00433347">
              <w:rPr>
                <w:rFonts w:ascii="Tahoma" w:hAnsi="Tahoma" w:cs="Tahoma"/>
                <w:b/>
                <w:bCs/>
                <w:iCs/>
                <w:color w:val="243285"/>
                <w:sz w:val="44"/>
                <w:szCs w:val="44"/>
              </w:rPr>
              <w:t>Circulation à l'échelle mondiale des terminaux de satellite IMT</w:t>
            </w:r>
          </w:p>
          <w:p w:rsidR="006C1F01" w:rsidRPr="00433347" w:rsidRDefault="006C1F01" w:rsidP="00433347">
            <w:pPr>
              <w:spacing w:before="80"/>
              <w:jc w:val="right"/>
              <w:rPr>
                <w:rFonts w:ascii="Tahoma" w:hAnsi="Tahoma" w:cs="Tahoma"/>
                <w:b/>
                <w:bCs/>
                <w:iCs/>
                <w:color w:val="243285"/>
                <w:sz w:val="44"/>
                <w:szCs w:val="44"/>
              </w:rPr>
            </w:pPr>
          </w:p>
        </w:tc>
      </w:tr>
      <w:tr w:rsidR="006C1F01" w:rsidRPr="00433347">
        <w:tc>
          <w:tcPr>
            <w:tcW w:w="10089" w:type="dxa"/>
          </w:tcPr>
          <w:p w:rsidR="006C1F01" w:rsidRPr="00433347" w:rsidRDefault="006C1F01" w:rsidP="00433347">
            <w:pPr>
              <w:spacing w:before="80"/>
              <w:ind w:right="640"/>
              <w:rPr>
                <w:rFonts w:ascii="Tahoma" w:hAnsi="Tahoma" w:cs="Tahoma"/>
                <w:b/>
                <w:bCs/>
                <w:iCs/>
                <w:color w:val="243285"/>
                <w:sz w:val="32"/>
                <w:szCs w:val="32"/>
              </w:rPr>
            </w:pPr>
          </w:p>
          <w:p w:rsidR="006C1F01" w:rsidRPr="00433347" w:rsidRDefault="006C1F01" w:rsidP="00433347">
            <w:pPr>
              <w:spacing w:before="80"/>
              <w:ind w:right="640"/>
              <w:rPr>
                <w:rFonts w:ascii="Tahoma" w:hAnsi="Tahoma" w:cs="Tahoma"/>
                <w:b/>
                <w:bCs/>
                <w:iCs/>
                <w:color w:val="243285"/>
                <w:sz w:val="32"/>
                <w:szCs w:val="32"/>
              </w:rPr>
            </w:pPr>
          </w:p>
          <w:p w:rsidR="006C1F01" w:rsidRPr="00433347" w:rsidRDefault="006C1F01" w:rsidP="00433347">
            <w:pPr>
              <w:spacing w:before="80" w:after="180"/>
              <w:ind w:right="720"/>
              <w:rPr>
                <w:rFonts w:ascii="Tahoma" w:hAnsi="Tahoma" w:cs="Tahoma"/>
                <w:b/>
                <w:bCs/>
                <w:iCs/>
                <w:color w:val="243285"/>
                <w:sz w:val="36"/>
                <w:szCs w:val="36"/>
              </w:rPr>
            </w:pPr>
          </w:p>
          <w:p w:rsidR="006C1F01" w:rsidRPr="00433347" w:rsidRDefault="006C1F01" w:rsidP="00433347">
            <w:pPr>
              <w:spacing w:before="80" w:after="180"/>
              <w:jc w:val="right"/>
              <w:rPr>
                <w:rFonts w:ascii="Tahoma" w:hAnsi="Tahoma" w:cs="Tahoma"/>
                <w:b/>
                <w:bCs/>
                <w:iCs/>
                <w:color w:val="243285"/>
                <w:sz w:val="36"/>
                <w:szCs w:val="36"/>
              </w:rPr>
            </w:pPr>
            <w:r w:rsidRPr="00433347">
              <w:rPr>
                <w:rFonts w:ascii="Tahoma" w:hAnsi="Tahoma" w:cs="Tahoma"/>
                <w:b/>
                <w:bCs/>
                <w:iCs/>
                <w:color w:val="243285"/>
                <w:sz w:val="36"/>
                <w:szCs w:val="36"/>
              </w:rPr>
              <w:t>Série M</w:t>
            </w:r>
          </w:p>
          <w:p w:rsidR="006C1F01" w:rsidRPr="00433347" w:rsidRDefault="006C1F01" w:rsidP="00433347">
            <w:pPr>
              <w:spacing w:before="80"/>
              <w:jc w:val="right"/>
              <w:rPr>
                <w:rFonts w:ascii="Tahoma" w:hAnsi="Tahoma" w:cs="Tahoma"/>
                <w:b/>
                <w:bCs/>
                <w:iCs/>
                <w:color w:val="243285"/>
                <w:sz w:val="36"/>
                <w:szCs w:val="36"/>
              </w:rPr>
            </w:pPr>
            <w:r w:rsidRPr="00433347">
              <w:rPr>
                <w:rFonts w:ascii="Tahoma" w:hAnsi="Tahoma" w:cs="Tahoma"/>
                <w:b/>
                <w:bCs/>
                <w:iCs/>
                <w:color w:val="243285"/>
                <w:sz w:val="36"/>
                <w:szCs w:val="36"/>
              </w:rPr>
              <w:t>Services mobile, de radiorepérage et d’amateur</w:t>
            </w:r>
            <w:r w:rsidRPr="00433347">
              <w:rPr>
                <w:rFonts w:ascii="Tahoma" w:hAnsi="Tahoma" w:cs="Tahoma"/>
                <w:b/>
                <w:bCs/>
                <w:iCs/>
                <w:color w:val="243285"/>
                <w:sz w:val="36"/>
                <w:szCs w:val="36"/>
              </w:rPr>
              <w:br/>
              <w:t>y compris les services par satellite associés</w:t>
            </w:r>
          </w:p>
        </w:tc>
      </w:tr>
    </w:tbl>
    <w:p w:rsidR="006C1F01" w:rsidRPr="00433347" w:rsidRDefault="006C1F01" w:rsidP="00433347">
      <w:pPr>
        <w:spacing w:before="80"/>
        <w:rPr>
          <w:i/>
          <w:sz w:val="22"/>
        </w:rPr>
      </w:pPr>
    </w:p>
    <w:p w:rsidR="006C1F01" w:rsidRPr="00433347" w:rsidRDefault="006C1F01" w:rsidP="00433347">
      <w:pPr>
        <w:spacing w:before="80"/>
        <w:rPr>
          <w:i/>
          <w:sz w:val="22"/>
        </w:rPr>
      </w:pPr>
    </w:p>
    <w:p w:rsidR="006C1F01" w:rsidRPr="00433347" w:rsidRDefault="006C1F01" w:rsidP="00433347">
      <w:pPr>
        <w:spacing w:before="80"/>
        <w:rPr>
          <w:i/>
          <w:sz w:val="22"/>
        </w:rPr>
      </w:pPr>
    </w:p>
    <w:p w:rsidR="006C1F01" w:rsidRPr="00433347" w:rsidRDefault="006C1F01" w:rsidP="00433347">
      <w:pPr>
        <w:spacing w:before="80"/>
        <w:rPr>
          <w:i/>
          <w:sz w:val="22"/>
        </w:rPr>
      </w:pPr>
    </w:p>
    <w:p w:rsidR="006C1F01" w:rsidRPr="00433347" w:rsidRDefault="006C1F01" w:rsidP="00433347">
      <w:pPr>
        <w:spacing w:before="80"/>
        <w:rPr>
          <w:i/>
          <w:sz w:val="22"/>
        </w:rPr>
      </w:pPr>
    </w:p>
    <w:p w:rsidR="006C1F01" w:rsidRPr="00433347" w:rsidRDefault="006C1F01" w:rsidP="00433347">
      <w:pPr>
        <w:spacing w:before="80"/>
        <w:rPr>
          <w:i/>
          <w:sz w:val="22"/>
        </w:rPr>
      </w:pPr>
    </w:p>
    <w:p w:rsidR="006C1F01" w:rsidRPr="00433347" w:rsidRDefault="006C1F01" w:rsidP="00433347">
      <w:pPr>
        <w:pStyle w:val="Equation"/>
        <w:tabs>
          <w:tab w:val="clear" w:pos="4820"/>
          <w:tab w:val="clear" w:pos="9639"/>
          <w:tab w:val="left" w:pos="1191"/>
          <w:tab w:val="left" w:pos="1588"/>
          <w:tab w:val="left" w:pos="1985"/>
        </w:tabs>
        <w:rPr>
          <w:rFonts w:ascii="Palatino Linotype" w:hAnsi="Palatino Linotype"/>
        </w:rPr>
        <w:sectPr w:rsidR="006C1F01" w:rsidRPr="00433347" w:rsidSect="0005004B">
          <w:headerReference w:type="even" r:id="rId6"/>
          <w:headerReference w:type="default" r:id="rId7"/>
          <w:footerReference w:type="first" r:id="rId8"/>
          <w:pgSz w:w="11907" w:h="16834" w:code="9"/>
          <w:pgMar w:top="1418" w:right="1134" w:bottom="1134" w:left="1134" w:header="720" w:footer="482" w:gutter="0"/>
          <w:paperSrc w:first="15" w:other="15"/>
          <w:cols w:space="720"/>
        </w:sectPr>
      </w:pPr>
    </w:p>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33347">
        <w:rPr>
          <w:bCs/>
          <w:sz w:val="24"/>
          <w:szCs w:val="24"/>
        </w:rPr>
        <w:lastRenderedPageBreak/>
        <w:t>Avant-propos</w:t>
      </w:r>
    </w:p>
    <w:p w:rsidR="006C1F01" w:rsidRPr="00433347" w:rsidRDefault="006C1F01" w:rsidP="00433347">
      <w:pPr>
        <w:spacing w:before="240"/>
        <w:rPr>
          <w:sz w:val="20"/>
        </w:rPr>
      </w:pPr>
      <w:r w:rsidRPr="00433347">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1F01" w:rsidRPr="00433347" w:rsidRDefault="006C1F01" w:rsidP="00433347">
      <w:pPr>
        <w:rPr>
          <w:sz w:val="20"/>
        </w:rPr>
      </w:pPr>
      <w:r w:rsidRPr="00433347">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6C1F01" w:rsidRPr="00433347" w:rsidRDefault="006C1F01" w:rsidP="00433347">
      <w:pPr>
        <w:pStyle w:val="Heading1"/>
        <w:spacing w:before="360"/>
        <w:jc w:val="center"/>
        <w:rPr>
          <w:szCs w:val="24"/>
        </w:rPr>
      </w:pPr>
      <w:r w:rsidRPr="00433347">
        <w:rPr>
          <w:szCs w:val="24"/>
        </w:rPr>
        <w:t>Politique en matière de droits de propriété intellectuelle (IPR)</w:t>
      </w:r>
    </w:p>
    <w:p w:rsidR="006C1F01" w:rsidRPr="00433347" w:rsidRDefault="006C1F01" w:rsidP="00433347">
      <w:pPr>
        <w:spacing w:before="240"/>
        <w:rPr>
          <w:sz w:val="20"/>
        </w:rPr>
      </w:pPr>
      <w:r w:rsidRPr="00433347">
        <w:rPr>
          <w:sz w:val="20"/>
        </w:rPr>
        <w:t>La politique de l'UIT</w:t>
      </w:r>
      <w:r w:rsidRPr="00433347">
        <w:rPr>
          <w:sz w:val="20"/>
        </w:rPr>
        <w:noBreakHyphen/>
        <w:t>R en matière de droits de propriété intellectuelle est décrite dans la «Politique commune de l'UIT</w:t>
      </w:r>
      <w:r w:rsidRPr="00433347">
        <w:rPr>
          <w:sz w:val="20"/>
        </w:rPr>
        <w:noBreakHyphen/>
        <w:t>T, l'UIT</w:t>
      </w:r>
      <w:r w:rsidRPr="00433347">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433347">
          <w:rPr>
            <w:rStyle w:val="Hyperlink"/>
            <w:sz w:val="20"/>
          </w:rPr>
          <w:t>http://www.itu.int/ITU-R/go/patents/fr</w:t>
        </w:r>
      </w:hyperlink>
      <w:r w:rsidRPr="00433347">
        <w:rPr>
          <w:sz w:val="20"/>
        </w:rPr>
        <w:t>, où l'on trouvera également les Lignes directrices pour la mise en oeuvre de la politique commune en matière de brevets de l'UIT</w:t>
      </w:r>
      <w:r w:rsidRPr="00433347">
        <w:rPr>
          <w:sz w:val="20"/>
        </w:rPr>
        <w:noBreakHyphen/>
        <w:t>T, l'UIT</w:t>
      </w:r>
      <w:r w:rsidRPr="00433347">
        <w:rPr>
          <w:sz w:val="20"/>
        </w:rPr>
        <w:noBreakHyphen/>
        <w:t>R, l'ISO et la CEI</w:t>
      </w:r>
      <w:r w:rsidRPr="00433347" w:rsidDel="0061025C">
        <w:rPr>
          <w:sz w:val="20"/>
        </w:rPr>
        <w:t xml:space="preserve"> </w:t>
      </w:r>
      <w:r w:rsidRPr="00433347">
        <w:rPr>
          <w:sz w:val="20"/>
        </w:rPr>
        <w:t>et la base de données en matière de brevets de l'UIT-R.</w:t>
      </w:r>
    </w:p>
    <w:p w:rsidR="006C1F01" w:rsidRPr="00433347" w:rsidRDefault="006C1F01" w:rsidP="0043334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1F01" w:rsidRPr="00433347">
        <w:tc>
          <w:tcPr>
            <w:tcW w:w="9360" w:type="dxa"/>
            <w:gridSpan w:val="2"/>
          </w:tcPr>
          <w:p w:rsidR="006C1F01" w:rsidRPr="00433347" w:rsidRDefault="006C1F01" w:rsidP="00433347">
            <w:pPr>
              <w:pStyle w:val="Chaptitle"/>
              <w:keepLines w:val="0"/>
              <w:tabs>
                <w:tab w:val="clear" w:pos="794"/>
                <w:tab w:val="clear" w:pos="1191"/>
                <w:tab w:val="clear" w:pos="1588"/>
                <w:tab w:val="clear" w:pos="1985"/>
              </w:tabs>
              <w:overflowPunct/>
              <w:spacing w:before="140"/>
              <w:textAlignment w:val="auto"/>
              <w:rPr>
                <w:sz w:val="22"/>
                <w:szCs w:val="22"/>
              </w:rPr>
            </w:pPr>
            <w:r w:rsidRPr="00433347">
              <w:rPr>
                <w:sz w:val="22"/>
                <w:szCs w:val="22"/>
              </w:rPr>
              <w:t xml:space="preserve">Séries des Recommandations UIT-R </w:t>
            </w:r>
          </w:p>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33347">
              <w:rPr>
                <w:b w:val="0"/>
                <w:sz w:val="18"/>
                <w:szCs w:val="18"/>
              </w:rPr>
              <w:t xml:space="preserve">(Egalement disponible en ligne: </w:t>
            </w:r>
            <w:hyperlink r:id="rId10" w:history="1">
              <w:r w:rsidRPr="00433347">
                <w:rPr>
                  <w:rStyle w:val="Hyperlink"/>
                  <w:b w:val="0"/>
                  <w:bCs/>
                  <w:sz w:val="18"/>
                  <w:szCs w:val="18"/>
                </w:rPr>
                <w:t>http://www.itu.int/publ/R-REC/fr</w:t>
              </w:r>
            </w:hyperlink>
            <w:r w:rsidRPr="00433347">
              <w:rPr>
                <w:b w:val="0"/>
                <w:bCs/>
                <w:sz w:val="18"/>
                <w:szCs w:val="18"/>
              </w:rPr>
              <w:t>)</w:t>
            </w:r>
          </w:p>
        </w:tc>
      </w:tr>
      <w:tr w:rsidR="006C1F01" w:rsidRPr="00433347">
        <w:tc>
          <w:tcPr>
            <w:tcW w:w="1140" w:type="dxa"/>
          </w:tcPr>
          <w:p w:rsidR="006C1F01" w:rsidRPr="00433347" w:rsidRDefault="006C1F01" w:rsidP="00433347">
            <w:pPr>
              <w:spacing w:before="90" w:after="100"/>
              <w:ind w:left="57"/>
              <w:rPr>
                <w:b/>
                <w:bCs/>
                <w:sz w:val="20"/>
              </w:rPr>
            </w:pPr>
            <w:r w:rsidRPr="00433347">
              <w:rPr>
                <w:b/>
                <w:bCs/>
                <w:sz w:val="20"/>
              </w:rPr>
              <w:t>Séries</w:t>
            </w:r>
          </w:p>
        </w:tc>
        <w:tc>
          <w:tcPr>
            <w:tcW w:w="8220" w:type="dxa"/>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33347">
              <w:rPr>
                <w:bCs/>
                <w:sz w:val="20"/>
              </w:rPr>
              <w:t>Titre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BO</w:t>
            </w:r>
          </w:p>
        </w:tc>
        <w:tc>
          <w:tcPr>
            <w:tcW w:w="8220" w:type="dxa"/>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3347">
              <w:rPr>
                <w:b w:val="0"/>
                <w:bCs/>
                <w:sz w:val="20"/>
              </w:rPr>
              <w:t>Diffusion par satellite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BR</w:t>
            </w:r>
          </w:p>
        </w:tc>
        <w:tc>
          <w:tcPr>
            <w:tcW w:w="8220" w:type="dxa"/>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3347">
              <w:rPr>
                <w:b w:val="0"/>
                <w:bCs/>
                <w:sz w:val="20"/>
              </w:rPr>
              <w:t>Enregistrement pour la production, l'archivage et la diffusion; films pour la télévision</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BS</w:t>
            </w:r>
          </w:p>
        </w:tc>
        <w:tc>
          <w:tcPr>
            <w:tcW w:w="8220" w:type="dxa"/>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3347">
              <w:rPr>
                <w:b w:val="0"/>
                <w:bCs/>
                <w:sz w:val="20"/>
              </w:rPr>
              <w:t>Service de radiodiffusion sonore</w:t>
            </w:r>
          </w:p>
        </w:tc>
      </w:tr>
      <w:tr w:rsidR="006C1F01" w:rsidRPr="00433347">
        <w:tc>
          <w:tcPr>
            <w:tcW w:w="1140" w:type="dxa"/>
            <w:shd w:val="clear" w:color="auto" w:fill="auto"/>
          </w:tcPr>
          <w:p w:rsidR="006C1F01" w:rsidRPr="00433347" w:rsidRDefault="006C1F01" w:rsidP="00433347">
            <w:pPr>
              <w:spacing w:before="30" w:after="30"/>
              <w:ind w:left="57"/>
              <w:jc w:val="left"/>
              <w:rPr>
                <w:b/>
                <w:bCs/>
                <w:sz w:val="20"/>
              </w:rPr>
            </w:pPr>
            <w:r w:rsidRPr="00433347">
              <w:rPr>
                <w:b/>
                <w:bCs/>
                <w:sz w:val="20"/>
              </w:rPr>
              <w:t>BT</w:t>
            </w:r>
          </w:p>
        </w:tc>
        <w:tc>
          <w:tcPr>
            <w:tcW w:w="8220" w:type="dxa"/>
            <w:shd w:val="clear" w:color="auto" w:fill="auto"/>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3347">
              <w:rPr>
                <w:b w:val="0"/>
                <w:bCs/>
                <w:sz w:val="20"/>
              </w:rPr>
              <w:t>Service de radiodiffusion télévisuelle</w:t>
            </w:r>
          </w:p>
        </w:tc>
      </w:tr>
      <w:tr w:rsidR="006C1F01" w:rsidRPr="00433347">
        <w:tc>
          <w:tcPr>
            <w:tcW w:w="1140" w:type="dxa"/>
            <w:shd w:val="clear" w:color="auto" w:fill="auto"/>
          </w:tcPr>
          <w:p w:rsidR="006C1F01" w:rsidRPr="00433347" w:rsidRDefault="006C1F01" w:rsidP="00433347">
            <w:pPr>
              <w:spacing w:before="30" w:after="30"/>
              <w:ind w:left="57"/>
              <w:jc w:val="left"/>
              <w:rPr>
                <w:b/>
                <w:bCs/>
                <w:sz w:val="20"/>
              </w:rPr>
            </w:pPr>
            <w:r w:rsidRPr="00433347">
              <w:rPr>
                <w:b/>
                <w:bCs/>
                <w:sz w:val="20"/>
              </w:rPr>
              <w:t>F</w:t>
            </w:r>
          </w:p>
        </w:tc>
        <w:tc>
          <w:tcPr>
            <w:tcW w:w="8220" w:type="dxa"/>
            <w:shd w:val="clear" w:color="auto" w:fill="auto"/>
          </w:tcPr>
          <w:p w:rsidR="006C1F01" w:rsidRPr="00433347" w:rsidRDefault="006C1F01" w:rsidP="004333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3347">
              <w:rPr>
                <w:sz w:val="20"/>
              </w:rPr>
              <w:t>Service fixe</w:t>
            </w:r>
          </w:p>
        </w:tc>
      </w:tr>
      <w:tr w:rsidR="006C1F01" w:rsidRPr="00433347">
        <w:tc>
          <w:tcPr>
            <w:tcW w:w="1140" w:type="dxa"/>
            <w:shd w:val="clear" w:color="auto" w:fill="F3F3F3"/>
          </w:tcPr>
          <w:p w:rsidR="006C1F01" w:rsidRPr="00433347" w:rsidRDefault="006C1F01" w:rsidP="00433347">
            <w:pPr>
              <w:spacing w:before="30" w:after="30"/>
              <w:ind w:left="57"/>
              <w:jc w:val="left"/>
              <w:rPr>
                <w:b/>
                <w:bCs/>
                <w:color w:val="000080"/>
                <w:sz w:val="20"/>
              </w:rPr>
            </w:pPr>
            <w:r w:rsidRPr="00433347">
              <w:rPr>
                <w:b/>
                <w:bCs/>
                <w:color w:val="000080"/>
                <w:sz w:val="20"/>
              </w:rPr>
              <w:t>M</w:t>
            </w:r>
          </w:p>
        </w:tc>
        <w:tc>
          <w:tcPr>
            <w:tcW w:w="8220" w:type="dxa"/>
            <w:shd w:val="clear" w:color="auto" w:fill="F3F3F3"/>
          </w:tcPr>
          <w:p w:rsidR="006C1F01" w:rsidRPr="00433347" w:rsidRDefault="006C1F01" w:rsidP="004333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33347">
              <w:rPr>
                <w:bCs/>
                <w:color w:val="000080"/>
                <w:sz w:val="20"/>
              </w:rPr>
              <w:t>Services mobile, de radiorepérage et d'amateur y compris les services par satellite associés</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P</w:t>
            </w:r>
          </w:p>
        </w:tc>
        <w:tc>
          <w:tcPr>
            <w:tcW w:w="8220" w:type="dxa"/>
          </w:tcPr>
          <w:p w:rsidR="006C1F01" w:rsidRPr="00433347" w:rsidRDefault="006C1F01" w:rsidP="00433347">
            <w:pPr>
              <w:spacing w:before="30" w:after="30"/>
              <w:jc w:val="left"/>
              <w:rPr>
                <w:sz w:val="20"/>
              </w:rPr>
            </w:pPr>
            <w:r w:rsidRPr="00433347">
              <w:rPr>
                <w:sz w:val="20"/>
              </w:rPr>
              <w:t>Propagation des ondes radioélectriques</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RA</w:t>
            </w:r>
          </w:p>
        </w:tc>
        <w:tc>
          <w:tcPr>
            <w:tcW w:w="8220" w:type="dxa"/>
          </w:tcPr>
          <w:p w:rsidR="006C1F01" w:rsidRPr="00433347" w:rsidRDefault="006C1F01" w:rsidP="004333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3347">
              <w:rPr>
                <w:sz w:val="20"/>
              </w:rPr>
              <w:t>Radio astronomie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RS</w:t>
            </w:r>
          </w:p>
        </w:tc>
        <w:tc>
          <w:tcPr>
            <w:tcW w:w="8220" w:type="dxa"/>
          </w:tcPr>
          <w:p w:rsidR="006C1F01" w:rsidRPr="00433347" w:rsidRDefault="006C1F01" w:rsidP="004333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3347">
              <w:rPr>
                <w:sz w:val="20"/>
              </w:rPr>
              <w:t>Systèmes de télédétection</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S</w:t>
            </w:r>
          </w:p>
        </w:tc>
        <w:tc>
          <w:tcPr>
            <w:tcW w:w="8220" w:type="dxa"/>
          </w:tcPr>
          <w:p w:rsidR="006C1F01" w:rsidRPr="00433347" w:rsidRDefault="006C1F01" w:rsidP="00433347">
            <w:pPr>
              <w:spacing w:before="30" w:after="30"/>
              <w:jc w:val="left"/>
              <w:rPr>
                <w:sz w:val="20"/>
              </w:rPr>
            </w:pPr>
            <w:r w:rsidRPr="00433347">
              <w:rPr>
                <w:sz w:val="20"/>
              </w:rPr>
              <w:t>Service fixe par satellite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SA</w:t>
            </w:r>
          </w:p>
        </w:tc>
        <w:tc>
          <w:tcPr>
            <w:tcW w:w="8220" w:type="dxa"/>
          </w:tcPr>
          <w:p w:rsidR="006C1F01" w:rsidRPr="00433347" w:rsidRDefault="006C1F01" w:rsidP="00433347">
            <w:pPr>
              <w:spacing w:before="30" w:after="30"/>
              <w:jc w:val="left"/>
              <w:rPr>
                <w:sz w:val="20"/>
              </w:rPr>
            </w:pPr>
            <w:r w:rsidRPr="00433347">
              <w:rPr>
                <w:sz w:val="20"/>
              </w:rPr>
              <w:t>Applications spatiales et météorologie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SF</w:t>
            </w:r>
          </w:p>
        </w:tc>
        <w:tc>
          <w:tcPr>
            <w:tcW w:w="8220" w:type="dxa"/>
          </w:tcPr>
          <w:p w:rsidR="006C1F01" w:rsidRPr="00433347" w:rsidRDefault="006C1F01" w:rsidP="00433347">
            <w:pPr>
              <w:spacing w:before="30" w:after="30"/>
              <w:jc w:val="left"/>
              <w:rPr>
                <w:sz w:val="20"/>
              </w:rPr>
            </w:pPr>
            <w:r w:rsidRPr="00433347">
              <w:rPr>
                <w:sz w:val="20"/>
              </w:rPr>
              <w:t>Partage des fréquences et coordination entre les systèmes du service fixe par satellite et du service fixe</w:t>
            </w:r>
          </w:p>
        </w:tc>
      </w:tr>
      <w:tr w:rsidR="006C1F01" w:rsidRPr="00433347">
        <w:tc>
          <w:tcPr>
            <w:tcW w:w="1140" w:type="dxa"/>
            <w:shd w:val="clear" w:color="auto" w:fill="auto"/>
          </w:tcPr>
          <w:p w:rsidR="006C1F01" w:rsidRPr="00433347" w:rsidRDefault="006C1F01" w:rsidP="00433347">
            <w:pPr>
              <w:spacing w:before="30" w:after="30"/>
              <w:ind w:left="57"/>
              <w:jc w:val="left"/>
              <w:rPr>
                <w:b/>
                <w:bCs/>
                <w:sz w:val="20"/>
              </w:rPr>
            </w:pPr>
            <w:r w:rsidRPr="00433347">
              <w:rPr>
                <w:b/>
                <w:bCs/>
                <w:sz w:val="20"/>
              </w:rPr>
              <w:t>SM</w:t>
            </w:r>
          </w:p>
        </w:tc>
        <w:tc>
          <w:tcPr>
            <w:tcW w:w="8220" w:type="dxa"/>
            <w:shd w:val="clear" w:color="auto" w:fill="auto"/>
          </w:tcPr>
          <w:p w:rsidR="006C1F01" w:rsidRPr="00433347" w:rsidRDefault="006C1F01" w:rsidP="00433347">
            <w:pPr>
              <w:spacing w:before="30" w:after="30"/>
              <w:jc w:val="left"/>
              <w:rPr>
                <w:sz w:val="20"/>
              </w:rPr>
            </w:pPr>
            <w:r w:rsidRPr="00433347">
              <w:rPr>
                <w:sz w:val="20"/>
              </w:rPr>
              <w:t>Gestion du spectre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SNG</w:t>
            </w:r>
          </w:p>
        </w:tc>
        <w:tc>
          <w:tcPr>
            <w:tcW w:w="8220" w:type="dxa"/>
          </w:tcPr>
          <w:p w:rsidR="006C1F01" w:rsidRPr="00433347" w:rsidRDefault="006C1F01" w:rsidP="00433347">
            <w:pPr>
              <w:spacing w:before="30" w:after="30"/>
              <w:jc w:val="left"/>
              <w:rPr>
                <w:sz w:val="20"/>
              </w:rPr>
            </w:pPr>
            <w:r w:rsidRPr="00433347">
              <w:rPr>
                <w:sz w:val="20"/>
              </w:rPr>
              <w:t>Reportage d'actualités par satellite</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TF</w:t>
            </w:r>
          </w:p>
        </w:tc>
        <w:tc>
          <w:tcPr>
            <w:tcW w:w="8220" w:type="dxa"/>
          </w:tcPr>
          <w:p w:rsidR="006C1F01" w:rsidRPr="00433347" w:rsidRDefault="006C1F01" w:rsidP="00433347">
            <w:pPr>
              <w:spacing w:before="30" w:after="30"/>
              <w:jc w:val="left"/>
              <w:rPr>
                <w:sz w:val="20"/>
              </w:rPr>
            </w:pPr>
            <w:r w:rsidRPr="00433347">
              <w:rPr>
                <w:sz w:val="20"/>
              </w:rPr>
              <w:t>Emissions de fréquences étalon et de signaux horaires</w:t>
            </w:r>
          </w:p>
        </w:tc>
      </w:tr>
      <w:tr w:rsidR="006C1F01" w:rsidRPr="00433347">
        <w:tc>
          <w:tcPr>
            <w:tcW w:w="1140" w:type="dxa"/>
          </w:tcPr>
          <w:p w:rsidR="006C1F01" w:rsidRPr="00433347" w:rsidRDefault="006C1F01" w:rsidP="00433347">
            <w:pPr>
              <w:spacing w:before="30" w:after="30"/>
              <w:ind w:left="57"/>
              <w:jc w:val="left"/>
              <w:rPr>
                <w:b/>
                <w:bCs/>
                <w:sz w:val="20"/>
              </w:rPr>
            </w:pPr>
            <w:r w:rsidRPr="00433347">
              <w:rPr>
                <w:b/>
                <w:bCs/>
                <w:sz w:val="20"/>
              </w:rPr>
              <w:t>V</w:t>
            </w:r>
          </w:p>
        </w:tc>
        <w:tc>
          <w:tcPr>
            <w:tcW w:w="8220" w:type="dxa"/>
          </w:tcPr>
          <w:p w:rsidR="006C1F01" w:rsidRPr="00433347" w:rsidRDefault="006C1F01" w:rsidP="00433347">
            <w:pPr>
              <w:spacing w:before="30" w:after="140"/>
              <w:jc w:val="left"/>
              <w:rPr>
                <w:sz w:val="20"/>
              </w:rPr>
            </w:pPr>
            <w:r w:rsidRPr="00433347">
              <w:rPr>
                <w:sz w:val="20"/>
              </w:rPr>
              <w:t>Vocabulaire et sujets associés</w:t>
            </w:r>
          </w:p>
        </w:tc>
      </w:tr>
    </w:tbl>
    <w:p w:rsidR="006C1F01" w:rsidRPr="00433347" w:rsidRDefault="006C1F01" w:rsidP="00433347">
      <w:pPr>
        <w:spacing w:before="0"/>
        <w:jc w:val="center"/>
        <w:rPr>
          <w:sz w:val="20"/>
        </w:rPr>
      </w:pPr>
    </w:p>
    <w:p w:rsidR="006C1F01" w:rsidRPr="00433347" w:rsidRDefault="006C1F01" w:rsidP="0043334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C1F01" w:rsidRPr="00433347">
        <w:tc>
          <w:tcPr>
            <w:tcW w:w="9360" w:type="dxa"/>
          </w:tcPr>
          <w:p w:rsidR="006C1F01" w:rsidRPr="00433347" w:rsidRDefault="006C1F01" w:rsidP="00433347">
            <w:pPr>
              <w:spacing w:before="80" w:after="80"/>
              <w:jc w:val="left"/>
              <w:rPr>
                <w:i/>
                <w:iCs/>
                <w:sz w:val="20"/>
              </w:rPr>
            </w:pPr>
            <w:r w:rsidRPr="00433347">
              <w:rPr>
                <w:b/>
                <w:bCs/>
                <w:i/>
                <w:iCs/>
                <w:sz w:val="20"/>
              </w:rPr>
              <w:t>Note</w:t>
            </w:r>
            <w:r w:rsidRPr="00433347">
              <w:rPr>
                <w:i/>
                <w:iCs/>
                <w:sz w:val="20"/>
              </w:rPr>
              <w:t>: Cette Recommandation UIT-R a été approuvée en anglais aux termes de la procédure détaillée dans la</w:t>
            </w:r>
            <w:r w:rsidRPr="00433347">
              <w:rPr>
                <w:i/>
                <w:iCs/>
                <w:sz w:val="20"/>
              </w:rPr>
              <w:br/>
              <w:t xml:space="preserve">Résolution UIT-R 1. </w:t>
            </w:r>
          </w:p>
        </w:tc>
      </w:tr>
    </w:tbl>
    <w:p w:rsidR="006C1F01" w:rsidRPr="00433347" w:rsidRDefault="006C1F01" w:rsidP="00433347">
      <w:pPr>
        <w:spacing w:before="0"/>
        <w:jc w:val="center"/>
        <w:rPr>
          <w:sz w:val="22"/>
        </w:rPr>
      </w:pPr>
    </w:p>
    <w:p w:rsidR="006C1F01" w:rsidRPr="00433347" w:rsidRDefault="006C1F01" w:rsidP="00433347">
      <w:pPr>
        <w:spacing w:before="100"/>
        <w:jc w:val="right"/>
        <w:rPr>
          <w:i/>
          <w:iCs/>
          <w:sz w:val="20"/>
        </w:rPr>
      </w:pPr>
      <w:r w:rsidRPr="00433347">
        <w:rPr>
          <w:i/>
          <w:iCs/>
          <w:sz w:val="20"/>
        </w:rPr>
        <w:t>Publication électronique</w:t>
      </w:r>
    </w:p>
    <w:p w:rsidR="006C1F01" w:rsidRPr="00433347" w:rsidRDefault="006C1F01" w:rsidP="00613BAC">
      <w:pPr>
        <w:spacing w:before="0"/>
        <w:jc w:val="right"/>
        <w:rPr>
          <w:sz w:val="20"/>
        </w:rPr>
      </w:pPr>
      <w:r w:rsidRPr="00433347">
        <w:rPr>
          <w:sz w:val="20"/>
        </w:rPr>
        <w:t xml:space="preserve">Genève, </w:t>
      </w:r>
      <w:r w:rsidR="000961C8" w:rsidRPr="00433347">
        <w:rPr>
          <w:sz w:val="20"/>
        </w:rPr>
        <w:t>201</w:t>
      </w:r>
      <w:r w:rsidR="00613BAC">
        <w:rPr>
          <w:sz w:val="20"/>
        </w:rPr>
        <w:t>6</w:t>
      </w:r>
    </w:p>
    <w:p w:rsidR="006C1F01" w:rsidRPr="00433347" w:rsidRDefault="006C1F01" w:rsidP="00613BAC">
      <w:pPr>
        <w:spacing w:before="200"/>
        <w:jc w:val="center"/>
        <w:rPr>
          <w:sz w:val="20"/>
        </w:rPr>
      </w:pPr>
      <w:r w:rsidRPr="00433347">
        <w:rPr>
          <w:sz w:val="20"/>
        </w:rPr>
        <w:sym w:font="Symbol" w:char="F0E3"/>
      </w:r>
      <w:r w:rsidRPr="00433347">
        <w:rPr>
          <w:sz w:val="20"/>
        </w:rPr>
        <w:t xml:space="preserve"> UIT </w:t>
      </w:r>
      <w:bookmarkStart w:id="2" w:name="iiannee"/>
      <w:bookmarkEnd w:id="2"/>
      <w:r w:rsidR="000961C8" w:rsidRPr="00433347">
        <w:rPr>
          <w:sz w:val="20"/>
        </w:rPr>
        <w:t>201</w:t>
      </w:r>
      <w:r w:rsidR="00613BAC">
        <w:rPr>
          <w:sz w:val="20"/>
        </w:rPr>
        <w:t>6</w:t>
      </w:r>
    </w:p>
    <w:p w:rsidR="006C1F01" w:rsidRPr="00433347" w:rsidRDefault="006C1F01" w:rsidP="00433347">
      <w:pPr>
        <w:rPr>
          <w:sz w:val="18"/>
          <w:szCs w:val="18"/>
        </w:rPr>
      </w:pPr>
      <w:r w:rsidRPr="00433347">
        <w:rPr>
          <w:sz w:val="18"/>
          <w:szCs w:val="18"/>
        </w:rPr>
        <w:t>Tous droits réservés. Aucune partie de cette publication ne peut être reproduite, par quelque procédé que ce soit, sans l’accord écrit préalable de l’UIT.</w:t>
      </w:r>
    </w:p>
    <w:p w:rsidR="006C1F01" w:rsidRPr="00433347" w:rsidRDefault="006C1F01" w:rsidP="00433347">
      <w:pPr>
        <w:spacing w:before="160"/>
        <w:rPr>
          <w:i/>
          <w:sz w:val="20"/>
          <w:highlight w:val="yellow"/>
        </w:rPr>
        <w:sectPr w:rsidR="006C1F01" w:rsidRPr="00433347"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C1F01" w:rsidRPr="00433347" w:rsidRDefault="006C1F01" w:rsidP="00433347">
      <w:pPr>
        <w:pStyle w:val="RecNo"/>
        <w:spacing w:before="0"/>
      </w:pPr>
      <w:bookmarkStart w:id="3" w:name="irecnoe"/>
      <w:bookmarkEnd w:id="3"/>
      <w:r w:rsidRPr="00433347">
        <w:lastRenderedPageBreak/>
        <w:t xml:space="preserve">RECOMMANDATION  </w:t>
      </w:r>
      <w:r w:rsidRPr="00433347">
        <w:rPr>
          <w:rStyle w:val="href"/>
        </w:rPr>
        <w:t>UIT-R  M.2014</w:t>
      </w:r>
      <w:r w:rsidR="000961C8" w:rsidRPr="00433347">
        <w:rPr>
          <w:rStyle w:val="href"/>
        </w:rPr>
        <w:t>-1</w:t>
      </w:r>
    </w:p>
    <w:p w:rsidR="00A6617B" w:rsidRPr="00433347" w:rsidRDefault="00752506" w:rsidP="00433347">
      <w:pPr>
        <w:pStyle w:val="Rectitle"/>
      </w:pPr>
      <w:r w:rsidRPr="00433347">
        <w:t>Circulation à l'échelle mondiale des terminaux de satellite IMT</w:t>
      </w:r>
    </w:p>
    <w:p w:rsidR="00595547" w:rsidRPr="00433347" w:rsidRDefault="00595547" w:rsidP="00433347">
      <w:pPr>
        <w:pStyle w:val="Blanc"/>
        <w:rPr>
          <w:lang w:val="fr-FR"/>
        </w:rPr>
      </w:pPr>
    </w:p>
    <w:p w:rsidR="00595547" w:rsidRPr="00433347" w:rsidRDefault="00595547" w:rsidP="00433347">
      <w:pPr>
        <w:pStyle w:val="Recdate"/>
      </w:pPr>
      <w:r w:rsidRPr="00433347">
        <w:t>(2012</w:t>
      </w:r>
      <w:r w:rsidR="000961C8" w:rsidRPr="00433347">
        <w:t>-2015</w:t>
      </w:r>
      <w:r w:rsidRPr="00433347">
        <w:t>)</w:t>
      </w:r>
    </w:p>
    <w:p w:rsidR="00DE39A5" w:rsidRPr="00433347" w:rsidRDefault="00DE39A5" w:rsidP="00433347">
      <w:pPr>
        <w:pStyle w:val="HeadingSum"/>
        <w:rPr>
          <w:lang w:val="fr-FR"/>
        </w:rPr>
      </w:pPr>
      <w:r w:rsidRPr="00433347">
        <w:rPr>
          <w:lang w:val="fr-FR"/>
        </w:rPr>
        <w:t>Domaine d'application</w:t>
      </w:r>
    </w:p>
    <w:p w:rsidR="00DE39A5" w:rsidRPr="00433347" w:rsidRDefault="00DE39A5" w:rsidP="00433347">
      <w:pPr>
        <w:pStyle w:val="Summary"/>
        <w:rPr>
          <w:lang w:val="fr-FR"/>
        </w:rPr>
      </w:pPr>
      <w:r w:rsidRPr="00433347">
        <w:rPr>
          <w:lang w:val="fr-FR"/>
        </w:rPr>
        <w:t>La présente Recommandation a pour objet de définir les bases techniques applicables à la circulation mondiale des terminaux de satellite IMT, étant entendu que ces terminaux ne doivent pas causer de brouillages préjudiciables à d'autres systèmes de radiocommunication dans les pays où ils sont utilisés:</w:t>
      </w:r>
    </w:p>
    <w:p w:rsidR="00DE39A5" w:rsidRPr="00433347" w:rsidRDefault="00DE39A5" w:rsidP="00433347">
      <w:pPr>
        <w:pStyle w:val="enumlev1"/>
        <w:rPr>
          <w:sz w:val="22"/>
          <w:szCs w:val="18"/>
        </w:rPr>
      </w:pPr>
      <w:r w:rsidRPr="00433347">
        <w:rPr>
          <w:sz w:val="22"/>
          <w:szCs w:val="18"/>
        </w:rPr>
        <w:t>–</w:t>
      </w:r>
      <w:r w:rsidRPr="00433347">
        <w:rPr>
          <w:sz w:val="22"/>
          <w:szCs w:val="18"/>
        </w:rPr>
        <w:tab/>
        <w:t>en respectant les spécifications des interfaces radioélectriques</w:t>
      </w:r>
      <w:r w:rsidR="00423729" w:rsidRPr="00433347">
        <w:rPr>
          <w:sz w:val="22"/>
          <w:szCs w:val="18"/>
        </w:rPr>
        <w:t xml:space="preserve"> de la composante satellite des </w:t>
      </w:r>
      <w:r w:rsidRPr="00433347">
        <w:rPr>
          <w:sz w:val="22"/>
          <w:szCs w:val="18"/>
        </w:rPr>
        <w:t>IMT</w:t>
      </w:r>
      <w:r w:rsidR="00423729" w:rsidRPr="00433347">
        <w:rPr>
          <w:sz w:val="22"/>
          <w:szCs w:val="18"/>
        </w:rPr>
        <w:noBreakHyphen/>
      </w:r>
      <w:r w:rsidRPr="00433347">
        <w:rPr>
          <w:sz w:val="22"/>
          <w:szCs w:val="18"/>
        </w:rPr>
        <w:t>2000</w:t>
      </w:r>
      <w:r w:rsidR="000961C8" w:rsidRPr="00433347">
        <w:rPr>
          <w:sz w:val="22"/>
          <w:szCs w:val="18"/>
        </w:rPr>
        <w:t xml:space="preserve"> et des IMT évoluées</w:t>
      </w:r>
      <w:r w:rsidRPr="00433347">
        <w:rPr>
          <w:sz w:val="22"/>
          <w:szCs w:val="18"/>
        </w:rPr>
        <w:t>; et</w:t>
      </w:r>
    </w:p>
    <w:p w:rsidR="00DE39A5" w:rsidRPr="00433347" w:rsidRDefault="00DE39A5" w:rsidP="00433347">
      <w:pPr>
        <w:pStyle w:val="enumlev1"/>
      </w:pPr>
      <w:r w:rsidRPr="00433347">
        <w:rPr>
          <w:sz w:val="22"/>
          <w:szCs w:val="18"/>
        </w:rPr>
        <w:t>–</w:t>
      </w:r>
      <w:r w:rsidRPr="00433347">
        <w:rPr>
          <w:sz w:val="22"/>
          <w:szCs w:val="18"/>
        </w:rPr>
        <w:tab/>
        <w:t>en respectant les limites applicables aux rayonnements non désirés pour les interfaces radioélectriques de la composante satellite des IMT-2000</w:t>
      </w:r>
      <w:r w:rsidR="000961C8" w:rsidRPr="00433347">
        <w:rPr>
          <w:sz w:val="22"/>
          <w:szCs w:val="18"/>
        </w:rPr>
        <w:t xml:space="preserve"> et des IMT évoluées</w:t>
      </w:r>
      <w:r w:rsidRPr="00433347">
        <w:rPr>
          <w:sz w:val="22"/>
          <w:szCs w:val="18"/>
        </w:rPr>
        <w:t>.</w:t>
      </w:r>
    </w:p>
    <w:p w:rsidR="000961C8" w:rsidRPr="00433347" w:rsidRDefault="000961C8" w:rsidP="00433347">
      <w:pPr>
        <w:pStyle w:val="Headingb"/>
      </w:pPr>
      <w:r w:rsidRPr="00433347">
        <w:t>Mots clés</w:t>
      </w:r>
    </w:p>
    <w:p w:rsidR="000961C8" w:rsidRPr="00433347" w:rsidRDefault="000961C8" w:rsidP="00433347">
      <w:r w:rsidRPr="00433347">
        <w:t>IMT, IMT-2000, IMT évoluées, terminaux de satellite</w:t>
      </w:r>
    </w:p>
    <w:p w:rsidR="000961C8" w:rsidRPr="00433347" w:rsidRDefault="000961C8" w:rsidP="00433347">
      <w:pPr>
        <w:pStyle w:val="Headingb"/>
      </w:pPr>
      <w:r w:rsidRPr="00433347">
        <w:t>Abréviations/glossaire</w:t>
      </w:r>
    </w:p>
    <w:p w:rsidR="00F010DC" w:rsidRPr="00433347" w:rsidRDefault="00F010DC" w:rsidP="00F010DC">
      <w:pPr>
        <w:rPr>
          <w:color w:val="000000"/>
        </w:rPr>
      </w:pPr>
      <w:r w:rsidRPr="00433347">
        <w:rPr>
          <w:color w:val="000000"/>
        </w:rPr>
        <w:t>ATI</w:t>
      </w:r>
      <w:r w:rsidRPr="00433347">
        <w:rPr>
          <w:color w:val="000000"/>
        </w:rPr>
        <w:tab/>
      </w:r>
      <w:r w:rsidRPr="00433347">
        <w:rPr>
          <w:color w:val="000000"/>
        </w:rPr>
        <w:tab/>
        <w:t>Accord sur les technologies de l'information</w:t>
      </w:r>
    </w:p>
    <w:p w:rsidR="000961C8" w:rsidRPr="00433347" w:rsidRDefault="00B33200" w:rsidP="00433347">
      <w:pPr>
        <w:ind w:left="1191" w:hanging="1191"/>
        <w:rPr>
          <w:color w:val="000000"/>
        </w:rPr>
      </w:pPr>
      <w:r w:rsidRPr="00433347">
        <w:t>GMPCS</w:t>
      </w:r>
      <w:r w:rsidRPr="00433347">
        <w:rPr>
          <w:b/>
          <w:bCs/>
        </w:rPr>
        <w:tab/>
      </w:r>
      <w:r w:rsidR="00433347" w:rsidRPr="00114B32">
        <w:t>C</w:t>
      </w:r>
      <w:r w:rsidRPr="00433347">
        <w:rPr>
          <w:color w:val="000000"/>
        </w:rPr>
        <w:t xml:space="preserve">ommunications personnelles </w:t>
      </w:r>
      <w:r w:rsidR="00433347">
        <w:rPr>
          <w:color w:val="000000"/>
        </w:rPr>
        <w:t xml:space="preserve">mobiles mondiales </w:t>
      </w:r>
      <w:r w:rsidRPr="00433347">
        <w:rPr>
          <w:color w:val="000000"/>
        </w:rPr>
        <w:t xml:space="preserve">par satellite </w:t>
      </w:r>
      <w:r w:rsidRPr="00433347">
        <w:rPr>
          <w:i/>
          <w:iCs/>
          <w:color w:val="000000"/>
        </w:rPr>
        <w:t>(</w:t>
      </w:r>
      <w:r w:rsidR="00CA4340" w:rsidRPr="00433347">
        <w:rPr>
          <w:i/>
          <w:iCs/>
          <w:color w:val="000000"/>
        </w:rPr>
        <w:t>g</w:t>
      </w:r>
      <w:r w:rsidRPr="00433347">
        <w:rPr>
          <w:i/>
          <w:iCs/>
        </w:rPr>
        <w:t xml:space="preserve">lobal </w:t>
      </w:r>
      <w:r w:rsidRPr="00433347">
        <w:rPr>
          <w:i/>
          <w:iCs/>
          <w:lang w:eastAsia="ko-KR"/>
        </w:rPr>
        <w:t>m</w:t>
      </w:r>
      <w:r w:rsidRPr="00433347">
        <w:rPr>
          <w:i/>
          <w:iCs/>
        </w:rPr>
        <w:t xml:space="preserve">obile </w:t>
      </w:r>
      <w:r w:rsidRPr="00433347">
        <w:rPr>
          <w:i/>
          <w:iCs/>
          <w:lang w:eastAsia="ko-KR"/>
        </w:rPr>
        <w:t>pe</w:t>
      </w:r>
      <w:r w:rsidRPr="00433347">
        <w:rPr>
          <w:i/>
          <w:iCs/>
        </w:rPr>
        <w:t xml:space="preserve">rsonal </w:t>
      </w:r>
      <w:r w:rsidRPr="00433347">
        <w:rPr>
          <w:i/>
          <w:iCs/>
          <w:lang w:eastAsia="ko-KR"/>
        </w:rPr>
        <w:t>c</w:t>
      </w:r>
      <w:r w:rsidRPr="00433347">
        <w:rPr>
          <w:i/>
          <w:iCs/>
        </w:rPr>
        <w:t xml:space="preserve">ommunications by </w:t>
      </w:r>
      <w:r w:rsidRPr="00433347">
        <w:rPr>
          <w:i/>
          <w:iCs/>
          <w:lang w:eastAsia="ko-KR"/>
        </w:rPr>
        <w:t>s</w:t>
      </w:r>
      <w:r w:rsidRPr="00433347">
        <w:rPr>
          <w:i/>
          <w:iCs/>
        </w:rPr>
        <w:t>atellite)</w:t>
      </w:r>
    </w:p>
    <w:p w:rsidR="00B33200" w:rsidRPr="00433347" w:rsidRDefault="00B33200" w:rsidP="00433347">
      <w:pPr>
        <w:rPr>
          <w:color w:val="000000"/>
        </w:rPr>
      </w:pPr>
      <w:r w:rsidRPr="00433347">
        <w:rPr>
          <w:color w:val="000000"/>
        </w:rPr>
        <w:t>IMT</w:t>
      </w:r>
      <w:r w:rsidRPr="00433347">
        <w:rPr>
          <w:color w:val="000000"/>
        </w:rPr>
        <w:tab/>
      </w:r>
      <w:r w:rsidRPr="00433347">
        <w:rPr>
          <w:color w:val="000000"/>
        </w:rPr>
        <w:tab/>
        <w:t xml:space="preserve">Télécommunications mobiles internationales </w:t>
      </w:r>
      <w:r w:rsidRPr="00433347">
        <w:rPr>
          <w:i/>
          <w:iCs/>
          <w:color w:val="000000"/>
        </w:rPr>
        <w:t>(</w:t>
      </w:r>
      <w:r w:rsidRPr="00433347">
        <w:rPr>
          <w:i/>
          <w:iCs/>
          <w:lang w:eastAsia="ko-KR"/>
        </w:rPr>
        <w:t>international mobile telecommunication)</w:t>
      </w:r>
    </w:p>
    <w:p w:rsidR="00B33200" w:rsidRPr="00722C94" w:rsidRDefault="00B33200" w:rsidP="00433347">
      <w:pPr>
        <w:rPr>
          <w:color w:val="000000"/>
          <w:lang w:val="en-US"/>
        </w:rPr>
      </w:pPr>
      <w:r w:rsidRPr="00722C94">
        <w:rPr>
          <w:color w:val="000000"/>
          <w:lang w:val="en-US"/>
        </w:rPr>
        <w:t>MoU</w:t>
      </w:r>
      <w:r w:rsidRPr="00722C94">
        <w:rPr>
          <w:color w:val="000000"/>
          <w:lang w:val="en-US"/>
        </w:rPr>
        <w:tab/>
      </w:r>
      <w:r w:rsidRPr="00722C94">
        <w:rPr>
          <w:color w:val="000000"/>
          <w:lang w:val="en-US"/>
        </w:rPr>
        <w:tab/>
        <w:t xml:space="preserve">Mémorandum d'accord </w:t>
      </w:r>
      <w:r w:rsidRPr="00722C94">
        <w:rPr>
          <w:i/>
          <w:iCs/>
          <w:color w:val="000000"/>
          <w:lang w:val="en-US"/>
        </w:rPr>
        <w:t>(m</w:t>
      </w:r>
      <w:r w:rsidRPr="00722C94">
        <w:rPr>
          <w:i/>
          <w:iCs/>
          <w:lang w:val="en-US"/>
        </w:rPr>
        <w:t xml:space="preserve">emorandum of </w:t>
      </w:r>
      <w:r w:rsidRPr="00722C94">
        <w:rPr>
          <w:i/>
          <w:iCs/>
          <w:lang w:val="en-US" w:eastAsia="ko-KR"/>
        </w:rPr>
        <w:t>u</w:t>
      </w:r>
      <w:r w:rsidRPr="00722C94">
        <w:rPr>
          <w:i/>
          <w:iCs/>
          <w:lang w:val="en-US"/>
        </w:rPr>
        <w:t>nderstandin</w:t>
      </w:r>
      <w:r w:rsidRPr="00722C94">
        <w:rPr>
          <w:i/>
          <w:iCs/>
          <w:lang w:val="en-US" w:eastAsia="ko-KR"/>
        </w:rPr>
        <w:t>g)</w:t>
      </w:r>
    </w:p>
    <w:p w:rsidR="00B33200" w:rsidRPr="00433347" w:rsidRDefault="00B33200" w:rsidP="00433347">
      <w:pPr>
        <w:rPr>
          <w:color w:val="000000"/>
        </w:rPr>
      </w:pPr>
      <w:r w:rsidRPr="00433347">
        <w:rPr>
          <w:color w:val="000000"/>
        </w:rPr>
        <w:t>OMC</w:t>
      </w:r>
      <w:r w:rsidRPr="00433347">
        <w:rPr>
          <w:color w:val="000000"/>
        </w:rPr>
        <w:tab/>
      </w:r>
      <w:r w:rsidRPr="00433347">
        <w:rPr>
          <w:color w:val="000000"/>
        </w:rPr>
        <w:tab/>
        <w:t>Organisation mondiale du commerce</w:t>
      </w:r>
    </w:p>
    <w:p w:rsidR="00B33200" w:rsidRPr="00433347" w:rsidRDefault="00B33200" w:rsidP="00722C94">
      <w:pPr>
        <w:pStyle w:val="Headingb"/>
      </w:pPr>
      <w:r w:rsidRPr="00433347">
        <w:t xml:space="preserve">Recommandations, Rapports et Résolutions </w:t>
      </w:r>
      <w:r w:rsidR="00722C94">
        <w:t xml:space="preserve">connexes </w:t>
      </w:r>
      <w:r w:rsidR="00433347">
        <w:t>de l'UIT</w:t>
      </w:r>
    </w:p>
    <w:p w:rsidR="00B33200" w:rsidRPr="00433347" w:rsidRDefault="00B33200" w:rsidP="005052AD">
      <w:pPr>
        <w:pStyle w:val="enumlev1"/>
        <w:spacing w:before="120"/>
        <w:ind w:left="3600" w:hanging="3600"/>
      </w:pPr>
      <w:r w:rsidRPr="00433347">
        <w:t>Recommandation UIT-R M.1224-1</w:t>
      </w:r>
      <w:r w:rsidRPr="00433347">
        <w:tab/>
        <w:t>Terminologie des télécommunications mobiles internationales (IMT)</w:t>
      </w:r>
    </w:p>
    <w:p w:rsidR="00B33200" w:rsidRPr="00433347" w:rsidRDefault="00B33200" w:rsidP="00433347">
      <w:pPr>
        <w:pStyle w:val="enumlev1"/>
        <w:ind w:left="3600" w:hanging="3600"/>
      </w:pPr>
      <w:r w:rsidRPr="00433347">
        <w:t>Recommandation UIT-R M.1343-1</w:t>
      </w:r>
      <w:r w:rsidRPr="00433347">
        <w:tab/>
        <w:t>Caractéristiques techniques essentielles des stations terriennes mobiles des systèmes mondiaux du service mobile à satellites non géostationnaires fonctionnant dans la bande 1-3 GHz</w:t>
      </w:r>
    </w:p>
    <w:p w:rsidR="00091F37" w:rsidRPr="00433347" w:rsidRDefault="00091F37" w:rsidP="00433347">
      <w:pPr>
        <w:pStyle w:val="enumlev1"/>
        <w:ind w:left="3600" w:hanging="3600"/>
      </w:pPr>
      <w:r w:rsidRPr="00433347">
        <w:t>Recommandation UIT-R M.1480-0</w:t>
      </w:r>
      <w:r w:rsidRPr="00433347">
        <w:tab/>
        <w:t xml:space="preserve">Spécifications techniques essentielles des stations terriennes mobiles des systèmes mobiles à satellites géostationnaires qui appliquent les arrangements relatifs au </w:t>
      </w:r>
      <w:r w:rsidR="00CA4340" w:rsidRPr="00433347">
        <w:t>Mé</w:t>
      </w:r>
      <w:r w:rsidRPr="00433347">
        <w:t>morandum d'accord sur les communications personnelles mobiles mondiales par satellite (GMPCS) dans des parties de la bande de fréquences entre 1 et 3 GHz</w:t>
      </w:r>
    </w:p>
    <w:p w:rsidR="00091F37" w:rsidRPr="00433347" w:rsidRDefault="00091F37" w:rsidP="00114B32">
      <w:pPr>
        <w:pStyle w:val="enumlev1"/>
        <w:ind w:left="3600" w:hanging="3600"/>
      </w:pPr>
      <w:r w:rsidRPr="00433347">
        <w:t>Recommandation UIT-R M.1645-0</w:t>
      </w:r>
      <w:r w:rsidRPr="00433347">
        <w:tab/>
        <w:t>Cadre et objectifs d'ensemble du développement futur des IMT</w:t>
      </w:r>
      <w:r w:rsidR="00114B32">
        <w:noBreakHyphen/>
      </w:r>
      <w:r w:rsidRPr="00433347">
        <w:t>2000 et des systèmes postérieurs aux IMT-2000</w:t>
      </w:r>
    </w:p>
    <w:p w:rsidR="00091F37" w:rsidRPr="00433347" w:rsidRDefault="00091F37" w:rsidP="00433347">
      <w:pPr>
        <w:pStyle w:val="enumlev1"/>
      </w:pPr>
      <w:r w:rsidRPr="00433347">
        <w:t>Recommandation UIT-R M.1822-0</w:t>
      </w:r>
      <w:r w:rsidRPr="00433347">
        <w:tab/>
        <w:t>Cadre de description des services assurés par les IMT</w:t>
      </w:r>
    </w:p>
    <w:p w:rsidR="00091F37" w:rsidRPr="00433347" w:rsidRDefault="00091F37" w:rsidP="00433347">
      <w:pPr>
        <w:pStyle w:val="enumlev1"/>
        <w:ind w:left="3600" w:hanging="3600"/>
      </w:pPr>
      <w:r w:rsidRPr="00433347">
        <w:t>Recommandation UIT-R M.1850-2</w:t>
      </w:r>
      <w:r w:rsidRPr="00433347">
        <w:tab/>
        <w:t>Spécifications détaillées des interfaces radioélectriques de la composante satellite des télécommunications mobiles internationales-2000 (IMT-2000)</w:t>
      </w:r>
    </w:p>
    <w:p w:rsidR="00091F37" w:rsidRPr="00433347" w:rsidRDefault="00091F37" w:rsidP="00433347">
      <w:pPr>
        <w:pStyle w:val="enumlev1"/>
        <w:ind w:left="3600" w:hanging="3600"/>
      </w:pPr>
      <w:r w:rsidRPr="00433347">
        <w:t>Recommandation UIT-R M.2047-0</w:t>
      </w:r>
      <w:r w:rsidRPr="00433347">
        <w:tab/>
        <w:t>Spécifications détaillées des interfaces radioélectriques de la composante satellite des télécommunications mobiles internationales évoluées</w:t>
      </w:r>
    </w:p>
    <w:p w:rsidR="00091F37" w:rsidRPr="00433347" w:rsidRDefault="00091F37" w:rsidP="00722C94">
      <w:pPr>
        <w:pStyle w:val="enumlev1"/>
        <w:ind w:left="3600" w:hanging="3600"/>
        <w:jc w:val="left"/>
      </w:pPr>
      <w:r w:rsidRPr="00433347">
        <w:lastRenderedPageBreak/>
        <w:t>Résolution UIT-R 56-1</w:t>
      </w:r>
      <w:r w:rsidR="00433347">
        <w:tab/>
      </w:r>
      <w:r w:rsidRPr="00433347">
        <w:t>Appellations pour les télécommunications mobiles internationales</w:t>
      </w:r>
    </w:p>
    <w:p w:rsidR="00091F37" w:rsidRPr="00433347" w:rsidRDefault="00091F37" w:rsidP="00433347">
      <w:pPr>
        <w:pStyle w:val="enumlev1"/>
      </w:pPr>
      <w:r w:rsidRPr="00433347">
        <w:t>Résolution UIT-R 57-1</w:t>
      </w:r>
      <w:r w:rsidRPr="00433347">
        <w:tab/>
      </w:r>
      <w:r w:rsidRPr="00433347">
        <w:tab/>
        <w:t>Principes applicables à l'élaboration des IMT évoluées</w:t>
      </w:r>
    </w:p>
    <w:p w:rsidR="00DE39A5" w:rsidRPr="00433347" w:rsidRDefault="00DE39A5" w:rsidP="00433347">
      <w:pPr>
        <w:pStyle w:val="Normalaftertitle"/>
      </w:pPr>
      <w:r w:rsidRPr="00433347">
        <w:t>L'Assemblée des radiocommunications de l'UIT,</w:t>
      </w:r>
    </w:p>
    <w:p w:rsidR="00DE39A5" w:rsidRPr="00433347" w:rsidRDefault="00DE39A5" w:rsidP="00433347">
      <w:pPr>
        <w:pStyle w:val="Call"/>
      </w:pPr>
      <w:r w:rsidRPr="00433347">
        <w:t>considérant</w:t>
      </w:r>
    </w:p>
    <w:p w:rsidR="00091F37" w:rsidRPr="00433347" w:rsidRDefault="00091F37" w:rsidP="00114B32">
      <w:r w:rsidRPr="005052AD">
        <w:rPr>
          <w:i/>
          <w:iCs/>
        </w:rPr>
        <w:t>a)</w:t>
      </w:r>
      <w:r w:rsidRPr="00433347">
        <w:tab/>
        <w:t>que le terme «télécommunications mobiles internationales» (IMT) englobe à la fois les IMT</w:t>
      </w:r>
      <w:r w:rsidR="00114B32">
        <w:noBreakHyphen/>
      </w:r>
      <w:r w:rsidRPr="00433347">
        <w:t>2000 et les IMT évoluées, comme indiqué dans la Résolution UIT-R 56;</w:t>
      </w:r>
    </w:p>
    <w:p w:rsidR="00DE39A5" w:rsidRPr="00433347" w:rsidRDefault="00384906" w:rsidP="00433347">
      <w:r w:rsidRPr="005052AD">
        <w:rPr>
          <w:i/>
          <w:iCs/>
        </w:rPr>
        <w:t>b</w:t>
      </w:r>
      <w:r w:rsidR="00DE39A5" w:rsidRPr="005052AD">
        <w:rPr>
          <w:i/>
          <w:iCs/>
        </w:rPr>
        <w:t>)</w:t>
      </w:r>
      <w:r w:rsidR="00DE39A5" w:rsidRPr="00433347">
        <w:tab/>
        <w:t>que la circulation mondiale des terminaux de satellite correspond, pour les utilisateurs, au droit d'emporter leurs terminaux personnels lors de déplacements dans d'autres pays et à la capacité de les utiliser lorsque les conditions et les règlements techniques et d'exploitation établis par le pays le permettent;</w:t>
      </w:r>
    </w:p>
    <w:p w:rsidR="00DE39A5" w:rsidRPr="00433347" w:rsidRDefault="00384906" w:rsidP="00433347">
      <w:r w:rsidRPr="005052AD">
        <w:rPr>
          <w:i/>
          <w:iCs/>
        </w:rPr>
        <w:t>c</w:t>
      </w:r>
      <w:r w:rsidR="00DE39A5" w:rsidRPr="005052AD">
        <w:rPr>
          <w:i/>
          <w:iCs/>
        </w:rPr>
        <w:t>)</w:t>
      </w:r>
      <w:r w:rsidR="00DE39A5" w:rsidRPr="00433347">
        <w:tab/>
        <w:t>que la réussite du déploiement de systèmes de la composante satellite des IMT passe notamment par la possibilité pour les utilisateurs d'emporter leurs terminaux avec eux lors de leurs déplacements d'un pays à un autre et d'utiliser ces terminaux;</w:t>
      </w:r>
    </w:p>
    <w:p w:rsidR="00DE39A5" w:rsidRPr="00433347" w:rsidRDefault="00384906" w:rsidP="00433347">
      <w:r w:rsidRPr="005052AD">
        <w:rPr>
          <w:i/>
          <w:iCs/>
        </w:rPr>
        <w:t>d</w:t>
      </w:r>
      <w:r w:rsidR="00DE39A5" w:rsidRPr="005052AD">
        <w:rPr>
          <w:i/>
          <w:iCs/>
        </w:rPr>
        <w:t>)</w:t>
      </w:r>
      <w:r w:rsidR="00DE39A5" w:rsidRPr="00433347">
        <w:tab/>
        <w:t>que les utilisateurs peuvent avoir envie ou besoin d'emporter leurs terminaux avec eux, même s'ils ne peuvent pas les utiliser;</w:t>
      </w:r>
    </w:p>
    <w:p w:rsidR="00DE39A5" w:rsidRPr="00433347" w:rsidRDefault="00384906" w:rsidP="00433347">
      <w:r w:rsidRPr="005052AD">
        <w:rPr>
          <w:i/>
          <w:iCs/>
        </w:rPr>
        <w:t>e</w:t>
      </w:r>
      <w:r w:rsidR="00DE39A5" w:rsidRPr="005052AD">
        <w:rPr>
          <w:i/>
          <w:iCs/>
        </w:rPr>
        <w:t>)</w:t>
      </w:r>
      <w:r w:rsidR="00DE39A5" w:rsidRPr="00433347">
        <w:tab/>
        <w:t>qu'une telle circulation mondiale offrira des avantages indéniables aux utilisateurs si ces derniers ont la possibilité d'utiliser leurs terminaux dans tout pays où le service est disponible;</w:t>
      </w:r>
    </w:p>
    <w:p w:rsidR="00DE39A5" w:rsidRPr="00433347" w:rsidRDefault="00384906" w:rsidP="00433347">
      <w:r w:rsidRPr="005052AD">
        <w:rPr>
          <w:i/>
          <w:iCs/>
        </w:rPr>
        <w:t>f</w:t>
      </w:r>
      <w:r w:rsidR="00DE39A5" w:rsidRPr="005052AD">
        <w:rPr>
          <w:i/>
          <w:iCs/>
        </w:rPr>
        <w:t>)</w:t>
      </w:r>
      <w:r w:rsidR="00DE39A5" w:rsidRPr="00433347">
        <w:tab/>
        <w:t>que les terminaux de satellite IMT peuvent prendre en charge différentes interfaces radioélectriques ainsi qu'un mode de Terre dans certains cas;</w:t>
      </w:r>
    </w:p>
    <w:p w:rsidR="00DE39A5" w:rsidRPr="00433347" w:rsidRDefault="00384906" w:rsidP="00433347">
      <w:r w:rsidRPr="005052AD">
        <w:rPr>
          <w:i/>
          <w:iCs/>
        </w:rPr>
        <w:t>g</w:t>
      </w:r>
      <w:r w:rsidR="00DE39A5" w:rsidRPr="005052AD">
        <w:rPr>
          <w:i/>
          <w:iCs/>
        </w:rPr>
        <w:t>)</w:t>
      </w:r>
      <w:r w:rsidR="00DE39A5" w:rsidRPr="00433347">
        <w:tab/>
        <w:t>que certains terminaux multimodes peuvent prendre en charge des modes non prévus dans les systèmes IMT;</w:t>
      </w:r>
    </w:p>
    <w:p w:rsidR="00DE39A5" w:rsidRPr="00433347" w:rsidRDefault="00384906" w:rsidP="00433347">
      <w:pPr>
        <w:rPr>
          <w:szCs w:val="22"/>
          <w:lang w:eastAsia="ko-KR"/>
        </w:rPr>
      </w:pPr>
      <w:r w:rsidRPr="005052AD">
        <w:rPr>
          <w:i/>
          <w:iCs/>
        </w:rPr>
        <w:t>h</w:t>
      </w:r>
      <w:r w:rsidR="00DE39A5" w:rsidRPr="005052AD">
        <w:rPr>
          <w:i/>
          <w:iCs/>
        </w:rPr>
        <w:t>)</w:t>
      </w:r>
      <w:r w:rsidR="00DE39A5" w:rsidRPr="00433347">
        <w:tab/>
        <w:t>que l'une des conditions fondamentales à respecter en ce qui concerne la circulation mondiale des terminaux est que ces derniers ne doivent pas causer de brouillages préjudiciables à d'autres systèmes de radiocommunication dans les pays où ils sont utilisés</w:t>
      </w:r>
      <w:r w:rsidR="00DE39A5" w:rsidRPr="00433347">
        <w:rPr>
          <w:szCs w:val="22"/>
          <w:lang w:eastAsia="ko-KR"/>
        </w:rPr>
        <w:t xml:space="preserve">; </w:t>
      </w:r>
    </w:p>
    <w:p w:rsidR="00DE39A5" w:rsidRPr="00433347" w:rsidRDefault="00384906" w:rsidP="00433347">
      <w:r w:rsidRPr="005052AD">
        <w:rPr>
          <w:i/>
          <w:iCs/>
        </w:rPr>
        <w:t>i</w:t>
      </w:r>
      <w:r w:rsidR="00DE39A5" w:rsidRPr="005052AD">
        <w:rPr>
          <w:i/>
          <w:iCs/>
        </w:rPr>
        <w:t>)</w:t>
      </w:r>
      <w:r w:rsidR="00DE39A5" w:rsidRPr="00433347">
        <w:tab/>
        <w:t>qu'un des moyens possibles de respecter la condition précitée est de faire en sorte que le terminal n'émette pas avant d'avoir reçu un signal du centre d'exploitation du réseau à satellite avec lequel il peut communiquer (principe de réception avant émission), mais qu'il peut exister d'autres moyens techniques permettant de respecter cette condition fondamentale,</w:t>
      </w:r>
    </w:p>
    <w:p w:rsidR="00DE39A5" w:rsidRPr="00433347" w:rsidRDefault="00DE39A5" w:rsidP="00433347">
      <w:pPr>
        <w:pStyle w:val="Call"/>
      </w:pPr>
      <w:r w:rsidRPr="00433347">
        <w:t>considérant en outre</w:t>
      </w:r>
    </w:p>
    <w:p w:rsidR="00DE39A5" w:rsidRPr="00433347" w:rsidRDefault="00DE39A5" w:rsidP="00433347">
      <w:r w:rsidRPr="005052AD">
        <w:rPr>
          <w:i/>
          <w:iCs/>
        </w:rPr>
        <w:t>a)</w:t>
      </w:r>
      <w:r w:rsidRPr="00433347">
        <w:tab/>
        <w:t>que l'utilisation personnelle des terminaux de satellite IMT par des visiteurs n'est pas nécessairement subordonnée à l'obtention d'une licence individuelle ou à toute autre forme de procédure réglementaire formelle individuelle;</w:t>
      </w:r>
    </w:p>
    <w:p w:rsidR="00DE39A5" w:rsidRPr="00433347" w:rsidRDefault="00DE39A5" w:rsidP="00433347">
      <w:r w:rsidRPr="005052AD">
        <w:rPr>
          <w:i/>
          <w:iCs/>
        </w:rPr>
        <w:t>b)</w:t>
      </w:r>
      <w:r w:rsidRPr="00433347">
        <w:tab/>
        <w:t>que les administrations nationales devront se mettre en rapport avec les autorités douanières concernées, et avec d'autres autorités, afin que les terminaux de satellite IMT destinés à l'utilisation personnelle des visiteurs soient exemptés de tout droit de douane ou de toute autre taxe en vigueur;</w:t>
      </w:r>
    </w:p>
    <w:p w:rsidR="00DE39A5" w:rsidRPr="00433347" w:rsidRDefault="00DE39A5" w:rsidP="00433347">
      <w:r w:rsidRPr="005052AD">
        <w:rPr>
          <w:i/>
          <w:iCs/>
        </w:rPr>
        <w:t>c)</w:t>
      </w:r>
      <w:r w:rsidRPr="00433347">
        <w:tab/>
        <w:t>que les autorités nationales et régionales sont invitées à procéder à des études supplémentaires et, s'il y a lieu, à apporter leur coopération en vue de supprimer tout obstacle entravant la circulation mondiale des terminaux de satellite IMT dans le monde entier,</w:t>
      </w:r>
    </w:p>
    <w:p w:rsidR="00DE39A5" w:rsidRPr="00433347" w:rsidRDefault="00DE39A5" w:rsidP="00433347">
      <w:pPr>
        <w:pStyle w:val="Call"/>
      </w:pPr>
      <w:r w:rsidRPr="00433347">
        <w:lastRenderedPageBreak/>
        <w:t>reconnaissant</w:t>
      </w:r>
    </w:p>
    <w:p w:rsidR="00DE39A5" w:rsidRPr="00433347" w:rsidRDefault="00DE39A5" w:rsidP="00433347">
      <w:r w:rsidRPr="005052AD">
        <w:rPr>
          <w:i/>
          <w:iCs/>
        </w:rPr>
        <w:t>a)</w:t>
      </w:r>
      <w:r w:rsidRPr="00433347">
        <w:tab/>
        <w:t>que l'Organisation mondiale des douanes (OMD) a élaboré deux accords internationaux applicables aux terminaux IMT en général et, par conséquent, aux terminaux de satellite IMT en particulier:</w:t>
      </w:r>
    </w:p>
    <w:p w:rsidR="00DE39A5" w:rsidRPr="00433347" w:rsidRDefault="00DE39A5" w:rsidP="00433347">
      <w:pPr>
        <w:pStyle w:val="enumlev1"/>
      </w:pPr>
      <w:r w:rsidRPr="00433347">
        <w:sym w:font="Symbol" w:char="F02D"/>
      </w:r>
      <w:r w:rsidRPr="00433347">
        <w:tab/>
        <w:t>la Convention d'Istanbul, aux termes de laquelle les pays sont tenus de supprimer les droits de douane sur les effets personnels et les équipements professionnels des visiteurs;</w:t>
      </w:r>
    </w:p>
    <w:p w:rsidR="00DE39A5" w:rsidRPr="00433347" w:rsidRDefault="00DE39A5" w:rsidP="00433347">
      <w:pPr>
        <w:pStyle w:val="enumlev1"/>
      </w:pPr>
      <w:r w:rsidRPr="00433347">
        <w:sym w:font="Symbol" w:char="F02D"/>
      </w:r>
      <w:r w:rsidRPr="00433347">
        <w:tab/>
        <w:t>la Convention douanière relative à l'importation temporaire de matériel professionnel, aux termes de laquelle le matériel utilisé par des professionnels, notamment les journalistes, les médecins, les secouristes et les hommes d'affaires, est exempté d</w:t>
      </w:r>
      <w:r w:rsidR="00B16309">
        <w:t>e droits de douane;</w:t>
      </w:r>
    </w:p>
    <w:p w:rsidR="00DE39A5" w:rsidRPr="00433347" w:rsidRDefault="00DE39A5" w:rsidP="00433347">
      <w:r w:rsidRPr="005052AD">
        <w:rPr>
          <w:i/>
          <w:iCs/>
        </w:rPr>
        <w:t>b)</w:t>
      </w:r>
      <w:r w:rsidRPr="00433347">
        <w:tab/>
        <w:t>que l'Accord sur les technologies de l'information (ATI) de l'Organisation mondiale du commerce (OMC) a pour objet d'éliminer les droits d'importation frappant tous les équipements informatiques, y compris les terminaux hertziens;</w:t>
      </w:r>
    </w:p>
    <w:p w:rsidR="00DE39A5" w:rsidRPr="00433347" w:rsidRDefault="00DE39A5" w:rsidP="00433347">
      <w:r w:rsidRPr="005052AD">
        <w:rPr>
          <w:i/>
          <w:iCs/>
        </w:rPr>
        <w:t>c)</w:t>
      </w:r>
      <w:r w:rsidRPr="00433347">
        <w:tab/>
        <w:t>que la circulation et l'utilisation des terminaux de satellite à l'échelle mondiale doivent être conformes à la législation et à la réglementation en vigueur dans les pays visités, et que, de ce fait, une coopération internationale entre les organismes de réglementation est nécessaire;</w:t>
      </w:r>
    </w:p>
    <w:p w:rsidR="00DE39A5" w:rsidRPr="00433347" w:rsidRDefault="00DE39A5" w:rsidP="00433347">
      <w:r w:rsidRPr="005052AD">
        <w:rPr>
          <w:i/>
          <w:iCs/>
        </w:rPr>
        <w:t>d)</w:t>
      </w:r>
      <w:r w:rsidRPr="00433347">
        <w:tab/>
        <w:t>que la circulation mondiale sera également tributaire de moyens, non visés dans la présente Recommandation, pouvant être mis en place pour garantir aux utilisateurs finals l'intégrité et l'interopérabilité des réseaux et la qualité du service;</w:t>
      </w:r>
    </w:p>
    <w:p w:rsidR="00DE39A5" w:rsidRPr="00433347" w:rsidRDefault="00DE39A5" w:rsidP="00433347">
      <w:r w:rsidRPr="005052AD">
        <w:rPr>
          <w:i/>
          <w:iCs/>
        </w:rPr>
        <w:t>e)</w:t>
      </w:r>
      <w:r w:rsidRPr="00433347">
        <w:tab/>
        <w:t>que les dispositions administratives concernant la circulation mondiale risquent d'alourdir la réglementation, ce qu'il conviendra d'éviter soigneusement lors de l'élaboration de dispositions relatives à la circulation, qui doivent avoir pour objet de simplifier la réglementation existante et non pas de la rendre plus complexe;</w:t>
      </w:r>
    </w:p>
    <w:p w:rsidR="00DE39A5" w:rsidRPr="00433347" w:rsidRDefault="00DE39A5" w:rsidP="00433347">
      <w:r w:rsidRPr="005052AD">
        <w:rPr>
          <w:i/>
          <w:iCs/>
        </w:rPr>
        <w:t>f)</w:t>
      </w:r>
      <w:r w:rsidRPr="00433347">
        <w:tab/>
        <w:t>que, lors de la mise sur le marché d'équipements, ceux-ci pourront faire l'objet d'un marquage à l'échelle nationale ou régionale;</w:t>
      </w:r>
    </w:p>
    <w:p w:rsidR="00DE39A5" w:rsidRPr="00433347" w:rsidRDefault="00DE39A5" w:rsidP="00575786">
      <w:r w:rsidRPr="005052AD">
        <w:rPr>
          <w:i/>
          <w:iCs/>
        </w:rPr>
        <w:t>g)</w:t>
      </w:r>
      <w:r w:rsidRPr="00433347">
        <w:tab/>
        <w:t>que les terminaux de satellite IMT-2000 p</w:t>
      </w:r>
      <w:r w:rsidR="00575786">
        <w:t>euve</w:t>
      </w:r>
      <w:r w:rsidRPr="00433347">
        <w:t xml:space="preserve">nt présenter le marquage «GMPCS MoU», indiquant qu'ils sont conformes aux dispositions du Mémorandum d'accord sur les communications personnelles mobiles mondiales par satellite (GMPCS, </w:t>
      </w:r>
      <w:r w:rsidRPr="00433347">
        <w:rPr>
          <w:i/>
          <w:iCs/>
        </w:rPr>
        <w:t>Global mobile personal communications by satellite</w:t>
      </w:r>
      <w:r w:rsidRPr="00433347">
        <w:t>), et que cette marque p</w:t>
      </w:r>
      <w:r w:rsidR="00575786">
        <w:t>eut</w:t>
      </w:r>
      <w:r w:rsidRPr="00433347">
        <w:t xml:space="preserve"> également être apposée sur les terminaux IMT</w:t>
      </w:r>
      <w:r w:rsidRPr="00433347">
        <w:noBreakHyphen/>
        <w:t>2000 multimodes satellite/de Terre,</w:t>
      </w:r>
    </w:p>
    <w:p w:rsidR="00DE39A5" w:rsidRPr="00433347" w:rsidRDefault="00DE39A5" w:rsidP="00433347">
      <w:pPr>
        <w:pStyle w:val="Call"/>
      </w:pPr>
      <w:r w:rsidRPr="00433347">
        <w:t>recommande</w:t>
      </w:r>
    </w:p>
    <w:p w:rsidR="00DE39A5" w:rsidRPr="00433347" w:rsidRDefault="00DE39A5" w:rsidP="00575786">
      <w:r w:rsidRPr="00433347">
        <w:rPr>
          <w:b/>
          <w:bCs/>
        </w:rPr>
        <w:t>1</w:t>
      </w:r>
      <w:r w:rsidRPr="00433347">
        <w:tab/>
        <w:t>pour établir les bases techniques de la circulation mondiale des terminaux de satellite IMT</w:t>
      </w:r>
      <w:r w:rsidR="00575786">
        <w:t>,</w:t>
      </w:r>
      <w:r w:rsidRPr="00433347">
        <w:t xml:space="preserve"> de faire en sorte que les terminaux IMT ne causent pas de brouillages préjudiciables dans les pays où ils sont utilisés</w:t>
      </w:r>
      <w:r w:rsidR="00CA4340" w:rsidRPr="00433347">
        <w:t>,</w:t>
      </w:r>
      <w:r w:rsidR="00384906" w:rsidRPr="00433347">
        <w:t xml:space="preserve"> en satisfaisant à au moins une des conditions suivantes</w:t>
      </w:r>
      <w:r w:rsidRPr="00433347">
        <w:t>:</w:t>
      </w:r>
    </w:p>
    <w:p w:rsidR="00DE39A5" w:rsidRPr="00433347" w:rsidRDefault="00DE39A5" w:rsidP="00433347">
      <w:pPr>
        <w:pStyle w:val="enumlev1"/>
      </w:pPr>
      <w:r w:rsidRPr="00433347">
        <w:sym w:font="Symbol" w:char="F02D"/>
      </w:r>
      <w:r w:rsidRPr="00433347">
        <w:tab/>
      </w:r>
      <w:r w:rsidR="0089729B" w:rsidRPr="00433347">
        <w:t>respect des</w:t>
      </w:r>
      <w:r w:rsidRPr="00433347">
        <w:t xml:space="preserve"> normes IMT-2000 applicables aux interfaces radioélectriques de la composante satellite mentionné</w:t>
      </w:r>
      <w:r w:rsidR="009114AB" w:rsidRPr="00433347">
        <w:t>es dans la Recommandation UIT</w:t>
      </w:r>
      <w:r w:rsidR="009114AB" w:rsidRPr="00433347">
        <w:noBreakHyphen/>
        <w:t xml:space="preserve">R </w:t>
      </w:r>
      <w:r w:rsidRPr="00433347">
        <w:t>M.1850</w:t>
      </w:r>
      <w:r w:rsidR="00FE41E4" w:rsidRPr="00433347">
        <w:t xml:space="preserve"> – </w:t>
      </w:r>
      <w:r w:rsidRPr="00433347">
        <w:t xml:space="preserve">Spécifications détaillées des interfaces radioélectriques de la composante satellite des télécommunications mobiles </w:t>
      </w:r>
      <w:r w:rsidR="00FE41E4" w:rsidRPr="00433347">
        <w:t>internationales-2000 (IMT-2000)</w:t>
      </w:r>
      <w:r w:rsidRPr="00433347">
        <w:t>;</w:t>
      </w:r>
    </w:p>
    <w:p w:rsidR="00DE39A5" w:rsidRPr="00433347" w:rsidRDefault="00DE39A5" w:rsidP="00433347">
      <w:pPr>
        <w:pStyle w:val="enumlev1"/>
      </w:pPr>
      <w:r w:rsidRPr="00433347">
        <w:sym w:font="Symbol" w:char="F02D"/>
      </w:r>
      <w:r w:rsidRPr="00433347">
        <w:tab/>
      </w:r>
      <w:r w:rsidR="0089729B" w:rsidRPr="00433347">
        <w:t>respect des</w:t>
      </w:r>
      <w:r w:rsidRPr="00433347">
        <w:t xml:space="preserve"> limites applicables aux rayonnements non désirés, spécifiées soit dans la Recommandation UIT</w:t>
      </w:r>
      <w:r w:rsidRPr="00433347">
        <w:noBreakHyphen/>
        <w:t>R M.1343</w:t>
      </w:r>
      <w:r w:rsidR="00FE41E4" w:rsidRPr="00433347">
        <w:t xml:space="preserve"> – </w:t>
      </w:r>
      <w:r w:rsidRPr="00433347">
        <w:t>Caractéristiques techniques essentielles des stations terriennes mobiles des systèmes mondiaux du service mobile à satellites non géostationnaires fon</w:t>
      </w:r>
      <w:r w:rsidR="00FE41E4" w:rsidRPr="00433347">
        <w:t>ctionnant dans la bande 1-3 GHz</w:t>
      </w:r>
      <w:r w:rsidRPr="00433347">
        <w:t>, soit dans la Recommandation UIT</w:t>
      </w:r>
      <w:r w:rsidRPr="00433347">
        <w:noBreakHyphen/>
        <w:t>R</w:t>
      </w:r>
      <w:r w:rsidR="00FE41E4" w:rsidRPr="00433347">
        <w:t> </w:t>
      </w:r>
      <w:r w:rsidRPr="00433347">
        <w:t>M.1480</w:t>
      </w:r>
      <w:r w:rsidR="00FE41E4" w:rsidRPr="00433347">
        <w:t xml:space="preserve"> – </w:t>
      </w:r>
      <w:r w:rsidRPr="00433347">
        <w:t>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w:t>
      </w:r>
      <w:r w:rsidR="00FE41E4" w:rsidRPr="00433347">
        <w:t xml:space="preserve"> de fréquences entre 1 et 3 GHz</w:t>
      </w:r>
      <w:r w:rsidR="00CA4340" w:rsidRPr="00433347">
        <w:t>,</w:t>
      </w:r>
      <w:r w:rsidR="0089729B" w:rsidRPr="00433347">
        <w:t xml:space="preserve"> lorsque ces terminaux fonctionnent comme des terminaux de satellite IMT-2000</w:t>
      </w:r>
      <w:r w:rsidRPr="00433347">
        <w:t xml:space="preserve">; </w:t>
      </w:r>
    </w:p>
    <w:p w:rsidR="0089729B" w:rsidRPr="00433347" w:rsidRDefault="0089729B" w:rsidP="00433347">
      <w:pPr>
        <w:pStyle w:val="enumlev1"/>
      </w:pPr>
      <w:r w:rsidRPr="00433347">
        <w:lastRenderedPageBreak/>
        <w:t>–</w:t>
      </w:r>
      <w:r w:rsidRPr="00433347">
        <w:tab/>
        <w:t xml:space="preserve">respect </w:t>
      </w:r>
      <w:r w:rsidR="00435710" w:rsidRPr="00433347">
        <w:t>des normes IMT évoluées mentionnées dans la Recommandation UIT-R M.2047</w:t>
      </w:r>
      <w:r w:rsidR="00575786">
        <w:t>,</w:t>
      </w:r>
      <w:r w:rsidR="00435710" w:rsidRPr="00433347">
        <w:t xml:space="preserve"> lorsque ces terminaux fonctionnent comme des terminaux de satellite IMT évoluées;</w:t>
      </w:r>
    </w:p>
    <w:p w:rsidR="00DE39A5" w:rsidRPr="00433347" w:rsidRDefault="00DE39A5" w:rsidP="00575786">
      <w:r w:rsidRPr="00433347">
        <w:rPr>
          <w:b/>
          <w:bCs/>
        </w:rPr>
        <w:t>2</w:t>
      </w:r>
      <w:r w:rsidRPr="00433347">
        <w:tab/>
        <w:t>de veiller à ce que les terminaux de satellite appliquent le principe de réception avant émission ou utilisent, le cas échéant, d'autres moyens techniques permettant d'éviter les brouillages préjudiciables;</w:t>
      </w:r>
    </w:p>
    <w:p w:rsidR="00DE39A5" w:rsidRDefault="00DE39A5" w:rsidP="00575786">
      <w:r w:rsidRPr="00433347">
        <w:rPr>
          <w:b/>
          <w:bCs/>
        </w:rPr>
        <w:t>3</w:t>
      </w:r>
      <w:r w:rsidRPr="00433347">
        <w:tab/>
        <w:t>de faire en sorte que, en cas de détection d'un dérangement causant un brouillage préjudiciable, les terminaux de satellite IMT soient en mesure, lorsque cela est possible, de limiter ce brouillage à un niveau minimum.</w:t>
      </w:r>
    </w:p>
    <w:p w:rsidR="00722C94" w:rsidRPr="00433347" w:rsidRDefault="00722C94" w:rsidP="00722C94"/>
    <w:p w:rsidR="00575786" w:rsidRPr="00722C94" w:rsidRDefault="00575786" w:rsidP="00722C94">
      <w:pPr>
        <w:rPr>
          <w:lang w:val="fr-CH"/>
        </w:rPr>
      </w:pPr>
    </w:p>
    <w:p w:rsidR="00575786" w:rsidRDefault="00575786">
      <w:pPr>
        <w:jc w:val="center"/>
      </w:pPr>
      <w:r>
        <w:t>______________</w:t>
      </w:r>
    </w:p>
    <w:p w:rsidR="00722C94" w:rsidRDefault="00722C94" w:rsidP="00722C94"/>
    <w:sectPr w:rsidR="00722C94" w:rsidSect="00613BAC">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01" w:rsidRDefault="006C1F01">
      <w:r>
        <w:separator/>
      </w:r>
    </w:p>
  </w:endnote>
  <w:endnote w:type="continuationSeparator" w:id="0">
    <w:p w:rsidR="006C1F01" w:rsidRDefault="006C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E3" w:rsidRPr="00E400E3" w:rsidRDefault="00E400E3" w:rsidP="00E400E3">
    <w:pPr>
      <w:pStyle w:val="Footer"/>
      <w:rPr>
        <w:sz w:val="16"/>
        <w:szCs w:val="16"/>
      </w:rPr>
    </w:pPr>
    <w:r w:rsidRPr="00E400E3">
      <w:rPr>
        <w:sz w:val="16"/>
        <w:szCs w:val="16"/>
      </w:rPr>
      <w:fldChar w:fldCharType="begin"/>
    </w:r>
    <w:r w:rsidRPr="00E400E3">
      <w:rPr>
        <w:sz w:val="16"/>
        <w:szCs w:val="16"/>
      </w:rPr>
      <w:instrText xml:space="preserve"> FILENAME \p  \* MERGEFORMAT </w:instrText>
    </w:r>
    <w:r w:rsidRPr="00E400E3">
      <w:rPr>
        <w:sz w:val="16"/>
        <w:szCs w:val="16"/>
      </w:rPr>
      <w:fldChar w:fldCharType="separate"/>
    </w:r>
    <w:r w:rsidR="00B73B0D">
      <w:rPr>
        <w:sz w:val="16"/>
        <w:szCs w:val="16"/>
      </w:rPr>
      <w:t>P:\QPUB\BR\REC\M\2014-1\M2014-1F.docx</w:t>
    </w:r>
    <w:r w:rsidRPr="00E400E3">
      <w:rPr>
        <w:sz w:val="16"/>
        <w:szCs w:val="16"/>
      </w:rPr>
      <w:fldChar w:fldCharType="end"/>
    </w:r>
    <w:r w:rsidRPr="00E400E3">
      <w:rPr>
        <w:sz w:val="16"/>
        <w:szCs w:val="16"/>
      </w:rPr>
      <w:t xml:space="preserve"> (386737)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E3" w:rsidRDefault="00E400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0E3" w:rsidRPr="00613BAC" w:rsidRDefault="00E400E3" w:rsidP="00613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01" w:rsidRDefault="006C1F01">
      <w:r>
        <w:separator/>
      </w:r>
    </w:p>
  </w:footnote>
  <w:footnote w:type="continuationSeparator" w:id="0">
    <w:p w:rsidR="006C1F01" w:rsidRDefault="006C1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F01" w:rsidRDefault="006C1F0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F01" w:rsidRDefault="006C1F01" w:rsidP="00C668C8">
    <w:pPr>
      <w:pStyle w:val="Header"/>
      <w:ind w:right="360" w:firstLine="360"/>
    </w:pPr>
    <w:r>
      <w:rPr>
        <w:noProof/>
        <w:lang w:val="en-US" w:eastAsia="zh-CN"/>
      </w:rPr>
      <w:drawing>
        <wp:anchor distT="0" distB="0" distL="114300" distR="114300" simplePos="0" relativeHeight="251659264" behindDoc="1" locked="0" layoutInCell="1" allowOverlap="1" wp14:anchorId="0D9568FA" wp14:editId="37E8F8F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F01" w:rsidRPr="006C1F01" w:rsidRDefault="006C1F01">
    <w:pPr>
      <w:pStyle w:val="Header"/>
      <w:jc w:val="left"/>
    </w:pPr>
    <w:r>
      <w:rPr>
        <w:rStyle w:val="PageNumber"/>
        <w:b/>
        <w:bCs/>
      </w:rPr>
      <w:fldChar w:fldCharType="begin"/>
    </w:r>
    <w:r w:rsidRPr="006C1F01">
      <w:rPr>
        <w:rStyle w:val="PageNumber"/>
        <w:b/>
        <w:bCs/>
      </w:rPr>
      <w:instrText xml:space="preserve"> PAGE </w:instrText>
    </w:r>
    <w:r>
      <w:rPr>
        <w:rStyle w:val="PageNumber"/>
        <w:b/>
        <w:bCs/>
      </w:rPr>
      <w:fldChar w:fldCharType="separate"/>
    </w:r>
    <w:r w:rsidR="00B73B0D">
      <w:rPr>
        <w:rStyle w:val="PageNumber"/>
        <w:b/>
        <w:bCs/>
        <w:noProof/>
      </w:rPr>
      <w:t>ii</w:t>
    </w:r>
    <w:r>
      <w:rPr>
        <w:rStyle w:val="PageNumber"/>
        <w:b/>
        <w:bCs/>
      </w:rPr>
      <w:fldChar w:fldCharType="end"/>
    </w:r>
    <w:r w:rsidRPr="006C1F01">
      <w:tab/>
    </w:r>
    <w:r>
      <w:fldChar w:fldCharType="begin"/>
    </w:r>
    <w:r w:rsidRPr="006C1F01">
      <w:instrText xml:space="preserve"> DOCPROPERTY "Header" \* MERGEFORMAT </w:instrText>
    </w:r>
    <w:r>
      <w:fldChar w:fldCharType="separate"/>
    </w:r>
    <w:r w:rsidR="00B73B0D" w:rsidRPr="00B73B0D">
      <w:rPr>
        <w:b/>
        <w:bCs/>
      </w:rPr>
      <w:t xml:space="preserve">Rec. </w:t>
    </w:r>
    <w:r>
      <w:rPr>
        <w:b/>
        <w:bCs/>
      </w:rPr>
      <w:fldChar w:fldCharType="end"/>
    </w:r>
    <w:r w:rsidRPr="006C1F01">
      <w:rPr>
        <w:b/>
        <w:bCs/>
      </w:rPr>
      <w:t xml:space="preserve"> </w:t>
    </w:r>
    <w:r>
      <w:rPr>
        <w:b/>
        <w:bCs/>
      </w:rPr>
      <w:fldChar w:fldCharType="begin"/>
    </w:r>
    <w:r w:rsidRPr="006C1F01">
      <w:rPr>
        <w:b/>
        <w:bCs/>
      </w:rPr>
      <w:instrText>styleref href</w:instrText>
    </w:r>
    <w:r>
      <w:rPr>
        <w:b/>
        <w:bCs/>
      </w:rPr>
      <w:fldChar w:fldCharType="separate"/>
    </w:r>
    <w:r w:rsidR="00B73B0D">
      <w:rPr>
        <w:b/>
        <w:bCs/>
        <w:noProof/>
      </w:rPr>
      <w:t>UIT-R  M.2014-1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F01" w:rsidRDefault="006C1F01">
    <w:pPr>
      <w:pStyle w:val="Header"/>
    </w:pPr>
    <w:r>
      <w:tab/>
    </w:r>
    <w:r w:rsidR="00B73B0D">
      <w:fldChar w:fldCharType="begin"/>
    </w:r>
    <w:r w:rsidR="00B73B0D">
      <w:instrText xml:space="preserve"> DOCPROPERTY "Header" \* MERGEFORMAT </w:instrText>
    </w:r>
    <w:r w:rsidR="00B73B0D">
      <w:fldChar w:fldCharType="separate"/>
    </w:r>
    <w:r w:rsidR="00B73B0D" w:rsidRPr="00B73B0D">
      <w:rPr>
        <w:b/>
        <w:bCs/>
      </w:rPr>
      <w:t xml:space="preserve">Rec. </w:t>
    </w:r>
    <w:r w:rsidR="00B73B0D">
      <w:rPr>
        <w:b/>
        <w:bCs/>
      </w:rPr>
      <w:fldChar w:fldCharType="end"/>
    </w:r>
    <w:r>
      <w:rPr>
        <w:b/>
        <w:bCs/>
      </w:rPr>
      <w:t xml:space="preserve"> </w:t>
    </w:r>
    <w:r>
      <w:rPr>
        <w:b/>
        <w:bCs/>
      </w:rPr>
      <w:fldChar w:fldCharType="begin"/>
    </w:r>
    <w:r>
      <w:rPr>
        <w:b/>
        <w:bCs/>
      </w:rPr>
      <w:instrText>styleref href</w:instrText>
    </w:r>
    <w:r>
      <w:rPr>
        <w:b/>
        <w:bCs/>
      </w:rPr>
      <w:fldChar w:fldCharType="separate"/>
    </w:r>
    <w:r w:rsidR="00B73B0D">
      <w:rPr>
        <w:b/>
        <w:bCs/>
        <w:noProof/>
      </w:rPr>
      <w:t>UIT-R  M.2014-1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3BAC">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3B0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73B0D" w:rsidRPr="00B73B0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3B0D">
      <w:rPr>
        <w:b/>
        <w:bCs/>
        <w:noProof/>
      </w:rPr>
      <w:t>UIT-R  M.2014-1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73B0D">
      <w:fldChar w:fldCharType="begin"/>
    </w:r>
    <w:r w:rsidR="00B73B0D">
      <w:instrText xml:space="preserve"> DOCPROPERTY "Header" \* MERGEFORMAT </w:instrText>
    </w:r>
    <w:r w:rsidR="00B73B0D">
      <w:fldChar w:fldCharType="separate"/>
    </w:r>
    <w:r w:rsidR="00B73B0D" w:rsidRPr="00B73B0D">
      <w:rPr>
        <w:b/>
        <w:bCs/>
      </w:rPr>
      <w:t xml:space="preserve">Rec. </w:t>
    </w:r>
    <w:r w:rsidR="00B73B0D">
      <w:rPr>
        <w:b/>
        <w:bCs/>
      </w:rPr>
      <w:fldChar w:fldCharType="end"/>
    </w:r>
    <w:r>
      <w:rPr>
        <w:b/>
        <w:bCs/>
      </w:rPr>
      <w:t xml:space="preserve"> </w:t>
    </w:r>
    <w:r>
      <w:rPr>
        <w:b/>
        <w:bCs/>
      </w:rPr>
      <w:fldChar w:fldCharType="begin"/>
    </w:r>
    <w:r>
      <w:rPr>
        <w:b/>
        <w:bCs/>
      </w:rPr>
      <w:instrText>styleref href</w:instrText>
    </w:r>
    <w:r>
      <w:rPr>
        <w:b/>
        <w:bCs/>
      </w:rPr>
      <w:fldChar w:fldCharType="separate"/>
    </w:r>
    <w:r w:rsidR="00B73B0D">
      <w:rPr>
        <w:b/>
        <w:bCs/>
        <w:noProof/>
      </w:rPr>
      <w:t>UIT-R  M.2014-1</w:t>
    </w:r>
    <w:r>
      <w:rPr>
        <w:b/>
        <w:bCs/>
      </w:rPr>
      <w:fldChar w:fldCharType="end"/>
    </w:r>
    <w:r>
      <w:tab/>
    </w:r>
    <w:r w:rsidR="006C1F01" w:rsidRPr="006C1F01">
      <w:rPr>
        <w:b/>
        <w:bCs/>
      </w:rPr>
      <w:fldChar w:fldCharType="begin"/>
    </w:r>
    <w:r w:rsidR="006C1F01" w:rsidRPr="006C1F01">
      <w:rPr>
        <w:b/>
        <w:bCs/>
      </w:rPr>
      <w:instrText>PAGE   \* MERGEFORMAT</w:instrText>
    </w:r>
    <w:r w:rsidR="006C1F01" w:rsidRPr="006C1F01">
      <w:rPr>
        <w:b/>
        <w:bCs/>
      </w:rPr>
      <w:fldChar w:fldCharType="separate"/>
    </w:r>
    <w:r w:rsidR="00B73B0D">
      <w:rPr>
        <w:b/>
        <w:bCs/>
        <w:noProof/>
      </w:rPr>
      <w:t>3</w:t>
    </w:r>
    <w:r w:rsidR="006C1F01" w:rsidRPr="006C1F01">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F01"/>
    <w:rsid w:val="00091F37"/>
    <w:rsid w:val="000961C8"/>
    <w:rsid w:val="000E0192"/>
    <w:rsid w:val="00114B32"/>
    <w:rsid w:val="001D0F7C"/>
    <w:rsid w:val="00217EBF"/>
    <w:rsid w:val="00242AEE"/>
    <w:rsid w:val="0025189B"/>
    <w:rsid w:val="002D76C4"/>
    <w:rsid w:val="002F50E2"/>
    <w:rsid w:val="0030759A"/>
    <w:rsid w:val="003829B3"/>
    <w:rsid w:val="00384906"/>
    <w:rsid w:val="00423729"/>
    <w:rsid w:val="00433347"/>
    <w:rsid w:val="00435710"/>
    <w:rsid w:val="0049519B"/>
    <w:rsid w:val="005052AD"/>
    <w:rsid w:val="0052529D"/>
    <w:rsid w:val="00575786"/>
    <w:rsid w:val="00595547"/>
    <w:rsid w:val="00607D68"/>
    <w:rsid w:val="00610307"/>
    <w:rsid w:val="00613BAC"/>
    <w:rsid w:val="006C1F01"/>
    <w:rsid w:val="00722C94"/>
    <w:rsid w:val="007468DA"/>
    <w:rsid w:val="00752506"/>
    <w:rsid w:val="0089729B"/>
    <w:rsid w:val="008F1ACF"/>
    <w:rsid w:val="009114AB"/>
    <w:rsid w:val="009E00A8"/>
    <w:rsid w:val="00A37575"/>
    <w:rsid w:val="00A6617B"/>
    <w:rsid w:val="00AB0DC8"/>
    <w:rsid w:val="00B16309"/>
    <w:rsid w:val="00B33200"/>
    <w:rsid w:val="00B36B02"/>
    <w:rsid w:val="00B44E24"/>
    <w:rsid w:val="00B73B0D"/>
    <w:rsid w:val="00BA11E6"/>
    <w:rsid w:val="00BD3A0A"/>
    <w:rsid w:val="00CA4340"/>
    <w:rsid w:val="00DE39A5"/>
    <w:rsid w:val="00DF4176"/>
    <w:rsid w:val="00E2520F"/>
    <w:rsid w:val="00E400E3"/>
    <w:rsid w:val="00E62F2E"/>
    <w:rsid w:val="00F010DC"/>
    <w:rsid w:val="00F50806"/>
    <w:rsid w:val="00FE41E4"/>
    <w:rsid w:val="00FE5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E6F83BF-5596-473E-BD0B-C7DC1072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A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F1ACF"/>
    <w:pPr>
      <w:keepNext/>
      <w:keepLines/>
      <w:spacing w:before="480"/>
      <w:ind w:left="794" w:hanging="794"/>
      <w:outlineLvl w:val="0"/>
    </w:pPr>
    <w:rPr>
      <w:b/>
    </w:rPr>
  </w:style>
  <w:style w:type="paragraph" w:styleId="Heading2">
    <w:name w:val="heading 2"/>
    <w:basedOn w:val="Heading1"/>
    <w:next w:val="Normal"/>
    <w:qFormat/>
    <w:rsid w:val="008F1ACF"/>
    <w:pPr>
      <w:spacing w:before="320"/>
      <w:outlineLvl w:val="1"/>
    </w:pPr>
  </w:style>
  <w:style w:type="paragraph" w:styleId="Heading3">
    <w:name w:val="heading 3"/>
    <w:basedOn w:val="Heading1"/>
    <w:next w:val="Normal"/>
    <w:qFormat/>
    <w:rsid w:val="008F1ACF"/>
    <w:pPr>
      <w:spacing w:before="200"/>
      <w:outlineLvl w:val="2"/>
    </w:pPr>
  </w:style>
  <w:style w:type="paragraph" w:styleId="Heading4">
    <w:name w:val="heading 4"/>
    <w:basedOn w:val="Heading3"/>
    <w:next w:val="Normal"/>
    <w:qFormat/>
    <w:rsid w:val="008F1ACF"/>
    <w:pPr>
      <w:tabs>
        <w:tab w:val="clear" w:pos="794"/>
        <w:tab w:val="left" w:pos="992"/>
      </w:tabs>
      <w:ind w:left="992" w:hanging="992"/>
      <w:outlineLvl w:val="3"/>
    </w:pPr>
  </w:style>
  <w:style w:type="paragraph" w:styleId="Heading5">
    <w:name w:val="heading 5"/>
    <w:basedOn w:val="Heading4"/>
    <w:next w:val="Normal"/>
    <w:qFormat/>
    <w:rsid w:val="008F1ACF"/>
    <w:pPr>
      <w:outlineLvl w:val="4"/>
    </w:pPr>
  </w:style>
  <w:style w:type="paragraph" w:styleId="Heading6">
    <w:name w:val="heading 6"/>
    <w:basedOn w:val="Heading4"/>
    <w:next w:val="Normal"/>
    <w:qFormat/>
    <w:rsid w:val="008F1ACF"/>
    <w:pPr>
      <w:tabs>
        <w:tab w:val="clear" w:pos="992"/>
        <w:tab w:val="clear" w:pos="1191"/>
      </w:tabs>
      <w:ind w:left="1588" w:hanging="1588"/>
      <w:outlineLvl w:val="5"/>
    </w:pPr>
  </w:style>
  <w:style w:type="paragraph" w:styleId="Heading7">
    <w:name w:val="heading 7"/>
    <w:basedOn w:val="Heading6"/>
    <w:next w:val="Normal"/>
    <w:qFormat/>
    <w:rsid w:val="008F1ACF"/>
    <w:pPr>
      <w:outlineLvl w:val="6"/>
    </w:pPr>
  </w:style>
  <w:style w:type="paragraph" w:styleId="Heading8">
    <w:name w:val="heading 8"/>
    <w:basedOn w:val="Heading6"/>
    <w:next w:val="Normal"/>
    <w:qFormat/>
    <w:rsid w:val="008F1ACF"/>
    <w:pPr>
      <w:outlineLvl w:val="7"/>
    </w:pPr>
  </w:style>
  <w:style w:type="paragraph" w:styleId="Heading9">
    <w:name w:val="heading 9"/>
    <w:basedOn w:val="Heading6"/>
    <w:next w:val="Normal"/>
    <w:qFormat/>
    <w:rsid w:val="008F1A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1A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1A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1ACF"/>
  </w:style>
  <w:style w:type="paragraph" w:customStyle="1" w:styleId="Headingb">
    <w:name w:val="Heading_b"/>
    <w:basedOn w:val="Heading3"/>
    <w:next w:val="Normal"/>
    <w:rsid w:val="008F1ACF"/>
    <w:pPr>
      <w:spacing w:before="160"/>
      <w:ind w:left="0" w:firstLine="0"/>
      <w:outlineLvl w:val="9"/>
    </w:pPr>
  </w:style>
  <w:style w:type="paragraph" w:customStyle="1" w:styleId="Headingi">
    <w:name w:val="Heading_i"/>
    <w:basedOn w:val="Heading3"/>
    <w:next w:val="Normal"/>
    <w:rsid w:val="008F1ACF"/>
    <w:pPr>
      <w:spacing w:before="160"/>
      <w:ind w:left="0" w:firstLine="0"/>
    </w:pPr>
    <w:rPr>
      <w:b w:val="0"/>
      <w:i/>
    </w:rPr>
  </w:style>
  <w:style w:type="character" w:customStyle="1" w:styleId="href">
    <w:name w:val="href"/>
    <w:basedOn w:val="DefaultParagraphFont"/>
    <w:rsid w:val="008F1ACF"/>
  </w:style>
  <w:style w:type="paragraph" w:customStyle="1" w:styleId="enumlev1">
    <w:name w:val="enumlev1"/>
    <w:basedOn w:val="Normal"/>
    <w:rsid w:val="008F1ACF"/>
    <w:pPr>
      <w:spacing w:before="80"/>
      <w:ind w:left="794" w:hanging="794"/>
    </w:pPr>
  </w:style>
  <w:style w:type="paragraph" w:customStyle="1" w:styleId="enumlev2">
    <w:name w:val="enumlev2"/>
    <w:basedOn w:val="enumlev1"/>
    <w:rsid w:val="008F1ACF"/>
    <w:pPr>
      <w:ind w:left="1191" w:hanging="397"/>
    </w:pPr>
  </w:style>
  <w:style w:type="paragraph" w:customStyle="1" w:styleId="enumlev3">
    <w:name w:val="enumlev3"/>
    <w:basedOn w:val="enumlev2"/>
    <w:rsid w:val="008F1ACF"/>
    <w:pPr>
      <w:ind w:left="1588"/>
    </w:pPr>
  </w:style>
  <w:style w:type="paragraph" w:customStyle="1" w:styleId="Normalaftertitle">
    <w:name w:val="Normal_after_title"/>
    <w:basedOn w:val="Normal"/>
    <w:next w:val="Normal"/>
    <w:rsid w:val="008F1ACF"/>
    <w:pPr>
      <w:spacing w:before="320"/>
    </w:pPr>
  </w:style>
  <w:style w:type="paragraph" w:customStyle="1" w:styleId="Note">
    <w:name w:val="Note"/>
    <w:basedOn w:val="Normal"/>
    <w:rsid w:val="008F1A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1A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1ACF"/>
    <w:pPr>
      <w:spacing w:before="240"/>
    </w:pPr>
    <w:rPr>
      <w:sz w:val="22"/>
      <w:lang w:val="es-ES_tradnl"/>
    </w:rPr>
  </w:style>
  <w:style w:type="paragraph" w:customStyle="1" w:styleId="Recref">
    <w:name w:val="Rec_ref"/>
    <w:basedOn w:val="Normal"/>
    <w:next w:val="Recdate"/>
    <w:rsid w:val="008F1ACF"/>
    <w:pPr>
      <w:jc w:val="center"/>
    </w:pPr>
  </w:style>
  <w:style w:type="paragraph" w:customStyle="1" w:styleId="Recdate">
    <w:name w:val="Rec_date"/>
    <w:basedOn w:val="Recref"/>
    <w:next w:val="Normalaftertitle"/>
    <w:rsid w:val="008F1ACF"/>
    <w:pPr>
      <w:jc w:val="right"/>
    </w:pPr>
  </w:style>
  <w:style w:type="paragraph" w:customStyle="1" w:styleId="AnnexNoTitle">
    <w:name w:val="Annex_NoTitle"/>
    <w:basedOn w:val="Normal"/>
    <w:next w:val="Normalaftertitle"/>
    <w:rsid w:val="008F1ACF"/>
    <w:pPr>
      <w:keepNext/>
      <w:keepLines/>
      <w:spacing w:before="480" w:after="80"/>
      <w:jc w:val="center"/>
    </w:pPr>
    <w:rPr>
      <w:b/>
      <w:sz w:val="28"/>
    </w:rPr>
  </w:style>
  <w:style w:type="paragraph" w:customStyle="1" w:styleId="AppendixNoTitle">
    <w:name w:val="Appendix_NoTitle"/>
    <w:basedOn w:val="AnnexNoTitle"/>
    <w:next w:val="Normal"/>
    <w:rsid w:val="008F1ACF"/>
  </w:style>
  <w:style w:type="paragraph" w:customStyle="1" w:styleId="Tablefin">
    <w:name w:val="Table_fin"/>
    <w:basedOn w:val="Normal"/>
    <w:next w:val="Normal"/>
    <w:rsid w:val="008F1ACF"/>
    <w:pPr>
      <w:spacing w:before="0"/>
    </w:pPr>
    <w:rPr>
      <w:sz w:val="20"/>
      <w:lang w:val="en-GB"/>
    </w:rPr>
  </w:style>
  <w:style w:type="paragraph" w:customStyle="1" w:styleId="Tablehead">
    <w:name w:val="Table_head"/>
    <w:basedOn w:val="Normal"/>
    <w:next w:val="Normal"/>
    <w:rsid w:val="008F1A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1ACF"/>
    <w:pPr>
      <w:keepNext/>
      <w:spacing w:before="360" w:after="120"/>
      <w:jc w:val="center"/>
    </w:pPr>
  </w:style>
  <w:style w:type="paragraph" w:customStyle="1" w:styleId="Tabletext">
    <w:name w:val="Table_text"/>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1ACF"/>
    <w:pPr>
      <w:tabs>
        <w:tab w:val="clear" w:pos="1191"/>
        <w:tab w:val="clear" w:pos="1588"/>
        <w:tab w:val="clear" w:pos="1985"/>
        <w:tab w:val="center" w:pos="4820"/>
        <w:tab w:val="right" w:pos="9639"/>
      </w:tabs>
    </w:pPr>
  </w:style>
  <w:style w:type="paragraph" w:customStyle="1" w:styleId="Equationlegend">
    <w:name w:val="Equation_legend"/>
    <w:basedOn w:val="NormalIndent"/>
    <w:rsid w:val="008F1A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1ACF"/>
    <w:pPr>
      <w:ind w:left="794"/>
    </w:pPr>
  </w:style>
  <w:style w:type="paragraph" w:customStyle="1" w:styleId="Figurelegend">
    <w:name w:val="Figure_legend"/>
    <w:basedOn w:val="Normal"/>
    <w:rsid w:val="008F1A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1ACF"/>
    <w:pPr>
      <w:keepNext/>
      <w:keepLines/>
      <w:spacing w:before="480" w:after="80"/>
      <w:jc w:val="center"/>
    </w:pPr>
    <w:rPr>
      <w:caps/>
      <w:sz w:val="18"/>
    </w:rPr>
  </w:style>
  <w:style w:type="paragraph" w:customStyle="1" w:styleId="tocpart">
    <w:name w:val="tocpart"/>
    <w:basedOn w:val="Normal"/>
    <w:rsid w:val="008F1A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1ACF"/>
    <w:pPr>
      <w:keepNext/>
      <w:keepLines/>
      <w:spacing w:before="480"/>
      <w:jc w:val="center"/>
    </w:pPr>
    <w:rPr>
      <w:sz w:val="28"/>
    </w:rPr>
  </w:style>
  <w:style w:type="paragraph" w:customStyle="1" w:styleId="Arttitle">
    <w:name w:val="Art_title"/>
    <w:basedOn w:val="Normal"/>
    <w:next w:val="Normalaftertitle"/>
    <w:rsid w:val="008F1ACF"/>
    <w:pPr>
      <w:keepNext/>
      <w:keepLines/>
      <w:spacing w:before="240"/>
      <w:jc w:val="center"/>
    </w:pPr>
    <w:rPr>
      <w:b/>
      <w:sz w:val="28"/>
    </w:rPr>
  </w:style>
  <w:style w:type="paragraph" w:customStyle="1" w:styleId="Blanc">
    <w:name w:val="Blanc"/>
    <w:basedOn w:val="Normal"/>
    <w:next w:val="Tabletext"/>
    <w:rsid w:val="008F1A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1A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1ACF"/>
    <w:pPr>
      <w:keepNext/>
      <w:keepLines/>
      <w:spacing w:before="160"/>
      <w:ind w:left="794"/>
    </w:pPr>
    <w:rPr>
      <w:i/>
    </w:rPr>
  </w:style>
  <w:style w:type="paragraph" w:customStyle="1" w:styleId="ChapNo">
    <w:name w:val="Chap_No"/>
    <w:basedOn w:val="ArtNo"/>
    <w:next w:val="Chaptitle"/>
    <w:rsid w:val="008F1ACF"/>
    <w:rPr>
      <w:b/>
    </w:rPr>
  </w:style>
  <w:style w:type="paragraph" w:customStyle="1" w:styleId="Chaptitle">
    <w:name w:val="Chap_title"/>
    <w:basedOn w:val="Arttitle"/>
    <w:next w:val="Normalaftertitle"/>
    <w:rsid w:val="008F1ACF"/>
  </w:style>
  <w:style w:type="character" w:styleId="FootnoteReference">
    <w:name w:val="footnote reference"/>
    <w:basedOn w:val="DefaultParagraphFont"/>
    <w:semiHidden/>
    <w:rsid w:val="008F1ACF"/>
    <w:rPr>
      <w:position w:val="6"/>
      <w:sz w:val="18"/>
    </w:rPr>
  </w:style>
  <w:style w:type="paragraph" w:styleId="FootnoteText">
    <w:name w:val="footnote text"/>
    <w:basedOn w:val="Normal"/>
    <w:semiHidden/>
    <w:rsid w:val="008F1ACF"/>
    <w:pPr>
      <w:keepLines/>
      <w:tabs>
        <w:tab w:val="left" w:pos="255"/>
      </w:tabs>
      <w:ind w:left="255" w:hanging="255"/>
    </w:pPr>
    <w:rPr>
      <w:sz w:val="22"/>
    </w:rPr>
  </w:style>
  <w:style w:type="paragraph" w:styleId="Index1">
    <w:name w:val="index 1"/>
    <w:basedOn w:val="Normal"/>
    <w:next w:val="Normal"/>
    <w:semiHidden/>
    <w:rsid w:val="008F1ACF"/>
  </w:style>
  <w:style w:type="paragraph" w:styleId="Index2">
    <w:name w:val="index 2"/>
    <w:basedOn w:val="Normal"/>
    <w:next w:val="Normal"/>
    <w:semiHidden/>
    <w:rsid w:val="008F1ACF"/>
    <w:pPr>
      <w:ind w:left="283"/>
    </w:pPr>
  </w:style>
  <w:style w:type="paragraph" w:styleId="Index3">
    <w:name w:val="index 3"/>
    <w:basedOn w:val="Normal"/>
    <w:next w:val="Normal"/>
    <w:semiHidden/>
    <w:rsid w:val="008F1ACF"/>
    <w:pPr>
      <w:ind w:left="566"/>
    </w:pPr>
  </w:style>
  <w:style w:type="paragraph" w:styleId="IndexHeading">
    <w:name w:val="index heading"/>
    <w:basedOn w:val="Normal"/>
    <w:next w:val="Index1"/>
    <w:semiHidden/>
    <w:rsid w:val="008F1ACF"/>
  </w:style>
  <w:style w:type="paragraph" w:customStyle="1" w:styleId="Line">
    <w:name w:val="Line"/>
    <w:basedOn w:val="Normal"/>
    <w:next w:val="Normal"/>
    <w:rsid w:val="008F1A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1A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1ACF"/>
  </w:style>
  <w:style w:type="paragraph" w:customStyle="1" w:styleId="Partref">
    <w:name w:val="Part_ref"/>
    <w:basedOn w:val="Normal"/>
    <w:next w:val="Normal"/>
    <w:rsid w:val="008F1ACF"/>
    <w:pPr>
      <w:keepNext/>
      <w:keepLines/>
      <w:spacing w:after="280"/>
      <w:jc w:val="center"/>
    </w:pPr>
  </w:style>
  <w:style w:type="paragraph" w:customStyle="1" w:styleId="Parttitle">
    <w:name w:val="Part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1ACF"/>
  </w:style>
  <w:style w:type="paragraph" w:customStyle="1" w:styleId="QuestionNo">
    <w:name w:val="Question_No"/>
    <w:basedOn w:val="RecNo"/>
    <w:next w:val="Normal"/>
    <w:rsid w:val="008F1ACF"/>
  </w:style>
  <w:style w:type="paragraph" w:customStyle="1" w:styleId="Questionref">
    <w:name w:val="Question_ref"/>
    <w:basedOn w:val="Recref"/>
    <w:next w:val="Questiondate"/>
    <w:rsid w:val="008F1ACF"/>
  </w:style>
  <w:style w:type="paragraph" w:customStyle="1" w:styleId="Questiontitle">
    <w:name w:val="Question_title"/>
    <w:basedOn w:val="Normal"/>
    <w:next w:val="Questionref"/>
    <w:rsid w:val="008F1ACF"/>
  </w:style>
  <w:style w:type="paragraph" w:customStyle="1" w:styleId="Reftext">
    <w:name w:val="Ref_text"/>
    <w:basedOn w:val="Normal"/>
    <w:rsid w:val="008F1ACF"/>
    <w:pPr>
      <w:ind w:left="794" w:hanging="794"/>
    </w:pPr>
    <w:rPr>
      <w:sz w:val="22"/>
    </w:rPr>
  </w:style>
  <w:style w:type="paragraph" w:customStyle="1" w:styleId="Reftitle">
    <w:name w:val="Ref_title"/>
    <w:basedOn w:val="Normal"/>
    <w:next w:val="Reftext"/>
    <w:rsid w:val="008F1A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1ACF"/>
  </w:style>
  <w:style w:type="paragraph" w:customStyle="1" w:styleId="RepNo">
    <w:name w:val="Rep_No"/>
    <w:basedOn w:val="RecNo"/>
    <w:next w:val="Reptitle"/>
    <w:rsid w:val="008F1ACF"/>
  </w:style>
  <w:style w:type="paragraph" w:customStyle="1" w:styleId="Repref">
    <w:name w:val="Rep_ref"/>
    <w:basedOn w:val="Recref"/>
    <w:next w:val="Repdate"/>
    <w:rsid w:val="008F1ACF"/>
  </w:style>
  <w:style w:type="paragraph" w:customStyle="1" w:styleId="Reptitle">
    <w:name w:val="Rep_title"/>
    <w:basedOn w:val="Rectitle"/>
    <w:next w:val="Repref"/>
    <w:rsid w:val="008F1ACF"/>
  </w:style>
  <w:style w:type="paragraph" w:customStyle="1" w:styleId="Resdate">
    <w:name w:val="Res_date"/>
    <w:basedOn w:val="Recdate"/>
    <w:next w:val="Normalaftertitle"/>
    <w:rsid w:val="008F1ACF"/>
  </w:style>
  <w:style w:type="paragraph" w:customStyle="1" w:styleId="ResNo">
    <w:name w:val="Res_No"/>
    <w:basedOn w:val="RecNo"/>
    <w:next w:val="Restitle"/>
    <w:rsid w:val="008F1ACF"/>
  </w:style>
  <w:style w:type="paragraph" w:customStyle="1" w:styleId="Resref">
    <w:name w:val="Res_ref"/>
    <w:basedOn w:val="Recref"/>
    <w:next w:val="Resdate"/>
    <w:rsid w:val="008F1ACF"/>
  </w:style>
  <w:style w:type="paragraph" w:customStyle="1" w:styleId="Restitle">
    <w:name w:val="Res_title"/>
    <w:basedOn w:val="Normal"/>
    <w:next w:val="Resref"/>
    <w:rsid w:val="008F1ACF"/>
    <w:pPr>
      <w:spacing w:before="240"/>
      <w:jc w:val="center"/>
    </w:pPr>
    <w:rPr>
      <w:b/>
      <w:sz w:val="28"/>
    </w:rPr>
  </w:style>
  <w:style w:type="paragraph" w:customStyle="1" w:styleId="SectionNo">
    <w:name w:val="Section_No"/>
    <w:basedOn w:val="Normal"/>
    <w:next w:val="Normal"/>
    <w:rsid w:val="008F1ACF"/>
  </w:style>
  <w:style w:type="paragraph" w:customStyle="1" w:styleId="Sectiontitle">
    <w:name w:val="Section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1ACF"/>
    <w:pPr>
      <w:tabs>
        <w:tab w:val="clear" w:pos="794"/>
        <w:tab w:val="clear" w:pos="1191"/>
        <w:tab w:val="clear" w:pos="1588"/>
        <w:tab w:val="clear" w:pos="1985"/>
        <w:tab w:val="right" w:pos="9611"/>
      </w:tabs>
    </w:pPr>
    <w:rPr>
      <w:i/>
    </w:rPr>
  </w:style>
  <w:style w:type="paragraph" w:styleId="TOC1">
    <w:name w:val="toc 1"/>
    <w:basedOn w:val="Normal"/>
    <w:semiHidden/>
    <w:rsid w:val="008F1A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1ACF"/>
    <w:pPr>
      <w:tabs>
        <w:tab w:val="clear" w:pos="567"/>
        <w:tab w:val="left" w:pos="1276"/>
      </w:tabs>
      <w:spacing w:before="160"/>
      <w:ind w:left="1276" w:hanging="709"/>
    </w:pPr>
  </w:style>
  <w:style w:type="paragraph" w:styleId="TOC3">
    <w:name w:val="toc 3"/>
    <w:basedOn w:val="TOC2"/>
    <w:semiHidden/>
    <w:rsid w:val="008F1ACF"/>
    <w:pPr>
      <w:tabs>
        <w:tab w:val="clear" w:pos="1276"/>
        <w:tab w:val="left" w:pos="2155"/>
      </w:tabs>
      <w:ind w:left="2155" w:hanging="879"/>
    </w:pPr>
  </w:style>
  <w:style w:type="paragraph" w:styleId="TOC4">
    <w:name w:val="toc 4"/>
    <w:basedOn w:val="TOC3"/>
    <w:semiHidden/>
    <w:rsid w:val="008F1ACF"/>
    <w:pPr>
      <w:tabs>
        <w:tab w:val="left" w:pos="3261"/>
      </w:tabs>
      <w:spacing w:before="80"/>
      <w:ind w:left="3261" w:hanging="993"/>
    </w:pPr>
  </w:style>
  <w:style w:type="paragraph" w:styleId="TOC5">
    <w:name w:val="toc 5"/>
    <w:basedOn w:val="TOC4"/>
    <w:semiHidden/>
    <w:rsid w:val="008F1ACF"/>
  </w:style>
  <w:style w:type="paragraph" w:styleId="TOC6">
    <w:name w:val="toc 6"/>
    <w:basedOn w:val="TOC4"/>
    <w:semiHidden/>
    <w:rsid w:val="008F1ACF"/>
  </w:style>
  <w:style w:type="paragraph" w:styleId="TOC7">
    <w:name w:val="toc 7"/>
    <w:basedOn w:val="TOC4"/>
    <w:semiHidden/>
    <w:rsid w:val="008F1ACF"/>
  </w:style>
  <w:style w:type="paragraph" w:styleId="TOC8">
    <w:name w:val="toc 8"/>
    <w:basedOn w:val="TOC4"/>
    <w:semiHidden/>
    <w:rsid w:val="008F1ACF"/>
  </w:style>
  <w:style w:type="paragraph" w:customStyle="1" w:styleId="Rectitle">
    <w:name w:val="Rec_title"/>
    <w:basedOn w:val="Normal"/>
    <w:next w:val="Recref"/>
    <w:rsid w:val="008F1ACF"/>
    <w:pPr>
      <w:keepNext/>
      <w:keepLines/>
      <w:spacing w:before="240"/>
      <w:jc w:val="center"/>
    </w:pPr>
    <w:rPr>
      <w:b/>
      <w:sz w:val="28"/>
    </w:rPr>
  </w:style>
  <w:style w:type="paragraph" w:customStyle="1" w:styleId="Annexref">
    <w:name w:val="Annex_ref"/>
    <w:basedOn w:val="Normal"/>
    <w:next w:val="Normalaftertitle"/>
    <w:rsid w:val="008F1ACF"/>
    <w:pPr>
      <w:keepNext/>
      <w:keepLines/>
      <w:spacing w:after="280"/>
      <w:jc w:val="center"/>
    </w:pPr>
  </w:style>
  <w:style w:type="paragraph" w:customStyle="1" w:styleId="Appendixref">
    <w:name w:val="Appendix_ref"/>
    <w:basedOn w:val="Annexref"/>
    <w:next w:val="Normalaftertitle"/>
    <w:rsid w:val="008F1ACF"/>
  </w:style>
  <w:style w:type="paragraph" w:customStyle="1" w:styleId="Figuretitle">
    <w:name w:val="Figure_title"/>
    <w:basedOn w:val="Normal"/>
    <w:next w:val="Figure"/>
    <w:rsid w:val="008F1AC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F1ACF"/>
    <w:pPr>
      <w:keepNext/>
      <w:spacing w:before="0" w:after="120"/>
      <w:jc w:val="center"/>
    </w:pPr>
    <w:rPr>
      <w:b/>
    </w:rPr>
  </w:style>
  <w:style w:type="paragraph" w:customStyle="1" w:styleId="Summary">
    <w:name w:val="Summary"/>
    <w:basedOn w:val="Normal"/>
    <w:next w:val="Normalaftertitle"/>
    <w:autoRedefine/>
    <w:rsid w:val="00423729"/>
    <w:rPr>
      <w:sz w:val="22"/>
      <w:lang w:val="es-ES_tradnl"/>
    </w:rPr>
  </w:style>
  <w:style w:type="paragraph" w:customStyle="1" w:styleId="TableLegendNote">
    <w:name w:val="Table_Legend_Note"/>
    <w:basedOn w:val="Tablelegend"/>
    <w:next w:val="Tablelegend"/>
    <w:rsid w:val="008F1ACF"/>
    <w:pPr>
      <w:ind w:left="-85" w:firstLine="0"/>
    </w:pPr>
    <w:rPr>
      <w:lang w:val="en-US"/>
    </w:rPr>
  </w:style>
  <w:style w:type="paragraph" w:customStyle="1" w:styleId="Figure">
    <w:name w:val="Figure"/>
    <w:basedOn w:val="FigureNo"/>
    <w:next w:val="Normal"/>
    <w:rsid w:val="008F1ACF"/>
    <w:pPr>
      <w:keepNext w:val="0"/>
      <w:spacing w:before="0" w:after="240"/>
    </w:pPr>
  </w:style>
  <w:style w:type="character" w:styleId="Hyperlink">
    <w:name w:val="Hyperlink"/>
    <w:basedOn w:val="DefaultParagraphFont"/>
    <w:rsid w:val="006C1F01"/>
    <w:rPr>
      <w:color w:val="0000FF"/>
      <w:u w:val="single"/>
    </w:rPr>
  </w:style>
  <w:style w:type="paragraph" w:customStyle="1" w:styleId="Reasons">
    <w:name w:val="Reasons"/>
    <w:basedOn w:val="Normal"/>
    <w:qFormat/>
    <w:rsid w:val="0057578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1049">
      <w:bodyDiv w:val="1"/>
      <w:marLeft w:val="0"/>
      <w:marRight w:val="0"/>
      <w:marTop w:val="0"/>
      <w:marBottom w:val="0"/>
      <w:divBdr>
        <w:top w:val="none" w:sz="0" w:space="0" w:color="auto"/>
        <w:left w:val="none" w:sz="0" w:space="0" w:color="auto"/>
        <w:bottom w:val="none" w:sz="0" w:space="0" w:color="auto"/>
        <w:right w:val="none" w:sz="0" w:space="0" w:color="auto"/>
      </w:divBdr>
      <w:divsChild>
        <w:div w:id="1877424299">
          <w:marLeft w:val="0"/>
          <w:marRight w:val="0"/>
          <w:marTop w:val="0"/>
          <w:marBottom w:val="0"/>
          <w:divBdr>
            <w:top w:val="none" w:sz="0" w:space="0" w:color="auto"/>
            <w:left w:val="none" w:sz="0" w:space="0" w:color="auto"/>
            <w:bottom w:val="none" w:sz="0" w:space="0" w:color="auto"/>
            <w:right w:val="none" w:sz="0" w:space="0" w:color="auto"/>
          </w:divBdr>
        </w:div>
        <w:div w:id="2129229142">
          <w:marLeft w:val="0"/>
          <w:marRight w:val="0"/>
          <w:marTop w:val="0"/>
          <w:marBottom w:val="0"/>
          <w:divBdr>
            <w:top w:val="none" w:sz="0" w:space="0" w:color="auto"/>
            <w:left w:val="none" w:sz="0" w:space="0" w:color="auto"/>
            <w:bottom w:val="none" w:sz="0" w:space="0" w:color="auto"/>
            <w:right w:val="none" w:sz="0" w:space="0" w:color="auto"/>
          </w:divBdr>
        </w:div>
      </w:divsChild>
    </w:div>
    <w:div w:id="1015427470">
      <w:bodyDiv w:val="1"/>
      <w:marLeft w:val="0"/>
      <w:marRight w:val="0"/>
      <w:marTop w:val="0"/>
      <w:marBottom w:val="0"/>
      <w:divBdr>
        <w:top w:val="none" w:sz="0" w:space="0" w:color="auto"/>
        <w:left w:val="none" w:sz="0" w:space="0" w:color="auto"/>
        <w:bottom w:val="none" w:sz="0" w:space="0" w:color="auto"/>
        <w:right w:val="none" w:sz="0" w:space="0" w:color="auto"/>
      </w:divBdr>
      <w:divsChild>
        <w:div w:id="1608074877">
          <w:marLeft w:val="0"/>
          <w:marRight w:val="0"/>
          <w:marTop w:val="0"/>
          <w:marBottom w:val="0"/>
          <w:divBdr>
            <w:top w:val="none" w:sz="0" w:space="0" w:color="auto"/>
            <w:left w:val="none" w:sz="0" w:space="0" w:color="auto"/>
            <w:bottom w:val="none" w:sz="0" w:space="0" w:color="auto"/>
            <w:right w:val="none" w:sz="0" w:space="0" w:color="auto"/>
          </w:divBdr>
        </w:div>
        <w:div w:id="1453787598">
          <w:marLeft w:val="0"/>
          <w:marRight w:val="0"/>
          <w:marTop w:val="0"/>
          <w:marBottom w:val="0"/>
          <w:divBdr>
            <w:top w:val="none" w:sz="0" w:space="0" w:color="auto"/>
            <w:left w:val="none" w:sz="0" w:space="0" w:color="auto"/>
            <w:bottom w:val="none" w:sz="0" w:space="0" w:color="auto"/>
            <w:right w:val="none" w:sz="0" w:space="0" w:color="auto"/>
          </w:divBdr>
        </w:div>
        <w:div w:id="497888521">
          <w:marLeft w:val="0"/>
          <w:marRight w:val="0"/>
          <w:marTop w:val="0"/>
          <w:marBottom w:val="0"/>
          <w:divBdr>
            <w:top w:val="none" w:sz="0" w:space="0" w:color="auto"/>
            <w:left w:val="none" w:sz="0" w:space="0" w:color="auto"/>
            <w:bottom w:val="none" w:sz="0" w:space="0" w:color="auto"/>
            <w:right w:val="none" w:sz="0" w:space="0" w:color="auto"/>
          </w:divBdr>
        </w:div>
        <w:div w:id="1222668285">
          <w:marLeft w:val="0"/>
          <w:marRight w:val="0"/>
          <w:marTop w:val="0"/>
          <w:marBottom w:val="0"/>
          <w:divBdr>
            <w:top w:val="none" w:sz="0" w:space="0" w:color="auto"/>
            <w:left w:val="none" w:sz="0" w:space="0" w:color="auto"/>
            <w:bottom w:val="none" w:sz="0" w:space="0" w:color="auto"/>
            <w:right w:val="none" w:sz="0" w:space="0" w:color="auto"/>
          </w:divBdr>
        </w:div>
        <w:div w:id="1752698492">
          <w:marLeft w:val="0"/>
          <w:marRight w:val="0"/>
          <w:marTop w:val="0"/>
          <w:marBottom w:val="0"/>
          <w:divBdr>
            <w:top w:val="none" w:sz="0" w:space="0" w:color="auto"/>
            <w:left w:val="none" w:sz="0" w:space="0" w:color="auto"/>
            <w:bottom w:val="none" w:sz="0" w:space="0" w:color="auto"/>
            <w:right w:val="none" w:sz="0" w:space="0" w:color="auto"/>
          </w:divBdr>
        </w:div>
        <w:div w:id="1195265827">
          <w:marLeft w:val="0"/>
          <w:marRight w:val="0"/>
          <w:marTop w:val="0"/>
          <w:marBottom w:val="0"/>
          <w:divBdr>
            <w:top w:val="none" w:sz="0" w:space="0" w:color="auto"/>
            <w:left w:val="none" w:sz="0" w:space="0" w:color="auto"/>
            <w:bottom w:val="none" w:sz="0" w:space="0" w:color="auto"/>
            <w:right w:val="none" w:sz="0" w:space="0" w:color="auto"/>
          </w:divBdr>
        </w:div>
        <w:div w:id="2133935920">
          <w:marLeft w:val="0"/>
          <w:marRight w:val="0"/>
          <w:marTop w:val="0"/>
          <w:marBottom w:val="0"/>
          <w:divBdr>
            <w:top w:val="none" w:sz="0" w:space="0" w:color="auto"/>
            <w:left w:val="none" w:sz="0" w:space="0" w:color="auto"/>
            <w:bottom w:val="none" w:sz="0" w:space="0" w:color="auto"/>
            <w:right w:val="none" w:sz="0" w:space="0" w:color="auto"/>
          </w:divBdr>
        </w:div>
        <w:div w:id="459618194">
          <w:marLeft w:val="0"/>
          <w:marRight w:val="0"/>
          <w:marTop w:val="0"/>
          <w:marBottom w:val="0"/>
          <w:divBdr>
            <w:top w:val="none" w:sz="0" w:space="0" w:color="auto"/>
            <w:left w:val="none" w:sz="0" w:space="0" w:color="auto"/>
            <w:bottom w:val="none" w:sz="0" w:space="0" w:color="auto"/>
            <w:right w:val="none" w:sz="0" w:space="0" w:color="auto"/>
          </w:divBdr>
        </w:div>
        <w:div w:id="2120640342">
          <w:marLeft w:val="0"/>
          <w:marRight w:val="0"/>
          <w:marTop w:val="0"/>
          <w:marBottom w:val="0"/>
          <w:divBdr>
            <w:top w:val="none" w:sz="0" w:space="0" w:color="auto"/>
            <w:left w:val="none" w:sz="0" w:space="0" w:color="auto"/>
            <w:bottom w:val="none" w:sz="0" w:space="0" w:color="auto"/>
            <w:right w:val="none" w:sz="0" w:space="0" w:color="auto"/>
          </w:divBdr>
        </w:div>
        <w:div w:id="115099627">
          <w:marLeft w:val="0"/>
          <w:marRight w:val="0"/>
          <w:marTop w:val="0"/>
          <w:marBottom w:val="0"/>
          <w:divBdr>
            <w:top w:val="none" w:sz="0" w:space="0" w:color="auto"/>
            <w:left w:val="none" w:sz="0" w:space="0" w:color="auto"/>
            <w:bottom w:val="none" w:sz="0" w:space="0" w:color="auto"/>
            <w:right w:val="none" w:sz="0" w:space="0" w:color="auto"/>
          </w:divBdr>
        </w:div>
        <w:div w:id="649215004">
          <w:marLeft w:val="0"/>
          <w:marRight w:val="0"/>
          <w:marTop w:val="0"/>
          <w:marBottom w:val="0"/>
          <w:divBdr>
            <w:top w:val="none" w:sz="0" w:space="0" w:color="auto"/>
            <w:left w:val="none" w:sz="0" w:space="0" w:color="auto"/>
            <w:bottom w:val="none" w:sz="0" w:space="0" w:color="auto"/>
            <w:right w:val="none" w:sz="0" w:space="0" w:color="auto"/>
          </w:divBdr>
        </w:div>
        <w:div w:id="502015727">
          <w:marLeft w:val="0"/>
          <w:marRight w:val="0"/>
          <w:marTop w:val="0"/>
          <w:marBottom w:val="0"/>
          <w:divBdr>
            <w:top w:val="none" w:sz="0" w:space="0" w:color="auto"/>
            <w:left w:val="none" w:sz="0" w:space="0" w:color="auto"/>
            <w:bottom w:val="none" w:sz="0" w:space="0" w:color="auto"/>
            <w:right w:val="none" w:sz="0" w:space="0" w:color="auto"/>
          </w:divBdr>
        </w:div>
      </w:divsChild>
    </w:div>
    <w:div w:id="1139417784">
      <w:bodyDiv w:val="1"/>
      <w:marLeft w:val="0"/>
      <w:marRight w:val="0"/>
      <w:marTop w:val="0"/>
      <w:marBottom w:val="0"/>
      <w:divBdr>
        <w:top w:val="none" w:sz="0" w:space="0" w:color="auto"/>
        <w:left w:val="none" w:sz="0" w:space="0" w:color="auto"/>
        <w:bottom w:val="none" w:sz="0" w:space="0" w:color="auto"/>
        <w:right w:val="none" w:sz="0" w:space="0" w:color="auto"/>
      </w:divBdr>
      <w:divsChild>
        <w:div w:id="1706254152">
          <w:marLeft w:val="0"/>
          <w:marRight w:val="0"/>
          <w:marTop w:val="0"/>
          <w:marBottom w:val="0"/>
          <w:divBdr>
            <w:top w:val="none" w:sz="0" w:space="0" w:color="auto"/>
            <w:left w:val="none" w:sz="0" w:space="0" w:color="auto"/>
            <w:bottom w:val="none" w:sz="0" w:space="0" w:color="auto"/>
            <w:right w:val="none" w:sz="0" w:space="0" w:color="auto"/>
          </w:divBdr>
        </w:div>
        <w:div w:id="36047653">
          <w:marLeft w:val="0"/>
          <w:marRight w:val="0"/>
          <w:marTop w:val="0"/>
          <w:marBottom w:val="0"/>
          <w:divBdr>
            <w:top w:val="none" w:sz="0" w:space="0" w:color="auto"/>
            <w:left w:val="none" w:sz="0" w:space="0" w:color="auto"/>
            <w:bottom w:val="none" w:sz="0" w:space="0" w:color="auto"/>
            <w:right w:val="none" w:sz="0" w:space="0" w:color="auto"/>
          </w:divBdr>
        </w:div>
        <w:div w:id="201093246">
          <w:marLeft w:val="0"/>
          <w:marRight w:val="0"/>
          <w:marTop w:val="0"/>
          <w:marBottom w:val="0"/>
          <w:divBdr>
            <w:top w:val="none" w:sz="0" w:space="0" w:color="auto"/>
            <w:left w:val="none" w:sz="0" w:space="0" w:color="auto"/>
            <w:bottom w:val="none" w:sz="0" w:space="0" w:color="auto"/>
            <w:right w:val="none" w:sz="0" w:space="0" w:color="auto"/>
          </w:divBdr>
        </w:div>
      </w:divsChild>
    </w:div>
    <w:div w:id="1221743504">
      <w:bodyDiv w:val="1"/>
      <w:marLeft w:val="0"/>
      <w:marRight w:val="0"/>
      <w:marTop w:val="0"/>
      <w:marBottom w:val="0"/>
      <w:divBdr>
        <w:top w:val="none" w:sz="0" w:space="0" w:color="auto"/>
        <w:left w:val="none" w:sz="0" w:space="0" w:color="auto"/>
        <w:bottom w:val="none" w:sz="0" w:space="0" w:color="auto"/>
        <w:right w:val="none" w:sz="0" w:space="0" w:color="auto"/>
      </w:divBdr>
      <w:divsChild>
        <w:div w:id="1893804464">
          <w:marLeft w:val="0"/>
          <w:marRight w:val="0"/>
          <w:marTop w:val="0"/>
          <w:marBottom w:val="0"/>
          <w:divBdr>
            <w:top w:val="none" w:sz="0" w:space="0" w:color="auto"/>
            <w:left w:val="none" w:sz="0" w:space="0" w:color="auto"/>
            <w:bottom w:val="none" w:sz="0" w:space="0" w:color="auto"/>
            <w:right w:val="none" w:sz="0" w:space="0" w:color="auto"/>
          </w:divBdr>
        </w:div>
      </w:divsChild>
    </w:div>
    <w:div w:id="1502508882">
      <w:bodyDiv w:val="1"/>
      <w:marLeft w:val="0"/>
      <w:marRight w:val="0"/>
      <w:marTop w:val="0"/>
      <w:marBottom w:val="0"/>
      <w:divBdr>
        <w:top w:val="none" w:sz="0" w:space="0" w:color="auto"/>
        <w:left w:val="none" w:sz="0" w:space="0" w:color="auto"/>
        <w:bottom w:val="none" w:sz="0" w:space="0" w:color="auto"/>
        <w:right w:val="none" w:sz="0" w:space="0" w:color="auto"/>
      </w:divBdr>
      <w:divsChild>
        <w:div w:id="1542087978">
          <w:marLeft w:val="0"/>
          <w:marRight w:val="0"/>
          <w:marTop w:val="0"/>
          <w:marBottom w:val="0"/>
          <w:divBdr>
            <w:top w:val="none" w:sz="0" w:space="0" w:color="auto"/>
            <w:left w:val="none" w:sz="0" w:space="0" w:color="auto"/>
            <w:bottom w:val="none" w:sz="0" w:space="0" w:color="auto"/>
            <w:right w:val="none" w:sz="0" w:space="0" w:color="auto"/>
          </w:divBdr>
        </w:div>
        <w:div w:id="868103711">
          <w:marLeft w:val="0"/>
          <w:marRight w:val="0"/>
          <w:marTop w:val="0"/>
          <w:marBottom w:val="0"/>
          <w:divBdr>
            <w:top w:val="none" w:sz="0" w:space="0" w:color="auto"/>
            <w:left w:val="none" w:sz="0" w:space="0" w:color="auto"/>
            <w:bottom w:val="none" w:sz="0" w:space="0" w:color="auto"/>
            <w:right w:val="none" w:sz="0" w:space="0" w:color="auto"/>
          </w:divBdr>
        </w:div>
      </w:divsChild>
    </w:div>
    <w:div w:id="1632242781">
      <w:bodyDiv w:val="1"/>
      <w:marLeft w:val="0"/>
      <w:marRight w:val="0"/>
      <w:marTop w:val="0"/>
      <w:marBottom w:val="0"/>
      <w:divBdr>
        <w:top w:val="none" w:sz="0" w:space="0" w:color="auto"/>
        <w:left w:val="none" w:sz="0" w:space="0" w:color="auto"/>
        <w:bottom w:val="none" w:sz="0" w:space="0" w:color="auto"/>
        <w:right w:val="none" w:sz="0" w:space="0" w:color="auto"/>
      </w:divBdr>
      <w:divsChild>
        <w:div w:id="674846032">
          <w:marLeft w:val="0"/>
          <w:marRight w:val="0"/>
          <w:marTop w:val="0"/>
          <w:marBottom w:val="0"/>
          <w:divBdr>
            <w:top w:val="none" w:sz="0" w:space="0" w:color="auto"/>
            <w:left w:val="none" w:sz="0" w:space="0" w:color="auto"/>
            <w:bottom w:val="none" w:sz="0" w:space="0" w:color="auto"/>
            <w:right w:val="none" w:sz="0" w:space="0" w:color="auto"/>
          </w:divBdr>
        </w:div>
        <w:div w:id="1869758867">
          <w:marLeft w:val="0"/>
          <w:marRight w:val="0"/>
          <w:marTop w:val="0"/>
          <w:marBottom w:val="0"/>
          <w:divBdr>
            <w:top w:val="none" w:sz="0" w:space="0" w:color="auto"/>
            <w:left w:val="none" w:sz="0" w:space="0" w:color="auto"/>
            <w:bottom w:val="none" w:sz="0" w:space="0" w:color="auto"/>
            <w:right w:val="none" w:sz="0" w:space="0" w:color="auto"/>
          </w:divBdr>
        </w:div>
        <w:div w:id="1245922021">
          <w:marLeft w:val="0"/>
          <w:marRight w:val="0"/>
          <w:marTop w:val="0"/>
          <w:marBottom w:val="0"/>
          <w:divBdr>
            <w:top w:val="none" w:sz="0" w:space="0" w:color="auto"/>
            <w:left w:val="none" w:sz="0" w:space="0" w:color="auto"/>
            <w:bottom w:val="none" w:sz="0" w:space="0" w:color="auto"/>
            <w:right w:val="none" w:sz="0" w:space="0" w:color="auto"/>
          </w:divBdr>
        </w:div>
        <w:div w:id="1944804845">
          <w:marLeft w:val="0"/>
          <w:marRight w:val="0"/>
          <w:marTop w:val="0"/>
          <w:marBottom w:val="0"/>
          <w:divBdr>
            <w:top w:val="none" w:sz="0" w:space="0" w:color="auto"/>
            <w:left w:val="none" w:sz="0" w:space="0" w:color="auto"/>
            <w:bottom w:val="none" w:sz="0" w:space="0" w:color="auto"/>
            <w:right w:val="none" w:sz="0" w:space="0" w:color="auto"/>
          </w:divBdr>
        </w:div>
      </w:divsChild>
    </w:div>
    <w:div w:id="1696275187">
      <w:bodyDiv w:val="1"/>
      <w:marLeft w:val="0"/>
      <w:marRight w:val="0"/>
      <w:marTop w:val="0"/>
      <w:marBottom w:val="0"/>
      <w:divBdr>
        <w:top w:val="none" w:sz="0" w:space="0" w:color="auto"/>
        <w:left w:val="none" w:sz="0" w:space="0" w:color="auto"/>
        <w:bottom w:val="none" w:sz="0" w:space="0" w:color="auto"/>
        <w:right w:val="none" w:sz="0" w:space="0" w:color="auto"/>
      </w:divBdr>
      <w:divsChild>
        <w:div w:id="1387416808">
          <w:marLeft w:val="0"/>
          <w:marRight w:val="0"/>
          <w:marTop w:val="0"/>
          <w:marBottom w:val="0"/>
          <w:divBdr>
            <w:top w:val="none" w:sz="0" w:space="0" w:color="auto"/>
            <w:left w:val="none" w:sz="0" w:space="0" w:color="auto"/>
            <w:bottom w:val="none" w:sz="0" w:space="0" w:color="auto"/>
            <w:right w:val="none" w:sz="0" w:space="0" w:color="auto"/>
          </w:divBdr>
        </w:div>
        <w:div w:id="1910768640">
          <w:marLeft w:val="0"/>
          <w:marRight w:val="0"/>
          <w:marTop w:val="0"/>
          <w:marBottom w:val="0"/>
          <w:divBdr>
            <w:top w:val="none" w:sz="0" w:space="0" w:color="auto"/>
            <w:left w:val="none" w:sz="0" w:space="0" w:color="auto"/>
            <w:bottom w:val="none" w:sz="0" w:space="0" w:color="auto"/>
            <w:right w:val="none" w:sz="0" w:space="0" w:color="auto"/>
          </w:divBdr>
        </w:div>
        <w:div w:id="258023230">
          <w:marLeft w:val="0"/>
          <w:marRight w:val="0"/>
          <w:marTop w:val="0"/>
          <w:marBottom w:val="0"/>
          <w:divBdr>
            <w:top w:val="none" w:sz="0" w:space="0" w:color="auto"/>
            <w:left w:val="none" w:sz="0" w:space="0" w:color="auto"/>
            <w:bottom w:val="none" w:sz="0" w:space="0" w:color="auto"/>
            <w:right w:val="none" w:sz="0" w:space="0" w:color="auto"/>
          </w:divBdr>
        </w:div>
        <w:div w:id="533619577">
          <w:marLeft w:val="0"/>
          <w:marRight w:val="0"/>
          <w:marTop w:val="0"/>
          <w:marBottom w:val="0"/>
          <w:divBdr>
            <w:top w:val="none" w:sz="0" w:space="0" w:color="auto"/>
            <w:left w:val="none" w:sz="0" w:space="0" w:color="auto"/>
            <w:bottom w:val="none" w:sz="0" w:space="0" w:color="auto"/>
            <w:right w:val="none" w:sz="0" w:space="0" w:color="auto"/>
          </w:divBdr>
        </w:div>
        <w:div w:id="863714323">
          <w:marLeft w:val="0"/>
          <w:marRight w:val="0"/>
          <w:marTop w:val="0"/>
          <w:marBottom w:val="0"/>
          <w:divBdr>
            <w:top w:val="none" w:sz="0" w:space="0" w:color="auto"/>
            <w:left w:val="none" w:sz="0" w:space="0" w:color="auto"/>
            <w:bottom w:val="none" w:sz="0" w:space="0" w:color="auto"/>
            <w:right w:val="none" w:sz="0" w:space="0" w:color="auto"/>
          </w:divBdr>
        </w:div>
        <w:div w:id="862090141">
          <w:marLeft w:val="0"/>
          <w:marRight w:val="0"/>
          <w:marTop w:val="0"/>
          <w:marBottom w:val="0"/>
          <w:divBdr>
            <w:top w:val="none" w:sz="0" w:space="0" w:color="auto"/>
            <w:left w:val="none" w:sz="0" w:space="0" w:color="auto"/>
            <w:bottom w:val="none" w:sz="0" w:space="0" w:color="auto"/>
            <w:right w:val="none" w:sz="0" w:space="0" w:color="auto"/>
          </w:divBdr>
        </w:div>
        <w:div w:id="1819566289">
          <w:marLeft w:val="0"/>
          <w:marRight w:val="0"/>
          <w:marTop w:val="0"/>
          <w:marBottom w:val="0"/>
          <w:divBdr>
            <w:top w:val="none" w:sz="0" w:space="0" w:color="auto"/>
            <w:left w:val="none" w:sz="0" w:space="0" w:color="auto"/>
            <w:bottom w:val="none" w:sz="0" w:space="0" w:color="auto"/>
            <w:right w:val="none" w:sz="0" w:space="0" w:color="auto"/>
          </w:divBdr>
        </w:div>
        <w:div w:id="1627617729">
          <w:marLeft w:val="0"/>
          <w:marRight w:val="0"/>
          <w:marTop w:val="0"/>
          <w:marBottom w:val="0"/>
          <w:divBdr>
            <w:top w:val="none" w:sz="0" w:space="0" w:color="auto"/>
            <w:left w:val="none" w:sz="0" w:space="0" w:color="auto"/>
            <w:bottom w:val="none" w:sz="0" w:space="0" w:color="auto"/>
            <w:right w:val="none" w:sz="0" w:space="0" w:color="auto"/>
          </w:divBdr>
        </w:div>
        <w:div w:id="183832986">
          <w:marLeft w:val="0"/>
          <w:marRight w:val="0"/>
          <w:marTop w:val="0"/>
          <w:marBottom w:val="0"/>
          <w:divBdr>
            <w:top w:val="none" w:sz="0" w:space="0" w:color="auto"/>
            <w:left w:val="none" w:sz="0" w:space="0" w:color="auto"/>
            <w:bottom w:val="none" w:sz="0" w:space="0" w:color="auto"/>
            <w:right w:val="none" w:sz="0" w:space="0" w:color="auto"/>
          </w:divBdr>
        </w:div>
        <w:div w:id="1021861495">
          <w:marLeft w:val="0"/>
          <w:marRight w:val="0"/>
          <w:marTop w:val="0"/>
          <w:marBottom w:val="0"/>
          <w:divBdr>
            <w:top w:val="none" w:sz="0" w:space="0" w:color="auto"/>
            <w:left w:val="none" w:sz="0" w:space="0" w:color="auto"/>
            <w:bottom w:val="none" w:sz="0" w:space="0" w:color="auto"/>
            <w:right w:val="none" w:sz="0" w:space="0" w:color="auto"/>
          </w:divBdr>
        </w:div>
        <w:div w:id="299195163">
          <w:marLeft w:val="0"/>
          <w:marRight w:val="0"/>
          <w:marTop w:val="0"/>
          <w:marBottom w:val="0"/>
          <w:divBdr>
            <w:top w:val="none" w:sz="0" w:space="0" w:color="auto"/>
            <w:left w:val="none" w:sz="0" w:space="0" w:color="auto"/>
            <w:bottom w:val="none" w:sz="0" w:space="0" w:color="auto"/>
            <w:right w:val="none" w:sz="0" w:space="0" w:color="auto"/>
          </w:divBdr>
        </w:div>
        <w:div w:id="814419030">
          <w:marLeft w:val="0"/>
          <w:marRight w:val="0"/>
          <w:marTop w:val="0"/>
          <w:marBottom w:val="0"/>
          <w:divBdr>
            <w:top w:val="none" w:sz="0" w:space="0" w:color="auto"/>
            <w:left w:val="none" w:sz="0" w:space="0" w:color="auto"/>
            <w:bottom w:val="none" w:sz="0" w:space="0" w:color="auto"/>
            <w:right w:val="none" w:sz="0" w:space="0" w:color="auto"/>
          </w:divBdr>
        </w:div>
        <w:div w:id="1226797156">
          <w:marLeft w:val="0"/>
          <w:marRight w:val="0"/>
          <w:marTop w:val="0"/>
          <w:marBottom w:val="0"/>
          <w:divBdr>
            <w:top w:val="none" w:sz="0" w:space="0" w:color="auto"/>
            <w:left w:val="none" w:sz="0" w:space="0" w:color="auto"/>
            <w:bottom w:val="none" w:sz="0" w:space="0" w:color="auto"/>
            <w:right w:val="none" w:sz="0" w:space="0" w:color="auto"/>
          </w:divBdr>
        </w:div>
      </w:divsChild>
    </w:div>
    <w:div w:id="2076779637">
      <w:bodyDiv w:val="1"/>
      <w:marLeft w:val="0"/>
      <w:marRight w:val="0"/>
      <w:marTop w:val="0"/>
      <w:marBottom w:val="0"/>
      <w:divBdr>
        <w:top w:val="none" w:sz="0" w:space="0" w:color="auto"/>
        <w:left w:val="none" w:sz="0" w:space="0" w:color="auto"/>
        <w:bottom w:val="none" w:sz="0" w:space="0" w:color="auto"/>
        <w:right w:val="none" w:sz="0" w:space="0" w:color="auto"/>
      </w:divBdr>
      <w:divsChild>
        <w:div w:id="138962799">
          <w:marLeft w:val="0"/>
          <w:marRight w:val="0"/>
          <w:marTop w:val="0"/>
          <w:marBottom w:val="0"/>
          <w:divBdr>
            <w:top w:val="none" w:sz="0" w:space="0" w:color="auto"/>
            <w:left w:val="none" w:sz="0" w:space="0" w:color="auto"/>
            <w:bottom w:val="none" w:sz="0" w:space="0" w:color="auto"/>
            <w:right w:val="none" w:sz="0" w:space="0" w:color="auto"/>
          </w:divBdr>
        </w:div>
        <w:div w:id="790904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tu.int/publ/R-REC/fr" TargetMode="External"/><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1</Pages>
  <Words>1724</Words>
  <Characters>10834</Characters>
  <Application>Microsoft Office Word</Application>
  <DocSecurity>0</DocSecurity>
  <Lines>773</Lines>
  <Paragraphs>339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2016-11-23T07:54:00Z</cp:lastPrinted>
  <dcterms:created xsi:type="dcterms:W3CDTF">2016-11-23T07:47:00Z</dcterms:created>
  <dcterms:modified xsi:type="dcterms:W3CDTF">2016-11-23T07:55:00Z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