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6F6" w:rsidRDefault="00AD56F6" w:rsidP="00AD56F6">
      <w:bookmarkStart w:id="0" w:name="_GoBack"/>
      <w:bookmarkEnd w:id="0"/>
    </w:p>
    <w:p w:rsidR="00AD56F6" w:rsidRDefault="00AD56F6" w:rsidP="00AD56F6"/>
    <w:p w:rsidR="00AD56F6" w:rsidRDefault="00AD56F6" w:rsidP="00AD56F6"/>
    <w:p w:rsidR="00AD56F6" w:rsidRDefault="00AD56F6" w:rsidP="00AD56F6"/>
    <w:p w:rsidR="00AD56F6" w:rsidRDefault="00AD56F6" w:rsidP="00AD56F6"/>
    <w:p w:rsidR="00AD56F6" w:rsidRDefault="00AD56F6" w:rsidP="00AD56F6"/>
    <w:p w:rsidR="00AD56F6" w:rsidRDefault="00AD56F6" w:rsidP="00AD56F6"/>
    <w:p w:rsidR="00AD56F6" w:rsidRDefault="00AD56F6" w:rsidP="00AD56F6"/>
    <w:p w:rsidR="00AD56F6" w:rsidRDefault="00AD56F6" w:rsidP="00AD56F6"/>
    <w:tbl>
      <w:tblPr>
        <w:tblW w:w="10089" w:type="dxa"/>
        <w:tblLook w:val="01E0" w:firstRow="1" w:lastRow="1" w:firstColumn="1" w:lastColumn="1" w:noHBand="0" w:noVBand="0"/>
      </w:tblPr>
      <w:tblGrid>
        <w:gridCol w:w="10089"/>
      </w:tblGrid>
      <w:tr w:rsidR="00AD56F6" w:rsidRPr="00A443C2" w:rsidTr="00055A41">
        <w:tc>
          <w:tcPr>
            <w:tcW w:w="10089" w:type="dxa"/>
          </w:tcPr>
          <w:p w:rsidR="00AD56F6" w:rsidRPr="00B033C8" w:rsidRDefault="00AD56F6" w:rsidP="00055A41">
            <w:pPr>
              <w:spacing w:before="380" w:line="280" w:lineRule="exact"/>
              <w:jc w:val="right"/>
              <w:rPr>
                <w:rFonts w:ascii="Tahoma" w:hAnsi="Tahoma" w:cs="Tahoma"/>
                <w:b/>
                <w:bCs/>
                <w:iCs/>
                <w:color w:val="243285"/>
                <w:sz w:val="32"/>
                <w:szCs w:val="32"/>
                <w:lang w:val="en-US"/>
              </w:rPr>
            </w:pPr>
          </w:p>
          <w:p w:rsidR="00AD56F6" w:rsidRPr="00A443C2" w:rsidRDefault="00AD56F6" w:rsidP="00966BD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966BD0">
              <w:rPr>
                <w:rFonts w:ascii="Tahoma" w:hAnsi="Tahoma" w:cs="Tahoma"/>
                <w:b/>
                <w:bCs/>
                <w:iCs/>
                <w:color w:val="243285"/>
                <w:sz w:val="36"/>
                <w:szCs w:val="36"/>
              </w:rPr>
              <w:t>2009-1</w:t>
            </w:r>
          </w:p>
          <w:p w:rsidR="00AD56F6" w:rsidRPr="00A443C2" w:rsidRDefault="00AD56F6" w:rsidP="00966BD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966BD0">
              <w:rPr>
                <w:rFonts w:ascii="Tahoma" w:hAnsi="Tahoma" w:cs="Tahoma"/>
                <w:b/>
                <w:bCs/>
                <w:iCs/>
                <w:color w:val="243285"/>
                <w:szCs w:val="24"/>
              </w:rPr>
              <w:t>2</w:t>
            </w:r>
            <w:r>
              <w:rPr>
                <w:rFonts w:ascii="Tahoma" w:hAnsi="Tahoma" w:cs="Tahoma"/>
                <w:b/>
                <w:bCs/>
                <w:iCs/>
                <w:color w:val="243285"/>
                <w:szCs w:val="24"/>
              </w:rPr>
              <w:t>/</w:t>
            </w:r>
            <w:r w:rsidR="00966BD0">
              <w:rPr>
                <w:rFonts w:ascii="Tahoma" w:hAnsi="Tahoma" w:cs="Tahoma"/>
                <w:b/>
                <w:bCs/>
                <w:iCs/>
                <w:color w:val="243285"/>
                <w:szCs w:val="24"/>
              </w:rPr>
              <w:t>2015</w:t>
            </w:r>
            <w:r w:rsidRPr="00A443C2">
              <w:rPr>
                <w:rFonts w:ascii="Tahoma" w:hAnsi="Tahoma" w:cs="Tahoma"/>
                <w:b/>
                <w:bCs/>
                <w:iCs/>
                <w:color w:val="243285"/>
                <w:szCs w:val="24"/>
              </w:rPr>
              <w:t>)</w:t>
            </w:r>
          </w:p>
        </w:tc>
      </w:tr>
      <w:tr w:rsidR="00AD56F6" w:rsidRPr="00F54FBD" w:rsidTr="00055A41">
        <w:trPr>
          <w:trHeight w:val="4629"/>
        </w:trPr>
        <w:tc>
          <w:tcPr>
            <w:tcW w:w="10089" w:type="dxa"/>
          </w:tcPr>
          <w:p w:rsidR="00AD56F6" w:rsidRDefault="00AD56F6" w:rsidP="00055A41">
            <w:pPr>
              <w:spacing w:before="80" w:line="500" w:lineRule="exact"/>
              <w:jc w:val="right"/>
              <w:rPr>
                <w:rFonts w:ascii="Tahoma" w:hAnsi="Tahoma" w:cs="Tahoma"/>
                <w:b/>
                <w:bCs/>
                <w:iCs/>
                <w:color w:val="243285"/>
                <w:sz w:val="44"/>
                <w:szCs w:val="44"/>
              </w:rPr>
            </w:pPr>
          </w:p>
          <w:p w:rsidR="00AD56F6" w:rsidRDefault="00966BD0" w:rsidP="00966BD0">
            <w:pPr>
              <w:spacing w:before="80" w:line="500" w:lineRule="exact"/>
              <w:jc w:val="right"/>
              <w:rPr>
                <w:rFonts w:ascii="Tahoma" w:hAnsi="Tahoma" w:cs="Tahoma"/>
                <w:b/>
                <w:bCs/>
                <w:iCs/>
                <w:color w:val="243285"/>
                <w:sz w:val="44"/>
                <w:szCs w:val="44"/>
              </w:rPr>
            </w:pPr>
            <w:bookmarkStart w:id="1" w:name="dtitle2" w:colFirst="0" w:colLast="0"/>
            <w:r>
              <w:rPr>
                <w:rFonts w:ascii="Tahoma" w:hAnsi="Tahoma" w:cs="Tahoma"/>
                <w:b/>
                <w:bCs/>
                <w:iCs/>
                <w:color w:val="243285"/>
                <w:sz w:val="44"/>
                <w:szCs w:val="44"/>
              </w:rPr>
              <w:t>Normes d'interface radioélectrique à utiliser pour les opérations de protection du public et de secours en cas de catastrophe dans certaines parties de la bande d'ondes décimétriques conformément à la Résolution 646 (Rév.CMR-12)</w:t>
            </w:r>
            <w:bookmarkEnd w:id="1"/>
          </w:p>
          <w:p w:rsidR="00AD56F6" w:rsidRPr="00F54FBD" w:rsidRDefault="00AD56F6" w:rsidP="00055A41">
            <w:pPr>
              <w:spacing w:before="80" w:line="500" w:lineRule="exact"/>
              <w:jc w:val="right"/>
              <w:rPr>
                <w:rFonts w:ascii="Tahoma" w:hAnsi="Tahoma" w:cs="Tahoma"/>
                <w:b/>
                <w:bCs/>
                <w:iCs/>
                <w:color w:val="243285"/>
                <w:sz w:val="44"/>
                <w:szCs w:val="44"/>
              </w:rPr>
            </w:pPr>
          </w:p>
        </w:tc>
      </w:tr>
      <w:tr w:rsidR="00AD56F6" w:rsidRPr="00F54FBD" w:rsidTr="00055A41">
        <w:tc>
          <w:tcPr>
            <w:tcW w:w="10089" w:type="dxa"/>
          </w:tcPr>
          <w:p w:rsidR="00AD56F6" w:rsidRPr="00F54FBD" w:rsidRDefault="00AD56F6" w:rsidP="00055A41">
            <w:pPr>
              <w:spacing w:before="80" w:line="280" w:lineRule="exact"/>
              <w:ind w:right="640"/>
              <w:rPr>
                <w:rFonts w:ascii="Tahoma" w:hAnsi="Tahoma" w:cs="Tahoma"/>
                <w:b/>
                <w:bCs/>
                <w:iCs/>
                <w:color w:val="243285"/>
                <w:sz w:val="32"/>
                <w:szCs w:val="32"/>
              </w:rPr>
            </w:pPr>
          </w:p>
          <w:p w:rsidR="00AD56F6" w:rsidRPr="00F54FBD" w:rsidRDefault="00AD56F6" w:rsidP="00055A41">
            <w:pPr>
              <w:spacing w:before="80" w:line="280" w:lineRule="exact"/>
              <w:ind w:right="640"/>
              <w:rPr>
                <w:rFonts w:ascii="Tahoma" w:hAnsi="Tahoma" w:cs="Tahoma"/>
                <w:b/>
                <w:bCs/>
                <w:iCs/>
                <w:color w:val="243285"/>
                <w:sz w:val="32"/>
                <w:szCs w:val="32"/>
              </w:rPr>
            </w:pPr>
          </w:p>
          <w:p w:rsidR="00AD56F6" w:rsidRPr="00F54FBD" w:rsidRDefault="00AD56F6" w:rsidP="00055A41">
            <w:pPr>
              <w:spacing w:before="80" w:after="180" w:line="360" w:lineRule="exact"/>
              <w:ind w:right="720"/>
              <w:rPr>
                <w:rFonts w:ascii="Tahoma" w:hAnsi="Tahoma" w:cs="Tahoma"/>
                <w:b/>
                <w:bCs/>
                <w:iCs/>
                <w:color w:val="243285"/>
                <w:sz w:val="36"/>
                <w:szCs w:val="36"/>
              </w:rPr>
            </w:pPr>
          </w:p>
          <w:p w:rsidR="00AD56F6" w:rsidRPr="00F54FBD" w:rsidRDefault="00AD56F6" w:rsidP="00055A4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AD56F6" w:rsidRPr="00F54FBD" w:rsidRDefault="00AD56F6" w:rsidP="00055A4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D56F6" w:rsidRPr="00F54FBD" w:rsidRDefault="00AD56F6" w:rsidP="00AD56F6">
      <w:pPr>
        <w:spacing w:before="80"/>
        <w:rPr>
          <w:i/>
          <w:sz w:val="22"/>
        </w:rPr>
      </w:pPr>
    </w:p>
    <w:p w:rsidR="00AD56F6" w:rsidRPr="00F54FBD" w:rsidRDefault="00AD56F6" w:rsidP="00AD56F6">
      <w:pPr>
        <w:spacing w:before="80"/>
        <w:rPr>
          <w:i/>
          <w:sz w:val="22"/>
        </w:rPr>
      </w:pPr>
    </w:p>
    <w:p w:rsidR="00AD56F6" w:rsidRPr="00F54FBD" w:rsidRDefault="00AD56F6" w:rsidP="00AD56F6">
      <w:pPr>
        <w:spacing w:before="80"/>
        <w:rPr>
          <w:i/>
          <w:sz w:val="22"/>
        </w:rPr>
      </w:pPr>
    </w:p>
    <w:p w:rsidR="00AD56F6" w:rsidRPr="00F54FBD" w:rsidRDefault="00AD56F6" w:rsidP="00AD56F6">
      <w:pPr>
        <w:spacing w:before="80"/>
        <w:rPr>
          <w:i/>
          <w:sz w:val="22"/>
        </w:rPr>
      </w:pPr>
    </w:p>
    <w:p w:rsidR="00AD56F6" w:rsidRPr="00F54FBD" w:rsidRDefault="00AD56F6" w:rsidP="00AD56F6">
      <w:pPr>
        <w:pStyle w:val="Equation"/>
        <w:tabs>
          <w:tab w:val="clear" w:pos="4820"/>
          <w:tab w:val="clear" w:pos="9639"/>
          <w:tab w:val="left" w:pos="1191"/>
          <w:tab w:val="left" w:pos="1588"/>
          <w:tab w:val="left" w:pos="1985"/>
        </w:tabs>
        <w:rPr>
          <w:rFonts w:ascii="Palatino Linotype" w:hAnsi="Palatino Linotype"/>
        </w:rPr>
        <w:sectPr w:rsidR="00AD56F6" w:rsidRPr="00F54FBD">
          <w:headerReference w:type="even" r:id="rId6"/>
          <w:headerReference w:type="default" r:id="rId7"/>
          <w:pgSz w:w="11907" w:h="16840" w:code="9"/>
          <w:pgMar w:top="1089" w:right="1089" w:bottom="284" w:left="1089" w:header="567" w:footer="284" w:gutter="0"/>
          <w:pgNumType w:start="1"/>
          <w:cols w:space="720"/>
        </w:sectPr>
      </w:pPr>
    </w:p>
    <w:p w:rsidR="00AD56F6" w:rsidRPr="00F54FBD" w:rsidRDefault="00AD56F6" w:rsidP="00AD56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AD56F6" w:rsidRPr="00F54FBD" w:rsidRDefault="00AD56F6" w:rsidP="00AD56F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D56F6" w:rsidRPr="00F54FBD" w:rsidRDefault="00AD56F6" w:rsidP="00AD56F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D56F6" w:rsidRPr="00E44CBB" w:rsidRDefault="00AD56F6" w:rsidP="00AD56F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D56F6" w:rsidRPr="00E44CBB" w:rsidRDefault="00AD56F6" w:rsidP="00AD56F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D56F6" w:rsidRPr="00C95B6F" w:rsidRDefault="00AD56F6" w:rsidP="00AD56F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D56F6" w:rsidRPr="009454F8" w:rsidTr="00055A41">
        <w:tc>
          <w:tcPr>
            <w:tcW w:w="9360" w:type="dxa"/>
            <w:gridSpan w:val="2"/>
          </w:tcPr>
          <w:p w:rsidR="00AD56F6" w:rsidRPr="009454F8" w:rsidRDefault="00AD56F6" w:rsidP="00055A4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D56F6" w:rsidRPr="009454F8"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AD56F6" w:rsidRPr="00036EE3" w:rsidTr="00055A41">
        <w:tc>
          <w:tcPr>
            <w:tcW w:w="1140" w:type="dxa"/>
          </w:tcPr>
          <w:p w:rsidR="00AD56F6" w:rsidRPr="00614CC6" w:rsidRDefault="00AD56F6" w:rsidP="00055A41">
            <w:pPr>
              <w:spacing w:before="90" w:after="100"/>
              <w:ind w:left="57"/>
              <w:rPr>
                <w:b/>
                <w:bCs/>
                <w:sz w:val="20"/>
                <w:lang w:val="en-US"/>
              </w:rPr>
            </w:pPr>
            <w:r w:rsidRPr="00614CC6">
              <w:rPr>
                <w:b/>
                <w:bCs/>
                <w:sz w:val="20"/>
                <w:lang w:val="en-US"/>
              </w:rPr>
              <w:t>Séries</w:t>
            </w:r>
          </w:p>
        </w:tc>
        <w:tc>
          <w:tcPr>
            <w:tcW w:w="8220" w:type="dxa"/>
          </w:tcPr>
          <w:p w:rsidR="00AD56F6" w:rsidRPr="00614CC6"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BO</w:t>
            </w:r>
          </w:p>
        </w:tc>
        <w:tc>
          <w:tcPr>
            <w:tcW w:w="8220" w:type="dxa"/>
          </w:tcPr>
          <w:p w:rsidR="00AD56F6" w:rsidRPr="00614CC6"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AD56F6" w:rsidRPr="009454F8"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BR</w:t>
            </w:r>
          </w:p>
        </w:tc>
        <w:tc>
          <w:tcPr>
            <w:tcW w:w="8220" w:type="dxa"/>
          </w:tcPr>
          <w:p w:rsidR="00AD56F6" w:rsidRPr="00614CC6"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BS</w:t>
            </w:r>
          </w:p>
        </w:tc>
        <w:tc>
          <w:tcPr>
            <w:tcW w:w="8220" w:type="dxa"/>
          </w:tcPr>
          <w:p w:rsidR="00AD56F6" w:rsidRPr="00614CC6"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AD56F6" w:rsidRPr="00ED2695" w:rsidTr="00055A41">
        <w:tc>
          <w:tcPr>
            <w:tcW w:w="1140" w:type="dxa"/>
            <w:shd w:val="clear" w:color="auto" w:fill="auto"/>
          </w:tcPr>
          <w:p w:rsidR="00AD56F6" w:rsidRPr="00614CC6" w:rsidRDefault="00AD56F6" w:rsidP="00055A41">
            <w:pPr>
              <w:spacing w:before="30" w:after="30"/>
              <w:ind w:left="57"/>
              <w:jc w:val="left"/>
              <w:rPr>
                <w:b/>
                <w:bCs/>
                <w:sz w:val="20"/>
                <w:lang w:val="en-US"/>
              </w:rPr>
            </w:pPr>
            <w:r w:rsidRPr="00614CC6">
              <w:rPr>
                <w:b/>
                <w:bCs/>
                <w:sz w:val="20"/>
                <w:lang w:val="en-US"/>
              </w:rPr>
              <w:t>BT</w:t>
            </w:r>
          </w:p>
        </w:tc>
        <w:tc>
          <w:tcPr>
            <w:tcW w:w="8220" w:type="dxa"/>
            <w:shd w:val="clear" w:color="auto" w:fill="auto"/>
          </w:tcPr>
          <w:p w:rsidR="00AD56F6" w:rsidRPr="00614CC6"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D56F6" w:rsidRPr="00036EE3" w:rsidTr="00055A41">
        <w:tc>
          <w:tcPr>
            <w:tcW w:w="1140" w:type="dxa"/>
            <w:shd w:val="clear" w:color="auto" w:fill="auto"/>
          </w:tcPr>
          <w:p w:rsidR="00AD56F6" w:rsidRPr="00614CC6" w:rsidRDefault="00AD56F6" w:rsidP="00055A41">
            <w:pPr>
              <w:spacing w:before="30" w:after="30"/>
              <w:ind w:left="57"/>
              <w:jc w:val="left"/>
              <w:rPr>
                <w:b/>
                <w:bCs/>
                <w:sz w:val="20"/>
                <w:lang w:val="fr-CH"/>
              </w:rPr>
            </w:pPr>
            <w:r w:rsidRPr="00614CC6">
              <w:rPr>
                <w:b/>
                <w:bCs/>
                <w:sz w:val="20"/>
                <w:lang w:val="fr-CH"/>
              </w:rPr>
              <w:t>F</w:t>
            </w:r>
          </w:p>
        </w:tc>
        <w:tc>
          <w:tcPr>
            <w:tcW w:w="8220" w:type="dxa"/>
            <w:shd w:val="clear" w:color="auto" w:fill="auto"/>
          </w:tcPr>
          <w:p w:rsidR="00AD56F6" w:rsidRPr="00614CC6" w:rsidRDefault="00AD56F6" w:rsidP="00055A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AD56F6" w:rsidRPr="00592F9F" w:rsidTr="00055A41">
        <w:tc>
          <w:tcPr>
            <w:tcW w:w="1140" w:type="dxa"/>
            <w:shd w:val="clear" w:color="auto" w:fill="F3F3F3"/>
          </w:tcPr>
          <w:p w:rsidR="00AD56F6" w:rsidRPr="00592F9F" w:rsidRDefault="00AD56F6" w:rsidP="00055A4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AD56F6" w:rsidRPr="00592F9F" w:rsidRDefault="00AD56F6"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AD56F6" w:rsidRPr="00036EE3" w:rsidTr="00055A41">
        <w:tc>
          <w:tcPr>
            <w:tcW w:w="1140" w:type="dxa"/>
          </w:tcPr>
          <w:p w:rsidR="00AD56F6" w:rsidRPr="00614CC6" w:rsidRDefault="00AD56F6" w:rsidP="00055A41">
            <w:pPr>
              <w:spacing w:before="30" w:after="30"/>
              <w:ind w:left="57"/>
              <w:jc w:val="left"/>
              <w:rPr>
                <w:b/>
                <w:bCs/>
                <w:sz w:val="20"/>
                <w:lang w:val="fr-CH"/>
              </w:rPr>
            </w:pPr>
            <w:r w:rsidRPr="00614CC6">
              <w:rPr>
                <w:b/>
                <w:bCs/>
                <w:sz w:val="20"/>
                <w:lang w:val="fr-CH"/>
              </w:rPr>
              <w:t>P</w:t>
            </w:r>
          </w:p>
        </w:tc>
        <w:tc>
          <w:tcPr>
            <w:tcW w:w="8220" w:type="dxa"/>
          </w:tcPr>
          <w:p w:rsidR="00AD56F6" w:rsidRPr="00614CC6" w:rsidRDefault="00AD56F6" w:rsidP="00055A41">
            <w:pPr>
              <w:spacing w:before="30" w:after="30"/>
              <w:jc w:val="left"/>
              <w:rPr>
                <w:sz w:val="20"/>
                <w:lang w:val="fr-CH"/>
              </w:rPr>
            </w:pPr>
            <w:r w:rsidRPr="00614CC6">
              <w:rPr>
                <w:sz w:val="20"/>
              </w:rPr>
              <w:t>Propagation des ondes radioélectriques</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RA</w:t>
            </w:r>
          </w:p>
        </w:tc>
        <w:tc>
          <w:tcPr>
            <w:tcW w:w="8220" w:type="dxa"/>
          </w:tcPr>
          <w:p w:rsidR="00AD56F6" w:rsidRPr="00614CC6" w:rsidRDefault="00AD56F6" w:rsidP="00055A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RS</w:t>
            </w:r>
          </w:p>
        </w:tc>
        <w:tc>
          <w:tcPr>
            <w:tcW w:w="8220" w:type="dxa"/>
          </w:tcPr>
          <w:p w:rsidR="00AD56F6" w:rsidRPr="00614CC6" w:rsidRDefault="00AD56F6" w:rsidP="00055A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S</w:t>
            </w:r>
          </w:p>
        </w:tc>
        <w:tc>
          <w:tcPr>
            <w:tcW w:w="8220" w:type="dxa"/>
          </w:tcPr>
          <w:p w:rsidR="00AD56F6" w:rsidRPr="00614CC6" w:rsidRDefault="00AD56F6" w:rsidP="00055A41">
            <w:pPr>
              <w:spacing w:before="30" w:after="30"/>
              <w:jc w:val="left"/>
              <w:rPr>
                <w:sz w:val="20"/>
                <w:lang w:val="en-US"/>
              </w:rPr>
            </w:pPr>
            <w:r w:rsidRPr="00614CC6">
              <w:rPr>
                <w:sz w:val="20"/>
              </w:rPr>
              <w:t>Service fixe par satellite</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SA</w:t>
            </w:r>
          </w:p>
        </w:tc>
        <w:tc>
          <w:tcPr>
            <w:tcW w:w="8220" w:type="dxa"/>
          </w:tcPr>
          <w:p w:rsidR="00AD56F6" w:rsidRPr="00614CC6" w:rsidRDefault="00AD56F6" w:rsidP="00055A41">
            <w:pPr>
              <w:spacing w:before="30" w:after="30"/>
              <w:jc w:val="left"/>
              <w:rPr>
                <w:sz w:val="20"/>
                <w:lang w:val="en-US"/>
              </w:rPr>
            </w:pPr>
            <w:r w:rsidRPr="00614CC6">
              <w:rPr>
                <w:sz w:val="20"/>
              </w:rPr>
              <w:t>Applications spatiales et météorologie</w:t>
            </w:r>
          </w:p>
        </w:tc>
      </w:tr>
      <w:tr w:rsidR="00AD56F6" w:rsidRPr="00614CC6"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SF</w:t>
            </w:r>
          </w:p>
        </w:tc>
        <w:tc>
          <w:tcPr>
            <w:tcW w:w="8220" w:type="dxa"/>
          </w:tcPr>
          <w:p w:rsidR="00AD56F6" w:rsidRPr="00614CC6" w:rsidRDefault="00AD56F6" w:rsidP="00055A41">
            <w:pPr>
              <w:spacing w:before="30" w:after="30"/>
              <w:jc w:val="left"/>
              <w:rPr>
                <w:sz w:val="20"/>
              </w:rPr>
            </w:pPr>
            <w:r w:rsidRPr="00614CC6">
              <w:rPr>
                <w:sz w:val="20"/>
              </w:rPr>
              <w:t>Partage des fréquences et coordination entre les systèmes du service fixe par satellite et du service fixe</w:t>
            </w:r>
          </w:p>
        </w:tc>
      </w:tr>
      <w:tr w:rsidR="00AD56F6" w:rsidRPr="00036EE3" w:rsidTr="00055A41">
        <w:tc>
          <w:tcPr>
            <w:tcW w:w="1140" w:type="dxa"/>
            <w:shd w:val="clear" w:color="auto" w:fill="auto"/>
          </w:tcPr>
          <w:p w:rsidR="00AD56F6" w:rsidRPr="00592F9F" w:rsidRDefault="00AD56F6" w:rsidP="00055A41">
            <w:pPr>
              <w:spacing w:before="30" w:after="30"/>
              <w:ind w:left="57"/>
              <w:jc w:val="left"/>
              <w:rPr>
                <w:b/>
                <w:bCs/>
                <w:sz w:val="20"/>
                <w:lang w:val="en-US"/>
              </w:rPr>
            </w:pPr>
            <w:r w:rsidRPr="00592F9F">
              <w:rPr>
                <w:b/>
                <w:bCs/>
                <w:sz w:val="20"/>
                <w:lang w:val="en-US"/>
              </w:rPr>
              <w:t>SM</w:t>
            </w:r>
          </w:p>
        </w:tc>
        <w:tc>
          <w:tcPr>
            <w:tcW w:w="8220" w:type="dxa"/>
            <w:shd w:val="clear" w:color="auto" w:fill="auto"/>
          </w:tcPr>
          <w:p w:rsidR="00AD56F6" w:rsidRPr="00592F9F" w:rsidRDefault="00AD56F6" w:rsidP="00055A41">
            <w:pPr>
              <w:spacing w:before="30" w:after="30"/>
              <w:jc w:val="left"/>
              <w:rPr>
                <w:sz w:val="20"/>
                <w:lang w:val="en-US"/>
              </w:rPr>
            </w:pPr>
            <w:r w:rsidRPr="00592F9F">
              <w:rPr>
                <w:sz w:val="20"/>
              </w:rPr>
              <w:t>Gestion du spectre</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SNG</w:t>
            </w:r>
          </w:p>
        </w:tc>
        <w:tc>
          <w:tcPr>
            <w:tcW w:w="8220" w:type="dxa"/>
          </w:tcPr>
          <w:p w:rsidR="00AD56F6" w:rsidRPr="00614CC6" w:rsidRDefault="00AD56F6" w:rsidP="00055A41">
            <w:pPr>
              <w:spacing w:before="30" w:after="30"/>
              <w:jc w:val="left"/>
              <w:rPr>
                <w:sz w:val="20"/>
                <w:lang w:val="en-US"/>
              </w:rPr>
            </w:pPr>
            <w:r w:rsidRPr="00614CC6">
              <w:rPr>
                <w:sz w:val="20"/>
              </w:rPr>
              <w:t>Reportage d'actualités par satellite</w:t>
            </w:r>
          </w:p>
        </w:tc>
      </w:tr>
      <w:tr w:rsidR="00AD56F6" w:rsidRPr="00614CC6"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TF</w:t>
            </w:r>
          </w:p>
        </w:tc>
        <w:tc>
          <w:tcPr>
            <w:tcW w:w="8220" w:type="dxa"/>
          </w:tcPr>
          <w:p w:rsidR="00AD56F6" w:rsidRPr="00614CC6" w:rsidRDefault="00AD56F6" w:rsidP="00055A41">
            <w:pPr>
              <w:spacing w:before="30" w:after="30"/>
              <w:jc w:val="left"/>
              <w:rPr>
                <w:sz w:val="20"/>
              </w:rPr>
            </w:pPr>
            <w:r w:rsidRPr="00614CC6">
              <w:rPr>
                <w:sz w:val="20"/>
              </w:rPr>
              <w:t>Emissions de fréquences étalon et de signaux horaires</w:t>
            </w:r>
          </w:p>
        </w:tc>
      </w:tr>
      <w:tr w:rsidR="00AD56F6" w:rsidRPr="00036EE3" w:rsidTr="00055A41">
        <w:tc>
          <w:tcPr>
            <w:tcW w:w="1140" w:type="dxa"/>
          </w:tcPr>
          <w:p w:rsidR="00AD56F6" w:rsidRPr="00614CC6" w:rsidRDefault="00AD56F6" w:rsidP="00055A41">
            <w:pPr>
              <w:spacing w:before="30" w:after="30"/>
              <w:ind w:left="57"/>
              <w:jc w:val="left"/>
              <w:rPr>
                <w:b/>
                <w:bCs/>
                <w:sz w:val="20"/>
                <w:lang w:val="en-US"/>
              </w:rPr>
            </w:pPr>
            <w:r w:rsidRPr="00614CC6">
              <w:rPr>
                <w:b/>
                <w:bCs/>
                <w:sz w:val="20"/>
                <w:lang w:val="en-US"/>
              </w:rPr>
              <w:t>V</w:t>
            </w:r>
          </w:p>
        </w:tc>
        <w:tc>
          <w:tcPr>
            <w:tcW w:w="8220" w:type="dxa"/>
          </w:tcPr>
          <w:p w:rsidR="00AD56F6" w:rsidRPr="00614CC6" w:rsidRDefault="00AD56F6" w:rsidP="00055A41">
            <w:pPr>
              <w:spacing w:before="30" w:after="140"/>
              <w:jc w:val="left"/>
              <w:rPr>
                <w:sz w:val="20"/>
                <w:lang w:val="en-US"/>
              </w:rPr>
            </w:pPr>
            <w:r w:rsidRPr="00614CC6">
              <w:rPr>
                <w:sz w:val="20"/>
              </w:rPr>
              <w:t>Vocabulaire et sujets associés</w:t>
            </w:r>
          </w:p>
        </w:tc>
      </w:tr>
    </w:tbl>
    <w:p w:rsidR="00AD56F6" w:rsidRPr="00036EE3" w:rsidRDefault="00AD56F6" w:rsidP="00AD56F6">
      <w:pPr>
        <w:spacing w:before="0"/>
        <w:jc w:val="center"/>
        <w:rPr>
          <w:sz w:val="20"/>
          <w:lang w:val="en-US"/>
        </w:rPr>
      </w:pPr>
    </w:p>
    <w:p w:rsidR="00AD56F6" w:rsidRPr="00036EE3" w:rsidRDefault="00AD56F6" w:rsidP="00AD56F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D56F6" w:rsidRPr="00756B4D" w:rsidTr="00055A41">
        <w:tc>
          <w:tcPr>
            <w:tcW w:w="9360" w:type="dxa"/>
          </w:tcPr>
          <w:p w:rsidR="00AD56F6" w:rsidRPr="00756B4D" w:rsidRDefault="00AD56F6" w:rsidP="00055A4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D56F6" w:rsidRPr="00756B4D" w:rsidRDefault="00AD56F6" w:rsidP="00AD56F6">
      <w:pPr>
        <w:spacing w:before="0"/>
        <w:jc w:val="center"/>
        <w:rPr>
          <w:sz w:val="22"/>
        </w:rPr>
      </w:pPr>
    </w:p>
    <w:p w:rsidR="00AD56F6" w:rsidRPr="00614CC6" w:rsidRDefault="00AD56F6" w:rsidP="00AD56F6">
      <w:pPr>
        <w:spacing w:before="100"/>
        <w:jc w:val="right"/>
        <w:rPr>
          <w:i/>
          <w:iCs/>
          <w:sz w:val="20"/>
        </w:rPr>
      </w:pPr>
      <w:r w:rsidRPr="00614CC6">
        <w:rPr>
          <w:i/>
          <w:iCs/>
          <w:sz w:val="20"/>
        </w:rPr>
        <w:t>Publication électronique</w:t>
      </w:r>
    </w:p>
    <w:p w:rsidR="00AD56F6" w:rsidRPr="00614CC6" w:rsidRDefault="00AD56F6" w:rsidP="00AD56F6">
      <w:pPr>
        <w:spacing w:before="0"/>
        <w:jc w:val="right"/>
        <w:rPr>
          <w:sz w:val="20"/>
        </w:rPr>
      </w:pPr>
      <w:r w:rsidRPr="00614CC6">
        <w:rPr>
          <w:sz w:val="20"/>
        </w:rPr>
        <w:t>Genève, 20</w:t>
      </w:r>
      <w:r>
        <w:rPr>
          <w:sz w:val="20"/>
        </w:rPr>
        <w:t>16</w:t>
      </w:r>
    </w:p>
    <w:p w:rsidR="00AD56F6" w:rsidRPr="00614CC6" w:rsidRDefault="00AD56F6" w:rsidP="00AD56F6">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AD56F6" w:rsidRPr="00614CC6" w:rsidRDefault="00AD56F6" w:rsidP="00AD56F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D56F6" w:rsidRPr="00614CC6" w:rsidRDefault="00AD56F6" w:rsidP="00AD56F6">
      <w:pPr>
        <w:spacing w:before="160"/>
        <w:rPr>
          <w:i/>
          <w:sz w:val="20"/>
          <w:highlight w:val="yellow"/>
        </w:rPr>
        <w:sectPr w:rsidR="00AD56F6"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AD56F6" w:rsidRDefault="00AD56F6" w:rsidP="00966BD0">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966BD0">
        <w:rPr>
          <w:rStyle w:val="href"/>
        </w:rPr>
        <w:t>2009-1</w:t>
      </w:r>
    </w:p>
    <w:p w:rsidR="00AD56F6" w:rsidRPr="00F14D51" w:rsidRDefault="00AD56F6" w:rsidP="00AD56F6">
      <w:pPr>
        <w:pStyle w:val="Rectitle"/>
      </w:pPr>
      <w:bookmarkStart w:id="5" w:name="lt_pId058"/>
      <w:r w:rsidRPr="004A6419">
        <w:rPr>
          <w:rFonts w:asciiTheme="majorBidi" w:hAnsiTheme="majorBidi" w:cstheme="majorBidi"/>
          <w:color w:val="000000"/>
          <w:lang w:val="fr-CH"/>
        </w:rPr>
        <w:t xml:space="preserve">Normes d'interface radioélectrique à utiliser pour les opérations de protection du public et de secours en cas de catastrophe dans certaines parties </w:t>
      </w:r>
      <w:r>
        <w:rPr>
          <w:rFonts w:asciiTheme="majorBidi" w:hAnsiTheme="majorBidi" w:cstheme="majorBidi"/>
          <w:color w:val="000000"/>
          <w:lang w:val="fr-CH"/>
        </w:rPr>
        <w:br/>
      </w:r>
      <w:r w:rsidRPr="004A6419">
        <w:rPr>
          <w:rFonts w:asciiTheme="majorBidi" w:hAnsiTheme="majorBidi" w:cstheme="majorBidi"/>
          <w:color w:val="000000"/>
          <w:lang w:val="fr-CH"/>
        </w:rPr>
        <w:t xml:space="preserve">de la bande d'ondes décimétriques conformément </w:t>
      </w:r>
      <w:r>
        <w:rPr>
          <w:rFonts w:asciiTheme="majorBidi" w:hAnsiTheme="majorBidi" w:cstheme="majorBidi"/>
          <w:color w:val="000000"/>
          <w:lang w:val="fr-CH"/>
        </w:rPr>
        <w:br/>
      </w:r>
      <w:r w:rsidRPr="004A6419">
        <w:rPr>
          <w:rFonts w:asciiTheme="majorBidi" w:hAnsiTheme="majorBidi" w:cstheme="majorBidi"/>
          <w:color w:val="000000"/>
          <w:lang w:val="fr-CH"/>
        </w:rPr>
        <w:t>à la Résolution 646 (Rév.CMR-12)</w:t>
      </w:r>
      <w:bookmarkEnd w:id="5"/>
    </w:p>
    <w:p w:rsidR="00AD56F6" w:rsidRPr="004150F7" w:rsidRDefault="00AD56F6" w:rsidP="00AD56F6">
      <w:pPr>
        <w:pStyle w:val="Recdate"/>
      </w:pPr>
      <w:r w:rsidRPr="004150F7">
        <w:rPr>
          <w:lang w:eastAsia="ja-JP"/>
        </w:rPr>
        <w:t>(</w:t>
      </w:r>
      <w:r w:rsidRPr="004150F7">
        <w:t>2012</w:t>
      </w:r>
      <w:r w:rsidRPr="004150F7">
        <w:rPr>
          <w:lang w:eastAsia="ja-JP"/>
        </w:rPr>
        <w:t>-2015)</w:t>
      </w:r>
    </w:p>
    <w:p w:rsidR="00AD56F6" w:rsidRDefault="00AD56F6" w:rsidP="00AD56F6">
      <w:pPr>
        <w:pStyle w:val="Headingb"/>
      </w:pPr>
      <w:bookmarkStart w:id="6" w:name="lt_pId060"/>
      <w:r w:rsidRPr="004A6419">
        <w:t>Mots-clés</w:t>
      </w:r>
      <w:bookmarkStart w:id="7" w:name="lt_pId061"/>
      <w:bookmarkEnd w:id="6"/>
    </w:p>
    <w:p w:rsidR="00AD56F6" w:rsidRPr="004C1D78" w:rsidRDefault="00AD56F6" w:rsidP="00AD56F6">
      <w:r w:rsidRPr="004C1D78">
        <w:t>PPDR, IMT, norm</w:t>
      </w:r>
      <w:r>
        <w:t>e</w:t>
      </w:r>
      <w:r w:rsidRPr="004C1D78">
        <w:t>s d</w:t>
      </w:r>
      <w:r>
        <w:t>'</w:t>
      </w:r>
      <w:r w:rsidRPr="004C1D78">
        <w:t>interface radioélectrique, bande d</w:t>
      </w:r>
      <w:r>
        <w:t>'</w:t>
      </w:r>
      <w:r w:rsidRPr="004C1D78">
        <w:t>ondes décimétriques</w:t>
      </w:r>
      <w:bookmarkEnd w:id="7"/>
    </w:p>
    <w:p w:rsidR="00AD56F6" w:rsidRPr="00F14D51" w:rsidRDefault="00AD56F6" w:rsidP="00AD56F6">
      <w:pPr>
        <w:pStyle w:val="Heading1"/>
        <w:rPr>
          <w:szCs w:val="18"/>
        </w:rPr>
      </w:pPr>
      <w:r w:rsidRPr="00F14D51">
        <w:rPr>
          <w:szCs w:val="18"/>
        </w:rPr>
        <w:t>1</w:t>
      </w:r>
      <w:r w:rsidRPr="00F14D51">
        <w:rPr>
          <w:szCs w:val="18"/>
        </w:rPr>
        <w:tab/>
      </w:r>
      <w:bookmarkStart w:id="8" w:name="lt_pId063"/>
      <w:r w:rsidRPr="00F14D51">
        <w:rPr>
          <w:szCs w:val="18"/>
        </w:rPr>
        <w:t xml:space="preserve">Domaine </w:t>
      </w:r>
      <w:bookmarkEnd w:id="8"/>
      <w:r>
        <w:rPr>
          <w:szCs w:val="18"/>
        </w:rPr>
        <w:t>d'application</w:t>
      </w:r>
    </w:p>
    <w:p w:rsidR="00AD56F6" w:rsidRPr="000370E9" w:rsidRDefault="00AD56F6" w:rsidP="00AD56F6">
      <w:pPr>
        <w:rPr>
          <w:b/>
          <w:lang w:val="fr-CH"/>
        </w:rPr>
      </w:pPr>
      <w:bookmarkStart w:id="9" w:name="lt_pId064"/>
      <w:r>
        <w:t xml:space="preserve">La présente </w:t>
      </w:r>
      <w:r w:rsidRPr="000370E9">
        <w:rPr>
          <w:lang w:val="fr-CH"/>
        </w:rPr>
        <w:t>Recommandation recense les normes d'interface radioélectrique à utiliser pour les opérations de protection du public et de secours en cas de catastrophe (PPDR</w:t>
      </w:r>
      <w:r>
        <w:rPr>
          <w:lang w:val="fr-CH"/>
        </w:rPr>
        <w:t>)</w:t>
      </w:r>
      <w:r w:rsidRPr="000370E9">
        <w:rPr>
          <w:lang w:val="fr-CH"/>
        </w:rPr>
        <w:t xml:space="preserve"> dans certaines parties de la bande d'ondes décimétriques.</w:t>
      </w:r>
      <w:bookmarkEnd w:id="9"/>
      <w:r w:rsidRPr="000370E9">
        <w:rPr>
          <w:lang w:val="fr-CH"/>
        </w:rPr>
        <w:t xml:space="preserve"> </w:t>
      </w:r>
      <w:bookmarkStart w:id="10" w:name="lt_pId065"/>
      <w:r w:rsidRPr="000370E9">
        <w:rPr>
          <w:lang w:val="fr-CH"/>
        </w:rPr>
        <w:t xml:space="preserve">Les normes relatives aux systèmes large bande mentionnées dans </w:t>
      </w:r>
      <w:r>
        <w:rPr>
          <w:lang w:val="fr-CH"/>
        </w:rPr>
        <w:t>la présente</w:t>
      </w:r>
      <w:r w:rsidRPr="000370E9">
        <w:rPr>
          <w:lang w:val="fr-CH"/>
        </w:rPr>
        <w:t xml:space="preserve"> Recommandation permettent de prendre en charge des transmissions large bande, les définitions UIT-R des expressions «accès hertzien» et «accès hertzien large bande» figurant dans la Recommandation UIT-R F.1399.</w:t>
      </w:r>
      <w:bookmarkEnd w:id="10"/>
    </w:p>
    <w:p w:rsidR="00AD56F6" w:rsidRPr="00850DB2" w:rsidRDefault="00AD56F6" w:rsidP="00AD56F6">
      <w:bookmarkStart w:id="11" w:name="lt_pId066"/>
      <w:r>
        <w:rPr>
          <w:lang w:val="fr-CH"/>
        </w:rPr>
        <w:t>La présente</w:t>
      </w:r>
      <w:r w:rsidRPr="000370E9">
        <w:rPr>
          <w:lang w:val="fr-CH"/>
        </w:rPr>
        <w:t xml:space="preserve"> Recommandation porte sur les normes proprement dites et ne traite pas des dispositions des fréquences pour les systèmes PPDR, qui font l'objet d'une autre Recommandation</w:t>
      </w:r>
      <w:r>
        <w:rPr>
          <w:lang w:val="fr-CH"/>
        </w:rPr>
        <w:t>:</w:t>
      </w:r>
      <w:r w:rsidRPr="000370E9">
        <w:rPr>
          <w:lang w:val="fr-CH"/>
        </w:rPr>
        <w:t xml:space="preserve"> </w:t>
      </w:r>
      <w:r>
        <w:rPr>
          <w:lang w:val="fr-CH"/>
        </w:rPr>
        <w:t>Recommandation</w:t>
      </w:r>
      <w:r w:rsidRPr="000370E9">
        <w:rPr>
          <w:lang w:val="fr-CH"/>
        </w:rPr>
        <w:t xml:space="preserve"> UIT-R M.</w:t>
      </w:r>
      <w:bookmarkEnd w:id="11"/>
      <w:r>
        <w:rPr>
          <w:lang w:val="fr-CH"/>
        </w:rPr>
        <w:t>2015.</w:t>
      </w:r>
    </w:p>
    <w:p w:rsidR="00AD56F6" w:rsidRPr="00A71FCF" w:rsidRDefault="00AD56F6" w:rsidP="00AD56F6">
      <w:pPr>
        <w:pStyle w:val="Heading1"/>
        <w:rPr>
          <w:szCs w:val="24"/>
        </w:rPr>
      </w:pPr>
      <w:r w:rsidRPr="00F14D51">
        <w:rPr>
          <w:szCs w:val="18"/>
        </w:rPr>
        <w:t>2</w:t>
      </w:r>
      <w:r w:rsidRPr="00F14D51">
        <w:rPr>
          <w:szCs w:val="18"/>
        </w:rPr>
        <w:tab/>
      </w:r>
      <w:bookmarkStart w:id="12" w:name="lt_pId068"/>
      <w:r w:rsidRPr="00F14D51">
        <w:rPr>
          <w:szCs w:val="18"/>
        </w:rPr>
        <w:t>Introduction</w:t>
      </w:r>
      <w:bookmarkEnd w:id="12"/>
    </w:p>
    <w:p w:rsidR="00AD56F6" w:rsidRPr="00F14D51" w:rsidRDefault="00AD56F6" w:rsidP="00AD56F6">
      <w:bookmarkStart w:id="13" w:name="lt_pId069"/>
      <w:r>
        <w:rPr>
          <w:lang w:val="fr-CH"/>
        </w:rPr>
        <w:t>La présente Recommandation recense les normes d'interface radioélectrique à utiliser pour les opérations de protection du public et de secours en cas de catastrophe</w:t>
      </w:r>
      <w:bookmarkStart w:id="14" w:name="lt_pId070"/>
      <w:bookmarkStart w:id="15" w:name="lt_pId071"/>
      <w:bookmarkEnd w:id="13"/>
      <w:bookmarkEnd w:id="14"/>
      <w:r>
        <w:rPr>
          <w:lang w:val="fr-CH"/>
        </w:rPr>
        <w:t xml:space="preserve">. </w:t>
      </w:r>
      <w:r w:rsidRPr="006D4D96">
        <w:rPr>
          <w:lang w:val="fr-CH"/>
        </w:rPr>
        <w:t xml:space="preserve">Ces normes </w:t>
      </w:r>
      <w:r>
        <w:rPr>
          <w:lang w:val="fr-CH"/>
        </w:rPr>
        <w:t xml:space="preserve">sont basées sur </w:t>
      </w:r>
      <w:r w:rsidRPr="006D4D96">
        <w:rPr>
          <w:lang w:val="fr-CH"/>
        </w:rPr>
        <w:t>de</w:t>
      </w:r>
      <w:r>
        <w:rPr>
          <w:lang w:val="fr-CH"/>
        </w:rPr>
        <w:t>s</w:t>
      </w:r>
      <w:r w:rsidRPr="006D4D96">
        <w:rPr>
          <w:lang w:val="fr-CH"/>
        </w:rPr>
        <w:t xml:space="preserve"> spécifications communes élaborées par des organisations de normalisation (SDO).</w:t>
      </w:r>
      <w:bookmarkEnd w:id="15"/>
      <w:r w:rsidRPr="006D4D96">
        <w:rPr>
          <w:lang w:val="fr-CH"/>
        </w:rPr>
        <w:t xml:space="preserve"> </w:t>
      </w:r>
      <w:bookmarkStart w:id="16" w:name="lt_pId072"/>
      <w:r>
        <w:rPr>
          <w:lang w:val="fr-CH"/>
        </w:rPr>
        <w:t>En utilisant la présente</w:t>
      </w:r>
      <w:r w:rsidRPr="000370E9">
        <w:rPr>
          <w:lang w:val="fr-CH"/>
        </w:rPr>
        <w:t xml:space="preserve"> </w:t>
      </w:r>
      <w:r w:rsidRPr="006D4D96">
        <w:rPr>
          <w:lang w:val="fr-CH"/>
        </w:rPr>
        <w:t xml:space="preserve">Recommandation, </w:t>
      </w:r>
      <w:r>
        <w:rPr>
          <w:lang w:val="fr-CH"/>
        </w:rPr>
        <w:t xml:space="preserve">les régulateurs, </w:t>
      </w:r>
      <w:r w:rsidRPr="006D4D96">
        <w:rPr>
          <w:lang w:val="fr-CH"/>
        </w:rPr>
        <w:t>les fabricants et les opérateurs</w:t>
      </w:r>
      <w:r>
        <w:rPr>
          <w:lang w:val="fr-CH"/>
        </w:rPr>
        <w:t xml:space="preserve"> PPDR</w:t>
      </w:r>
      <w:r w:rsidRPr="006D4D96">
        <w:rPr>
          <w:lang w:val="fr-CH"/>
        </w:rPr>
        <w:t xml:space="preserve"> devraient pouvoir déterminer les normes les mieux adaptées à leurs besoins.</w:t>
      </w:r>
      <w:bookmarkEnd w:id="16"/>
    </w:p>
    <w:p w:rsidR="00AD56F6" w:rsidRPr="00A71FCF" w:rsidRDefault="00AD56F6" w:rsidP="00AD56F6">
      <w:pPr>
        <w:pStyle w:val="Heading1"/>
      </w:pPr>
      <w:r w:rsidRPr="00F14D51">
        <w:rPr>
          <w:szCs w:val="18"/>
          <w:lang w:val="fr-CH"/>
        </w:rPr>
        <w:t>3</w:t>
      </w:r>
      <w:r w:rsidRPr="00F14D51">
        <w:rPr>
          <w:szCs w:val="18"/>
          <w:lang w:val="fr-CH"/>
        </w:rPr>
        <w:tab/>
      </w:r>
      <w:bookmarkStart w:id="17" w:name="lt_pId074"/>
      <w:r w:rsidRPr="00F14D51">
        <w:rPr>
          <w:szCs w:val="18"/>
          <w:lang w:val="fr-CH"/>
        </w:rPr>
        <w:t>Recommandations et Rapports pertinents</w:t>
      </w:r>
      <w:bookmarkEnd w:id="17"/>
    </w:p>
    <w:p w:rsidR="00AD56F6" w:rsidRPr="00A71FCF" w:rsidRDefault="00AD56F6" w:rsidP="00AD56F6">
      <w:bookmarkStart w:id="18" w:name="lt_pId075"/>
      <w:r w:rsidRPr="001147BE">
        <w:rPr>
          <w:lang w:val="fr-CH"/>
        </w:rPr>
        <w:t>Les Recommandations</w:t>
      </w:r>
      <w:r>
        <w:rPr>
          <w:lang w:val="fr-CH"/>
        </w:rPr>
        <w:t xml:space="preserve"> et les Rapports</w:t>
      </w:r>
      <w:r w:rsidRPr="001147BE">
        <w:rPr>
          <w:lang w:val="fr-CH"/>
        </w:rPr>
        <w:t xml:space="preserve"> en vigueur qui sont considéré</w:t>
      </w:r>
      <w:r>
        <w:rPr>
          <w:lang w:val="fr-CH"/>
        </w:rPr>
        <w:t>s comme étant important</w:t>
      </w:r>
      <w:r w:rsidRPr="001147BE">
        <w:rPr>
          <w:lang w:val="fr-CH"/>
        </w:rPr>
        <w:t xml:space="preserve">s pour l'élaboration de la présente </w:t>
      </w:r>
      <w:r>
        <w:rPr>
          <w:lang w:val="fr-CH"/>
        </w:rPr>
        <w:t>Recommandation sont les suivant</w:t>
      </w:r>
      <w:r w:rsidRPr="001147BE">
        <w:rPr>
          <w:lang w:val="fr-CH"/>
        </w:rPr>
        <w:t>s:</w:t>
      </w:r>
      <w:bookmarkEnd w:id="18"/>
    </w:p>
    <w:p w:rsidR="00AD56F6" w:rsidRPr="00F14D51" w:rsidRDefault="00AD56F6" w:rsidP="00AD56F6">
      <w:pPr>
        <w:pStyle w:val="enumlev1"/>
      </w:pPr>
      <w:bookmarkStart w:id="19" w:name="OLE_LINK9"/>
      <w:bookmarkStart w:id="20" w:name="OLE_LINK10"/>
      <w:r w:rsidRPr="00F14D51">
        <w:t>–</w:t>
      </w:r>
      <w:r w:rsidRPr="00F14D51">
        <w:tab/>
      </w:r>
      <w:bookmarkStart w:id="21" w:name="lt_pId077"/>
      <w:r w:rsidRPr="00F14D51">
        <w:t>Recommandation UIT-R F.1399 – Terminologie relative aux accès hertziens.</w:t>
      </w:r>
      <w:bookmarkEnd w:id="21"/>
    </w:p>
    <w:p w:rsidR="00AD56F6" w:rsidRPr="00F14D51" w:rsidRDefault="00AD56F6" w:rsidP="00AD56F6">
      <w:pPr>
        <w:pStyle w:val="enumlev1"/>
      </w:pPr>
      <w:r w:rsidRPr="00F14D51">
        <w:t>–</w:t>
      </w:r>
      <w:r w:rsidRPr="00F14D51">
        <w:tab/>
      </w:r>
      <w:bookmarkStart w:id="22" w:name="lt_pId079"/>
      <w:r w:rsidRPr="00F14D51">
        <w:t>Recommandation UIT-R M.1457 – Spécifications détaillées des interfaces radioélectriques de Terre des télécommunications mobiles internationales 2000 (IMT</w:t>
      </w:r>
      <w:r w:rsidRPr="00F14D51">
        <w:rPr>
          <w:rFonts w:eastAsia="Normal"/>
        </w:rPr>
        <w:noBreakHyphen/>
      </w:r>
      <w:r w:rsidRPr="00F14D51">
        <w:t>2000).</w:t>
      </w:r>
      <w:bookmarkEnd w:id="22"/>
    </w:p>
    <w:p w:rsidR="00AD56F6" w:rsidRPr="00F14D51" w:rsidRDefault="00AD56F6" w:rsidP="00AD56F6">
      <w:pPr>
        <w:pStyle w:val="enumlev1"/>
      </w:pPr>
      <w:r w:rsidRPr="00F14D51">
        <w:t>–</w:t>
      </w:r>
      <w:r w:rsidRPr="00F14D51">
        <w:tab/>
      </w:r>
      <w:bookmarkStart w:id="23" w:name="lt_pId081"/>
      <w:r w:rsidRPr="00F14D51">
        <w:t>Recommandation UIT-R M.1801 – Normes relatives aux interfaces radioélectriques pour les systèmes d'accès hertzien à large bande, applications mobiles et nomades comprises, du service mobile fonctionnant au-dessous de 6 GHz.</w:t>
      </w:r>
      <w:bookmarkEnd w:id="23"/>
    </w:p>
    <w:p w:rsidR="00AD56F6" w:rsidRPr="00F14D51" w:rsidRDefault="00AD56F6" w:rsidP="00AD56F6">
      <w:pPr>
        <w:pStyle w:val="enumlev1"/>
      </w:pPr>
      <w:r w:rsidRPr="00F14D51">
        <w:t>–</w:t>
      </w:r>
      <w:r w:rsidRPr="00F14D51">
        <w:tab/>
      </w:r>
      <w:bookmarkStart w:id="24" w:name="lt_pId083"/>
      <w:r w:rsidRPr="00F14D51">
        <w:t>Recommandation UIT-R M.2012 – Spécifications détaillées des interfaces radioélectriques de Terre des télécommunications mobiles internationales évoluées (IMT évoluées).</w:t>
      </w:r>
      <w:bookmarkEnd w:id="24"/>
    </w:p>
    <w:p w:rsidR="00AD56F6" w:rsidRPr="00F14D51" w:rsidRDefault="00AD56F6" w:rsidP="0089111B">
      <w:pPr>
        <w:pStyle w:val="enumlev1"/>
        <w:keepNext/>
        <w:keepLines/>
      </w:pPr>
      <w:r w:rsidRPr="00F14D51">
        <w:lastRenderedPageBreak/>
        <w:t>–</w:t>
      </w:r>
      <w:r w:rsidRPr="00F14D51">
        <w:tab/>
      </w:r>
      <w:bookmarkStart w:id="25" w:name="lt_pId085"/>
      <w:r w:rsidRPr="00F14D51">
        <w:t>Recommandation UIT-R M.2015</w:t>
      </w:r>
      <w:r w:rsidR="0089111B">
        <w:t> </w:t>
      </w:r>
      <w:r w:rsidRPr="00F14D51">
        <w:t>–</w:t>
      </w:r>
      <w:r w:rsidR="0089111B">
        <w:t> </w:t>
      </w:r>
      <w:r w:rsidRPr="00F14D51">
        <w:t xml:space="preserve">Dispositions de fréquences pour les systèmes de radiocommunication destinés à la protection du public et aux opérations de secours en cas de catastrophe dans les bandes d'ondes décimétriques conformément à la Résolution </w:t>
      </w:r>
      <w:r w:rsidRPr="00A71FCF">
        <w:rPr>
          <w:b/>
          <w:bCs/>
        </w:rPr>
        <w:t>646 (Rév.CMR-12)</w:t>
      </w:r>
      <w:r w:rsidRPr="00F14D51">
        <w:t>.</w:t>
      </w:r>
      <w:bookmarkEnd w:id="25"/>
    </w:p>
    <w:bookmarkEnd w:id="19"/>
    <w:bookmarkEnd w:id="20"/>
    <w:p w:rsidR="00AD56F6" w:rsidRPr="00F14D51" w:rsidRDefault="00AD56F6" w:rsidP="00AD56F6">
      <w:pPr>
        <w:pStyle w:val="enumlev1"/>
      </w:pPr>
      <w:r w:rsidRPr="00F14D51">
        <w:t>–</w:t>
      </w:r>
      <w:r w:rsidRPr="00F14D51">
        <w:tab/>
      </w:r>
      <w:bookmarkStart w:id="26" w:name="lt_pId087"/>
      <w:r w:rsidRPr="00F14D51">
        <w:t>Rapport UIT-R M.2014 – Systèmes mobiles terrestres numériques pour trafic de dispatching.</w:t>
      </w:r>
      <w:bookmarkEnd w:id="26"/>
    </w:p>
    <w:p w:rsidR="00AD56F6" w:rsidRPr="00F14D51" w:rsidRDefault="00AD56F6" w:rsidP="00AD56F6">
      <w:pPr>
        <w:pStyle w:val="enumlev1"/>
      </w:pPr>
      <w:r w:rsidRPr="00F14D51">
        <w:t>–</w:t>
      </w:r>
      <w:r w:rsidRPr="00F14D51">
        <w:tab/>
        <w:t>Rapport UIT-R M.2033 – Objectifs et spécifications des systèmes de radiocommunication destinés à la protection du public et aux opérations de secours en cas de catastrophe</w:t>
      </w:r>
      <w:r>
        <w:t>.</w:t>
      </w:r>
    </w:p>
    <w:p w:rsidR="00AD56F6" w:rsidRPr="00F14D51" w:rsidRDefault="00AD56F6" w:rsidP="00AD56F6">
      <w:pPr>
        <w:pStyle w:val="Heading1"/>
        <w:rPr>
          <w:szCs w:val="18"/>
        </w:rPr>
      </w:pPr>
      <w:r w:rsidRPr="00F14D51">
        <w:rPr>
          <w:szCs w:val="18"/>
        </w:rPr>
        <w:t>4</w:t>
      </w:r>
      <w:r w:rsidRPr="00F14D51">
        <w:rPr>
          <w:szCs w:val="18"/>
        </w:rPr>
        <w:tab/>
      </w:r>
      <w:bookmarkStart w:id="27" w:name="lt_pId091"/>
      <w:r w:rsidRPr="00F14D51">
        <w:rPr>
          <w:szCs w:val="18"/>
        </w:rPr>
        <w:t>Considérant</w:t>
      </w:r>
      <w:bookmarkEnd w:id="27"/>
    </w:p>
    <w:p w:rsidR="00AD56F6" w:rsidRPr="00EE3B64" w:rsidRDefault="00AD56F6" w:rsidP="00AD56F6">
      <w:r w:rsidRPr="00EE3B64">
        <w:t>a)</w:t>
      </w:r>
      <w:r w:rsidRPr="00EE3B64">
        <w:tab/>
      </w:r>
      <w:bookmarkStart w:id="28" w:name="lt_pId093"/>
      <w:r w:rsidRPr="00EE3B64">
        <w:t xml:space="preserve">que les administrations </w:t>
      </w:r>
      <w:r>
        <w:t>peuvent</w:t>
      </w:r>
      <w:r w:rsidRPr="00EE3B64">
        <w:t xml:space="preserve"> </w:t>
      </w:r>
      <w:r>
        <w:t>déterminer</w:t>
      </w:r>
      <w:r w:rsidRPr="00EE3B64">
        <w:t xml:space="preserve"> les technologies à déployer pour les opérations PPDR;</w:t>
      </w:r>
      <w:bookmarkEnd w:id="28"/>
    </w:p>
    <w:p w:rsidR="00AD56F6" w:rsidRPr="00890572" w:rsidRDefault="00AD56F6" w:rsidP="00AD56F6">
      <w:r w:rsidRPr="00890572">
        <w:t>b)</w:t>
      </w:r>
      <w:r w:rsidRPr="00890572">
        <w:tab/>
      </w:r>
      <w:bookmarkStart w:id="29" w:name="lt_pId095"/>
      <w:r w:rsidRPr="00890572">
        <w:t>que le fait d</w:t>
      </w:r>
      <w:r>
        <w:t>e mentionner</w:t>
      </w:r>
      <w:r w:rsidRPr="00890572">
        <w:t xml:space="preserve"> des normes dans la présente Recommandation n'interdit pas l'utilisation d'autres normes pour les opérations PPDR</w:t>
      </w:r>
      <w:bookmarkEnd w:id="29"/>
      <w:r>
        <w:t>.</w:t>
      </w:r>
    </w:p>
    <w:p w:rsidR="00AD56F6" w:rsidRPr="00F14D51" w:rsidRDefault="00AD56F6" w:rsidP="00AD56F6">
      <w:pPr>
        <w:pStyle w:val="Heading1"/>
        <w:rPr>
          <w:szCs w:val="18"/>
        </w:rPr>
      </w:pPr>
      <w:r w:rsidRPr="00F14D51">
        <w:rPr>
          <w:szCs w:val="18"/>
        </w:rPr>
        <w:t>5</w:t>
      </w:r>
      <w:r w:rsidRPr="00F14D51">
        <w:rPr>
          <w:szCs w:val="18"/>
        </w:rPr>
        <w:tab/>
      </w:r>
      <w:bookmarkStart w:id="30" w:name="lt_pId097"/>
      <w:r w:rsidRPr="00F14D51">
        <w:rPr>
          <w:szCs w:val="18"/>
        </w:rPr>
        <w:t>Notant</w:t>
      </w:r>
      <w:bookmarkEnd w:id="30"/>
    </w:p>
    <w:p w:rsidR="00AD56F6" w:rsidRPr="003C59BC" w:rsidRDefault="00AD56F6" w:rsidP="00AD56F6">
      <w:bookmarkStart w:id="31" w:name="lt_pId098"/>
      <w:r>
        <w:t>Les besoins des utilisateurs concernant les systèmes</w:t>
      </w:r>
      <w:r w:rsidRPr="003C59BC">
        <w:t xml:space="preserve"> PPDR </w:t>
      </w:r>
      <w:r>
        <w:t>décrit</w:t>
      </w:r>
      <w:r w:rsidRPr="003C59BC">
        <w:t>s dans le Rapport UIT-R M.2033 et les acro</w:t>
      </w:r>
      <w:r>
        <w:t>nymes et les abréviations listé</w:t>
      </w:r>
      <w:r w:rsidRPr="003C59BC">
        <w:t>s dans l'Annexe 3</w:t>
      </w:r>
      <w:bookmarkEnd w:id="31"/>
      <w:r>
        <w:t>.</w:t>
      </w:r>
    </w:p>
    <w:p w:rsidR="00AD56F6" w:rsidRPr="00F14D51" w:rsidRDefault="00AD56F6" w:rsidP="00AD56F6">
      <w:pPr>
        <w:pStyle w:val="Heading1"/>
        <w:rPr>
          <w:szCs w:val="18"/>
        </w:rPr>
      </w:pPr>
      <w:r w:rsidRPr="00F14D51">
        <w:rPr>
          <w:szCs w:val="18"/>
        </w:rPr>
        <w:t>6</w:t>
      </w:r>
      <w:r w:rsidRPr="00F14D51">
        <w:rPr>
          <w:szCs w:val="18"/>
        </w:rPr>
        <w:tab/>
      </w:r>
      <w:bookmarkStart w:id="32" w:name="lt_pId100"/>
      <w:r w:rsidRPr="00F14D51">
        <w:rPr>
          <w:szCs w:val="18"/>
        </w:rPr>
        <w:t>Reconnaissant</w:t>
      </w:r>
      <w:bookmarkEnd w:id="32"/>
    </w:p>
    <w:p w:rsidR="00AD56F6" w:rsidRPr="00F14D51" w:rsidRDefault="00AD56F6" w:rsidP="00AD56F6">
      <w:r w:rsidRPr="0051662C">
        <w:rPr>
          <w:lang w:val="fr-CH"/>
        </w:rPr>
        <w:t>a)</w:t>
      </w:r>
      <w:r w:rsidRPr="0051662C">
        <w:rPr>
          <w:lang w:val="fr-CH"/>
        </w:rPr>
        <w:tab/>
      </w:r>
      <w:bookmarkStart w:id="33" w:name="lt_pId102"/>
      <w:r>
        <w:rPr>
          <w:lang w:val="fr-CH"/>
        </w:rPr>
        <w:t xml:space="preserve">que, par </w:t>
      </w:r>
      <w:r w:rsidRPr="0051662C">
        <w:rPr>
          <w:lang w:val="fr-CH"/>
        </w:rPr>
        <w:t xml:space="preserve">la Résolution </w:t>
      </w:r>
      <w:r w:rsidRPr="000E29C6">
        <w:rPr>
          <w:b/>
          <w:bCs/>
          <w:lang w:val="fr-CH"/>
        </w:rPr>
        <w:t>646 (Rév.CMR-12)</w:t>
      </w:r>
      <w:r w:rsidRPr="00F14D51">
        <w:rPr>
          <w:lang w:val="fr-CH"/>
        </w:rPr>
        <w:t>,</w:t>
      </w:r>
      <w:r w:rsidRPr="000E29C6">
        <w:rPr>
          <w:lang w:val="fr-CH"/>
        </w:rPr>
        <w:t xml:space="preserve"> les administrations sont encouragées à examiner les bandes ou gammes de fréquences ou parties de ces bandes ou gammes de f</w:t>
      </w:r>
      <w:r>
        <w:rPr>
          <w:lang w:val="fr-CH"/>
        </w:rPr>
        <w:t>réquences identifiées dans ladite Résolution</w:t>
      </w:r>
      <w:r w:rsidRPr="000E29C6">
        <w:rPr>
          <w:lang w:val="fr-CH"/>
        </w:rPr>
        <w:t xml:space="preserve"> lorsqu'elles effectuent leur planification nationale en vue d'harmoniser au niveau régional les bandes ou gammes de fréquences p</w:t>
      </w:r>
      <w:r>
        <w:rPr>
          <w:lang w:val="fr-CH"/>
        </w:rPr>
        <w:t>our les solutions évoluées en matière de</w:t>
      </w:r>
      <w:r w:rsidRPr="000E29C6">
        <w:rPr>
          <w:lang w:val="fr-CH"/>
        </w:rPr>
        <w:t xml:space="preserve"> protection du public et </w:t>
      </w:r>
      <w:r>
        <w:rPr>
          <w:lang w:val="fr-CH"/>
        </w:rPr>
        <w:t>de secours</w:t>
      </w:r>
      <w:r w:rsidRPr="000E29C6">
        <w:rPr>
          <w:lang w:val="fr-CH"/>
        </w:rPr>
        <w:t xml:space="preserve"> en cas de catastrophe;</w:t>
      </w:r>
      <w:bookmarkEnd w:id="33"/>
    </w:p>
    <w:p w:rsidR="00AD56F6" w:rsidRPr="00F14D51" w:rsidRDefault="00AD56F6" w:rsidP="00AD56F6">
      <w:r w:rsidRPr="000E29C6">
        <w:rPr>
          <w:lang w:val="fr-CH"/>
        </w:rPr>
        <w:t>b)</w:t>
      </w:r>
      <w:r w:rsidRPr="000E29C6">
        <w:rPr>
          <w:lang w:val="fr-CH"/>
        </w:rPr>
        <w:tab/>
      </w:r>
      <w:bookmarkStart w:id="34" w:name="lt_pId104"/>
      <w:r>
        <w:rPr>
          <w:lang w:val="fr-CH"/>
        </w:rPr>
        <w:t>que la Recommandation UIT-R M.2015, intitulée «</w:t>
      </w:r>
      <w:r w:rsidRPr="000E29C6">
        <w:rPr>
          <w:lang w:val="fr-CH"/>
        </w:rPr>
        <w:t>Dispositions de fréquences pour les systèmes de radiocommunication destinés à la protection du public et aux opérations de secours en cas de catastrophe dans les bandes d'onde</w:t>
      </w:r>
      <w:r>
        <w:rPr>
          <w:lang w:val="fr-CH"/>
        </w:rPr>
        <w:t>s</w:t>
      </w:r>
      <w:r w:rsidRPr="000E29C6">
        <w:rPr>
          <w:lang w:val="fr-CH"/>
        </w:rPr>
        <w:t xml:space="preserve"> décimétriques</w:t>
      </w:r>
      <w:r>
        <w:rPr>
          <w:lang w:val="fr-CH"/>
        </w:rPr>
        <w:t xml:space="preserve"> </w:t>
      </w:r>
      <w:r w:rsidRPr="000E29C6">
        <w:rPr>
          <w:lang w:val="fr-CH"/>
        </w:rPr>
        <w:t xml:space="preserve">conformément à la Résolution </w:t>
      </w:r>
      <w:r w:rsidRPr="00103483">
        <w:rPr>
          <w:b/>
          <w:bCs/>
          <w:lang w:val="fr-CH"/>
        </w:rPr>
        <w:t>646 (Rév.CMR</w:t>
      </w:r>
      <w:r>
        <w:rPr>
          <w:b/>
          <w:bCs/>
          <w:lang w:val="fr-CH"/>
        </w:rPr>
        <w:noBreakHyphen/>
        <w:t>12</w:t>
      </w:r>
      <w:r w:rsidRPr="00103483">
        <w:rPr>
          <w:b/>
          <w:bCs/>
          <w:lang w:val="fr-CH"/>
        </w:rPr>
        <w:t>)</w:t>
      </w:r>
      <w:r>
        <w:rPr>
          <w:lang w:val="fr-CH"/>
        </w:rPr>
        <w:t>», donne</w:t>
      </w:r>
      <w:r w:rsidRPr="000E29C6">
        <w:rPr>
          <w:lang w:val="fr-CH"/>
        </w:rPr>
        <w:t xml:space="preserve"> </w:t>
      </w:r>
      <w:bookmarkStart w:id="35" w:name="lt_pId105"/>
      <w:bookmarkEnd w:id="34"/>
      <w:r w:rsidRPr="000E29C6">
        <w:rPr>
          <w:lang w:val="fr-CH"/>
        </w:rPr>
        <w:t>des indications sur les dispositions de fréquences</w:t>
      </w:r>
      <w:r>
        <w:rPr>
          <w:lang w:val="fr-CH"/>
        </w:rPr>
        <w:t xml:space="preserve"> </w:t>
      </w:r>
      <w:r w:rsidRPr="000E29C6">
        <w:rPr>
          <w:lang w:val="fr-CH"/>
        </w:rPr>
        <w:t>pour les systèmes de radiocommunication destinés à la protection du public et aux opérations de secours en cas de catastrophe dans certaines régions et dans certaines bandes de fréquences au-dessous de 1 GHz ide</w:t>
      </w:r>
      <w:r>
        <w:rPr>
          <w:lang w:val="fr-CH"/>
        </w:rPr>
        <w:t>ntifiées dans la Résolution 646</w:t>
      </w:r>
      <w:r w:rsidRPr="000E29C6">
        <w:rPr>
          <w:lang w:val="fr-CH"/>
        </w:rPr>
        <w:t>.</w:t>
      </w:r>
      <w:bookmarkEnd w:id="35"/>
    </w:p>
    <w:p w:rsidR="00AD56F6" w:rsidRPr="00F14D51" w:rsidRDefault="00AD56F6" w:rsidP="00AD56F6">
      <w:pPr>
        <w:pStyle w:val="Heading1"/>
        <w:rPr>
          <w:szCs w:val="18"/>
        </w:rPr>
      </w:pPr>
      <w:r w:rsidRPr="00F14D51">
        <w:rPr>
          <w:rFonts w:eastAsia="SimSun"/>
          <w:szCs w:val="18"/>
        </w:rPr>
        <w:t>7</w:t>
      </w:r>
      <w:r w:rsidRPr="00F14D51">
        <w:rPr>
          <w:rFonts w:eastAsia="SimSun"/>
          <w:szCs w:val="18"/>
        </w:rPr>
        <w:tab/>
      </w:r>
      <w:bookmarkStart w:id="36" w:name="lt_pId107"/>
      <w:r w:rsidRPr="00F14D51">
        <w:rPr>
          <w:rFonts w:eastAsia="SimSun"/>
          <w:szCs w:val="18"/>
        </w:rPr>
        <w:t>Recommandation</w:t>
      </w:r>
      <w:bookmarkEnd w:id="36"/>
    </w:p>
    <w:p w:rsidR="00AD56F6" w:rsidRPr="00A71FCF" w:rsidRDefault="00AD56F6" w:rsidP="00AD56F6">
      <w:bookmarkStart w:id="37" w:name="lt_pId108"/>
      <w:r w:rsidRPr="000E29C6">
        <w:rPr>
          <w:lang w:val="fr-CH"/>
        </w:rPr>
        <w:t>L'Assemblée des radiocommunications de l'UIT,</w:t>
      </w:r>
      <w:bookmarkEnd w:id="37"/>
    </w:p>
    <w:p w:rsidR="00AD56F6" w:rsidRPr="00CF5A10" w:rsidRDefault="00AD56F6" w:rsidP="00AD56F6">
      <w:pPr>
        <w:pStyle w:val="Call"/>
      </w:pPr>
      <w:bookmarkStart w:id="38" w:name="lt_pId109"/>
      <w:r w:rsidRPr="004A6419">
        <w:t>recommande</w:t>
      </w:r>
      <w:bookmarkEnd w:id="38"/>
    </w:p>
    <w:p w:rsidR="00AD56F6" w:rsidRPr="00A71FCF" w:rsidRDefault="00AD56F6" w:rsidP="00AD56F6">
      <w:pPr>
        <w:rPr>
          <w:lang w:val="fr-CH"/>
        </w:rPr>
      </w:pPr>
      <w:bookmarkStart w:id="39" w:name="lt_pId110"/>
      <w:r w:rsidRPr="00A71FCF">
        <w:rPr>
          <w:lang w:val="fr-CH"/>
        </w:rPr>
        <w:t>que, pour les opérations PPDR, les normes d'interface radioélectrique décrites dans les Annexes 1 et</w:t>
      </w:r>
      <w:r>
        <w:rPr>
          <w:lang w:val="fr-CH"/>
        </w:rPr>
        <w:t> </w:t>
      </w:r>
      <w:r w:rsidRPr="00A71FCF">
        <w:rPr>
          <w:lang w:val="fr-CH"/>
        </w:rPr>
        <w:t>2 soient utilisées.</w:t>
      </w:r>
      <w:bookmarkEnd w:id="39"/>
    </w:p>
    <w:p w:rsidR="00AD56F6" w:rsidRPr="00CF5A10" w:rsidRDefault="00AD56F6" w:rsidP="00AD56F6">
      <w:pPr>
        <w:rPr>
          <w:rFonts w:eastAsia="SimSun"/>
        </w:rPr>
      </w:pPr>
    </w:p>
    <w:p w:rsidR="00AD56F6" w:rsidRPr="00F94206" w:rsidRDefault="00AD56F6" w:rsidP="009A79DA">
      <w:pPr>
        <w:pStyle w:val="AnnexNoTitle"/>
      </w:pPr>
      <w:bookmarkStart w:id="40" w:name="lt_pId111"/>
      <w:r w:rsidRPr="004A6419">
        <w:lastRenderedPageBreak/>
        <w:t>Annexe 1</w:t>
      </w:r>
      <w:bookmarkEnd w:id="40"/>
      <w:r w:rsidRPr="00F94206">
        <w:br/>
      </w:r>
      <w:r w:rsidRPr="00F94206">
        <w:br/>
      </w:r>
      <w:bookmarkStart w:id="41" w:name="lt_pId112"/>
      <w:r w:rsidRPr="00F94206">
        <w:t>Normes d'interface radioélectrique large bande à utiliser pour les opérations PPDR</w:t>
      </w:r>
      <w:bookmarkStart w:id="42" w:name="lt_pId113"/>
      <w:bookmarkEnd w:id="41"/>
      <w:r>
        <w:t xml:space="preserve"> conformément à la Résolution 646 (Rév.CMR-12)</w:t>
      </w:r>
      <w:bookmarkEnd w:id="42"/>
    </w:p>
    <w:p w:rsidR="00AD56F6" w:rsidRPr="00A71FCF" w:rsidRDefault="00AD56F6" w:rsidP="009A79DA">
      <w:pPr>
        <w:pStyle w:val="Normalaftertitle0"/>
        <w:jc w:val="both"/>
      </w:pPr>
      <w:bookmarkStart w:id="43" w:name="lt_pId114"/>
      <w:r w:rsidRPr="005D31D3">
        <w:t>La présente Annexe fournit des informations sur les normes large bande à utiliser pour les opérations PPDR.</w:t>
      </w:r>
      <w:bookmarkEnd w:id="43"/>
      <w:r w:rsidRPr="005D31D3">
        <w:t xml:space="preserve"> </w:t>
      </w:r>
      <w:bookmarkStart w:id="44" w:name="lt_pId115"/>
      <w:r w:rsidRPr="004A6419">
        <w:t>Il est fait référence à des textes de l'UIT qui décrivent plus en détail les normes en question ainsi que leurs fonctionnalités.</w:t>
      </w:r>
      <w:bookmarkEnd w:id="44"/>
      <w:r w:rsidRPr="006E42DD">
        <w:t xml:space="preserve"> </w:t>
      </w:r>
      <w:bookmarkStart w:id="45" w:name="lt_pId116"/>
      <w:r w:rsidRPr="004A6419">
        <w:t xml:space="preserve">Il est admis que ces normes peuvent ne pas satisfaire l'ensemble des </w:t>
      </w:r>
      <w:r>
        <w:t>besoins des utilisateurs décrit</w:t>
      </w:r>
      <w:r w:rsidRPr="004A6419">
        <w:t xml:space="preserve">s dans le Rapport UIT-R M.2033, et que chaque administration ainsi que ses organismes PPDR devront procéder à une analyse des informations pour déterminer </w:t>
      </w:r>
      <w:r>
        <w:t>la</w:t>
      </w:r>
      <w:r w:rsidRPr="004A6419">
        <w:t xml:space="preserve"> norme </w:t>
      </w:r>
      <w:r>
        <w:t xml:space="preserve">qui </w:t>
      </w:r>
      <w:r w:rsidRPr="004A6419">
        <w:t>répond le mieux à leurs objectifs.</w:t>
      </w:r>
      <w:bookmarkEnd w:id="45"/>
    </w:p>
    <w:p w:rsidR="00AD56F6" w:rsidRPr="000F4B19" w:rsidRDefault="00AD56F6" w:rsidP="00AD56F6">
      <w:pPr>
        <w:pStyle w:val="Heading1"/>
        <w:rPr>
          <w:szCs w:val="18"/>
        </w:rPr>
      </w:pPr>
      <w:r w:rsidRPr="000F4B19">
        <w:rPr>
          <w:szCs w:val="18"/>
          <w:lang w:val="fr-CH"/>
        </w:rPr>
        <w:t>1</w:t>
      </w:r>
      <w:r w:rsidRPr="000F4B19">
        <w:rPr>
          <w:szCs w:val="18"/>
          <w:lang w:val="fr-CH"/>
        </w:rPr>
        <w:tab/>
      </w:r>
      <w:bookmarkStart w:id="46" w:name="lt_pId118"/>
      <w:r w:rsidRPr="000F4B19">
        <w:rPr>
          <w:szCs w:val="18"/>
          <w:lang w:val="fr-CH"/>
        </w:rPr>
        <w:t>IMT-2000 CDMA-MC</w:t>
      </w:r>
      <w:r w:rsidRPr="000F4B19">
        <w:rPr>
          <w:szCs w:val="18"/>
          <w:lang w:val="fr-CH" w:eastAsia="ja-JP"/>
        </w:rPr>
        <w:t xml:space="preserve"> </w:t>
      </w:r>
      <w:bookmarkEnd w:id="46"/>
    </w:p>
    <w:p w:rsidR="00AD56F6" w:rsidRPr="00ED096D" w:rsidRDefault="00AD56F6" w:rsidP="00AD56F6">
      <w:bookmarkStart w:id="47" w:name="lt_pId119"/>
      <w:r w:rsidRPr="00882A47">
        <w:t>Les spécifications pour la norme d'interface radioélectriqu</w:t>
      </w:r>
      <w:r>
        <w:t xml:space="preserve">e concernant l'accès multiple par répartition en code – porteuses multiples </w:t>
      </w:r>
      <w:r w:rsidRPr="00882A47">
        <w:t xml:space="preserve">IMT-2000 (IMT-2000 CDMA-MC) sont élaborées au sein du 3GPP2 (Projet 2 de partenariat de 3ème génération). </w:t>
      </w:r>
      <w:bookmarkStart w:id="48" w:name="lt_pId120"/>
      <w:bookmarkEnd w:id="47"/>
      <w:r w:rsidRPr="00882A47">
        <w:t xml:space="preserve">Voir l'Annexe 2 de la </w:t>
      </w:r>
      <w:hyperlink r:id="rId12"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882A47">
        <w:t xml:space="preserve"> pour une description complète.</w:t>
      </w:r>
      <w:bookmarkEnd w:id="48"/>
      <w:r w:rsidRPr="00882A47">
        <w:t xml:space="preserve"> </w:t>
      </w:r>
      <w:bookmarkStart w:id="49" w:name="lt_pId121"/>
      <w:r w:rsidRPr="00ED096D">
        <w:t xml:space="preserve">Pour plus d'informations, voir également le </w:t>
      </w:r>
      <w:r>
        <w:t xml:space="preserve">§ </w:t>
      </w:r>
      <w:r w:rsidRPr="00ED096D">
        <w:t xml:space="preserve">5.2 de la </w:t>
      </w:r>
      <w:hyperlink r:id="rId13"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t>-R M.1457</w:t>
        </w:r>
      </w:hyperlink>
      <w:r w:rsidRPr="00ED096D">
        <w:t>.</w:t>
      </w:r>
      <w:bookmarkEnd w:id="49"/>
    </w:p>
    <w:p w:rsidR="00AD56F6" w:rsidRPr="000F4B19" w:rsidRDefault="00AD56F6" w:rsidP="00AD56F6">
      <w:pPr>
        <w:pStyle w:val="Heading1"/>
        <w:rPr>
          <w:szCs w:val="18"/>
        </w:rPr>
      </w:pPr>
      <w:r w:rsidRPr="000F4B19">
        <w:rPr>
          <w:szCs w:val="18"/>
        </w:rPr>
        <w:t>2</w:t>
      </w:r>
      <w:r w:rsidRPr="000F4B19">
        <w:rPr>
          <w:szCs w:val="18"/>
        </w:rPr>
        <w:tab/>
      </w:r>
      <w:bookmarkStart w:id="50" w:name="lt_pId123"/>
      <w:r w:rsidRPr="000F4B19">
        <w:rPr>
          <w:szCs w:val="18"/>
        </w:rPr>
        <w:t xml:space="preserve">IMT-2000 CDMA-DS </w:t>
      </w:r>
      <w:bookmarkEnd w:id="50"/>
    </w:p>
    <w:p w:rsidR="00AD56F6" w:rsidRPr="00300B1C" w:rsidRDefault="00AD56F6" w:rsidP="00AD56F6">
      <w:bookmarkStart w:id="51" w:name="lt_pId124"/>
      <w:r w:rsidRPr="00555321">
        <w:t>Les spécifications pour la norme d'interface radioélectrique concernant l</w:t>
      </w:r>
      <w:r>
        <w:t>'accès</w:t>
      </w:r>
      <w:r w:rsidRPr="00555321">
        <w:t xml:space="preserve"> </w:t>
      </w:r>
      <w:r>
        <w:t>CDMA</w:t>
      </w:r>
      <w:r w:rsidRPr="00555321">
        <w:t xml:space="preserve"> à étalement direct IMT-2000 (IMT-2000 CDMA-DS), </w:t>
      </w:r>
      <w:r>
        <w:t>en particulier</w:t>
      </w:r>
      <w:r w:rsidRPr="00555321">
        <w:t xml:space="preserve"> le système UTRA FDD, sont élaborées au sein du 3GPP (Projet de partenariat de 3ème génération).</w:t>
      </w:r>
      <w:bookmarkEnd w:id="51"/>
      <w:r w:rsidRPr="00555321">
        <w:t xml:space="preserve"> </w:t>
      </w:r>
      <w:bookmarkStart w:id="52" w:name="lt_pId125"/>
      <w:r w:rsidRPr="00D2182C">
        <w:t>Cette norme d'interface radioélectrique comprend é</w:t>
      </w:r>
      <w:r>
        <w:t>galement les éléments FDD de l'a</w:t>
      </w:r>
      <w:r w:rsidRPr="00D2182C">
        <w:t xml:space="preserve">ccès hertzien de Terre universel évolué (E-UTRA) </w:t>
      </w:r>
      <w:r>
        <w:t>que l'on désigne par LTE (</w:t>
      </w:r>
      <w:r w:rsidRPr="00D2182C">
        <w:t>Evolution à long terme</w:t>
      </w:r>
      <w:r>
        <w:t>)</w:t>
      </w:r>
      <w:r w:rsidRPr="00D2182C">
        <w:t>.</w:t>
      </w:r>
      <w:bookmarkEnd w:id="52"/>
      <w:r w:rsidRPr="00D2182C">
        <w:t xml:space="preserve"> </w:t>
      </w:r>
      <w:bookmarkStart w:id="53" w:name="lt_pId126"/>
      <w:r w:rsidRPr="004A6419">
        <w:t xml:space="preserve">Voir l'Annexe 2 de la </w:t>
      </w:r>
      <w:hyperlink r:id="rId14"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4A6419">
        <w:t xml:space="preserve"> pour une description complète.</w:t>
      </w:r>
      <w:bookmarkEnd w:id="53"/>
      <w:r w:rsidRPr="00300B1C">
        <w:t xml:space="preserve"> </w:t>
      </w:r>
      <w:bookmarkStart w:id="54" w:name="lt_pId127"/>
      <w:r w:rsidRPr="00300B1C">
        <w:t xml:space="preserve">Pour plus d'informations, voir également le </w:t>
      </w:r>
      <w:r>
        <w:t xml:space="preserve">§ </w:t>
      </w:r>
      <w:r w:rsidRPr="00300B1C">
        <w:t xml:space="preserve">5.1 de la </w:t>
      </w:r>
      <w:hyperlink r:id="rId15"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t>-R M.1457</w:t>
        </w:r>
      </w:hyperlink>
      <w:r w:rsidRPr="00300B1C">
        <w:t>.</w:t>
      </w:r>
      <w:bookmarkStart w:id="55" w:name="lt_pId129"/>
      <w:bookmarkEnd w:id="54"/>
      <w:bookmarkEnd w:id="55"/>
      <w:r w:rsidRPr="00300B1C">
        <w:t xml:space="preserve"> </w:t>
      </w:r>
    </w:p>
    <w:p w:rsidR="00AD56F6" w:rsidRPr="000F4B19" w:rsidRDefault="00AD56F6" w:rsidP="00AD56F6">
      <w:pPr>
        <w:pStyle w:val="Heading1"/>
        <w:rPr>
          <w:szCs w:val="18"/>
        </w:rPr>
      </w:pPr>
      <w:r w:rsidRPr="000F4B19">
        <w:rPr>
          <w:szCs w:val="18"/>
        </w:rPr>
        <w:t>3</w:t>
      </w:r>
      <w:r w:rsidRPr="000F4B19">
        <w:rPr>
          <w:szCs w:val="18"/>
        </w:rPr>
        <w:tab/>
        <w:t>IMT-2000 OFDMA TDD WMAN</w:t>
      </w:r>
    </w:p>
    <w:p w:rsidR="00AD56F6" w:rsidRPr="00A319B7" w:rsidRDefault="00AD56F6" w:rsidP="00AD56F6">
      <w:pPr>
        <w:rPr>
          <w:rFonts w:eastAsia="SimSun"/>
        </w:rPr>
      </w:pPr>
      <w:bookmarkStart w:id="56" w:name="lt_pId130"/>
      <w:r w:rsidRPr="00E91C36">
        <w:t xml:space="preserve">La norme d'interface radioélectrique concernant le réseau </w:t>
      </w:r>
      <w:r>
        <w:t xml:space="preserve">métropolitain </w:t>
      </w:r>
      <w:r w:rsidRPr="00E91C36">
        <w:t>hertzien (WMAN) avec duplex à répartition da</w:t>
      </w:r>
      <w:r>
        <w:t>ns le temps (TDD) et accès</w:t>
      </w:r>
      <w:r w:rsidRPr="00E91C36">
        <w:t xml:space="preserve"> </w:t>
      </w:r>
      <w:r>
        <w:t>multiple par répartition orthogonale de la fréquence (OFDMA)</w:t>
      </w:r>
      <w:r w:rsidRPr="00E91C36">
        <w:t xml:space="preserve"> IMT-2000 (IMT-2000 OFDMA TDD WMAN) est élaborée au sein de l'Institute of Electrical and Electronics Engineers (IEEE).</w:t>
      </w:r>
      <w:bookmarkEnd w:id="56"/>
      <w:r w:rsidRPr="00E91C36">
        <w:t xml:space="preserve"> </w:t>
      </w:r>
      <w:bookmarkStart w:id="57" w:name="lt_pId131"/>
      <w:r w:rsidRPr="004A6419">
        <w:t xml:space="preserve">Voir l'Annexe 2 de la </w:t>
      </w:r>
      <w:hyperlink r:id="rId16"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4A6419">
        <w:t xml:space="preserve"> pour une description complète.</w:t>
      </w:r>
      <w:bookmarkEnd w:id="57"/>
      <w:r w:rsidRPr="00A319B7">
        <w:t xml:space="preserve"> </w:t>
      </w:r>
      <w:bookmarkStart w:id="58" w:name="lt_pId132"/>
      <w:r w:rsidRPr="00A319B7">
        <w:t xml:space="preserve">Pour plus d'informations, voir également le </w:t>
      </w:r>
      <w:r>
        <w:t xml:space="preserve">§ </w:t>
      </w:r>
      <w:r w:rsidRPr="00A319B7">
        <w:t xml:space="preserve">5.6 de la </w:t>
      </w:r>
      <w:hyperlink r:id="rId17"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t>-R M.1457</w:t>
        </w:r>
      </w:hyperlink>
      <w:r w:rsidRPr="00A319B7">
        <w:t>.</w:t>
      </w:r>
      <w:bookmarkEnd w:id="58"/>
    </w:p>
    <w:p w:rsidR="00AD56F6" w:rsidRPr="000F4B19" w:rsidRDefault="00AD56F6" w:rsidP="00AD56F6">
      <w:pPr>
        <w:pStyle w:val="Heading1"/>
        <w:rPr>
          <w:szCs w:val="18"/>
          <w:lang w:val="fr-CH"/>
        </w:rPr>
      </w:pPr>
      <w:r w:rsidRPr="000F4B19">
        <w:rPr>
          <w:szCs w:val="18"/>
          <w:lang w:val="fr-CH"/>
        </w:rPr>
        <w:t>4</w:t>
      </w:r>
      <w:r w:rsidRPr="000F4B19">
        <w:rPr>
          <w:szCs w:val="18"/>
          <w:lang w:val="fr-CH"/>
        </w:rPr>
        <w:tab/>
      </w:r>
      <w:bookmarkStart w:id="59" w:name="lt_pId134"/>
      <w:r w:rsidRPr="000F4B19">
        <w:rPr>
          <w:szCs w:val="18"/>
          <w:lang w:val="fr-CH"/>
        </w:rPr>
        <w:t>IMT-2000</w:t>
      </w:r>
      <w:bookmarkEnd w:id="59"/>
      <w:r w:rsidRPr="000F4B19">
        <w:rPr>
          <w:szCs w:val="18"/>
          <w:lang w:val="fr-CH"/>
        </w:rPr>
        <w:t xml:space="preserve"> TDMA-SC</w:t>
      </w:r>
    </w:p>
    <w:p w:rsidR="00AD56F6" w:rsidRPr="005D6B1B" w:rsidRDefault="00AD56F6" w:rsidP="00AD56F6">
      <w:bookmarkStart w:id="60" w:name="lt_pId135"/>
      <w:r w:rsidRPr="00241EBB">
        <w:t>La norme d'interface radioélectrique</w:t>
      </w:r>
      <w:r>
        <w:t xml:space="preserve"> concernant l'</w:t>
      </w:r>
      <w:r w:rsidRPr="00241EBB">
        <w:t>accès multiple par répartition dans le temps</w:t>
      </w:r>
      <w:r>
        <w:t xml:space="preserve"> – porteuse unique</w:t>
      </w:r>
      <w:r w:rsidRPr="00241EBB">
        <w:t xml:space="preserve"> (TDMA-SC) IMT-2000 (IMT-2000 TDMA-SC) est élaborée par l'Alliance of Telecommunicatio</w:t>
      </w:r>
      <w:r>
        <w:t xml:space="preserve">ns Industry Solutions (ATIS) sur la base </w:t>
      </w:r>
      <w:r w:rsidRPr="00241EBB">
        <w:t xml:space="preserve">des spécifications </w:t>
      </w:r>
      <w:r>
        <w:t>d</w:t>
      </w:r>
      <w:r w:rsidRPr="00241EBB">
        <w:t>u 3GPP.</w:t>
      </w:r>
      <w:bookmarkEnd w:id="60"/>
      <w:r w:rsidRPr="00241EBB">
        <w:t xml:space="preserve"> </w:t>
      </w:r>
      <w:bookmarkStart w:id="61" w:name="lt_pId136"/>
      <w:r w:rsidRPr="004A6419">
        <w:t xml:space="preserve">Voir l'Annexe 2 de la </w:t>
      </w:r>
      <w:hyperlink r:id="rId18"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4A6419">
        <w:t xml:space="preserve"> pour une description complète.</w:t>
      </w:r>
      <w:bookmarkEnd w:id="61"/>
      <w:r w:rsidRPr="00241EBB">
        <w:t xml:space="preserve"> </w:t>
      </w:r>
      <w:bookmarkStart w:id="62" w:name="lt_pId137"/>
      <w:r w:rsidRPr="005D6B1B">
        <w:t xml:space="preserve">Pour plus d'informations, voir également le </w:t>
      </w:r>
      <w:r>
        <w:t xml:space="preserve">§ </w:t>
      </w:r>
      <w:r w:rsidRPr="005D6B1B">
        <w:t xml:space="preserve">5.4 de la </w:t>
      </w:r>
      <w:hyperlink r:id="rId19"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t>-R M.1457</w:t>
        </w:r>
      </w:hyperlink>
      <w:r w:rsidRPr="005D6B1B">
        <w:t>.</w:t>
      </w:r>
      <w:bookmarkEnd w:id="62"/>
    </w:p>
    <w:p w:rsidR="00AD56F6" w:rsidRPr="00A71FCF" w:rsidRDefault="00AD56F6" w:rsidP="00AD56F6">
      <w:pPr>
        <w:pStyle w:val="Heading1"/>
        <w:rPr>
          <w:rFonts w:eastAsia="SimSun"/>
          <w:szCs w:val="24"/>
        </w:rPr>
      </w:pPr>
      <w:r w:rsidRPr="000F4B19">
        <w:rPr>
          <w:rFonts w:eastAsia="SimSun"/>
          <w:szCs w:val="18"/>
        </w:rPr>
        <w:lastRenderedPageBreak/>
        <w:t>5</w:t>
      </w:r>
      <w:r w:rsidRPr="000F4B19">
        <w:rPr>
          <w:rFonts w:eastAsia="SimSun"/>
          <w:szCs w:val="18"/>
        </w:rPr>
        <w:tab/>
      </w:r>
      <w:bookmarkStart w:id="63" w:name="lt_pId139"/>
      <w:r w:rsidRPr="000F4B19">
        <w:rPr>
          <w:rFonts w:eastAsia="SimSun"/>
          <w:szCs w:val="18"/>
        </w:rPr>
        <w:t>IMT-2000 CDMA</w:t>
      </w:r>
      <w:bookmarkEnd w:id="63"/>
      <w:r w:rsidRPr="000F4B19">
        <w:rPr>
          <w:rFonts w:eastAsia="SimSun"/>
          <w:szCs w:val="18"/>
        </w:rPr>
        <w:t>-TDD</w:t>
      </w:r>
    </w:p>
    <w:p w:rsidR="00AD56F6" w:rsidRPr="00F55F06" w:rsidRDefault="00AD56F6" w:rsidP="00AD56F6">
      <w:pPr>
        <w:keepNext/>
        <w:keepLines/>
      </w:pPr>
      <w:bookmarkStart w:id="64" w:name="lt_pId140"/>
      <w:r w:rsidRPr="00A53DAC">
        <w:t>Les spécifications pour la norme d'interface radioélectrique concernant l</w:t>
      </w:r>
      <w:r>
        <w:t>'accès</w:t>
      </w:r>
      <w:r w:rsidRPr="00A53DAC">
        <w:t xml:space="preserve"> CDMA avec duplex à répartition dans le temps (TDD) IMT-2000 (IMT-2000 CDMA-</w:t>
      </w:r>
      <w:r>
        <w:t>TDD</w:t>
      </w:r>
      <w:r w:rsidRPr="00A53DAC">
        <w:t>), en</w:t>
      </w:r>
      <w:r>
        <w:t xml:space="preserve"> </w:t>
      </w:r>
      <w:r w:rsidRPr="00A53DAC">
        <w:t>particulier le système UTRA TDD, sont élaborées au sein du 3GPP.</w:t>
      </w:r>
      <w:bookmarkEnd w:id="64"/>
      <w:r w:rsidRPr="00A53DAC">
        <w:t xml:space="preserve"> </w:t>
      </w:r>
      <w:bookmarkStart w:id="65" w:name="lt_pId141"/>
      <w:r>
        <w:rPr>
          <w:lang w:val="fr-CH"/>
        </w:rPr>
        <w:t>Cette interface radioélectrique dite TDD avec accès hertzien de Terre universel (UTRA) est définie comme offrant trois options distinctes appelées TDD à 1,28 Mélément/s, TDD à 3,84 Méléments/s et TDD à 7,68 Méléments/s.</w:t>
      </w:r>
      <w:bookmarkEnd w:id="65"/>
      <w:r w:rsidRPr="00FA2997">
        <w:rPr>
          <w:rFonts w:eastAsia="SimSun"/>
          <w:lang w:val="fr-CH"/>
        </w:rPr>
        <w:t xml:space="preserve"> </w:t>
      </w:r>
      <w:bookmarkStart w:id="66" w:name="lt_pId142"/>
      <w:r>
        <w:rPr>
          <w:lang w:val="fr-CH"/>
        </w:rPr>
        <w:t>Cette norme d'interface radioélectrique comprend également les éléments TDD de l'accès hertzien de Terre universel évolué (E-UTRA), que l'on désigne par LTE.</w:t>
      </w:r>
      <w:bookmarkEnd w:id="66"/>
      <w:r w:rsidRPr="00FA2997">
        <w:rPr>
          <w:lang w:val="fr-CH"/>
        </w:rPr>
        <w:t xml:space="preserve"> </w:t>
      </w:r>
      <w:bookmarkStart w:id="67" w:name="lt_pId143"/>
      <w:r w:rsidRPr="004A6419">
        <w:t xml:space="preserve">Voir l'Annexe 2 de la </w:t>
      </w:r>
      <w:hyperlink r:id="rId20"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4A6419">
        <w:t xml:space="preserve"> pour une description complète.</w:t>
      </w:r>
      <w:bookmarkEnd w:id="67"/>
      <w:r w:rsidRPr="00384BA3">
        <w:t xml:space="preserve"> </w:t>
      </w:r>
      <w:bookmarkStart w:id="68" w:name="lt_pId144"/>
      <w:r w:rsidRPr="00F55F06">
        <w:t xml:space="preserve">Pour plus d'informations, voir également le </w:t>
      </w:r>
      <w:r>
        <w:t xml:space="preserve">§ </w:t>
      </w:r>
      <w:r w:rsidRPr="00F55F06">
        <w:t xml:space="preserve">5.3 de la </w:t>
      </w:r>
      <w:hyperlink r:id="rId21"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t>-R M.1457</w:t>
        </w:r>
      </w:hyperlink>
      <w:r w:rsidRPr="00F55F06">
        <w:t>.</w:t>
      </w:r>
      <w:bookmarkEnd w:id="68"/>
    </w:p>
    <w:p w:rsidR="00AD56F6" w:rsidRPr="000F4B19" w:rsidRDefault="00AD56F6" w:rsidP="00AD56F6">
      <w:pPr>
        <w:pStyle w:val="Heading1"/>
        <w:rPr>
          <w:rFonts w:eastAsia="SimSun"/>
          <w:szCs w:val="18"/>
          <w:lang w:val="fr-CH"/>
        </w:rPr>
      </w:pPr>
      <w:r w:rsidRPr="000F4B19">
        <w:rPr>
          <w:rFonts w:eastAsia="SimSun"/>
          <w:szCs w:val="18"/>
          <w:lang w:val="fr-CH"/>
        </w:rPr>
        <w:t>6</w:t>
      </w:r>
      <w:r w:rsidRPr="000F4B19">
        <w:rPr>
          <w:rFonts w:eastAsia="SimSun"/>
          <w:szCs w:val="18"/>
          <w:lang w:val="fr-CH"/>
        </w:rPr>
        <w:tab/>
      </w:r>
      <w:bookmarkStart w:id="69" w:name="lt_pId146"/>
      <w:r w:rsidRPr="000F4B19">
        <w:rPr>
          <w:szCs w:val="18"/>
          <w:lang w:val="fr-CH"/>
        </w:rPr>
        <w:t>LTE-Advanced</w:t>
      </w:r>
      <w:bookmarkEnd w:id="69"/>
    </w:p>
    <w:p w:rsidR="00AD56F6" w:rsidRPr="00FA2997" w:rsidRDefault="00AD56F6" w:rsidP="00AD56F6">
      <w:pPr>
        <w:rPr>
          <w:rFonts w:eastAsia="SimSun"/>
          <w:b/>
          <w:lang w:val="fr-CH"/>
        </w:rPr>
      </w:pPr>
      <w:bookmarkStart w:id="70" w:name="lt_pId147"/>
      <w:r w:rsidRPr="00FA2997">
        <w:rPr>
          <w:lang w:val="fr-CH"/>
        </w:rPr>
        <w:t xml:space="preserve">«Les spécifications de l'interface radioélectrique de Terre des IMT évoluées, connue sous le nom de </w:t>
      </w:r>
      <w:r w:rsidRPr="00FA2997">
        <w:rPr>
          <w:i/>
          <w:iCs/>
          <w:lang w:val="fr-CH"/>
        </w:rPr>
        <w:t>LTE-Advanced</w:t>
      </w:r>
      <w:r w:rsidRPr="00FA2997">
        <w:rPr>
          <w:lang w:val="fr-CH"/>
        </w:rPr>
        <w:t xml:space="preserve"> et fondée sur le document intitulé «LTE Release 10 and Beyond», ont été élaborées par le partenariat 3GPP.</w:t>
      </w:r>
      <w:bookmarkEnd w:id="70"/>
      <w:r w:rsidRPr="00FA2997">
        <w:rPr>
          <w:rFonts w:ascii="Calibri" w:eastAsia="SimSun" w:hAnsi="Calibri"/>
          <w:b/>
          <w:color w:val="800000"/>
          <w:lang w:val="fr-CH"/>
        </w:rPr>
        <w:t xml:space="preserve"> </w:t>
      </w:r>
      <w:bookmarkStart w:id="71" w:name="lt_pId148"/>
      <w:r w:rsidRPr="00FA2997">
        <w:rPr>
          <w:lang w:val="fr-CH"/>
        </w:rPr>
        <w:t>Dans la terminologie 3GPP, le terme E-UTRA (UTRA évolué) est aussi utilisé pour désigner l'interface radioélectrique LTE.</w:t>
      </w:r>
      <w:bookmarkEnd w:id="71"/>
    </w:p>
    <w:p w:rsidR="00AD56F6" w:rsidRPr="00A71FCF" w:rsidRDefault="00AD56F6" w:rsidP="00AD56F6">
      <w:pPr>
        <w:rPr>
          <w:rFonts w:eastAsia="SimSun"/>
        </w:rPr>
      </w:pPr>
      <w:bookmarkStart w:id="72" w:name="lt_pId149"/>
      <w:r w:rsidRPr="00FA2997">
        <w:rPr>
          <w:i/>
          <w:iCs/>
          <w:lang w:val="fr-CH"/>
        </w:rPr>
        <w:t>LTE-Advanced</w:t>
      </w:r>
      <w:r w:rsidRPr="00FA2997">
        <w:rPr>
          <w:lang w:val="fr-CH"/>
        </w:rPr>
        <w:t xml:space="preserve"> est un ensemble de RIT (technologies d'interface radioélectrique) comprenant une RIT </w:t>
      </w:r>
      <w:r>
        <w:rPr>
          <w:lang w:val="fr-CH"/>
        </w:rPr>
        <w:t>FDD</w:t>
      </w:r>
      <w:r w:rsidRPr="00FA2997">
        <w:rPr>
          <w:lang w:val="fr-CH"/>
        </w:rPr>
        <w:t xml:space="preserve"> et une RIT </w:t>
      </w:r>
      <w:r>
        <w:rPr>
          <w:lang w:val="fr-CH"/>
        </w:rPr>
        <w:t>TDD</w:t>
      </w:r>
      <w:r w:rsidRPr="00FA2997">
        <w:rPr>
          <w:lang w:val="fr-CH"/>
        </w:rPr>
        <w:t xml:space="preserve"> conçues pour fonctionner respectivement dans des bandes de fréquences appariées et dans des bandes de fréquences non appariées.</w:t>
      </w:r>
      <w:bookmarkEnd w:id="72"/>
      <w:r w:rsidRPr="00FA2997">
        <w:rPr>
          <w:lang w:val="fr-CH"/>
        </w:rPr>
        <w:t xml:space="preserve"> </w:t>
      </w:r>
      <w:bookmarkStart w:id="73" w:name="lt_pId150"/>
      <w:r w:rsidRPr="00FA2997">
        <w:rPr>
          <w:lang w:val="fr-CH"/>
        </w:rPr>
        <w:t xml:space="preserve">La RIT </w:t>
      </w:r>
      <w:r>
        <w:rPr>
          <w:lang w:val="fr-CH"/>
        </w:rPr>
        <w:t>TDD</w:t>
      </w:r>
      <w:r w:rsidRPr="00FA2997">
        <w:rPr>
          <w:lang w:val="fr-CH"/>
        </w:rPr>
        <w:t xml:space="preserve"> est également connue sous le nom de TD-LTE </w:t>
      </w:r>
      <w:r>
        <w:rPr>
          <w:lang w:val="fr-CH"/>
        </w:rPr>
        <w:t>Release</w:t>
      </w:r>
      <w:r w:rsidRPr="00FA2997">
        <w:rPr>
          <w:lang w:val="fr-CH"/>
        </w:rPr>
        <w:t xml:space="preserve"> 10 and Beyond ou </w:t>
      </w:r>
      <w:r w:rsidRPr="00FA2997">
        <w:rPr>
          <w:i/>
          <w:iCs/>
          <w:lang w:val="fr-CH"/>
        </w:rPr>
        <w:t>TD-LTE-Advanced</w:t>
      </w:r>
      <w:r>
        <w:rPr>
          <w:lang w:val="fr-CH"/>
        </w:rPr>
        <w:t>.</w:t>
      </w:r>
      <w:bookmarkEnd w:id="73"/>
      <w:r>
        <w:rPr>
          <w:lang w:val="fr-CH"/>
        </w:rPr>
        <w:t xml:space="preserve"> </w:t>
      </w:r>
      <w:bookmarkStart w:id="74" w:name="lt_pId151"/>
      <w:r>
        <w:rPr>
          <w:lang w:val="fr-CH"/>
        </w:rPr>
        <w:t>Ces deux technologies représentent l'aboutissement d'efforts conjoints, offrant ainsi de nombreuses fonctions communes tout en permettant l'optimisation de chacune d'elles en termes d'arrangement spécifique de fréquences/duplex.»</w:t>
      </w:r>
      <w:r>
        <w:rPr>
          <w:rStyle w:val="FootnoteReference"/>
          <w:rFonts w:eastAsia="SimSun"/>
        </w:rPr>
        <w:footnoteReference w:id="1"/>
      </w:r>
      <w:bookmarkEnd w:id="74"/>
    </w:p>
    <w:p w:rsidR="00AD56F6" w:rsidRDefault="00AD56F6" w:rsidP="00AD56F6">
      <w:bookmarkStart w:id="76" w:name="lt_pId152"/>
      <w:r w:rsidRPr="008B56F9">
        <w:t xml:space="preserve">Voir l'Annexe 3 de la </w:t>
      </w:r>
      <w:hyperlink r:id="rId22"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8B56F9">
        <w:t xml:space="preserve"> pour une description complète.</w:t>
      </w:r>
      <w:bookmarkStart w:id="77" w:name="lt_pId153"/>
      <w:bookmarkEnd w:id="76"/>
    </w:p>
    <w:p w:rsidR="00AD56F6" w:rsidRPr="0016398B" w:rsidRDefault="00AD56F6" w:rsidP="00AD56F6">
      <w:r w:rsidRPr="0016398B">
        <w:t>Pour plus d'informations, voir l'Annexe 1 de la Recommandation UIT-R M.2012.</w:t>
      </w:r>
      <w:bookmarkStart w:id="78" w:name="lt_pId155"/>
      <w:bookmarkEnd w:id="77"/>
      <w:bookmarkEnd w:id="78"/>
    </w:p>
    <w:p w:rsidR="00AD56F6" w:rsidRPr="00A71FCF" w:rsidRDefault="00AD56F6" w:rsidP="00AD56F6">
      <w:pPr>
        <w:pStyle w:val="Heading1"/>
        <w:rPr>
          <w:szCs w:val="24"/>
        </w:rPr>
      </w:pPr>
      <w:r w:rsidRPr="000F4B19">
        <w:rPr>
          <w:szCs w:val="18"/>
          <w:lang w:val="fr-CH"/>
        </w:rPr>
        <w:t>7</w:t>
      </w:r>
      <w:r w:rsidRPr="000F4B19">
        <w:rPr>
          <w:rFonts w:eastAsia="SimSun"/>
          <w:szCs w:val="18"/>
          <w:lang w:val="fr-CH"/>
        </w:rPr>
        <w:tab/>
        <w:t>SCDMA</w:t>
      </w:r>
    </w:p>
    <w:p w:rsidR="00AD56F6" w:rsidRPr="000F4B19" w:rsidRDefault="00AD56F6" w:rsidP="00AD56F6">
      <w:bookmarkStart w:id="79" w:name="lt_pId156"/>
      <w:r w:rsidRPr="0016398B">
        <w:t>La norme d'interface radioélectrique concernant l'accès</w:t>
      </w:r>
      <w:r>
        <w:t xml:space="preserve"> </w:t>
      </w:r>
      <w:r w:rsidRPr="0016398B">
        <w:t xml:space="preserve">multiple par répartition en code </w:t>
      </w:r>
      <w:r>
        <w:t>synchrone</w:t>
      </w:r>
      <w:r w:rsidRPr="0016398B">
        <w:t xml:space="preserve"> (SCDMA) est élaborée au sein de la China Communication Standards Association (CCSA).</w:t>
      </w:r>
      <w:bookmarkEnd w:id="79"/>
      <w:r w:rsidRPr="0016398B">
        <w:t xml:space="preserve"> </w:t>
      </w:r>
      <w:bookmarkStart w:id="80" w:name="lt_pId157"/>
      <w:r w:rsidRPr="0016138F">
        <w:rPr>
          <w:lang w:val="fr-CH"/>
        </w:rPr>
        <w:t>L'interface radioélectrique prend en charge une largeur de bande de canal multiple de 1 MHz jusqu'à 5 MHz.</w:t>
      </w:r>
      <w:bookmarkEnd w:id="80"/>
      <w:r w:rsidRPr="0016138F">
        <w:rPr>
          <w:lang w:val="fr-CH"/>
        </w:rPr>
        <w:t xml:space="preserve"> </w:t>
      </w:r>
      <w:bookmarkStart w:id="81" w:name="lt_pId158"/>
      <w:r w:rsidRPr="0016138F">
        <w:rPr>
          <w:lang w:val="fr-CH"/>
        </w:rPr>
        <w:t>La structuration en sous-canaux et l'étalement de code, spécialement définis dans chaque largeur de bande de 1 MHz, permet</w:t>
      </w:r>
      <w:r>
        <w:rPr>
          <w:lang w:val="fr-CH"/>
        </w:rPr>
        <w:t>tent d'assurer</w:t>
      </w:r>
      <w:r w:rsidRPr="0016138F">
        <w:rPr>
          <w:lang w:val="fr-CH"/>
        </w:rPr>
        <w:t xml:space="preserve"> une diversité de fréquences et une capacité d'observation des brouillages pour l'attribution des ressources radio avec une granularité de largeur de bande de 8 kbit/s.</w:t>
      </w:r>
      <w:bookmarkEnd w:id="81"/>
      <w:r w:rsidRPr="0016138F">
        <w:rPr>
          <w:lang w:val="fr-CH"/>
        </w:rPr>
        <w:t xml:space="preserve"> </w:t>
      </w:r>
      <w:bookmarkStart w:id="82" w:name="lt_pId159"/>
      <w:r w:rsidRPr="0016138F">
        <w:rPr>
          <w:lang w:val="fr-CH"/>
        </w:rPr>
        <w:t>La structuration en canaux permet aussi l'attribution coordonnée dynamique des canaux parmi les cellules afin d'éviter efficacement les brouillages réciproques.</w:t>
      </w:r>
      <w:bookmarkEnd w:id="82"/>
    </w:p>
    <w:p w:rsidR="00AD56F6" w:rsidRPr="001459DE" w:rsidRDefault="00AD56F6" w:rsidP="00AD56F6">
      <w:bookmarkStart w:id="83" w:name="lt_pId160"/>
      <w:r w:rsidRPr="0016138F">
        <w:rPr>
          <w:lang w:val="fr-CH"/>
        </w:rPr>
        <w:t xml:space="preserve">Ce système utilise le mode duplex </w:t>
      </w:r>
      <w:r>
        <w:rPr>
          <w:lang w:val="fr-CH"/>
        </w:rPr>
        <w:t>TDD</w:t>
      </w:r>
      <w:r w:rsidRPr="0016138F">
        <w:rPr>
          <w:lang w:val="fr-CH"/>
        </w:rPr>
        <w:t xml:space="preserve"> pour séparer les émissions sur les liaisons montantes et des émissions sur les liaisons descendantes.</w:t>
      </w:r>
      <w:bookmarkEnd w:id="83"/>
      <w:r w:rsidRPr="0016138F">
        <w:rPr>
          <w:lang w:val="fr-CH"/>
        </w:rPr>
        <w:t xml:space="preserve"> </w:t>
      </w:r>
      <w:bookmarkStart w:id="84" w:name="lt_pId161"/>
      <w:r w:rsidRPr="001459DE">
        <w:t xml:space="preserve">Pour plus d'informations, voir l'Annexe 7 de la </w:t>
      </w:r>
      <w:hyperlink r:id="rId23" w:history="1">
        <w:r w:rsidRPr="00A71FCF">
          <w:rPr>
            <w:color w:val="0000FF"/>
            <w:lang w:val="fr-CH"/>
          </w:rPr>
          <w:t>Recomm</w:t>
        </w:r>
        <w:r>
          <w:rPr>
            <w:color w:val="0000FF"/>
            <w:lang w:val="fr-CH"/>
          </w:rPr>
          <w:t>a</w:t>
        </w:r>
        <w:r w:rsidRPr="00A71FCF">
          <w:rPr>
            <w:color w:val="0000FF"/>
            <w:lang w:val="fr-CH"/>
          </w:rPr>
          <w:t>ndation U</w:t>
        </w:r>
        <w:r>
          <w:rPr>
            <w:color w:val="0000FF"/>
            <w:lang w:val="fr-CH"/>
          </w:rPr>
          <w:t>IT</w:t>
        </w:r>
        <w:r w:rsidRPr="00A71FCF">
          <w:rPr>
            <w:color w:val="0000FF"/>
            <w:lang w:val="fr-CH"/>
          </w:rPr>
          <w:noBreakHyphen/>
          <w:t>R M.1801</w:t>
        </w:r>
      </w:hyperlink>
      <w:r w:rsidRPr="001459DE">
        <w:t>.</w:t>
      </w:r>
      <w:bookmarkEnd w:id="84"/>
    </w:p>
    <w:p w:rsidR="00AD56F6" w:rsidRPr="000F4B19" w:rsidRDefault="00AD56F6" w:rsidP="00AD56F6">
      <w:pPr>
        <w:pStyle w:val="Heading1"/>
        <w:rPr>
          <w:szCs w:val="18"/>
        </w:rPr>
      </w:pPr>
      <w:r w:rsidRPr="000F4B19">
        <w:rPr>
          <w:szCs w:val="18"/>
        </w:rPr>
        <w:lastRenderedPageBreak/>
        <w:t>8</w:t>
      </w:r>
      <w:r w:rsidRPr="000F4B19">
        <w:rPr>
          <w:rFonts w:eastAsia="SimSun"/>
          <w:szCs w:val="18"/>
        </w:rPr>
        <w:tab/>
      </w:r>
      <w:bookmarkStart w:id="85" w:name="lt_pId163"/>
      <w:r w:rsidRPr="000F4B19">
        <w:rPr>
          <w:szCs w:val="18"/>
        </w:rPr>
        <w:t>B-TrunC</w:t>
      </w:r>
      <w:bookmarkEnd w:id="85"/>
    </w:p>
    <w:p w:rsidR="00AD56F6" w:rsidRDefault="00AD56F6" w:rsidP="00AD56F6">
      <w:pPr>
        <w:keepNext/>
        <w:keepLines/>
      </w:pPr>
      <w:bookmarkStart w:id="86" w:name="lt_pId164"/>
      <w:r w:rsidRPr="008C260F">
        <w:rPr>
          <w:lang w:eastAsia="en-GB"/>
        </w:rPr>
        <w:t>La norme d'interface radioélectrique B-TrunC est élaborée par la CCSA et publiée par le Ministère de l'industrie et des technologies de l'information de la République populaire de Chine.</w:t>
      </w:r>
      <w:bookmarkEnd w:id="86"/>
      <w:r w:rsidRPr="008C260F">
        <w:t xml:space="preserve"> </w:t>
      </w:r>
      <w:bookmarkStart w:id="87" w:name="lt_pId165"/>
      <w:r w:rsidRPr="008C260F">
        <w:rPr>
          <w:lang w:eastAsia="en-GB"/>
        </w:rPr>
        <w:t>B-TrunC prend en charge des largeurs de bande de porteuses modulables</w:t>
      </w:r>
      <w:r>
        <w:rPr>
          <w:lang w:eastAsia="en-GB"/>
        </w:rPr>
        <w:t>,</w:t>
      </w:r>
      <w:r w:rsidRPr="008C260F">
        <w:rPr>
          <w:lang w:eastAsia="en-GB"/>
        </w:rPr>
        <w:t xml:space="preserve"> comprises entre </w:t>
      </w:r>
      <w:r>
        <w:rPr>
          <w:lang w:eastAsia="en-GB"/>
        </w:rPr>
        <w:t xml:space="preserve">1,4 MHz et </w:t>
      </w:r>
      <w:r w:rsidRPr="008C260F">
        <w:rPr>
          <w:lang w:eastAsia="en-GB"/>
        </w:rPr>
        <w:t>20</w:t>
      </w:r>
      <w:r>
        <w:rPr>
          <w:lang w:eastAsia="en-GB"/>
        </w:rPr>
        <w:t> </w:t>
      </w:r>
      <w:r w:rsidRPr="008C260F">
        <w:rPr>
          <w:lang w:eastAsia="en-GB"/>
        </w:rPr>
        <w:t>MHz.</w:t>
      </w:r>
      <w:bookmarkEnd w:id="87"/>
      <w:r w:rsidRPr="008C260F">
        <w:rPr>
          <w:lang w:eastAsia="en-GB"/>
        </w:rPr>
        <w:t xml:space="preserve"> </w:t>
      </w:r>
      <w:bookmarkStart w:id="88" w:name="lt_pId166"/>
      <w:r w:rsidRPr="00DB6F1E">
        <w:rPr>
          <w:lang w:eastAsia="en-GB"/>
        </w:rPr>
        <w:t xml:space="preserve">En outre, B-TrunC peut prendre </w:t>
      </w:r>
      <w:r>
        <w:rPr>
          <w:lang w:eastAsia="en-GB"/>
        </w:rPr>
        <w:t>en charge des appels vocaux et</w:t>
      </w:r>
      <w:r w:rsidRPr="00DB6F1E">
        <w:rPr>
          <w:lang w:eastAsia="en-GB"/>
        </w:rPr>
        <w:t xml:space="preserve"> vidéo </w:t>
      </w:r>
      <w:r>
        <w:rPr>
          <w:lang w:eastAsia="en-GB"/>
        </w:rPr>
        <w:t>point à multipoint</w:t>
      </w:r>
      <w:r w:rsidRPr="00DB6F1E">
        <w:rPr>
          <w:lang w:eastAsia="en-GB"/>
        </w:rPr>
        <w:t xml:space="preserve"> et d'autres applications PPDR en introduisant de nouveaux mécanismes de transmission </w:t>
      </w:r>
      <w:r>
        <w:rPr>
          <w:lang w:eastAsia="en-GB"/>
        </w:rPr>
        <w:t>point à multipoint à l'interface radioélectr</w:t>
      </w:r>
      <w:r w:rsidRPr="00DB6F1E">
        <w:rPr>
          <w:lang w:eastAsia="en-GB"/>
        </w:rPr>
        <w:t>ique.</w:t>
      </w:r>
      <w:bookmarkEnd w:id="88"/>
      <w:r w:rsidRPr="00DB6F1E">
        <w:t xml:space="preserve"> </w:t>
      </w:r>
      <w:bookmarkStart w:id="89" w:name="lt_pId167"/>
      <w:r w:rsidRPr="00E87EB3">
        <w:t xml:space="preserve">Pour plus d'informations, voir également le Document </w:t>
      </w:r>
      <w:hyperlink r:id="rId24" w:history="1">
        <w:r w:rsidRPr="00AD56F6">
          <w:rPr>
            <w:rStyle w:val="Hyperlink"/>
            <w:lang w:val="fr-CH" w:eastAsia="en-GB"/>
          </w:rPr>
          <w:t>YD/T 2741-2014</w:t>
        </w:r>
      </w:hyperlink>
      <w:r w:rsidRPr="00E87EB3">
        <w:t>.</w:t>
      </w:r>
      <w:bookmarkEnd w:id="89"/>
    </w:p>
    <w:p w:rsidR="00AD56F6" w:rsidRDefault="00AD56F6" w:rsidP="00AD56F6">
      <w:pPr>
        <w:keepNext/>
        <w:keepLines/>
      </w:pPr>
    </w:p>
    <w:p w:rsidR="0089111B" w:rsidRPr="00E87EB3" w:rsidRDefault="0089111B" w:rsidP="00AD56F6">
      <w:pPr>
        <w:keepNext/>
        <w:keepLines/>
      </w:pPr>
    </w:p>
    <w:p w:rsidR="00AD56F6" w:rsidRPr="00E87EB3" w:rsidRDefault="00AD56F6" w:rsidP="009A79DA">
      <w:pPr>
        <w:pStyle w:val="AnnexNoTitle"/>
      </w:pPr>
      <w:bookmarkStart w:id="90" w:name="lt_pId168"/>
      <w:r w:rsidRPr="004A6419">
        <w:t>Annexe 2</w:t>
      </w:r>
      <w:bookmarkEnd w:id="90"/>
      <w:r w:rsidRPr="00E87EB3">
        <w:br/>
      </w:r>
      <w:r w:rsidRPr="00E87EB3">
        <w:br/>
      </w:r>
      <w:bookmarkStart w:id="91" w:name="lt_pId169"/>
      <w:r>
        <w:t xml:space="preserve">Normes d'interface radioélectrique à bande étroite à utiliser pour les </w:t>
      </w:r>
      <w:r w:rsidR="0089111B">
        <w:br/>
      </w:r>
      <w:r>
        <w:t>opérations PPDR</w:t>
      </w:r>
      <w:bookmarkStart w:id="92" w:name="lt_pId170"/>
      <w:bookmarkEnd w:id="91"/>
      <w:r>
        <w:t xml:space="preserve"> conformément à la Résolution 646 (Rév.CMR-12)</w:t>
      </w:r>
      <w:bookmarkEnd w:id="92"/>
    </w:p>
    <w:p w:rsidR="00AD56F6" w:rsidRPr="00C45E45" w:rsidRDefault="00AD56F6" w:rsidP="009A79DA">
      <w:pPr>
        <w:pStyle w:val="Normalaftertitle0"/>
        <w:jc w:val="both"/>
      </w:pPr>
      <w:bookmarkStart w:id="93" w:name="lt_pId171"/>
      <w:r w:rsidRPr="00940E9E">
        <w:t>La présente Annexe fournit des informations sur les normes à bande étroite à utiliser pour les opérations PPDR.</w:t>
      </w:r>
      <w:bookmarkEnd w:id="93"/>
      <w:r w:rsidRPr="00940E9E">
        <w:t xml:space="preserve"> </w:t>
      </w:r>
      <w:bookmarkStart w:id="94" w:name="lt_pId172"/>
      <w:r w:rsidRPr="004A6419">
        <w:t>Il est fait référence à des textes de l'UIT qui décrivent plus en détail les normes en question ainsi que leurs fonctionnalités.</w:t>
      </w:r>
      <w:bookmarkEnd w:id="94"/>
      <w:r w:rsidRPr="00940E9E">
        <w:t xml:space="preserve"> </w:t>
      </w:r>
      <w:bookmarkStart w:id="95" w:name="lt_pId173"/>
      <w:r w:rsidRPr="004A6419">
        <w:t xml:space="preserve">Il est admis que ces normes peuvent ne pas satisfaire l'ensemble des </w:t>
      </w:r>
      <w:r>
        <w:t>besoin</w:t>
      </w:r>
      <w:r w:rsidRPr="004A6419">
        <w:t xml:space="preserve">s des utilisateurs décrits dans le Rapport UIT-R M.2033, et que chaque administration ainsi que ses organismes PPDR devront procéder à une analyse des informations pour déterminer </w:t>
      </w:r>
      <w:r>
        <w:t>la</w:t>
      </w:r>
      <w:r w:rsidRPr="004A6419">
        <w:t xml:space="preserve"> norme </w:t>
      </w:r>
      <w:r>
        <w:t xml:space="preserve">qui </w:t>
      </w:r>
      <w:r w:rsidRPr="004A6419">
        <w:t>répond le mieux à leurs objectifs.</w:t>
      </w:r>
      <w:bookmarkEnd w:id="95"/>
      <w:r w:rsidRPr="00C45E45">
        <w:t xml:space="preserve"> </w:t>
      </w:r>
    </w:p>
    <w:p w:rsidR="00AD56F6" w:rsidRPr="001E3F01" w:rsidRDefault="00AD56F6" w:rsidP="00AD56F6">
      <w:pPr>
        <w:pStyle w:val="Heading1"/>
        <w:rPr>
          <w:szCs w:val="24"/>
        </w:rPr>
      </w:pPr>
      <w:r w:rsidRPr="001E3F01">
        <w:rPr>
          <w:szCs w:val="24"/>
        </w:rPr>
        <w:t>1</w:t>
      </w:r>
      <w:r w:rsidRPr="001E3F01">
        <w:rPr>
          <w:szCs w:val="24"/>
        </w:rPr>
        <w:tab/>
      </w:r>
      <w:bookmarkStart w:id="96" w:name="lt_pId175"/>
      <w:r w:rsidRPr="001E3F01">
        <w:rPr>
          <w:szCs w:val="24"/>
        </w:rPr>
        <w:t>Projet 25</w:t>
      </w:r>
      <w:bookmarkEnd w:id="96"/>
    </w:p>
    <w:p w:rsidR="00AD56F6" w:rsidRPr="005A1F9C" w:rsidRDefault="00AD56F6" w:rsidP="00AD56F6">
      <w:bookmarkStart w:id="97" w:name="lt_pId176"/>
      <w:r w:rsidRPr="004E0AB3">
        <w:t>Le Projet 25 est</w:t>
      </w:r>
      <w:r>
        <w:t xml:space="preserve"> défini</w:t>
      </w:r>
      <w:r w:rsidRPr="004E0AB3">
        <w:t xml:space="preserve"> par la Telecommunications Industry Association (TIA) avec la participation du comité directeur du Projet 25 qui se compose de représentants de l'APCO (Association of Public Safety Communicati</w:t>
      </w:r>
      <w:r>
        <w:t>ons Officials International), de la</w:t>
      </w:r>
      <w:r w:rsidRPr="004E0AB3">
        <w:t xml:space="preserve"> NASTD (National Association of State Technology Directors), du NCS (National Communications System) ainsi que de certaines agences fédérales.</w:t>
      </w:r>
      <w:bookmarkEnd w:id="97"/>
      <w:r w:rsidRPr="004E0AB3">
        <w:t xml:space="preserve"> </w:t>
      </w:r>
      <w:bookmarkStart w:id="98" w:name="lt_pId177"/>
      <w:r w:rsidRPr="005A1F9C">
        <w:t xml:space="preserve">Le Projet 25 </w:t>
      </w:r>
      <w:r>
        <w:t xml:space="preserve">utilise des canaux de 12,5 kHz ou </w:t>
      </w:r>
      <w:r w:rsidRPr="005A1F9C">
        <w:t>de 25 kHz.</w:t>
      </w:r>
      <w:bookmarkEnd w:id="98"/>
    </w:p>
    <w:p w:rsidR="00AD56F6" w:rsidRPr="005A1F9C" w:rsidRDefault="00AD56F6" w:rsidP="00AD56F6">
      <w:bookmarkStart w:id="99" w:name="lt_pId178"/>
      <w:r w:rsidRPr="005A1F9C">
        <w:t xml:space="preserve">Pour plus d'informations sur les caractéristiques techniques et opérationnelles du Projet 25, voir le </w:t>
      </w:r>
      <w:hyperlink r:id="rId25" w:history="1">
        <w:r w:rsidRPr="00A71FCF">
          <w:rPr>
            <w:color w:val="0000FF"/>
            <w:lang w:val="fr-CH"/>
          </w:rPr>
          <w:t>R</w:t>
        </w:r>
        <w:r>
          <w:rPr>
            <w:color w:val="0000FF"/>
            <w:lang w:val="fr-CH"/>
          </w:rPr>
          <w:t>ap</w:t>
        </w:r>
        <w:r w:rsidRPr="00A71FCF">
          <w:rPr>
            <w:color w:val="0000FF"/>
            <w:lang w:val="fr-CH"/>
          </w:rPr>
          <w:t>port U</w:t>
        </w:r>
        <w:r>
          <w:rPr>
            <w:color w:val="0000FF"/>
            <w:lang w:val="fr-CH"/>
          </w:rPr>
          <w:t>IT</w:t>
        </w:r>
        <w:r w:rsidRPr="00A71FCF">
          <w:rPr>
            <w:color w:val="0000FF"/>
            <w:lang w:val="fr-CH"/>
          </w:rPr>
          <w:t>-R M.2014</w:t>
        </w:r>
      </w:hyperlink>
      <w:r w:rsidRPr="005A1F9C">
        <w:t xml:space="preserve"> et le Volume 3 du Manuel sur le service mobile terrestre.</w:t>
      </w:r>
      <w:bookmarkEnd w:id="99"/>
      <w:r w:rsidRPr="005A1F9C">
        <w:t xml:space="preserve"> </w:t>
      </w:r>
    </w:p>
    <w:p w:rsidR="00AD56F6" w:rsidRPr="00A71FCF" w:rsidRDefault="00AD56F6" w:rsidP="00AD56F6">
      <w:pPr>
        <w:pStyle w:val="Heading1"/>
        <w:rPr>
          <w:szCs w:val="24"/>
        </w:rPr>
      </w:pPr>
      <w:r w:rsidRPr="001E3F01">
        <w:rPr>
          <w:szCs w:val="24"/>
          <w:lang w:val="fr-CH"/>
        </w:rPr>
        <w:t>2</w:t>
      </w:r>
      <w:r w:rsidRPr="001E3F01">
        <w:rPr>
          <w:szCs w:val="24"/>
          <w:lang w:val="fr-CH"/>
        </w:rPr>
        <w:tab/>
      </w:r>
      <w:bookmarkStart w:id="100" w:name="lt_pId180"/>
      <w:r w:rsidRPr="001E3F01">
        <w:rPr>
          <w:szCs w:val="24"/>
          <w:lang w:val="fr-CH"/>
        </w:rPr>
        <w:t>R</w:t>
      </w:r>
      <w:r w:rsidRPr="001E3F01">
        <w:rPr>
          <w:szCs w:val="24"/>
        </w:rPr>
        <w:t>adiocommunications de Terre à ressources partagées (TETRA)</w:t>
      </w:r>
      <w:bookmarkEnd w:id="100"/>
    </w:p>
    <w:p w:rsidR="00AD56F6" w:rsidRPr="00D5649A" w:rsidRDefault="00AD56F6" w:rsidP="00AD56F6">
      <w:bookmarkStart w:id="101" w:name="lt_pId181"/>
      <w:r>
        <w:t>Le système TETRA a été défini par l'Institut européen des normes de télécommunication (ETSI) sous le nom de Projet TETRA de l'ETSI (actuellement connu sous le nom de Comité technique TETRA de l'ETSI) afin de mettre au point un ensemble de normes en matière de radiocommunications numériques mobiles à ressources partagées, dans le cadre d'un mandat confié par la Commission européenne, en vue du possible déploiement d'un système de communication PMR en Europe occidentale.</w:t>
      </w:r>
      <w:bookmarkEnd w:id="101"/>
    </w:p>
    <w:p w:rsidR="00AD56F6" w:rsidRPr="0078664C" w:rsidRDefault="00AD56F6" w:rsidP="00AD56F6">
      <w:bookmarkStart w:id="102" w:name="lt_pId182"/>
      <w:r w:rsidRPr="0078664C">
        <w:t>En plus de satisfaire les besoins des organisations traditionnelles d'utilisateurs de réseaux PMR, la norme TETRA a été élaborée pour répondre aux besoins des opérateurs de réseaux PAMR</w:t>
      </w:r>
      <w:r>
        <w:t xml:space="preserve"> (</w:t>
      </w:r>
      <w:r w:rsidRPr="000C06EB">
        <w:rPr>
          <w:color w:val="000000"/>
        </w:rPr>
        <w:t>radiocommunications mobiles à accès public</w:t>
      </w:r>
      <w:r>
        <w:rPr>
          <w:color w:val="000000"/>
        </w:rPr>
        <w:t>)</w:t>
      </w:r>
      <w:r w:rsidRPr="0078664C">
        <w:t>.</w:t>
      </w:r>
      <w:bookmarkEnd w:id="102"/>
    </w:p>
    <w:p w:rsidR="00AD56F6" w:rsidRPr="0078664C" w:rsidRDefault="00AD56F6" w:rsidP="00AD56F6">
      <w:bookmarkStart w:id="103" w:name="lt_pId183"/>
      <w:r w:rsidRPr="0078664C">
        <w:t xml:space="preserve">Pour plus d'informations sur les caractéristiques techniques et opérationnelles de TETRA, voir le </w:t>
      </w:r>
      <w:bookmarkEnd w:id="103"/>
      <w:r>
        <w:fldChar w:fldCharType="begin"/>
      </w:r>
      <w:r>
        <w:instrText xml:space="preserve"> HYPERLINK "http://www.itu.int/publ/R-REP-M.2014/en" </w:instrText>
      </w:r>
      <w:r>
        <w:fldChar w:fldCharType="separate"/>
      </w:r>
      <w:r w:rsidRPr="00A71FCF">
        <w:rPr>
          <w:color w:val="0000FF"/>
          <w:lang w:val="fr-CH"/>
        </w:rPr>
        <w:t>R</w:t>
      </w:r>
      <w:r>
        <w:rPr>
          <w:color w:val="0000FF"/>
          <w:lang w:val="fr-CH"/>
        </w:rPr>
        <w:t>ap</w:t>
      </w:r>
      <w:r w:rsidRPr="00A71FCF">
        <w:rPr>
          <w:color w:val="0000FF"/>
          <w:lang w:val="fr-CH"/>
        </w:rPr>
        <w:t>port U</w:t>
      </w:r>
      <w:r>
        <w:rPr>
          <w:color w:val="0000FF"/>
          <w:lang w:val="fr-CH"/>
        </w:rPr>
        <w:t>IT</w:t>
      </w:r>
      <w:r w:rsidRPr="00A71FCF">
        <w:rPr>
          <w:color w:val="0000FF"/>
          <w:lang w:val="fr-CH"/>
        </w:rPr>
        <w:t>-R M.2014</w:t>
      </w:r>
      <w:r>
        <w:rPr>
          <w:color w:val="0000FF"/>
          <w:lang w:val="en-GB"/>
        </w:rPr>
        <w:fldChar w:fldCharType="end"/>
      </w:r>
      <w:r>
        <w:t>.</w:t>
      </w:r>
    </w:p>
    <w:p w:rsidR="00AD56F6" w:rsidRPr="00960540" w:rsidRDefault="00AD56F6" w:rsidP="00AD56F6">
      <w:pPr>
        <w:pStyle w:val="Heading1"/>
      </w:pPr>
      <w:r w:rsidRPr="001E3F01">
        <w:rPr>
          <w:szCs w:val="18"/>
        </w:rPr>
        <w:lastRenderedPageBreak/>
        <w:t>3</w:t>
      </w:r>
      <w:r w:rsidRPr="001E3F01">
        <w:rPr>
          <w:szCs w:val="18"/>
        </w:rPr>
        <w:tab/>
      </w:r>
      <w:bookmarkStart w:id="104" w:name="lt_pId185"/>
      <w:r w:rsidRPr="001E3F01">
        <w:rPr>
          <w:szCs w:val="18"/>
        </w:rPr>
        <w:t>Radiocommunications mobiles numériques (DMR)</w:t>
      </w:r>
      <w:bookmarkEnd w:id="104"/>
      <w:r w:rsidRPr="00960540">
        <w:t xml:space="preserve"> </w:t>
      </w:r>
    </w:p>
    <w:p w:rsidR="00AD56F6" w:rsidRPr="00FD7C01" w:rsidRDefault="00AD56F6" w:rsidP="00AD56F6">
      <w:bookmarkStart w:id="105" w:name="lt_pId186"/>
      <w:r w:rsidRPr="00FD7C01">
        <w:t xml:space="preserve">Le système DMR a été </w:t>
      </w:r>
      <w:r>
        <w:t>défini</w:t>
      </w:r>
      <w:r w:rsidRPr="00FD7C01">
        <w:t xml:space="preserve"> par l'ETSI comme un substitut numérique direct du système analogique PMR et n'impose aucune modification fondamentale dans l'architecture des systèmes classiques ou à ressources partagées.</w:t>
      </w:r>
      <w:bookmarkEnd w:id="105"/>
    </w:p>
    <w:p w:rsidR="00AD56F6" w:rsidRPr="00DA6526" w:rsidRDefault="00AD56F6" w:rsidP="00AD56F6">
      <w:bookmarkStart w:id="106" w:name="lt_pId187"/>
      <w:r w:rsidRPr="00D56E25">
        <w:t xml:space="preserve">Le système DMR est modulable et peut être utilisé </w:t>
      </w:r>
      <w:r>
        <w:t>avec ou sans licence, selon</w:t>
      </w:r>
      <w:r w:rsidRPr="00D56E25">
        <w:t xml:space="preserve"> la planification nationale des fréquences.</w:t>
      </w:r>
      <w:bookmarkEnd w:id="106"/>
      <w:r w:rsidRPr="00D56E25">
        <w:t xml:space="preserve"> </w:t>
      </w:r>
      <w:bookmarkStart w:id="107" w:name="lt_pId188"/>
      <w:r w:rsidRPr="00DA6526">
        <w:t xml:space="preserve">Il a été </w:t>
      </w:r>
      <w:r>
        <w:t>défini avec</w:t>
      </w:r>
      <w:r w:rsidRPr="00DA6526">
        <w:t xml:space="preserve"> trois niveaux:</w:t>
      </w:r>
      <w:bookmarkEnd w:id="107"/>
    </w:p>
    <w:p w:rsidR="00AD56F6" w:rsidRPr="00DA6526" w:rsidRDefault="00AD56F6" w:rsidP="00AD56F6">
      <w:pPr>
        <w:pStyle w:val="enumlev1"/>
      </w:pPr>
      <w:r w:rsidRPr="00DA6526">
        <w:t>–</w:t>
      </w:r>
      <w:r w:rsidRPr="00DA6526">
        <w:tab/>
      </w:r>
      <w:bookmarkStart w:id="108" w:name="lt_pId190"/>
      <w:r>
        <w:t>Le niveau 1, dit «numérique PMR446», à bas coût et ne nécessitant pas de licence.</w:t>
      </w:r>
      <w:bookmarkEnd w:id="108"/>
    </w:p>
    <w:p w:rsidR="00AD56F6" w:rsidRPr="00FE30E9" w:rsidRDefault="00AD56F6" w:rsidP="00AD56F6">
      <w:pPr>
        <w:pStyle w:val="enumlev1"/>
      </w:pPr>
      <w:r w:rsidRPr="00FE30E9">
        <w:t>–</w:t>
      </w:r>
      <w:r w:rsidRPr="00FE30E9">
        <w:tab/>
      </w:r>
      <w:bookmarkStart w:id="109" w:name="lt_pId192"/>
      <w:r w:rsidRPr="00FE30E9">
        <w:t xml:space="preserve">Le niveau 2, pour </w:t>
      </w:r>
      <w:r>
        <w:t>les professionnels, qui permet</w:t>
      </w:r>
      <w:r w:rsidRPr="00FE30E9">
        <w:t xml:space="preserve"> des communications entre homologues ou des retransmissions et </w:t>
      </w:r>
      <w:r>
        <w:t xml:space="preserve">qui </w:t>
      </w:r>
      <w:r w:rsidRPr="00FE30E9">
        <w:t>nécessite une licence.</w:t>
      </w:r>
      <w:bookmarkEnd w:id="109"/>
    </w:p>
    <w:p w:rsidR="00AD56F6" w:rsidRPr="00FE7E2D" w:rsidRDefault="00AD56F6" w:rsidP="00AD56F6">
      <w:pPr>
        <w:pStyle w:val="enumlev1"/>
      </w:pPr>
      <w:r w:rsidRPr="00FE7E2D">
        <w:t>–</w:t>
      </w:r>
      <w:r w:rsidRPr="00FE7E2D">
        <w:tab/>
      </w:r>
      <w:bookmarkStart w:id="110" w:name="lt_pId194"/>
      <w:r w:rsidRPr="00FE7E2D">
        <w:t xml:space="preserve">Le niveau 3, pour </w:t>
      </w:r>
      <w:r>
        <w:t>un fonctionnement avec partage des</w:t>
      </w:r>
      <w:r w:rsidRPr="00FE7E2D">
        <w:t xml:space="preserve"> ressources et qui nécessite une licence.</w:t>
      </w:r>
      <w:bookmarkEnd w:id="110"/>
    </w:p>
    <w:p w:rsidR="00AD56F6" w:rsidRPr="00B42D4B" w:rsidRDefault="00AD56F6" w:rsidP="00AD56F6">
      <w:bookmarkStart w:id="111" w:name="lt_pId195"/>
      <w:r w:rsidRPr="00B42D4B">
        <w:t xml:space="preserve">Le système DMR est un </w:t>
      </w:r>
      <w:r>
        <w:t xml:space="preserve">système </w:t>
      </w:r>
      <w:r w:rsidRPr="00B42D4B">
        <w:t xml:space="preserve">TDMA à deux intervalles </w:t>
      </w:r>
      <w:r>
        <w:t>assurant des communications numériques voix et</w:t>
      </w:r>
      <w:r w:rsidRPr="00B42D4B">
        <w:t xml:space="preserve"> données, et qui fonctionne grâce à des modulations 4FSK et utilis</w:t>
      </w:r>
      <w:r>
        <w:t>e 6,</w:t>
      </w:r>
      <w:r w:rsidRPr="00B42D4B">
        <w:t xml:space="preserve">25 kHz par </w:t>
      </w:r>
      <w:r>
        <w:t>canal</w:t>
      </w:r>
      <w:r w:rsidRPr="00B42D4B">
        <w:t>.</w:t>
      </w:r>
      <w:bookmarkEnd w:id="111"/>
      <w:r w:rsidRPr="00B42D4B">
        <w:t xml:space="preserve"> </w:t>
      </w:r>
      <w:bookmarkStart w:id="112" w:name="lt_pId196"/>
      <w:r w:rsidRPr="00B42D4B">
        <w:t xml:space="preserve">La norme est conçue pour </w:t>
      </w:r>
      <w:r>
        <w:t>être utilisée dans le cadre</w:t>
      </w:r>
      <w:r w:rsidRPr="00B42D4B">
        <w:t xml:space="preserve"> de l'espa</w:t>
      </w:r>
      <w:r>
        <w:t>cement des canaux existants de 12,</w:t>
      </w:r>
      <w:r w:rsidRPr="00B42D4B">
        <w:t>5 kHz.</w:t>
      </w:r>
      <w:bookmarkEnd w:id="112"/>
    </w:p>
    <w:p w:rsidR="00AD56F6" w:rsidRPr="00A32155" w:rsidRDefault="00AD56F6" w:rsidP="00AD56F6">
      <w:bookmarkStart w:id="113" w:name="lt_pId197"/>
      <w:r w:rsidRPr="00A32155">
        <w:t xml:space="preserve">Pour plus d'informations sur les caractéristiques techniques et opérationnelles du système DMR, voir le Rapport technique TR 102 398 de l'ETSI qui constitue une bonne introduction sur </w:t>
      </w:r>
      <w:r>
        <w:t>c</w:t>
      </w:r>
      <w:r w:rsidRPr="00A32155">
        <w:t xml:space="preserve">e </w:t>
      </w:r>
      <w:r>
        <w:t>système</w:t>
      </w:r>
      <w:r w:rsidRPr="00A32155">
        <w:t>.</w:t>
      </w:r>
      <w:bookmarkEnd w:id="113"/>
      <w:r w:rsidRPr="00A32155">
        <w:t xml:space="preserve"> </w:t>
      </w:r>
      <w:bookmarkStart w:id="114" w:name="lt_pId198"/>
      <w:r w:rsidRPr="00A32155">
        <w:t>Les parties 1 à 3 de la Spécification technique TS 102 362 traitent des tests de conformité et des suites de tests</w:t>
      </w:r>
      <w:r>
        <w:t xml:space="preserve"> pour le système DMR</w:t>
      </w:r>
      <w:r w:rsidRPr="00A32155">
        <w:t>, et la Spécification technique TS 102</w:t>
      </w:r>
      <w:r>
        <w:t xml:space="preserve"> </w:t>
      </w:r>
      <w:r w:rsidRPr="00A32155">
        <w:t xml:space="preserve">490 définit le </w:t>
      </w:r>
      <w:r>
        <w:t>système</w:t>
      </w:r>
      <w:r w:rsidRPr="00A32155">
        <w:t xml:space="preserve"> à bande étroite ou</w:t>
      </w:r>
      <w:r>
        <w:t xml:space="preserve"> système «PMR numérique»</w:t>
      </w:r>
      <w:r w:rsidRPr="00A32155">
        <w:t>.</w:t>
      </w:r>
      <w:bookmarkEnd w:id="114"/>
    </w:p>
    <w:p w:rsidR="00AD56F6" w:rsidRDefault="00AD56F6" w:rsidP="0089111B">
      <w:bookmarkStart w:id="115" w:name="lt_pId199"/>
      <w:r>
        <w:t>Les d</w:t>
      </w:r>
      <w:r w:rsidRPr="0040123C">
        <w:t xml:space="preserve">ocuments de référence </w:t>
      </w:r>
      <w:r>
        <w:t xml:space="preserve">pour le système sont les Rapports techniques </w:t>
      </w:r>
      <w:r w:rsidRPr="0040123C">
        <w:t xml:space="preserve">TR 102 335-1 (DMR </w:t>
      </w:r>
      <w:r>
        <w:t>n</w:t>
      </w:r>
      <w:r w:rsidRPr="0040123C">
        <w:t>iveau</w:t>
      </w:r>
      <w:r w:rsidR="0089111B">
        <w:t> </w:t>
      </w:r>
      <w:r w:rsidRPr="0040123C">
        <w:t>1) et TR 102 335-2 (</w:t>
      </w:r>
      <w:r>
        <w:t>DMR avec licence</w:t>
      </w:r>
      <w:r w:rsidRPr="0040123C">
        <w:t>)</w:t>
      </w:r>
      <w:r>
        <w:t xml:space="preserve"> de l'ETSI</w:t>
      </w:r>
      <w:r w:rsidRPr="0040123C">
        <w:t>.</w:t>
      </w:r>
      <w:bookmarkEnd w:id="115"/>
    </w:p>
    <w:p w:rsidR="0089111B" w:rsidRDefault="0089111B" w:rsidP="00AD56F6"/>
    <w:p w:rsidR="0089111B" w:rsidRPr="0040123C" w:rsidRDefault="0089111B" w:rsidP="00AD56F6"/>
    <w:p w:rsidR="00AD56F6" w:rsidRPr="00E1413D" w:rsidRDefault="00AD56F6" w:rsidP="009A79DA">
      <w:pPr>
        <w:pStyle w:val="AnnexNoTitle"/>
        <w:rPr>
          <w:rFonts w:ascii="Times New Roman Bold" w:hAnsi="Times New Roman Bold"/>
        </w:rPr>
      </w:pPr>
      <w:bookmarkStart w:id="116" w:name="lt_pId200"/>
      <w:r w:rsidRPr="004A6419">
        <w:t>Annexe 3</w:t>
      </w:r>
      <w:bookmarkEnd w:id="116"/>
      <w:r w:rsidRPr="00E1413D">
        <w:br/>
      </w:r>
      <w:r w:rsidRPr="00E1413D">
        <w:br/>
      </w:r>
      <w:bookmarkStart w:id="117" w:name="lt_pId201"/>
      <w:r w:rsidRPr="004A6419">
        <w:t>Acronymes et abréviations</w:t>
      </w:r>
      <w:bookmarkEnd w:id="117"/>
    </w:p>
    <w:p w:rsidR="00AD56F6" w:rsidRDefault="00AD56F6" w:rsidP="00BB4DE7">
      <w:pPr>
        <w:pStyle w:val="Normalaftertitle0"/>
        <w:tabs>
          <w:tab w:val="clear" w:pos="1871"/>
          <w:tab w:val="clear" w:pos="2268"/>
          <w:tab w:val="left" w:pos="1560"/>
          <w:tab w:val="left" w:pos="2410"/>
        </w:tabs>
      </w:pPr>
      <w:bookmarkStart w:id="118" w:name="lt_pId202"/>
      <w:r w:rsidRPr="004A6419">
        <w:t>3GPP</w:t>
      </w:r>
      <w:bookmarkEnd w:id="118"/>
      <w:r w:rsidRPr="00E1413D">
        <w:tab/>
      </w:r>
      <w:bookmarkStart w:id="119" w:name="lt_pId203"/>
      <w:r w:rsidR="00960540">
        <w:tab/>
      </w:r>
      <w:r w:rsidR="00BB4DE7">
        <w:tab/>
      </w:r>
      <w:r w:rsidRPr="004A6419">
        <w:t>Projet de partenariat de 3ème génération</w:t>
      </w:r>
      <w:bookmarkStart w:id="120" w:name="lt_pId204"/>
      <w:bookmarkEnd w:id="119"/>
    </w:p>
    <w:p w:rsidR="00AD56F6" w:rsidRPr="00872C0A" w:rsidRDefault="00AD56F6" w:rsidP="00AD56F6">
      <w:pPr>
        <w:tabs>
          <w:tab w:val="left" w:pos="2552"/>
        </w:tabs>
        <w:spacing w:before="80"/>
        <w:ind w:left="2410" w:hanging="2410"/>
      </w:pPr>
      <w:r w:rsidRPr="004A6419">
        <w:t>B-TrunC</w:t>
      </w:r>
      <w:bookmarkEnd w:id="120"/>
      <w:r w:rsidRPr="00872C0A">
        <w:tab/>
      </w:r>
      <w:bookmarkStart w:id="121" w:name="lt_pId205"/>
      <w:r w:rsidR="00960540">
        <w:tab/>
      </w:r>
      <w:r w:rsidR="00BB4DE7">
        <w:tab/>
      </w:r>
      <w:r w:rsidR="00BB4DE7">
        <w:tab/>
      </w:r>
      <w:r w:rsidRPr="00872C0A">
        <w:t>Communication</w:t>
      </w:r>
      <w:r>
        <w:t>s</w:t>
      </w:r>
      <w:r w:rsidRPr="00872C0A">
        <w:t xml:space="preserve"> à ressources partagées large bande</w:t>
      </w:r>
      <w:bookmarkEnd w:id="121"/>
    </w:p>
    <w:p w:rsidR="00AD56F6" w:rsidRPr="00872C0A" w:rsidRDefault="00AD56F6" w:rsidP="00AD56F6">
      <w:pPr>
        <w:tabs>
          <w:tab w:val="left" w:pos="2552"/>
        </w:tabs>
        <w:spacing w:before="80"/>
        <w:ind w:left="2410" w:hanging="2410"/>
      </w:pPr>
      <w:bookmarkStart w:id="122" w:name="lt_pId206"/>
      <w:r w:rsidRPr="004A6419">
        <w:t>CDMA TDD</w:t>
      </w:r>
      <w:bookmarkEnd w:id="122"/>
      <w:r w:rsidRPr="00872C0A">
        <w:tab/>
      </w:r>
      <w:bookmarkStart w:id="123" w:name="lt_pId207"/>
      <w:r w:rsidR="00BB4DE7">
        <w:tab/>
      </w:r>
      <w:r w:rsidR="00BB4DE7">
        <w:tab/>
      </w:r>
      <w:r w:rsidRPr="004A6419">
        <w:t>Duplex à répartition dans le temps à accès multiple par répartition en code</w:t>
      </w:r>
      <w:bookmarkEnd w:id="123"/>
    </w:p>
    <w:p w:rsidR="00AD56F6" w:rsidRPr="00872C0A" w:rsidRDefault="00AD56F6" w:rsidP="00AD56F6">
      <w:pPr>
        <w:tabs>
          <w:tab w:val="left" w:pos="2552"/>
        </w:tabs>
        <w:spacing w:before="80"/>
        <w:ind w:left="2410" w:hanging="2410"/>
      </w:pPr>
      <w:bookmarkStart w:id="124" w:name="lt_pId208"/>
      <w:r w:rsidRPr="004A6419">
        <w:t>DMR</w:t>
      </w:r>
      <w:bookmarkEnd w:id="124"/>
      <w:r w:rsidRPr="00872C0A">
        <w:tab/>
      </w:r>
      <w:bookmarkStart w:id="125" w:name="lt_pId209"/>
      <w:r w:rsidR="00960540">
        <w:tab/>
      </w:r>
      <w:r w:rsidR="00960540">
        <w:tab/>
      </w:r>
      <w:r w:rsidR="00BB4DE7">
        <w:tab/>
      </w:r>
      <w:r w:rsidR="00BB4DE7">
        <w:tab/>
      </w:r>
      <w:r w:rsidRPr="004A6419">
        <w:t>Radiocommunications mobiles numériques</w:t>
      </w:r>
      <w:bookmarkEnd w:id="125"/>
    </w:p>
    <w:p w:rsidR="00AD56F6" w:rsidRPr="00872C0A" w:rsidRDefault="00AD56F6" w:rsidP="00AD56F6">
      <w:pPr>
        <w:tabs>
          <w:tab w:val="left" w:pos="2552"/>
        </w:tabs>
        <w:spacing w:before="80"/>
        <w:ind w:left="2410" w:hanging="2410"/>
      </w:pPr>
      <w:bookmarkStart w:id="126" w:name="lt_pId210"/>
      <w:r w:rsidRPr="004A6419">
        <w:t>ETSI</w:t>
      </w:r>
      <w:bookmarkEnd w:id="126"/>
      <w:r w:rsidRPr="00872C0A">
        <w:tab/>
      </w:r>
      <w:bookmarkStart w:id="127" w:name="lt_pId211"/>
      <w:r w:rsidR="00960540">
        <w:tab/>
      </w:r>
      <w:r w:rsidR="00960540">
        <w:tab/>
      </w:r>
      <w:r w:rsidR="00BB4DE7">
        <w:tab/>
      </w:r>
      <w:r w:rsidR="00BB4DE7">
        <w:tab/>
      </w:r>
      <w:r w:rsidRPr="004A6419">
        <w:t>Institut européen des normes de télécommunication</w:t>
      </w:r>
      <w:bookmarkEnd w:id="127"/>
    </w:p>
    <w:p w:rsidR="00AD56F6" w:rsidRPr="00872C0A" w:rsidRDefault="00AD56F6" w:rsidP="00AD56F6">
      <w:pPr>
        <w:tabs>
          <w:tab w:val="left" w:pos="2552"/>
        </w:tabs>
        <w:spacing w:before="80"/>
        <w:ind w:left="2410" w:hanging="2410"/>
      </w:pPr>
      <w:bookmarkStart w:id="128" w:name="lt_pId212"/>
      <w:r w:rsidRPr="004A6419">
        <w:t>E-UTRA</w:t>
      </w:r>
      <w:bookmarkEnd w:id="128"/>
      <w:r w:rsidRPr="00872C0A">
        <w:tab/>
      </w:r>
      <w:bookmarkStart w:id="129" w:name="lt_pId213"/>
      <w:r w:rsidR="00960540">
        <w:tab/>
      </w:r>
      <w:r w:rsidR="00BB4DE7">
        <w:tab/>
      </w:r>
      <w:r w:rsidR="00BB4DE7">
        <w:tab/>
      </w:r>
      <w:r w:rsidRPr="004A6419">
        <w:t xml:space="preserve">Accès radioélectrique de Terre universel évolué </w:t>
      </w:r>
      <w:bookmarkEnd w:id="129"/>
    </w:p>
    <w:p w:rsidR="00AD56F6" w:rsidRPr="009A3580" w:rsidRDefault="00AD56F6" w:rsidP="00AD56F6">
      <w:pPr>
        <w:tabs>
          <w:tab w:val="left" w:pos="2552"/>
        </w:tabs>
        <w:spacing w:before="80"/>
        <w:ind w:left="2410" w:hanging="2410"/>
      </w:pPr>
      <w:bookmarkStart w:id="130" w:name="lt_pId214"/>
      <w:r w:rsidRPr="004A6419">
        <w:t>FDD</w:t>
      </w:r>
      <w:bookmarkEnd w:id="130"/>
      <w:r w:rsidRPr="009A3580">
        <w:tab/>
      </w:r>
      <w:bookmarkStart w:id="131" w:name="lt_pId215"/>
      <w:r w:rsidR="00960540">
        <w:tab/>
      </w:r>
      <w:r w:rsidR="00960540">
        <w:tab/>
      </w:r>
      <w:r w:rsidR="0089111B">
        <w:tab/>
      </w:r>
      <w:r w:rsidR="0089111B">
        <w:tab/>
      </w:r>
      <w:r w:rsidRPr="004A6419">
        <w:t>Duplex à répartition en fréquence</w:t>
      </w:r>
      <w:bookmarkEnd w:id="131"/>
    </w:p>
    <w:p w:rsidR="00AD56F6" w:rsidRPr="00332D2B" w:rsidRDefault="00AD56F6" w:rsidP="00AD56F6">
      <w:pPr>
        <w:tabs>
          <w:tab w:val="left" w:pos="2552"/>
        </w:tabs>
        <w:spacing w:before="80"/>
        <w:ind w:left="2410" w:hanging="2410"/>
      </w:pPr>
      <w:bookmarkStart w:id="132" w:name="lt_pId216"/>
      <w:r w:rsidRPr="004A6419">
        <w:t>FDMA</w:t>
      </w:r>
      <w:bookmarkEnd w:id="132"/>
      <w:r w:rsidRPr="00332D2B">
        <w:tab/>
      </w:r>
      <w:bookmarkStart w:id="133" w:name="lt_pId217"/>
      <w:r w:rsidR="00960540">
        <w:tab/>
      </w:r>
      <w:r w:rsidR="00960540">
        <w:tab/>
      </w:r>
      <w:r w:rsidR="0089111B">
        <w:tab/>
      </w:r>
      <w:r w:rsidR="0089111B">
        <w:tab/>
      </w:r>
      <w:r w:rsidRPr="004A6419">
        <w:t>Accès multiple par répartition en fréquence</w:t>
      </w:r>
      <w:bookmarkEnd w:id="133"/>
    </w:p>
    <w:p w:rsidR="00AD56F6" w:rsidRPr="00F14D51" w:rsidRDefault="00AD56F6" w:rsidP="00AD56F6">
      <w:pPr>
        <w:tabs>
          <w:tab w:val="left" w:pos="2552"/>
        </w:tabs>
        <w:spacing w:before="80"/>
        <w:ind w:left="2410" w:hanging="2410"/>
        <w:rPr>
          <w:lang w:val="en-US"/>
        </w:rPr>
      </w:pPr>
      <w:bookmarkStart w:id="134" w:name="lt_pId218"/>
      <w:r w:rsidRPr="00F14D51">
        <w:rPr>
          <w:lang w:val="en-US"/>
        </w:rPr>
        <w:t>IEEE</w:t>
      </w:r>
      <w:bookmarkEnd w:id="134"/>
      <w:r w:rsidRPr="00F14D51">
        <w:rPr>
          <w:lang w:val="en-US"/>
        </w:rPr>
        <w:tab/>
      </w:r>
      <w:bookmarkStart w:id="135" w:name="lt_pId219"/>
      <w:r w:rsidR="00960540">
        <w:rPr>
          <w:lang w:val="en-US"/>
        </w:rPr>
        <w:tab/>
      </w:r>
      <w:r w:rsidR="00960540">
        <w:rPr>
          <w:lang w:val="en-US"/>
        </w:rPr>
        <w:tab/>
      </w:r>
      <w:r w:rsidR="0089111B">
        <w:rPr>
          <w:lang w:val="en-US"/>
        </w:rPr>
        <w:tab/>
      </w:r>
      <w:r w:rsidR="0089111B">
        <w:rPr>
          <w:lang w:val="en-US"/>
        </w:rPr>
        <w:tab/>
      </w:r>
      <w:r w:rsidRPr="00F14D51">
        <w:rPr>
          <w:lang w:val="en-US"/>
        </w:rPr>
        <w:t>Institute of Electrical and Electronics Engineers</w:t>
      </w:r>
      <w:bookmarkEnd w:id="135"/>
    </w:p>
    <w:p w:rsidR="00AD56F6" w:rsidRPr="00453412" w:rsidRDefault="00AD56F6" w:rsidP="00AD56F6">
      <w:pPr>
        <w:tabs>
          <w:tab w:val="left" w:pos="2552"/>
        </w:tabs>
        <w:spacing w:before="80"/>
        <w:ind w:left="2410" w:hanging="2410"/>
      </w:pPr>
      <w:bookmarkStart w:id="136" w:name="lt_pId220"/>
      <w:r w:rsidRPr="004A6419">
        <w:t>LTE</w:t>
      </w:r>
      <w:bookmarkEnd w:id="136"/>
      <w:r w:rsidRPr="00453412">
        <w:tab/>
      </w:r>
      <w:bookmarkStart w:id="137" w:name="lt_pId221"/>
      <w:r w:rsidR="00960540">
        <w:tab/>
      </w:r>
      <w:r w:rsidR="00960540">
        <w:tab/>
      </w:r>
      <w:r w:rsidR="0089111B">
        <w:tab/>
      </w:r>
      <w:r w:rsidR="0089111B">
        <w:tab/>
      </w:r>
      <w:r w:rsidRPr="004A6419">
        <w:t>Evolution à long terme</w:t>
      </w:r>
      <w:bookmarkEnd w:id="137"/>
    </w:p>
    <w:p w:rsidR="00AD56F6" w:rsidRPr="00346710" w:rsidRDefault="00AD56F6" w:rsidP="00AD56F6">
      <w:pPr>
        <w:tabs>
          <w:tab w:val="left" w:pos="2552"/>
        </w:tabs>
        <w:spacing w:before="80"/>
        <w:ind w:left="2410" w:hanging="2410"/>
      </w:pPr>
      <w:bookmarkStart w:id="138" w:name="lt_pId222"/>
      <w:r w:rsidRPr="004A6419">
        <w:t>OFDMA TDD WMAN</w:t>
      </w:r>
      <w:bookmarkEnd w:id="138"/>
      <w:r w:rsidRPr="00346710">
        <w:tab/>
      </w:r>
      <w:bookmarkStart w:id="139" w:name="lt_pId223"/>
      <w:r>
        <w:t>R</w:t>
      </w:r>
      <w:r w:rsidRPr="00346710">
        <w:t xml:space="preserve">éseau </w:t>
      </w:r>
      <w:r>
        <w:t xml:space="preserve">métropolitain </w:t>
      </w:r>
      <w:r w:rsidRPr="00346710">
        <w:t xml:space="preserve">hertzien avec duplex à répartition dans le temps et accès </w:t>
      </w:r>
      <w:bookmarkEnd w:id="139"/>
      <w:r>
        <w:t>multiple par répartition orthogonale de la fréquence</w:t>
      </w:r>
    </w:p>
    <w:p w:rsidR="00AD56F6" w:rsidRPr="009004BF" w:rsidRDefault="00AD56F6" w:rsidP="00AD56F6">
      <w:pPr>
        <w:tabs>
          <w:tab w:val="left" w:pos="2552"/>
        </w:tabs>
        <w:spacing w:before="80"/>
        <w:ind w:left="2410" w:hanging="2410"/>
      </w:pPr>
      <w:bookmarkStart w:id="140" w:name="lt_pId224"/>
      <w:r w:rsidRPr="004A6419">
        <w:t>PAMR</w:t>
      </w:r>
      <w:bookmarkEnd w:id="140"/>
      <w:r w:rsidRPr="009004BF">
        <w:tab/>
      </w:r>
      <w:bookmarkStart w:id="141" w:name="lt_pId225"/>
      <w:r w:rsidR="00960540">
        <w:tab/>
      </w:r>
      <w:r w:rsidR="00960540">
        <w:tab/>
      </w:r>
      <w:r w:rsidR="00BB4DE7">
        <w:tab/>
      </w:r>
      <w:r w:rsidR="00BB4DE7">
        <w:tab/>
      </w:r>
      <w:r w:rsidRPr="004A6419">
        <w:t>Radiocommunications mobiles à accès public</w:t>
      </w:r>
      <w:bookmarkEnd w:id="141"/>
      <w:r w:rsidRPr="009004BF">
        <w:t xml:space="preserve"> </w:t>
      </w:r>
    </w:p>
    <w:p w:rsidR="00AD56F6" w:rsidRPr="00710281" w:rsidRDefault="00AD56F6" w:rsidP="00AD56F6">
      <w:pPr>
        <w:tabs>
          <w:tab w:val="left" w:pos="2552"/>
        </w:tabs>
        <w:spacing w:before="80"/>
        <w:ind w:left="2410" w:hanging="2410"/>
      </w:pPr>
      <w:bookmarkStart w:id="142" w:name="lt_pId226"/>
      <w:r w:rsidRPr="004A6419">
        <w:t>PMR</w:t>
      </w:r>
      <w:bookmarkEnd w:id="142"/>
      <w:r w:rsidRPr="00710281">
        <w:tab/>
      </w:r>
      <w:bookmarkStart w:id="143" w:name="lt_pId227"/>
      <w:r w:rsidR="00960540">
        <w:tab/>
      </w:r>
      <w:r w:rsidR="00960540">
        <w:tab/>
      </w:r>
      <w:r w:rsidR="00BB4DE7">
        <w:tab/>
      </w:r>
      <w:r w:rsidR="00BB4DE7">
        <w:tab/>
      </w:r>
      <w:r w:rsidRPr="004A6419">
        <w:t>Radiocommunications mobiles privées</w:t>
      </w:r>
      <w:bookmarkEnd w:id="143"/>
    </w:p>
    <w:p w:rsidR="00AD56F6" w:rsidRPr="00710281" w:rsidRDefault="00AD56F6" w:rsidP="00AD56F6">
      <w:pPr>
        <w:tabs>
          <w:tab w:val="left" w:pos="2552"/>
        </w:tabs>
        <w:spacing w:before="80"/>
        <w:ind w:left="2410" w:hanging="2410"/>
      </w:pPr>
      <w:bookmarkStart w:id="144" w:name="lt_pId228"/>
      <w:r w:rsidRPr="004A6419">
        <w:t>PPDR</w:t>
      </w:r>
      <w:bookmarkEnd w:id="144"/>
      <w:r w:rsidRPr="00710281">
        <w:tab/>
      </w:r>
      <w:bookmarkStart w:id="145" w:name="lt_pId229"/>
      <w:r w:rsidR="00960540">
        <w:tab/>
      </w:r>
      <w:r w:rsidR="00960540">
        <w:tab/>
      </w:r>
      <w:r w:rsidR="00BB4DE7">
        <w:tab/>
      </w:r>
      <w:r w:rsidR="00BB4DE7">
        <w:tab/>
      </w:r>
      <w:r w:rsidRPr="004A6419">
        <w:t>Protection du public et secours en cas de catastrophe</w:t>
      </w:r>
      <w:bookmarkEnd w:id="145"/>
    </w:p>
    <w:p w:rsidR="00AD56F6" w:rsidRPr="009A6A99" w:rsidRDefault="00AD56F6" w:rsidP="00AD56F6">
      <w:pPr>
        <w:tabs>
          <w:tab w:val="left" w:pos="2552"/>
        </w:tabs>
        <w:spacing w:before="60"/>
        <w:ind w:left="2410" w:hanging="2410"/>
      </w:pPr>
      <w:bookmarkStart w:id="146" w:name="lt_pId230"/>
      <w:r w:rsidRPr="004A6419">
        <w:lastRenderedPageBreak/>
        <w:t>SCDMA</w:t>
      </w:r>
      <w:bookmarkEnd w:id="146"/>
      <w:r w:rsidRPr="009A6A99">
        <w:tab/>
      </w:r>
      <w:bookmarkStart w:id="147" w:name="lt_pId231"/>
      <w:r w:rsidR="00960540">
        <w:tab/>
      </w:r>
      <w:r w:rsidR="00BB4DE7">
        <w:tab/>
      </w:r>
      <w:r w:rsidR="00BB4DE7">
        <w:tab/>
      </w:r>
      <w:r w:rsidRPr="004A6419">
        <w:t>Accès mu</w:t>
      </w:r>
      <w:r>
        <w:t>ltiple par répartition en code</w:t>
      </w:r>
      <w:r w:rsidRPr="004A6419">
        <w:t xml:space="preserve"> synchron</w:t>
      </w:r>
      <w:r>
        <w:t>e</w:t>
      </w:r>
      <w:bookmarkEnd w:id="147"/>
    </w:p>
    <w:p w:rsidR="00AD56F6" w:rsidRPr="00885E72" w:rsidRDefault="00AD56F6" w:rsidP="00AD56F6">
      <w:pPr>
        <w:tabs>
          <w:tab w:val="left" w:pos="2552"/>
        </w:tabs>
        <w:spacing w:before="80"/>
        <w:ind w:left="2410" w:hanging="2410"/>
      </w:pPr>
      <w:bookmarkStart w:id="148" w:name="lt_pId232"/>
      <w:r w:rsidRPr="004A6419">
        <w:t>TETRA</w:t>
      </w:r>
      <w:bookmarkEnd w:id="148"/>
      <w:r w:rsidRPr="00885E72">
        <w:tab/>
      </w:r>
      <w:bookmarkStart w:id="149" w:name="lt_pId233"/>
      <w:r w:rsidR="00960540">
        <w:tab/>
      </w:r>
      <w:r w:rsidR="00960540">
        <w:tab/>
      </w:r>
      <w:r w:rsidR="00BB4DE7">
        <w:tab/>
      </w:r>
      <w:r w:rsidR="00BB4DE7">
        <w:tab/>
      </w:r>
      <w:r w:rsidRPr="004A6419">
        <w:t>Radiocommunication</w:t>
      </w:r>
      <w:r>
        <w:t>s</w:t>
      </w:r>
      <w:r w:rsidRPr="004A6419">
        <w:t xml:space="preserve"> de Terre à ressources partagées</w:t>
      </w:r>
      <w:bookmarkEnd w:id="149"/>
    </w:p>
    <w:p w:rsidR="00AD56F6" w:rsidRPr="00ED79BC" w:rsidRDefault="00AD56F6" w:rsidP="00AD56F6">
      <w:pPr>
        <w:tabs>
          <w:tab w:val="left" w:pos="2552"/>
        </w:tabs>
        <w:spacing w:before="80"/>
        <w:ind w:left="2410" w:hanging="2410"/>
      </w:pPr>
      <w:bookmarkStart w:id="150" w:name="lt_pId234"/>
      <w:r w:rsidRPr="004A6419">
        <w:t>TR</w:t>
      </w:r>
      <w:bookmarkEnd w:id="150"/>
      <w:r w:rsidRPr="00ED79BC">
        <w:tab/>
      </w:r>
      <w:bookmarkStart w:id="151" w:name="lt_pId235"/>
      <w:r w:rsidR="00960540">
        <w:tab/>
      </w:r>
      <w:r w:rsidR="0089111B">
        <w:tab/>
      </w:r>
      <w:r w:rsidR="00BB4DE7">
        <w:tab/>
      </w:r>
      <w:r w:rsidR="00BB4DE7">
        <w:tab/>
      </w:r>
      <w:r w:rsidRPr="004A6419">
        <w:t>Rapport technique</w:t>
      </w:r>
      <w:bookmarkEnd w:id="151"/>
    </w:p>
    <w:p w:rsidR="00AD56F6" w:rsidRPr="00ED79BC" w:rsidRDefault="00AD56F6" w:rsidP="00AD56F6">
      <w:pPr>
        <w:tabs>
          <w:tab w:val="left" w:pos="2552"/>
        </w:tabs>
        <w:spacing w:before="80"/>
        <w:ind w:left="2410" w:hanging="2410"/>
      </w:pPr>
      <w:bookmarkStart w:id="152" w:name="lt_pId236"/>
      <w:r w:rsidRPr="004A6419">
        <w:t>UHF</w:t>
      </w:r>
      <w:bookmarkEnd w:id="152"/>
      <w:r w:rsidRPr="00ED79BC">
        <w:tab/>
      </w:r>
      <w:bookmarkStart w:id="153" w:name="lt_pId237"/>
      <w:r w:rsidR="00960540">
        <w:tab/>
      </w:r>
      <w:r w:rsidR="0089111B">
        <w:tab/>
      </w:r>
      <w:r w:rsidR="00BB4DE7">
        <w:tab/>
      </w:r>
      <w:r w:rsidR="00BB4DE7">
        <w:tab/>
      </w:r>
      <w:r w:rsidRPr="004A6419">
        <w:t>Ondes décimétriques</w:t>
      </w:r>
      <w:bookmarkEnd w:id="153"/>
    </w:p>
    <w:p w:rsidR="00AD56F6" w:rsidRPr="00ED79BC" w:rsidRDefault="00AD56F6" w:rsidP="00AD56F6">
      <w:pPr>
        <w:tabs>
          <w:tab w:val="left" w:pos="2552"/>
        </w:tabs>
        <w:spacing w:before="80"/>
        <w:ind w:left="2410" w:hanging="2410"/>
      </w:pPr>
      <w:bookmarkStart w:id="154" w:name="lt_pId238"/>
      <w:r w:rsidRPr="004A6419">
        <w:t>UTRA</w:t>
      </w:r>
      <w:bookmarkEnd w:id="154"/>
      <w:r w:rsidRPr="00ED79BC">
        <w:tab/>
      </w:r>
      <w:bookmarkStart w:id="155" w:name="lt_pId239"/>
      <w:r w:rsidR="00960540">
        <w:tab/>
      </w:r>
      <w:r w:rsidR="0089111B">
        <w:tab/>
      </w:r>
      <w:r w:rsidR="00BB4DE7">
        <w:tab/>
      </w:r>
      <w:r w:rsidR="00BB4DE7">
        <w:tab/>
      </w:r>
      <w:r w:rsidRPr="004A6419">
        <w:t xml:space="preserve">Accès radioélectrique de Terre universel </w:t>
      </w:r>
      <w:bookmarkEnd w:id="155"/>
    </w:p>
    <w:p w:rsidR="00A6617B" w:rsidRDefault="00A6617B" w:rsidP="00242AEE">
      <w:pPr>
        <w:pStyle w:val="HeadingSum"/>
        <w:rPr>
          <w:lang w:val="fr-FR"/>
        </w:rPr>
      </w:pPr>
    </w:p>
    <w:p w:rsidR="009A79DA" w:rsidRPr="009A79DA" w:rsidRDefault="009A79DA" w:rsidP="009A79DA"/>
    <w:p w:rsidR="009A79DA" w:rsidRPr="009A79DA" w:rsidRDefault="009A79DA" w:rsidP="009A79DA">
      <w:pPr>
        <w:jc w:val="center"/>
      </w:pPr>
      <w:r>
        <w:t>_______________</w:t>
      </w:r>
    </w:p>
    <w:sectPr w:rsidR="009A79DA" w:rsidRPr="009A79DA" w:rsidSect="0089111B">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6F6" w:rsidRDefault="00AD56F6">
      <w:r>
        <w:separator/>
      </w:r>
    </w:p>
  </w:endnote>
  <w:endnote w:type="continuationSeparator" w:id="0">
    <w:p w:rsidR="00AD56F6" w:rsidRDefault="00AD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Norma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6F6" w:rsidRDefault="00AD56F6">
      <w:r>
        <w:separator/>
      </w:r>
    </w:p>
  </w:footnote>
  <w:footnote w:type="continuationSeparator" w:id="0">
    <w:p w:rsidR="00AD56F6" w:rsidRDefault="00AD56F6">
      <w:r>
        <w:continuationSeparator/>
      </w:r>
    </w:p>
  </w:footnote>
  <w:footnote w:id="1">
    <w:p w:rsidR="00AD56F6" w:rsidRPr="000876DD" w:rsidRDefault="00AD56F6" w:rsidP="00AD56F6">
      <w:pPr>
        <w:pStyle w:val="FootnoteText"/>
      </w:pPr>
      <w:r w:rsidRPr="00637322">
        <w:rPr>
          <w:rStyle w:val="FootnoteReference"/>
        </w:rPr>
        <w:footnoteRef/>
      </w:r>
      <w:r w:rsidRPr="000876DD">
        <w:tab/>
      </w:r>
      <w:bookmarkStart w:id="75" w:name="lt_pId270"/>
      <w:r w:rsidRPr="004A6419">
        <w:t xml:space="preserve">Voir </w:t>
      </w:r>
      <w:r>
        <w:t xml:space="preserve">le </w:t>
      </w:r>
      <w:r w:rsidRPr="004A6419">
        <w:t>paragraphe 1.1.1 de la Recommandation UIT-R M.2012</w:t>
      </w:r>
      <w:r>
        <w:t>-</w:t>
      </w:r>
      <w:r w:rsidRPr="004A6419">
        <w:t xml:space="preserve">1 </w:t>
      </w:r>
      <w:r>
        <w:t xml:space="preserve">– </w:t>
      </w:r>
      <w:r w:rsidRPr="004A6419">
        <w:t>Spécifications détaillées des interfaces radioélectriques de Terre des télécommunications mobiles internationales évoluées (IMT évoluées).</w:t>
      </w:r>
      <w:bookmarkEnd w:id="7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F6" w:rsidRDefault="00AD56F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F6" w:rsidRDefault="00AD56F6" w:rsidP="00C668C8">
    <w:pPr>
      <w:pStyle w:val="Header"/>
      <w:ind w:right="360" w:firstLine="360"/>
    </w:pPr>
    <w:r>
      <w:rPr>
        <w:noProof/>
        <w:lang w:val="en-US" w:eastAsia="zh-CN"/>
      </w:rPr>
      <w:drawing>
        <wp:anchor distT="0" distB="0" distL="114300" distR="114300" simplePos="0" relativeHeight="251659264" behindDoc="1" locked="0" layoutInCell="1" allowOverlap="1" wp14:anchorId="6C988FA5" wp14:editId="33CB8F9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F6" w:rsidRPr="00837CB5" w:rsidRDefault="00AD56F6"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362F3">
      <w:rPr>
        <w:rStyle w:val="PageNumber"/>
        <w:b/>
        <w:bCs/>
        <w:noProof/>
      </w:rPr>
      <w:t>ii</w:t>
    </w:r>
    <w:r>
      <w:rPr>
        <w:rStyle w:val="PageNumber"/>
        <w:b/>
        <w:bCs/>
      </w:rPr>
      <w:fldChar w:fldCharType="end"/>
    </w:r>
    <w:r w:rsidRPr="00837CB5">
      <w:tab/>
    </w:r>
    <w:fldSimple w:instr=" DOCPROPERTY &quot;Header&quot; \* MERGEFORMAT ">
      <w:r w:rsidR="00A362F3" w:rsidRPr="00A362F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362F3">
      <w:rPr>
        <w:b/>
        <w:bCs/>
        <w:noProof/>
      </w:rPr>
      <w:t>UIT-R  M.2009-1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F6" w:rsidRDefault="00AD56F6" w:rsidP="00A163D3">
    <w:pPr>
      <w:pStyle w:val="Header"/>
    </w:pPr>
    <w:r>
      <w:tab/>
    </w:r>
    <w:fldSimple w:instr=" DOCPROPERTY &quot;Header&quot; \* MERGEFORMAT ">
      <w:r w:rsidR="00A362F3" w:rsidRPr="00A362F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62F3">
      <w:rPr>
        <w:b/>
        <w:bCs/>
        <w:noProof/>
      </w:rPr>
      <w:t>UIT-R  M.2009-1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62F3">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362F3" w:rsidRPr="00A362F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62F3">
      <w:rPr>
        <w:b/>
        <w:bCs/>
        <w:noProof/>
      </w:rPr>
      <w:t>UIT-R  M.2009-1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A362F3" w:rsidRPr="00A362F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62F3">
      <w:rPr>
        <w:b/>
        <w:bCs/>
        <w:noProof/>
      </w:rPr>
      <w:t>UIT-R  M.2009-1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62F3">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6F6"/>
    <w:rsid w:val="00217EBF"/>
    <w:rsid w:val="00242AEE"/>
    <w:rsid w:val="002D76C4"/>
    <w:rsid w:val="0052529D"/>
    <w:rsid w:val="00607D68"/>
    <w:rsid w:val="006F47E3"/>
    <w:rsid w:val="007468DA"/>
    <w:rsid w:val="0089111B"/>
    <w:rsid w:val="00960540"/>
    <w:rsid w:val="00966BD0"/>
    <w:rsid w:val="009A79DA"/>
    <w:rsid w:val="009E00A8"/>
    <w:rsid w:val="00A362F3"/>
    <w:rsid w:val="00A6617B"/>
    <w:rsid w:val="00AB0DC8"/>
    <w:rsid w:val="00AD56F6"/>
    <w:rsid w:val="00B44E24"/>
    <w:rsid w:val="00BB4DE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D0E25A7-D802-44F8-9B6B-42D23A9B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9A79DA"/>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ALTS FOOTNOTE,DNV,DNV-FT,Footnote Text Char Char1,Footnote Text Char Char1 Char1 Char Char,Footnote Text Char1 Char1 Char1 Char,Footnote Text Char1 Char1 Char1 Char Char Char1,Footnote Text Char4 Char Char,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D56F6"/>
    <w:rPr>
      <w:color w:val="0000FF"/>
      <w:u w:val="single"/>
    </w:rPr>
  </w:style>
  <w:style w:type="paragraph" w:customStyle="1" w:styleId="Normalaftertitle0">
    <w:name w:val="Normal after title"/>
    <w:basedOn w:val="Normal"/>
    <w:next w:val="Normal"/>
    <w:rsid w:val="00AD56F6"/>
    <w:pPr>
      <w:tabs>
        <w:tab w:val="clear" w:pos="794"/>
        <w:tab w:val="clear" w:pos="1191"/>
        <w:tab w:val="clear" w:pos="1588"/>
        <w:tab w:val="clear" w:pos="1985"/>
        <w:tab w:val="left" w:pos="1134"/>
        <w:tab w:val="left" w:pos="1871"/>
        <w:tab w:val="left" w:pos="2268"/>
      </w:tabs>
      <w:spacing w:before="280"/>
      <w:jc w:val="left"/>
    </w:pPr>
  </w:style>
  <w:style w:type="character" w:customStyle="1" w:styleId="enumlev1Char">
    <w:name w:val="enumlev1 Char"/>
    <w:basedOn w:val="DefaultParagraphFont"/>
    <w:link w:val="enumlev1"/>
    <w:rsid w:val="00AD56F6"/>
    <w:rPr>
      <w:sz w:val="24"/>
      <w:lang w:val="fr-FR" w:eastAsia="en-US"/>
    </w:rPr>
  </w:style>
  <w:style w:type="character" w:customStyle="1" w:styleId="FootnoteTextChar">
    <w:name w:val="Footnote Text Char"/>
    <w:aliases w:val="ALTS FOOTNOTE Char,DNV Char,DNV-FT Char,Footnote Text Char Char1 Char,Footnote Text Char Char1 Char1 Char Char Char,Footnote Text Char1 Char1 Char1 Char Char,Footnote Text Char1 Char1 Char1 Char Char Char1 Char,footnote text Char"/>
    <w:link w:val="FootnoteText"/>
    <w:locked/>
    <w:rsid w:val="00AD56F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www.itu.int/rec/R-REC-M.1457/en" TargetMode="External"/><Relationship Id="rId18" Type="http://schemas.openxmlformats.org/officeDocument/2006/relationships/hyperlink" Target="http://www.itu.int/rec/R-REC-M.1801/en" TargetMode="External"/><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hyperlink" Target="http://www.itu.int/rec/R-REC-M.1457/en" TargetMode="External"/><Relationship Id="rId7" Type="http://schemas.openxmlformats.org/officeDocument/2006/relationships/header" Target="header2.xml"/><Relationship Id="rId12" Type="http://schemas.openxmlformats.org/officeDocument/2006/relationships/hyperlink" Target="http://www.itu.int/rec/R-REC-M.1801/en" TargetMode="External"/><Relationship Id="rId17" Type="http://schemas.openxmlformats.org/officeDocument/2006/relationships/hyperlink" Target="http://www.itu.int/rec/R-REC-M.1457/en" TargetMode="External"/><Relationship Id="rId25" Type="http://schemas.openxmlformats.org/officeDocument/2006/relationships/hyperlink" Target="http://www.itu.int/publ/R-REP-M.2014/en" TargetMode="External"/><Relationship Id="rId2" Type="http://schemas.openxmlformats.org/officeDocument/2006/relationships/settings" Target="settings.xml"/><Relationship Id="rId16" Type="http://schemas.openxmlformats.org/officeDocument/2006/relationships/hyperlink" Target="http://www.itu.int/rec/R-REC-M.1801/en" TargetMode="External"/><Relationship Id="rId20" Type="http://schemas.openxmlformats.org/officeDocument/2006/relationships/hyperlink" Target="http://www.itu.int/rec/R-REC-M.1801/en"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www.ccsa.org.cn/english/show_article.php?categories_id=737fa209-91aa-9568-4f4a-46b7e24c3a99&amp;article_id=cyzx_f8ee005b-8736-e347-4737-5365989a05f6" TargetMode="External"/><Relationship Id="rId5" Type="http://schemas.openxmlformats.org/officeDocument/2006/relationships/endnotes" Target="endnotes.xml"/><Relationship Id="rId15" Type="http://schemas.openxmlformats.org/officeDocument/2006/relationships/hyperlink" Target="http://www.itu.int/rec/R-REC-M.1457/en" TargetMode="External"/><Relationship Id="rId23" Type="http://schemas.openxmlformats.org/officeDocument/2006/relationships/hyperlink" Target="http://www.itu.int/rec/R-REC-M.1801/en"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www.itu.int/rec/R-REC-M.1457/en" TargetMode="Externa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www.itu.int/rec/R-REC-M.1801/en" TargetMode="External"/><Relationship Id="rId22" Type="http://schemas.openxmlformats.org/officeDocument/2006/relationships/hyperlink" Target="http://www.itu.int/rec/R-REC-M.1801/en" TargetMode="External"/><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137</TotalTime>
  <Pages>9</Pages>
  <Words>2678</Words>
  <Characters>17015</Characters>
  <Application>Microsoft Office Word</Application>
  <DocSecurity>0</DocSecurity>
  <Lines>680</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7</cp:revision>
  <cp:lastPrinted>2016-05-09T14:12:00Z</cp:lastPrinted>
  <dcterms:created xsi:type="dcterms:W3CDTF">2016-05-09T11:56:00Z</dcterms:created>
  <dcterms:modified xsi:type="dcterms:W3CDTF">2016-05-09T14:16:00Z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