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F6D" w:rsidRDefault="00057F6D" w:rsidP="00057F6D"/>
    <w:p w:rsidR="00057F6D" w:rsidRDefault="00057F6D" w:rsidP="00057F6D"/>
    <w:p w:rsidR="00057F6D" w:rsidRDefault="00057F6D" w:rsidP="00057F6D"/>
    <w:p w:rsidR="00057F6D" w:rsidRDefault="00057F6D" w:rsidP="00057F6D"/>
    <w:p w:rsidR="00057F6D" w:rsidRDefault="00057F6D" w:rsidP="00057F6D"/>
    <w:p w:rsidR="00057F6D" w:rsidRDefault="00057F6D" w:rsidP="00057F6D"/>
    <w:p w:rsidR="00057F6D" w:rsidRDefault="00057F6D" w:rsidP="00057F6D"/>
    <w:p w:rsidR="00057F6D" w:rsidRDefault="00057F6D" w:rsidP="00057F6D"/>
    <w:p w:rsidR="00057F6D" w:rsidRDefault="00057F6D" w:rsidP="00057F6D"/>
    <w:p w:rsidR="00057F6D" w:rsidRDefault="00057F6D" w:rsidP="00057F6D"/>
    <w:p w:rsidR="00057F6D" w:rsidRDefault="00057F6D" w:rsidP="00057F6D"/>
    <w:p w:rsidR="00057F6D" w:rsidRDefault="00057F6D" w:rsidP="00057F6D"/>
    <w:tbl>
      <w:tblPr>
        <w:tblW w:w="10089" w:type="dxa"/>
        <w:tblLook w:val="01E0" w:firstRow="1" w:lastRow="1" w:firstColumn="1" w:lastColumn="1" w:noHBand="0" w:noVBand="0"/>
      </w:tblPr>
      <w:tblGrid>
        <w:gridCol w:w="10089"/>
      </w:tblGrid>
      <w:tr w:rsidR="00057F6D" w:rsidRPr="004F65E4" w:rsidTr="00CC1C5C">
        <w:tc>
          <w:tcPr>
            <w:tcW w:w="10089" w:type="dxa"/>
          </w:tcPr>
          <w:p w:rsidR="00057F6D" w:rsidRPr="001511A6" w:rsidRDefault="00057F6D" w:rsidP="00CC1C5C">
            <w:pPr>
              <w:spacing w:before="380" w:line="280" w:lineRule="exact"/>
              <w:jc w:val="right"/>
              <w:rPr>
                <w:rFonts w:ascii="Tahoma" w:hAnsi="Tahoma" w:cs="Tahoma"/>
                <w:b/>
                <w:bCs/>
                <w:iCs/>
                <w:color w:val="243285"/>
                <w:sz w:val="32"/>
                <w:szCs w:val="32"/>
                <w:lang w:val="en-US"/>
              </w:rPr>
            </w:pPr>
          </w:p>
          <w:p w:rsidR="00057F6D" w:rsidRPr="004F65E4" w:rsidRDefault="00057F6D" w:rsidP="00CC1C5C">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2009</w:t>
            </w:r>
          </w:p>
          <w:p w:rsidR="00057F6D" w:rsidRPr="004F65E4" w:rsidRDefault="00057F6D" w:rsidP="00CC1C5C">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03</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057F6D" w:rsidRPr="00BD0F19" w:rsidTr="00CC1C5C">
        <w:tc>
          <w:tcPr>
            <w:tcW w:w="10089" w:type="dxa"/>
          </w:tcPr>
          <w:p w:rsidR="00057F6D" w:rsidRPr="009D2C43" w:rsidRDefault="00057F6D" w:rsidP="00CC1C5C">
            <w:pPr>
              <w:spacing w:before="80" w:line="500" w:lineRule="exact"/>
              <w:jc w:val="right"/>
              <w:rPr>
                <w:rFonts w:ascii="Tahoma" w:hAnsi="Tahoma" w:cs="Tahoma"/>
                <w:b/>
                <w:bCs/>
                <w:iCs/>
                <w:color w:val="243285"/>
                <w:sz w:val="44"/>
                <w:szCs w:val="44"/>
                <w:lang w:val="en-US"/>
              </w:rPr>
            </w:pPr>
          </w:p>
          <w:p w:rsidR="00057F6D" w:rsidRPr="001511A6" w:rsidRDefault="00057F6D" w:rsidP="00CC1C5C">
            <w:pPr>
              <w:spacing w:before="80" w:line="500" w:lineRule="exact"/>
              <w:jc w:val="right"/>
              <w:rPr>
                <w:rFonts w:ascii="Tahoma" w:hAnsi="Tahoma" w:cs="Tahoma"/>
                <w:b/>
                <w:bCs/>
                <w:iCs/>
                <w:color w:val="243285"/>
                <w:sz w:val="44"/>
                <w:szCs w:val="44"/>
                <w:lang w:val="en-US"/>
              </w:rPr>
            </w:pPr>
            <w:r w:rsidRPr="009D2C43">
              <w:rPr>
                <w:rFonts w:ascii="Tahoma" w:hAnsi="Tahoma" w:cs="Tahoma"/>
                <w:b/>
                <w:bCs/>
                <w:iCs/>
                <w:color w:val="243285"/>
                <w:sz w:val="44"/>
                <w:szCs w:val="44"/>
                <w:lang w:val="en-GB"/>
              </w:rPr>
              <w:t>Radio interface standards for use by public protection and disaster relief operations in some parts of the UHF band in accordance</w:t>
            </w:r>
            <w:r w:rsidRPr="009D2C43">
              <w:rPr>
                <w:rFonts w:ascii="Tahoma" w:hAnsi="Tahoma" w:cs="Tahoma"/>
                <w:b/>
                <w:bCs/>
                <w:iCs/>
                <w:color w:val="243285"/>
                <w:sz w:val="44"/>
                <w:szCs w:val="44"/>
                <w:lang w:val="en-GB"/>
              </w:rPr>
              <w:br/>
              <w:t>with Resolution 646 (WRC-03)</w:t>
            </w:r>
          </w:p>
          <w:p w:rsidR="00057F6D" w:rsidRPr="001511A6" w:rsidRDefault="00057F6D" w:rsidP="00CC1C5C">
            <w:pPr>
              <w:spacing w:before="80" w:line="500" w:lineRule="exact"/>
              <w:jc w:val="right"/>
              <w:rPr>
                <w:rFonts w:ascii="Tahoma" w:hAnsi="Tahoma" w:cs="Tahoma"/>
                <w:b/>
                <w:bCs/>
                <w:iCs/>
                <w:color w:val="243285"/>
                <w:sz w:val="40"/>
                <w:szCs w:val="40"/>
                <w:lang w:val="en-US"/>
              </w:rPr>
            </w:pPr>
          </w:p>
        </w:tc>
      </w:tr>
      <w:tr w:rsidR="00057F6D" w:rsidTr="00CC1C5C">
        <w:tc>
          <w:tcPr>
            <w:tcW w:w="10089" w:type="dxa"/>
          </w:tcPr>
          <w:p w:rsidR="00057F6D" w:rsidRPr="009D2C43" w:rsidRDefault="00057F6D" w:rsidP="00CC1C5C">
            <w:pPr>
              <w:spacing w:before="80" w:line="280" w:lineRule="exact"/>
              <w:ind w:right="640"/>
              <w:rPr>
                <w:rFonts w:ascii="Tahoma" w:hAnsi="Tahoma" w:cs="Tahoma"/>
                <w:b/>
                <w:bCs/>
                <w:iCs/>
                <w:color w:val="243285"/>
                <w:sz w:val="32"/>
                <w:szCs w:val="32"/>
                <w:lang w:val="en-US"/>
              </w:rPr>
            </w:pPr>
          </w:p>
          <w:p w:rsidR="00057F6D" w:rsidRPr="009D2C43" w:rsidRDefault="00057F6D" w:rsidP="00CC1C5C">
            <w:pPr>
              <w:spacing w:before="80" w:after="180" w:line="360" w:lineRule="exact"/>
              <w:ind w:right="720"/>
              <w:rPr>
                <w:rFonts w:ascii="Tahoma" w:hAnsi="Tahoma" w:cs="Tahoma"/>
                <w:b/>
                <w:bCs/>
                <w:iCs/>
                <w:color w:val="243285"/>
                <w:sz w:val="36"/>
                <w:szCs w:val="36"/>
                <w:lang w:val="en-US"/>
              </w:rPr>
            </w:pPr>
          </w:p>
          <w:p w:rsidR="00057F6D" w:rsidRPr="001511A6" w:rsidRDefault="00057F6D" w:rsidP="00CC1C5C">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057F6D" w:rsidRDefault="00057F6D" w:rsidP="00CC1C5C">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057F6D" w:rsidRPr="0041667C" w:rsidRDefault="00057F6D" w:rsidP="00CC1C5C">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057F6D" w:rsidRDefault="00057F6D" w:rsidP="00057F6D">
      <w:pPr>
        <w:spacing w:before="80"/>
        <w:rPr>
          <w:i/>
          <w:sz w:val="22"/>
          <w:lang w:val="en-US"/>
        </w:rPr>
      </w:pPr>
    </w:p>
    <w:p w:rsidR="00057F6D" w:rsidRDefault="00057F6D" w:rsidP="00057F6D">
      <w:pPr>
        <w:spacing w:before="80"/>
        <w:rPr>
          <w:i/>
          <w:sz w:val="22"/>
          <w:lang w:val="en-US"/>
        </w:rPr>
      </w:pPr>
    </w:p>
    <w:p w:rsidR="00057F6D" w:rsidRDefault="00057F6D" w:rsidP="00057F6D">
      <w:pPr>
        <w:spacing w:before="80"/>
        <w:rPr>
          <w:i/>
          <w:sz w:val="22"/>
          <w:lang w:val="en-US"/>
        </w:rPr>
      </w:pPr>
    </w:p>
    <w:p w:rsidR="00057F6D" w:rsidRDefault="00057F6D" w:rsidP="00057F6D">
      <w:pPr>
        <w:spacing w:before="80"/>
        <w:rPr>
          <w:i/>
          <w:sz w:val="22"/>
          <w:lang w:val="en-US"/>
        </w:rPr>
      </w:pPr>
    </w:p>
    <w:p w:rsidR="00057F6D" w:rsidRDefault="00057F6D" w:rsidP="00057F6D">
      <w:pPr>
        <w:spacing w:before="80"/>
        <w:rPr>
          <w:i/>
          <w:sz w:val="22"/>
          <w:lang w:val="en-US"/>
        </w:rPr>
      </w:pPr>
    </w:p>
    <w:p w:rsidR="00057F6D" w:rsidRDefault="00057F6D" w:rsidP="00057F6D">
      <w:pPr>
        <w:spacing w:before="80"/>
        <w:rPr>
          <w:i/>
          <w:sz w:val="22"/>
          <w:lang w:val="en-US"/>
        </w:rPr>
      </w:pPr>
    </w:p>
    <w:p w:rsidR="00057F6D" w:rsidRDefault="00057F6D" w:rsidP="00057F6D">
      <w:pPr>
        <w:pStyle w:val="Equation"/>
        <w:tabs>
          <w:tab w:val="clear" w:pos="4820"/>
          <w:tab w:val="clear" w:pos="9639"/>
          <w:tab w:val="left" w:pos="1191"/>
          <w:tab w:val="left" w:pos="1588"/>
          <w:tab w:val="left" w:pos="1985"/>
        </w:tabs>
        <w:rPr>
          <w:rFonts w:ascii="Palatino Linotype" w:hAnsi="Palatino Linotype"/>
          <w:lang w:val="en-US"/>
        </w:rPr>
        <w:sectPr w:rsidR="00057F6D">
          <w:headerReference w:type="even" r:id="rId8"/>
          <w:headerReference w:type="default" r:id="rId9"/>
          <w:pgSz w:w="11907" w:h="16840" w:code="9"/>
          <w:pgMar w:top="1089" w:right="1089" w:bottom="284" w:left="1089" w:header="567" w:footer="284" w:gutter="0"/>
          <w:pgNumType w:start="1"/>
          <w:cols w:space="720"/>
        </w:sectPr>
      </w:pPr>
    </w:p>
    <w:p w:rsidR="00057F6D" w:rsidRPr="00586EF8" w:rsidRDefault="00057F6D" w:rsidP="00057F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057F6D" w:rsidRDefault="00057F6D" w:rsidP="00057F6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57F6D" w:rsidRDefault="00057F6D" w:rsidP="00057F6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57F6D" w:rsidRPr="00B714F3" w:rsidRDefault="00057F6D" w:rsidP="00057F6D">
      <w:pPr>
        <w:pStyle w:val="Heading1"/>
        <w:spacing w:before="680"/>
        <w:jc w:val="center"/>
        <w:rPr>
          <w:szCs w:val="24"/>
          <w:lang w:val="en-US"/>
        </w:rPr>
      </w:pPr>
      <w:r w:rsidRPr="00B714F3">
        <w:rPr>
          <w:szCs w:val="24"/>
          <w:lang w:val="en-US"/>
        </w:rPr>
        <w:t>Policy on Intellectual Property Right (IPR)</w:t>
      </w:r>
    </w:p>
    <w:p w:rsidR="00057F6D" w:rsidRPr="00B714F3" w:rsidRDefault="00057F6D" w:rsidP="00057F6D">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057F6D" w:rsidRDefault="00057F6D" w:rsidP="00057F6D">
      <w:pPr>
        <w:jc w:val="center"/>
        <w:rPr>
          <w:sz w:val="22"/>
          <w:lang w:val="en-US"/>
        </w:rPr>
      </w:pPr>
    </w:p>
    <w:p w:rsidR="00057F6D" w:rsidRDefault="00057F6D" w:rsidP="00057F6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57F6D" w:rsidRPr="00BD0F19" w:rsidTr="00CC1C5C">
        <w:tc>
          <w:tcPr>
            <w:tcW w:w="9360" w:type="dxa"/>
            <w:gridSpan w:val="2"/>
          </w:tcPr>
          <w:p w:rsidR="00057F6D" w:rsidRPr="00036EE3" w:rsidRDefault="00057F6D" w:rsidP="00CC1C5C">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57F6D" w:rsidRPr="00036EE3" w:rsidRDefault="00057F6D" w:rsidP="00CC1C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b w:val="0"/>
                  <w:sz w:val="18"/>
                  <w:szCs w:val="18"/>
                  <w:lang w:val="en-US"/>
                </w:rPr>
                <w:t>http://www.itu.int/publ/R-REC/en</w:t>
              </w:r>
            </w:hyperlink>
            <w:r w:rsidRPr="00CE0A43">
              <w:rPr>
                <w:b w:val="0"/>
                <w:sz w:val="18"/>
                <w:szCs w:val="18"/>
                <w:lang w:val="en-US"/>
              </w:rPr>
              <w:t>)</w:t>
            </w:r>
          </w:p>
        </w:tc>
      </w:tr>
      <w:tr w:rsidR="00057F6D" w:rsidRPr="00036EE3" w:rsidTr="00CC1C5C">
        <w:tc>
          <w:tcPr>
            <w:tcW w:w="1140" w:type="dxa"/>
          </w:tcPr>
          <w:p w:rsidR="00057F6D" w:rsidRPr="00036EE3" w:rsidRDefault="00057F6D" w:rsidP="00CC1C5C">
            <w:pPr>
              <w:spacing w:before="200" w:after="100"/>
              <w:ind w:left="57"/>
              <w:rPr>
                <w:b/>
                <w:bCs/>
                <w:sz w:val="20"/>
                <w:lang w:val="en-US"/>
              </w:rPr>
            </w:pPr>
            <w:r w:rsidRPr="00036EE3">
              <w:rPr>
                <w:b/>
                <w:bCs/>
                <w:sz w:val="20"/>
                <w:lang w:val="en-US"/>
              </w:rPr>
              <w:t>Series</w:t>
            </w:r>
          </w:p>
        </w:tc>
        <w:tc>
          <w:tcPr>
            <w:tcW w:w="8220" w:type="dxa"/>
          </w:tcPr>
          <w:p w:rsidR="00057F6D" w:rsidRPr="00036EE3" w:rsidRDefault="00057F6D" w:rsidP="00CC1C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057F6D" w:rsidRPr="00036EE3" w:rsidTr="00CC1C5C">
        <w:tc>
          <w:tcPr>
            <w:tcW w:w="1140" w:type="dxa"/>
          </w:tcPr>
          <w:p w:rsidR="00057F6D" w:rsidRPr="00036EE3" w:rsidRDefault="00057F6D" w:rsidP="00CC1C5C">
            <w:pPr>
              <w:spacing w:before="30" w:after="30"/>
              <w:ind w:left="57"/>
              <w:jc w:val="left"/>
              <w:rPr>
                <w:b/>
                <w:bCs/>
                <w:sz w:val="20"/>
                <w:lang w:val="en-US"/>
              </w:rPr>
            </w:pPr>
            <w:r w:rsidRPr="00036EE3">
              <w:rPr>
                <w:b/>
                <w:bCs/>
                <w:sz w:val="20"/>
                <w:lang w:val="en-US"/>
              </w:rPr>
              <w:t>BO</w:t>
            </w:r>
          </w:p>
        </w:tc>
        <w:tc>
          <w:tcPr>
            <w:tcW w:w="8220" w:type="dxa"/>
          </w:tcPr>
          <w:p w:rsidR="00057F6D" w:rsidRPr="00036EE3" w:rsidRDefault="00057F6D" w:rsidP="00CC1C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057F6D" w:rsidRPr="00BD0F19" w:rsidTr="00CC1C5C">
        <w:tc>
          <w:tcPr>
            <w:tcW w:w="1140" w:type="dxa"/>
            <w:tcBorders>
              <w:bottom w:val="nil"/>
            </w:tcBorders>
          </w:tcPr>
          <w:p w:rsidR="00057F6D" w:rsidRPr="00036EE3" w:rsidRDefault="00057F6D" w:rsidP="00CC1C5C">
            <w:pPr>
              <w:spacing w:before="30" w:after="30"/>
              <w:ind w:left="57"/>
              <w:jc w:val="left"/>
              <w:rPr>
                <w:b/>
                <w:bCs/>
                <w:sz w:val="20"/>
                <w:lang w:val="en-US"/>
              </w:rPr>
            </w:pPr>
            <w:r w:rsidRPr="00036EE3">
              <w:rPr>
                <w:b/>
                <w:bCs/>
                <w:sz w:val="20"/>
                <w:lang w:val="en-US"/>
              </w:rPr>
              <w:t>BR</w:t>
            </w:r>
          </w:p>
        </w:tc>
        <w:tc>
          <w:tcPr>
            <w:tcW w:w="8220" w:type="dxa"/>
            <w:tcBorders>
              <w:bottom w:val="nil"/>
            </w:tcBorders>
          </w:tcPr>
          <w:p w:rsidR="00057F6D" w:rsidRPr="00036EE3" w:rsidRDefault="00057F6D" w:rsidP="00CC1C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057F6D" w:rsidRPr="00036EE3" w:rsidTr="00CC1C5C">
        <w:tc>
          <w:tcPr>
            <w:tcW w:w="1140" w:type="dxa"/>
            <w:tcBorders>
              <w:top w:val="nil"/>
              <w:bottom w:val="nil"/>
            </w:tcBorders>
            <w:shd w:val="clear" w:color="auto" w:fill="auto"/>
          </w:tcPr>
          <w:p w:rsidR="00057F6D" w:rsidRPr="007D224F" w:rsidRDefault="00057F6D" w:rsidP="00CC1C5C">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057F6D" w:rsidRPr="007D224F" w:rsidRDefault="00057F6D" w:rsidP="00CC1C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057F6D" w:rsidRPr="00ED2695" w:rsidTr="00CC1C5C">
        <w:tc>
          <w:tcPr>
            <w:tcW w:w="1140" w:type="dxa"/>
            <w:tcBorders>
              <w:top w:val="nil"/>
              <w:bottom w:val="nil"/>
            </w:tcBorders>
            <w:shd w:val="clear" w:color="auto" w:fill="auto"/>
          </w:tcPr>
          <w:p w:rsidR="00057F6D" w:rsidRPr="00ED2695" w:rsidRDefault="00057F6D" w:rsidP="00CC1C5C">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057F6D" w:rsidRPr="00ED2695" w:rsidRDefault="00057F6D" w:rsidP="00CC1C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057F6D" w:rsidRPr="007D224F" w:rsidTr="00CC1C5C">
        <w:tc>
          <w:tcPr>
            <w:tcW w:w="1140" w:type="dxa"/>
            <w:tcBorders>
              <w:top w:val="nil"/>
              <w:bottom w:val="nil"/>
            </w:tcBorders>
            <w:shd w:val="clear" w:color="auto" w:fill="auto"/>
          </w:tcPr>
          <w:p w:rsidR="00057F6D" w:rsidRPr="0041667C" w:rsidRDefault="00057F6D" w:rsidP="00CC1C5C">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057F6D" w:rsidRPr="0041667C" w:rsidRDefault="00057F6D" w:rsidP="00CC1C5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057F6D" w:rsidRPr="0041667C" w:rsidTr="00CC1C5C">
        <w:tc>
          <w:tcPr>
            <w:tcW w:w="1140" w:type="dxa"/>
            <w:tcBorders>
              <w:top w:val="nil"/>
              <w:bottom w:val="nil"/>
            </w:tcBorders>
            <w:shd w:val="clear" w:color="auto" w:fill="F3F3F3"/>
          </w:tcPr>
          <w:p w:rsidR="00057F6D" w:rsidRPr="0041667C" w:rsidRDefault="00057F6D" w:rsidP="00CC1C5C">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057F6D" w:rsidRPr="0041667C" w:rsidRDefault="00057F6D" w:rsidP="00CC1C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057F6D" w:rsidRPr="00036EE3" w:rsidTr="00CC1C5C">
        <w:tc>
          <w:tcPr>
            <w:tcW w:w="1140" w:type="dxa"/>
            <w:tcBorders>
              <w:top w:val="nil"/>
            </w:tcBorders>
          </w:tcPr>
          <w:p w:rsidR="00057F6D" w:rsidRPr="00036EE3" w:rsidRDefault="00057F6D" w:rsidP="00CC1C5C">
            <w:pPr>
              <w:spacing w:before="30" w:after="30"/>
              <w:ind w:left="57"/>
              <w:jc w:val="left"/>
              <w:rPr>
                <w:b/>
                <w:bCs/>
                <w:sz w:val="20"/>
                <w:lang w:val="fr-CH"/>
              </w:rPr>
            </w:pPr>
            <w:r w:rsidRPr="00036EE3">
              <w:rPr>
                <w:b/>
                <w:bCs/>
                <w:sz w:val="20"/>
                <w:lang w:val="fr-CH"/>
              </w:rPr>
              <w:t>P</w:t>
            </w:r>
          </w:p>
        </w:tc>
        <w:tc>
          <w:tcPr>
            <w:tcW w:w="8220" w:type="dxa"/>
            <w:tcBorders>
              <w:top w:val="nil"/>
            </w:tcBorders>
          </w:tcPr>
          <w:p w:rsidR="00057F6D" w:rsidRPr="00036EE3" w:rsidRDefault="00057F6D" w:rsidP="00CC1C5C">
            <w:pPr>
              <w:spacing w:before="30" w:after="30"/>
              <w:jc w:val="left"/>
              <w:rPr>
                <w:sz w:val="20"/>
                <w:lang w:val="fr-CH"/>
              </w:rPr>
            </w:pPr>
            <w:r w:rsidRPr="00036EE3">
              <w:rPr>
                <w:sz w:val="20"/>
                <w:lang w:val="fr-CH"/>
              </w:rPr>
              <w:t>Radiowave propagation</w:t>
            </w:r>
          </w:p>
        </w:tc>
      </w:tr>
      <w:tr w:rsidR="00057F6D" w:rsidRPr="00036EE3" w:rsidTr="00CC1C5C">
        <w:tc>
          <w:tcPr>
            <w:tcW w:w="1140" w:type="dxa"/>
          </w:tcPr>
          <w:p w:rsidR="00057F6D" w:rsidRPr="00036EE3" w:rsidRDefault="00057F6D" w:rsidP="00CC1C5C">
            <w:pPr>
              <w:spacing w:before="30" w:after="30"/>
              <w:ind w:left="57"/>
              <w:jc w:val="left"/>
              <w:rPr>
                <w:b/>
                <w:bCs/>
                <w:sz w:val="20"/>
                <w:lang w:val="en-US"/>
              </w:rPr>
            </w:pPr>
            <w:r w:rsidRPr="00036EE3">
              <w:rPr>
                <w:b/>
                <w:bCs/>
                <w:sz w:val="20"/>
                <w:lang w:val="en-US"/>
              </w:rPr>
              <w:t>RA</w:t>
            </w:r>
          </w:p>
        </w:tc>
        <w:tc>
          <w:tcPr>
            <w:tcW w:w="8220" w:type="dxa"/>
          </w:tcPr>
          <w:p w:rsidR="00057F6D" w:rsidRPr="00036EE3" w:rsidRDefault="00057F6D" w:rsidP="00CC1C5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057F6D" w:rsidRPr="00036EE3" w:rsidTr="00CC1C5C">
        <w:tc>
          <w:tcPr>
            <w:tcW w:w="1140" w:type="dxa"/>
          </w:tcPr>
          <w:p w:rsidR="00057F6D" w:rsidRPr="00036EE3" w:rsidRDefault="00057F6D" w:rsidP="00CC1C5C">
            <w:pPr>
              <w:spacing w:before="30" w:after="30"/>
              <w:ind w:left="57"/>
              <w:jc w:val="left"/>
              <w:rPr>
                <w:b/>
                <w:bCs/>
                <w:sz w:val="20"/>
                <w:lang w:val="en-US"/>
              </w:rPr>
            </w:pPr>
            <w:r w:rsidRPr="00036EE3">
              <w:rPr>
                <w:b/>
                <w:bCs/>
                <w:sz w:val="20"/>
                <w:lang w:val="en-US"/>
              </w:rPr>
              <w:t>RS</w:t>
            </w:r>
          </w:p>
        </w:tc>
        <w:tc>
          <w:tcPr>
            <w:tcW w:w="8220" w:type="dxa"/>
          </w:tcPr>
          <w:p w:rsidR="00057F6D" w:rsidRPr="00036EE3" w:rsidRDefault="00057F6D" w:rsidP="00CC1C5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057F6D" w:rsidRPr="00036EE3" w:rsidTr="00CC1C5C">
        <w:tc>
          <w:tcPr>
            <w:tcW w:w="1140" w:type="dxa"/>
          </w:tcPr>
          <w:p w:rsidR="00057F6D" w:rsidRPr="00036EE3" w:rsidRDefault="00057F6D" w:rsidP="00CC1C5C">
            <w:pPr>
              <w:spacing w:before="30" w:after="30"/>
              <w:ind w:left="57"/>
              <w:jc w:val="left"/>
              <w:rPr>
                <w:b/>
                <w:bCs/>
                <w:sz w:val="20"/>
                <w:lang w:val="en-US"/>
              </w:rPr>
            </w:pPr>
            <w:r w:rsidRPr="00036EE3">
              <w:rPr>
                <w:b/>
                <w:bCs/>
                <w:sz w:val="20"/>
                <w:lang w:val="en-US"/>
              </w:rPr>
              <w:t>S</w:t>
            </w:r>
          </w:p>
        </w:tc>
        <w:tc>
          <w:tcPr>
            <w:tcW w:w="8220" w:type="dxa"/>
          </w:tcPr>
          <w:p w:rsidR="00057F6D" w:rsidRPr="00036EE3" w:rsidRDefault="00057F6D" w:rsidP="00CC1C5C">
            <w:pPr>
              <w:spacing w:before="30" w:after="30"/>
              <w:jc w:val="left"/>
              <w:rPr>
                <w:sz w:val="20"/>
                <w:lang w:val="en-US"/>
              </w:rPr>
            </w:pPr>
            <w:r w:rsidRPr="00036EE3">
              <w:rPr>
                <w:sz w:val="20"/>
                <w:lang w:val="en-US"/>
              </w:rPr>
              <w:t>Fixed-satellite service</w:t>
            </w:r>
          </w:p>
        </w:tc>
      </w:tr>
      <w:tr w:rsidR="00057F6D" w:rsidRPr="00036EE3" w:rsidTr="00CC1C5C">
        <w:tc>
          <w:tcPr>
            <w:tcW w:w="1140" w:type="dxa"/>
          </w:tcPr>
          <w:p w:rsidR="00057F6D" w:rsidRPr="00036EE3" w:rsidRDefault="00057F6D" w:rsidP="00CC1C5C">
            <w:pPr>
              <w:spacing w:before="30" w:after="30"/>
              <w:ind w:left="57"/>
              <w:jc w:val="left"/>
              <w:rPr>
                <w:b/>
                <w:bCs/>
                <w:sz w:val="20"/>
                <w:lang w:val="en-US"/>
              </w:rPr>
            </w:pPr>
            <w:r w:rsidRPr="00036EE3">
              <w:rPr>
                <w:b/>
                <w:bCs/>
                <w:sz w:val="20"/>
                <w:lang w:val="en-US"/>
              </w:rPr>
              <w:t>SA</w:t>
            </w:r>
          </w:p>
        </w:tc>
        <w:tc>
          <w:tcPr>
            <w:tcW w:w="8220" w:type="dxa"/>
          </w:tcPr>
          <w:p w:rsidR="00057F6D" w:rsidRPr="00036EE3" w:rsidRDefault="00057F6D" w:rsidP="00CC1C5C">
            <w:pPr>
              <w:spacing w:before="30" w:after="30"/>
              <w:jc w:val="left"/>
              <w:rPr>
                <w:sz w:val="20"/>
                <w:lang w:val="en-US"/>
              </w:rPr>
            </w:pPr>
            <w:r w:rsidRPr="00036EE3">
              <w:rPr>
                <w:sz w:val="20"/>
                <w:lang w:val="en-US"/>
              </w:rPr>
              <w:t>Space applications and meteorology</w:t>
            </w:r>
          </w:p>
        </w:tc>
      </w:tr>
      <w:tr w:rsidR="00057F6D" w:rsidRPr="00BD0F19" w:rsidTr="00CC1C5C">
        <w:tc>
          <w:tcPr>
            <w:tcW w:w="1140" w:type="dxa"/>
            <w:tcBorders>
              <w:bottom w:val="nil"/>
            </w:tcBorders>
          </w:tcPr>
          <w:p w:rsidR="00057F6D" w:rsidRPr="00036EE3" w:rsidRDefault="00057F6D" w:rsidP="00CC1C5C">
            <w:pPr>
              <w:spacing w:before="30" w:after="30"/>
              <w:ind w:left="57"/>
              <w:jc w:val="left"/>
              <w:rPr>
                <w:b/>
                <w:bCs/>
                <w:sz w:val="20"/>
                <w:lang w:val="en-US"/>
              </w:rPr>
            </w:pPr>
            <w:r w:rsidRPr="00036EE3">
              <w:rPr>
                <w:b/>
                <w:bCs/>
                <w:sz w:val="20"/>
                <w:lang w:val="en-US"/>
              </w:rPr>
              <w:t>SF</w:t>
            </w:r>
          </w:p>
        </w:tc>
        <w:tc>
          <w:tcPr>
            <w:tcW w:w="8220" w:type="dxa"/>
            <w:tcBorders>
              <w:bottom w:val="nil"/>
            </w:tcBorders>
          </w:tcPr>
          <w:p w:rsidR="00057F6D" w:rsidRPr="00036EE3" w:rsidRDefault="00057F6D" w:rsidP="00CC1C5C">
            <w:pPr>
              <w:spacing w:before="30" w:after="30"/>
              <w:jc w:val="left"/>
              <w:rPr>
                <w:sz w:val="20"/>
                <w:lang w:val="en-US"/>
              </w:rPr>
            </w:pPr>
            <w:r w:rsidRPr="00036EE3">
              <w:rPr>
                <w:sz w:val="20"/>
                <w:lang w:val="en-US"/>
              </w:rPr>
              <w:t>Frequency sharing and coordination between fixed-satellite and fixed service systems</w:t>
            </w:r>
          </w:p>
        </w:tc>
      </w:tr>
      <w:tr w:rsidR="00057F6D" w:rsidRPr="00036EE3" w:rsidTr="00CC1C5C">
        <w:tc>
          <w:tcPr>
            <w:tcW w:w="1140" w:type="dxa"/>
            <w:tcBorders>
              <w:top w:val="nil"/>
              <w:bottom w:val="nil"/>
            </w:tcBorders>
            <w:shd w:val="clear" w:color="auto" w:fill="auto"/>
          </w:tcPr>
          <w:p w:rsidR="00057F6D" w:rsidRPr="000A4386" w:rsidRDefault="00057F6D" w:rsidP="00CC1C5C">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057F6D" w:rsidRPr="000A4386" w:rsidRDefault="00057F6D" w:rsidP="00CC1C5C">
            <w:pPr>
              <w:spacing w:before="30" w:after="30"/>
              <w:jc w:val="left"/>
              <w:rPr>
                <w:sz w:val="20"/>
                <w:lang w:val="en-US"/>
              </w:rPr>
            </w:pPr>
            <w:r w:rsidRPr="000A4386">
              <w:rPr>
                <w:sz w:val="20"/>
                <w:lang w:val="en-US"/>
              </w:rPr>
              <w:t>Spectrum management</w:t>
            </w:r>
          </w:p>
        </w:tc>
      </w:tr>
      <w:tr w:rsidR="00057F6D" w:rsidRPr="00036EE3" w:rsidTr="00CC1C5C">
        <w:tc>
          <w:tcPr>
            <w:tcW w:w="1140" w:type="dxa"/>
            <w:tcBorders>
              <w:top w:val="nil"/>
            </w:tcBorders>
          </w:tcPr>
          <w:p w:rsidR="00057F6D" w:rsidRPr="00036EE3" w:rsidRDefault="00057F6D" w:rsidP="00CC1C5C">
            <w:pPr>
              <w:spacing w:before="30" w:after="30"/>
              <w:ind w:left="57"/>
              <w:jc w:val="left"/>
              <w:rPr>
                <w:b/>
                <w:bCs/>
                <w:sz w:val="20"/>
                <w:lang w:val="en-US"/>
              </w:rPr>
            </w:pPr>
            <w:r w:rsidRPr="00036EE3">
              <w:rPr>
                <w:b/>
                <w:bCs/>
                <w:sz w:val="20"/>
                <w:lang w:val="en-US"/>
              </w:rPr>
              <w:t>SNG</w:t>
            </w:r>
          </w:p>
        </w:tc>
        <w:tc>
          <w:tcPr>
            <w:tcW w:w="8220" w:type="dxa"/>
            <w:tcBorders>
              <w:top w:val="nil"/>
            </w:tcBorders>
          </w:tcPr>
          <w:p w:rsidR="00057F6D" w:rsidRPr="00036EE3" w:rsidRDefault="00057F6D" w:rsidP="00CC1C5C">
            <w:pPr>
              <w:spacing w:before="30" w:after="30"/>
              <w:jc w:val="left"/>
              <w:rPr>
                <w:sz w:val="20"/>
                <w:lang w:val="en-US"/>
              </w:rPr>
            </w:pPr>
            <w:r w:rsidRPr="00036EE3">
              <w:rPr>
                <w:sz w:val="20"/>
                <w:lang w:val="en-US"/>
              </w:rPr>
              <w:t>Satellite news gathering</w:t>
            </w:r>
          </w:p>
        </w:tc>
      </w:tr>
      <w:tr w:rsidR="00057F6D" w:rsidRPr="00BD0F19" w:rsidTr="00CC1C5C">
        <w:tc>
          <w:tcPr>
            <w:tcW w:w="1140" w:type="dxa"/>
          </w:tcPr>
          <w:p w:rsidR="00057F6D" w:rsidRPr="00036EE3" w:rsidRDefault="00057F6D" w:rsidP="00CC1C5C">
            <w:pPr>
              <w:spacing w:before="30" w:after="30"/>
              <w:ind w:left="57"/>
              <w:jc w:val="left"/>
              <w:rPr>
                <w:b/>
                <w:bCs/>
                <w:sz w:val="20"/>
                <w:lang w:val="en-US"/>
              </w:rPr>
            </w:pPr>
            <w:r w:rsidRPr="00036EE3">
              <w:rPr>
                <w:b/>
                <w:bCs/>
                <w:sz w:val="20"/>
                <w:lang w:val="en-US"/>
              </w:rPr>
              <w:t>TF</w:t>
            </w:r>
          </w:p>
        </w:tc>
        <w:tc>
          <w:tcPr>
            <w:tcW w:w="8220" w:type="dxa"/>
          </w:tcPr>
          <w:p w:rsidR="00057F6D" w:rsidRPr="00036EE3" w:rsidRDefault="00057F6D" w:rsidP="00CC1C5C">
            <w:pPr>
              <w:spacing w:before="30" w:after="30"/>
              <w:jc w:val="left"/>
              <w:rPr>
                <w:sz w:val="20"/>
                <w:lang w:val="en-US"/>
              </w:rPr>
            </w:pPr>
            <w:r w:rsidRPr="00036EE3">
              <w:rPr>
                <w:sz w:val="20"/>
                <w:lang w:val="en-US"/>
              </w:rPr>
              <w:t>Time signals and frequency standards emissions</w:t>
            </w:r>
          </w:p>
        </w:tc>
      </w:tr>
      <w:tr w:rsidR="00057F6D" w:rsidRPr="00036EE3" w:rsidTr="00CC1C5C">
        <w:tc>
          <w:tcPr>
            <w:tcW w:w="1140" w:type="dxa"/>
          </w:tcPr>
          <w:p w:rsidR="00057F6D" w:rsidRPr="00036EE3" w:rsidRDefault="00057F6D" w:rsidP="00CC1C5C">
            <w:pPr>
              <w:spacing w:before="30" w:after="30"/>
              <w:ind w:left="57"/>
              <w:jc w:val="left"/>
              <w:rPr>
                <w:b/>
                <w:bCs/>
                <w:sz w:val="20"/>
                <w:lang w:val="en-US"/>
              </w:rPr>
            </w:pPr>
            <w:r w:rsidRPr="00036EE3">
              <w:rPr>
                <w:b/>
                <w:bCs/>
                <w:sz w:val="20"/>
                <w:lang w:val="en-US"/>
              </w:rPr>
              <w:t>V</w:t>
            </w:r>
          </w:p>
        </w:tc>
        <w:tc>
          <w:tcPr>
            <w:tcW w:w="8220" w:type="dxa"/>
          </w:tcPr>
          <w:p w:rsidR="00057F6D" w:rsidRPr="00036EE3" w:rsidRDefault="00057F6D" w:rsidP="00CC1C5C">
            <w:pPr>
              <w:spacing w:before="30" w:after="180"/>
              <w:jc w:val="left"/>
              <w:rPr>
                <w:sz w:val="20"/>
                <w:lang w:val="en-US"/>
              </w:rPr>
            </w:pPr>
            <w:r w:rsidRPr="00036EE3">
              <w:rPr>
                <w:sz w:val="20"/>
                <w:lang w:val="en-US"/>
              </w:rPr>
              <w:t>Vocabulary and related subjects</w:t>
            </w:r>
          </w:p>
        </w:tc>
      </w:tr>
    </w:tbl>
    <w:p w:rsidR="00057F6D" w:rsidRPr="00036EE3" w:rsidRDefault="00057F6D" w:rsidP="00057F6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57F6D" w:rsidTr="00CC1C5C">
        <w:tc>
          <w:tcPr>
            <w:tcW w:w="720" w:type="dxa"/>
          </w:tcPr>
          <w:p w:rsidR="00057F6D" w:rsidRDefault="00057F6D" w:rsidP="00CC1C5C">
            <w:pPr>
              <w:jc w:val="center"/>
              <w:rPr>
                <w:sz w:val="22"/>
                <w:lang w:val="en-US"/>
              </w:rPr>
            </w:pPr>
          </w:p>
        </w:tc>
      </w:tr>
    </w:tbl>
    <w:p w:rsidR="00057F6D" w:rsidRPr="00036EE3" w:rsidRDefault="00057F6D" w:rsidP="00057F6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57F6D" w:rsidRPr="00BD0F19" w:rsidTr="00CC1C5C">
        <w:tc>
          <w:tcPr>
            <w:tcW w:w="9360" w:type="dxa"/>
          </w:tcPr>
          <w:p w:rsidR="00057F6D" w:rsidRPr="002F5199" w:rsidRDefault="00057F6D" w:rsidP="00CC1C5C">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057F6D" w:rsidRDefault="00057F6D" w:rsidP="00057F6D">
      <w:pPr>
        <w:spacing w:before="0"/>
        <w:jc w:val="center"/>
        <w:rPr>
          <w:sz w:val="22"/>
          <w:lang w:val="en-US"/>
        </w:rPr>
      </w:pPr>
    </w:p>
    <w:p w:rsidR="00057F6D" w:rsidRDefault="00057F6D" w:rsidP="00057F6D">
      <w:pPr>
        <w:spacing w:before="0"/>
        <w:jc w:val="center"/>
        <w:rPr>
          <w:sz w:val="22"/>
          <w:lang w:val="en-US"/>
        </w:rPr>
      </w:pPr>
    </w:p>
    <w:p w:rsidR="00057F6D" w:rsidRPr="002F5199" w:rsidRDefault="00057F6D" w:rsidP="00057F6D">
      <w:pPr>
        <w:spacing w:before="0"/>
        <w:jc w:val="right"/>
        <w:rPr>
          <w:i/>
          <w:iCs/>
          <w:sz w:val="20"/>
          <w:lang w:val="en-US"/>
        </w:rPr>
      </w:pPr>
      <w:r w:rsidRPr="002F5199">
        <w:rPr>
          <w:i/>
          <w:iCs/>
          <w:sz w:val="20"/>
          <w:lang w:val="en-US"/>
        </w:rPr>
        <w:t>Electronic Publication</w:t>
      </w:r>
    </w:p>
    <w:p w:rsidR="00057F6D" w:rsidRPr="002F5199" w:rsidRDefault="00057F6D" w:rsidP="00057F6D">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057F6D" w:rsidRDefault="00057F6D" w:rsidP="00057F6D">
      <w:pPr>
        <w:jc w:val="center"/>
        <w:rPr>
          <w:sz w:val="22"/>
          <w:lang w:val="en-US"/>
        </w:rPr>
      </w:pPr>
    </w:p>
    <w:p w:rsidR="00057F6D" w:rsidRPr="00470E28" w:rsidRDefault="00057F6D" w:rsidP="00057F6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12</w:t>
      </w:r>
    </w:p>
    <w:p w:rsidR="00057F6D" w:rsidRPr="00470E28" w:rsidRDefault="00057F6D" w:rsidP="00057F6D">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057F6D" w:rsidRDefault="00057F6D" w:rsidP="00057F6D">
      <w:pPr>
        <w:spacing w:before="160"/>
        <w:rPr>
          <w:i/>
          <w:sz w:val="20"/>
          <w:lang w:val="en-US"/>
        </w:rPr>
        <w:sectPr w:rsidR="00057F6D" w:rsidSect="00CC1C5C">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057F6D" w:rsidRDefault="00057F6D" w:rsidP="00057F6D">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2009</w:t>
      </w:r>
    </w:p>
    <w:p w:rsidR="00057F6D" w:rsidRDefault="00057F6D" w:rsidP="00057F6D">
      <w:pPr>
        <w:pStyle w:val="Rectitle"/>
        <w:rPr>
          <w:lang w:val="en-US" w:eastAsia="zh-CN"/>
        </w:rPr>
      </w:pPr>
      <w:r w:rsidRPr="009D2C43">
        <w:rPr>
          <w:lang w:val="en-US" w:eastAsia="zh-CN"/>
        </w:rPr>
        <w:t>Radio interface standards for use by public protection and disaster relief operations in some parts of the UHF band in accordance</w:t>
      </w:r>
      <w:r w:rsidRPr="009D2C43">
        <w:rPr>
          <w:lang w:val="en-US" w:eastAsia="zh-CN"/>
        </w:rPr>
        <w:br/>
        <w:t>with Resolution 646 (WRC-03)</w:t>
      </w:r>
    </w:p>
    <w:p w:rsidR="00057F6D" w:rsidRDefault="00057F6D" w:rsidP="001D6A96">
      <w:pPr>
        <w:pStyle w:val="Recdate"/>
        <w:rPr>
          <w:lang w:val="en-US" w:eastAsia="ja-JP"/>
        </w:rPr>
      </w:pPr>
      <w:r>
        <w:rPr>
          <w:lang w:val="en-US" w:eastAsia="ja-JP"/>
        </w:rPr>
        <w:t>(2012)</w:t>
      </w:r>
    </w:p>
    <w:p w:rsidR="00057F6D" w:rsidRPr="009D2C43" w:rsidRDefault="00057F6D" w:rsidP="001D6A96">
      <w:pPr>
        <w:pStyle w:val="Heading1"/>
        <w:rPr>
          <w:lang w:val="en-US"/>
        </w:rPr>
      </w:pPr>
      <w:r w:rsidRPr="009D2C43">
        <w:rPr>
          <w:lang w:val="en-US"/>
        </w:rPr>
        <w:t>1</w:t>
      </w:r>
      <w:r w:rsidRPr="009D2C43">
        <w:rPr>
          <w:lang w:val="en-US"/>
        </w:rPr>
        <w:tab/>
        <w:t>Scope</w:t>
      </w:r>
    </w:p>
    <w:p w:rsidR="00057F6D" w:rsidRPr="009D2C43" w:rsidRDefault="00057F6D" w:rsidP="001D6A96">
      <w:pPr>
        <w:rPr>
          <w:b/>
          <w:lang w:val="en-US"/>
        </w:rPr>
      </w:pPr>
      <w:r w:rsidRPr="009D2C43">
        <w:rPr>
          <w:lang w:val="en-US"/>
        </w:rPr>
        <w:t>This Recommendation identifies radio interface standards applicable for public protection and disaster relief (PPDR) operations in some parts of the UHF band. The broadband standards included in this Recommendation are capable of supporting users at broadband data rates, taking into account the ITU-R definitions of “wireless access” and “broadband wireless access” found in Recommendation ITU-R F.1399.</w:t>
      </w:r>
    </w:p>
    <w:p w:rsidR="00057F6D" w:rsidRPr="001D6A96" w:rsidRDefault="00057F6D" w:rsidP="001D6A96">
      <w:pPr>
        <w:rPr>
          <w:lang w:val="en-US"/>
        </w:rPr>
      </w:pPr>
      <w:r w:rsidRPr="009D2C43">
        <w:rPr>
          <w:lang w:val="en-US"/>
        </w:rPr>
        <w:t xml:space="preserve">This Recommendation addresses the standards themselves and does not deal with the frequency </w:t>
      </w:r>
      <w:r w:rsidRPr="001D6A96">
        <w:rPr>
          <w:lang w:val="en-US"/>
        </w:rPr>
        <w:t>arrangements for PPDR systems, for which a separate Recommendation exists: Recommendation ITU-R M.</w:t>
      </w:r>
      <w:r w:rsidR="001D6A96">
        <w:rPr>
          <w:lang w:val="en-US"/>
        </w:rPr>
        <w:t>2015</w:t>
      </w:r>
      <w:r w:rsidRPr="001D6A96">
        <w:rPr>
          <w:lang w:val="en-US"/>
        </w:rPr>
        <w:t>.</w:t>
      </w:r>
    </w:p>
    <w:p w:rsidR="00057F6D" w:rsidRPr="009D2C43" w:rsidRDefault="00057F6D" w:rsidP="001D6A96">
      <w:pPr>
        <w:pStyle w:val="Heading1"/>
        <w:rPr>
          <w:lang w:val="en-US"/>
        </w:rPr>
      </w:pPr>
      <w:r w:rsidRPr="009D2C43">
        <w:rPr>
          <w:lang w:val="en-US"/>
        </w:rPr>
        <w:t>2</w:t>
      </w:r>
      <w:r w:rsidRPr="009D2C43">
        <w:rPr>
          <w:lang w:val="en-US"/>
        </w:rPr>
        <w:tab/>
        <w:t>Introduction</w:t>
      </w:r>
    </w:p>
    <w:p w:rsidR="00057F6D" w:rsidRPr="009D2C43" w:rsidRDefault="00057F6D" w:rsidP="001D6A96">
      <w:pPr>
        <w:rPr>
          <w:lang w:val="en-US" w:eastAsia="ja-JP"/>
        </w:rPr>
      </w:pPr>
      <w:r w:rsidRPr="009D2C43">
        <w:rPr>
          <w:lang w:val="en-US"/>
        </w:rPr>
        <w:t xml:space="preserve">This Recommendation addresses </w:t>
      </w:r>
      <w:r w:rsidRPr="009D2C43">
        <w:rPr>
          <w:lang w:val="en-US" w:eastAsia="ja-JP"/>
        </w:rPr>
        <w:t xml:space="preserve">radio interface standards for use for public protection and disaster relief operations. </w:t>
      </w:r>
      <w:r w:rsidRPr="009D2C43">
        <w:rPr>
          <w:lang w:val="en-US"/>
        </w:rPr>
        <w:t xml:space="preserve">These standards are </w:t>
      </w:r>
      <w:r w:rsidRPr="009D2C43">
        <w:rPr>
          <w:lang w:val="en-US" w:eastAsia="ja-JP"/>
        </w:rPr>
        <w:t xml:space="preserve">based on common </w:t>
      </w:r>
      <w:r w:rsidRPr="009D2C43">
        <w:rPr>
          <w:lang w:val="en-US"/>
        </w:rPr>
        <w:t xml:space="preserve">specifications developed by standards development organizations (SDOs). </w:t>
      </w:r>
      <w:r w:rsidRPr="009D2C43">
        <w:rPr>
          <w:lang w:val="en-US" w:eastAsia="ja-JP"/>
        </w:rPr>
        <w:t>Using this Recommendation, regulators, manufacturers and PPDR operators should be able to determine the most suitable standards for their needs.</w:t>
      </w:r>
    </w:p>
    <w:p w:rsidR="00057F6D" w:rsidRPr="009D2C43" w:rsidRDefault="00057F6D" w:rsidP="001D6A96">
      <w:pPr>
        <w:pStyle w:val="Heading1"/>
        <w:rPr>
          <w:lang w:val="en-US"/>
        </w:rPr>
      </w:pPr>
      <w:r w:rsidRPr="009D2C43">
        <w:rPr>
          <w:lang w:val="en-US"/>
        </w:rPr>
        <w:t>3</w:t>
      </w:r>
      <w:r w:rsidRPr="009D2C43">
        <w:rPr>
          <w:lang w:val="en-US"/>
        </w:rPr>
        <w:tab/>
        <w:t>Relevant Recommendations and Reports</w:t>
      </w:r>
    </w:p>
    <w:p w:rsidR="00057F6D" w:rsidRPr="009D2C43" w:rsidRDefault="00057F6D" w:rsidP="001D6A96">
      <w:pPr>
        <w:rPr>
          <w:lang w:val="en-US"/>
        </w:rPr>
      </w:pPr>
      <w:r w:rsidRPr="009D2C43">
        <w:rPr>
          <w:lang w:val="en-US"/>
        </w:rPr>
        <w:t>The existing Recommendations and Reports that are considered to be of importance in the development of this particular Recommendation are as follows:</w:t>
      </w:r>
    </w:p>
    <w:p w:rsidR="00057F6D" w:rsidRPr="009D2C43" w:rsidRDefault="00057F6D" w:rsidP="001D6A96">
      <w:pPr>
        <w:pStyle w:val="enumlev1"/>
        <w:rPr>
          <w:shd w:val="pct15" w:color="auto" w:fill="FFFFFF"/>
          <w:lang w:val="en-US"/>
        </w:rPr>
      </w:pPr>
      <w:bookmarkStart w:id="3" w:name="OLE_LINK9"/>
      <w:bookmarkStart w:id="4" w:name="OLE_LINK10"/>
      <w:r w:rsidRPr="001D6A96">
        <w:rPr>
          <w:lang w:val="en-US"/>
        </w:rPr>
        <w:t>–</w:t>
      </w:r>
      <w:r w:rsidRPr="001D6A96">
        <w:rPr>
          <w:lang w:val="en-US"/>
        </w:rPr>
        <w:tab/>
        <w:t>Recommendation ITU-R M.</w:t>
      </w:r>
      <w:r w:rsidR="001D6A96">
        <w:rPr>
          <w:lang w:val="en-US"/>
        </w:rPr>
        <w:t>2015</w:t>
      </w:r>
      <w:r w:rsidRPr="001D6A96">
        <w:rPr>
          <w:lang w:val="en-US"/>
        </w:rPr>
        <w:t xml:space="preserve"> –</w:t>
      </w:r>
      <w:r w:rsidRPr="009D2C43">
        <w:rPr>
          <w:lang w:val="en-US"/>
        </w:rPr>
        <w:t xml:space="preserve"> Frequency arrangements for public protection and disaster relief radiocommunication systems in UHF bands in accordance with Resolution 646 (WRC-</w:t>
      </w:r>
      <w:r w:rsidR="001D6A96">
        <w:rPr>
          <w:lang w:val="en-US"/>
        </w:rPr>
        <w:t>03)</w:t>
      </w:r>
      <w:r w:rsidRPr="009D2C43">
        <w:rPr>
          <w:lang w:val="en-US"/>
        </w:rPr>
        <w:t>.</w:t>
      </w:r>
    </w:p>
    <w:bookmarkEnd w:id="3"/>
    <w:bookmarkEnd w:id="4"/>
    <w:p w:rsidR="00057F6D" w:rsidRPr="009D2C43" w:rsidRDefault="00057F6D" w:rsidP="001D6A96">
      <w:pPr>
        <w:pStyle w:val="enumlev1"/>
        <w:rPr>
          <w:lang w:val="en-US"/>
        </w:rPr>
      </w:pPr>
      <w:r w:rsidRPr="009D2C43">
        <w:rPr>
          <w:lang w:val="en-US"/>
        </w:rPr>
        <w:t>–</w:t>
      </w:r>
      <w:r w:rsidRPr="009D2C43">
        <w:rPr>
          <w:lang w:val="en-US"/>
        </w:rPr>
        <w:tab/>
        <w:t>Report ITU-R M.2033 – Radiocommunication objectives and requirements for public protection and disaster relief.</w:t>
      </w:r>
    </w:p>
    <w:p w:rsidR="00057F6D" w:rsidRPr="009D2C43" w:rsidRDefault="001D6A96" w:rsidP="001D6A96">
      <w:pPr>
        <w:pStyle w:val="enumlev1"/>
        <w:rPr>
          <w:lang w:val="en-US"/>
        </w:rPr>
      </w:pPr>
      <w:r>
        <w:rPr>
          <w:lang w:val="en-US"/>
        </w:rPr>
        <w:t>–</w:t>
      </w:r>
      <w:r>
        <w:rPr>
          <w:lang w:val="en-US"/>
        </w:rPr>
        <w:tab/>
        <w:t xml:space="preserve">Report ITU-R M.2014 – </w:t>
      </w:r>
      <w:r w:rsidR="00057F6D" w:rsidRPr="009D2C43">
        <w:rPr>
          <w:lang w:val="en-US"/>
        </w:rPr>
        <w:t>Digital land mobile systems for</w:t>
      </w:r>
      <w:r>
        <w:rPr>
          <w:lang w:val="en-US"/>
        </w:rPr>
        <w:t xml:space="preserve"> dispatch traffic</w:t>
      </w:r>
      <w:r w:rsidR="00057F6D" w:rsidRPr="009D2C43">
        <w:rPr>
          <w:lang w:val="en-US"/>
        </w:rPr>
        <w:t>.</w:t>
      </w:r>
    </w:p>
    <w:p w:rsidR="00057F6D" w:rsidRPr="009D2C43" w:rsidRDefault="00057F6D" w:rsidP="001D6A96">
      <w:pPr>
        <w:pStyle w:val="Heading1"/>
        <w:rPr>
          <w:lang w:val="en-US"/>
        </w:rPr>
      </w:pPr>
      <w:r w:rsidRPr="009D2C43">
        <w:rPr>
          <w:lang w:val="en-US"/>
        </w:rPr>
        <w:t>4</w:t>
      </w:r>
      <w:r w:rsidRPr="009D2C43">
        <w:rPr>
          <w:lang w:val="en-US"/>
        </w:rPr>
        <w:tab/>
        <w:t>Considering</w:t>
      </w:r>
    </w:p>
    <w:p w:rsidR="00057F6D" w:rsidRPr="009D2C43" w:rsidRDefault="00057F6D" w:rsidP="004B0933">
      <w:pPr>
        <w:rPr>
          <w:lang w:val="en-US"/>
        </w:rPr>
      </w:pPr>
      <w:r w:rsidRPr="009D2C43">
        <w:rPr>
          <w:lang w:val="en-US"/>
        </w:rPr>
        <w:t>a)</w:t>
      </w:r>
      <w:r w:rsidRPr="009D2C43">
        <w:rPr>
          <w:lang w:val="en-US"/>
        </w:rPr>
        <w:tab/>
        <w:t>that administrations can determine which technologies to deploy for PPDR operations;</w:t>
      </w:r>
    </w:p>
    <w:p w:rsidR="00057F6D" w:rsidRPr="009D2C43" w:rsidRDefault="00057F6D" w:rsidP="004B0933">
      <w:pPr>
        <w:rPr>
          <w:lang w:val="en-US"/>
        </w:rPr>
      </w:pPr>
      <w:r w:rsidRPr="009D2C43">
        <w:rPr>
          <w:lang w:val="en-US"/>
        </w:rPr>
        <w:t>b)</w:t>
      </w:r>
      <w:r w:rsidRPr="009D2C43">
        <w:rPr>
          <w:lang w:val="en-US"/>
        </w:rPr>
        <w:tab/>
        <w:t>that inclusion of standards in this Recommendation does not preclude the use of other standards for PPDR operations;</w:t>
      </w:r>
    </w:p>
    <w:p w:rsidR="00057F6D" w:rsidRPr="009D2C43" w:rsidRDefault="00057F6D" w:rsidP="004B0933">
      <w:pPr>
        <w:pStyle w:val="Heading1"/>
        <w:rPr>
          <w:lang w:val="en-US"/>
        </w:rPr>
      </w:pPr>
      <w:r w:rsidRPr="009D2C43">
        <w:rPr>
          <w:lang w:val="en-US"/>
        </w:rPr>
        <w:t>5</w:t>
      </w:r>
      <w:r w:rsidRPr="009D2C43">
        <w:rPr>
          <w:lang w:val="en-US"/>
        </w:rPr>
        <w:tab/>
        <w:t>Noting</w:t>
      </w:r>
    </w:p>
    <w:p w:rsidR="00057F6D" w:rsidRPr="009D2C43" w:rsidRDefault="00057F6D" w:rsidP="004B0933">
      <w:pPr>
        <w:rPr>
          <w:lang w:val="en-US"/>
        </w:rPr>
      </w:pPr>
      <w:r w:rsidRPr="009D2C43">
        <w:rPr>
          <w:lang w:val="en-US"/>
        </w:rPr>
        <w:t>The PPDR user requirements outlined in Annex 3;</w:t>
      </w:r>
    </w:p>
    <w:p w:rsidR="00057F6D" w:rsidRPr="009D2C43" w:rsidRDefault="00057F6D" w:rsidP="004B0933">
      <w:pPr>
        <w:pStyle w:val="Heading1"/>
        <w:rPr>
          <w:lang w:val="en-US"/>
        </w:rPr>
      </w:pPr>
      <w:r w:rsidRPr="009D2C43">
        <w:rPr>
          <w:lang w:val="en-US"/>
        </w:rPr>
        <w:lastRenderedPageBreak/>
        <w:t>6</w:t>
      </w:r>
      <w:r w:rsidRPr="009D2C43">
        <w:rPr>
          <w:lang w:val="en-US"/>
        </w:rPr>
        <w:tab/>
        <w:t>Recognizing</w:t>
      </w:r>
    </w:p>
    <w:p w:rsidR="00057F6D" w:rsidRPr="009D2C43" w:rsidRDefault="00057F6D" w:rsidP="00057F6D">
      <w:pPr>
        <w:rPr>
          <w:lang w:val="en-US"/>
        </w:rPr>
      </w:pPr>
      <w:r w:rsidRPr="009D2C43">
        <w:rPr>
          <w:lang w:val="en-US"/>
        </w:rPr>
        <w:t>a)</w:t>
      </w:r>
      <w:r w:rsidRPr="009D2C43">
        <w:rPr>
          <w:lang w:val="en-US"/>
        </w:rPr>
        <w:tab/>
      </w:r>
      <w:r w:rsidR="00AA5BBC">
        <w:rPr>
          <w:lang w:val="en-US"/>
        </w:rPr>
        <w:t xml:space="preserve">that </w:t>
      </w:r>
      <w:r w:rsidRPr="009D2C43">
        <w:rPr>
          <w:lang w:val="en-US"/>
        </w:rPr>
        <w:t>Resolution 646 (WRC-03) encourages administrations to consider the following identified frequency bands/ranges or parts thereof when undertaking their national planning for the purposes of achieving regionally harmonized frequency bands/ranges for advanced public protection and disaster relief solutions:</w:t>
      </w:r>
    </w:p>
    <w:p w:rsidR="00057F6D" w:rsidRPr="009D2C43" w:rsidRDefault="00057F6D" w:rsidP="00057F6D">
      <w:pPr>
        <w:pStyle w:val="enumlev1"/>
        <w:rPr>
          <w:lang w:val="en-US"/>
        </w:rPr>
      </w:pPr>
      <w:r w:rsidRPr="009D2C43">
        <w:rPr>
          <w:lang w:val="en-US"/>
        </w:rPr>
        <w:t>–</w:t>
      </w:r>
      <w:r w:rsidRPr="009D2C43">
        <w:rPr>
          <w:lang w:val="en-US"/>
        </w:rPr>
        <w:tab/>
        <w:t>in Region 1: 380-470 MHz as the frequency range within which the band 380</w:t>
      </w:r>
      <w:r w:rsidRPr="009D2C43">
        <w:rPr>
          <w:lang w:val="en-US"/>
        </w:rPr>
        <w:noBreakHyphen/>
        <w:t>385/390</w:t>
      </w:r>
      <w:r w:rsidRPr="009D2C43">
        <w:rPr>
          <w:lang w:val="en-US"/>
        </w:rPr>
        <w:noBreakHyphen/>
        <w:t>395 MHz is a preferred core harmonized band for permanent public protection activities within certain countries of Region 1 which have given their agreement;</w:t>
      </w:r>
    </w:p>
    <w:p w:rsidR="00057F6D" w:rsidRPr="009D2C43" w:rsidRDefault="00057F6D" w:rsidP="00CC1C5C">
      <w:pPr>
        <w:pStyle w:val="enumlev1"/>
        <w:rPr>
          <w:lang w:val="en-US"/>
        </w:rPr>
      </w:pPr>
      <w:r w:rsidRPr="009D2C43">
        <w:rPr>
          <w:lang w:val="en-US"/>
        </w:rPr>
        <w:t>–</w:t>
      </w:r>
      <w:r w:rsidRPr="009D2C43">
        <w:rPr>
          <w:lang w:val="en-US"/>
        </w:rPr>
        <w:tab/>
        <w:t>in Region 2</w:t>
      </w:r>
      <w:r w:rsidR="00CC1C5C">
        <w:rPr>
          <w:rStyle w:val="FootnoteReference"/>
          <w:lang w:val="en-US"/>
        </w:rPr>
        <w:footnoteReference w:id="1"/>
      </w:r>
      <w:r w:rsidRPr="009D2C43">
        <w:rPr>
          <w:lang w:val="en-US"/>
        </w:rPr>
        <w:t>: 746-806 MHz, 806-869 MHz, 4 940-4 990 MHz;</w:t>
      </w:r>
    </w:p>
    <w:p w:rsidR="00057F6D" w:rsidRPr="009D2C43" w:rsidRDefault="00057F6D" w:rsidP="00CC1C5C">
      <w:pPr>
        <w:pStyle w:val="enumlev1"/>
        <w:ind w:right="-142"/>
        <w:rPr>
          <w:lang w:val="en-US"/>
        </w:rPr>
      </w:pPr>
      <w:r w:rsidRPr="009D2C43">
        <w:rPr>
          <w:lang w:val="en-US"/>
        </w:rPr>
        <w:t>–</w:t>
      </w:r>
      <w:r w:rsidRPr="009D2C43">
        <w:rPr>
          <w:lang w:val="en-US"/>
        </w:rPr>
        <w:tab/>
        <w:t>in Region 3</w:t>
      </w:r>
      <w:r w:rsidR="00CC1C5C">
        <w:rPr>
          <w:rStyle w:val="FootnoteReference"/>
          <w:lang w:val="en-US"/>
        </w:rPr>
        <w:footnoteReference w:id="2"/>
      </w:r>
      <w:r w:rsidRPr="009D2C43">
        <w:rPr>
          <w:lang w:val="en-US"/>
        </w:rPr>
        <w:t>: 406.1-430 MHz, 440-470 MHz, 806-824/851-869 MHz, 4 940-4 990 MHz and 5 850-5 925 MHz;</w:t>
      </w:r>
    </w:p>
    <w:p w:rsidR="00057F6D" w:rsidRPr="009D2C43" w:rsidRDefault="00057F6D" w:rsidP="00AA5BBC">
      <w:pPr>
        <w:rPr>
          <w:lang w:val="en-US"/>
        </w:rPr>
      </w:pPr>
      <w:r w:rsidRPr="00AA5BBC">
        <w:rPr>
          <w:lang w:val="en-US"/>
        </w:rPr>
        <w:t>b)</w:t>
      </w:r>
      <w:r w:rsidRPr="00AA5BBC">
        <w:rPr>
          <w:lang w:val="en-US"/>
        </w:rPr>
        <w:tab/>
        <w:t>that Recommendation ITU-R M.</w:t>
      </w:r>
      <w:r w:rsidR="00AA5BBC">
        <w:rPr>
          <w:lang w:val="en-US"/>
        </w:rPr>
        <w:t>2015</w:t>
      </w:r>
      <w:r w:rsidRPr="00AA5BBC">
        <w:rPr>
          <w:lang w:val="en-US"/>
        </w:rPr>
        <w:t xml:space="preserve"> </w:t>
      </w:r>
      <w:r w:rsidR="00AA5BBC">
        <w:rPr>
          <w:lang w:val="en-US"/>
        </w:rPr>
        <w:t xml:space="preserve">– </w:t>
      </w:r>
      <w:r w:rsidRPr="00AA5BBC">
        <w:rPr>
          <w:lang w:val="en-US"/>
        </w:rPr>
        <w:t>Frequency arrangements for public protection and disaster relief radiocommunication systems in UHF bands in accordance with Resolution 646 (WRC-03) provides</w:t>
      </w:r>
      <w:r w:rsidRPr="00AA5BBC">
        <w:rPr>
          <w:sz w:val="22"/>
          <w:szCs w:val="22"/>
          <w:lang w:val="en-US"/>
        </w:rPr>
        <w:t xml:space="preserve"> </w:t>
      </w:r>
      <w:r w:rsidRPr="00AA5BBC">
        <w:rPr>
          <w:lang w:val="en-US"/>
        </w:rPr>
        <w:t>guidance on frequency arrangements for public protection and disaster relief radiocommunications in certain regions in</w:t>
      </w:r>
      <w:r w:rsidRPr="009D2C43">
        <w:rPr>
          <w:lang w:val="en-US"/>
        </w:rPr>
        <w:t xml:space="preserve"> some of the bands below 1 GHz identified in Resolution</w:t>
      </w:r>
      <w:r w:rsidR="00AA5BBC">
        <w:rPr>
          <w:lang w:val="en-US"/>
        </w:rPr>
        <w:t> </w:t>
      </w:r>
      <w:r w:rsidRPr="009D2C43">
        <w:rPr>
          <w:lang w:val="en-US"/>
        </w:rPr>
        <w:t>646.</w:t>
      </w:r>
    </w:p>
    <w:p w:rsidR="00057F6D" w:rsidRPr="009D2C43" w:rsidRDefault="00057F6D" w:rsidP="00AA5BBC">
      <w:pPr>
        <w:pStyle w:val="Heading1"/>
        <w:rPr>
          <w:lang w:val="en-US"/>
        </w:rPr>
      </w:pPr>
      <w:r w:rsidRPr="009D2C43">
        <w:rPr>
          <w:rFonts w:eastAsia="SimSun"/>
          <w:lang w:val="en-US"/>
        </w:rPr>
        <w:t>7</w:t>
      </w:r>
      <w:r w:rsidRPr="009D2C43">
        <w:rPr>
          <w:rFonts w:eastAsia="SimSun"/>
          <w:lang w:val="en-US"/>
        </w:rPr>
        <w:tab/>
        <w:t>Recommendation</w:t>
      </w:r>
    </w:p>
    <w:p w:rsidR="00057F6D" w:rsidRPr="009D2C43" w:rsidRDefault="00057F6D" w:rsidP="00AA5BBC">
      <w:pPr>
        <w:rPr>
          <w:lang w:val="en-US"/>
        </w:rPr>
      </w:pPr>
      <w:r w:rsidRPr="009D2C43">
        <w:rPr>
          <w:lang w:val="en-US"/>
        </w:rPr>
        <w:t>The ITU Radiocommunication Assembly,</w:t>
      </w:r>
    </w:p>
    <w:p w:rsidR="00057F6D" w:rsidRPr="009D2C43" w:rsidRDefault="00057F6D" w:rsidP="00AA5BBC">
      <w:pPr>
        <w:pStyle w:val="Call"/>
        <w:rPr>
          <w:lang w:val="en-US"/>
        </w:rPr>
      </w:pPr>
      <w:r w:rsidRPr="009D2C43">
        <w:rPr>
          <w:lang w:val="en-US"/>
        </w:rPr>
        <w:t>recommends</w:t>
      </w:r>
    </w:p>
    <w:p w:rsidR="00057F6D" w:rsidRPr="009D2C43" w:rsidRDefault="00057F6D" w:rsidP="00AA5BBC">
      <w:pPr>
        <w:rPr>
          <w:rFonts w:eastAsia="SimSun"/>
          <w:lang w:val="en-US"/>
        </w:rPr>
      </w:pPr>
      <w:r w:rsidRPr="009D2C43">
        <w:rPr>
          <w:rFonts w:eastAsia="SimSun"/>
          <w:lang w:val="en-US"/>
        </w:rPr>
        <w:t>that for PPDR operations the radio interface standards as contained in Annexes 1 and 2 should be used.</w:t>
      </w:r>
    </w:p>
    <w:p w:rsidR="00057F6D" w:rsidRPr="009D2C43" w:rsidRDefault="00057F6D" w:rsidP="00133A09">
      <w:pPr>
        <w:rPr>
          <w:rFonts w:eastAsia="SimSun"/>
          <w:lang w:val="en-US"/>
        </w:rPr>
      </w:pPr>
    </w:p>
    <w:p w:rsidR="00057F6D" w:rsidRPr="009D2C43" w:rsidRDefault="00057F6D" w:rsidP="00133A09">
      <w:pPr>
        <w:rPr>
          <w:rFonts w:eastAsia="SimSun"/>
          <w:lang w:val="en-US"/>
        </w:rPr>
      </w:pPr>
    </w:p>
    <w:p w:rsidR="00057F6D" w:rsidRPr="009D2C43" w:rsidRDefault="00057F6D" w:rsidP="00133A09">
      <w:pPr>
        <w:pStyle w:val="AnnexNoTitle"/>
        <w:rPr>
          <w:rFonts w:ascii="Times New Roman Bold" w:hAnsi="Times New Roman Bold"/>
          <w:lang w:val="en-US"/>
        </w:rPr>
      </w:pPr>
      <w:r w:rsidRPr="009D2C43">
        <w:rPr>
          <w:lang w:val="en-US"/>
        </w:rPr>
        <w:t>Annex 1</w:t>
      </w:r>
      <w:r w:rsidR="00133A09">
        <w:rPr>
          <w:lang w:val="en-US"/>
        </w:rPr>
        <w:br/>
      </w:r>
      <w:r w:rsidR="00133A09">
        <w:rPr>
          <w:lang w:val="en-US"/>
        </w:rPr>
        <w:br/>
      </w:r>
      <w:r w:rsidRPr="009D2C43">
        <w:rPr>
          <w:rFonts w:ascii="Times New Roman Bold" w:hAnsi="Times New Roman Bold"/>
          <w:lang w:val="en-US"/>
        </w:rPr>
        <w:t>Broadband radio interface standards for use by PPDR operations</w:t>
      </w:r>
      <w:r w:rsidRPr="009D2C43">
        <w:rPr>
          <w:rFonts w:ascii="Times New Roman Bold" w:hAnsi="Times New Roman Bold"/>
          <w:lang w:val="en-US"/>
        </w:rPr>
        <w:br/>
        <w:t>in accordan</w:t>
      </w:r>
      <w:r w:rsidR="00BD0F19">
        <w:rPr>
          <w:rFonts w:ascii="Times New Roman Bold" w:hAnsi="Times New Roman Bold"/>
          <w:lang w:val="en-US"/>
        </w:rPr>
        <w:t>ce with Resolution 646 (WRC-03)</w:t>
      </w:r>
    </w:p>
    <w:p w:rsidR="00057F6D" w:rsidRPr="00277BA8" w:rsidRDefault="00057F6D" w:rsidP="00057F6D">
      <w:pPr>
        <w:pStyle w:val="Normalaftertitle0"/>
      </w:pPr>
      <w:r w:rsidRPr="00277BA8">
        <w:t>This Annex provides information on broadband standards for use by PPDR operations. References are provided to ITU texts which contain more detailed descriptions of these standards and their capabilities. It is recognized that these standards may not fulfil all the user requirements described in Annex 3, and that each administration and its PPDR organizations will have to analyse the information and determine which standard is most appropriate for their purposes.</w:t>
      </w:r>
    </w:p>
    <w:p w:rsidR="00057F6D" w:rsidRPr="009D2C43" w:rsidRDefault="00057F6D" w:rsidP="003C5E15">
      <w:pPr>
        <w:pStyle w:val="Heading1"/>
        <w:rPr>
          <w:lang w:val="en-US"/>
        </w:rPr>
      </w:pPr>
      <w:r w:rsidRPr="009D2C43">
        <w:rPr>
          <w:lang w:val="en-US"/>
        </w:rPr>
        <w:lastRenderedPageBreak/>
        <w:t>1</w:t>
      </w:r>
      <w:r w:rsidRPr="009D2C43">
        <w:rPr>
          <w:lang w:val="en-US"/>
        </w:rPr>
        <w:tab/>
        <w:t>Technology “A”</w:t>
      </w:r>
    </w:p>
    <w:p w:rsidR="00057F6D" w:rsidRPr="009D2C43" w:rsidRDefault="00057F6D" w:rsidP="00BD0F19">
      <w:pPr>
        <w:keepNext/>
        <w:keepLines/>
        <w:rPr>
          <w:lang w:val="en-US"/>
        </w:rPr>
      </w:pPr>
      <w:r w:rsidRPr="009D2C43">
        <w:rPr>
          <w:lang w:val="en-US"/>
        </w:rPr>
        <w:t>Technology “A” corresponding to the IMT-2000 CDMA-MC technology is developed within 3GPP2 (3</w:t>
      </w:r>
      <w:r w:rsidRPr="009D2C43">
        <w:rPr>
          <w:vertAlign w:val="superscript"/>
          <w:lang w:val="en-US"/>
        </w:rPr>
        <w:t xml:space="preserve">rd </w:t>
      </w:r>
      <w:r w:rsidRPr="009D2C43">
        <w:rPr>
          <w:lang w:val="en-US"/>
        </w:rPr>
        <w:t xml:space="preserve">Generation Partnership Project 2). A full description is available in Annex 2 of </w:t>
      </w:r>
      <w:hyperlink r:id="rId14" w:history="1">
        <w:r w:rsidRPr="003C5E15">
          <w:rPr>
            <w:color w:val="0000FF"/>
            <w:lang w:val="en-US"/>
          </w:rPr>
          <w:t>Recommendation ITU-R M.1801</w:t>
        </w:r>
      </w:hyperlink>
      <w:r w:rsidRPr="009D2C43">
        <w:rPr>
          <w:lang w:val="en-US"/>
        </w:rPr>
        <w:t xml:space="preserve">. For additional information, see </w:t>
      </w:r>
      <w:r w:rsidR="00BD0F19" w:rsidRPr="009D2C43">
        <w:rPr>
          <w:lang w:val="en-US"/>
        </w:rPr>
        <w:t xml:space="preserve">also </w:t>
      </w:r>
      <w:r w:rsidRPr="009D2C43">
        <w:rPr>
          <w:lang w:val="en-US"/>
        </w:rPr>
        <w:t xml:space="preserve">§ 5.2 of </w:t>
      </w:r>
      <w:hyperlink r:id="rId15" w:history="1">
        <w:r w:rsidRPr="003C5E15">
          <w:rPr>
            <w:color w:val="0000FF"/>
            <w:lang w:val="en-US"/>
          </w:rPr>
          <w:t>Recommendation ITU R M.1457</w:t>
        </w:r>
      </w:hyperlink>
      <w:r w:rsidRPr="009D2C43">
        <w:rPr>
          <w:lang w:val="en-US"/>
        </w:rPr>
        <w:t>.</w:t>
      </w:r>
    </w:p>
    <w:p w:rsidR="00057F6D" w:rsidRPr="009D2C43" w:rsidRDefault="00057F6D" w:rsidP="003C5E15">
      <w:pPr>
        <w:pStyle w:val="Heading1"/>
        <w:rPr>
          <w:lang w:val="en-US"/>
        </w:rPr>
      </w:pPr>
      <w:r w:rsidRPr="009D2C43">
        <w:rPr>
          <w:lang w:val="en-US"/>
        </w:rPr>
        <w:t>2</w:t>
      </w:r>
      <w:r w:rsidRPr="009D2C43">
        <w:rPr>
          <w:lang w:val="en-US"/>
        </w:rPr>
        <w:tab/>
        <w:t>Technology “B”</w:t>
      </w:r>
    </w:p>
    <w:p w:rsidR="00057F6D" w:rsidRPr="009D2C43" w:rsidRDefault="00057F6D" w:rsidP="00BD0F19">
      <w:pPr>
        <w:rPr>
          <w:lang w:val="en-US"/>
        </w:rPr>
      </w:pPr>
      <w:r w:rsidRPr="009D2C43">
        <w:rPr>
          <w:lang w:val="en-US"/>
        </w:rPr>
        <w:t>Technology “B” corresponding to IMT-2000 CDMA-DS</w:t>
      </w:r>
      <w:r w:rsidRPr="005852A7">
        <w:rPr>
          <w:lang w:val="en-US"/>
        </w:rPr>
        <w:t>, specifically UTRA FDD,</w:t>
      </w:r>
      <w:r w:rsidRPr="009D2C43">
        <w:rPr>
          <w:lang w:val="en-US"/>
        </w:rPr>
        <w:t xml:space="preserve"> is developed within 3GPP (3</w:t>
      </w:r>
      <w:r w:rsidRPr="009D2C43">
        <w:rPr>
          <w:vertAlign w:val="superscript"/>
          <w:lang w:val="en-US"/>
        </w:rPr>
        <w:t>rd</w:t>
      </w:r>
      <w:r w:rsidRPr="009D2C43">
        <w:rPr>
          <w:lang w:val="en-US"/>
        </w:rPr>
        <w:t xml:space="preserve"> Generation Partnership Project). A full description is available in Annex 2 of </w:t>
      </w:r>
      <w:hyperlink r:id="rId16" w:history="1">
        <w:r w:rsidRPr="003C5E15">
          <w:rPr>
            <w:color w:val="0000FF"/>
            <w:lang w:val="en-US"/>
          </w:rPr>
          <w:t>Recommendation ITU-R M.1801</w:t>
        </w:r>
      </w:hyperlink>
      <w:r w:rsidRPr="009D2C43">
        <w:rPr>
          <w:lang w:val="en-US"/>
        </w:rPr>
        <w:t xml:space="preserve">. For additional information, see </w:t>
      </w:r>
      <w:r w:rsidR="00BD0F19" w:rsidRPr="009D2C43">
        <w:rPr>
          <w:lang w:val="en-US"/>
        </w:rPr>
        <w:t xml:space="preserve">also </w:t>
      </w:r>
      <w:r w:rsidRPr="009D2C43">
        <w:rPr>
          <w:lang w:val="en-US"/>
        </w:rPr>
        <w:t xml:space="preserve">§ 5.1 of </w:t>
      </w:r>
      <w:hyperlink r:id="rId17" w:history="1">
        <w:r w:rsidRPr="003C5E15">
          <w:rPr>
            <w:color w:val="0000FF"/>
            <w:lang w:val="en-US"/>
          </w:rPr>
          <w:t>Recommendation ITU R M.1457</w:t>
        </w:r>
      </w:hyperlink>
      <w:r w:rsidRPr="009D2C43">
        <w:rPr>
          <w:lang w:val="en-US"/>
        </w:rPr>
        <w:t xml:space="preserve">. </w:t>
      </w:r>
    </w:p>
    <w:p w:rsidR="00057F6D" w:rsidRPr="009D2C43" w:rsidRDefault="00057F6D" w:rsidP="008345C6">
      <w:pPr>
        <w:pStyle w:val="Heading1"/>
        <w:rPr>
          <w:lang w:val="en-US"/>
        </w:rPr>
      </w:pPr>
      <w:r w:rsidRPr="009D2C43">
        <w:rPr>
          <w:lang w:val="en-US"/>
        </w:rPr>
        <w:t>3</w:t>
      </w:r>
      <w:r w:rsidRPr="009D2C43">
        <w:rPr>
          <w:lang w:val="en-US"/>
        </w:rPr>
        <w:tab/>
        <w:t>Technology “C”</w:t>
      </w:r>
    </w:p>
    <w:p w:rsidR="00057F6D" w:rsidRPr="008345C6" w:rsidRDefault="00057F6D" w:rsidP="00BD0F19">
      <w:pPr>
        <w:rPr>
          <w:rFonts w:eastAsia="SimSun"/>
          <w:lang w:val="en-US" w:eastAsia="zh-CN"/>
        </w:rPr>
      </w:pPr>
      <w:r w:rsidRPr="009D2C43">
        <w:rPr>
          <w:lang w:val="en-US"/>
        </w:rPr>
        <w:t xml:space="preserve">Technology “C” corresponding to </w:t>
      </w:r>
      <w:bookmarkStart w:id="5" w:name="OLE_LINK19"/>
      <w:bookmarkStart w:id="6" w:name="OLE_LINK20"/>
      <w:r w:rsidRPr="009D2C43">
        <w:rPr>
          <w:lang w:val="en-US"/>
        </w:rPr>
        <w:t>OFDMA TDD WMAN</w:t>
      </w:r>
      <w:bookmarkEnd w:id="5"/>
      <w:bookmarkEnd w:id="6"/>
      <w:r w:rsidRPr="009D2C43">
        <w:rPr>
          <w:lang w:val="en-US"/>
        </w:rPr>
        <w:t xml:space="preserve"> is developed within the IEEE. A full description is available in Annex 2 of </w:t>
      </w:r>
      <w:hyperlink r:id="rId18" w:history="1">
        <w:r w:rsidRPr="008345C6">
          <w:rPr>
            <w:color w:val="0000FF"/>
            <w:lang w:val="en-US"/>
          </w:rPr>
          <w:t>Recommendation ITU-R M.1801</w:t>
        </w:r>
      </w:hyperlink>
      <w:r w:rsidRPr="008345C6">
        <w:rPr>
          <w:lang w:val="en-US"/>
        </w:rPr>
        <w:t xml:space="preserve">. For additional information, see </w:t>
      </w:r>
      <w:r w:rsidR="00BD0F19" w:rsidRPr="008345C6">
        <w:rPr>
          <w:lang w:val="en-US"/>
        </w:rPr>
        <w:t xml:space="preserve">also </w:t>
      </w:r>
      <w:r w:rsidRPr="008345C6">
        <w:rPr>
          <w:lang w:val="en-US"/>
        </w:rPr>
        <w:t xml:space="preserve">§ 5.6 of </w:t>
      </w:r>
      <w:hyperlink r:id="rId19" w:history="1">
        <w:r w:rsidRPr="008345C6">
          <w:rPr>
            <w:color w:val="0000FF"/>
            <w:lang w:val="en-US"/>
          </w:rPr>
          <w:t>Recommendation ITU R M.1457</w:t>
        </w:r>
      </w:hyperlink>
      <w:r w:rsidRPr="008345C6">
        <w:rPr>
          <w:lang w:val="en-US"/>
        </w:rPr>
        <w:t>.</w:t>
      </w:r>
    </w:p>
    <w:p w:rsidR="00057F6D" w:rsidRPr="009D2C43" w:rsidRDefault="00057F6D" w:rsidP="008345C6">
      <w:pPr>
        <w:pStyle w:val="Heading1"/>
        <w:rPr>
          <w:lang w:val="en-US"/>
        </w:rPr>
      </w:pPr>
      <w:r w:rsidRPr="009D2C43">
        <w:rPr>
          <w:lang w:val="en-US"/>
        </w:rPr>
        <w:t>4</w:t>
      </w:r>
      <w:r w:rsidRPr="009D2C43">
        <w:rPr>
          <w:lang w:val="en-US"/>
        </w:rPr>
        <w:tab/>
        <w:t>Technology “D”</w:t>
      </w:r>
    </w:p>
    <w:p w:rsidR="00057F6D" w:rsidRPr="008345C6" w:rsidRDefault="00057F6D" w:rsidP="00BD0F19">
      <w:pPr>
        <w:rPr>
          <w:lang w:val="en-US"/>
        </w:rPr>
      </w:pPr>
      <w:r w:rsidRPr="009D2C43">
        <w:rPr>
          <w:lang w:val="en-US"/>
        </w:rPr>
        <w:t>Technology “D” corresponding to TDMA-SC is developed within 3GPP (3</w:t>
      </w:r>
      <w:r w:rsidRPr="009D2C43">
        <w:rPr>
          <w:vertAlign w:val="superscript"/>
          <w:lang w:val="en-US"/>
        </w:rPr>
        <w:t>rd</w:t>
      </w:r>
      <w:r w:rsidRPr="009D2C43">
        <w:rPr>
          <w:lang w:val="en-US"/>
        </w:rPr>
        <w:t xml:space="preserve"> Generation Partnership Project). A full description is available in </w:t>
      </w:r>
      <w:r w:rsidRPr="008345C6">
        <w:rPr>
          <w:lang w:val="en-US"/>
        </w:rPr>
        <w:t xml:space="preserve">Annex 2 of </w:t>
      </w:r>
      <w:hyperlink r:id="rId20" w:history="1">
        <w:r w:rsidRPr="008345C6">
          <w:rPr>
            <w:color w:val="0000FF"/>
            <w:lang w:val="en-US"/>
          </w:rPr>
          <w:t>Recommendation ITU-R M.1801</w:t>
        </w:r>
      </w:hyperlink>
      <w:r w:rsidRPr="008345C6">
        <w:rPr>
          <w:lang w:val="en-US"/>
        </w:rPr>
        <w:t xml:space="preserve">. For additional information, see </w:t>
      </w:r>
      <w:r w:rsidR="00BD0F19" w:rsidRPr="008345C6">
        <w:rPr>
          <w:lang w:val="en-US"/>
        </w:rPr>
        <w:t xml:space="preserve">also </w:t>
      </w:r>
      <w:r w:rsidRPr="008345C6">
        <w:rPr>
          <w:lang w:val="en-US"/>
        </w:rPr>
        <w:t xml:space="preserve">§ 5.4 of </w:t>
      </w:r>
      <w:hyperlink r:id="rId21" w:history="1">
        <w:r w:rsidRPr="008345C6">
          <w:rPr>
            <w:color w:val="0000FF"/>
            <w:lang w:val="en-US"/>
          </w:rPr>
          <w:t>Recommendation ITU R M.1457</w:t>
        </w:r>
      </w:hyperlink>
      <w:r w:rsidRPr="008345C6">
        <w:rPr>
          <w:lang w:val="en-US"/>
        </w:rPr>
        <w:t xml:space="preserve">. </w:t>
      </w:r>
    </w:p>
    <w:p w:rsidR="00057F6D" w:rsidRPr="009D2C43" w:rsidRDefault="00057F6D" w:rsidP="008345C6">
      <w:pPr>
        <w:pStyle w:val="Heading1"/>
        <w:rPr>
          <w:rFonts w:eastAsia="SimSun"/>
          <w:lang w:val="en-US" w:eastAsia="zh-CN"/>
        </w:rPr>
      </w:pPr>
      <w:r w:rsidRPr="009D2C43">
        <w:rPr>
          <w:rFonts w:eastAsia="SimSun"/>
          <w:lang w:val="en-US" w:eastAsia="zh-CN"/>
        </w:rPr>
        <w:t>5</w:t>
      </w:r>
      <w:r w:rsidRPr="009D2C43">
        <w:rPr>
          <w:rFonts w:eastAsia="SimSun"/>
          <w:lang w:val="en-US" w:eastAsia="zh-CN"/>
        </w:rPr>
        <w:tab/>
        <w:t>Technology “E”</w:t>
      </w:r>
    </w:p>
    <w:p w:rsidR="00057F6D" w:rsidRPr="008345C6" w:rsidRDefault="00057F6D" w:rsidP="00BD0F19">
      <w:pPr>
        <w:rPr>
          <w:lang w:val="en-US"/>
        </w:rPr>
      </w:pPr>
      <w:r w:rsidRPr="009D2C43">
        <w:rPr>
          <w:lang w:val="en-US"/>
        </w:rPr>
        <w:t>Technology “E” corresponding to IMT-2000 CDMA TDD</w:t>
      </w:r>
      <w:r w:rsidRPr="005852A7">
        <w:rPr>
          <w:lang w:val="en-US"/>
        </w:rPr>
        <w:t>, specifically UTRA TDD,</w:t>
      </w:r>
      <w:r w:rsidRPr="009D2C43">
        <w:rPr>
          <w:lang w:val="en-US"/>
        </w:rPr>
        <w:t xml:space="preserve"> technology is developed within 3GPP (3</w:t>
      </w:r>
      <w:r w:rsidRPr="009D2C43">
        <w:rPr>
          <w:vertAlign w:val="superscript"/>
          <w:lang w:val="en-US"/>
        </w:rPr>
        <w:t>rd</w:t>
      </w:r>
      <w:r w:rsidRPr="009D2C43">
        <w:rPr>
          <w:lang w:val="en-US"/>
        </w:rPr>
        <w:t> Generation Partnership Project). This radio interface is called the Universal Terrestrial Radio Access (UTRA) time division duplex (TDD), where three options, called 1.28 Mchip/s TDD,</w:t>
      </w:r>
      <w:r w:rsidRPr="009D2C43">
        <w:rPr>
          <w:rFonts w:eastAsia="SimSun"/>
          <w:lang w:val="en-US" w:eastAsia="zh-CN"/>
        </w:rPr>
        <w:t xml:space="preserve"> </w:t>
      </w:r>
      <w:r w:rsidRPr="009D2C43">
        <w:rPr>
          <w:lang w:val="en-US" w:eastAsia="zh-CN"/>
        </w:rPr>
        <w:t xml:space="preserve">3.84 Mchip/s TDD </w:t>
      </w:r>
      <w:r w:rsidRPr="009D2C43">
        <w:rPr>
          <w:rFonts w:eastAsia="SimSun"/>
          <w:lang w:val="en-US" w:eastAsia="zh-CN"/>
        </w:rPr>
        <w:t xml:space="preserve">and 7.68 Mchip/s </w:t>
      </w:r>
      <w:r w:rsidRPr="009D2C43">
        <w:rPr>
          <w:lang w:val="en-US" w:eastAsia="zh-CN"/>
        </w:rPr>
        <w:t>can be distinguished.</w:t>
      </w:r>
      <w:r w:rsidRPr="009D2C43">
        <w:rPr>
          <w:rFonts w:eastAsia="SimSun"/>
          <w:lang w:val="en-US" w:eastAsia="zh-CN"/>
        </w:rPr>
        <w:t xml:space="preserve"> </w:t>
      </w:r>
      <w:r w:rsidRPr="009D2C43">
        <w:rPr>
          <w:lang w:val="en-US"/>
        </w:rPr>
        <w:t xml:space="preserve">A full description is available in </w:t>
      </w:r>
      <w:r w:rsidRPr="008345C6">
        <w:rPr>
          <w:lang w:val="en-US"/>
        </w:rPr>
        <w:t xml:space="preserve">Annex 2 of </w:t>
      </w:r>
      <w:hyperlink r:id="rId22" w:history="1">
        <w:r w:rsidRPr="008345C6">
          <w:rPr>
            <w:color w:val="0000FF"/>
            <w:lang w:val="en-US"/>
          </w:rPr>
          <w:t>Recommendation ITU-R M.1801</w:t>
        </w:r>
      </w:hyperlink>
      <w:r w:rsidRPr="008345C6">
        <w:rPr>
          <w:lang w:val="en-US"/>
        </w:rPr>
        <w:t xml:space="preserve">. For additional information, see </w:t>
      </w:r>
      <w:r w:rsidR="00BD0F19" w:rsidRPr="008345C6">
        <w:rPr>
          <w:lang w:val="en-US"/>
        </w:rPr>
        <w:t xml:space="preserve">also </w:t>
      </w:r>
      <w:r w:rsidRPr="008345C6">
        <w:rPr>
          <w:lang w:val="en-US"/>
        </w:rPr>
        <w:t>§ 5.</w:t>
      </w:r>
      <w:r w:rsidRPr="008345C6">
        <w:rPr>
          <w:rFonts w:eastAsia="SimSun"/>
          <w:lang w:val="en-US" w:eastAsia="zh-CN"/>
        </w:rPr>
        <w:t>3</w:t>
      </w:r>
      <w:r w:rsidRPr="008345C6">
        <w:rPr>
          <w:lang w:val="en-US"/>
        </w:rPr>
        <w:t xml:space="preserve"> of </w:t>
      </w:r>
      <w:hyperlink r:id="rId23" w:history="1">
        <w:r w:rsidRPr="008345C6">
          <w:rPr>
            <w:color w:val="0000FF"/>
            <w:lang w:val="en-US"/>
          </w:rPr>
          <w:t>Recommendation ITU</w:t>
        </w:r>
        <w:r w:rsidRPr="008345C6">
          <w:rPr>
            <w:rFonts w:eastAsia="SimSun"/>
            <w:color w:val="0000FF"/>
            <w:lang w:val="en-US" w:eastAsia="zh-CN"/>
          </w:rPr>
          <w:t>-</w:t>
        </w:r>
        <w:r w:rsidRPr="008345C6">
          <w:rPr>
            <w:color w:val="0000FF"/>
            <w:lang w:val="en-US"/>
          </w:rPr>
          <w:t>R M.1457</w:t>
        </w:r>
      </w:hyperlink>
      <w:r w:rsidRPr="008345C6">
        <w:rPr>
          <w:lang w:val="en-US"/>
        </w:rPr>
        <w:t>.</w:t>
      </w:r>
    </w:p>
    <w:p w:rsidR="00057F6D" w:rsidRPr="009D2C43" w:rsidRDefault="00057F6D" w:rsidP="008345C6">
      <w:pPr>
        <w:pStyle w:val="Heading1"/>
        <w:rPr>
          <w:rFonts w:eastAsia="SimSun"/>
          <w:lang w:val="en-US" w:eastAsia="zh-CN"/>
        </w:rPr>
      </w:pPr>
      <w:r w:rsidRPr="009D2C43">
        <w:rPr>
          <w:rFonts w:eastAsia="SimSun"/>
          <w:lang w:val="en-US" w:eastAsia="zh-CN"/>
        </w:rPr>
        <w:t>6</w:t>
      </w:r>
      <w:r w:rsidRPr="009D2C43">
        <w:rPr>
          <w:rFonts w:eastAsia="SimSun"/>
          <w:lang w:val="en-US" w:eastAsia="zh-CN"/>
        </w:rPr>
        <w:tab/>
        <w:t>Technology “F”</w:t>
      </w:r>
    </w:p>
    <w:p w:rsidR="00057F6D" w:rsidRPr="00D77064" w:rsidRDefault="00057F6D" w:rsidP="00BD0F19">
      <w:pPr>
        <w:rPr>
          <w:lang w:val="en-US"/>
        </w:rPr>
      </w:pPr>
      <w:r w:rsidRPr="009D2C43">
        <w:rPr>
          <w:lang w:val="en-US"/>
        </w:rPr>
        <w:t>Technology “F” corresponding to E-UTRA (LTE) technology is developed within 3GPP (3</w:t>
      </w:r>
      <w:r w:rsidRPr="009D2C43">
        <w:rPr>
          <w:vertAlign w:val="superscript"/>
          <w:lang w:val="en-US"/>
        </w:rPr>
        <w:t>rd</w:t>
      </w:r>
      <w:r w:rsidRPr="009D2C43">
        <w:rPr>
          <w:lang w:val="en-US"/>
        </w:rPr>
        <w:t xml:space="preserve"> Generation Partnership Project).  This radio interface is called the </w:t>
      </w:r>
      <w:r w:rsidRPr="009D2C43">
        <w:rPr>
          <w:bCs/>
          <w:lang w:val="en-US"/>
        </w:rPr>
        <w:t>Evolved Universal Terrestrial Radio Access</w:t>
      </w:r>
      <w:r w:rsidRPr="009D2C43">
        <w:rPr>
          <w:lang w:val="en-US"/>
        </w:rPr>
        <w:t xml:space="preserve"> (E-UTRA) also referred to as the Long-Term Evolution (LTE). LTE supports scalable carrier bandwidths, from 20 MHz down to 1.4 MHz, and supports both frequency division duplexing (FDD) and time division duplexing (TDD). For additional information, see §</w:t>
      </w:r>
      <w:r w:rsidR="00BD0F19" w:rsidRPr="009D2C43">
        <w:rPr>
          <w:lang w:val="en-US"/>
        </w:rPr>
        <w:t>§</w:t>
      </w:r>
      <w:r w:rsidRPr="009D2C43">
        <w:rPr>
          <w:lang w:val="en-US"/>
        </w:rPr>
        <w:t xml:space="preserve"> 5.1 and 5.3 of </w:t>
      </w:r>
      <w:hyperlink r:id="rId24" w:history="1">
        <w:r w:rsidRPr="00D77064">
          <w:rPr>
            <w:color w:val="0000FF"/>
            <w:lang w:val="en-US"/>
          </w:rPr>
          <w:t>Recommendation ITU</w:t>
        </w:r>
        <w:r w:rsidRPr="00D77064">
          <w:rPr>
            <w:rFonts w:eastAsia="SimSun"/>
            <w:color w:val="0000FF"/>
            <w:lang w:val="en-US" w:eastAsia="zh-CN"/>
          </w:rPr>
          <w:t>-</w:t>
        </w:r>
        <w:r w:rsidRPr="00D77064">
          <w:rPr>
            <w:color w:val="0000FF"/>
            <w:lang w:val="en-US"/>
          </w:rPr>
          <w:t>R M.1457</w:t>
        </w:r>
      </w:hyperlink>
      <w:r w:rsidRPr="00D77064">
        <w:rPr>
          <w:lang w:val="en-US"/>
        </w:rPr>
        <w:t xml:space="preserve">.  </w:t>
      </w:r>
    </w:p>
    <w:p w:rsidR="00057F6D" w:rsidRPr="009D2C43" w:rsidRDefault="00057F6D" w:rsidP="00057F6D">
      <w:pPr>
        <w:rPr>
          <w:caps/>
          <w:sz w:val="28"/>
          <w:lang w:val="en-US"/>
        </w:rPr>
      </w:pPr>
    </w:p>
    <w:p w:rsidR="00057F6D" w:rsidRPr="00D77064" w:rsidRDefault="00057F6D" w:rsidP="00D77064">
      <w:pPr>
        <w:pStyle w:val="AnnexNoTitle"/>
        <w:rPr>
          <w:lang w:val="en-US"/>
        </w:rPr>
      </w:pPr>
      <w:r w:rsidRPr="00D77064">
        <w:rPr>
          <w:lang w:val="en-US"/>
        </w:rPr>
        <w:lastRenderedPageBreak/>
        <w:t>Annex 2</w:t>
      </w:r>
      <w:r w:rsidR="00D77064" w:rsidRPr="00D77064">
        <w:rPr>
          <w:lang w:val="en-US"/>
        </w:rPr>
        <w:br/>
      </w:r>
      <w:r w:rsidR="00D77064" w:rsidRPr="00D77064">
        <w:rPr>
          <w:lang w:val="en-US"/>
        </w:rPr>
        <w:br/>
      </w:r>
      <w:r w:rsidRPr="00D77064">
        <w:rPr>
          <w:lang w:val="en-US"/>
        </w:rPr>
        <w:t>Narrow-band radio interface standards for use by PPDR operations</w:t>
      </w:r>
      <w:r w:rsidRPr="00D77064">
        <w:rPr>
          <w:lang w:val="en-US"/>
        </w:rPr>
        <w:br/>
        <w:t>in accordance with Resolution 646 (WRC-03)</w:t>
      </w:r>
    </w:p>
    <w:p w:rsidR="00057F6D" w:rsidRPr="009D2C43" w:rsidRDefault="00057F6D" w:rsidP="00D77064">
      <w:pPr>
        <w:pStyle w:val="Normalaftertitle0"/>
      </w:pPr>
      <w:r w:rsidRPr="009D2C43">
        <w:t>This Annex provides information on narrow-band standards for use by PPDR operations. References are provided to ITU texts which contain more detailed descriptions of these standards and their capabilities. It is recognized that these standards may not fulfil all the user requirements described in Annex 3, and that each administration and its PPDR organizations will have to analyse the information and determine which standard is most appropriate for their purposes.</w:t>
      </w:r>
    </w:p>
    <w:p w:rsidR="00057F6D" w:rsidRPr="009D2C43" w:rsidRDefault="00057F6D" w:rsidP="00D77064">
      <w:pPr>
        <w:pStyle w:val="Heading1"/>
        <w:rPr>
          <w:lang w:val="en-US"/>
        </w:rPr>
      </w:pPr>
      <w:r w:rsidRPr="009D2C43">
        <w:rPr>
          <w:lang w:val="en-US"/>
        </w:rPr>
        <w:t>1</w:t>
      </w:r>
      <w:r w:rsidRPr="009D2C43">
        <w:rPr>
          <w:lang w:val="en-US"/>
        </w:rPr>
        <w:tab/>
        <w:t>Technology “A”</w:t>
      </w:r>
    </w:p>
    <w:p w:rsidR="00057F6D" w:rsidRPr="009D2C43" w:rsidRDefault="00057F6D" w:rsidP="00BD0F19">
      <w:pPr>
        <w:rPr>
          <w:lang w:val="en-US"/>
        </w:rPr>
      </w:pPr>
      <w:r w:rsidRPr="009D2C43">
        <w:rPr>
          <w:lang w:val="en-US"/>
        </w:rPr>
        <w:t xml:space="preserve">Technology “A” corresponding to Project 25 is developed by TIA TR-8 with input from the Project 25 steering committee made up of representatives from the Association of Public Safety Communications Officials International (APCO), the National Association of State </w:t>
      </w:r>
      <w:r w:rsidR="00BD0F19">
        <w:rPr>
          <w:lang w:val="en-US"/>
        </w:rPr>
        <w:t>Technology</w:t>
      </w:r>
      <w:r w:rsidRPr="009D2C43">
        <w:rPr>
          <w:lang w:val="en-US"/>
        </w:rPr>
        <w:t xml:space="preserve"> Directors (NASTD), selected federal agencies and the National Communications System (NCS). Project 25 operates in 12.5 kHz or 25 kHz channels.</w:t>
      </w:r>
    </w:p>
    <w:p w:rsidR="00057F6D" w:rsidRPr="00D77064" w:rsidRDefault="00057F6D" w:rsidP="00057F6D">
      <w:pPr>
        <w:rPr>
          <w:lang w:val="en-US"/>
        </w:rPr>
      </w:pPr>
      <w:bookmarkStart w:id="7" w:name="OLE_LINK1"/>
      <w:bookmarkStart w:id="8" w:name="OLE_LINK2"/>
      <w:r w:rsidRPr="009D2C43">
        <w:rPr>
          <w:lang w:val="en-US"/>
        </w:rPr>
        <w:t>For additional information on the technical and operational characteristics of Project 25</w:t>
      </w:r>
      <w:r w:rsidR="00BD0F19">
        <w:rPr>
          <w:lang w:val="en-US"/>
        </w:rPr>
        <w:t>,</w:t>
      </w:r>
      <w:r w:rsidRPr="009D2C43">
        <w:rPr>
          <w:lang w:val="en-US"/>
        </w:rPr>
        <w:t xml:space="preserve"> see </w:t>
      </w:r>
      <w:hyperlink r:id="rId25" w:history="1">
        <w:r w:rsidRPr="00D77064">
          <w:rPr>
            <w:color w:val="0000FF"/>
            <w:lang w:val="en-US"/>
          </w:rPr>
          <w:t>Report ITU-R M.2014</w:t>
        </w:r>
      </w:hyperlink>
      <w:bookmarkEnd w:id="7"/>
      <w:bookmarkEnd w:id="8"/>
      <w:r w:rsidRPr="00D77064">
        <w:rPr>
          <w:lang w:val="en-US"/>
        </w:rPr>
        <w:t xml:space="preserve"> and Volume 3 of the Land Mobile Handbook. </w:t>
      </w:r>
    </w:p>
    <w:p w:rsidR="00057F6D" w:rsidRPr="009D2C43" w:rsidRDefault="00057F6D" w:rsidP="00D77064">
      <w:pPr>
        <w:pStyle w:val="Heading1"/>
        <w:rPr>
          <w:lang w:val="en-US"/>
        </w:rPr>
      </w:pPr>
      <w:r w:rsidRPr="009D2C43">
        <w:rPr>
          <w:lang w:val="en-US"/>
        </w:rPr>
        <w:t>2</w:t>
      </w:r>
      <w:r w:rsidRPr="009D2C43">
        <w:rPr>
          <w:lang w:val="en-US"/>
        </w:rPr>
        <w:tab/>
        <w:t>Technology “B”</w:t>
      </w:r>
    </w:p>
    <w:p w:rsidR="00057F6D" w:rsidRPr="009D2C43" w:rsidRDefault="00057F6D" w:rsidP="00057F6D">
      <w:pPr>
        <w:rPr>
          <w:lang w:val="en-US" w:eastAsia="zh-CN"/>
        </w:rPr>
      </w:pPr>
      <w:r w:rsidRPr="009D2C43">
        <w:rPr>
          <w:lang w:val="en-US" w:eastAsia="zh-CN"/>
        </w:rPr>
        <w:t>Technology “B” corresponding to the Terrestrial Trunked Radio (TETRA) system was developed in the European Telecommunications Standards Institute (ETSI) as ETSI Project TETRA (now known as ETSI Technical Committee (TC) TETRA) to deliver a digital trunked mobile radio set of standards, under a mandate from the European Commission, for a PMR communications system that could be deployed in Western Europe.</w:t>
      </w:r>
    </w:p>
    <w:p w:rsidR="00057F6D" w:rsidRPr="009D2C43" w:rsidRDefault="00057F6D" w:rsidP="00D77064">
      <w:pPr>
        <w:rPr>
          <w:lang w:val="en-US" w:eastAsia="zh-CN"/>
        </w:rPr>
      </w:pPr>
      <w:r w:rsidRPr="009D2C43">
        <w:rPr>
          <w:lang w:val="en-US" w:eastAsia="zh-CN"/>
        </w:rPr>
        <w:t>Besides meeting the needs of traditional PMR user organizations, the TETRA standard has also been developed to meet the needs of Public Access Mobile Radio (PAMR) operators.</w:t>
      </w:r>
    </w:p>
    <w:p w:rsidR="00057F6D" w:rsidRPr="009D2C43" w:rsidRDefault="00057F6D" w:rsidP="00057F6D">
      <w:pPr>
        <w:rPr>
          <w:lang w:val="en-US" w:eastAsia="zh-CN"/>
        </w:rPr>
      </w:pPr>
      <w:r w:rsidRPr="009D2C43">
        <w:rPr>
          <w:lang w:val="en-US" w:eastAsia="zh-CN"/>
        </w:rPr>
        <w:t>For additional information on the technical and operational characteristics of TETRA</w:t>
      </w:r>
      <w:r w:rsidR="00BD0F19">
        <w:rPr>
          <w:lang w:val="en-US" w:eastAsia="zh-CN"/>
        </w:rPr>
        <w:t>,</w:t>
      </w:r>
      <w:r w:rsidRPr="009D2C43">
        <w:rPr>
          <w:lang w:val="en-US" w:eastAsia="zh-CN"/>
        </w:rPr>
        <w:t xml:space="preserve"> see </w:t>
      </w:r>
      <w:hyperlink r:id="rId26" w:history="1">
        <w:r w:rsidRPr="00D77064">
          <w:rPr>
            <w:color w:val="0000FF"/>
            <w:lang w:val="en-US" w:eastAsia="zh-CN"/>
          </w:rPr>
          <w:t>Report ITU-R M.2014</w:t>
        </w:r>
      </w:hyperlink>
      <w:r w:rsidRPr="009D2C43">
        <w:rPr>
          <w:lang w:val="en-US" w:eastAsia="zh-CN"/>
        </w:rPr>
        <w:t>.</w:t>
      </w:r>
    </w:p>
    <w:p w:rsidR="00057F6D" w:rsidRPr="009D2C43" w:rsidRDefault="00057F6D" w:rsidP="00D77064">
      <w:pPr>
        <w:pStyle w:val="Heading1"/>
        <w:rPr>
          <w:lang w:val="en-US"/>
        </w:rPr>
      </w:pPr>
      <w:r w:rsidRPr="009D2C43">
        <w:rPr>
          <w:lang w:val="en-US"/>
        </w:rPr>
        <w:t>3</w:t>
      </w:r>
      <w:r w:rsidRPr="009D2C43">
        <w:rPr>
          <w:lang w:val="en-US"/>
        </w:rPr>
        <w:tab/>
        <w:t>Technology “C”</w:t>
      </w:r>
    </w:p>
    <w:p w:rsidR="00057F6D" w:rsidRPr="009D2C43" w:rsidRDefault="00057F6D" w:rsidP="00D77064">
      <w:pPr>
        <w:rPr>
          <w:lang w:val="en-US" w:eastAsia="zh-CN"/>
        </w:rPr>
      </w:pPr>
      <w:r w:rsidRPr="009D2C43">
        <w:rPr>
          <w:lang w:val="en-US" w:eastAsia="zh-CN"/>
        </w:rPr>
        <w:t>Technology “C” corresponding to the Digital Mobile Radio (DMR) system was developed by ETSI as a direct digital replacement for analogue PMR while imposing no fundamental changes in the architecture of either conventional or trunked systems.</w:t>
      </w:r>
    </w:p>
    <w:p w:rsidR="00057F6D" w:rsidRPr="009D2C43" w:rsidRDefault="00057F6D" w:rsidP="00D77064">
      <w:pPr>
        <w:rPr>
          <w:lang w:val="en-US" w:eastAsia="zh-CN"/>
        </w:rPr>
      </w:pPr>
      <w:r w:rsidRPr="009D2C43">
        <w:rPr>
          <w:lang w:val="en-US" w:eastAsia="zh-CN"/>
        </w:rPr>
        <w:t>DMR is a scalable system that can be used in unlicensed mode, and in licensed mode, subject to national frequency planning. It is developed in three “tiers”:</w:t>
      </w:r>
    </w:p>
    <w:p w:rsidR="00057F6D" w:rsidRPr="009D2C43" w:rsidRDefault="00057F6D" w:rsidP="00057F6D">
      <w:pPr>
        <w:rPr>
          <w:lang w:val="en-US" w:eastAsia="zh-CN"/>
        </w:rPr>
      </w:pPr>
      <w:r w:rsidRPr="009D2C43">
        <w:rPr>
          <w:lang w:val="en-US" w:eastAsia="zh-CN"/>
        </w:rPr>
        <w:t>Tier 1 is the low-cost, licence-exempt “digital PMR446”.</w:t>
      </w:r>
    </w:p>
    <w:p w:rsidR="00057F6D" w:rsidRPr="009D2C43" w:rsidRDefault="00057F6D" w:rsidP="00057F6D">
      <w:pPr>
        <w:rPr>
          <w:lang w:val="en-US" w:eastAsia="zh-CN"/>
        </w:rPr>
      </w:pPr>
      <w:r w:rsidRPr="009D2C43">
        <w:rPr>
          <w:lang w:val="en-US" w:eastAsia="zh-CN"/>
        </w:rPr>
        <w:t>Tier 2 is for the professional market offering peer-to-peer mode and repeater mode (licensed).</w:t>
      </w:r>
    </w:p>
    <w:p w:rsidR="00057F6D" w:rsidRPr="009D2C43" w:rsidRDefault="00057F6D" w:rsidP="00057F6D">
      <w:pPr>
        <w:rPr>
          <w:lang w:val="en-US" w:eastAsia="zh-CN"/>
        </w:rPr>
      </w:pPr>
      <w:r w:rsidRPr="009D2C43">
        <w:rPr>
          <w:lang w:val="en-US" w:eastAsia="zh-CN"/>
        </w:rPr>
        <w:t>Tier 3 is for trunked operation (licensed).</w:t>
      </w:r>
    </w:p>
    <w:p w:rsidR="00057F6D" w:rsidRPr="009D2C43" w:rsidRDefault="00057F6D" w:rsidP="00057F6D">
      <w:pPr>
        <w:rPr>
          <w:lang w:val="en-US" w:eastAsia="zh-CN"/>
        </w:rPr>
      </w:pPr>
      <w:r w:rsidRPr="009D2C43">
        <w:rPr>
          <w:lang w:val="en-US" w:eastAsia="zh-CN"/>
        </w:rPr>
        <w:t>DMR is a two slot Time-Division Multiple Access (TDMA) system offering digital voice and data solutions, and uses a 4FSK modulation scheme utilizing 6.25 kHz per channel. The standard is designed to operate within the existing 12.5</w:t>
      </w:r>
      <w:r w:rsidR="00BD0F19">
        <w:rPr>
          <w:lang w:val="en-US" w:eastAsia="zh-CN"/>
        </w:rPr>
        <w:t xml:space="preserve"> </w:t>
      </w:r>
      <w:r w:rsidRPr="009D2C43">
        <w:rPr>
          <w:lang w:val="en-US" w:eastAsia="zh-CN"/>
        </w:rPr>
        <w:t>kHz channel spacing.</w:t>
      </w:r>
    </w:p>
    <w:p w:rsidR="00057F6D" w:rsidRPr="009D2C43" w:rsidRDefault="00057F6D" w:rsidP="00057F6D">
      <w:pPr>
        <w:rPr>
          <w:lang w:val="en-US" w:eastAsia="zh-CN"/>
        </w:rPr>
      </w:pPr>
      <w:r w:rsidRPr="009D2C43">
        <w:rPr>
          <w:lang w:val="en-US" w:eastAsia="zh-CN"/>
        </w:rPr>
        <w:lastRenderedPageBreak/>
        <w:t>For additional information on the technical and operational characteristics of DMR</w:t>
      </w:r>
      <w:r w:rsidR="00C350CB">
        <w:rPr>
          <w:lang w:val="en-US" w:eastAsia="zh-CN"/>
        </w:rPr>
        <w:t>,</w:t>
      </w:r>
      <w:r w:rsidRPr="009D2C43">
        <w:rPr>
          <w:lang w:val="en-US" w:eastAsia="zh-CN"/>
        </w:rPr>
        <w:t xml:space="preserve"> see ETSI Technical Report TR 102 398 that provides a useful introduction to DMR. Technical Specification TS 102 362 parts 1 to 3 covers DMR protocol conformance testing and test suites, and Technical Specification TS 102 490 defines the narrow-band or “digital PMR” protocol.  </w:t>
      </w:r>
    </w:p>
    <w:p w:rsidR="00057F6D" w:rsidRPr="009D2C43" w:rsidRDefault="00057F6D" w:rsidP="00057F6D">
      <w:pPr>
        <w:rPr>
          <w:lang w:val="en-US" w:eastAsia="zh-CN"/>
        </w:rPr>
      </w:pPr>
      <w:r w:rsidRPr="009D2C43">
        <w:rPr>
          <w:lang w:val="en-US" w:eastAsia="zh-CN"/>
        </w:rPr>
        <w:t>The System Reference Documents are ETSI Technical Report TR 102 335-1 (Tier 1 DMR) and TR 102 335-2 (licensed).</w:t>
      </w:r>
    </w:p>
    <w:p w:rsidR="00057F6D" w:rsidRPr="009D2C43" w:rsidRDefault="00057F6D" w:rsidP="00057F6D">
      <w:pPr>
        <w:rPr>
          <w:lang w:val="en-US" w:eastAsia="zh-CN"/>
        </w:rPr>
      </w:pPr>
    </w:p>
    <w:p w:rsidR="00057F6D" w:rsidRPr="009D2C43" w:rsidRDefault="00057F6D" w:rsidP="00057F6D">
      <w:pPr>
        <w:rPr>
          <w:lang w:val="en-US" w:eastAsia="zh-CN"/>
        </w:rPr>
      </w:pPr>
    </w:p>
    <w:p w:rsidR="00057F6D" w:rsidRPr="009D2C43" w:rsidRDefault="00057F6D" w:rsidP="00C350CB">
      <w:pPr>
        <w:pStyle w:val="AnnexNoTitle"/>
        <w:rPr>
          <w:rFonts w:ascii="Times New Roman Bold" w:hAnsi="Times New Roman Bold"/>
          <w:lang w:val="en-US"/>
        </w:rPr>
      </w:pPr>
      <w:r w:rsidRPr="009D2C43">
        <w:rPr>
          <w:lang w:val="en-US"/>
        </w:rPr>
        <w:t>Annex 3</w:t>
      </w:r>
      <w:r w:rsidR="00C350CB">
        <w:rPr>
          <w:lang w:val="en-US"/>
        </w:rPr>
        <w:br/>
      </w:r>
      <w:r w:rsidR="00C350CB">
        <w:rPr>
          <w:lang w:val="en-US"/>
        </w:rPr>
        <w:br/>
      </w:r>
      <w:r w:rsidRPr="009D2C43">
        <w:rPr>
          <w:rFonts w:ascii="Times New Roman Bold" w:hAnsi="Times New Roman Bold"/>
          <w:lang w:val="en-US"/>
        </w:rPr>
        <w:t>PPDR user requirements</w:t>
      </w:r>
    </w:p>
    <w:p w:rsidR="00057F6D" w:rsidRPr="00277BA8" w:rsidRDefault="00057F6D" w:rsidP="00057F6D">
      <w:pPr>
        <w:pStyle w:val="Normalaftertitle0"/>
      </w:pPr>
      <w:r w:rsidRPr="00277BA8">
        <w:t>PPDR is defined in Resolution 646 (WRC-03) through a combination of the terms “public protection radiocommunication” and “disaster relief radiocommunication”. The first term refers to radiocommunications used by responsible agencies and organizations dealing with maintenance of law and order, protection of life and property and emergency situations, and the second term refers to radiocommunications used by agencies and organizations dealing with a serious disruption of the functioning of society, posing a significant widespread threat to human life, health, property or the environment, whether caused by accident, natural phenomena or human activity, and whether developing suddenly or as a result of complex, long-term processes.</w:t>
      </w:r>
    </w:p>
    <w:p w:rsidR="00057F6D" w:rsidRPr="009D2C43" w:rsidRDefault="00057F6D" w:rsidP="00057F6D">
      <w:pPr>
        <w:rPr>
          <w:lang w:val="en-US"/>
        </w:rPr>
      </w:pPr>
      <w:r w:rsidRPr="009D2C43">
        <w:rPr>
          <w:lang w:val="en-US"/>
        </w:rPr>
        <w:t>In addition, Resolution 646 and Report ITU-R M.2033 describe a range of requirements for PPDR. It is recognized that there is a need for narrow-band, wideband and broadband applications, and Resolution 646 and Report ITU-R M.2033 provide general definitions of these terms applicable for PPDR. It is recognized, however, that other definitions of these terms exist in other ITU texts (such as Recommendation ITU-R F.1399) or in the rules of various individual administrations. As a result, the terms are defined in the Annexes to this Recommendation in a manner appropriate for how they are used within this Recommendation.</w:t>
      </w:r>
    </w:p>
    <w:p w:rsidR="00057F6D" w:rsidRPr="009D2C43" w:rsidRDefault="00057F6D" w:rsidP="00C83A41">
      <w:pPr>
        <w:rPr>
          <w:lang w:val="en-US"/>
        </w:rPr>
      </w:pPr>
      <w:r w:rsidRPr="009D2C43">
        <w:rPr>
          <w:lang w:val="en-US"/>
        </w:rPr>
        <w:t xml:space="preserve">PPDR requirements from a user perspective are described in detail in Report ITU-R M.2033, specifically in </w:t>
      </w:r>
      <w:r w:rsidR="00C83A41">
        <w:rPr>
          <w:lang w:val="en-US"/>
        </w:rPr>
        <w:t>§</w:t>
      </w:r>
      <w:r w:rsidRPr="009D2C43">
        <w:rPr>
          <w:lang w:val="en-US"/>
        </w:rPr>
        <w:t xml:space="preserve"> 3.2 of Annex 1. These user requirements include priority access, grade of service/quality of service, coverage, a variety of capabilities (including push-to-talk, fast call set-up, hardened equipment that is capable of operating in harsh environments, interconnection to the PSTN, one touch broadcasting/group call capabilities), secure communications, interoperability and regulatory compliance. It is noted that</w:t>
      </w:r>
      <w:r w:rsidRPr="009D2C43">
        <w:rPr>
          <w:b/>
          <w:lang w:val="en-US"/>
        </w:rPr>
        <w:t xml:space="preserve"> </w:t>
      </w:r>
      <w:r w:rsidRPr="009D2C43">
        <w:rPr>
          <w:lang w:val="en-US"/>
        </w:rPr>
        <w:t>individual administrations or PPDR organizations may have their own requirements for PPDR that go beyond those described herein, and that each standard would need to be evaluated on a case-by-case basis against those requirements.</w:t>
      </w:r>
    </w:p>
    <w:p w:rsidR="00057F6D" w:rsidRPr="009D2C43" w:rsidRDefault="00057F6D" w:rsidP="00C83A41">
      <w:pPr>
        <w:pStyle w:val="Heading1"/>
        <w:rPr>
          <w:lang w:val="en-US"/>
        </w:rPr>
      </w:pPr>
      <w:r w:rsidRPr="009D2C43">
        <w:rPr>
          <w:lang w:val="en-US"/>
        </w:rPr>
        <w:t>A</w:t>
      </w:r>
      <w:r w:rsidRPr="009D2C43">
        <w:rPr>
          <w:lang w:val="en-US"/>
        </w:rPr>
        <w:tab/>
        <w:t>Key capabilities of broadband systems relevant to PPDR organizations</w:t>
      </w:r>
    </w:p>
    <w:p w:rsidR="00057F6D" w:rsidRPr="009D2C43" w:rsidRDefault="00057F6D" w:rsidP="00C83A41">
      <w:pPr>
        <w:pStyle w:val="enumlev1"/>
        <w:rPr>
          <w:lang w:val="en-US"/>
        </w:rPr>
      </w:pPr>
      <w:r w:rsidRPr="009D2C43">
        <w:rPr>
          <w:lang w:val="en-US"/>
        </w:rPr>
        <w:t>–</w:t>
      </w:r>
      <w:r w:rsidRPr="009D2C43">
        <w:rPr>
          <w:lang w:val="en-US"/>
        </w:rPr>
        <w:tab/>
        <w:t>Advanced broadband data capabilities. Broadband data capability enables a broad range of applications. These basic capabilities allow end-users to retrieve information from databases, send information to central locations, such as control centres, and exchange information with other users in their own group or in other user groups. In addition, messaging services offered by SMS, EMS and MMS range from simple text messages to multimedia including transmission of pictures and photos, which is very effective in property protection and recovery operations. With MMS, real-time video transmission also is possible. Real-time video can be an efficient way for public safety users to communicate between the scene of an accident and central locations such as control centres and hospitals.</w:t>
      </w:r>
    </w:p>
    <w:p w:rsidR="00057F6D" w:rsidRPr="009D2C43" w:rsidRDefault="00057F6D" w:rsidP="00C83A41">
      <w:pPr>
        <w:pStyle w:val="enumlev1"/>
        <w:rPr>
          <w:lang w:val="en-US"/>
        </w:rPr>
      </w:pPr>
      <w:r w:rsidRPr="009D2C43">
        <w:rPr>
          <w:lang w:val="en-US"/>
        </w:rPr>
        <w:lastRenderedPageBreak/>
        <w:t>–</w:t>
      </w:r>
      <w:r w:rsidRPr="009D2C43">
        <w:rPr>
          <w:lang w:val="en-US"/>
        </w:rPr>
        <w:tab/>
        <w:t>Interoperability. Open standards-based technology allows any manufacturer to provide equipment interoperable with equipment from any other manufacturer.</w:t>
      </w:r>
    </w:p>
    <w:p w:rsidR="00057F6D" w:rsidRPr="009D2C43" w:rsidRDefault="00057F6D" w:rsidP="00C83A41">
      <w:pPr>
        <w:pStyle w:val="enumlev1"/>
        <w:rPr>
          <w:lang w:val="en-US"/>
        </w:rPr>
      </w:pPr>
      <w:r w:rsidRPr="009D2C43">
        <w:rPr>
          <w:lang w:val="en-US"/>
        </w:rPr>
        <w:t>–</w:t>
      </w:r>
      <w:r w:rsidRPr="009D2C43">
        <w:rPr>
          <w:lang w:val="en-US"/>
        </w:rPr>
        <w:tab/>
        <w:t>Economies of scale. As standard-based technologies designed for carrier-class commercial deployment are also used, economies of scale can be achieved. In addition to commercial off-the-shelf equipment, specialized PPDR devices or features required by some PPDR entities can be accommodated with modifications to commercial products and designs.</w:t>
      </w:r>
    </w:p>
    <w:p w:rsidR="00057F6D" w:rsidRPr="009D2C43" w:rsidRDefault="00057F6D" w:rsidP="00C83A41">
      <w:pPr>
        <w:pStyle w:val="enumlev1"/>
        <w:rPr>
          <w:lang w:val="en-US"/>
        </w:rPr>
      </w:pPr>
      <w:r w:rsidRPr="009D2C43">
        <w:rPr>
          <w:lang w:val="en-US"/>
        </w:rPr>
        <w:t>–</w:t>
      </w:r>
      <w:r w:rsidRPr="009D2C43">
        <w:rPr>
          <w:lang w:val="en-US"/>
        </w:rPr>
        <w:tab/>
        <w:t>IP-based services. Fully compatible with IP-based services.</w:t>
      </w:r>
    </w:p>
    <w:p w:rsidR="00057F6D" w:rsidRPr="009D2C43" w:rsidRDefault="00057F6D" w:rsidP="00C83A41">
      <w:pPr>
        <w:pStyle w:val="enumlev1"/>
        <w:rPr>
          <w:lang w:val="en-US"/>
        </w:rPr>
      </w:pPr>
      <w:r w:rsidRPr="009D2C43">
        <w:rPr>
          <w:lang w:val="en-US"/>
        </w:rPr>
        <w:t>–</w:t>
      </w:r>
      <w:r w:rsidRPr="009D2C43">
        <w:rPr>
          <w:lang w:val="en-US"/>
        </w:rPr>
        <w:tab/>
        <w:t>Push-to-talk. This function allows predefined groups of users to communicate over a packet channel by pressing a special key.</w:t>
      </w:r>
    </w:p>
    <w:p w:rsidR="00057F6D" w:rsidRPr="009D2C43" w:rsidRDefault="00057F6D" w:rsidP="00C83A41">
      <w:pPr>
        <w:pStyle w:val="enumlev1"/>
        <w:rPr>
          <w:lang w:val="en-US"/>
        </w:rPr>
      </w:pPr>
      <w:r w:rsidRPr="009D2C43">
        <w:rPr>
          <w:lang w:val="en-US"/>
        </w:rPr>
        <w:t>–</w:t>
      </w:r>
      <w:r w:rsidRPr="009D2C43">
        <w:rPr>
          <w:lang w:val="en-US"/>
        </w:rPr>
        <w:tab/>
        <w:t>Location-based services. Advanced technology solutions built into handsets and networks, and often utilizing satellite signals such as GPS, can enable public safety officials to accurately locate an emergency situation or track a secure shipment. Advanced methods of location measurements from both satellite constellations and the terrestrial infrastructure are capable of sending information that can compute a device’s position and relay it back to a requesting entity.</w:t>
      </w:r>
    </w:p>
    <w:p w:rsidR="00057F6D" w:rsidRPr="009D2C43" w:rsidRDefault="00057F6D" w:rsidP="00C83A41">
      <w:pPr>
        <w:pStyle w:val="enumlev1"/>
        <w:rPr>
          <w:lang w:val="en-US"/>
        </w:rPr>
      </w:pPr>
      <w:r w:rsidRPr="009D2C43">
        <w:rPr>
          <w:lang w:val="en-US"/>
        </w:rPr>
        <w:t>–</w:t>
      </w:r>
      <w:r w:rsidRPr="009D2C43">
        <w:rPr>
          <w:lang w:val="en-US"/>
        </w:rPr>
        <w:tab/>
        <w:t>Encryption. Encryption of voice and data can be provided in several ways, such as over the radio interface, which is standard in different network technologies, or between network equipment. End-to-end encryption of voice can be supported by special terminals or by carrying voice over an encrypted data channel.</w:t>
      </w:r>
    </w:p>
    <w:p w:rsidR="00057F6D" w:rsidRPr="009D2C43" w:rsidRDefault="00057F6D" w:rsidP="00C83A41">
      <w:pPr>
        <w:pStyle w:val="enumlev1"/>
        <w:rPr>
          <w:lang w:val="en-US"/>
        </w:rPr>
      </w:pPr>
      <w:r w:rsidRPr="009D2C43">
        <w:rPr>
          <w:lang w:val="en-US"/>
        </w:rPr>
        <w:t>–</w:t>
      </w:r>
      <w:r w:rsidRPr="009D2C43">
        <w:rPr>
          <w:lang w:val="en-US"/>
        </w:rPr>
        <w:tab/>
        <w:t xml:space="preserve">Prioritization (in protocol level) of public safety services over commercial services in case of emergency. </w:t>
      </w:r>
    </w:p>
    <w:p w:rsidR="00057F6D" w:rsidRPr="009D2C43" w:rsidRDefault="00057F6D" w:rsidP="00C83A41">
      <w:pPr>
        <w:pStyle w:val="Heading1"/>
        <w:rPr>
          <w:lang w:val="en-US"/>
        </w:rPr>
      </w:pPr>
      <w:r w:rsidRPr="009D2C43">
        <w:rPr>
          <w:lang w:val="en-US"/>
        </w:rPr>
        <w:t>B</w:t>
      </w:r>
      <w:r w:rsidRPr="009D2C43">
        <w:rPr>
          <w:lang w:val="en-US"/>
        </w:rPr>
        <w:tab/>
        <w:t>Key capabilities of narrow-band systems relevant to PPDR organizations</w:t>
      </w:r>
    </w:p>
    <w:p w:rsidR="00057F6D" w:rsidRPr="009D2C43" w:rsidRDefault="00057F6D" w:rsidP="00C83A41">
      <w:pPr>
        <w:pStyle w:val="enumlev1"/>
        <w:rPr>
          <w:lang w:val="en-US"/>
        </w:rPr>
      </w:pPr>
      <w:r w:rsidRPr="009D2C43">
        <w:rPr>
          <w:lang w:val="en-US"/>
        </w:rPr>
        <w:t>–</w:t>
      </w:r>
      <w:r w:rsidRPr="009D2C43">
        <w:rPr>
          <w:lang w:val="en-US"/>
        </w:rPr>
        <w:tab/>
        <w:t>Effective, efficient, and reliable intra-agency and inter-agency communications so organizations can easily implement interoperable and seamless joint communication in both routine and emergency circumstances.</w:t>
      </w:r>
    </w:p>
    <w:p w:rsidR="00057F6D" w:rsidRPr="009D2C43" w:rsidRDefault="00057F6D" w:rsidP="00C83A41">
      <w:pPr>
        <w:pStyle w:val="enumlev1"/>
        <w:rPr>
          <w:lang w:val="en-US"/>
        </w:rPr>
      </w:pPr>
      <w:r w:rsidRPr="009D2C43">
        <w:rPr>
          <w:lang w:val="en-US"/>
        </w:rPr>
        <w:t>–</w:t>
      </w:r>
      <w:r w:rsidRPr="009D2C43">
        <w:rPr>
          <w:lang w:val="en-US"/>
        </w:rPr>
        <w:tab/>
        <w:t>User-friendly equipment so users can take full advantage of their radios’ lifesaving capabilities on the job – even under adverse conditions – with minimal training.</w:t>
      </w:r>
    </w:p>
    <w:p w:rsidR="00057F6D" w:rsidRPr="009D2C43" w:rsidRDefault="00057F6D" w:rsidP="00C83A41">
      <w:pPr>
        <w:pStyle w:val="enumlev1"/>
        <w:rPr>
          <w:lang w:val="en-US"/>
        </w:rPr>
      </w:pPr>
      <w:r w:rsidRPr="009D2C43">
        <w:rPr>
          <w:lang w:val="en-US"/>
        </w:rPr>
        <w:t>–</w:t>
      </w:r>
      <w:r w:rsidRPr="009D2C43">
        <w:rPr>
          <w:lang w:val="en-US"/>
        </w:rPr>
        <w:tab/>
        <w:t>Radio spectrum efficiency so networks will have enough capacity to handle calls and allow room for growth, even in areas where the spectrum is crowded and it is difficult for agencies to obtain licenses for additional radio frequencies.</w:t>
      </w:r>
    </w:p>
    <w:p w:rsidR="00057F6D" w:rsidRPr="009D2C43" w:rsidRDefault="00057F6D" w:rsidP="00C83A41">
      <w:pPr>
        <w:pStyle w:val="enumlev1"/>
        <w:rPr>
          <w:lang w:val="en-US"/>
        </w:rPr>
      </w:pPr>
      <w:r w:rsidRPr="009D2C43">
        <w:rPr>
          <w:lang w:val="en-US"/>
        </w:rPr>
        <w:t>–</w:t>
      </w:r>
      <w:r w:rsidRPr="009D2C43">
        <w:rPr>
          <w:lang w:val="en-US"/>
        </w:rPr>
        <w:tab/>
        <w:t>System designs that provide effective and efficient one-to-many half-duplex communications throughout a PPDR organization’s coverage area, reconfiguration of dispatch talk groups, as well as specialized communications configurations at an incident scene when required.</w:t>
      </w:r>
    </w:p>
    <w:p w:rsidR="00057F6D" w:rsidRPr="009D2C43" w:rsidRDefault="00057F6D" w:rsidP="00057F6D">
      <w:pPr>
        <w:rPr>
          <w:lang w:val="en-US"/>
        </w:rPr>
      </w:pPr>
    </w:p>
    <w:p w:rsidR="00057F6D" w:rsidRPr="009D2C43" w:rsidRDefault="00057F6D" w:rsidP="00C83A41">
      <w:pPr>
        <w:rPr>
          <w:lang w:val="en-US"/>
        </w:rPr>
      </w:pPr>
    </w:p>
    <w:p w:rsidR="00057F6D" w:rsidRPr="009D2C43" w:rsidRDefault="00057F6D" w:rsidP="00C83A41">
      <w:pPr>
        <w:pStyle w:val="AnnexNoTitle"/>
        <w:rPr>
          <w:rFonts w:ascii="Times New Roman Bold" w:hAnsi="Times New Roman Bold"/>
          <w:lang w:val="en-US"/>
        </w:rPr>
      </w:pPr>
      <w:r w:rsidRPr="009D2C43">
        <w:rPr>
          <w:lang w:val="en-US"/>
        </w:rPr>
        <w:t>Annex 4</w:t>
      </w:r>
      <w:r w:rsidR="00C83A41">
        <w:rPr>
          <w:lang w:val="en-US"/>
        </w:rPr>
        <w:br/>
      </w:r>
      <w:r w:rsidR="00C83A41">
        <w:rPr>
          <w:lang w:val="en-US"/>
        </w:rPr>
        <w:br/>
      </w:r>
      <w:r w:rsidRPr="009D2C43">
        <w:rPr>
          <w:lang w:val="en-US"/>
        </w:rPr>
        <w:t>Acronyms and abbreviations</w:t>
      </w:r>
    </w:p>
    <w:p w:rsidR="00057F6D" w:rsidRPr="009D2C43" w:rsidRDefault="00057F6D" w:rsidP="00057F6D">
      <w:pPr>
        <w:rPr>
          <w:lang w:val="en-US"/>
        </w:rPr>
      </w:pPr>
      <w:r w:rsidRPr="009D2C43">
        <w:rPr>
          <w:lang w:val="en-US"/>
        </w:rPr>
        <w:t>3GPP – 3</w:t>
      </w:r>
      <w:r w:rsidRPr="009D2C43">
        <w:rPr>
          <w:vertAlign w:val="superscript"/>
          <w:lang w:val="en-US"/>
        </w:rPr>
        <w:t>rd</w:t>
      </w:r>
      <w:r w:rsidRPr="009D2C43">
        <w:rPr>
          <w:lang w:val="en-US"/>
        </w:rPr>
        <w:t xml:space="preserve"> Generation Partnership Project</w:t>
      </w:r>
    </w:p>
    <w:p w:rsidR="00057F6D" w:rsidRPr="009D2C43" w:rsidRDefault="00057F6D" w:rsidP="00057F6D">
      <w:pPr>
        <w:spacing w:before="80"/>
        <w:rPr>
          <w:lang w:val="en-US"/>
        </w:rPr>
      </w:pPr>
      <w:r w:rsidRPr="009D2C43">
        <w:rPr>
          <w:lang w:val="en-US"/>
        </w:rPr>
        <w:t>3GPP2 – 3</w:t>
      </w:r>
      <w:r w:rsidRPr="009D2C43">
        <w:rPr>
          <w:vertAlign w:val="superscript"/>
          <w:lang w:val="en-US"/>
        </w:rPr>
        <w:t>rd</w:t>
      </w:r>
      <w:r w:rsidRPr="009D2C43">
        <w:rPr>
          <w:lang w:val="en-US"/>
        </w:rPr>
        <w:t xml:space="preserve"> Generation Partnership Project 2</w:t>
      </w:r>
    </w:p>
    <w:p w:rsidR="00057F6D" w:rsidRPr="009D2C43" w:rsidRDefault="00057F6D" w:rsidP="00057F6D">
      <w:pPr>
        <w:spacing w:before="80"/>
        <w:rPr>
          <w:lang w:val="en-US"/>
        </w:rPr>
      </w:pPr>
      <w:r w:rsidRPr="009D2C43">
        <w:rPr>
          <w:lang w:val="en-US"/>
        </w:rPr>
        <w:t>APCO – Association of Public Safety Communications Officials International</w:t>
      </w:r>
    </w:p>
    <w:p w:rsidR="00057F6D" w:rsidRPr="009D2C43" w:rsidRDefault="00057F6D" w:rsidP="00057F6D">
      <w:pPr>
        <w:spacing w:before="80"/>
        <w:rPr>
          <w:lang w:val="en-US"/>
        </w:rPr>
      </w:pPr>
      <w:r w:rsidRPr="009D2C43">
        <w:rPr>
          <w:lang w:val="en-US"/>
        </w:rPr>
        <w:lastRenderedPageBreak/>
        <w:t xml:space="preserve">CDMA TDD – Code </w:t>
      </w:r>
      <w:r w:rsidR="00C83A41" w:rsidRPr="009D2C43">
        <w:rPr>
          <w:lang w:val="en-US"/>
        </w:rPr>
        <w:t>division multiple access time division duplex</w:t>
      </w:r>
    </w:p>
    <w:p w:rsidR="00057F6D" w:rsidRPr="009D2C43" w:rsidRDefault="00057F6D" w:rsidP="00C83A41">
      <w:pPr>
        <w:spacing w:before="80"/>
        <w:rPr>
          <w:lang w:val="en-US"/>
        </w:rPr>
      </w:pPr>
      <w:r w:rsidRPr="009D2C43">
        <w:rPr>
          <w:lang w:val="en-US"/>
        </w:rPr>
        <w:t xml:space="preserve">CDMA-DS – Code </w:t>
      </w:r>
      <w:r w:rsidR="00C83A41" w:rsidRPr="009D2C43">
        <w:rPr>
          <w:lang w:val="en-US"/>
        </w:rPr>
        <w:t xml:space="preserve">division multiple access </w:t>
      </w:r>
      <w:r w:rsidRPr="009D2C43">
        <w:rPr>
          <w:lang w:val="en-US"/>
        </w:rPr>
        <w:t xml:space="preserve">– Direct </w:t>
      </w:r>
      <w:r w:rsidR="00BD0F19">
        <w:rPr>
          <w:lang w:val="en-US"/>
        </w:rPr>
        <w:t>s</w:t>
      </w:r>
      <w:bookmarkStart w:id="9" w:name="_GoBack"/>
      <w:bookmarkEnd w:id="9"/>
      <w:r w:rsidRPr="009D2C43">
        <w:rPr>
          <w:lang w:val="en-US"/>
        </w:rPr>
        <w:t>pread</w:t>
      </w:r>
    </w:p>
    <w:p w:rsidR="00057F6D" w:rsidRPr="00BD0F19" w:rsidRDefault="00057F6D" w:rsidP="00C83A41">
      <w:pPr>
        <w:spacing w:before="80"/>
        <w:rPr>
          <w:lang w:val="en-US"/>
        </w:rPr>
      </w:pPr>
      <w:r w:rsidRPr="00BD0F19">
        <w:rPr>
          <w:lang w:val="en-US"/>
        </w:rPr>
        <w:t xml:space="preserve">CDMA-MC – Code </w:t>
      </w:r>
      <w:r w:rsidR="00C83A41" w:rsidRPr="00BD0F19">
        <w:rPr>
          <w:lang w:val="en-US"/>
        </w:rPr>
        <w:t xml:space="preserve">division multiple access </w:t>
      </w:r>
      <w:r w:rsidRPr="00BD0F19">
        <w:rPr>
          <w:lang w:val="en-US"/>
        </w:rPr>
        <w:t>– Multi-</w:t>
      </w:r>
      <w:r w:rsidR="00C83A41" w:rsidRPr="00BD0F19">
        <w:rPr>
          <w:lang w:val="en-US"/>
        </w:rPr>
        <w:t>c</w:t>
      </w:r>
      <w:r w:rsidRPr="00BD0F19">
        <w:rPr>
          <w:lang w:val="en-US"/>
        </w:rPr>
        <w:t>arrier</w:t>
      </w:r>
    </w:p>
    <w:p w:rsidR="00057F6D" w:rsidRPr="009D2C43" w:rsidRDefault="00057F6D" w:rsidP="00057F6D">
      <w:pPr>
        <w:spacing w:before="80"/>
        <w:rPr>
          <w:lang w:val="en-US"/>
        </w:rPr>
      </w:pPr>
      <w:r w:rsidRPr="009D2C43">
        <w:rPr>
          <w:lang w:val="en-US"/>
        </w:rPr>
        <w:t xml:space="preserve">DMR – Digital </w:t>
      </w:r>
      <w:r w:rsidR="00C83A41" w:rsidRPr="009D2C43">
        <w:rPr>
          <w:lang w:val="en-US"/>
        </w:rPr>
        <w:t>mobile radio</w:t>
      </w:r>
    </w:p>
    <w:p w:rsidR="00057F6D" w:rsidRPr="009D2C43" w:rsidRDefault="00057F6D" w:rsidP="00057F6D">
      <w:pPr>
        <w:spacing w:before="80"/>
        <w:rPr>
          <w:lang w:val="en-US"/>
        </w:rPr>
      </w:pPr>
      <w:r w:rsidRPr="009D2C43">
        <w:rPr>
          <w:lang w:val="en-US"/>
        </w:rPr>
        <w:t xml:space="preserve">EMS – Enhanced </w:t>
      </w:r>
      <w:r w:rsidR="00C83A41" w:rsidRPr="009D2C43">
        <w:rPr>
          <w:lang w:val="en-US"/>
        </w:rPr>
        <w:t>messaging service</w:t>
      </w:r>
    </w:p>
    <w:p w:rsidR="00057F6D" w:rsidRPr="009D2C43" w:rsidRDefault="00057F6D" w:rsidP="00057F6D">
      <w:pPr>
        <w:spacing w:before="80"/>
        <w:rPr>
          <w:lang w:val="en-US"/>
        </w:rPr>
      </w:pPr>
      <w:r w:rsidRPr="009D2C43">
        <w:rPr>
          <w:lang w:val="en-US"/>
        </w:rPr>
        <w:t>ETSI – European Telecommunications Standards Institute</w:t>
      </w:r>
    </w:p>
    <w:p w:rsidR="00057F6D" w:rsidRPr="009D2C43" w:rsidRDefault="00057F6D" w:rsidP="00057F6D">
      <w:pPr>
        <w:spacing w:before="80"/>
        <w:rPr>
          <w:lang w:val="en-US"/>
        </w:rPr>
      </w:pPr>
      <w:r w:rsidRPr="009D2C43">
        <w:rPr>
          <w:lang w:val="en-US"/>
        </w:rPr>
        <w:t xml:space="preserve">E-UTRA – Evolved Universal Terrestrial Radio Access </w:t>
      </w:r>
    </w:p>
    <w:p w:rsidR="00057F6D" w:rsidRPr="009D2C43" w:rsidRDefault="00057F6D" w:rsidP="00057F6D">
      <w:pPr>
        <w:spacing w:before="80"/>
        <w:rPr>
          <w:lang w:val="en-US"/>
        </w:rPr>
      </w:pPr>
      <w:r w:rsidRPr="009D2C43">
        <w:rPr>
          <w:lang w:val="en-US"/>
        </w:rPr>
        <w:t xml:space="preserve">FDD – Frequency </w:t>
      </w:r>
      <w:r w:rsidR="00C83A41" w:rsidRPr="009D2C43">
        <w:rPr>
          <w:lang w:val="en-US"/>
        </w:rPr>
        <w:t>division d</w:t>
      </w:r>
      <w:r w:rsidRPr="009D2C43">
        <w:rPr>
          <w:lang w:val="en-US"/>
        </w:rPr>
        <w:t>uplex</w:t>
      </w:r>
    </w:p>
    <w:p w:rsidR="00057F6D" w:rsidRPr="009D2C43" w:rsidRDefault="00057F6D" w:rsidP="00057F6D">
      <w:pPr>
        <w:spacing w:before="80"/>
        <w:rPr>
          <w:lang w:val="en-US"/>
        </w:rPr>
      </w:pPr>
      <w:r w:rsidRPr="009D2C43">
        <w:rPr>
          <w:lang w:val="en-US"/>
        </w:rPr>
        <w:t xml:space="preserve">FDMA – Frequency </w:t>
      </w:r>
      <w:r w:rsidR="00C83A41" w:rsidRPr="009D2C43">
        <w:rPr>
          <w:lang w:val="en-US"/>
        </w:rPr>
        <w:t>division multiple access</w:t>
      </w:r>
    </w:p>
    <w:p w:rsidR="00057F6D" w:rsidRPr="009D2C43" w:rsidRDefault="00057F6D" w:rsidP="00057F6D">
      <w:pPr>
        <w:spacing w:before="80"/>
        <w:rPr>
          <w:lang w:val="en-US"/>
        </w:rPr>
      </w:pPr>
      <w:r w:rsidRPr="009D2C43">
        <w:rPr>
          <w:lang w:val="en-US"/>
        </w:rPr>
        <w:t>IEEE – Institute of Electrical and Electronics Engineers</w:t>
      </w:r>
    </w:p>
    <w:p w:rsidR="00057F6D" w:rsidRPr="009D2C43" w:rsidRDefault="00057F6D" w:rsidP="00057F6D">
      <w:pPr>
        <w:spacing w:before="80"/>
        <w:rPr>
          <w:lang w:val="en-US"/>
        </w:rPr>
      </w:pPr>
      <w:r w:rsidRPr="009D2C43">
        <w:rPr>
          <w:lang w:val="en-US"/>
        </w:rPr>
        <w:t>LTE – Long-Term Evolution</w:t>
      </w:r>
    </w:p>
    <w:p w:rsidR="00057F6D" w:rsidRPr="009D2C43" w:rsidRDefault="00057F6D" w:rsidP="00057F6D">
      <w:pPr>
        <w:spacing w:before="80"/>
        <w:rPr>
          <w:lang w:val="en-US"/>
        </w:rPr>
      </w:pPr>
      <w:r w:rsidRPr="009D2C43">
        <w:rPr>
          <w:lang w:val="en-US"/>
        </w:rPr>
        <w:t xml:space="preserve">MMS – Multimedia </w:t>
      </w:r>
      <w:r w:rsidR="00C83A41" w:rsidRPr="009D2C43">
        <w:rPr>
          <w:lang w:val="en-US"/>
        </w:rPr>
        <w:t>messaging service</w:t>
      </w:r>
    </w:p>
    <w:p w:rsidR="00057F6D" w:rsidRPr="009D2C43" w:rsidRDefault="00057F6D" w:rsidP="00057F6D">
      <w:pPr>
        <w:spacing w:before="80"/>
        <w:rPr>
          <w:lang w:val="en-US"/>
        </w:rPr>
      </w:pPr>
      <w:r w:rsidRPr="009D2C43">
        <w:rPr>
          <w:lang w:val="en-US"/>
        </w:rPr>
        <w:t>NASTD – National Association of State Technology Directors</w:t>
      </w:r>
    </w:p>
    <w:p w:rsidR="00057F6D" w:rsidRPr="009D2C43" w:rsidRDefault="00057F6D" w:rsidP="00057F6D">
      <w:pPr>
        <w:spacing w:before="80"/>
        <w:rPr>
          <w:lang w:val="en-US"/>
        </w:rPr>
      </w:pPr>
      <w:r w:rsidRPr="009D2C43">
        <w:rPr>
          <w:lang w:val="en-US"/>
        </w:rPr>
        <w:t>NCS – National Communications System</w:t>
      </w:r>
    </w:p>
    <w:p w:rsidR="00057F6D" w:rsidRPr="009D2C43" w:rsidRDefault="00057F6D" w:rsidP="00057F6D">
      <w:pPr>
        <w:spacing w:before="80"/>
        <w:rPr>
          <w:lang w:val="en-US"/>
        </w:rPr>
      </w:pPr>
      <w:r w:rsidRPr="009D2C43">
        <w:rPr>
          <w:lang w:val="en-US"/>
        </w:rPr>
        <w:t>OFDMA TDD WMAN – Orthogonal Frequency Division Multiple Access Time Division Duplex Wireless Metropolitan Area Network</w:t>
      </w:r>
    </w:p>
    <w:p w:rsidR="00057F6D" w:rsidRPr="009D2C43" w:rsidRDefault="00057F6D" w:rsidP="00057F6D">
      <w:pPr>
        <w:spacing w:before="80"/>
        <w:rPr>
          <w:lang w:val="en-US"/>
        </w:rPr>
      </w:pPr>
      <w:r w:rsidRPr="009D2C43">
        <w:rPr>
          <w:lang w:val="en-US"/>
        </w:rPr>
        <w:t xml:space="preserve">PAMR – Public </w:t>
      </w:r>
      <w:r w:rsidR="00C83A41" w:rsidRPr="009D2C43">
        <w:rPr>
          <w:lang w:val="en-US"/>
        </w:rPr>
        <w:t xml:space="preserve">access mobile radio </w:t>
      </w:r>
    </w:p>
    <w:p w:rsidR="00057F6D" w:rsidRPr="009D2C43" w:rsidRDefault="00057F6D" w:rsidP="00057F6D">
      <w:pPr>
        <w:spacing w:before="80"/>
        <w:rPr>
          <w:lang w:val="en-US"/>
        </w:rPr>
      </w:pPr>
      <w:r w:rsidRPr="009D2C43">
        <w:rPr>
          <w:lang w:val="en-US"/>
        </w:rPr>
        <w:t xml:space="preserve">PMR – Private </w:t>
      </w:r>
      <w:r w:rsidR="00C83A41" w:rsidRPr="009D2C43">
        <w:rPr>
          <w:lang w:val="en-US"/>
        </w:rPr>
        <w:t>mobile radio</w:t>
      </w:r>
    </w:p>
    <w:p w:rsidR="00057F6D" w:rsidRPr="009D2C43" w:rsidRDefault="00057F6D" w:rsidP="00057F6D">
      <w:pPr>
        <w:spacing w:before="80"/>
        <w:rPr>
          <w:lang w:val="en-US"/>
        </w:rPr>
      </w:pPr>
      <w:r w:rsidRPr="009D2C43">
        <w:rPr>
          <w:lang w:val="en-US"/>
        </w:rPr>
        <w:t xml:space="preserve">PPDR – Public </w:t>
      </w:r>
      <w:r w:rsidR="00C83A41" w:rsidRPr="009D2C43">
        <w:rPr>
          <w:lang w:val="en-US"/>
        </w:rPr>
        <w:t>protection and disaster relief</w:t>
      </w:r>
    </w:p>
    <w:p w:rsidR="00057F6D" w:rsidRPr="009D2C43" w:rsidRDefault="00057F6D" w:rsidP="00057F6D">
      <w:pPr>
        <w:spacing w:before="80"/>
        <w:rPr>
          <w:lang w:val="en-US"/>
        </w:rPr>
      </w:pPr>
      <w:r w:rsidRPr="009D2C43">
        <w:rPr>
          <w:lang w:val="en-US"/>
        </w:rPr>
        <w:t xml:space="preserve">SDO – Standards Developing Organization </w:t>
      </w:r>
    </w:p>
    <w:p w:rsidR="00057F6D" w:rsidRPr="009D2C43" w:rsidRDefault="00057F6D" w:rsidP="00057F6D">
      <w:pPr>
        <w:spacing w:before="80"/>
        <w:rPr>
          <w:lang w:val="en-US"/>
        </w:rPr>
      </w:pPr>
      <w:r w:rsidRPr="009D2C43">
        <w:rPr>
          <w:lang w:val="en-US"/>
        </w:rPr>
        <w:t xml:space="preserve">SMS – Short </w:t>
      </w:r>
      <w:r w:rsidR="00C83A41" w:rsidRPr="009D2C43">
        <w:rPr>
          <w:lang w:val="en-US"/>
        </w:rPr>
        <w:t>message service</w:t>
      </w:r>
    </w:p>
    <w:p w:rsidR="00057F6D" w:rsidRPr="009D2C43" w:rsidRDefault="00057F6D" w:rsidP="00C83A41">
      <w:pPr>
        <w:spacing w:before="80"/>
        <w:rPr>
          <w:lang w:val="en-US"/>
        </w:rPr>
      </w:pPr>
      <w:r w:rsidRPr="009D2C43">
        <w:rPr>
          <w:lang w:val="en-US"/>
        </w:rPr>
        <w:t xml:space="preserve">TDMA – SC – Time </w:t>
      </w:r>
      <w:r w:rsidR="00C83A41" w:rsidRPr="009D2C43">
        <w:rPr>
          <w:lang w:val="en-US"/>
        </w:rPr>
        <w:t xml:space="preserve">division multiple access </w:t>
      </w:r>
      <w:r w:rsidRPr="009D2C43">
        <w:rPr>
          <w:lang w:val="en-US"/>
        </w:rPr>
        <w:t xml:space="preserve">– Single </w:t>
      </w:r>
      <w:r w:rsidR="00C83A41">
        <w:rPr>
          <w:lang w:val="en-US"/>
        </w:rPr>
        <w:t>c</w:t>
      </w:r>
      <w:r w:rsidRPr="009D2C43">
        <w:rPr>
          <w:lang w:val="en-US"/>
        </w:rPr>
        <w:t>arrier</w:t>
      </w:r>
    </w:p>
    <w:p w:rsidR="00057F6D" w:rsidRPr="009D2C43" w:rsidRDefault="00057F6D" w:rsidP="00057F6D">
      <w:pPr>
        <w:spacing w:before="80"/>
        <w:rPr>
          <w:lang w:val="en-US"/>
        </w:rPr>
      </w:pPr>
      <w:r w:rsidRPr="009D2C43">
        <w:rPr>
          <w:lang w:val="en-US"/>
        </w:rPr>
        <w:t xml:space="preserve">TETRA – Terrestrial </w:t>
      </w:r>
      <w:r w:rsidR="00C83A41" w:rsidRPr="009D2C43">
        <w:rPr>
          <w:lang w:val="en-US"/>
        </w:rPr>
        <w:t>trunked radio</w:t>
      </w:r>
    </w:p>
    <w:p w:rsidR="00057F6D" w:rsidRPr="009D2C43" w:rsidRDefault="00057F6D" w:rsidP="00057F6D">
      <w:pPr>
        <w:spacing w:before="80"/>
        <w:rPr>
          <w:lang w:val="en-US"/>
        </w:rPr>
      </w:pPr>
      <w:r w:rsidRPr="009D2C43">
        <w:rPr>
          <w:lang w:val="en-US"/>
        </w:rPr>
        <w:t>TIA – Telecommunications Industry Association</w:t>
      </w:r>
    </w:p>
    <w:p w:rsidR="00057F6D" w:rsidRPr="009D2C43" w:rsidRDefault="00057F6D" w:rsidP="00C83A41">
      <w:pPr>
        <w:spacing w:before="80"/>
        <w:rPr>
          <w:lang w:val="en-US"/>
        </w:rPr>
      </w:pPr>
      <w:r w:rsidRPr="009D2C43">
        <w:rPr>
          <w:lang w:val="en-US"/>
        </w:rPr>
        <w:t xml:space="preserve">TR – Technical </w:t>
      </w:r>
      <w:r w:rsidR="00C83A41">
        <w:rPr>
          <w:lang w:val="en-US"/>
        </w:rPr>
        <w:t>r</w:t>
      </w:r>
      <w:r w:rsidRPr="009D2C43">
        <w:rPr>
          <w:lang w:val="en-US"/>
        </w:rPr>
        <w:t>eport</w:t>
      </w:r>
    </w:p>
    <w:p w:rsidR="00057F6D" w:rsidRPr="009D2C43" w:rsidRDefault="00057F6D" w:rsidP="00057F6D">
      <w:pPr>
        <w:spacing w:before="80"/>
        <w:rPr>
          <w:lang w:val="en-US"/>
        </w:rPr>
      </w:pPr>
      <w:r w:rsidRPr="009D2C43">
        <w:rPr>
          <w:lang w:val="en-US"/>
        </w:rPr>
        <w:t xml:space="preserve">UHF – Ultra </w:t>
      </w:r>
      <w:r w:rsidR="00C83A41" w:rsidRPr="009D2C43">
        <w:rPr>
          <w:lang w:val="en-US"/>
        </w:rPr>
        <w:t>high frequency</w:t>
      </w:r>
    </w:p>
    <w:p w:rsidR="00057F6D" w:rsidRDefault="00057F6D" w:rsidP="00057F6D">
      <w:pPr>
        <w:spacing w:before="80"/>
      </w:pPr>
      <w:r w:rsidRPr="00277BA8">
        <w:t xml:space="preserve">UTRA – Universal </w:t>
      </w:r>
      <w:r w:rsidR="00C83A41" w:rsidRPr="00277BA8">
        <w:t>terrestrial radio access</w:t>
      </w:r>
    </w:p>
    <w:p w:rsidR="00057F6D" w:rsidRDefault="00057F6D" w:rsidP="00057F6D">
      <w:pPr>
        <w:spacing w:before="80"/>
      </w:pPr>
    </w:p>
    <w:p w:rsidR="00057F6D" w:rsidRDefault="00057F6D" w:rsidP="00057F6D">
      <w:pPr>
        <w:spacing w:before="80"/>
      </w:pPr>
    </w:p>
    <w:p w:rsidR="00057F6D" w:rsidRPr="00277BA8" w:rsidRDefault="00057F6D" w:rsidP="00057F6D">
      <w:pPr>
        <w:spacing w:before="80"/>
      </w:pPr>
    </w:p>
    <w:p w:rsidR="00057F6D" w:rsidRDefault="00057F6D" w:rsidP="00057F6D">
      <w:pPr>
        <w:spacing w:before="0"/>
        <w:jc w:val="center"/>
      </w:pPr>
      <w:r>
        <w:t>_____________</w:t>
      </w:r>
    </w:p>
    <w:sectPr w:rsidR="00057F6D" w:rsidSect="001D6A96">
      <w:headerReference w:type="even" r:id="rId2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C5C" w:rsidRDefault="00CC1C5C">
      <w:r>
        <w:separator/>
      </w:r>
    </w:p>
  </w:endnote>
  <w:endnote w:type="continuationSeparator" w:id="0">
    <w:p w:rsidR="00CC1C5C" w:rsidRDefault="00CC1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C5C" w:rsidRDefault="00CC1C5C">
      <w:r>
        <w:separator/>
      </w:r>
    </w:p>
  </w:footnote>
  <w:footnote w:type="continuationSeparator" w:id="0">
    <w:p w:rsidR="00CC1C5C" w:rsidRDefault="00CC1C5C">
      <w:r>
        <w:continuationSeparator/>
      </w:r>
    </w:p>
  </w:footnote>
  <w:footnote w:id="1">
    <w:p w:rsidR="00CC1C5C" w:rsidRPr="00CC1C5C" w:rsidRDefault="00CC1C5C" w:rsidP="00CC1C5C">
      <w:pPr>
        <w:pStyle w:val="FootnoteText"/>
        <w:tabs>
          <w:tab w:val="clear" w:pos="794"/>
          <w:tab w:val="left" w:pos="284"/>
        </w:tabs>
        <w:rPr>
          <w:lang w:val="en-US"/>
        </w:rPr>
      </w:pPr>
      <w:r>
        <w:rPr>
          <w:rStyle w:val="FootnoteReference"/>
        </w:rPr>
        <w:footnoteRef/>
      </w:r>
      <w:r w:rsidRPr="00CC1C5C">
        <w:rPr>
          <w:lang w:val="en-US"/>
        </w:rPr>
        <w:t xml:space="preserve"> </w:t>
      </w:r>
      <w:r>
        <w:rPr>
          <w:lang w:val="en-US"/>
        </w:rPr>
        <w:tab/>
      </w:r>
      <w:r w:rsidRPr="009D2C43">
        <w:rPr>
          <w:color w:val="000000"/>
          <w:lang w:val="en-US"/>
        </w:rPr>
        <w:t>Venezuela has identified the band 380-400 MHz for public protection and disaster relief applications.</w:t>
      </w:r>
    </w:p>
  </w:footnote>
  <w:footnote w:id="2">
    <w:p w:rsidR="00CC1C5C" w:rsidRPr="00CC1C5C" w:rsidRDefault="00CC1C5C" w:rsidP="00CC1C5C">
      <w:pPr>
        <w:pStyle w:val="FootnoteText"/>
        <w:tabs>
          <w:tab w:val="clear" w:pos="794"/>
          <w:tab w:val="left" w:pos="284"/>
        </w:tabs>
        <w:ind w:left="284" w:hanging="284"/>
        <w:rPr>
          <w:lang w:val="en-US"/>
        </w:rPr>
      </w:pPr>
      <w:r>
        <w:rPr>
          <w:rStyle w:val="FootnoteReference"/>
        </w:rPr>
        <w:footnoteRef/>
      </w:r>
      <w:r w:rsidRPr="00CC1C5C">
        <w:rPr>
          <w:lang w:val="en-US"/>
        </w:rPr>
        <w:t xml:space="preserve"> </w:t>
      </w:r>
      <w:r w:rsidRPr="00CC1C5C">
        <w:rPr>
          <w:lang w:val="en-US"/>
        </w:rPr>
        <w:tab/>
      </w:r>
      <w:r w:rsidRPr="009D2C43">
        <w:rPr>
          <w:color w:val="000000"/>
          <w:lang w:val="en-US"/>
        </w:rPr>
        <w:t>Some countries in Region 3 have also identified the bands 380-400 MHz and 746-806 MHz for public protection and disaster relief applications.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C5C" w:rsidRDefault="00CC1C5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C5C" w:rsidRDefault="00CC1C5C" w:rsidP="00CC1C5C">
    <w:pPr>
      <w:pStyle w:val="Header"/>
      <w:ind w:right="360" w:firstLine="360"/>
    </w:pPr>
    <w:r>
      <w:rPr>
        <w:noProof/>
        <w:lang w:val="en-US" w:eastAsia="zh-CN"/>
      </w:rPr>
      <w:drawing>
        <wp:anchor distT="0" distB="0" distL="114300" distR="114300" simplePos="0" relativeHeight="251659264" behindDoc="1" locked="0" layoutInCell="1" allowOverlap="1" wp14:anchorId="41D0FB5E" wp14:editId="0948185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C5C" w:rsidRPr="00FC42AF" w:rsidRDefault="00CC1C5C">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D0F19">
      <w:rPr>
        <w:rStyle w:val="PageNumber"/>
        <w:b/>
        <w:bCs/>
        <w:noProof/>
      </w:rPr>
      <w:t>ii</w:t>
    </w:r>
    <w:r>
      <w:rPr>
        <w:rStyle w:val="PageNumber"/>
        <w:b/>
        <w:bCs/>
      </w:rPr>
      <w:fldChar w:fldCharType="end"/>
    </w:r>
    <w:r w:rsidRPr="00FC42AF">
      <w:tab/>
    </w:r>
    <w:r w:rsidR="00BD0F19">
      <w:fldChar w:fldCharType="begin"/>
    </w:r>
    <w:r w:rsidR="00BD0F19">
      <w:instrText xml:space="preserve"> DOCPROPERTY "Header" \* MERGEFORMAT </w:instrText>
    </w:r>
    <w:r w:rsidR="00BD0F19">
      <w:fldChar w:fldCharType="separate"/>
    </w:r>
    <w:r w:rsidRPr="00AF22D0">
      <w:rPr>
        <w:b/>
        <w:bCs/>
      </w:rPr>
      <w:t xml:space="preserve">Rec. </w:t>
    </w:r>
    <w:r w:rsidR="00BD0F19">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D0F19">
      <w:rPr>
        <w:b/>
        <w:bCs/>
        <w:noProof/>
      </w:rPr>
      <w:t>ITU-R  M.2009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C5C" w:rsidRDefault="00CC1C5C">
    <w:pPr>
      <w:pStyle w:val="Header"/>
    </w:pPr>
    <w:r>
      <w:tab/>
    </w:r>
    <w:r w:rsidR="00BD0F19">
      <w:fldChar w:fldCharType="begin"/>
    </w:r>
    <w:r w:rsidR="00BD0F19">
      <w:instrText xml:space="preserve"> DOCPROPERTY "Header" \* MERGEFORMAT </w:instrText>
    </w:r>
    <w:r w:rsidR="00BD0F19">
      <w:fldChar w:fldCharType="separate"/>
    </w:r>
    <w:r w:rsidRPr="00AF22D0">
      <w:rPr>
        <w:b/>
        <w:bCs/>
      </w:rPr>
      <w:t xml:space="preserve">Rec. </w:t>
    </w:r>
    <w:r w:rsidR="00BD0F19">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M.2009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7</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C5C" w:rsidRDefault="00CC1C5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D0F19">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057F6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D0F19">
      <w:rPr>
        <w:b/>
        <w:bCs/>
        <w:noProof/>
      </w:rPr>
      <w:t>ITU-R  M.2009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C5C" w:rsidRDefault="00CC1C5C">
    <w:pPr>
      <w:pStyle w:val="Header"/>
    </w:pPr>
    <w:r>
      <w:tab/>
    </w:r>
    <w:r w:rsidR="00BD0F19">
      <w:fldChar w:fldCharType="begin"/>
    </w:r>
    <w:r w:rsidR="00BD0F19">
      <w:instrText xml:space="preserve"> DOCPROPERTY "Header" \* MERGEFORMAT </w:instrText>
    </w:r>
    <w:r w:rsidR="00BD0F19">
      <w:fldChar w:fldCharType="separate"/>
    </w:r>
    <w:r w:rsidRPr="00057F6D">
      <w:rPr>
        <w:b/>
        <w:bCs/>
      </w:rPr>
      <w:t xml:space="preserve">Rec. </w:t>
    </w:r>
    <w:r w:rsidR="00BD0F19">
      <w:rPr>
        <w:b/>
        <w:bCs/>
      </w:rPr>
      <w:fldChar w:fldCharType="end"/>
    </w:r>
    <w:r>
      <w:rPr>
        <w:b/>
        <w:bCs/>
      </w:rPr>
      <w:t xml:space="preserve"> </w:t>
    </w:r>
    <w:r>
      <w:rPr>
        <w:b/>
        <w:bCs/>
      </w:rPr>
      <w:fldChar w:fldCharType="begin"/>
    </w:r>
    <w:r>
      <w:rPr>
        <w:b/>
        <w:bCs/>
      </w:rPr>
      <w:instrText>styleref href</w:instrText>
    </w:r>
    <w:r>
      <w:rPr>
        <w:b/>
        <w:bCs/>
      </w:rPr>
      <w:fldChar w:fldCharType="separate"/>
    </w:r>
    <w:r w:rsidR="00BD0F19">
      <w:rPr>
        <w:b/>
        <w:bCs/>
        <w:noProof/>
      </w:rPr>
      <w:t>ITU-R  M.2009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D0F19">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F6D"/>
    <w:rsid w:val="00057F6D"/>
    <w:rsid w:val="00133A09"/>
    <w:rsid w:val="001D6A96"/>
    <w:rsid w:val="00217EBF"/>
    <w:rsid w:val="00242AEE"/>
    <w:rsid w:val="002D76C4"/>
    <w:rsid w:val="003B5F86"/>
    <w:rsid w:val="003C5E15"/>
    <w:rsid w:val="004B0933"/>
    <w:rsid w:val="0052529D"/>
    <w:rsid w:val="00607D68"/>
    <w:rsid w:val="007468DA"/>
    <w:rsid w:val="008345C6"/>
    <w:rsid w:val="009E00A8"/>
    <w:rsid w:val="00A6617B"/>
    <w:rsid w:val="00AA5BBC"/>
    <w:rsid w:val="00AB0DC8"/>
    <w:rsid w:val="00B44E24"/>
    <w:rsid w:val="00BD0F19"/>
    <w:rsid w:val="00C350CB"/>
    <w:rsid w:val="00C83A41"/>
    <w:rsid w:val="00CC1C5C"/>
    <w:rsid w:val="00D77064"/>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5E1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C5E15"/>
    <w:pPr>
      <w:keepNext/>
      <w:keepLines/>
      <w:spacing w:before="480"/>
      <w:ind w:left="794" w:hanging="794"/>
      <w:outlineLvl w:val="0"/>
    </w:pPr>
    <w:rPr>
      <w:b/>
    </w:rPr>
  </w:style>
  <w:style w:type="paragraph" w:styleId="Heading2">
    <w:name w:val="heading 2"/>
    <w:basedOn w:val="Heading1"/>
    <w:next w:val="Normal"/>
    <w:qFormat/>
    <w:rsid w:val="003C5E15"/>
    <w:pPr>
      <w:spacing w:before="320"/>
      <w:outlineLvl w:val="1"/>
    </w:pPr>
  </w:style>
  <w:style w:type="paragraph" w:styleId="Heading3">
    <w:name w:val="heading 3"/>
    <w:basedOn w:val="Heading1"/>
    <w:next w:val="Normal"/>
    <w:qFormat/>
    <w:rsid w:val="003C5E15"/>
    <w:pPr>
      <w:spacing w:before="200"/>
      <w:outlineLvl w:val="2"/>
    </w:pPr>
  </w:style>
  <w:style w:type="paragraph" w:styleId="Heading4">
    <w:name w:val="heading 4"/>
    <w:basedOn w:val="Heading3"/>
    <w:next w:val="Normal"/>
    <w:qFormat/>
    <w:rsid w:val="003C5E15"/>
    <w:pPr>
      <w:tabs>
        <w:tab w:val="clear" w:pos="794"/>
        <w:tab w:val="left" w:pos="992"/>
      </w:tabs>
      <w:ind w:left="992" w:hanging="992"/>
      <w:outlineLvl w:val="3"/>
    </w:pPr>
  </w:style>
  <w:style w:type="paragraph" w:styleId="Heading5">
    <w:name w:val="heading 5"/>
    <w:basedOn w:val="Heading4"/>
    <w:next w:val="Normal"/>
    <w:qFormat/>
    <w:rsid w:val="003C5E15"/>
    <w:pPr>
      <w:outlineLvl w:val="4"/>
    </w:pPr>
  </w:style>
  <w:style w:type="paragraph" w:styleId="Heading6">
    <w:name w:val="heading 6"/>
    <w:basedOn w:val="Heading4"/>
    <w:next w:val="Normal"/>
    <w:qFormat/>
    <w:rsid w:val="003C5E15"/>
    <w:pPr>
      <w:tabs>
        <w:tab w:val="clear" w:pos="992"/>
        <w:tab w:val="clear" w:pos="1191"/>
      </w:tabs>
      <w:ind w:left="1588" w:hanging="1588"/>
      <w:outlineLvl w:val="5"/>
    </w:pPr>
  </w:style>
  <w:style w:type="paragraph" w:styleId="Heading7">
    <w:name w:val="heading 7"/>
    <w:basedOn w:val="Heading6"/>
    <w:next w:val="Normal"/>
    <w:qFormat/>
    <w:rsid w:val="003C5E15"/>
    <w:pPr>
      <w:outlineLvl w:val="6"/>
    </w:pPr>
  </w:style>
  <w:style w:type="paragraph" w:styleId="Heading8">
    <w:name w:val="heading 8"/>
    <w:basedOn w:val="Heading6"/>
    <w:next w:val="Normal"/>
    <w:qFormat/>
    <w:rsid w:val="003C5E15"/>
    <w:pPr>
      <w:outlineLvl w:val="7"/>
    </w:pPr>
  </w:style>
  <w:style w:type="paragraph" w:styleId="Heading9">
    <w:name w:val="heading 9"/>
    <w:basedOn w:val="Heading6"/>
    <w:next w:val="Normal"/>
    <w:qFormat/>
    <w:rsid w:val="003C5E1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7F6D"/>
    <w:rPr>
      <w:b/>
      <w:sz w:val="24"/>
      <w:lang w:val="fr-FR" w:eastAsia="en-US"/>
    </w:rPr>
  </w:style>
  <w:style w:type="paragraph" w:styleId="Header">
    <w:name w:val="header"/>
    <w:basedOn w:val="Normal"/>
    <w:link w:val="HeaderChar"/>
    <w:rsid w:val="003C5E15"/>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57F6D"/>
    <w:rPr>
      <w:sz w:val="24"/>
      <w:lang w:val="fr-FR" w:eastAsia="en-US"/>
    </w:rPr>
  </w:style>
  <w:style w:type="paragraph" w:styleId="Footer">
    <w:name w:val="footer"/>
    <w:basedOn w:val="Normal"/>
    <w:rsid w:val="003C5E1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C5E15"/>
  </w:style>
  <w:style w:type="paragraph" w:customStyle="1" w:styleId="Headingb">
    <w:name w:val="Heading_b"/>
    <w:basedOn w:val="Heading3"/>
    <w:next w:val="Normal"/>
    <w:rsid w:val="003C5E15"/>
    <w:pPr>
      <w:spacing w:before="160"/>
      <w:ind w:left="0" w:firstLine="0"/>
      <w:outlineLvl w:val="9"/>
    </w:pPr>
  </w:style>
  <w:style w:type="paragraph" w:customStyle="1" w:styleId="Headingi">
    <w:name w:val="Heading_i"/>
    <w:basedOn w:val="Heading3"/>
    <w:next w:val="Normal"/>
    <w:rsid w:val="003C5E15"/>
    <w:pPr>
      <w:spacing w:before="160"/>
      <w:ind w:left="0" w:firstLine="0"/>
    </w:pPr>
    <w:rPr>
      <w:b w:val="0"/>
      <w:i/>
    </w:rPr>
  </w:style>
  <w:style w:type="character" w:customStyle="1" w:styleId="href">
    <w:name w:val="href"/>
    <w:basedOn w:val="DefaultParagraphFont"/>
    <w:rsid w:val="003C5E15"/>
  </w:style>
  <w:style w:type="paragraph" w:customStyle="1" w:styleId="enumlev1">
    <w:name w:val="enumlev1"/>
    <w:basedOn w:val="Normal"/>
    <w:link w:val="enumlev1Char"/>
    <w:rsid w:val="003C5E15"/>
    <w:pPr>
      <w:spacing w:before="80"/>
      <w:ind w:left="794" w:hanging="794"/>
    </w:pPr>
  </w:style>
  <w:style w:type="character" w:customStyle="1" w:styleId="enumlev1Char">
    <w:name w:val="enumlev1 Char"/>
    <w:link w:val="enumlev1"/>
    <w:locked/>
    <w:rsid w:val="00057F6D"/>
    <w:rPr>
      <w:sz w:val="24"/>
      <w:lang w:val="fr-FR" w:eastAsia="en-US"/>
    </w:rPr>
  </w:style>
  <w:style w:type="paragraph" w:customStyle="1" w:styleId="enumlev2">
    <w:name w:val="enumlev2"/>
    <w:basedOn w:val="enumlev1"/>
    <w:rsid w:val="003C5E15"/>
    <w:pPr>
      <w:ind w:left="1191" w:hanging="397"/>
    </w:pPr>
  </w:style>
  <w:style w:type="paragraph" w:customStyle="1" w:styleId="enumlev3">
    <w:name w:val="enumlev3"/>
    <w:basedOn w:val="enumlev2"/>
    <w:rsid w:val="003C5E15"/>
    <w:pPr>
      <w:ind w:left="1588"/>
    </w:pPr>
  </w:style>
  <w:style w:type="paragraph" w:customStyle="1" w:styleId="Normalaftertitle">
    <w:name w:val="Normal_after_title"/>
    <w:basedOn w:val="Normal"/>
    <w:next w:val="Normal"/>
    <w:rsid w:val="003C5E15"/>
    <w:pPr>
      <w:spacing w:before="320"/>
    </w:pPr>
  </w:style>
  <w:style w:type="paragraph" w:customStyle="1" w:styleId="Note">
    <w:name w:val="Note"/>
    <w:basedOn w:val="Normal"/>
    <w:rsid w:val="003C5E1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C5E1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C5E15"/>
    <w:pPr>
      <w:keepNext/>
      <w:keepLines/>
      <w:spacing w:before="240"/>
      <w:jc w:val="center"/>
    </w:pPr>
    <w:rPr>
      <w:b/>
      <w:sz w:val="28"/>
    </w:rPr>
  </w:style>
  <w:style w:type="paragraph" w:customStyle="1" w:styleId="Recref">
    <w:name w:val="Rec_ref"/>
    <w:basedOn w:val="Normal"/>
    <w:next w:val="Recdate"/>
    <w:rsid w:val="003C5E15"/>
    <w:pPr>
      <w:jc w:val="center"/>
    </w:pPr>
  </w:style>
  <w:style w:type="paragraph" w:customStyle="1" w:styleId="Recdate">
    <w:name w:val="Rec_date"/>
    <w:basedOn w:val="Recref"/>
    <w:next w:val="Normalaftertitle"/>
    <w:rsid w:val="003C5E15"/>
    <w:pPr>
      <w:jc w:val="right"/>
    </w:pPr>
  </w:style>
  <w:style w:type="paragraph" w:customStyle="1" w:styleId="HeadingSum">
    <w:name w:val="Heading_Sum"/>
    <w:basedOn w:val="Headingb"/>
    <w:next w:val="Normal"/>
    <w:autoRedefine/>
    <w:rsid w:val="003C5E15"/>
    <w:pPr>
      <w:spacing w:before="240"/>
    </w:pPr>
    <w:rPr>
      <w:sz w:val="22"/>
      <w:lang w:val="es-ES_tradnl"/>
    </w:rPr>
  </w:style>
  <w:style w:type="paragraph" w:customStyle="1" w:styleId="AnnexNoTitle">
    <w:name w:val="Annex_NoTitle"/>
    <w:basedOn w:val="Normal"/>
    <w:next w:val="Normalaftertitle"/>
    <w:rsid w:val="003C5E15"/>
    <w:pPr>
      <w:keepNext/>
      <w:keepLines/>
      <w:spacing w:before="480" w:after="80"/>
      <w:jc w:val="center"/>
    </w:pPr>
    <w:rPr>
      <w:b/>
      <w:sz w:val="28"/>
    </w:rPr>
  </w:style>
  <w:style w:type="paragraph" w:customStyle="1" w:styleId="AppendixNoTitle">
    <w:name w:val="Appendix_NoTitle"/>
    <w:basedOn w:val="AnnexNoTitle"/>
    <w:next w:val="Normal"/>
    <w:rsid w:val="003C5E15"/>
  </w:style>
  <w:style w:type="paragraph" w:customStyle="1" w:styleId="Tablefin">
    <w:name w:val="Table_fin"/>
    <w:basedOn w:val="Normal"/>
    <w:next w:val="Normal"/>
    <w:rsid w:val="003C5E15"/>
    <w:pPr>
      <w:spacing w:before="0"/>
    </w:pPr>
    <w:rPr>
      <w:sz w:val="20"/>
      <w:lang w:val="en-GB"/>
    </w:rPr>
  </w:style>
  <w:style w:type="paragraph" w:customStyle="1" w:styleId="Tablehead">
    <w:name w:val="Table_head"/>
    <w:basedOn w:val="Normal"/>
    <w:next w:val="Normal"/>
    <w:rsid w:val="003C5E1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C5E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C5E15"/>
    <w:pPr>
      <w:keepNext/>
      <w:spacing w:before="360" w:after="120"/>
      <w:jc w:val="center"/>
    </w:pPr>
  </w:style>
  <w:style w:type="paragraph" w:customStyle="1" w:styleId="Tabletext">
    <w:name w:val="Table_text"/>
    <w:basedOn w:val="Normal"/>
    <w:rsid w:val="003C5E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C5E15"/>
    <w:pPr>
      <w:tabs>
        <w:tab w:val="clear" w:pos="1191"/>
        <w:tab w:val="clear" w:pos="1588"/>
        <w:tab w:val="clear" w:pos="1985"/>
        <w:tab w:val="center" w:pos="4820"/>
        <w:tab w:val="right" w:pos="9639"/>
      </w:tabs>
    </w:pPr>
  </w:style>
  <w:style w:type="paragraph" w:customStyle="1" w:styleId="Equationlegend">
    <w:name w:val="Equation_legend"/>
    <w:basedOn w:val="NormalIndent"/>
    <w:rsid w:val="003C5E1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C5E15"/>
    <w:pPr>
      <w:ind w:left="794"/>
    </w:pPr>
  </w:style>
  <w:style w:type="paragraph" w:customStyle="1" w:styleId="Figurelegend">
    <w:name w:val="Figure_legend"/>
    <w:basedOn w:val="Normal"/>
    <w:rsid w:val="003C5E1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C5E15"/>
    <w:pPr>
      <w:keepNext/>
      <w:keepLines/>
      <w:spacing w:before="480" w:after="80"/>
      <w:jc w:val="center"/>
    </w:pPr>
    <w:rPr>
      <w:caps/>
      <w:sz w:val="18"/>
    </w:rPr>
  </w:style>
  <w:style w:type="paragraph" w:customStyle="1" w:styleId="Figuretitle">
    <w:name w:val="Figure_title"/>
    <w:basedOn w:val="Normal"/>
    <w:next w:val="Figure"/>
    <w:rsid w:val="003C5E15"/>
    <w:pPr>
      <w:keepNext/>
      <w:spacing w:before="0" w:after="120"/>
      <w:jc w:val="center"/>
    </w:pPr>
    <w:rPr>
      <w:rFonts w:ascii="Times New Roman Bold" w:hAnsi="Times New Roman Bold"/>
      <w:b/>
      <w:sz w:val="18"/>
    </w:rPr>
  </w:style>
  <w:style w:type="paragraph" w:customStyle="1" w:styleId="Figure">
    <w:name w:val="Figure"/>
    <w:basedOn w:val="FigureNo"/>
    <w:next w:val="Normal"/>
    <w:rsid w:val="003C5E15"/>
    <w:pPr>
      <w:keepNext w:val="0"/>
      <w:spacing w:before="0" w:after="240"/>
    </w:pPr>
  </w:style>
  <w:style w:type="paragraph" w:customStyle="1" w:styleId="tocpart">
    <w:name w:val="tocpart"/>
    <w:basedOn w:val="Normal"/>
    <w:rsid w:val="003C5E1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C5E15"/>
    <w:pPr>
      <w:keepNext/>
      <w:keepLines/>
      <w:spacing w:before="480"/>
      <w:jc w:val="center"/>
    </w:pPr>
    <w:rPr>
      <w:sz w:val="28"/>
    </w:rPr>
  </w:style>
  <w:style w:type="paragraph" w:customStyle="1" w:styleId="Arttitle">
    <w:name w:val="Art_title"/>
    <w:basedOn w:val="Normal"/>
    <w:next w:val="Normalaftertitle"/>
    <w:rsid w:val="003C5E15"/>
    <w:pPr>
      <w:keepNext/>
      <w:keepLines/>
      <w:spacing w:before="240"/>
      <w:jc w:val="center"/>
    </w:pPr>
    <w:rPr>
      <w:b/>
      <w:sz w:val="28"/>
    </w:rPr>
  </w:style>
  <w:style w:type="paragraph" w:customStyle="1" w:styleId="Blanc">
    <w:name w:val="Blanc"/>
    <w:basedOn w:val="Normal"/>
    <w:next w:val="Tabletext"/>
    <w:rsid w:val="003C5E1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C5E1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C5E15"/>
    <w:pPr>
      <w:keepNext/>
      <w:keepLines/>
      <w:spacing w:before="160"/>
      <w:ind w:left="794"/>
    </w:pPr>
    <w:rPr>
      <w:i/>
    </w:rPr>
  </w:style>
  <w:style w:type="paragraph" w:customStyle="1" w:styleId="ChapNo">
    <w:name w:val="Chap_No"/>
    <w:basedOn w:val="ArtNo"/>
    <w:next w:val="Chaptitle"/>
    <w:rsid w:val="003C5E15"/>
    <w:rPr>
      <w:b/>
    </w:rPr>
  </w:style>
  <w:style w:type="paragraph" w:customStyle="1" w:styleId="Chaptitle">
    <w:name w:val="Chap_title"/>
    <w:basedOn w:val="Arttitle"/>
    <w:next w:val="Normalaftertitle"/>
    <w:rsid w:val="003C5E15"/>
  </w:style>
  <w:style w:type="paragraph" w:styleId="FootnoteText">
    <w:name w:val="footnote text"/>
    <w:basedOn w:val="Normal"/>
    <w:link w:val="FootnoteTextChar"/>
    <w:rsid w:val="003C5E15"/>
    <w:pPr>
      <w:keepLines/>
      <w:tabs>
        <w:tab w:val="left" w:pos="255"/>
      </w:tabs>
      <w:ind w:left="255" w:hanging="255"/>
    </w:pPr>
    <w:rPr>
      <w:sz w:val="22"/>
    </w:rPr>
  </w:style>
  <w:style w:type="character" w:customStyle="1" w:styleId="FootnoteTextChar">
    <w:name w:val="Footnote Text Char"/>
    <w:basedOn w:val="DefaultParagraphFont"/>
    <w:link w:val="FootnoteText"/>
    <w:rsid w:val="00CC1C5C"/>
    <w:rPr>
      <w:sz w:val="22"/>
      <w:lang w:val="fr-FR" w:eastAsia="en-US"/>
    </w:rPr>
  </w:style>
  <w:style w:type="paragraph" w:styleId="Index1">
    <w:name w:val="index 1"/>
    <w:basedOn w:val="Normal"/>
    <w:next w:val="Normal"/>
    <w:semiHidden/>
    <w:rsid w:val="003C5E15"/>
  </w:style>
  <w:style w:type="paragraph" w:styleId="Index2">
    <w:name w:val="index 2"/>
    <w:basedOn w:val="Normal"/>
    <w:next w:val="Normal"/>
    <w:semiHidden/>
    <w:rsid w:val="003C5E15"/>
    <w:pPr>
      <w:ind w:left="283"/>
    </w:pPr>
  </w:style>
  <w:style w:type="paragraph" w:styleId="Index3">
    <w:name w:val="index 3"/>
    <w:basedOn w:val="Normal"/>
    <w:next w:val="Normal"/>
    <w:semiHidden/>
    <w:rsid w:val="003C5E15"/>
    <w:pPr>
      <w:ind w:left="566"/>
    </w:pPr>
  </w:style>
  <w:style w:type="paragraph" w:styleId="IndexHeading">
    <w:name w:val="index heading"/>
    <w:basedOn w:val="Normal"/>
    <w:next w:val="Index1"/>
    <w:semiHidden/>
    <w:rsid w:val="003C5E15"/>
  </w:style>
  <w:style w:type="paragraph" w:customStyle="1" w:styleId="Line">
    <w:name w:val="Line"/>
    <w:basedOn w:val="Normal"/>
    <w:next w:val="Normal"/>
    <w:rsid w:val="003C5E1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C5E1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C5E15"/>
  </w:style>
  <w:style w:type="paragraph" w:customStyle="1" w:styleId="Partref">
    <w:name w:val="Part_ref"/>
    <w:basedOn w:val="Normal"/>
    <w:next w:val="Normal"/>
    <w:rsid w:val="003C5E15"/>
    <w:pPr>
      <w:keepNext/>
      <w:keepLines/>
      <w:spacing w:after="280"/>
      <w:jc w:val="center"/>
    </w:pPr>
  </w:style>
  <w:style w:type="paragraph" w:customStyle="1" w:styleId="Parttitle">
    <w:name w:val="Part_title"/>
    <w:basedOn w:val="Normal"/>
    <w:next w:val="Normalaftertitle"/>
    <w:rsid w:val="003C5E1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C5E15"/>
  </w:style>
  <w:style w:type="paragraph" w:customStyle="1" w:styleId="QuestionNo">
    <w:name w:val="Question_No"/>
    <w:basedOn w:val="RecNo"/>
    <w:next w:val="Normal"/>
    <w:rsid w:val="003C5E15"/>
  </w:style>
  <w:style w:type="paragraph" w:customStyle="1" w:styleId="Questionref">
    <w:name w:val="Question_ref"/>
    <w:basedOn w:val="Recref"/>
    <w:next w:val="Questiondate"/>
    <w:rsid w:val="003C5E15"/>
  </w:style>
  <w:style w:type="paragraph" w:customStyle="1" w:styleId="Questiontitle">
    <w:name w:val="Question_title"/>
    <w:basedOn w:val="Normal"/>
    <w:next w:val="Questionref"/>
    <w:rsid w:val="003C5E15"/>
  </w:style>
  <w:style w:type="paragraph" w:customStyle="1" w:styleId="Reftext">
    <w:name w:val="Ref_text"/>
    <w:basedOn w:val="Normal"/>
    <w:rsid w:val="003C5E15"/>
    <w:pPr>
      <w:ind w:left="794" w:hanging="794"/>
    </w:pPr>
    <w:rPr>
      <w:sz w:val="22"/>
    </w:rPr>
  </w:style>
  <w:style w:type="paragraph" w:customStyle="1" w:styleId="Reftitle">
    <w:name w:val="Ref_title"/>
    <w:basedOn w:val="Normal"/>
    <w:next w:val="Reftext"/>
    <w:rsid w:val="003C5E1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C5E15"/>
  </w:style>
  <w:style w:type="paragraph" w:customStyle="1" w:styleId="RepNo">
    <w:name w:val="Rep_No"/>
    <w:basedOn w:val="RecNo"/>
    <w:next w:val="Reptitle"/>
    <w:rsid w:val="003C5E15"/>
  </w:style>
  <w:style w:type="paragraph" w:customStyle="1" w:styleId="Reptitle">
    <w:name w:val="Rep_title"/>
    <w:basedOn w:val="Rectitle"/>
    <w:next w:val="Repref"/>
    <w:rsid w:val="003C5E15"/>
  </w:style>
  <w:style w:type="paragraph" w:customStyle="1" w:styleId="Repref">
    <w:name w:val="Rep_ref"/>
    <w:basedOn w:val="Recref"/>
    <w:next w:val="Repdate"/>
    <w:rsid w:val="003C5E15"/>
  </w:style>
  <w:style w:type="paragraph" w:customStyle="1" w:styleId="Resdate">
    <w:name w:val="Res_date"/>
    <w:basedOn w:val="Recdate"/>
    <w:next w:val="Normalaftertitle"/>
    <w:rsid w:val="003C5E15"/>
  </w:style>
  <w:style w:type="paragraph" w:customStyle="1" w:styleId="ResNo">
    <w:name w:val="Res_No"/>
    <w:basedOn w:val="RecNo"/>
    <w:next w:val="Restitle"/>
    <w:rsid w:val="003C5E15"/>
  </w:style>
  <w:style w:type="paragraph" w:customStyle="1" w:styleId="Restitle">
    <w:name w:val="Res_title"/>
    <w:basedOn w:val="Normal"/>
    <w:next w:val="Resref"/>
    <w:rsid w:val="003C5E15"/>
    <w:pPr>
      <w:spacing w:before="240"/>
      <w:jc w:val="center"/>
    </w:pPr>
    <w:rPr>
      <w:b/>
      <w:sz w:val="28"/>
    </w:rPr>
  </w:style>
  <w:style w:type="paragraph" w:customStyle="1" w:styleId="Resref">
    <w:name w:val="Res_ref"/>
    <w:basedOn w:val="Recref"/>
    <w:next w:val="Resdate"/>
    <w:rsid w:val="003C5E15"/>
  </w:style>
  <w:style w:type="paragraph" w:customStyle="1" w:styleId="SectionNo">
    <w:name w:val="Section_No"/>
    <w:basedOn w:val="Normal"/>
    <w:next w:val="Normal"/>
    <w:rsid w:val="003C5E15"/>
  </w:style>
  <w:style w:type="paragraph" w:customStyle="1" w:styleId="Sectiontitle">
    <w:name w:val="Section_title"/>
    <w:basedOn w:val="Normal"/>
    <w:next w:val="Normalaftertitle"/>
    <w:rsid w:val="003C5E1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C5E15"/>
    <w:pPr>
      <w:tabs>
        <w:tab w:val="clear" w:pos="794"/>
        <w:tab w:val="clear" w:pos="1191"/>
        <w:tab w:val="clear" w:pos="1588"/>
        <w:tab w:val="clear" w:pos="1985"/>
        <w:tab w:val="right" w:pos="9611"/>
      </w:tabs>
    </w:pPr>
    <w:rPr>
      <w:i/>
    </w:rPr>
  </w:style>
  <w:style w:type="paragraph" w:styleId="TOC1">
    <w:name w:val="toc 1"/>
    <w:basedOn w:val="Normal"/>
    <w:semiHidden/>
    <w:rsid w:val="003C5E1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C5E15"/>
    <w:pPr>
      <w:tabs>
        <w:tab w:val="clear" w:pos="567"/>
        <w:tab w:val="left" w:pos="1276"/>
      </w:tabs>
      <w:spacing w:before="160"/>
      <w:ind w:left="1276" w:hanging="709"/>
    </w:pPr>
  </w:style>
  <w:style w:type="paragraph" w:styleId="TOC3">
    <w:name w:val="toc 3"/>
    <w:basedOn w:val="TOC2"/>
    <w:semiHidden/>
    <w:rsid w:val="003C5E15"/>
    <w:pPr>
      <w:tabs>
        <w:tab w:val="clear" w:pos="1276"/>
        <w:tab w:val="left" w:pos="2155"/>
      </w:tabs>
      <w:ind w:left="2155" w:hanging="879"/>
    </w:pPr>
  </w:style>
  <w:style w:type="paragraph" w:styleId="TOC4">
    <w:name w:val="toc 4"/>
    <w:basedOn w:val="TOC3"/>
    <w:semiHidden/>
    <w:rsid w:val="003C5E15"/>
    <w:pPr>
      <w:tabs>
        <w:tab w:val="left" w:pos="3261"/>
      </w:tabs>
      <w:spacing w:before="80"/>
      <w:ind w:left="3261" w:hanging="993"/>
    </w:pPr>
  </w:style>
  <w:style w:type="paragraph" w:styleId="TOC5">
    <w:name w:val="toc 5"/>
    <w:basedOn w:val="TOC4"/>
    <w:semiHidden/>
    <w:rsid w:val="003C5E15"/>
  </w:style>
  <w:style w:type="paragraph" w:styleId="TOC6">
    <w:name w:val="toc 6"/>
    <w:basedOn w:val="TOC4"/>
    <w:semiHidden/>
    <w:rsid w:val="003C5E15"/>
  </w:style>
  <w:style w:type="paragraph" w:styleId="TOC7">
    <w:name w:val="toc 7"/>
    <w:basedOn w:val="TOC4"/>
    <w:semiHidden/>
    <w:rsid w:val="003C5E15"/>
  </w:style>
  <w:style w:type="paragraph" w:styleId="TOC8">
    <w:name w:val="toc 8"/>
    <w:basedOn w:val="TOC4"/>
    <w:semiHidden/>
    <w:rsid w:val="003C5E15"/>
  </w:style>
  <w:style w:type="paragraph" w:customStyle="1" w:styleId="Annexref">
    <w:name w:val="Annex_ref"/>
    <w:basedOn w:val="Normal"/>
    <w:next w:val="Normalaftertitle"/>
    <w:rsid w:val="003C5E15"/>
    <w:pPr>
      <w:keepNext/>
      <w:keepLines/>
      <w:spacing w:after="280"/>
      <w:jc w:val="center"/>
    </w:pPr>
  </w:style>
  <w:style w:type="paragraph" w:customStyle="1" w:styleId="Appendixref">
    <w:name w:val="Appendix_ref"/>
    <w:basedOn w:val="Annexref"/>
    <w:next w:val="Normalaftertitle"/>
    <w:rsid w:val="003C5E15"/>
  </w:style>
  <w:style w:type="paragraph" w:customStyle="1" w:styleId="Tabletitle">
    <w:name w:val="Table_title"/>
    <w:basedOn w:val="Normal"/>
    <w:next w:val="Tablehead"/>
    <w:rsid w:val="003C5E15"/>
    <w:pPr>
      <w:keepNext/>
      <w:spacing w:before="0" w:after="120"/>
      <w:jc w:val="center"/>
    </w:pPr>
    <w:rPr>
      <w:b/>
    </w:rPr>
  </w:style>
  <w:style w:type="paragraph" w:customStyle="1" w:styleId="Summary">
    <w:name w:val="Summary"/>
    <w:basedOn w:val="Normal"/>
    <w:next w:val="Normalaftertitle"/>
    <w:autoRedefine/>
    <w:rsid w:val="003C5E15"/>
    <w:pPr>
      <w:spacing w:after="480"/>
    </w:pPr>
    <w:rPr>
      <w:sz w:val="22"/>
      <w:lang w:val="es-ES_tradnl"/>
    </w:rPr>
  </w:style>
  <w:style w:type="paragraph" w:customStyle="1" w:styleId="TableLegendNote">
    <w:name w:val="Table_Legend_Note"/>
    <w:basedOn w:val="Tablelegend"/>
    <w:next w:val="Tablelegend"/>
    <w:rsid w:val="003C5E15"/>
    <w:pPr>
      <w:ind w:left="-85" w:firstLine="0"/>
    </w:pPr>
    <w:rPr>
      <w:lang w:val="en-US"/>
    </w:rPr>
  </w:style>
  <w:style w:type="character" w:styleId="FootnoteReference">
    <w:name w:val="footnote reference"/>
    <w:basedOn w:val="DefaultParagraphFont"/>
    <w:rsid w:val="003C5E15"/>
    <w:rPr>
      <w:position w:val="6"/>
      <w:sz w:val="18"/>
    </w:rPr>
  </w:style>
  <w:style w:type="character" w:styleId="Hyperlink">
    <w:name w:val="Hyperlink"/>
    <w:basedOn w:val="DefaultParagraphFont"/>
    <w:rsid w:val="00057F6D"/>
    <w:rPr>
      <w:color w:val="0000FF"/>
      <w:u w:val="single"/>
    </w:rPr>
  </w:style>
  <w:style w:type="paragraph" w:customStyle="1" w:styleId="Normalaftertitle0">
    <w:name w:val="Normal after title"/>
    <w:basedOn w:val="Normal"/>
    <w:next w:val="Normal"/>
    <w:link w:val="NormalaftertitleChar"/>
    <w:rsid w:val="00057F6D"/>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
    <w:name w:val="Normal after title Char"/>
    <w:link w:val="Normalaftertitle0"/>
    <w:locked/>
    <w:rsid w:val="00057F6D"/>
    <w:rPr>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5E1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C5E15"/>
    <w:pPr>
      <w:keepNext/>
      <w:keepLines/>
      <w:spacing w:before="480"/>
      <w:ind w:left="794" w:hanging="794"/>
      <w:outlineLvl w:val="0"/>
    </w:pPr>
    <w:rPr>
      <w:b/>
    </w:rPr>
  </w:style>
  <w:style w:type="paragraph" w:styleId="Heading2">
    <w:name w:val="heading 2"/>
    <w:basedOn w:val="Heading1"/>
    <w:next w:val="Normal"/>
    <w:qFormat/>
    <w:rsid w:val="003C5E15"/>
    <w:pPr>
      <w:spacing w:before="320"/>
      <w:outlineLvl w:val="1"/>
    </w:pPr>
  </w:style>
  <w:style w:type="paragraph" w:styleId="Heading3">
    <w:name w:val="heading 3"/>
    <w:basedOn w:val="Heading1"/>
    <w:next w:val="Normal"/>
    <w:qFormat/>
    <w:rsid w:val="003C5E15"/>
    <w:pPr>
      <w:spacing w:before="200"/>
      <w:outlineLvl w:val="2"/>
    </w:pPr>
  </w:style>
  <w:style w:type="paragraph" w:styleId="Heading4">
    <w:name w:val="heading 4"/>
    <w:basedOn w:val="Heading3"/>
    <w:next w:val="Normal"/>
    <w:qFormat/>
    <w:rsid w:val="003C5E15"/>
    <w:pPr>
      <w:tabs>
        <w:tab w:val="clear" w:pos="794"/>
        <w:tab w:val="left" w:pos="992"/>
      </w:tabs>
      <w:ind w:left="992" w:hanging="992"/>
      <w:outlineLvl w:val="3"/>
    </w:pPr>
  </w:style>
  <w:style w:type="paragraph" w:styleId="Heading5">
    <w:name w:val="heading 5"/>
    <w:basedOn w:val="Heading4"/>
    <w:next w:val="Normal"/>
    <w:qFormat/>
    <w:rsid w:val="003C5E15"/>
    <w:pPr>
      <w:outlineLvl w:val="4"/>
    </w:pPr>
  </w:style>
  <w:style w:type="paragraph" w:styleId="Heading6">
    <w:name w:val="heading 6"/>
    <w:basedOn w:val="Heading4"/>
    <w:next w:val="Normal"/>
    <w:qFormat/>
    <w:rsid w:val="003C5E15"/>
    <w:pPr>
      <w:tabs>
        <w:tab w:val="clear" w:pos="992"/>
        <w:tab w:val="clear" w:pos="1191"/>
      </w:tabs>
      <w:ind w:left="1588" w:hanging="1588"/>
      <w:outlineLvl w:val="5"/>
    </w:pPr>
  </w:style>
  <w:style w:type="paragraph" w:styleId="Heading7">
    <w:name w:val="heading 7"/>
    <w:basedOn w:val="Heading6"/>
    <w:next w:val="Normal"/>
    <w:qFormat/>
    <w:rsid w:val="003C5E15"/>
    <w:pPr>
      <w:outlineLvl w:val="6"/>
    </w:pPr>
  </w:style>
  <w:style w:type="paragraph" w:styleId="Heading8">
    <w:name w:val="heading 8"/>
    <w:basedOn w:val="Heading6"/>
    <w:next w:val="Normal"/>
    <w:qFormat/>
    <w:rsid w:val="003C5E15"/>
    <w:pPr>
      <w:outlineLvl w:val="7"/>
    </w:pPr>
  </w:style>
  <w:style w:type="paragraph" w:styleId="Heading9">
    <w:name w:val="heading 9"/>
    <w:basedOn w:val="Heading6"/>
    <w:next w:val="Normal"/>
    <w:qFormat/>
    <w:rsid w:val="003C5E1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7F6D"/>
    <w:rPr>
      <w:b/>
      <w:sz w:val="24"/>
      <w:lang w:val="fr-FR" w:eastAsia="en-US"/>
    </w:rPr>
  </w:style>
  <w:style w:type="paragraph" w:styleId="Header">
    <w:name w:val="header"/>
    <w:basedOn w:val="Normal"/>
    <w:link w:val="HeaderChar"/>
    <w:rsid w:val="003C5E15"/>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57F6D"/>
    <w:rPr>
      <w:sz w:val="24"/>
      <w:lang w:val="fr-FR" w:eastAsia="en-US"/>
    </w:rPr>
  </w:style>
  <w:style w:type="paragraph" w:styleId="Footer">
    <w:name w:val="footer"/>
    <w:basedOn w:val="Normal"/>
    <w:rsid w:val="003C5E1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C5E15"/>
  </w:style>
  <w:style w:type="paragraph" w:customStyle="1" w:styleId="Headingb">
    <w:name w:val="Heading_b"/>
    <w:basedOn w:val="Heading3"/>
    <w:next w:val="Normal"/>
    <w:rsid w:val="003C5E15"/>
    <w:pPr>
      <w:spacing w:before="160"/>
      <w:ind w:left="0" w:firstLine="0"/>
      <w:outlineLvl w:val="9"/>
    </w:pPr>
  </w:style>
  <w:style w:type="paragraph" w:customStyle="1" w:styleId="Headingi">
    <w:name w:val="Heading_i"/>
    <w:basedOn w:val="Heading3"/>
    <w:next w:val="Normal"/>
    <w:rsid w:val="003C5E15"/>
    <w:pPr>
      <w:spacing w:before="160"/>
      <w:ind w:left="0" w:firstLine="0"/>
    </w:pPr>
    <w:rPr>
      <w:b w:val="0"/>
      <w:i/>
    </w:rPr>
  </w:style>
  <w:style w:type="character" w:customStyle="1" w:styleId="href">
    <w:name w:val="href"/>
    <w:basedOn w:val="DefaultParagraphFont"/>
    <w:rsid w:val="003C5E15"/>
  </w:style>
  <w:style w:type="paragraph" w:customStyle="1" w:styleId="enumlev1">
    <w:name w:val="enumlev1"/>
    <w:basedOn w:val="Normal"/>
    <w:link w:val="enumlev1Char"/>
    <w:rsid w:val="003C5E15"/>
    <w:pPr>
      <w:spacing w:before="80"/>
      <w:ind w:left="794" w:hanging="794"/>
    </w:pPr>
  </w:style>
  <w:style w:type="character" w:customStyle="1" w:styleId="enumlev1Char">
    <w:name w:val="enumlev1 Char"/>
    <w:link w:val="enumlev1"/>
    <w:locked/>
    <w:rsid w:val="00057F6D"/>
    <w:rPr>
      <w:sz w:val="24"/>
      <w:lang w:val="fr-FR" w:eastAsia="en-US"/>
    </w:rPr>
  </w:style>
  <w:style w:type="paragraph" w:customStyle="1" w:styleId="enumlev2">
    <w:name w:val="enumlev2"/>
    <w:basedOn w:val="enumlev1"/>
    <w:rsid w:val="003C5E15"/>
    <w:pPr>
      <w:ind w:left="1191" w:hanging="397"/>
    </w:pPr>
  </w:style>
  <w:style w:type="paragraph" w:customStyle="1" w:styleId="enumlev3">
    <w:name w:val="enumlev3"/>
    <w:basedOn w:val="enumlev2"/>
    <w:rsid w:val="003C5E15"/>
    <w:pPr>
      <w:ind w:left="1588"/>
    </w:pPr>
  </w:style>
  <w:style w:type="paragraph" w:customStyle="1" w:styleId="Normalaftertitle">
    <w:name w:val="Normal_after_title"/>
    <w:basedOn w:val="Normal"/>
    <w:next w:val="Normal"/>
    <w:rsid w:val="003C5E15"/>
    <w:pPr>
      <w:spacing w:before="320"/>
    </w:pPr>
  </w:style>
  <w:style w:type="paragraph" w:customStyle="1" w:styleId="Note">
    <w:name w:val="Note"/>
    <w:basedOn w:val="Normal"/>
    <w:rsid w:val="003C5E1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C5E1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C5E15"/>
    <w:pPr>
      <w:keepNext/>
      <w:keepLines/>
      <w:spacing w:before="240"/>
      <w:jc w:val="center"/>
    </w:pPr>
    <w:rPr>
      <w:b/>
      <w:sz w:val="28"/>
    </w:rPr>
  </w:style>
  <w:style w:type="paragraph" w:customStyle="1" w:styleId="Recref">
    <w:name w:val="Rec_ref"/>
    <w:basedOn w:val="Normal"/>
    <w:next w:val="Recdate"/>
    <w:rsid w:val="003C5E15"/>
    <w:pPr>
      <w:jc w:val="center"/>
    </w:pPr>
  </w:style>
  <w:style w:type="paragraph" w:customStyle="1" w:styleId="Recdate">
    <w:name w:val="Rec_date"/>
    <w:basedOn w:val="Recref"/>
    <w:next w:val="Normalaftertitle"/>
    <w:rsid w:val="003C5E15"/>
    <w:pPr>
      <w:jc w:val="right"/>
    </w:pPr>
  </w:style>
  <w:style w:type="paragraph" w:customStyle="1" w:styleId="HeadingSum">
    <w:name w:val="Heading_Sum"/>
    <w:basedOn w:val="Headingb"/>
    <w:next w:val="Normal"/>
    <w:autoRedefine/>
    <w:rsid w:val="003C5E15"/>
    <w:pPr>
      <w:spacing w:before="240"/>
    </w:pPr>
    <w:rPr>
      <w:sz w:val="22"/>
      <w:lang w:val="es-ES_tradnl"/>
    </w:rPr>
  </w:style>
  <w:style w:type="paragraph" w:customStyle="1" w:styleId="AnnexNoTitle">
    <w:name w:val="Annex_NoTitle"/>
    <w:basedOn w:val="Normal"/>
    <w:next w:val="Normalaftertitle"/>
    <w:rsid w:val="003C5E15"/>
    <w:pPr>
      <w:keepNext/>
      <w:keepLines/>
      <w:spacing w:before="480" w:after="80"/>
      <w:jc w:val="center"/>
    </w:pPr>
    <w:rPr>
      <w:b/>
      <w:sz w:val="28"/>
    </w:rPr>
  </w:style>
  <w:style w:type="paragraph" w:customStyle="1" w:styleId="AppendixNoTitle">
    <w:name w:val="Appendix_NoTitle"/>
    <w:basedOn w:val="AnnexNoTitle"/>
    <w:next w:val="Normal"/>
    <w:rsid w:val="003C5E15"/>
  </w:style>
  <w:style w:type="paragraph" w:customStyle="1" w:styleId="Tablefin">
    <w:name w:val="Table_fin"/>
    <w:basedOn w:val="Normal"/>
    <w:next w:val="Normal"/>
    <w:rsid w:val="003C5E15"/>
    <w:pPr>
      <w:spacing w:before="0"/>
    </w:pPr>
    <w:rPr>
      <w:sz w:val="20"/>
      <w:lang w:val="en-GB"/>
    </w:rPr>
  </w:style>
  <w:style w:type="paragraph" w:customStyle="1" w:styleId="Tablehead">
    <w:name w:val="Table_head"/>
    <w:basedOn w:val="Normal"/>
    <w:next w:val="Normal"/>
    <w:rsid w:val="003C5E1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C5E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C5E15"/>
    <w:pPr>
      <w:keepNext/>
      <w:spacing w:before="360" w:after="120"/>
      <w:jc w:val="center"/>
    </w:pPr>
  </w:style>
  <w:style w:type="paragraph" w:customStyle="1" w:styleId="Tabletext">
    <w:name w:val="Table_text"/>
    <w:basedOn w:val="Normal"/>
    <w:rsid w:val="003C5E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C5E15"/>
    <w:pPr>
      <w:tabs>
        <w:tab w:val="clear" w:pos="1191"/>
        <w:tab w:val="clear" w:pos="1588"/>
        <w:tab w:val="clear" w:pos="1985"/>
        <w:tab w:val="center" w:pos="4820"/>
        <w:tab w:val="right" w:pos="9639"/>
      </w:tabs>
    </w:pPr>
  </w:style>
  <w:style w:type="paragraph" w:customStyle="1" w:styleId="Equationlegend">
    <w:name w:val="Equation_legend"/>
    <w:basedOn w:val="NormalIndent"/>
    <w:rsid w:val="003C5E1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C5E15"/>
    <w:pPr>
      <w:ind w:left="794"/>
    </w:pPr>
  </w:style>
  <w:style w:type="paragraph" w:customStyle="1" w:styleId="Figurelegend">
    <w:name w:val="Figure_legend"/>
    <w:basedOn w:val="Normal"/>
    <w:rsid w:val="003C5E1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C5E15"/>
    <w:pPr>
      <w:keepNext/>
      <w:keepLines/>
      <w:spacing w:before="480" w:after="80"/>
      <w:jc w:val="center"/>
    </w:pPr>
    <w:rPr>
      <w:caps/>
      <w:sz w:val="18"/>
    </w:rPr>
  </w:style>
  <w:style w:type="paragraph" w:customStyle="1" w:styleId="Figuretitle">
    <w:name w:val="Figure_title"/>
    <w:basedOn w:val="Normal"/>
    <w:next w:val="Figure"/>
    <w:rsid w:val="003C5E15"/>
    <w:pPr>
      <w:keepNext/>
      <w:spacing w:before="0" w:after="120"/>
      <w:jc w:val="center"/>
    </w:pPr>
    <w:rPr>
      <w:rFonts w:ascii="Times New Roman Bold" w:hAnsi="Times New Roman Bold"/>
      <w:b/>
      <w:sz w:val="18"/>
    </w:rPr>
  </w:style>
  <w:style w:type="paragraph" w:customStyle="1" w:styleId="Figure">
    <w:name w:val="Figure"/>
    <w:basedOn w:val="FigureNo"/>
    <w:next w:val="Normal"/>
    <w:rsid w:val="003C5E15"/>
    <w:pPr>
      <w:keepNext w:val="0"/>
      <w:spacing w:before="0" w:after="240"/>
    </w:pPr>
  </w:style>
  <w:style w:type="paragraph" w:customStyle="1" w:styleId="tocpart">
    <w:name w:val="tocpart"/>
    <w:basedOn w:val="Normal"/>
    <w:rsid w:val="003C5E1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C5E15"/>
    <w:pPr>
      <w:keepNext/>
      <w:keepLines/>
      <w:spacing w:before="480"/>
      <w:jc w:val="center"/>
    </w:pPr>
    <w:rPr>
      <w:sz w:val="28"/>
    </w:rPr>
  </w:style>
  <w:style w:type="paragraph" w:customStyle="1" w:styleId="Arttitle">
    <w:name w:val="Art_title"/>
    <w:basedOn w:val="Normal"/>
    <w:next w:val="Normalaftertitle"/>
    <w:rsid w:val="003C5E15"/>
    <w:pPr>
      <w:keepNext/>
      <w:keepLines/>
      <w:spacing w:before="240"/>
      <w:jc w:val="center"/>
    </w:pPr>
    <w:rPr>
      <w:b/>
      <w:sz w:val="28"/>
    </w:rPr>
  </w:style>
  <w:style w:type="paragraph" w:customStyle="1" w:styleId="Blanc">
    <w:name w:val="Blanc"/>
    <w:basedOn w:val="Normal"/>
    <w:next w:val="Tabletext"/>
    <w:rsid w:val="003C5E1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C5E1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C5E15"/>
    <w:pPr>
      <w:keepNext/>
      <w:keepLines/>
      <w:spacing w:before="160"/>
      <w:ind w:left="794"/>
    </w:pPr>
    <w:rPr>
      <w:i/>
    </w:rPr>
  </w:style>
  <w:style w:type="paragraph" w:customStyle="1" w:styleId="ChapNo">
    <w:name w:val="Chap_No"/>
    <w:basedOn w:val="ArtNo"/>
    <w:next w:val="Chaptitle"/>
    <w:rsid w:val="003C5E15"/>
    <w:rPr>
      <w:b/>
    </w:rPr>
  </w:style>
  <w:style w:type="paragraph" w:customStyle="1" w:styleId="Chaptitle">
    <w:name w:val="Chap_title"/>
    <w:basedOn w:val="Arttitle"/>
    <w:next w:val="Normalaftertitle"/>
    <w:rsid w:val="003C5E15"/>
  </w:style>
  <w:style w:type="paragraph" w:styleId="FootnoteText">
    <w:name w:val="footnote text"/>
    <w:basedOn w:val="Normal"/>
    <w:link w:val="FootnoteTextChar"/>
    <w:rsid w:val="003C5E15"/>
    <w:pPr>
      <w:keepLines/>
      <w:tabs>
        <w:tab w:val="left" w:pos="255"/>
      </w:tabs>
      <w:ind w:left="255" w:hanging="255"/>
    </w:pPr>
    <w:rPr>
      <w:sz w:val="22"/>
    </w:rPr>
  </w:style>
  <w:style w:type="character" w:customStyle="1" w:styleId="FootnoteTextChar">
    <w:name w:val="Footnote Text Char"/>
    <w:basedOn w:val="DefaultParagraphFont"/>
    <w:link w:val="FootnoteText"/>
    <w:rsid w:val="00CC1C5C"/>
    <w:rPr>
      <w:sz w:val="22"/>
      <w:lang w:val="fr-FR" w:eastAsia="en-US"/>
    </w:rPr>
  </w:style>
  <w:style w:type="paragraph" w:styleId="Index1">
    <w:name w:val="index 1"/>
    <w:basedOn w:val="Normal"/>
    <w:next w:val="Normal"/>
    <w:semiHidden/>
    <w:rsid w:val="003C5E15"/>
  </w:style>
  <w:style w:type="paragraph" w:styleId="Index2">
    <w:name w:val="index 2"/>
    <w:basedOn w:val="Normal"/>
    <w:next w:val="Normal"/>
    <w:semiHidden/>
    <w:rsid w:val="003C5E15"/>
    <w:pPr>
      <w:ind w:left="283"/>
    </w:pPr>
  </w:style>
  <w:style w:type="paragraph" w:styleId="Index3">
    <w:name w:val="index 3"/>
    <w:basedOn w:val="Normal"/>
    <w:next w:val="Normal"/>
    <w:semiHidden/>
    <w:rsid w:val="003C5E15"/>
    <w:pPr>
      <w:ind w:left="566"/>
    </w:pPr>
  </w:style>
  <w:style w:type="paragraph" w:styleId="IndexHeading">
    <w:name w:val="index heading"/>
    <w:basedOn w:val="Normal"/>
    <w:next w:val="Index1"/>
    <w:semiHidden/>
    <w:rsid w:val="003C5E15"/>
  </w:style>
  <w:style w:type="paragraph" w:customStyle="1" w:styleId="Line">
    <w:name w:val="Line"/>
    <w:basedOn w:val="Normal"/>
    <w:next w:val="Normal"/>
    <w:rsid w:val="003C5E1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C5E1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C5E15"/>
  </w:style>
  <w:style w:type="paragraph" w:customStyle="1" w:styleId="Partref">
    <w:name w:val="Part_ref"/>
    <w:basedOn w:val="Normal"/>
    <w:next w:val="Normal"/>
    <w:rsid w:val="003C5E15"/>
    <w:pPr>
      <w:keepNext/>
      <w:keepLines/>
      <w:spacing w:after="280"/>
      <w:jc w:val="center"/>
    </w:pPr>
  </w:style>
  <w:style w:type="paragraph" w:customStyle="1" w:styleId="Parttitle">
    <w:name w:val="Part_title"/>
    <w:basedOn w:val="Normal"/>
    <w:next w:val="Normalaftertitle"/>
    <w:rsid w:val="003C5E1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C5E15"/>
  </w:style>
  <w:style w:type="paragraph" w:customStyle="1" w:styleId="QuestionNo">
    <w:name w:val="Question_No"/>
    <w:basedOn w:val="RecNo"/>
    <w:next w:val="Normal"/>
    <w:rsid w:val="003C5E15"/>
  </w:style>
  <w:style w:type="paragraph" w:customStyle="1" w:styleId="Questionref">
    <w:name w:val="Question_ref"/>
    <w:basedOn w:val="Recref"/>
    <w:next w:val="Questiondate"/>
    <w:rsid w:val="003C5E15"/>
  </w:style>
  <w:style w:type="paragraph" w:customStyle="1" w:styleId="Questiontitle">
    <w:name w:val="Question_title"/>
    <w:basedOn w:val="Normal"/>
    <w:next w:val="Questionref"/>
    <w:rsid w:val="003C5E15"/>
  </w:style>
  <w:style w:type="paragraph" w:customStyle="1" w:styleId="Reftext">
    <w:name w:val="Ref_text"/>
    <w:basedOn w:val="Normal"/>
    <w:rsid w:val="003C5E15"/>
    <w:pPr>
      <w:ind w:left="794" w:hanging="794"/>
    </w:pPr>
    <w:rPr>
      <w:sz w:val="22"/>
    </w:rPr>
  </w:style>
  <w:style w:type="paragraph" w:customStyle="1" w:styleId="Reftitle">
    <w:name w:val="Ref_title"/>
    <w:basedOn w:val="Normal"/>
    <w:next w:val="Reftext"/>
    <w:rsid w:val="003C5E1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C5E15"/>
  </w:style>
  <w:style w:type="paragraph" w:customStyle="1" w:styleId="RepNo">
    <w:name w:val="Rep_No"/>
    <w:basedOn w:val="RecNo"/>
    <w:next w:val="Reptitle"/>
    <w:rsid w:val="003C5E15"/>
  </w:style>
  <w:style w:type="paragraph" w:customStyle="1" w:styleId="Reptitle">
    <w:name w:val="Rep_title"/>
    <w:basedOn w:val="Rectitle"/>
    <w:next w:val="Repref"/>
    <w:rsid w:val="003C5E15"/>
  </w:style>
  <w:style w:type="paragraph" w:customStyle="1" w:styleId="Repref">
    <w:name w:val="Rep_ref"/>
    <w:basedOn w:val="Recref"/>
    <w:next w:val="Repdate"/>
    <w:rsid w:val="003C5E15"/>
  </w:style>
  <w:style w:type="paragraph" w:customStyle="1" w:styleId="Resdate">
    <w:name w:val="Res_date"/>
    <w:basedOn w:val="Recdate"/>
    <w:next w:val="Normalaftertitle"/>
    <w:rsid w:val="003C5E15"/>
  </w:style>
  <w:style w:type="paragraph" w:customStyle="1" w:styleId="ResNo">
    <w:name w:val="Res_No"/>
    <w:basedOn w:val="RecNo"/>
    <w:next w:val="Restitle"/>
    <w:rsid w:val="003C5E15"/>
  </w:style>
  <w:style w:type="paragraph" w:customStyle="1" w:styleId="Restitle">
    <w:name w:val="Res_title"/>
    <w:basedOn w:val="Normal"/>
    <w:next w:val="Resref"/>
    <w:rsid w:val="003C5E15"/>
    <w:pPr>
      <w:spacing w:before="240"/>
      <w:jc w:val="center"/>
    </w:pPr>
    <w:rPr>
      <w:b/>
      <w:sz w:val="28"/>
    </w:rPr>
  </w:style>
  <w:style w:type="paragraph" w:customStyle="1" w:styleId="Resref">
    <w:name w:val="Res_ref"/>
    <w:basedOn w:val="Recref"/>
    <w:next w:val="Resdate"/>
    <w:rsid w:val="003C5E15"/>
  </w:style>
  <w:style w:type="paragraph" w:customStyle="1" w:styleId="SectionNo">
    <w:name w:val="Section_No"/>
    <w:basedOn w:val="Normal"/>
    <w:next w:val="Normal"/>
    <w:rsid w:val="003C5E15"/>
  </w:style>
  <w:style w:type="paragraph" w:customStyle="1" w:styleId="Sectiontitle">
    <w:name w:val="Section_title"/>
    <w:basedOn w:val="Normal"/>
    <w:next w:val="Normalaftertitle"/>
    <w:rsid w:val="003C5E1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C5E15"/>
    <w:pPr>
      <w:tabs>
        <w:tab w:val="clear" w:pos="794"/>
        <w:tab w:val="clear" w:pos="1191"/>
        <w:tab w:val="clear" w:pos="1588"/>
        <w:tab w:val="clear" w:pos="1985"/>
        <w:tab w:val="right" w:pos="9611"/>
      </w:tabs>
    </w:pPr>
    <w:rPr>
      <w:i/>
    </w:rPr>
  </w:style>
  <w:style w:type="paragraph" w:styleId="TOC1">
    <w:name w:val="toc 1"/>
    <w:basedOn w:val="Normal"/>
    <w:semiHidden/>
    <w:rsid w:val="003C5E1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C5E15"/>
    <w:pPr>
      <w:tabs>
        <w:tab w:val="clear" w:pos="567"/>
        <w:tab w:val="left" w:pos="1276"/>
      </w:tabs>
      <w:spacing w:before="160"/>
      <w:ind w:left="1276" w:hanging="709"/>
    </w:pPr>
  </w:style>
  <w:style w:type="paragraph" w:styleId="TOC3">
    <w:name w:val="toc 3"/>
    <w:basedOn w:val="TOC2"/>
    <w:semiHidden/>
    <w:rsid w:val="003C5E15"/>
    <w:pPr>
      <w:tabs>
        <w:tab w:val="clear" w:pos="1276"/>
        <w:tab w:val="left" w:pos="2155"/>
      </w:tabs>
      <w:ind w:left="2155" w:hanging="879"/>
    </w:pPr>
  </w:style>
  <w:style w:type="paragraph" w:styleId="TOC4">
    <w:name w:val="toc 4"/>
    <w:basedOn w:val="TOC3"/>
    <w:semiHidden/>
    <w:rsid w:val="003C5E15"/>
    <w:pPr>
      <w:tabs>
        <w:tab w:val="left" w:pos="3261"/>
      </w:tabs>
      <w:spacing w:before="80"/>
      <w:ind w:left="3261" w:hanging="993"/>
    </w:pPr>
  </w:style>
  <w:style w:type="paragraph" w:styleId="TOC5">
    <w:name w:val="toc 5"/>
    <w:basedOn w:val="TOC4"/>
    <w:semiHidden/>
    <w:rsid w:val="003C5E15"/>
  </w:style>
  <w:style w:type="paragraph" w:styleId="TOC6">
    <w:name w:val="toc 6"/>
    <w:basedOn w:val="TOC4"/>
    <w:semiHidden/>
    <w:rsid w:val="003C5E15"/>
  </w:style>
  <w:style w:type="paragraph" w:styleId="TOC7">
    <w:name w:val="toc 7"/>
    <w:basedOn w:val="TOC4"/>
    <w:semiHidden/>
    <w:rsid w:val="003C5E15"/>
  </w:style>
  <w:style w:type="paragraph" w:styleId="TOC8">
    <w:name w:val="toc 8"/>
    <w:basedOn w:val="TOC4"/>
    <w:semiHidden/>
    <w:rsid w:val="003C5E15"/>
  </w:style>
  <w:style w:type="paragraph" w:customStyle="1" w:styleId="Annexref">
    <w:name w:val="Annex_ref"/>
    <w:basedOn w:val="Normal"/>
    <w:next w:val="Normalaftertitle"/>
    <w:rsid w:val="003C5E15"/>
    <w:pPr>
      <w:keepNext/>
      <w:keepLines/>
      <w:spacing w:after="280"/>
      <w:jc w:val="center"/>
    </w:pPr>
  </w:style>
  <w:style w:type="paragraph" w:customStyle="1" w:styleId="Appendixref">
    <w:name w:val="Appendix_ref"/>
    <w:basedOn w:val="Annexref"/>
    <w:next w:val="Normalaftertitle"/>
    <w:rsid w:val="003C5E15"/>
  </w:style>
  <w:style w:type="paragraph" w:customStyle="1" w:styleId="Tabletitle">
    <w:name w:val="Table_title"/>
    <w:basedOn w:val="Normal"/>
    <w:next w:val="Tablehead"/>
    <w:rsid w:val="003C5E15"/>
    <w:pPr>
      <w:keepNext/>
      <w:spacing w:before="0" w:after="120"/>
      <w:jc w:val="center"/>
    </w:pPr>
    <w:rPr>
      <w:b/>
    </w:rPr>
  </w:style>
  <w:style w:type="paragraph" w:customStyle="1" w:styleId="Summary">
    <w:name w:val="Summary"/>
    <w:basedOn w:val="Normal"/>
    <w:next w:val="Normalaftertitle"/>
    <w:autoRedefine/>
    <w:rsid w:val="003C5E15"/>
    <w:pPr>
      <w:spacing w:after="480"/>
    </w:pPr>
    <w:rPr>
      <w:sz w:val="22"/>
      <w:lang w:val="es-ES_tradnl"/>
    </w:rPr>
  </w:style>
  <w:style w:type="paragraph" w:customStyle="1" w:styleId="TableLegendNote">
    <w:name w:val="Table_Legend_Note"/>
    <w:basedOn w:val="Tablelegend"/>
    <w:next w:val="Tablelegend"/>
    <w:rsid w:val="003C5E15"/>
    <w:pPr>
      <w:ind w:left="-85" w:firstLine="0"/>
    </w:pPr>
    <w:rPr>
      <w:lang w:val="en-US"/>
    </w:rPr>
  </w:style>
  <w:style w:type="character" w:styleId="FootnoteReference">
    <w:name w:val="footnote reference"/>
    <w:basedOn w:val="DefaultParagraphFont"/>
    <w:rsid w:val="003C5E15"/>
    <w:rPr>
      <w:position w:val="6"/>
      <w:sz w:val="18"/>
    </w:rPr>
  </w:style>
  <w:style w:type="character" w:styleId="Hyperlink">
    <w:name w:val="Hyperlink"/>
    <w:basedOn w:val="DefaultParagraphFont"/>
    <w:rsid w:val="00057F6D"/>
    <w:rPr>
      <w:color w:val="0000FF"/>
      <w:u w:val="single"/>
    </w:rPr>
  </w:style>
  <w:style w:type="paragraph" w:customStyle="1" w:styleId="Normalaftertitle0">
    <w:name w:val="Normal after title"/>
    <w:basedOn w:val="Normal"/>
    <w:next w:val="Normal"/>
    <w:link w:val="NormalaftertitleChar"/>
    <w:rsid w:val="00057F6D"/>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
    <w:name w:val="Normal after title Char"/>
    <w:link w:val="Normalaftertitle0"/>
    <w:locked/>
    <w:rsid w:val="00057F6D"/>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tu.int/rec/R-REC-M.1801/en" TargetMode="External"/><Relationship Id="rId26" Type="http://schemas.openxmlformats.org/officeDocument/2006/relationships/hyperlink" Target="http://www.itu.int/publ/R-REP-M.2014/en" TargetMode="External"/><Relationship Id="rId3" Type="http://schemas.microsoft.com/office/2007/relationships/stylesWithEffects" Target="stylesWithEffects.xml"/><Relationship Id="rId21" Type="http://schemas.openxmlformats.org/officeDocument/2006/relationships/hyperlink" Target="http://www.itu.int/rec/R-REC-M.1457/e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tu.int/rec/R-REC-M.1457/en" TargetMode="External"/><Relationship Id="rId25" Type="http://schemas.openxmlformats.org/officeDocument/2006/relationships/hyperlink" Target="http://www.itu.int/publ/R-REP-M.2014/en" TargetMode="External"/><Relationship Id="rId2" Type="http://schemas.openxmlformats.org/officeDocument/2006/relationships/styles" Target="styles.xml"/><Relationship Id="rId16" Type="http://schemas.openxmlformats.org/officeDocument/2006/relationships/hyperlink" Target="http://www.itu.int/rec/R-REC-M.1801/en" TargetMode="External"/><Relationship Id="rId20" Type="http://schemas.openxmlformats.org/officeDocument/2006/relationships/hyperlink" Target="http://www.itu.int/rec/R-REC-M.1801/e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yperlink" Target="http://www.itu.int/rec/R-REC-M.1457/en" TargetMode="External"/><Relationship Id="rId5" Type="http://schemas.openxmlformats.org/officeDocument/2006/relationships/webSettings" Target="webSettings.xml"/><Relationship Id="rId15" Type="http://schemas.openxmlformats.org/officeDocument/2006/relationships/hyperlink" Target="http://www.itu.int/rec/R-REC-M.1457/en" TargetMode="External"/><Relationship Id="rId23" Type="http://schemas.openxmlformats.org/officeDocument/2006/relationships/hyperlink" Target="http://www.itu.int/rec/R-REC-M.1457/en" TargetMode="External"/><Relationship Id="rId28"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hyperlink" Target="http://www.itu.int/rec/R-REC-M.1457/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M.1801/en" TargetMode="External"/><Relationship Id="rId22" Type="http://schemas.openxmlformats.org/officeDocument/2006/relationships/hyperlink" Target="http://www.itu.int/rec/R-REC-M.1801/en" TargetMode="External"/><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33E22-8EBB-4A4D-B4E2-57B4B7096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TotalTime>
  <Pages>9</Pages>
  <Words>2889</Words>
  <Characters>16469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12</cp:revision>
  <cp:lastPrinted>2005-02-10T15:54:00Z</cp:lastPrinted>
  <dcterms:created xsi:type="dcterms:W3CDTF">2012-03-12T08:07:00Z</dcterms:created>
  <dcterms:modified xsi:type="dcterms:W3CDTF">2012-03-12T09:40:00Z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