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518" w:rsidRPr="008E36E3" w:rsidRDefault="00625518" w:rsidP="00625518">
      <w:pPr>
        <w:rPr>
          <w:lang w:val="es-ES_tradnl"/>
        </w:rPr>
      </w:pPr>
    </w:p>
    <w:p w:rsidR="00625518" w:rsidRPr="008E36E3" w:rsidRDefault="00625518" w:rsidP="00625518">
      <w:pPr>
        <w:rPr>
          <w:lang w:val="es-ES_tradnl"/>
        </w:rPr>
      </w:pPr>
    </w:p>
    <w:p w:rsidR="00625518" w:rsidRPr="008E36E3" w:rsidRDefault="00625518" w:rsidP="00625518">
      <w:pPr>
        <w:rPr>
          <w:lang w:val="es-ES_tradnl"/>
        </w:rPr>
      </w:pPr>
    </w:p>
    <w:p w:rsidR="00625518" w:rsidRPr="008E36E3" w:rsidRDefault="00625518" w:rsidP="00625518">
      <w:pPr>
        <w:rPr>
          <w:lang w:val="es-ES_tradnl"/>
        </w:rPr>
      </w:pPr>
    </w:p>
    <w:p w:rsidR="00625518" w:rsidRPr="008E36E3" w:rsidRDefault="00625518" w:rsidP="00625518">
      <w:pPr>
        <w:rPr>
          <w:lang w:val="es-ES_tradnl"/>
        </w:rPr>
      </w:pPr>
    </w:p>
    <w:p w:rsidR="00625518" w:rsidRPr="008E36E3" w:rsidRDefault="00625518" w:rsidP="00625518">
      <w:pPr>
        <w:rPr>
          <w:lang w:val="es-ES_tradnl"/>
        </w:rPr>
      </w:pPr>
    </w:p>
    <w:p w:rsidR="00625518" w:rsidRPr="008E36E3" w:rsidRDefault="00625518" w:rsidP="00625518">
      <w:pPr>
        <w:rPr>
          <w:lang w:val="es-ES_tradnl"/>
        </w:rPr>
      </w:pPr>
    </w:p>
    <w:p w:rsidR="00625518" w:rsidRPr="008E36E3" w:rsidRDefault="00625518" w:rsidP="00625518">
      <w:pPr>
        <w:rPr>
          <w:lang w:val="es-ES_tradnl"/>
        </w:rPr>
      </w:pPr>
    </w:p>
    <w:p w:rsidR="00625518" w:rsidRPr="008E36E3" w:rsidRDefault="00625518" w:rsidP="00625518">
      <w:pPr>
        <w:rPr>
          <w:lang w:val="es-ES_tradnl"/>
        </w:rPr>
      </w:pPr>
    </w:p>
    <w:tbl>
      <w:tblPr>
        <w:tblW w:w="10089" w:type="dxa"/>
        <w:tblLook w:val="01E0" w:firstRow="1" w:lastRow="1" w:firstColumn="1" w:lastColumn="1" w:noHBand="0" w:noVBand="0"/>
      </w:tblPr>
      <w:tblGrid>
        <w:gridCol w:w="10089"/>
      </w:tblGrid>
      <w:tr w:rsidR="00625518" w:rsidRPr="008E36E3" w:rsidTr="000577F1">
        <w:tc>
          <w:tcPr>
            <w:tcW w:w="10089" w:type="dxa"/>
          </w:tcPr>
          <w:p w:rsidR="00625518" w:rsidRPr="008E36E3" w:rsidRDefault="00625518" w:rsidP="000577F1">
            <w:pPr>
              <w:spacing w:before="380" w:line="280" w:lineRule="exact"/>
              <w:jc w:val="right"/>
              <w:rPr>
                <w:rFonts w:ascii="Tahoma" w:hAnsi="Tahoma" w:cs="Tahoma"/>
                <w:b/>
                <w:bCs/>
                <w:iCs/>
                <w:color w:val="243285"/>
                <w:sz w:val="32"/>
                <w:szCs w:val="32"/>
                <w:lang w:val="es-ES_tradnl"/>
              </w:rPr>
            </w:pPr>
          </w:p>
          <w:p w:rsidR="00625518" w:rsidRPr="008E36E3" w:rsidRDefault="00625518" w:rsidP="00625518">
            <w:pPr>
              <w:spacing w:before="380" w:line="280" w:lineRule="exact"/>
              <w:jc w:val="right"/>
              <w:rPr>
                <w:rFonts w:ascii="Tahoma" w:hAnsi="Tahoma" w:cs="Tahoma"/>
                <w:b/>
                <w:bCs/>
                <w:iCs/>
                <w:color w:val="243285"/>
                <w:sz w:val="36"/>
                <w:szCs w:val="36"/>
                <w:lang w:val="es-ES_tradnl"/>
              </w:rPr>
            </w:pPr>
            <w:r w:rsidRPr="008E36E3">
              <w:rPr>
                <w:rFonts w:ascii="Tahoma" w:hAnsi="Tahoma" w:cs="Tahoma"/>
                <w:b/>
                <w:bCs/>
                <w:iCs/>
                <w:color w:val="243285"/>
                <w:sz w:val="36"/>
                <w:szCs w:val="36"/>
                <w:lang w:val="es-ES_tradnl"/>
              </w:rPr>
              <w:t>Recomendación  UIT-R  M.2007</w:t>
            </w:r>
          </w:p>
          <w:p w:rsidR="00625518" w:rsidRPr="008E36E3" w:rsidRDefault="00625518" w:rsidP="00625518">
            <w:pPr>
              <w:spacing w:before="80" w:line="280" w:lineRule="exact"/>
              <w:jc w:val="right"/>
              <w:rPr>
                <w:rFonts w:ascii="Tahoma" w:hAnsi="Tahoma" w:cs="Tahoma"/>
                <w:b/>
                <w:bCs/>
                <w:iCs/>
                <w:color w:val="243285"/>
                <w:szCs w:val="24"/>
                <w:lang w:val="es-ES_tradnl"/>
              </w:rPr>
            </w:pPr>
            <w:r w:rsidRPr="008E36E3">
              <w:rPr>
                <w:rFonts w:ascii="Tahoma" w:hAnsi="Tahoma" w:cs="Tahoma"/>
                <w:b/>
                <w:bCs/>
                <w:iCs/>
                <w:color w:val="243285"/>
                <w:szCs w:val="24"/>
                <w:lang w:val="es-ES_tradnl"/>
              </w:rPr>
              <w:t>(03/2007)</w:t>
            </w:r>
          </w:p>
        </w:tc>
      </w:tr>
      <w:tr w:rsidR="00625518" w:rsidRPr="00EC7D2F" w:rsidTr="000577F1">
        <w:tc>
          <w:tcPr>
            <w:tcW w:w="10089" w:type="dxa"/>
          </w:tcPr>
          <w:p w:rsidR="00625518" w:rsidRPr="008E36E3" w:rsidRDefault="00625518" w:rsidP="000577F1">
            <w:pPr>
              <w:spacing w:before="80" w:line="500" w:lineRule="exact"/>
              <w:jc w:val="right"/>
              <w:rPr>
                <w:rFonts w:ascii="Tahoma" w:hAnsi="Tahoma" w:cs="Tahoma"/>
                <w:b/>
                <w:bCs/>
                <w:iCs/>
                <w:color w:val="243285"/>
                <w:sz w:val="44"/>
                <w:szCs w:val="44"/>
                <w:lang w:val="es-ES_tradnl"/>
              </w:rPr>
            </w:pPr>
          </w:p>
          <w:p w:rsidR="00625518" w:rsidRPr="008E36E3" w:rsidRDefault="00625518" w:rsidP="000577F1">
            <w:pPr>
              <w:spacing w:before="80" w:line="500" w:lineRule="exact"/>
              <w:jc w:val="right"/>
              <w:rPr>
                <w:rFonts w:ascii="Tahoma" w:hAnsi="Tahoma" w:cs="Tahoma"/>
                <w:b/>
                <w:bCs/>
                <w:iCs/>
                <w:color w:val="243285"/>
                <w:sz w:val="44"/>
                <w:szCs w:val="44"/>
                <w:lang w:val="es-ES_tradnl"/>
              </w:rPr>
            </w:pPr>
          </w:p>
          <w:p w:rsidR="00625518" w:rsidRPr="008E36E3" w:rsidRDefault="00625518" w:rsidP="00DC518A">
            <w:pPr>
              <w:spacing w:before="80" w:line="500" w:lineRule="exact"/>
              <w:jc w:val="right"/>
              <w:rPr>
                <w:rFonts w:ascii="Tahoma" w:hAnsi="Tahoma" w:cs="Tahoma"/>
                <w:b/>
                <w:bCs/>
                <w:color w:val="243285"/>
                <w:sz w:val="44"/>
                <w:szCs w:val="44"/>
                <w:lang w:val="es-ES_tradnl"/>
              </w:rPr>
            </w:pPr>
            <w:r w:rsidRPr="008E36E3">
              <w:rPr>
                <w:rFonts w:ascii="Tahoma" w:hAnsi="Tahoma" w:cs="Tahoma"/>
                <w:b/>
                <w:bCs/>
                <w:iCs/>
                <w:color w:val="243285"/>
                <w:sz w:val="44"/>
                <w:szCs w:val="44"/>
                <w:lang w:val="es-ES_tradnl"/>
              </w:rPr>
              <w:t>Características y criterios de protección</w:t>
            </w:r>
            <w:r w:rsidR="00DC518A">
              <w:rPr>
                <w:rFonts w:ascii="Tahoma" w:hAnsi="Tahoma" w:cs="Tahoma"/>
                <w:b/>
                <w:bCs/>
                <w:iCs/>
                <w:color w:val="243285"/>
                <w:sz w:val="44"/>
                <w:szCs w:val="44"/>
                <w:lang w:val="es-ES_tradnl"/>
              </w:rPr>
              <w:br/>
            </w:r>
            <w:r w:rsidRPr="008E36E3">
              <w:rPr>
                <w:rFonts w:ascii="Tahoma" w:hAnsi="Tahoma" w:cs="Tahoma"/>
                <w:b/>
                <w:bCs/>
                <w:iCs/>
                <w:color w:val="243285"/>
                <w:sz w:val="44"/>
                <w:szCs w:val="44"/>
                <w:lang w:val="es-ES_tradnl"/>
              </w:rPr>
              <w:t>de los radares que funcionan en</w:t>
            </w:r>
            <w:r w:rsidR="00DC518A">
              <w:rPr>
                <w:rFonts w:ascii="Tahoma" w:hAnsi="Tahoma" w:cs="Tahoma"/>
                <w:b/>
                <w:bCs/>
                <w:iCs/>
                <w:color w:val="243285"/>
                <w:sz w:val="44"/>
                <w:szCs w:val="44"/>
                <w:lang w:val="es-ES_tradnl"/>
              </w:rPr>
              <w:br/>
            </w:r>
            <w:r w:rsidRPr="008E36E3">
              <w:rPr>
                <w:rFonts w:ascii="Tahoma" w:hAnsi="Tahoma" w:cs="Tahoma"/>
                <w:b/>
                <w:bCs/>
                <w:iCs/>
                <w:color w:val="243285"/>
                <w:sz w:val="44"/>
                <w:szCs w:val="44"/>
                <w:lang w:val="es-ES_tradnl"/>
              </w:rPr>
              <w:t>el servicio de radionavegación</w:t>
            </w:r>
            <w:r w:rsidR="00DC518A">
              <w:rPr>
                <w:rFonts w:ascii="Tahoma" w:hAnsi="Tahoma" w:cs="Tahoma"/>
                <w:b/>
                <w:bCs/>
                <w:iCs/>
                <w:color w:val="243285"/>
                <w:sz w:val="44"/>
                <w:szCs w:val="44"/>
                <w:lang w:val="es-ES_tradnl"/>
              </w:rPr>
              <w:br/>
            </w:r>
            <w:r w:rsidRPr="008E36E3">
              <w:rPr>
                <w:rFonts w:ascii="Tahoma" w:hAnsi="Tahoma" w:cs="Tahoma"/>
                <w:b/>
                <w:bCs/>
                <w:iCs/>
                <w:color w:val="243285"/>
                <w:sz w:val="44"/>
                <w:szCs w:val="44"/>
                <w:lang w:val="es-ES_tradnl"/>
              </w:rPr>
              <w:t>aeronáutica (SRNA) en</w:t>
            </w:r>
            <w:r w:rsidR="00DC518A">
              <w:rPr>
                <w:rFonts w:ascii="Tahoma" w:hAnsi="Tahoma" w:cs="Tahoma"/>
                <w:b/>
                <w:bCs/>
                <w:iCs/>
                <w:color w:val="243285"/>
                <w:sz w:val="44"/>
                <w:szCs w:val="44"/>
                <w:lang w:val="es-ES_tradnl"/>
              </w:rPr>
              <w:t xml:space="preserve"> la</w:t>
            </w:r>
            <w:r w:rsidR="00DC518A">
              <w:rPr>
                <w:rFonts w:ascii="Tahoma" w:hAnsi="Tahoma" w:cs="Tahoma"/>
                <w:b/>
                <w:bCs/>
                <w:iCs/>
                <w:color w:val="243285"/>
                <w:sz w:val="44"/>
                <w:szCs w:val="44"/>
                <w:lang w:val="es-ES_tradnl"/>
              </w:rPr>
              <w:br/>
            </w:r>
            <w:r w:rsidRPr="008E36E3">
              <w:rPr>
                <w:rFonts w:ascii="Tahoma" w:hAnsi="Tahoma" w:cs="Tahoma"/>
                <w:b/>
                <w:bCs/>
                <w:iCs/>
                <w:color w:val="243285"/>
                <w:sz w:val="44"/>
                <w:szCs w:val="44"/>
                <w:lang w:val="es-ES_tradnl"/>
              </w:rPr>
              <w:t>banda</w:t>
            </w:r>
            <w:r w:rsidR="00DC518A">
              <w:rPr>
                <w:rFonts w:ascii="Tahoma" w:hAnsi="Tahoma" w:cs="Tahoma"/>
                <w:b/>
                <w:bCs/>
                <w:iCs/>
                <w:color w:val="243285"/>
                <w:sz w:val="44"/>
                <w:szCs w:val="44"/>
                <w:lang w:val="es-ES_tradnl"/>
              </w:rPr>
              <w:t xml:space="preserve"> </w:t>
            </w:r>
            <w:r w:rsidRPr="008E36E3">
              <w:rPr>
                <w:rFonts w:ascii="Tahoma" w:hAnsi="Tahoma" w:cs="Tahoma"/>
                <w:b/>
                <w:bCs/>
                <w:iCs/>
                <w:color w:val="243285"/>
                <w:sz w:val="44"/>
                <w:szCs w:val="44"/>
                <w:lang w:val="es-ES_tradnl"/>
              </w:rPr>
              <w:t xml:space="preserve">de frecuencias </w:t>
            </w:r>
            <w:r w:rsidRPr="008E36E3">
              <w:rPr>
                <w:rFonts w:ascii="Tahoma" w:hAnsi="Tahoma" w:cs="Tahoma"/>
                <w:b/>
                <w:bCs/>
                <w:iCs/>
                <w:color w:val="243285"/>
                <w:sz w:val="44"/>
                <w:szCs w:val="44"/>
                <w:lang w:val="es-ES_tradnl"/>
              </w:rPr>
              <w:br/>
              <w:t>5 150-5 250 MHz</w:t>
            </w:r>
          </w:p>
          <w:p w:rsidR="00625518" w:rsidRPr="008E36E3" w:rsidRDefault="00625518" w:rsidP="000577F1">
            <w:pPr>
              <w:spacing w:before="80" w:line="500" w:lineRule="exact"/>
              <w:jc w:val="right"/>
              <w:rPr>
                <w:rFonts w:ascii="Tahoma" w:hAnsi="Tahoma" w:cs="Tahoma"/>
                <w:b/>
                <w:bCs/>
                <w:iCs/>
                <w:color w:val="243285"/>
                <w:sz w:val="44"/>
                <w:szCs w:val="44"/>
                <w:lang w:val="es-ES_tradnl"/>
              </w:rPr>
            </w:pPr>
          </w:p>
        </w:tc>
      </w:tr>
      <w:tr w:rsidR="00625518" w:rsidRPr="00EC7D2F" w:rsidTr="000577F1">
        <w:tc>
          <w:tcPr>
            <w:tcW w:w="10089" w:type="dxa"/>
          </w:tcPr>
          <w:p w:rsidR="00625518" w:rsidRPr="008E36E3" w:rsidRDefault="00625518" w:rsidP="000577F1">
            <w:pPr>
              <w:spacing w:before="80" w:line="280" w:lineRule="exact"/>
              <w:ind w:right="640"/>
              <w:rPr>
                <w:rFonts w:ascii="Tahoma" w:hAnsi="Tahoma" w:cs="Tahoma"/>
                <w:b/>
                <w:bCs/>
                <w:iCs/>
                <w:color w:val="243285"/>
                <w:sz w:val="32"/>
                <w:szCs w:val="32"/>
                <w:lang w:val="es-ES_tradnl"/>
              </w:rPr>
            </w:pPr>
          </w:p>
          <w:p w:rsidR="00625518" w:rsidRPr="008E36E3" w:rsidRDefault="00625518" w:rsidP="000577F1">
            <w:pPr>
              <w:spacing w:before="80" w:line="280" w:lineRule="exact"/>
              <w:ind w:right="640"/>
              <w:rPr>
                <w:rFonts w:ascii="Tahoma" w:hAnsi="Tahoma" w:cs="Tahoma"/>
                <w:b/>
                <w:bCs/>
                <w:iCs/>
                <w:color w:val="243285"/>
                <w:sz w:val="32"/>
                <w:szCs w:val="32"/>
                <w:lang w:val="es-ES_tradnl"/>
              </w:rPr>
            </w:pPr>
          </w:p>
          <w:p w:rsidR="00625518" w:rsidRPr="008E36E3" w:rsidRDefault="00625518" w:rsidP="000577F1">
            <w:pPr>
              <w:spacing w:before="80" w:after="180" w:line="360" w:lineRule="exact"/>
              <w:ind w:right="720"/>
              <w:rPr>
                <w:rFonts w:ascii="Tahoma" w:hAnsi="Tahoma" w:cs="Tahoma"/>
                <w:b/>
                <w:bCs/>
                <w:iCs/>
                <w:color w:val="243285"/>
                <w:sz w:val="36"/>
                <w:szCs w:val="36"/>
                <w:lang w:val="es-ES_tradnl"/>
              </w:rPr>
            </w:pPr>
          </w:p>
          <w:p w:rsidR="00625518" w:rsidRPr="008E36E3" w:rsidRDefault="00625518" w:rsidP="000577F1">
            <w:pPr>
              <w:spacing w:before="80" w:after="180" w:line="360" w:lineRule="exact"/>
              <w:jc w:val="right"/>
              <w:rPr>
                <w:rFonts w:ascii="Tahoma" w:hAnsi="Tahoma" w:cs="Tahoma"/>
                <w:b/>
                <w:bCs/>
                <w:iCs/>
                <w:color w:val="243285"/>
                <w:sz w:val="36"/>
                <w:szCs w:val="36"/>
                <w:lang w:val="es-ES_tradnl"/>
              </w:rPr>
            </w:pPr>
            <w:r w:rsidRPr="008E36E3">
              <w:rPr>
                <w:rFonts w:ascii="Tahoma" w:hAnsi="Tahoma" w:cs="Tahoma"/>
                <w:b/>
                <w:bCs/>
                <w:iCs/>
                <w:color w:val="243285"/>
                <w:sz w:val="36"/>
                <w:szCs w:val="36"/>
                <w:lang w:val="es-ES_tradnl"/>
              </w:rPr>
              <w:t>Serie M</w:t>
            </w:r>
          </w:p>
          <w:p w:rsidR="00625518" w:rsidRPr="008E36E3" w:rsidRDefault="00625518" w:rsidP="000577F1">
            <w:pPr>
              <w:spacing w:before="80" w:line="420" w:lineRule="exact"/>
              <w:jc w:val="right"/>
              <w:rPr>
                <w:rFonts w:ascii="Tahoma" w:hAnsi="Tahoma" w:cs="Tahoma"/>
                <w:b/>
                <w:bCs/>
                <w:iCs/>
                <w:color w:val="243285"/>
                <w:sz w:val="36"/>
                <w:szCs w:val="36"/>
                <w:lang w:val="es-ES_tradnl"/>
              </w:rPr>
            </w:pPr>
            <w:r w:rsidRPr="008E36E3">
              <w:rPr>
                <w:rFonts w:ascii="Tahoma" w:hAnsi="Tahoma" w:cs="Tahoma"/>
                <w:b/>
                <w:bCs/>
                <w:iCs/>
                <w:color w:val="243285"/>
                <w:sz w:val="36"/>
                <w:szCs w:val="36"/>
                <w:lang w:val="es-ES_tradnl"/>
              </w:rPr>
              <w:t>Servicios móviles, de radiodeterminación,</w:t>
            </w:r>
            <w:r w:rsidRPr="008E36E3">
              <w:rPr>
                <w:rFonts w:ascii="Tahoma" w:hAnsi="Tahoma" w:cs="Tahoma"/>
                <w:b/>
                <w:bCs/>
                <w:iCs/>
                <w:color w:val="243285"/>
                <w:sz w:val="36"/>
                <w:szCs w:val="36"/>
                <w:lang w:val="es-ES_tradnl"/>
              </w:rPr>
              <w:br/>
              <w:t>de aficionados y otros servicios</w:t>
            </w:r>
            <w:r w:rsidRPr="008E36E3">
              <w:rPr>
                <w:rFonts w:ascii="Tahoma" w:hAnsi="Tahoma" w:cs="Tahoma"/>
                <w:b/>
                <w:bCs/>
                <w:iCs/>
                <w:color w:val="243285"/>
                <w:sz w:val="36"/>
                <w:szCs w:val="36"/>
                <w:lang w:val="es-ES_tradnl"/>
              </w:rPr>
              <w:br/>
              <w:t>por satélite conexos</w:t>
            </w:r>
          </w:p>
        </w:tc>
      </w:tr>
    </w:tbl>
    <w:p w:rsidR="00625518" w:rsidRPr="008E36E3" w:rsidRDefault="00625518" w:rsidP="00625518">
      <w:pPr>
        <w:spacing w:before="80"/>
        <w:rPr>
          <w:i/>
          <w:sz w:val="22"/>
          <w:lang w:val="es-ES_tradnl"/>
        </w:rPr>
      </w:pPr>
    </w:p>
    <w:p w:rsidR="00625518" w:rsidRPr="008E36E3" w:rsidRDefault="00625518" w:rsidP="00625518">
      <w:pPr>
        <w:spacing w:before="80"/>
        <w:rPr>
          <w:i/>
          <w:sz w:val="22"/>
          <w:lang w:val="es-ES_tradnl"/>
        </w:rPr>
      </w:pPr>
    </w:p>
    <w:p w:rsidR="00625518" w:rsidRPr="008E36E3" w:rsidRDefault="00625518" w:rsidP="00625518">
      <w:pPr>
        <w:spacing w:before="80"/>
        <w:rPr>
          <w:i/>
          <w:sz w:val="22"/>
          <w:lang w:val="es-ES_tradnl"/>
        </w:rPr>
      </w:pPr>
    </w:p>
    <w:p w:rsidR="00625518" w:rsidRPr="008E36E3" w:rsidRDefault="00625518" w:rsidP="00625518">
      <w:pPr>
        <w:pStyle w:val="Equation"/>
        <w:tabs>
          <w:tab w:val="clear" w:pos="4820"/>
          <w:tab w:val="clear" w:pos="9639"/>
          <w:tab w:val="left" w:pos="1191"/>
          <w:tab w:val="left" w:pos="1588"/>
          <w:tab w:val="left" w:pos="1985"/>
        </w:tabs>
        <w:rPr>
          <w:rFonts w:ascii="Palatino Linotype" w:hAnsi="Palatino Linotype"/>
          <w:lang w:val="es-ES_tradnl"/>
        </w:rPr>
        <w:sectPr w:rsidR="00625518" w:rsidRPr="008E36E3">
          <w:headerReference w:type="even" r:id="rId7"/>
          <w:headerReference w:type="default" r:id="rId8"/>
          <w:pgSz w:w="11907" w:h="16840" w:code="9"/>
          <w:pgMar w:top="1089" w:right="1089" w:bottom="284" w:left="1089" w:header="567" w:footer="284" w:gutter="0"/>
          <w:pgNumType w:start="1"/>
          <w:cols w:space="720"/>
        </w:sectPr>
      </w:pPr>
    </w:p>
    <w:p w:rsidR="00625518" w:rsidRPr="008E36E3" w:rsidRDefault="00625518" w:rsidP="006255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8E36E3">
        <w:rPr>
          <w:bCs/>
          <w:sz w:val="24"/>
          <w:szCs w:val="24"/>
          <w:lang w:val="es-ES_tradnl"/>
        </w:rPr>
        <w:lastRenderedPageBreak/>
        <w:t>Prólogo</w:t>
      </w:r>
    </w:p>
    <w:p w:rsidR="00625518" w:rsidRPr="008E36E3" w:rsidRDefault="00625518" w:rsidP="00625518">
      <w:pPr>
        <w:spacing w:before="180"/>
        <w:rPr>
          <w:sz w:val="20"/>
          <w:lang w:val="es-ES_tradnl"/>
        </w:rPr>
      </w:pPr>
      <w:r w:rsidRPr="008E36E3">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25518" w:rsidRPr="008E36E3" w:rsidRDefault="00625518" w:rsidP="00625518">
      <w:pPr>
        <w:rPr>
          <w:sz w:val="20"/>
          <w:lang w:val="es-ES_tradnl"/>
        </w:rPr>
      </w:pPr>
      <w:r w:rsidRPr="008E36E3">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625518" w:rsidRPr="008E36E3" w:rsidRDefault="00625518" w:rsidP="00625518">
      <w:pPr>
        <w:pStyle w:val="Heading1"/>
        <w:spacing w:before="340"/>
        <w:jc w:val="center"/>
        <w:rPr>
          <w:szCs w:val="24"/>
          <w:lang w:val="es-ES_tradnl"/>
        </w:rPr>
      </w:pPr>
      <w:r w:rsidRPr="008E36E3">
        <w:rPr>
          <w:lang w:val="es-ES_tradnl"/>
        </w:rPr>
        <w:t>Política sobre Derechos de Propiedad Intelectual</w:t>
      </w:r>
      <w:r w:rsidRPr="008E36E3">
        <w:rPr>
          <w:szCs w:val="24"/>
          <w:lang w:val="es-ES_tradnl"/>
        </w:rPr>
        <w:t xml:space="preserve"> (IPR)</w:t>
      </w:r>
    </w:p>
    <w:p w:rsidR="00625518" w:rsidRPr="008E36E3" w:rsidRDefault="00625518" w:rsidP="00625518">
      <w:pPr>
        <w:spacing w:before="180"/>
        <w:rPr>
          <w:sz w:val="20"/>
          <w:lang w:val="es-ES_tradnl"/>
        </w:rPr>
      </w:pPr>
      <w:r w:rsidRPr="008E36E3">
        <w:rPr>
          <w:sz w:val="20"/>
          <w:lang w:val="es-ES_tradnl"/>
        </w:rPr>
        <w:t>La política del UIT</w:t>
      </w:r>
      <w:r w:rsidRPr="008E36E3">
        <w:rPr>
          <w:sz w:val="20"/>
          <w:lang w:val="es-ES_tradnl"/>
        </w:rPr>
        <w:noBreakHyphen/>
        <w:t>R sobre Derechos de Propiedad Intelectual se describe en la Política Común de Patentes UIT</w:t>
      </w:r>
      <w:r w:rsidRPr="008E36E3">
        <w:rPr>
          <w:sz w:val="20"/>
          <w:lang w:val="es-ES_tradnl"/>
        </w:rPr>
        <w:noBreakHyphen/>
        <w:t>T/UIT</w:t>
      </w:r>
      <w:r w:rsidRPr="008E36E3">
        <w:rPr>
          <w:sz w:val="20"/>
          <w:lang w:val="es-ES_tradnl"/>
        </w:rPr>
        <w:noBreakHyphen/>
        <w:t>R/ISO/CEI a la que se hace referencia en el Anexo 1 a la Resolución UIT</w:t>
      </w:r>
      <w:r w:rsidRPr="008E36E3">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8E36E3">
          <w:rPr>
            <w:rStyle w:val="Hyperlink"/>
            <w:sz w:val="20"/>
            <w:lang w:val="es-ES_tradnl"/>
          </w:rPr>
          <w:t>http://www.itu.int/ITU-R/go/patents/es</w:t>
        </w:r>
      </w:hyperlink>
      <w:r w:rsidRPr="008E36E3">
        <w:rPr>
          <w:sz w:val="20"/>
          <w:lang w:val="es-ES_tradnl"/>
        </w:rPr>
        <w:t>, donde también aparecen las Directrices para la implementación de la Política Común de Patentes UIT</w:t>
      </w:r>
      <w:r w:rsidRPr="008E36E3">
        <w:rPr>
          <w:sz w:val="20"/>
          <w:lang w:val="es-ES_tradnl"/>
        </w:rPr>
        <w:noBreakHyphen/>
        <w:t>T/UIT</w:t>
      </w:r>
      <w:r w:rsidRPr="008E36E3">
        <w:rPr>
          <w:sz w:val="20"/>
          <w:lang w:val="es-ES_tradnl"/>
        </w:rPr>
        <w:noBreakHyphen/>
        <w:t>R/ISO/CEI y la base de datos sobre información de patentes del UIT</w:t>
      </w:r>
      <w:r w:rsidRPr="008E36E3">
        <w:rPr>
          <w:sz w:val="20"/>
          <w:lang w:val="es-ES_tradnl"/>
        </w:rPr>
        <w:noBreakHyphen/>
        <w:t>R sobre este asunto.</w:t>
      </w:r>
    </w:p>
    <w:p w:rsidR="00625518" w:rsidRPr="008E36E3" w:rsidRDefault="00625518" w:rsidP="00625518">
      <w:pPr>
        <w:spacing w:before="0"/>
        <w:jc w:val="center"/>
        <w:rPr>
          <w:sz w:val="22"/>
          <w:lang w:val="es-ES_tradnl"/>
        </w:rPr>
      </w:pPr>
    </w:p>
    <w:p w:rsidR="00625518" w:rsidRPr="008E36E3" w:rsidRDefault="00625518" w:rsidP="0062551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25518" w:rsidRPr="00EC7D2F" w:rsidTr="000577F1">
        <w:tc>
          <w:tcPr>
            <w:tcW w:w="9360" w:type="dxa"/>
            <w:gridSpan w:val="2"/>
          </w:tcPr>
          <w:p w:rsidR="00625518" w:rsidRPr="008E36E3" w:rsidRDefault="00625518" w:rsidP="000577F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E36E3">
              <w:rPr>
                <w:sz w:val="22"/>
                <w:szCs w:val="22"/>
                <w:lang w:val="es-ES_tradnl"/>
              </w:rPr>
              <w:t xml:space="preserve">Series de las Recomendaciones UIT-R </w:t>
            </w:r>
          </w:p>
          <w:p w:rsidR="00625518" w:rsidRPr="008E36E3" w:rsidRDefault="00625518" w:rsidP="00057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E36E3">
              <w:rPr>
                <w:b w:val="0"/>
                <w:sz w:val="18"/>
                <w:szCs w:val="18"/>
                <w:lang w:val="es-ES_tradnl"/>
              </w:rPr>
              <w:t xml:space="preserve">(También disponible en línea en </w:t>
            </w:r>
            <w:hyperlink r:id="rId10" w:history="1">
              <w:r w:rsidRPr="008E36E3">
                <w:rPr>
                  <w:rStyle w:val="Hyperlink"/>
                  <w:b w:val="0"/>
                  <w:bCs/>
                  <w:sz w:val="18"/>
                  <w:szCs w:val="18"/>
                  <w:lang w:val="es-ES_tradnl"/>
                </w:rPr>
                <w:t>http://www.itu.int/publ/R-REC/es</w:t>
              </w:r>
            </w:hyperlink>
            <w:r w:rsidRPr="008E36E3">
              <w:rPr>
                <w:b w:val="0"/>
                <w:bCs/>
                <w:sz w:val="18"/>
                <w:szCs w:val="18"/>
                <w:lang w:val="es-ES_tradnl"/>
              </w:rPr>
              <w:t>)</w:t>
            </w:r>
          </w:p>
        </w:tc>
      </w:tr>
      <w:tr w:rsidR="00625518" w:rsidRPr="008E36E3" w:rsidTr="000577F1">
        <w:tc>
          <w:tcPr>
            <w:tcW w:w="1140" w:type="dxa"/>
          </w:tcPr>
          <w:p w:rsidR="00625518" w:rsidRPr="008E36E3" w:rsidRDefault="00625518" w:rsidP="000577F1">
            <w:pPr>
              <w:spacing w:before="180" w:after="100"/>
              <w:ind w:left="57"/>
              <w:rPr>
                <w:b/>
                <w:bCs/>
                <w:sz w:val="20"/>
                <w:lang w:val="es-ES_tradnl"/>
              </w:rPr>
            </w:pPr>
            <w:r w:rsidRPr="008E36E3">
              <w:rPr>
                <w:b/>
                <w:bCs/>
                <w:sz w:val="20"/>
                <w:lang w:val="es-ES_tradnl"/>
              </w:rPr>
              <w:t>Series</w:t>
            </w:r>
          </w:p>
        </w:tc>
        <w:tc>
          <w:tcPr>
            <w:tcW w:w="8220" w:type="dxa"/>
          </w:tcPr>
          <w:p w:rsidR="00625518" w:rsidRPr="008E36E3" w:rsidRDefault="00625518" w:rsidP="00057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E36E3">
              <w:rPr>
                <w:bCs/>
                <w:sz w:val="20"/>
                <w:lang w:val="es-ES_tradnl"/>
              </w:rPr>
              <w:t>Título</w:t>
            </w:r>
          </w:p>
        </w:tc>
      </w:tr>
      <w:tr w:rsidR="00625518" w:rsidRPr="008E36E3" w:rsidTr="000577F1">
        <w:tc>
          <w:tcPr>
            <w:tcW w:w="1140" w:type="dxa"/>
          </w:tcPr>
          <w:p w:rsidR="00625518" w:rsidRPr="008E36E3" w:rsidRDefault="00625518" w:rsidP="000577F1">
            <w:pPr>
              <w:spacing w:before="30" w:after="30"/>
              <w:ind w:left="57"/>
              <w:jc w:val="left"/>
              <w:rPr>
                <w:b/>
                <w:bCs/>
                <w:sz w:val="20"/>
                <w:lang w:val="es-ES_tradnl"/>
              </w:rPr>
            </w:pPr>
            <w:r w:rsidRPr="008E36E3">
              <w:rPr>
                <w:b/>
                <w:bCs/>
                <w:sz w:val="20"/>
                <w:lang w:val="es-ES_tradnl"/>
              </w:rPr>
              <w:t>BO</w:t>
            </w:r>
          </w:p>
        </w:tc>
        <w:tc>
          <w:tcPr>
            <w:tcW w:w="8220" w:type="dxa"/>
          </w:tcPr>
          <w:p w:rsidR="00625518" w:rsidRPr="008E36E3" w:rsidRDefault="00625518" w:rsidP="00057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E36E3">
              <w:rPr>
                <w:b w:val="0"/>
                <w:bCs/>
                <w:sz w:val="20"/>
                <w:lang w:val="es-ES_tradnl"/>
              </w:rPr>
              <w:t>Distribución por satélite</w:t>
            </w:r>
          </w:p>
        </w:tc>
      </w:tr>
      <w:tr w:rsidR="00625518" w:rsidRPr="00EC7D2F" w:rsidTr="000577F1">
        <w:tc>
          <w:tcPr>
            <w:tcW w:w="1140" w:type="dxa"/>
          </w:tcPr>
          <w:p w:rsidR="00625518" w:rsidRPr="008E36E3" w:rsidRDefault="00625518" w:rsidP="000577F1">
            <w:pPr>
              <w:spacing w:before="30" w:after="30"/>
              <w:ind w:left="57"/>
              <w:jc w:val="left"/>
              <w:rPr>
                <w:b/>
                <w:bCs/>
                <w:sz w:val="20"/>
                <w:lang w:val="es-ES_tradnl"/>
              </w:rPr>
            </w:pPr>
            <w:r w:rsidRPr="008E36E3">
              <w:rPr>
                <w:b/>
                <w:bCs/>
                <w:sz w:val="20"/>
                <w:lang w:val="es-ES_tradnl"/>
              </w:rPr>
              <w:t>BR</w:t>
            </w:r>
          </w:p>
        </w:tc>
        <w:tc>
          <w:tcPr>
            <w:tcW w:w="8220" w:type="dxa"/>
          </w:tcPr>
          <w:p w:rsidR="00625518" w:rsidRPr="008E36E3" w:rsidRDefault="00625518" w:rsidP="00057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E36E3">
              <w:rPr>
                <w:b w:val="0"/>
                <w:bCs/>
                <w:sz w:val="20"/>
                <w:lang w:val="es-ES_tradnl"/>
              </w:rPr>
              <w:t>Registro para producción, archivo y reproducción; películas en televisión</w:t>
            </w:r>
          </w:p>
        </w:tc>
      </w:tr>
      <w:tr w:rsidR="00625518" w:rsidRPr="008E36E3" w:rsidTr="000577F1">
        <w:tc>
          <w:tcPr>
            <w:tcW w:w="1140" w:type="dxa"/>
          </w:tcPr>
          <w:p w:rsidR="00625518" w:rsidRPr="008E36E3" w:rsidRDefault="00625518" w:rsidP="000577F1">
            <w:pPr>
              <w:spacing w:before="30" w:after="30"/>
              <w:ind w:left="57"/>
              <w:jc w:val="left"/>
              <w:rPr>
                <w:b/>
                <w:bCs/>
                <w:sz w:val="20"/>
                <w:lang w:val="es-ES_tradnl"/>
              </w:rPr>
            </w:pPr>
            <w:r w:rsidRPr="008E36E3">
              <w:rPr>
                <w:b/>
                <w:bCs/>
                <w:sz w:val="20"/>
                <w:lang w:val="es-ES_tradnl"/>
              </w:rPr>
              <w:t>BS</w:t>
            </w:r>
          </w:p>
        </w:tc>
        <w:tc>
          <w:tcPr>
            <w:tcW w:w="8220" w:type="dxa"/>
          </w:tcPr>
          <w:p w:rsidR="00625518" w:rsidRPr="008E36E3" w:rsidRDefault="00625518" w:rsidP="00057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E36E3">
              <w:rPr>
                <w:b w:val="0"/>
                <w:bCs/>
                <w:sz w:val="20"/>
                <w:lang w:val="es-ES_tradnl"/>
              </w:rPr>
              <w:t>Servicio de radiodifusión (sonora)</w:t>
            </w:r>
          </w:p>
        </w:tc>
      </w:tr>
      <w:tr w:rsidR="00625518" w:rsidRPr="008E36E3" w:rsidTr="000577F1">
        <w:tc>
          <w:tcPr>
            <w:tcW w:w="1140" w:type="dxa"/>
            <w:shd w:val="clear" w:color="auto" w:fill="auto"/>
          </w:tcPr>
          <w:p w:rsidR="00625518" w:rsidRPr="008E36E3" w:rsidRDefault="00625518" w:rsidP="000577F1">
            <w:pPr>
              <w:spacing w:before="30" w:after="30"/>
              <w:ind w:left="57"/>
              <w:jc w:val="left"/>
              <w:rPr>
                <w:b/>
                <w:bCs/>
                <w:sz w:val="20"/>
                <w:lang w:val="es-ES_tradnl"/>
              </w:rPr>
            </w:pPr>
            <w:r w:rsidRPr="008E36E3">
              <w:rPr>
                <w:b/>
                <w:bCs/>
                <w:sz w:val="20"/>
                <w:lang w:val="es-ES_tradnl"/>
              </w:rPr>
              <w:t>BT</w:t>
            </w:r>
          </w:p>
        </w:tc>
        <w:tc>
          <w:tcPr>
            <w:tcW w:w="8220" w:type="dxa"/>
            <w:shd w:val="clear" w:color="auto" w:fill="auto"/>
          </w:tcPr>
          <w:p w:rsidR="00625518" w:rsidRPr="008E36E3" w:rsidRDefault="00625518" w:rsidP="00057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E36E3">
              <w:rPr>
                <w:b w:val="0"/>
                <w:bCs/>
                <w:sz w:val="20"/>
                <w:lang w:val="es-ES_tradnl"/>
              </w:rPr>
              <w:t>Servicio de radiodifusión (televisión)</w:t>
            </w:r>
          </w:p>
        </w:tc>
      </w:tr>
      <w:tr w:rsidR="00625518" w:rsidRPr="008E36E3" w:rsidTr="000577F1">
        <w:tc>
          <w:tcPr>
            <w:tcW w:w="1140" w:type="dxa"/>
            <w:shd w:val="clear" w:color="auto" w:fill="auto"/>
          </w:tcPr>
          <w:p w:rsidR="00625518" w:rsidRPr="008E36E3" w:rsidRDefault="00625518" w:rsidP="000577F1">
            <w:pPr>
              <w:spacing w:before="30" w:after="30"/>
              <w:ind w:left="57"/>
              <w:jc w:val="left"/>
              <w:rPr>
                <w:b/>
                <w:bCs/>
                <w:sz w:val="20"/>
                <w:lang w:val="es-ES_tradnl"/>
              </w:rPr>
            </w:pPr>
            <w:r w:rsidRPr="008E36E3">
              <w:rPr>
                <w:b/>
                <w:bCs/>
                <w:sz w:val="20"/>
                <w:lang w:val="es-ES_tradnl"/>
              </w:rPr>
              <w:t>F</w:t>
            </w:r>
          </w:p>
        </w:tc>
        <w:tc>
          <w:tcPr>
            <w:tcW w:w="8220" w:type="dxa"/>
            <w:shd w:val="clear" w:color="auto" w:fill="auto"/>
          </w:tcPr>
          <w:p w:rsidR="00625518" w:rsidRPr="008E36E3" w:rsidRDefault="00625518" w:rsidP="000577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E36E3">
              <w:rPr>
                <w:bCs/>
                <w:sz w:val="20"/>
                <w:lang w:val="es-ES_tradnl"/>
              </w:rPr>
              <w:t>Servicio fijo</w:t>
            </w:r>
          </w:p>
        </w:tc>
      </w:tr>
      <w:tr w:rsidR="00625518" w:rsidRPr="00EC7D2F" w:rsidTr="000577F1">
        <w:tc>
          <w:tcPr>
            <w:tcW w:w="1140" w:type="dxa"/>
            <w:shd w:val="clear" w:color="auto" w:fill="F3F3F3"/>
          </w:tcPr>
          <w:p w:rsidR="00625518" w:rsidRPr="008E36E3" w:rsidRDefault="00625518" w:rsidP="000577F1">
            <w:pPr>
              <w:spacing w:before="30" w:after="30"/>
              <w:ind w:left="57"/>
              <w:jc w:val="left"/>
              <w:rPr>
                <w:b/>
                <w:bCs/>
                <w:color w:val="000080"/>
                <w:sz w:val="20"/>
                <w:lang w:val="es-ES_tradnl"/>
              </w:rPr>
            </w:pPr>
            <w:r w:rsidRPr="008E36E3">
              <w:rPr>
                <w:b/>
                <w:bCs/>
                <w:color w:val="000080"/>
                <w:sz w:val="20"/>
                <w:lang w:val="es-ES_tradnl"/>
              </w:rPr>
              <w:t>M</w:t>
            </w:r>
          </w:p>
        </w:tc>
        <w:tc>
          <w:tcPr>
            <w:tcW w:w="8220" w:type="dxa"/>
            <w:shd w:val="clear" w:color="auto" w:fill="F3F3F3"/>
          </w:tcPr>
          <w:p w:rsidR="00625518" w:rsidRPr="008E36E3" w:rsidRDefault="00625518" w:rsidP="00057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8E36E3">
              <w:rPr>
                <w:bCs/>
                <w:color w:val="000080"/>
                <w:sz w:val="20"/>
                <w:lang w:val="es-ES_tradnl"/>
              </w:rPr>
              <w:t>Servicios móviles, de radiodeterminación, de aficionados y otros servicios por satélite conexos</w:t>
            </w:r>
          </w:p>
        </w:tc>
      </w:tr>
      <w:tr w:rsidR="00625518" w:rsidRPr="00EC7D2F" w:rsidTr="000577F1">
        <w:tc>
          <w:tcPr>
            <w:tcW w:w="1140" w:type="dxa"/>
          </w:tcPr>
          <w:p w:rsidR="00625518" w:rsidRPr="008E36E3" w:rsidRDefault="00625518" w:rsidP="000577F1">
            <w:pPr>
              <w:spacing w:before="30" w:after="30"/>
              <w:ind w:left="57"/>
              <w:jc w:val="left"/>
              <w:rPr>
                <w:b/>
                <w:bCs/>
                <w:sz w:val="20"/>
                <w:lang w:val="es-ES_tradnl"/>
              </w:rPr>
            </w:pPr>
            <w:r w:rsidRPr="008E36E3">
              <w:rPr>
                <w:b/>
                <w:bCs/>
                <w:sz w:val="20"/>
                <w:lang w:val="es-ES_tradnl"/>
              </w:rPr>
              <w:t>P</w:t>
            </w:r>
          </w:p>
        </w:tc>
        <w:tc>
          <w:tcPr>
            <w:tcW w:w="8220" w:type="dxa"/>
          </w:tcPr>
          <w:p w:rsidR="00625518" w:rsidRPr="008E36E3" w:rsidRDefault="00625518" w:rsidP="000577F1">
            <w:pPr>
              <w:spacing w:before="30" w:after="30"/>
              <w:jc w:val="left"/>
              <w:rPr>
                <w:bCs/>
                <w:sz w:val="20"/>
                <w:lang w:val="es-ES_tradnl"/>
              </w:rPr>
            </w:pPr>
            <w:r w:rsidRPr="008E36E3">
              <w:rPr>
                <w:bCs/>
                <w:sz w:val="20"/>
                <w:lang w:val="es-ES_tradnl"/>
              </w:rPr>
              <w:t>Propagación de las ondas radioeléctricas</w:t>
            </w:r>
          </w:p>
        </w:tc>
      </w:tr>
      <w:tr w:rsidR="00625518" w:rsidRPr="008E36E3" w:rsidTr="000577F1">
        <w:tc>
          <w:tcPr>
            <w:tcW w:w="1140" w:type="dxa"/>
          </w:tcPr>
          <w:p w:rsidR="00625518" w:rsidRPr="008E36E3" w:rsidRDefault="00625518" w:rsidP="000577F1">
            <w:pPr>
              <w:spacing w:before="30" w:after="30"/>
              <w:ind w:left="57"/>
              <w:jc w:val="left"/>
              <w:rPr>
                <w:b/>
                <w:bCs/>
                <w:sz w:val="20"/>
                <w:lang w:val="es-ES_tradnl"/>
              </w:rPr>
            </w:pPr>
            <w:r w:rsidRPr="008E36E3">
              <w:rPr>
                <w:b/>
                <w:bCs/>
                <w:sz w:val="20"/>
                <w:lang w:val="es-ES_tradnl"/>
              </w:rPr>
              <w:t>RA</w:t>
            </w:r>
          </w:p>
        </w:tc>
        <w:tc>
          <w:tcPr>
            <w:tcW w:w="8220" w:type="dxa"/>
          </w:tcPr>
          <w:p w:rsidR="00625518" w:rsidRPr="008E36E3" w:rsidRDefault="00625518" w:rsidP="000577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E36E3">
              <w:rPr>
                <w:bCs/>
                <w:sz w:val="20"/>
                <w:lang w:val="es-ES_tradnl"/>
              </w:rPr>
              <w:t>Radioastronomía</w:t>
            </w:r>
          </w:p>
        </w:tc>
      </w:tr>
      <w:tr w:rsidR="00625518" w:rsidRPr="00EC7D2F" w:rsidTr="000577F1">
        <w:tc>
          <w:tcPr>
            <w:tcW w:w="1140" w:type="dxa"/>
          </w:tcPr>
          <w:p w:rsidR="00625518" w:rsidRPr="008E36E3" w:rsidRDefault="00625518" w:rsidP="000577F1">
            <w:pPr>
              <w:spacing w:before="30" w:after="30"/>
              <w:ind w:left="57"/>
              <w:jc w:val="left"/>
              <w:rPr>
                <w:b/>
                <w:bCs/>
                <w:sz w:val="20"/>
                <w:lang w:val="es-ES_tradnl"/>
              </w:rPr>
            </w:pPr>
            <w:r w:rsidRPr="008E36E3">
              <w:rPr>
                <w:b/>
                <w:bCs/>
                <w:sz w:val="20"/>
                <w:lang w:val="es-ES_tradnl"/>
              </w:rPr>
              <w:t>RS</w:t>
            </w:r>
          </w:p>
        </w:tc>
        <w:tc>
          <w:tcPr>
            <w:tcW w:w="8220" w:type="dxa"/>
          </w:tcPr>
          <w:p w:rsidR="00625518" w:rsidRPr="008E36E3" w:rsidRDefault="00625518" w:rsidP="000577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E36E3">
              <w:rPr>
                <w:bCs/>
                <w:sz w:val="20"/>
                <w:lang w:val="es-ES_tradnl"/>
              </w:rPr>
              <w:t>Sistemas de detección a distancia</w:t>
            </w:r>
          </w:p>
        </w:tc>
      </w:tr>
      <w:tr w:rsidR="00625518" w:rsidRPr="008E36E3" w:rsidTr="000577F1">
        <w:tc>
          <w:tcPr>
            <w:tcW w:w="1140" w:type="dxa"/>
          </w:tcPr>
          <w:p w:rsidR="00625518" w:rsidRPr="008E36E3" w:rsidRDefault="00625518" w:rsidP="000577F1">
            <w:pPr>
              <w:spacing w:before="30" w:after="30"/>
              <w:ind w:left="57"/>
              <w:jc w:val="left"/>
              <w:rPr>
                <w:b/>
                <w:bCs/>
                <w:sz w:val="20"/>
                <w:lang w:val="es-ES_tradnl"/>
              </w:rPr>
            </w:pPr>
            <w:r w:rsidRPr="008E36E3">
              <w:rPr>
                <w:b/>
                <w:bCs/>
                <w:sz w:val="20"/>
                <w:lang w:val="es-ES_tradnl"/>
              </w:rPr>
              <w:t>S</w:t>
            </w:r>
          </w:p>
        </w:tc>
        <w:tc>
          <w:tcPr>
            <w:tcW w:w="8220" w:type="dxa"/>
          </w:tcPr>
          <w:p w:rsidR="00625518" w:rsidRPr="008E36E3" w:rsidRDefault="00625518" w:rsidP="000577F1">
            <w:pPr>
              <w:spacing w:before="30" w:after="30"/>
              <w:jc w:val="left"/>
              <w:rPr>
                <w:bCs/>
                <w:sz w:val="20"/>
                <w:lang w:val="es-ES_tradnl"/>
              </w:rPr>
            </w:pPr>
            <w:r w:rsidRPr="008E36E3">
              <w:rPr>
                <w:bCs/>
                <w:sz w:val="20"/>
                <w:lang w:val="es-ES_tradnl"/>
              </w:rPr>
              <w:t>Servicio fijo por satélite</w:t>
            </w:r>
          </w:p>
        </w:tc>
      </w:tr>
      <w:tr w:rsidR="00625518" w:rsidRPr="008E36E3" w:rsidTr="000577F1">
        <w:tc>
          <w:tcPr>
            <w:tcW w:w="1140" w:type="dxa"/>
          </w:tcPr>
          <w:p w:rsidR="00625518" w:rsidRPr="008E36E3" w:rsidRDefault="00625518" w:rsidP="000577F1">
            <w:pPr>
              <w:spacing w:before="30" w:after="30"/>
              <w:ind w:left="57"/>
              <w:jc w:val="left"/>
              <w:rPr>
                <w:b/>
                <w:bCs/>
                <w:sz w:val="20"/>
                <w:lang w:val="es-ES_tradnl"/>
              </w:rPr>
            </w:pPr>
            <w:r w:rsidRPr="008E36E3">
              <w:rPr>
                <w:b/>
                <w:bCs/>
                <w:sz w:val="20"/>
                <w:lang w:val="es-ES_tradnl"/>
              </w:rPr>
              <w:t>SA</w:t>
            </w:r>
          </w:p>
        </w:tc>
        <w:tc>
          <w:tcPr>
            <w:tcW w:w="8220" w:type="dxa"/>
          </w:tcPr>
          <w:p w:rsidR="00625518" w:rsidRPr="008E36E3" w:rsidRDefault="00625518" w:rsidP="000577F1">
            <w:pPr>
              <w:spacing w:before="30" w:after="30"/>
              <w:jc w:val="left"/>
              <w:rPr>
                <w:bCs/>
                <w:sz w:val="20"/>
                <w:lang w:val="es-ES_tradnl"/>
              </w:rPr>
            </w:pPr>
            <w:r w:rsidRPr="008E36E3">
              <w:rPr>
                <w:bCs/>
                <w:sz w:val="20"/>
                <w:lang w:val="es-ES_tradnl"/>
              </w:rPr>
              <w:t>Aplicaciones espaciales y meteorología</w:t>
            </w:r>
          </w:p>
        </w:tc>
      </w:tr>
      <w:tr w:rsidR="00625518" w:rsidRPr="00EC7D2F" w:rsidTr="000577F1">
        <w:tc>
          <w:tcPr>
            <w:tcW w:w="1140" w:type="dxa"/>
          </w:tcPr>
          <w:p w:rsidR="00625518" w:rsidRPr="008E36E3" w:rsidRDefault="00625518" w:rsidP="000577F1">
            <w:pPr>
              <w:spacing w:before="30" w:after="30"/>
              <w:ind w:left="57"/>
              <w:jc w:val="left"/>
              <w:rPr>
                <w:b/>
                <w:bCs/>
                <w:sz w:val="20"/>
                <w:lang w:val="es-ES_tradnl"/>
              </w:rPr>
            </w:pPr>
            <w:r w:rsidRPr="008E36E3">
              <w:rPr>
                <w:b/>
                <w:bCs/>
                <w:sz w:val="20"/>
                <w:lang w:val="es-ES_tradnl"/>
              </w:rPr>
              <w:t>SF</w:t>
            </w:r>
          </w:p>
        </w:tc>
        <w:tc>
          <w:tcPr>
            <w:tcW w:w="8220" w:type="dxa"/>
          </w:tcPr>
          <w:p w:rsidR="00625518" w:rsidRPr="008E36E3" w:rsidRDefault="00625518" w:rsidP="000577F1">
            <w:pPr>
              <w:spacing w:before="30" w:after="30"/>
              <w:jc w:val="left"/>
              <w:rPr>
                <w:bCs/>
                <w:sz w:val="20"/>
                <w:lang w:val="es-ES_tradnl"/>
              </w:rPr>
            </w:pPr>
            <w:r w:rsidRPr="008E36E3">
              <w:rPr>
                <w:bCs/>
                <w:sz w:val="20"/>
                <w:lang w:val="es-ES_tradnl"/>
              </w:rPr>
              <w:t>Compartición de frecuencias y coordinación entre los sistemas del servicio fijo por satélite y del servicio fijo</w:t>
            </w:r>
          </w:p>
        </w:tc>
      </w:tr>
      <w:tr w:rsidR="00625518" w:rsidRPr="008E36E3" w:rsidTr="000577F1">
        <w:tc>
          <w:tcPr>
            <w:tcW w:w="1140" w:type="dxa"/>
            <w:shd w:val="clear" w:color="auto" w:fill="auto"/>
          </w:tcPr>
          <w:p w:rsidR="00625518" w:rsidRPr="008E36E3" w:rsidRDefault="00625518" w:rsidP="000577F1">
            <w:pPr>
              <w:spacing w:before="30" w:after="30"/>
              <w:ind w:left="57"/>
              <w:jc w:val="left"/>
              <w:rPr>
                <w:b/>
                <w:bCs/>
                <w:sz w:val="20"/>
                <w:lang w:val="es-ES_tradnl"/>
              </w:rPr>
            </w:pPr>
            <w:r w:rsidRPr="008E36E3">
              <w:rPr>
                <w:b/>
                <w:bCs/>
                <w:sz w:val="20"/>
                <w:lang w:val="es-ES_tradnl"/>
              </w:rPr>
              <w:t>SM</w:t>
            </w:r>
          </w:p>
        </w:tc>
        <w:tc>
          <w:tcPr>
            <w:tcW w:w="8220" w:type="dxa"/>
            <w:shd w:val="clear" w:color="auto" w:fill="auto"/>
          </w:tcPr>
          <w:p w:rsidR="00625518" w:rsidRPr="008E36E3" w:rsidRDefault="00625518" w:rsidP="000577F1">
            <w:pPr>
              <w:spacing w:before="30" w:after="30"/>
              <w:jc w:val="left"/>
              <w:rPr>
                <w:sz w:val="20"/>
                <w:lang w:val="es-ES_tradnl"/>
              </w:rPr>
            </w:pPr>
            <w:r w:rsidRPr="008E36E3">
              <w:rPr>
                <w:sz w:val="20"/>
                <w:lang w:val="es-ES_tradnl"/>
              </w:rPr>
              <w:t>Gestión del espectro</w:t>
            </w:r>
          </w:p>
        </w:tc>
      </w:tr>
      <w:tr w:rsidR="00625518" w:rsidRPr="008E36E3" w:rsidTr="000577F1">
        <w:tc>
          <w:tcPr>
            <w:tcW w:w="1140" w:type="dxa"/>
          </w:tcPr>
          <w:p w:rsidR="00625518" w:rsidRPr="008E36E3" w:rsidRDefault="00625518" w:rsidP="000577F1">
            <w:pPr>
              <w:spacing w:before="30" w:after="30"/>
              <w:ind w:left="57"/>
              <w:jc w:val="left"/>
              <w:rPr>
                <w:b/>
                <w:bCs/>
                <w:sz w:val="20"/>
                <w:lang w:val="es-ES_tradnl"/>
              </w:rPr>
            </w:pPr>
            <w:r w:rsidRPr="008E36E3">
              <w:rPr>
                <w:b/>
                <w:bCs/>
                <w:sz w:val="20"/>
                <w:lang w:val="es-ES_tradnl"/>
              </w:rPr>
              <w:t>SNG</w:t>
            </w:r>
          </w:p>
        </w:tc>
        <w:tc>
          <w:tcPr>
            <w:tcW w:w="8220" w:type="dxa"/>
          </w:tcPr>
          <w:p w:rsidR="00625518" w:rsidRPr="008E36E3" w:rsidRDefault="00625518" w:rsidP="000577F1">
            <w:pPr>
              <w:spacing w:before="30" w:after="30"/>
              <w:jc w:val="left"/>
              <w:rPr>
                <w:bCs/>
                <w:sz w:val="20"/>
                <w:lang w:val="es-ES_tradnl"/>
              </w:rPr>
            </w:pPr>
            <w:r w:rsidRPr="008E36E3">
              <w:rPr>
                <w:bCs/>
                <w:sz w:val="20"/>
                <w:lang w:val="es-ES_tradnl"/>
              </w:rPr>
              <w:t>Periodismo electrónico por satélite</w:t>
            </w:r>
          </w:p>
        </w:tc>
      </w:tr>
      <w:tr w:rsidR="00625518" w:rsidRPr="00EC7D2F" w:rsidTr="000577F1">
        <w:tc>
          <w:tcPr>
            <w:tcW w:w="1140" w:type="dxa"/>
          </w:tcPr>
          <w:p w:rsidR="00625518" w:rsidRPr="008E36E3" w:rsidRDefault="00625518" w:rsidP="000577F1">
            <w:pPr>
              <w:spacing w:before="30" w:after="30"/>
              <w:ind w:left="57"/>
              <w:jc w:val="left"/>
              <w:rPr>
                <w:b/>
                <w:bCs/>
                <w:sz w:val="20"/>
                <w:lang w:val="es-ES_tradnl"/>
              </w:rPr>
            </w:pPr>
            <w:r w:rsidRPr="008E36E3">
              <w:rPr>
                <w:b/>
                <w:bCs/>
                <w:sz w:val="20"/>
                <w:lang w:val="es-ES_tradnl"/>
              </w:rPr>
              <w:t>TF</w:t>
            </w:r>
          </w:p>
        </w:tc>
        <w:tc>
          <w:tcPr>
            <w:tcW w:w="8220" w:type="dxa"/>
          </w:tcPr>
          <w:p w:rsidR="00625518" w:rsidRPr="008E36E3" w:rsidRDefault="00625518" w:rsidP="000577F1">
            <w:pPr>
              <w:spacing w:before="30" w:after="30"/>
              <w:jc w:val="left"/>
              <w:rPr>
                <w:bCs/>
                <w:sz w:val="20"/>
                <w:lang w:val="es-ES_tradnl"/>
              </w:rPr>
            </w:pPr>
            <w:r w:rsidRPr="008E36E3">
              <w:rPr>
                <w:bCs/>
                <w:sz w:val="20"/>
                <w:lang w:val="es-ES_tradnl"/>
              </w:rPr>
              <w:t>Emisiones de frecuencias patrón y señales horarias</w:t>
            </w:r>
          </w:p>
        </w:tc>
      </w:tr>
      <w:tr w:rsidR="00625518" w:rsidRPr="008E36E3" w:rsidTr="000577F1">
        <w:tc>
          <w:tcPr>
            <w:tcW w:w="1140" w:type="dxa"/>
          </w:tcPr>
          <w:p w:rsidR="00625518" w:rsidRPr="008E36E3" w:rsidRDefault="00625518" w:rsidP="000577F1">
            <w:pPr>
              <w:spacing w:before="30" w:after="30"/>
              <w:ind w:left="57"/>
              <w:jc w:val="left"/>
              <w:rPr>
                <w:b/>
                <w:bCs/>
                <w:sz w:val="20"/>
                <w:lang w:val="es-ES_tradnl"/>
              </w:rPr>
            </w:pPr>
            <w:r w:rsidRPr="008E36E3">
              <w:rPr>
                <w:b/>
                <w:bCs/>
                <w:sz w:val="20"/>
                <w:lang w:val="es-ES_tradnl"/>
              </w:rPr>
              <w:t>V</w:t>
            </w:r>
          </w:p>
        </w:tc>
        <w:tc>
          <w:tcPr>
            <w:tcW w:w="8220" w:type="dxa"/>
          </w:tcPr>
          <w:p w:rsidR="00625518" w:rsidRPr="008E36E3" w:rsidRDefault="00625518" w:rsidP="000577F1">
            <w:pPr>
              <w:spacing w:before="30" w:after="140"/>
              <w:jc w:val="left"/>
              <w:rPr>
                <w:bCs/>
                <w:sz w:val="20"/>
                <w:lang w:val="es-ES_tradnl"/>
              </w:rPr>
            </w:pPr>
            <w:r w:rsidRPr="008E36E3">
              <w:rPr>
                <w:bCs/>
                <w:sz w:val="20"/>
                <w:lang w:val="es-ES_tradnl"/>
              </w:rPr>
              <w:t>Vocabulario y cuestiones afines</w:t>
            </w:r>
          </w:p>
        </w:tc>
      </w:tr>
    </w:tbl>
    <w:p w:rsidR="00625518" w:rsidRPr="008E36E3" w:rsidRDefault="00625518" w:rsidP="0062551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625518" w:rsidRPr="008E36E3" w:rsidTr="000577F1">
        <w:tc>
          <w:tcPr>
            <w:tcW w:w="720" w:type="dxa"/>
          </w:tcPr>
          <w:p w:rsidR="00625518" w:rsidRPr="008E36E3" w:rsidRDefault="00625518" w:rsidP="000577F1">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25518" w:rsidRPr="00EC7D2F" w:rsidTr="000577F1">
        <w:tc>
          <w:tcPr>
            <w:tcW w:w="9360" w:type="dxa"/>
          </w:tcPr>
          <w:p w:rsidR="00625518" w:rsidRPr="008E36E3" w:rsidRDefault="00625518" w:rsidP="000577F1">
            <w:pPr>
              <w:spacing w:before="92" w:after="92"/>
              <w:jc w:val="left"/>
              <w:rPr>
                <w:i/>
                <w:iCs/>
                <w:sz w:val="20"/>
                <w:lang w:val="es-ES_tradnl"/>
              </w:rPr>
            </w:pPr>
            <w:r w:rsidRPr="008E36E3">
              <w:rPr>
                <w:b/>
                <w:bCs/>
                <w:i/>
                <w:iCs/>
                <w:sz w:val="20"/>
                <w:lang w:val="es-ES_tradnl"/>
              </w:rPr>
              <w:t>Nota</w:t>
            </w:r>
            <w:r w:rsidRPr="008E36E3">
              <w:rPr>
                <w:i/>
                <w:iCs/>
                <w:sz w:val="20"/>
                <w:lang w:val="es-ES_tradnl"/>
              </w:rPr>
              <w:t xml:space="preserve">: Esta Recomendación UIT-R fue aprobada en inglés conforme al procedimiento detallado en la </w:t>
            </w:r>
            <w:r w:rsidRPr="008E36E3">
              <w:rPr>
                <w:i/>
                <w:iCs/>
                <w:sz w:val="20"/>
                <w:lang w:val="es-ES_tradnl"/>
              </w:rPr>
              <w:br/>
              <w:t>Resolución UIT-R 1.</w:t>
            </w:r>
          </w:p>
        </w:tc>
      </w:tr>
    </w:tbl>
    <w:p w:rsidR="00625518" w:rsidRPr="008E36E3" w:rsidRDefault="00625518" w:rsidP="00625518">
      <w:pPr>
        <w:spacing w:before="0"/>
        <w:jc w:val="center"/>
        <w:rPr>
          <w:sz w:val="22"/>
          <w:lang w:val="es-ES_tradnl"/>
        </w:rPr>
      </w:pPr>
    </w:p>
    <w:p w:rsidR="00625518" w:rsidRPr="008E36E3" w:rsidRDefault="00625518" w:rsidP="00625518">
      <w:pPr>
        <w:spacing w:before="60"/>
        <w:jc w:val="right"/>
        <w:rPr>
          <w:i/>
          <w:iCs/>
          <w:sz w:val="20"/>
          <w:lang w:val="es-ES_tradnl"/>
        </w:rPr>
      </w:pPr>
      <w:r w:rsidRPr="008E36E3">
        <w:rPr>
          <w:i/>
          <w:iCs/>
          <w:sz w:val="20"/>
          <w:lang w:val="es-ES_tradnl"/>
        </w:rPr>
        <w:t>Publicación electrónica</w:t>
      </w:r>
    </w:p>
    <w:p w:rsidR="00625518" w:rsidRPr="008E36E3" w:rsidRDefault="00625518" w:rsidP="00625518">
      <w:pPr>
        <w:spacing w:before="0" w:after="40"/>
        <w:jc w:val="right"/>
        <w:rPr>
          <w:sz w:val="20"/>
          <w:lang w:val="es-ES_tradnl"/>
        </w:rPr>
      </w:pPr>
      <w:r w:rsidRPr="008E36E3">
        <w:rPr>
          <w:sz w:val="20"/>
          <w:lang w:val="es-ES_tradnl"/>
        </w:rPr>
        <w:t>Ginebra, 2015</w:t>
      </w:r>
    </w:p>
    <w:p w:rsidR="00625518" w:rsidRPr="008E36E3" w:rsidRDefault="00625518" w:rsidP="00625518">
      <w:pPr>
        <w:spacing w:before="0"/>
        <w:jc w:val="center"/>
        <w:rPr>
          <w:sz w:val="22"/>
          <w:lang w:val="es-ES_tradnl"/>
        </w:rPr>
      </w:pPr>
    </w:p>
    <w:p w:rsidR="00625518" w:rsidRPr="008E36E3" w:rsidRDefault="00625518" w:rsidP="00625518">
      <w:pPr>
        <w:spacing w:before="0"/>
        <w:jc w:val="center"/>
        <w:rPr>
          <w:sz w:val="20"/>
          <w:lang w:val="es-ES_tradnl"/>
        </w:rPr>
      </w:pPr>
      <w:r w:rsidRPr="008E36E3">
        <w:rPr>
          <w:sz w:val="20"/>
          <w:lang w:val="es-ES_tradnl"/>
        </w:rPr>
        <w:sym w:font="Symbol" w:char="F0E3"/>
      </w:r>
      <w:r w:rsidRPr="008E36E3">
        <w:rPr>
          <w:sz w:val="20"/>
          <w:lang w:val="es-ES_tradnl"/>
        </w:rPr>
        <w:t xml:space="preserve"> UIT </w:t>
      </w:r>
      <w:bookmarkStart w:id="1" w:name="iiannee"/>
      <w:bookmarkEnd w:id="1"/>
      <w:r w:rsidRPr="008E36E3">
        <w:rPr>
          <w:sz w:val="20"/>
          <w:lang w:val="es-ES_tradnl"/>
        </w:rPr>
        <w:t>2015</w:t>
      </w:r>
    </w:p>
    <w:p w:rsidR="00625518" w:rsidRPr="008E36E3" w:rsidRDefault="00625518" w:rsidP="00625518">
      <w:pPr>
        <w:spacing w:before="80"/>
        <w:rPr>
          <w:sz w:val="18"/>
          <w:szCs w:val="18"/>
          <w:lang w:val="es-ES_tradnl"/>
        </w:rPr>
      </w:pPr>
      <w:r w:rsidRPr="008E36E3">
        <w:rPr>
          <w:sz w:val="18"/>
          <w:szCs w:val="18"/>
          <w:lang w:val="es-ES_tradnl"/>
        </w:rPr>
        <w:t>Reservados todos los derechos. Ninguna parte de esta publicación puede reproducirse por ningún procedimiento sin previa autorización escrita por parte de la UIT.</w:t>
      </w:r>
    </w:p>
    <w:p w:rsidR="00625518" w:rsidRPr="008E36E3" w:rsidRDefault="00625518" w:rsidP="00625518">
      <w:pPr>
        <w:spacing w:before="160"/>
        <w:rPr>
          <w:i/>
          <w:sz w:val="20"/>
          <w:highlight w:val="yellow"/>
          <w:lang w:val="es-ES_tradnl"/>
        </w:rPr>
        <w:sectPr w:rsidR="00625518" w:rsidRPr="008E36E3"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625518" w:rsidRPr="008E36E3" w:rsidRDefault="00625518" w:rsidP="00625518">
      <w:pPr>
        <w:pStyle w:val="RecNo"/>
        <w:spacing w:before="0"/>
        <w:rPr>
          <w:lang w:val="es-ES_tradnl"/>
        </w:rPr>
      </w:pPr>
      <w:bookmarkStart w:id="2" w:name="irecnoe"/>
      <w:bookmarkEnd w:id="2"/>
      <w:r w:rsidRPr="008E36E3">
        <w:rPr>
          <w:lang w:val="es-ES_tradnl"/>
        </w:rPr>
        <w:lastRenderedPageBreak/>
        <w:t xml:space="preserve">RECOMENDACIÓN  </w:t>
      </w:r>
      <w:r w:rsidRPr="008E36E3">
        <w:rPr>
          <w:rStyle w:val="href"/>
          <w:lang w:val="es-ES_tradnl"/>
        </w:rPr>
        <w:t>UIT-R  M.2007</w:t>
      </w:r>
    </w:p>
    <w:p w:rsidR="00625518" w:rsidRPr="008E36E3" w:rsidRDefault="00625518" w:rsidP="00625518">
      <w:pPr>
        <w:pStyle w:val="Rectitle"/>
        <w:rPr>
          <w:lang w:val="es-ES_tradnl"/>
        </w:rPr>
      </w:pPr>
      <w:r w:rsidRPr="008E36E3">
        <w:rPr>
          <w:lang w:val="es-ES_tradnl"/>
        </w:rPr>
        <w:t xml:space="preserve">Características y criterios de protección de los radares que funcionan </w:t>
      </w:r>
      <w:r w:rsidRPr="008E36E3">
        <w:rPr>
          <w:lang w:val="es-ES_tradnl"/>
        </w:rPr>
        <w:br/>
        <w:t xml:space="preserve">en el servicio de radionavegación aeronáutica (SRNA) </w:t>
      </w:r>
      <w:r w:rsidRPr="008E36E3">
        <w:rPr>
          <w:lang w:val="es-ES_tradnl"/>
        </w:rPr>
        <w:br/>
        <w:t>en la banda de frecuencias 5 150-5 250 MHz</w:t>
      </w:r>
    </w:p>
    <w:p w:rsidR="00625518" w:rsidRPr="008E36E3" w:rsidRDefault="00625518" w:rsidP="00625518">
      <w:pPr>
        <w:pStyle w:val="Blanc"/>
        <w:rPr>
          <w:lang w:val="es-ES_tradnl"/>
        </w:rPr>
      </w:pPr>
      <w:bookmarkStart w:id="3" w:name="_GoBack"/>
      <w:bookmarkEnd w:id="3"/>
    </w:p>
    <w:p w:rsidR="00625518" w:rsidRPr="008E36E3" w:rsidRDefault="00625518" w:rsidP="00625518">
      <w:pPr>
        <w:pStyle w:val="Recdate"/>
        <w:rPr>
          <w:sz w:val="22"/>
          <w:szCs w:val="22"/>
          <w:lang w:val="es-ES_tradnl"/>
        </w:rPr>
      </w:pPr>
      <w:r w:rsidRPr="008E36E3">
        <w:rPr>
          <w:sz w:val="22"/>
          <w:szCs w:val="22"/>
          <w:lang w:val="es-ES_tradnl"/>
        </w:rPr>
        <w:t>(2012)</w:t>
      </w:r>
    </w:p>
    <w:p w:rsidR="00625518" w:rsidRPr="008E36E3" w:rsidRDefault="00625518" w:rsidP="00625518">
      <w:pPr>
        <w:pStyle w:val="HeadingSum"/>
      </w:pPr>
      <w:r w:rsidRPr="008E36E3">
        <w:t>Cometido</w:t>
      </w:r>
    </w:p>
    <w:p w:rsidR="00625518" w:rsidRPr="008E36E3" w:rsidRDefault="00625518" w:rsidP="00625518">
      <w:pPr>
        <w:pStyle w:val="Summary"/>
      </w:pPr>
      <w:r w:rsidRPr="008E36E3">
        <w:t>En esta Recomendación se especifican las características y los criterios de protección de los radares que funcionan en el servicio de radionavegación aeronáutica (SRNA) en la banda de frecuencias 5 150</w:t>
      </w:r>
      <w:r w:rsidRPr="008E36E3">
        <w:noBreakHyphen/>
        <w:t>5 250 MHz. Las características técnicas y de funcionamiento deben utilizarse al analizar la compatibilidad entre los radares del servicio de radionavegación aeronáutica y los sistemas de otros servicios.</w:t>
      </w:r>
    </w:p>
    <w:p w:rsidR="00625518" w:rsidRPr="008E36E3" w:rsidRDefault="00625518" w:rsidP="00625518">
      <w:pPr>
        <w:pStyle w:val="Normalaftertitle"/>
        <w:rPr>
          <w:lang w:val="es-ES_tradnl"/>
        </w:rPr>
      </w:pPr>
      <w:r w:rsidRPr="008E36E3">
        <w:rPr>
          <w:lang w:val="es-ES_tradnl"/>
        </w:rPr>
        <w:t>La Asamblea de Radiocomunicaciones de la UIT,</w:t>
      </w:r>
    </w:p>
    <w:p w:rsidR="00625518" w:rsidRPr="008E36E3" w:rsidRDefault="00625518" w:rsidP="00625518">
      <w:pPr>
        <w:pStyle w:val="Call"/>
        <w:rPr>
          <w:lang w:val="es-ES_tradnl"/>
        </w:rPr>
      </w:pPr>
      <w:r w:rsidRPr="008E36E3">
        <w:rPr>
          <w:lang w:val="es-ES_tradnl"/>
        </w:rPr>
        <w:t>considerando</w:t>
      </w:r>
    </w:p>
    <w:p w:rsidR="00625518" w:rsidRPr="008E36E3" w:rsidRDefault="00625518" w:rsidP="00625518">
      <w:pPr>
        <w:rPr>
          <w:lang w:val="es-ES_tradnl"/>
        </w:rPr>
      </w:pPr>
      <w:r w:rsidRPr="008E36E3">
        <w:rPr>
          <w:i/>
          <w:lang w:val="es-ES_tradnl"/>
        </w:rPr>
        <w:t>a)</w:t>
      </w:r>
      <w:r w:rsidRPr="008E36E3">
        <w:rPr>
          <w:lang w:val="es-ES_tradnl"/>
        </w:rPr>
        <w:tab/>
        <w:t>que la antena, la propagación de la señal, la detección del objetivo y la gran anchura de banda necesaria de los radares requeridas para que éstos cumplan sus funciones son óptimas en ciertas bandas de frecuencias;</w:t>
      </w:r>
    </w:p>
    <w:p w:rsidR="00625518" w:rsidRPr="008E36E3" w:rsidRDefault="00625518" w:rsidP="00625518">
      <w:pPr>
        <w:rPr>
          <w:lang w:val="es-ES_tradnl"/>
        </w:rPr>
      </w:pPr>
      <w:r w:rsidRPr="008E36E3">
        <w:rPr>
          <w:i/>
          <w:lang w:val="es-ES_tradnl"/>
        </w:rPr>
        <w:t>b)</w:t>
      </w:r>
      <w:r w:rsidRPr="008E36E3">
        <w:rPr>
          <w:lang w:val="es-ES_tradnl"/>
        </w:rPr>
        <w:tab/>
        <w:t>que las características técnicas de los radares que funcionan en el servicio de radionavegación aeronáutica (SRNA) vienen determinadas por la misión del sistema y varían ampliamente incluso dentro de una banda de frecuencias;</w:t>
      </w:r>
    </w:p>
    <w:p w:rsidR="00625518" w:rsidRPr="008E36E3" w:rsidRDefault="00625518" w:rsidP="00625518">
      <w:pPr>
        <w:rPr>
          <w:lang w:val="es-ES_tradnl"/>
        </w:rPr>
      </w:pPr>
      <w:r w:rsidRPr="008E36E3">
        <w:rPr>
          <w:i/>
          <w:iCs/>
          <w:lang w:val="es-ES_tradnl"/>
        </w:rPr>
        <w:t>c)</w:t>
      </w:r>
      <w:r w:rsidRPr="008E36E3">
        <w:rPr>
          <w:lang w:val="es-ES_tradnl"/>
        </w:rPr>
        <w:tab/>
        <w:t>que se requieren características técnicas y operacionales representativas de los sistemas que funcionan en las bandas de frecuencias atribuidas al servicio de radionavegación aeronáutica (SRNA) a fin de determinar la viabilidad de la introducción de nuevos tipos de sistemas;</w:t>
      </w:r>
    </w:p>
    <w:p w:rsidR="00625518" w:rsidRPr="008E36E3" w:rsidRDefault="00625518" w:rsidP="00625518">
      <w:pPr>
        <w:rPr>
          <w:lang w:val="es-ES_tradnl"/>
        </w:rPr>
      </w:pPr>
      <w:r w:rsidRPr="008E36E3">
        <w:rPr>
          <w:i/>
          <w:iCs/>
          <w:lang w:val="es-ES_tradnl"/>
        </w:rPr>
        <w:t>d)</w:t>
      </w:r>
      <w:r w:rsidRPr="008E36E3">
        <w:rPr>
          <w:lang w:val="es-ES_tradnl"/>
        </w:rPr>
        <w:tab/>
        <w:t>que se necesitan procedimientos y metodologías para analizar la compatibilidad entre los radares que funcionan en el SRNA y los sistemas de otros servicios,</w:t>
      </w:r>
    </w:p>
    <w:p w:rsidR="00625518" w:rsidRPr="008E36E3" w:rsidRDefault="00625518" w:rsidP="00625518">
      <w:pPr>
        <w:pStyle w:val="Call"/>
        <w:rPr>
          <w:lang w:val="es-ES_tradnl"/>
        </w:rPr>
      </w:pPr>
      <w:r w:rsidRPr="008E36E3">
        <w:rPr>
          <w:lang w:val="es-ES_tradnl"/>
        </w:rPr>
        <w:t>reconociendo</w:t>
      </w:r>
    </w:p>
    <w:p w:rsidR="00625518" w:rsidRPr="008E36E3" w:rsidRDefault="00625518" w:rsidP="00663E7D">
      <w:pPr>
        <w:rPr>
          <w:lang w:val="es-ES_tradnl"/>
        </w:rPr>
      </w:pPr>
      <w:r w:rsidRPr="008E36E3">
        <w:rPr>
          <w:i/>
          <w:iCs/>
          <w:lang w:val="es-ES_tradnl"/>
        </w:rPr>
        <w:t>a)</w:t>
      </w:r>
      <w:r w:rsidRPr="008E36E3">
        <w:rPr>
          <w:lang w:val="es-ES_tradnl"/>
        </w:rPr>
        <w:tab/>
        <w:t>que la banda de frecuencias 5</w:t>
      </w:r>
      <w:r w:rsidR="00663E7D" w:rsidRPr="008E36E3">
        <w:rPr>
          <w:lang w:val="es-ES_tradnl"/>
        </w:rPr>
        <w:t> </w:t>
      </w:r>
      <w:r w:rsidRPr="008E36E3">
        <w:rPr>
          <w:lang w:val="es-ES_tradnl"/>
        </w:rPr>
        <w:t>150-5</w:t>
      </w:r>
      <w:r w:rsidR="00663E7D" w:rsidRPr="008E36E3">
        <w:rPr>
          <w:lang w:val="es-ES_tradnl"/>
        </w:rPr>
        <w:t> </w:t>
      </w:r>
      <w:r w:rsidRPr="008E36E3">
        <w:rPr>
          <w:lang w:val="es-ES_tradnl"/>
        </w:rPr>
        <w:t>250</w:t>
      </w:r>
      <w:r w:rsidR="00663E7D" w:rsidRPr="008E36E3">
        <w:rPr>
          <w:lang w:val="es-ES_tradnl"/>
        </w:rPr>
        <w:t> </w:t>
      </w:r>
      <w:r w:rsidRPr="008E36E3">
        <w:rPr>
          <w:lang w:val="es-ES_tradnl"/>
        </w:rPr>
        <w:t>MHz está atribuida, a título primario, a los servicios de radionavegación aeronáutica, fijo por satélite (Tierra-espacio), y móvil excepto móvil aeronáutico con arreglo al número 5.446A del Reglamento de Radiocomunicaciones,</w:t>
      </w:r>
    </w:p>
    <w:p w:rsidR="00625518" w:rsidRPr="008E36E3" w:rsidRDefault="00625518" w:rsidP="00625518">
      <w:pPr>
        <w:pStyle w:val="Call"/>
        <w:rPr>
          <w:lang w:val="es-ES_tradnl"/>
        </w:rPr>
      </w:pPr>
      <w:r w:rsidRPr="008E36E3">
        <w:rPr>
          <w:lang w:val="es-ES_tradnl"/>
        </w:rPr>
        <w:t>recomienda</w:t>
      </w:r>
    </w:p>
    <w:p w:rsidR="00625518" w:rsidRPr="008E36E3" w:rsidRDefault="00625518" w:rsidP="00CB0007">
      <w:pPr>
        <w:rPr>
          <w:lang w:val="es-ES_tradnl"/>
        </w:rPr>
      </w:pPr>
      <w:r w:rsidRPr="008E36E3">
        <w:rPr>
          <w:b/>
          <w:bCs/>
          <w:lang w:val="es-ES_tradnl"/>
        </w:rPr>
        <w:t>1</w:t>
      </w:r>
      <w:r w:rsidRPr="008E36E3">
        <w:rPr>
          <w:lang w:val="es-ES_tradnl"/>
        </w:rPr>
        <w:tab/>
        <w:t>que se consideren las características técnicas y operacionales de los radares que funcionan en el SRNA descritas en el Anexo 1 como representativas de los que funcionan en la banda de frecuencias 5</w:t>
      </w:r>
      <w:r w:rsidR="00CB0007" w:rsidRPr="008E36E3">
        <w:rPr>
          <w:lang w:val="es-ES_tradnl"/>
        </w:rPr>
        <w:t> </w:t>
      </w:r>
      <w:r w:rsidRPr="008E36E3">
        <w:rPr>
          <w:lang w:val="es-ES_tradnl"/>
        </w:rPr>
        <w:t>150-5</w:t>
      </w:r>
      <w:r w:rsidR="00CB0007" w:rsidRPr="008E36E3">
        <w:rPr>
          <w:lang w:val="es-ES_tradnl"/>
        </w:rPr>
        <w:t> </w:t>
      </w:r>
      <w:r w:rsidRPr="008E36E3">
        <w:rPr>
          <w:lang w:val="es-ES_tradnl"/>
        </w:rPr>
        <w:t>250</w:t>
      </w:r>
      <w:r w:rsidR="00CB0007" w:rsidRPr="008E36E3">
        <w:rPr>
          <w:lang w:val="es-ES_tradnl"/>
        </w:rPr>
        <w:t> </w:t>
      </w:r>
      <w:r w:rsidRPr="008E36E3">
        <w:rPr>
          <w:lang w:val="es-ES_tradnl"/>
        </w:rPr>
        <w:t>MHz, y que se utilicen en los estudios de compatibilidad con sistemas de otros servicios;</w:t>
      </w:r>
    </w:p>
    <w:p w:rsidR="00625518" w:rsidRPr="008E36E3" w:rsidRDefault="00625518" w:rsidP="00625518">
      <w:pPr>
        <w:rPr>
          <w:lang w:val="es-ES_tradnl"/>
        </w:rPr>
      </w:pPr>
      <w:r w:rsidRPr="008E36E3">
        <w:rPr>
          <w:b/>
          <w:bCs/>
          <w:lang w:val="es-ES_tradnl"/>
        </w:rPr>
        <w:t>2</w:t>
      </w:r>
      <w:r w:rsidRPr="008E36E3">
        <w:rPr>
          <w:lang w:val="es-ES_tradnl"/>
        </w:rPr>
        <w:tab/>
        <w:t>que se utilice la Recomendación UIT</w:t>
      </w:r>
      <w:r w:rsidRPr="008E36E3">
        <w:rPr>
          <w:lang w:val="es-ES_tradnl"/>
        </w:rPr>
        <w:noBreakHyphen/>
        <w:t>R M.1461 para el análisis de compatibilidad de los radares que funcionan en el servicio de radiodeterminación con los sistemas de otros servicios;</w:t>
      </w:r>
    </w:p>
    <w:p w:rsidR="00625518" w:rsidRPr="008E36E3" w:rsidRDefault="00625518" w:rsidP="00625518">
      <w:pPr>
        <w:rPr>
          <w:lang w:val="es-ES_tradnl"/>
        </w:rPr>
      </w:pPr>
      <w:r w:rsidRPr="008E36E3">
        <w:rPr>
          <w:b/>
          <w:bCs/>
          <w:lang w:val="es-ES_tradnl"/>
        </w:rPr>
        <w:t>3</w:t>
      </w:r>
      <w:r w:rsidRPr="008E36E3">
        <w:rPr>
          <w:lang w:val="es-ES_tradnl"/>
        </w:rPr>
        <w:tab/>
        <w:t>que se utilicen los criterios de relación entre la potencia de la señal interferente y el nivel de potencia de ruido en el receptor del radar (</w:t>
      </w:r>
      <w:r w:rsidRPr="008E36E3">
        <w:rPr>
          <w:i/>
          <w:iCs/>
          <w:lang w:val="es-ES_tradnl"/>
        </w:rPr>
        <w:t>I</w:t>
      </w:r>
      <w:r w:rsidRPr="008E36E3">
        <w:rPr>
          <w:lang w:val="es-ES_tradnl"/>
        </w:rPr>
        <w:t>/</w:t>
      </w:r>
      <w:r w:rsidRPr="008E36E3">
        <w:rPr>
          <w:i/>
          <w:iCs/>
          <w:lang w:val="es-ES_tradnl"/>
        </w:rPr>
        <w:t>N</w:t>
      </w:r>
      <w:r w:rsidRPr="008E36E3">
        <w:rPr>
          <w:lang w:val="es-ES_tradnl"/>
        </w:rPr>
        <w:t>) de –6 dB como nivel de protección requerido para los radares de radionavegación aeronáutica, y que esta cifra represente el nivel neto de protección contra la interferencia combinada si están presentes múltiples fuentes de interferencia.</w:t>
      </w:r>
    </w:p>
    <w:p w:rsidR="00625518" w:rsidRPr="008E36E3" w:rsidRDefault="00625518" w:rsidP="00625518">
      <w:pPr>
        <w:rPr>
          <w:lang w:val="es-ES_tradnl"/>
        </w:rPr>
      </w:pPr>
    </w:p>
    <w:p w:rsidR="00625518" w:rsidRPr="008E36E3" w:rsidRDefault="00625518" w:rsidP="00625518">
      <w:pPr>
        <w:pStyle w:val="AnnexNoTitle"/>
        <w:rPr>
          <w:lang w:val="es-ES_tradnl"/>
        </w:rPr>
      </w:pPr>
      <w:r w:rsidRPr="008E36E3">
        <w:rPr>
          <w:lang w:val="es-ES_tradnl"/>
        </w:rPr>
        <w:lastRenderedPageBreak/>
        <w:t>Anexo 1</w:t>
      </w:r>
      <w:r w:rsidRPr="008E36E3">
        <w:rPr>
          <w:lang w:val="es-ES_tradnl"/>
        </w:rPr>
        <w:br/>
      </w:r>
      <w:r w:rsidRPr="008E36E3">
        <w:rPr>
          <w:lang w:val="es-ES_tradnl"/>
        </w:rPr>
        <w:br/>
        <w:t xml:space="preserve">Características técnicas y operacionales de los radares que </w:t>
      </w:r>
      <w:r w:rsidRPr="008E36E3">
        <w:rPr>
          <w:lang w:val="es-ES_tradnl"/>
        </w:rPr>
        <w:br/>
        <w:t xml:space="preserve">funcionan en el servicio de radionavegación aeronáutica </w:t>
      </w:r>
      <w:r w:rsidRPr="008E36E3">
        <w:rPr>
          <w:lang w:val="es-ES_tradnl"/>
        </w:rPr>
        <w:br/>
        <w:t>en la banda de frecuencias 5 150-5 250 MHz</w:t>
      </w:r>
    </w:p>
    <w:p w:rsidR="00625518" w:rsidRPr="008E36E3" w:rsidRDefault="00625518" w:rsidP="00625518">
      <w:pPr>
        <w:pStyle w:val="Heading1"/>
        <w:rPr>
          <w:lang w:val="es-ES_tradnl"/>
        </w:rPr>
      </w:pPr>
      <w:r w:rsidRPr="008E36E3">
        <w:rPr>
          <w:lang w:val="es-ES_tradnl"/>
        </w:rPr>
        <w:t>1</w:t>
      </w:r>
      <w:r w:rsidRPr="008E36E3">
        <w:rPr>
          <w:lang w:val="es-ES_tradnl"/>
        </w:rPr>
        <w:tab/>
        <w:t>Introducción</w:t>
      </w:r>
    </w:p>
    <w:p w:rsidR="00625518" w:rsidRPr="008E36E3" w:rsidRDefault="00625518" w:rsidP="00625518">
      <w:pPr>
        <w:rPr>
          <w:lang w:val="es-ES_tradnl"/>
        </w:rPr>
      </w:pPr>
      <w:r w:rsidRPr="008E36E3">
        <w:rPr>
          <w:lang w:val="es-ES_tradnl"/>
        </w:rPr>
        <w:t>El SRNA funciona en todo el mundo, a título primario, en la banda de frecuencias 5 150</w:t>
      </w:r>
      <w:r w:rsidRPr="008E36E3">
        <w:rPr>
          <w:lang w:val="es-ES_tradnl"/>
        </w:rPr>
        <w:noBreakHyphen/>
        <w:t>5 250 MHz. En el presente Anexo se indican las características técnicas y operacionales de los radares Doppler de impulsos representativos del SRNA que funcionan en dicha banda de frecuencias.</w:t>
      </w:r>
    </w:p>
    <w:p w:rsidR="00625518" w:rsidRPr="008E36E3" w:rsidRDefault="00625518" w:rsidP="00625518">
      <w:pPr>
        <w:pStyle w:val="Heading1"/>
        <w:rPr>
          <w:lang w:val="es-ES_tradnl"/>
        </w:rPr>
      </w:pPr>
      <w:r w:rsidRPr="008E36E3">
        <w:rPr>
          <w:lang w:val="es-ES_tradnl"/>
        </w:rPr>
        <w:t>2</w:t>
      </w:r>
      <w:r w:rsidRPr="008E36E3">
        <w:rPr>
          <w:lang w:val="es-ES_tradnl"/>
        </w:rPr>
        <w:tab/>
        <w:t>Características de los sistemas de detección y esquiva de radionavegación aeronáutica</w:t>
      </w:r>
    </w:p>
    <w:p w:rsidR="00625518" w:rsidRPr="008E36E3" w:rsidRDefault="00625518" w:rsidP="00625518">
      <w:pPr>
        <w:rPr>
          <w:lang w:val="es-ES_tradnl"/>
        </w:rPr>
      </w:pPr>
      <w:r w:rsidRPr="008E36E3">
        <w:rPr>
          <w:lang w:val="es-ES_tradnl"/>
        </w:rPr>
        <w:t>Para garantizar la seguridad del vuelo de una aeronave no tripulada (ANT) es necesario recurrir a técnicas avanzadas que permitan detectar y realizar un seguimiento de las aeronaves, el terreno y otros obstáculos a la navegación situados en las inmediaciones. Al igual que las aeronaves tripuladas, las ANT deben evitar dichos objetos. Los pilotos a distancia deberán ser conscientes del entorno en el que está funcionando la aeronave, poder identificar las posibles amenazas al funcionamiento seguro de la aeronave y tomar las medidas apropiadas para evitar el peligro. La función primordial del radar de detección y esquiva de radionavegación aeronáutica es proporcionar la capacidad de detectar, rastrear e informar del tráfico aéreo al piloto a distancia para que mantenga la separación adecuada respecto de las demás aeronaves y los obstáculos. El sistema utiliza un planteamiento de «piloto informado», en el que el piloto del sistema de aeronave no tripulada (SANT) en tierra tomará la decisión definitiva respecto a las maniobras para evitar colisiones. En el Cuadro 1 se muestran los parámetros técnicos de los radares de radionavegación aeronáutica que funcionan en la banda de frecuencias 5 150</w:t>
      </w:r>
      <w:r w:rsidRPr="008E36E3">
        <w:rPr>
          <w:lang w:val="es-ES_tradnl"/>
        </w:rPr>
        <w:noBreakHyphen/>
        <w:t>5 250 MHz.</w:t>
      </w:r>
    </w:p>
    <w:p w:rsidR="00625518" w:rsidRPr="008E36E3" w:rsidRDefault="00625518" w:rsidP="00625518">
      <w:pPr>
        <w:pStyle w:val="TableNo"/>
        <w:rPr>
          <w:lang w:val="es-ES_tradnl"/>
        </w:rPr>
      </w:pPr>
      <w:r w:rsidRPr="008E36E3">
        <w:rPr>
          <w:lang w:val="es-ES_tradnl"/>
        </w:rPr>
        <w:t>CUADRO 1</w:t>
      </w:r>
    </w:p>
    <w:p w:rsidR="00625518" w:rsidRPr="008E36E3" w:rsidRDefault="00625518" w:rsidP="00625518">
      <w:pPr>
        <w:pStyle w:val="Tabletitle"/>
        <w:rPr>
          <w:lang w:val="es-ES_tradnl"/>
        </w:rPr>
      </w:pPr>
      <w:r w:rsidRPr="008E36E3">
        <w:rPr>
          <w:lang w:val="es-ES_tradnl"/>
        </w:rPr>
        <w:t>Parámetros técnicos del radar de detección y esquiva a bordo de la aeronave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1417"/>
        <w:gridCol w:w="4535"/>
      </w:tblGrid>
      <w:tr w:rsidR="00A354E5" w:rsidRPr="008E36E3" w:rsidTr="00D64839">
        <w:trPr>
          <w:jc w:val="center"/>
        </w:trPr>
        <w:tc>
          <w:tcPr>
            <w:tcW w:w="5102" w:type="dxa"/>
            <w:gridSpan w:val="2"/>
            <w:vAlign w:val="center"/>
          </w:tcPr>
          <w:p w:rsidR="00A354E5" w:rsidRPr="008E36E3" w:rsidRDefault="00A354E5" w:rsidP="000577F1">
            <w:pPr>
              <w:pStyle w:val="Tablehead"/>
              <w:rPr>
                <w:lang w:val="es-ES_tradnl"/>
              </w:rPr>
            </w:pPr>
            <w:r w:rsidRPr="008E36E3">
              <w:rPr>
                <w:lang w:val="es-ES_tradnl"/>
              </w:rPr>
              <w:t>Parámetro</w:t>
            </w:r>
          </w:p>
        </w:tc>
        <w:tc>
          <w:tcPr>
            <w:tcW w:w="4535" w:type="dxa"/>
            <w:vAlign w:val="center"/>
          </w:tcPr>
          <w:p w:rsidR="00A354E5" w:rsidRPr="008E36E3" w:rsidRDefault="00A354E5" w:rsidP="000577F1">
            <w:pPr>
              <w:pStyle w:val="Tablehead"/>
              <w:spacing w:before="20" w:after="20"/>
              <w:rPr>
                <w:lang w:val="es-ES_tradnl"/>
              </w:rPr>
            </w:pPr>
            <w:r w:rsidRPr="008E36E3">
              <w:rPr>
                <w:lang w:val="es-ES_tradnl"/>
              </w:rPr>
              <w:t>Radar 1</w:t>
            </w:r>
          </w:p>
        </w:tc>
      </w:tr>
      <w:tr w:rsidR="00A354E5" w:rsidRPr="008E36E3" w:rsidTr="00D64839">
        <w:trPr>
          <w:jc w:val="center"/>
        </w:trPr>
        <w:tc>
          <w:tcPr>
            <w:tcW w:w="5102" w:type="dxa"/>
            <w:gridSpan w:val="2"/>
            <w:vAlign w:val="center"/>
          </w:tcPr>
          <w:p w:rsidR="00A354E5" w:rsidRPr="008E36E3" w:rsidRDefault="00A354E5" w:rsidP="000577F1">
            <w:pPr>
              <w:pStyle w:val="Tabletext"/>
              <w:jc w:val="left"/>
              <w:rPr>
                <w:lang w:val="es-ES_tradnl"/>
              </w:rPr>
            </w:pPr>
            <w:r w:rsidRPr="008E36E3">
              <w:rPr>
                <w:lang w:val="es-ES_tradnl"/>
              </w:rPr>
              <w:t>Plataforma</w:t>
            </w:r>
          </w:p>
        </w:tc>
        <w:tc>
          <w:tcPr>
            <w:tcW w:w="4535" w:type="dxa"/>
            <w:vAlign w:val="center"/>
          </w:tcPr>
          <w:p w:rsidR="00A354E5" w:rsidRPr="008E36E3" w:rsidRDefault="00A354E5" w:rsidP="000577F1">
            <w:pPr>
              <w:pStyle w:val="Tabletext"/>
              <w:jc w:val="center"/>
              <w:rPr>
                <w:lang w:val="es-ES_tradnl"/>
              </w:rPr>
            </w:pPr>
            <w:r w:rsidRPr="008E36E3">
              <w:rPr>
                <w:lang w:val="es-ES_tradnl"/>
              </w:rPr>
              <w:t>Aeronave no tripulada</w:t>
            </w:r>
          </w:p>
        </w:tc>
      </w:tr>
      <w:tr w:rsidR="00A354E5" w:rsidRPr="008E36E3" w:rsidTr="00D64839">
        <w:trPr>
          <w:jc w:val="center"/>
        </w:trPr>
        <w:tc>
          <w:tcPr>
            <w:tcW w:w="5102" w:type="dxa"/>
            <w:gridSpan w:val="2"/>
            <w:vAlign w:val="center"/>
          </w:tcPr>
          <w:p w:rsidR="00A354E5" w:rsidRPr="008E36E3" w:rsidRDefault="00A354E5" w:rsidP="000577F1">
            <w:pPr>
              <w:pStyle w:val="Tabletext"/>
              <w:jc w:val="left"/>
              <w:rPr>
                <w:lang w:val="es-ES_tradnl"/>
              </w:rPr>
            </w:pPr>
            <w:r w:rsidRPr="008E36E3">
              <w:rPr>
                <w:lang w:val="es-ES_tradnl"/>
              </w:rPr>
              <w:t>Altura de la plataforma (km)</w:t>
            </w:r>
          </w:p>
        </w:tc>
        <w:tc>
          <w:tcPr>
            <w:tcW w:w="4535" w:type="dxa"/>
            <w:vAlign w:val="center"/>
          </w:tcPr>
          <w:p w:rsidR="00A354E5" w:rsidRPr="008E36E3" w:rsidRDefault="00A354E5" w:rsidP="000577F1">
            <w:pPr>
              <w:pStyle w:val="Tabletext"/>
              <w:jc w:val="center"/>
              <w:rPr>
                <w:lang w:val="es-ES_tradnl"/>
              </w:rPr>
            </w:pPr>
            <w:r w:rsidRPr="008E36E3">
              <w:rPr>
                <w:lang w:val="es-ES_tradnl"/>
              </w:rPr>
              <w:t>Hasta 20</w:t>
            </w:r>
          </w:p>
        </w:tc>
      </w:tr>
      <w:tr w:rsidR="00A354E5" w:rsidRPr="00EC7D2F" w:rsidTr="00D64839">
        <w:trPr>
          <w:jc w:val="center"/>
        </w:trPr>
        <w:tc>
          <w:tcPr>
            <w:tcW w:w="5102" w:type="dxa"/>
            <w:gridSpan w:val="2"/>
            <w:vAlign w:val="center"/>
          </w:tcPr>
          <w:p w:rsidR="00A354E5" w:rsidRPr="008E36E3" w:rsidRDefault="00A354E5" w:rsidP="000577F1">
            <w:pPr>
              <w:pStyle w:val="Tabletext"/>
              <w:jc w:val="left"/>
              <w:rPr>
                <w:lang w:val="es-ES_tradnl"/>
              </w:rPr>
            </w:pPr>
            <w:r w:rsidRPr="008E36E3">
              <w:rPr>
                <w:lang w:val="es-ES_tradnl"/>
              </w:rPr>
              <w:t>Tipo de radar</w:t>
            </w:r>
          </w:p>
        </w:tc>
        <w:tc>
          <w:tcPr>
            <w:tcW w:w="4535" w:type="dxa"/>
            <w:vAlign w:val="center"/>
          </w:tcPr>
          <w:p w:rsidR="00A354E5" w:rsidRPr="008E36E3" w:rsidRDefault="00A354E5" w:rsidP="000577F1">
            <w:pPr>
              <w:pStyle w:val="Tabletext"/>
              <w:jc w:val="center"/>
              <w:rPr>
                <w:lang w:val="es-ES_tradnl"/>
              </w:rPr>
            </w:pPr>
            <w:r w:rsidRPr="008E36E3">
              <w:rPr>
                <w:lang w:val="es-ES_tradnl"/>
              </w:rPr>
              <w:t xml:space="preserve">Sistema anticolisión en el tráfico aéreo </w:t>
            </w:r>
          </w:p>
        </w:tc>
      </w:tr>
      <w:tr w:rsidR="00A354E5" w:rsidRPr="008E36E3" w:rsidTr="00D64839">
        <w:trPr>
          <w:jc w:val="center"/>
        </w:trPr>
        <w:tc>
          <w:tcPr>
            <w:tcW w:w="5102" w:type="dxa"/>
            <w:gridSpan w:val="2"/>
            <w:vAlign w:val="center"/>
          </w:tcPr>
          <w:p w:rsidR="00A354E5" w:rsidRPr="008E36E3" w:rsidRDefault="00A354E5" w:rsidP="000577F1">
            <w:pPr>
              <w:pStyle w:val="Tabletext"/>
              <w:jc w:val="left"/>
              <w:rPr>
                <w:lang w:val="es-ES_tradnl"/>
              </w:rPr>
            </w:pPr>
            <w:r w:rsidRPr="008E36E3">
              <w:rPr>
                <w:lang w:val="es-ES_tradnl"/>
              </w:rPr>
              <w:t>Velocidad respecto del suelo (km/h)</w:t>
            </w:r>
          </w:p>
        </w:tc>
        <w:tc>
          <w:tcPr>
            <w:tcW w:w="4535" w:type="dxa"/>
            <w:vAlign w:val="center"/>
          </w:tcPr>
          <w:p w:rsidR="00A354E5" w:rsidRPr="008E36E3" w:rsidRDefault="00A354E5" w:rsidP="000577F1">
            <w:pPr>
              <w:pStyle w:val="Tabletext"/>
              <w:jc w:val="center"/>
              <w:rPr>
                <w:lang w:val="es-ES_tradnl"/>
              </w:rPr>
            </w:pPr>
            <w:r w:rsidRPr="008E36E3">
              <w:rPr>
                <w:lang w:val="es-ES_tradnl"/>
              </w:rPr>
              <w:t>Hasta 1 500</w:t>
            </w:r>
          </w:p>
        </w:tc>
      </w:tr>
      <w:tr w:rsidR="00A354E5" w:rsidRPr="008E36E3" w:rsidTr="00D64839">
        <w:trPr>
          <w:jc w:val="center"/>
        </w:trPr>
        <w:tc>
          <w:tcPr>
            <w:tcW w:w="5102" w:type="dxa"/>
            <w:gridSpan w:val="2"/>
            <w:vAlign w:val="center"/>
          </w:tcPr>
          <w:p w:rsidR="00A354E5" w:rsidRPr="008E36E3" w:rsidRDefault="00A354E5" w:rsidP="000577F1">
            <w:pPr>
              <w:pStyle w:val="Tabletext"/>
              <w:jc w:val="left"/>
              <w:rPr>
                <w:lang w:val="es-ES_tradnl"/>
              </w:rPr>
            </w:pPr>
            <w:r w:rsidRPr="008E36E3">
              <w:rPr>
                <w:lang w:val="es-ES_tradnl"/>
              </w:rPr>
              <w:t>Gama de sintonización de frecuencias (MHz)</w:t>
            </w:r>
          </w:p>
        </w:tc>
        <w:tc>
          <w:tcPr>
            <w:tcW w:w="4535" w:type="dxa"/>
            <w:vAlign w:val="center"/>
          </w:tcPr>
          <w:p w:rsidR="00A354E5" w:rsidRPr="008E36E3" w:rsidRDefault="00A354E5" w:rsidP="000577F1">
            <w:pPr>
              <w:pStyle w:val="Tabletext"/>
              <w:jc w:val="center"/>
              <w:rPr>
                <w:lang w:val="es-ES_tradnl"/>
              </w:rPr>
            </w:pPr>
            <w:r w:rsidRPr="008E36E3">
              <w:rPr>
                <w:lang w:val="es-ES_tradnl"/>
              </w:rPr>
              <w:t>5 150-5 250</w:t>
            </w:r>
          </w:p>
        </w:tc>
      </w:tr>
      <w:tr w:rsidR="00A354E5" w:rsidRPr="008E36E3" w:rsidTr="00D64839">
        <w:trPr>
          <w:jc w:val="center"/>
        </w:trPr>
        <w:tc>
          <w:tcPr>
            <w:tcW w:w="5102" w:type="dxa"/>
            <w:gridSpan w:val="2"/>
            <w:tcBorders>
              <w:bottom w:val="single" w:sz="4" w:space="0" w:color="auto"/>
            </w:tcBorders>
            <w:vAlign w:val="center"/>
          </w:tcPr>
          <w:p w:rsidR="00A354E5" w:rsidRPr="008E36E3" w:rsidRDefault="00A354E5" w:rsidP="000577F1">
            <w:pPr>
              <w:pStyle w:val="Tabletext"/>
              <w:jc w:val="left"/>
              <w:rPr>
                <w:lang w:val="es-ES_tradnl"/>
              </w:rPr>
            </w:pPr>
            <w:r w:rsidRPr="008E36E3">
              <w:rPr>
                <w:lang w:val="es-ES_tradnl"/>
              </w:rPr>
              <w:t>Tipo de emisión</w:t>
            </w:r>
          </w:p>
        </w:tc>
        <w:tc>
          <w:tcPr>
            <w:tcW w:w="4535" w:type="dxa"/>
            <w:tcBorders>
              <w:bottom w:val="single" w:sz="4" w:space="0" w:color="auto"/>
            </w:tcBorders>
            <w:vAlign w:val="center"/>
          </w:tcPr>
          <w:p w:rsidR="00A354E5" w:rsidRPr="008E36E3" w:rsidRDefault="00A354E5" w:rsidP="000577F1">
            <w:pPr>
              <w:pStyle w:val="Tabletext"/>
              <w:jc w:val="center"/>
              <w:rPr>
                <w:lang w:val="es-ES_tradnl"/>
              </w:rPr>
            </w:pPr>
            <w:r w:rsidRPr="008E36E3">
              <w:rPr>
                <w:lang w:val="es-ES_tradnl"/>
              </w:rPr>
              <w:t>Impulsos con MF lineal</w:t>
            </w:r>
          </w:p>
        </w:tc>
      </w:tr>
      <w:tr w:rsidR="00A354E5" w:rsidRPr="008E36E3" w:rsidTr="00D64839">
        <w:trPr>
          <w:jc w:val="center"/>
        </w:trPr>
        <w:tc>
          <w:tcPr>
            <w:tcW w:w="5102" w:type="dxa"/>
            <w:gridSpan w:val="2"/>
            <w:shd w:val="clear" w:color="auto" w:fill="auto"/>
            <w:vAlign w:val="center"/>
          </w:tcPr>
          <w:p w:rsidR="00A354E5" w:rsidRPr="008E36E3" w:rsidRDefault="00A354E5" w:rsidP="000577F1">
            <w:pPr>
              <w:pStyle w:val="Tabletext"/>
              <w:jc w:val="left"/>
              <w:rPr>
                <w:lang w:val="es-ES_tradnl"/>
              </w:rPr>
            </w:pPr>
            <w:r w:rsidRPr="008E36E3">
              <w:rPr>
                <w:lang w:val="es-ES_tradnl"/>
              </w:rPr>
              <w:t>Ancho de banda de impulsos modulados (MHz)</w:t>
            </w:r>
          </w:p>
        </w:tc>
        <w:tc>
          <w:tcPr>
            <w:tcW w:w="4535" w:type="dxa"/>
            <w:shd w:val="clear" w:color="auto" w:fill="auto"/>
            <w:vAlign w:val="center"/>
          </w:tcPr>
          <w:p w:rsidR="00A354E5" w:rsidRPr="008E36E3" w:rsidRDefault="00A354E5" w:rsidP="000577F1">
            <w:pPr>
              <w:pStyle w:val="Tabletext"/>
              <w:jc w:val="center"/>
              <w:rPr>
                <w:lang w:val="es-ES_tradnl"/>
              </w:rPr>
            </w:pPr>
            <w:r w:rsidRPr="008E36E3">
              <w:rPr>
                <w:lang w:val="es-ES_tradnl"/>
              </w:rPr>
              <w:t>20</w:t>
            </w:r>
          </w:p>
        </w:tc>
      </w:tr>
      <w:tr w:rsidR="00A354E5" w:rsidRPr="008E36E3" w:rsidTr="00D64839">
        <w:trPr>
          <w:jc w:val="center"/>
        </w:trPr>
        <w:tc>
          <w:tcPr>
            <w:tcW w:w="5102" w:type="dxa"/>
            <w:gridSpan w:val="2"/>
            <w:shd w:val="clear" w:color="auto" w:fill="auto"/>
            <w:vAlign w:val="center"/>
          </w:tcPr>
          <w:p w:rsidR="00A354E5" w:rsidRPr="008E36E3" w:rsidRDefault="00A354E5" w:rsidP="000577F1">
            <w:pPr>
              <w:pStyle w:val="Tabletext"/>
              <w:jc w:val="left"/>
              <w:rPr>
                <w:lang w:val="es-ES_tradnl"/>
              </w:rPr>
            </w:pPr>
            <w:r w:rsidRPr="008E36E3">
              <w:rPr>
                <w:lang w:val="es-ES_tradnl"/>
              </w:rPr>
              <w:t>Anchura del impulso (</w:t>
            </w:r>
            <w:r w:rsidRPr="008E36E3">
              <w:rPr>
                <w:lang w:val="es-ES_tradnl"/>
              </w:rPr>
              <w:sym w:font="Symbol" w:char="F06D"/>
            </w:r>
            <w:r w:rsidRPr="008E36E3">
              <w:rPr>
                <w:lang w:val="es-ES_tradnl"/>
              </w:rPr>
              <w:t xml:space="preserve">s) </w:t>
            </w:r>
          </w:p>
        </w:tc>
        <w:tc>
          <w:tcPr>
            <w:tcW w:w="4535" w:type="dxa"/>
            <w:shd w:val="clear" w:color="auto" w:fill="auto"/>
            <w:vAlign w:val="center"/>
          </w:tcPr>
          <w:p w:rsidR="00A354E5" w:rsidRPr="008E36E3" w:rsidRDefault="00A354E5" w:rsidP="000577F1">
            <w:pPr>
              <w:pStyle w:val="Tabletext"/>
              <w:jc w:val="center"/>
              <w:rPr>
                <w:lang w:val="es-ES_tradnl"/>
              </w:rPr>
            </w:pPr>
            <w:r w:rsidRPr="008E36E3">
              <w:rPr>
                <w:lang w:val="es-ES_tradnl"/>
              </w:rPr>
              <w:t>5-11</w:t>
            </w:r>
          </w:p>
        </w:tc>
      </w:tr>
      <w:tr w:rsidR="00A354E5" w:rsidRPr="008E36E3" w:rsidTr="00D64839">
        <w:trPr>
          <w:jc w:val="center"/>
        </w:trPr>
        <w:tc>
          <w:tcPr>
            <w:tcW w:w="5102" w:type="dxa"/>
            <w:gridSpan w:val="2"/>
          </w:tcPr>
          <w:p w:rsidR="00A354E5" w:rsidRPr="008E36E3" w:rsidRDefault="00A354E5" w:rsidP="000577F1">
            <w:pPr>
              <w:pStyle w:val="Tabletext"/>
              <w:jc w:val="left"/>
              <w:rPr>
                <w:lang w:val="es-ES_tradnl"/>
              </w:rPr>
            </w:pPr>
            <w:r w:rsidRPr="008E36E3">
              <w:rPr>
                <w:lang w:val="es-ES_tradnl"/>
              </w:rPr>
              <w:t>Tiempos de subida y caída de los impulsos (</w:t>
            </w:r>
            <w:r w:rsidRPr="008E36E3">
              <w:rPr>
                <w:lang w:val="es-ES_tradnl"/>
              </w:rPr>
              <w:sym w:font="Symbol" w:char="F06D"/>
            </w:r>
            <w:r w:rsidRPr="008E36E3">
              <w:rPr>
                <w:lang w:val="es-ES_tradnl"/>
              </w:rPr>
              <w:t>s)</w:t>
            </w:r>
          </w:p>
        </w:tc>
        <w:tc>
          <w:tcPr>
            <w:tcW w:w="4535" w:type="dxa"/>
          </w:tcPr>
          <w:p w:rsidR="00A354E5" w:rsidRPr="008E36E3" w:rsidRDefault="00A354E5" w:rsidP="000577F1">
            <w:pPr>
              <w:pStyle w:val="Tabletext"/>
              <w:jc w:val="center"/>
              <w:rPr>
                <w:lang w:val="es-ES_tradnl"/>
              </w:rPr>
            </w:pPr>
            <w:r w:rsidRPr="008E36E3">
              <w:rPr>
                <w:lang w:val="es-ES_tradnl"/>
              </w:rPr>
              <w:t xml:space="preserve">0,1-0,2 </w:t>
            </w:r>
          </w:p>
        </w:tc>
      </w:tr>
      <w:tr w:rsidR="00D64839" w:rsidRPr="008E36E3" w:rsidTr="00D64839">
        <w:trPr>
          <w:jc w:val="center"/>
        </w:trPr>
        <w:tc>
          <w:tcPr>
            <w:tcW w:w="3685" w:type="dxa"/>
            <w:tcBorders>
              <w:right w:val="nil"/>
            </w:tcBorders>
            <w:tcMar>
              <w:left w:w="108" w:type="dxa"/>
              <w:right w:w="28" w:type="dxa"/>
            </w:tcMar>
          </w:tcPr>
          <w:p w:rsidR="00A354E5" w:rsidRPr="008E36E3" w:rsidRDefault="00A354E5" w:rsidP="000577F1">
            <w:pPr>
              <w:pStyle w:val="Tabletext"/>
              <w:jc w:val="left"/>
              <w:rPr>
                <w:lang w:val="es-ES_tradnl"/>
              </w:rPr>
            </w:pPr>
            <w:r w:rsidRPr="008E36E3">
              <w:rPr>
                <w:lang w:val="es-ES_tradnl"/>
              </w:rPr>
              <w:t>Anchura de banda de la emisión en RF</w:t>
            </w:r>
          </w:p>
        </w:tc>
        <w:tc>
          <w:tcPr>
            <w:tcW w:w="1417" w:type="dxa"/>
            <w:tcBorders>
              <w:left w:val="nil"/>
            </w:tcBorders>
            <w:tcMar>
              <w:left w:w="28" w:type="dxa"/>
              <w:right w:w="28" w:type="dxa"/>
            </w:tcMar>
          </w:tcPr>
          <w:p w:rsidR="00A354E5" w:rsidRPr="008E36E3" w:rsidRDefault="00A354E5" w:rsidP="000577F1">
            <w:pPr>
              <w:pStyle w:val="Tabletext"/>
              <w:jc w:val="left"/>
              <w:rPr>
                <w:lang w:val="es-ES_tradnl"/>
              </w:rPr>
            </w:pPr>
            <w:r w:rsidRPr="008E36E3">
              <w:rPr>
                <w:lang w:val="es-ES_tradnl"/>
              </w:rPr>
              <w:t>–3 dB</w:t>
            </w:r>
          </w:p>
          <w:p w:rsidR="00A354E5" w:rsidRPr="008E36E3" w:rsidRDefault="00D64839" w:rsidP="000577F1">
            <w:pPr>
              <w:pStyle w:val="Tabletext"/>
              <w:jc w:val="left"/>
              <w:rPr>
                <w:lang w:val="es-ES_tradnl"/>
              </w:rPr>
            </w:pPr>
            <w:r w:rsidRPr="008E36E3">
              <w:rPr>
                <w:lang w:val="es-ES_tradnl"/>
              </w:rPr>
              <w:t xml:space="preserve">–20 dB </w:t>
            </w:r>
            <w:r w:rsidR="00A354E5" w:rsidRPr="008E36E3">
              <w:rPr>
                <w:lang w:val="es-ES_tradnl"/>
              </w:rPr>
              <w:t>(MHz)</w:t>
            </w:r>
          </w:p>
          <w:p w:rsidR="00A354E5" w:rsidRPr="008E36E3" w:rsidRDefault="00A354E5" w:rsidP="000577F1">
            <w:pPr>
              <w:pStyle w:val="Tabletext"/>
              <w:jc w:val="left"/>
              <w:rPr>
                <w:lang w:val="es-ES_tradnl"/>
              </w:rPr>
            </w:pPr>
            <w:r w:rsidRPr="008E36E3">
              <w:rPr>
                <w:lang w:val="es-ES_tradnl"/>
              </w:rPr>
              <w:t>–40 dB</w:t>
            </w:r>
          </w:p>
        </w:tc>
        <w:tc>
          <w:tcPr>
            <w:tcW w:w="4535" w:type="dxa"/>
          </w:tcPr>
          <w:p w:rsidR="00A354E5" w:rsidRPr="008E36E3" w:rsidRDefault="00A354E5" w:rsidP="000577F1">
            <w:pPr>
              <w:pStyle w:val="Tabletext"/>
              <w:jc w:val="center"/>
              <w:rPr>
                <w:lang w:val="es-ES_tradnl"/>
              </w:rPr>
            </w:pPr>
            <w:r w:rsidRPr="008E36E3">
              <w:rPr>
                <w:lang w:val="es-ES_tradnl"/>
              </w:rPr>
              <w:t>18</w:t>
            </w:r>
          </w:p>
          <w:p w:rsidR="00A354E5" w:rsidRPr="008E36E3" w:rsidRDefault="00A354E5" w:rsidP="000577F1">
            <w:pPr>
              <w:pStyle w:val="Tabletext"/>
              <w:jc w:val="center"/>
              <w:rPr>
                <w:lang w:val="es-ES_tradnl"/>
              </w:rPr>
            </w:pPr>
            <w:r w:rsidRPr="008E36E3">
              <w:rPr>
                <w:lang w:val="es-ES_tradnl"/>
              </w:rPr>
              <w:t>22</w:t>
            </w:r>
          </w:p>
          <w:p w:rsidR="00A354E5" w:rsidRPr="008E36E3" w:rsidRDefault="00A354E5" w:rsidP="000577F1">
            <w:pPr>
              <w:pStyle w:val="Tabletext"/>
              <w:jc w:val="center"/>
              <w:rPr>
                <w:lang w:val="es-ES_tradnl"/>
              </w:rPr>
            </w:pPr>
            <w:r w:rsidRPr="008E36E3">
              <w:rPr>
                <w:lang w:val="es-ES_tradnl"/>
              </w:rPr>
              <w:t>26</w:t>
            </w:r>
          </w:p>
        </w:tc>
      </w:tr>
    </w:tbl>
    <w:p w:rsidR="00D64839" w:rsidRPr="008E36E3" w:rsidRDefault="00D64839" w:rsidP="00D64839">
      <w:pPr>
        <w:pStyle w:val="Tablefin"/>
        <w:rPr>
          <w:lang w:val="es-ES_tradnl"/>
        </w:rPr>
      </w:pPr>
    </w:p>
    <w:p w:rsidR="00D64839" w:rsidRPr="008E36E3" w:rsidRDefault="00D64839" w:rsidP="00D64839">
      <w:pPr>
        <w:pStyle w:val="TableNo"/>
        <w:rPr>
          <w:lang w:val="es-ES_tradnl"/>
        </w:rPr>
      </w:pPr>
      <w:r w:rsidRPr="008E36E3">
        <w:rPr>
          <w:lang w:val="es-ES_tradnl"/>
        </w:rPr>
        <w:lastRenderedPageBreak/>
        <w:t>CUADRO 1 (</w:t>
      </w:r>
      <w:r w:rsidRPr="008E36E3">
        <w:rPr>
          <w:i/>
          <w:iCs/>
          <w:lang w:val="es-ES_tradnl"/>
        </w:rPr>
        <w:t>Fin</w:t>
      </w:r>
      <w:r w:rsidRPr="008E36E3">
        <w:rPr>
          <w:lang w:val="es-ES_tradnl"/>
        </w:rPr>
        <w:t>)</w:t>
      </w:r>
    </w:p>
    <w:p w:rsidR="00D64839" w:rsidRPr="008E36E3" w:rsidRDefault="00D64839" w:rsidP="00D64839">
      <w:pPr>
        <w:pStyle w:val="Tabletitle"/>
        <w:rPr>
          <w:lang w:val="es-ES_tradnl"/>
        </w:rPr>
      </w:pPr>
      <w:r w:rsidRPr="008E36E3">
        <w:rPr>
          <w:lang w:val="es-ES_tradnl"/>
        </w:rPr>
        <w:t>Parámetros técnicos del radar de detección y esquiva a bordo de la aeronave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2"/>
        <w:gridCol w:w="4535"/>
      </w:tblGrid>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Frecuencia de repetición de impulsos (pps)</w:t>
            </w:r>
          </w:p>
        </w:tc>
        <w:tc>
          <w:tcPr>
            <w:tcW w:w="4535" w:type="dxa"/>
          </w:tcPr>
          <w:p w:rsidR="00A354E5" w:rsidRPr="008E36E3" w:rsidRDefault="00A354E5" w:rsidP="000577F1">
            <w:pPr>
              <w:pStyle w:val="Tabletext"/>
              <w:jc w:val="center"/>
              <w:rPr>
                <w:lang w:val="es-ES_tradnl"/>
              </w:rPr>
            </w:pPr>
            <w:r w:rsidRPr="008E36E3">
              <w:rPr>
                <w:lang w:val="es-ES_tradnl"/>
              </w:rPr>
              <w:t>31 500-33 500</w:t>
            </w:r>
          </w:p>
        </w:tc>
      </w:tr>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Potencia de cresta del transmisor (W)</w:t>
            </w:r>
          </w:p>
        </w:tc>
        <w:tc>
          <w:tcPr>
            <w:tcW w:w="4535" w:type="dxa"/>
          </w:tcPr>
          <w:p w:rsidR="00A354E5" w:rsidRPr="008E36E3" w:rsidRDefault="00A354E5" w:rsidP="000577F1">
            <w:pPr>
              <w:pStyle w:val="Tabletext"/>
              <w:jc w:val="center"/>
              <w:rPr>
                <w:lang w:val="es-ES_tradnl"/>
              </w:rPr>
            </w:pPr>
            <w:r w:rsidRPr="008E36E3">
              <w:rPr>
                <w:lang w:val="es-ES_tradnl"/>
              </w:rPr>
              <w:t>80,0</w:t>
            </w:r>
          </w:p>
        </w:tc>
      </w:tr>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Potencia media del transmisor (W)</w:t>
            </w:r>
          </w:p>
        </w:tc>
        <w:tc>
          <w:tcPr>
            <w:tcW w:w="4535" w:type="dxa"/>
          </w:tcPr>
          <w:p w:rsidR="00A354E5" w:rsidRPr="008E36E3" w:rsidRDefault="00A354E5" w:rsidP="000577F1">
            <w:pPr>
              <w:pStyle w:val="Tabletext"/>
              <w:jc w:val="center"/>
              <w:rPr>
                <w:lang w:val="es-ES_tradnl"/>
              </w:rPr>
            </w:pPr>
            <w:r w:rsidRPr="008E36E3">
              <w:rPr>
                <w:lang w:val="es-ES_tradnl"/>
              </w:rPr>
              <w:t>16</w:t>
            </w:r>
          </w:p>
        </w:tc>
      </w:tr>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Anchura de banda a –3 dB de la FI del receptor (MHz)</w:t>
            </w:r>
          </w:p>
        </w:tc>
        <w:tc>
          <w:tcPr>
            <w:tcW w:w="4535" w:type="dxa"/>
          </w:tcPr>
          <w:p w:rsidR="00A354E5" w:rsidRPr="008E36E3" w:rsidRDefault="00A354E5" w:rsidP="000577F1">
            <w:pPr>
              <w:pStyle w:val="Tabletext"/>
              <w:jc w:val="center"/>
              <w:rPr>
                <w:lang w:val="es-ES_tradnl"/>
              </w:rPr>
            </w:pPr>
            <w:r w:rsidRPr="008E36E3">
              <w:rPr>
                <w:lang w:val="es-ES_tradnl"/>
              </w:rPr>
              <w:t>30</w:t>
            </w:r>
          </w:p>
        </w:tc>
      </w:tr>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Sensibilidad (dBm)</w:t>
            </w:r>
          </w:p>
        </w:tc>
        <w:tc>
          <w:tcPr>
            <w:tcW w:w="4535" w:type="dxa"/>
          </w:tcPr>
          <w:p w:rsidR="00A354E5" w:rsidRPr="008E36E3" w:rsidRDefault="00A354E5" w:rsidP="000577F1">
            <w:pPr>
              <w:pStyle w:val="Tabletext"/>
              <w:jc w:val="center"/>
              <w:rPr>
                <w:lang w:val="es-ES_tradnl"/>
              </w:rPr>
            </w:pPr>
            <w:r w:rsidRPr="008E36E3">
              <w:rPr>
                <w:lang w:val="es-ES_tradnl"/>
              </w:rPr>
              <w:t>−133</w:t>
            </w:r>
          </w:p>
        </w:tc>
      </w:tr>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Factor de ruido del receptor (dB)</w:t>
            </w:r>
          </w:p>
        </w:tc>
        <w:tc>
          <w:tcPr>
            <w:tcW w:w="4535" w:type="dxa"/>
          </w:tcPr>
          <w:p w:rsidR="00A354E5" w:rsidRPr="008E36E3" w:rsidRDefault="00A354E5" w:rsidP="000577F1">
            <w:pPr>
              <w:pStyle w:val="Tabletext"/>
              <w:jc w:val="center"/>
              <w:rPr>
                <w:lang w:val="es-ES_tradnl"/>
              </w:rPr>
            </w:pPr>
            <w:r w:rsidRPr="008E36E3">
              <w:rPr>
                <w:lang w:val="es-ES_tradnl"/>
              </w:rPr>
              <w:t>5</w:t>
            </w:r>
          </w:p>
        </w:tc>
      </w:tr>
      <w:tr w:rsidR="00A354E5" w:rsidRPr="00EC7D2F"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Tipo de antena</w:t>
            </w:r>
          </w:p>
        </w:tc>
        <w:tc>
          <w:tcPr>
            <w:tcW w:w="4535" w:type="dxa"/>
          </w:tcPr>
          <w:p w:rsidR="00A354E5" w:rsidRPr="008E36E3" w:rsidRDefault="00A354E5" w:rsidP="000577F1">
            <w:pPr>
              <w:pStyle w:val="Tabletext"/>
              <w:jc w:val="center"/>
              <w:rPr>
                <w:lang w:val="es-ES_tradnl"/>
              </w:rPr>
            </w:pPr>
            <w:r w:rsidRPr="008E36E3">
              <w:rPr>
                <w:lang w:val="es-ES_tradnl"/>
              </w:rPr>
              <w:t>Sistema de antenas controlado por fase</w:t>
            </w:r>
          </w:p>
        </w:tc>
      </w:tr>
      <w:tr w:rsidR="00A354E5" w:rsidRPr="00EC7D2F"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 xml:space="preserve">Emplazamiento de la antena </w:t>
            </w:r>
          </w:p>
        </w:tc>
        <w:tc>
          <w:tcPr>
            <w:tcW w:w="4535" w:type="dxa"/>
          </w:tcPr>
          <w:p w:rsidR="00A354E5" w:rsidRPr="008E36E3" w:rsidRDefault="00A354E5" w:rsidP="000577F1">
            <w:pPr>
              <w:pStyle w:val="Tabletext"/>
              <w:jc w:val="center"/>
              <w:rPr>
                <w:lang w:val="es-ES_tradnl"/>
              </w:rPr>
            </w:pPr>
            <w:r w:rsidRPr="008E36E3">
              <w:rPr>
                <w:lang w:val="es-ES_tradnl"/>
              </w:rPr>
              <w:t>Parte delantera y lateral del morro del avión</w:t>
            </w:r>
          </w:p>
        </w:tc>
      </w:tr>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 xml:space="preserve">Ganancia de la antena (dBi) </w:t>
            </w:r>
          </w:p>
        </w:tc>
        <w:tc>
          <w:tcPr>
            <w:tcW w:w="4535" w:type="dxa"/>
          </w:tcPr>
          <w:p w:rsidR="00A354E5" w:rsidRPr="008E36E3" w:rsidRDefault="00A354E5" w:rsidP="000577F1">
            <w:pPr>
              <w:pStyle w:val="Tabletext"/>
              <w:jc w:val="center"/>
              <w:rPr>
                <w:lang w:val="es-ES_tradnl"/>
              </w:rPr>
            </w:pPr>
            <w:r w:rsidRPr="008E36E3">
              <w:rPr>
                <w:lang w:val="es-ES_tradnl"/>
              </w:rPr>
              <w:t>33-36</w:t>
            </w:r>
          </w:p>
        </w:tc>
      </w:tr>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Primer lóbulo lateral de la antena (dBi)</w:t>
            </w:r>
          </w:p>
        </w:tc>
        <w:tc>
          <w:tcPr>
            <w:tcW w:w="4535" w:type="dxa"/>
          </w:tcPr>
          <w:p w:rsidR="00A354E5" w:rsidRPr="008E36E3" w:rsidRDefault="00A354E5" w:rsidP="000577F1">
            <w:pPr>
              <w:pStyle w:val="Tabletext"/>
              <w:jc w:val="center"/>
              <w:rPr>
                <w:lang w:val="es-ES_tradnl"/>
              </w:rPr>
            </w:pPr>
            <w:r w:rsidRPr="008E36E3">
              <w:rPr>
                <w:lang w:val="es-ES_tradnl"/>
              </w:rPr>
              <w:t>18-20</w:t>
            </w:r>
          </w:p>
        </w:tc>
      </w:tr>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Anchura del haz horizontal (grados)</w:t>
            </w:r>
          </w:p>
        </w:tc>
        <w:tc>
          <w:tcPr>
            <w:tcW w:w="4535" w:type="dxa"/>
          </w:tcPr>
          <w:p w:rsidR="00A354E5" w:rsidRPr="008E36E3" w:rsidRDefault="00A354E5" w:rsidP="000577F1">
            <w:pPr>
              <w:pStyle w:val="Tabletext"/>
              <w:jc w:val="center"/>
              <w:rPr>
                <w:lang w:val="es-ES_tradnl"/>
              </w:rPr>
            </w:pPr>
            <w:r w:rsidRPr="008E36E3">
              <w:rPr>
                <w:lang w:val="es-ES_tradnl"/>
              </w:rPr>
              <w:t>8</w:t>
            </w:r>
          </w:p>
        </w:tc>
      </w:tr>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Anchura del haz vertical (grados)</w:t>
            </w:r>
          </w:p>
        </w:tc>
        <w:tc>
          <w:tcPr>
            <w:tcW w:w="4535" w:type="dxa"/>
          </w:tcPr>
          <w:p w:rsidR="00A354E5" w:rsidRPr="008E36E3" w:rsidRDefault="00A354E5" w:rsidP="000577F1">
            <w:pPr>
              <w:pStyle w:val="Tabletext"/>
              <w:jc w:val="center"/>
              <w:rPr>
                <w:lang w:val="es-ES_tradnl"/>
              </w:rPr>
            </w:pPr>
            <w:r w:rsidRPr="008E36E3">
              <w:rPr>
                <w:lang w:val="es-ES_tradnl"/>
              </w:rPr>
              <w:t>8</w:t>
            </w:r>
          </w:p>
        </w:tc>
      </w:tr>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Polarización</w:t>
            </w:r>
          </w:p>
        </w:tc>
        <w:tc>
          <w:tcPr>
            <w:tcW w:w="4535" w:type="dxa"/>
          </w:tcPr>
          <w:p w:rsidR="00A354E5" w:rsidRPr="008E36E3" w:rsidRDefault="00A354E5" w:rsidP="000577F1">
            <w:pPr>
              <w:pStyle w:val="Tabletext"/>
              <w:jc w:val="center"/>
              <w:rPr>
                <w:lang w:val="es-ES_tradnl"/>
              </w:rPr>
            </w:pPr>
            <w:r w:rsidRPr="008E36E3">
              <w:rPr>
                <w:lang w:val="es-ES_tradnl"/>
              </w:rPr>
              <w:t>Vertical</w:t>
            </w:r>
          </w:p>
        </w:tc>
      </w:tr>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Exploración vertical de la antena (grados)</w:t>
            </w:r>
          </w:p>
        </w:tc>
        <w:tc>
          <w:tcPr>
            <w:tcW w:w="4535" w:type="dxa"/>
          </w:tcPr>
          <w:p w:rsidR="00A354E5" w:rsidRPr="008E36E3" w:rsidRDefault="00A354E5" w:rsidP="000577F1">
            <w:pPr>
              <w:pStyle w:val="Tabletext"/>
              <w:jc w:val="center"/>
              <w:rPr>
                <w:lang w:val="es-ES_tradnl"/>
              </w:rPr>
            </w:pPr>
            <w:r w:rsidRPr="008E36E3">
              <w:rPr>
                <w:lang w:val="es-ES_tradnl"/>
              </w:rPr>
              <w:t>±45</w:t>
            </w:r>
          </w:p>
        </w:tc>
      </w:tr>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Exploración horizontal de la antena (grados)</w:t>
            </w:r>
          </w:p>
        </w:tc>
        <w:tc>
          <w:tcPr>
            <w:tcW w:w="4535" w:type="dxa"/>
          </w:tcPr>
          <w:p w:rsidR="00A354E5" w:rsidRPr="008E36E3" w:rsidRDefault="00A354E5" w:rsidP="000577F1">
            <w:pPr>
              <w:pStyle w:val="Tabletext"/>
              <w:jc w:val="center"/>
              <w:rPr>
                <w:lang w:val="es-ES_tradnl"/>
              </w:rPr>
            </w:pPr>
            <w:r w:rsidRPr="008E36E3">
              <w:rPr>
                <w:lang w:val="es-ES_tradnl"/>
              </w:rPr>
              <w:t>±45</w:t>
            </w:r>
          </w:p>
        </w:tc>
      </w:tr>
      <w:tr w:rsidR="00A354E5" w:rsidRPr="008E36E3" w:rsidTr="00D64839">
        <w:trPr>
          <w:jc w:val="center"/>
        </w:trPr>
        <w:tc>
          <w:tcPr>
            <w:tcW w:w="5102" w:type="dxa"/>
          </w:tcPr>
          <w:p w:rsidR="00A354E5" w:rsidRPr="008E36E3" w:rsidRDefault="00A354E5" w:rsidP="000577F1">
            <w:pPr>
              <w:pStyle w:val="Tabletext"/>
              <w:jc w:val="left"/>
              <w:rPr>
                <w:lang w:val="es-ES_tradnl"/>
              </w:rPr>
            </w:pPr>
            <w:r w:rsidRPr="008E36E3">
              <w:rPr>
                <w:lang w:val="es-ES_tradnl"/>
              </w:rPr>
              <w:t>Criterios de protección (dB)</w:t>
            </w:r>
          </w:p>
        </w:tc>
        <w:tc>
          <w:tcPr>
            <w:tcW w:w="4535" w:type="dxa"/>
          </w:tcPr>
          <w:p w:rsidR="00A354E5" w:rsidRPr="008E36E3" w:rsidRDefault="00A354E5" w:rsidP="000577F1">
            <w:pPr>
              <w:pStyle w:val="Tabletext"/>
              <w:jc w:val="center"/>
              <w:rPr>
                <w:lang w:val="es-ES_tradnl"/>
              </w:rPr>
            </w:pPr>
            <w:r w:rsidRPr="008E36E3">
              <w:rPr>
                <w:lang w:val="es-ES_tradnl"/>
              </w:rPr>
              <w:t>−6</w:t>
            </w:r>
          </w:p>
        </w:tc>
      </w:tr>
    </w:tbl>
    <w:p w:rsidR="00625518" w:rsidRPr="008E36E3" w:rsidRDefault="00625518" w:rsidP="00625518">
      <w:pPr>
        <w:pStyle w:val="Tablefin"/>
        <w:rPr>
          <w:lang w:val="es-ES_tradnl"/>
        </w:rPr>
      </w:pPr>
    </w:p>
    <w:p w:rsidR="00625518" w:rsidRPr="008E36E3" w:rsidRDefault="00625518" w:rsidP="00625518">
      <w:pPr>
        <w:pStyle w:val="Heading1"/>
        <w:rPr>
          <w:lang w:val="es-ES_tradnl"/>
        </w:rPr>
      </w:pPr>
      <w:r w:rsidRPr="008E36E3">
        <w:rPr>
          <w:lang w:val="es-ES_tradnl"/>
        </w:rPr>
        <w:t>3</w:t>
      </w:r>
      <w:r w:rsidRPr="008E36E3">
        <w:rPr>
          <w:lang w:val="es-ES_tradnl"/>
        </w:rPr>
        <w:tab/>
        <w:t>Funcionamiento de la detección y la esquiva</w:t>
      </w:r>
    </w:p>
    <w:p w:rsidR="00625518" w:rsidRPr="008E36E3" w:rsidRDefault="00625518" w:rsidP="00625518">
      <w:pPr>
        <w:rPr>
          <w:rFonts w:eastAsia="SimSun"/>
          <w:lang w:val="es-ES_tradnl" w:eastAsia="zh-CN"/>
        </w:rPr>
      </w:pPr>
      <w:r w:rsidRPr="008E36E3">
        <w:rPr>
          <w:rFonts w:eastAsia="SimSun"/>
          <w:lang w:val="es-ES_tradnl" w:eastAsia="zh-CN"/>
        </w:rPr>
        <w:t>Durante mucho tiempo, las aeronaves tripuladas se han basado en la vista del piloto humano en la cabina como método principal para detectar la presencia de otras aeronaves y evitar las colisiones en el aire, incluso cuando se dispone de sistemas de transpondedores y de radares. Los SANT no se benefician de esta característica de seguridad a bordo. Se considera que las ANT han de estar plenamente integradas con las aeronaves tripuladas en toda la gama de aplicaciones. Se ha demostrado o planificado la utilización de aplicaciones de los SANT en ámbitos tales como la agricultura, los enlaces de comunicaciones, la fotografía aérea, la cartografía, la gestión de emergencias, la investigación científica, la gestión del medio ambiente y el cumplimiento de la ley. Así pues, los SANT deben disponer de esta función de detección y esquiva (Sense and Avoid – S&amp;A) para su funcionamiento rutinario en un espacio aéreo no segregado. El mantenimiento de la sensibilidad del sistema de sensores de S&amp;A resulta esencial a la hora de garantizar que se detectarán a tiempo las aeronaves próximas al SANT a fin de evitar las colisiones.</w:t>
      </w:r>
    </w:p>
    <w:p w:rsidR="00625518" w:rsidRPr="008E36E3" w:rsidRDefault="00625518" w:rsidP="00625518">
      <w:pPr>
        <w:rPr>
          <w:rFonts w:eastAsia="SimSun"/>
          <w:lang w:val="es-ES_tradnl" w:eastAsia="zh-CN"/>
        </w:rPr>
      </w:pPr>
      <w:r w:rsidRPr="008E36E3">
        <w:rPr>
          <w:rFonts w:eastAsia="SimSun"/>
          <w:lang w:val="es-ES_tradnl" w:eastAsia="zh-CN"/>
        </w:rPr>
        <w:t>A fin de velar por el mantenimiento de una distancia de seguridad respecto de las demás aeronaves se necesita una función de búsqueda activa para mantener una distancia de separación suficiente de las mismas. Los parámetros de la función de búsqueda pueden incluir el tiempo, la distancia, la velocidad de acercamiento, el ángulo de aproximación y la maniobrabilidad. La función de autoseparación funciona con un margen de tiempo suficiente para maniobrar el SANT a fin de evitar la activación de la función anticolisión.</w:t>
      </w:r>
    </w:p>
    <w:p w:rsidR="00625518" w:rsidRPr="008E36E3" w:rsidRDefault="00625518" w:rsidP="00625518">
      <w:pPr>
        <w:rPr>
          <w:rFonts w:eastAsia="SimSun"/>
          <w:lang w:val="es-ES_tradnl" w:eastAsia="zh-CN"/>
        </w:rPr>
      </w:pPr>
      <w:r w:rsidRPr="008E36E3">
        <w:rPr>
          <w:rFonts w:eastAsia="SimSun"/>
          <w:lang w:val="es-ES_tradnl" w:eastAsia="zh-CN"/>
        </w:rPr>
        <w:t>La maniobra anticolisión es la maniobra de último recurso para evitar la colisión. Esta función se pone en marcha cuando fallan todos los modos de garantía de la separación para mantener una distancia de seguridad. De nuevo, sus parámetros pueden incluir</w:t>
      </w:r>
      <w:r w:rsidRPr="008E36E3">
        <w:rPr>
          <w:lang w:val="es-ES_tradnl"/>
        </w:rPr>
        <w:t xml:space="preserve"> </w:t>
      </w:r>
      <w:r w:rsidRPr="008E36E3">
        <w:rPr>
          <w:rFonts w:eastAsia="SimSun"/>
          <w:lang w:val="es-ES_tradnl" w:eastAsia="zh-CN"/>
        </w:rPr>
        <w:t xml:space="preserve">el tiempo, la distancia, la velocidad de acercamiento, el ángulo de aproximación y la maniobrabilidad. En este volumen de colisión, el SANT dispone de poco tiempo para maniobrar a fin de evitar las colisiones en el aire. Esta función debe ser capaz de interpretar los datos de los sensores y de generar las maniobras apropiadas </w:t>
      </w:r>
      <w:r w:rsidRPr="008E36E3">
        <w:rPr>
          <w:rFonts w:eastAsia="SimSun"/>
          <w:lang w:val="es-ES_tradnl" w:eastAsia="zh-CN"/>
        </w:rPr>
        <w:lastRenderedPageBreak/>
        <w:t>correspondientes. Los datos de los sensores pueden incluir</w:t>
      </w:r>
      <w:r w:rsidRPr="008E36E3">
        <w:rPr>
          <w:lang w:val="es-ES_tradnl"/>
        </w:rPr>
        <w:t xml:space="preserve"> la </w:t>
      </w:r>
      <w:r w:rsidRPr="008E36E3">
        <w:rPr>
          <w:rFonts w:eastAsia="SimSun"/>
          <w:lang w:val="es-ES_tradnl" w:eastAsia="zh-CN"/>
        </w:rPr>
        <w:t>sección transversal y el alcance del radar. Si se reduce la relación señal/ruido, la distancia de detección también se reduce. Además, puede producirse una variación importante de la atenuación atmosférica (incluso en 5 000 MHz), por lo que se requiere también una amplia tolerancia en cuanto a la distancia operativa.</w:t>
      </w:r>
    </w:p>
    <w:p w:rsidR="00625518" w:rsidRPr="008E36E3" w:rsidRDefault="00625518" w:rsidP="00625518">
      <w:pPr>
        <w:pStyle w:val="Heading1"/>
        <w:rPr>
          <w:lang w:val="es-ES_tradnl"/>
        </w:rPr>
      </w:pPr>
      <w:r w:rsidRPr="008E36E3">
        <w:rPr>
          <w:lang w:val="es-ES_tradnl"/>
        </w:rPr>
        <w:t>4</w:t>
      </w:r>
      <w:r w:rsidRPr="008E36E3">
        <w:rPr>
          <w:lang w:val="es-ES_tradnl"/>
        </w:rPr>
        <w:tab/>
        <w:t>Criterios de protección</w:t>
      </w:r>
    </w:p>
    <w:p w:rsidR="00625518" w:rsidRPr="008E36E3" w:rsidRDefault="00625518" w:rsidP="00D64839">
      <w:pPr>
        <w:rPr>
          <w:b/>
          <w:szCs w:val="24"/>
          <w:lang w:val="es-ES_tradnl"/>
        </w:rPr>
      </w:pPr>
      <w:r w:rsidRPr="008E36E3">
        <w:rPr>
          <w:rFonts w:eastAsia="SimSun"/>
          <w:lang w:val="es-ES_tradnl" w:eastAsia="zh-CN"/>
        </w:rPr>
        <w:t xml:space="preserve">Si se introduce una interferencia en un receptor de radar, la contribución de la potencia media de la interferencia, </w:t>
      </w:r>
      <w:r w:rsidRPr="008E36E3">
        <w:rPr>
          <w:rFonts w:eastAsia="SimSun"/>
          <w:i/>
          <w:iCs/>
          <w:lang w:val="es-ES_tradnl" w:eastAsia="zh-CN"/>
        </w:rPr>
        <w:t>I</w:t>
      </w:r>
      <w:r w:rsidRPr="008E36E3">
        <w:rPr>
          <w:rFonts w:eastAsia="SimSun"/>
          <w:lang w:val="es-ES_tradnl" w:eastAsia="zh-CN"/>
        </w:rPr>
        <w:t xml:space="preserve">, se sumará a la potencia de ruido inherente del radar, </w:t>
      </w:r>
      <w:r w:rsidRPr="008E36E3">
        <w:rPr>
          <w:rFonts w:eastAsia="SimSun"/>
          <w:i/>
          <w:iCs/>
          <w:lang w:val="es-ES_tradnl" w:eastAsia="zh-CN"/>
        </w:rPr>
        <w:t>N</w:t>
      </w:r>
      <w:r w:rsidRPr="008E36E3">
        <w:rPr>
          <w:rFonts w:eastAsia="SimSun"/>
          <w:lang w:val="es-ES_tradnl" w:eastAsia="zh-CN"/>
        </w:rPr>
        <w:t xml:space="preserve">, y esas potencias sumadas tenderán a enmascarar la detección de los objetivos deseados. La relación entre la suma de ruido más interferencia y el ruido inherente es </w:t>
      </w:r>
      <w:r w:rsidRPr="008E36E3">
        <w:rPr>
          <w:rFonts w:eastAsia="SimSun"/>
          <w:i/>
          <w:iCs/>
          <w:lang w:val="es-ES_tradnl" w:eastAsia="zh-CN"/>
        </w:rPr>
        <w:t>(I+N)</w:t>
      </w:r>
      <w:r w:rsidRPr="008E36E3">
        <w:rPr>
          <w:rFonts w:eastAsia="SimSun"/>
          <w:lang w:val="es-ES_tradnl" w:eastAsia="zh-CN"/>
        </w:rPr>
        <w:t>/</w:t>
      </w:r>
      <w:r w:rsidRPr="008E36E3">
        <w:rPr>
          <w:rFonts w:eastAsia="SimSun"/>
          <w:i/>
          <w:iCs/>
          <w:lang w:val="es-ES_tradnl" w:eastAsia="zh-CN"/>
        </w:rPr>
        <w:t>N</w:t>
      </w:r>
      <w:r w:rsidRPr="008E36E3">
        <w:rPr>
          <w:rFonts w:eastAsia="SimSun"/>
          <w:lang w:val="es-ES_tradnl" w:eastAsia="zh-CN"/>
        </w:rPr>
        <w:t>, y su comportamiento respecto de la relación de</w:t>
      </w:r>
      <w:r w:rsidR="00D64839" w:rsidRPr="008E36E3">
        <w:rPr>
          <w:rFonts w:eastAsia="SimSun"/>
          <w:lang w:val="es-ES_tradnl" w:eastAsia="zh-CN"/>
        </w:rPr>
        <w:t> </w:t>
      </w:r>
      <w:r w:rsidRPr="008E36E3">
        <w:rPr>
          <w:rFonts w:eastAsia="SimSun"/>
          <w:i/>
          <w:iCs/>
          <w:lang w:val="es-ES_tradnl" w:eastAsia="zh-CN"/>
        </w:rPr>
        <w:t>I</w:t>
      </w:r>
      <w:r w:rsidRPr="008E36E3">
        <w:rPr>
          <w:rFonts w:eastAsia="SimSun"/>
          <w:lang w:val="es-ES_tradnl" w:eastAsia="zh-CN"/>
        </w:rPr>
        <w:t>/</w:t>
      </w:r>
      <w:r w:rsidRPr="008E36E3">
        <w:rPr>
          <w:rFonts w:eastAsia="SimSun"/>
          <w:i/>
          <w:iCs/>
          <w:lang w:val="es-ES_tradnl" w:eastAsia="zh-CN"/>
        </w:rPr>
        <w:t xml:space="preserve">N </w:t>
      </w:r>
      <w:r w:rsidRPr="008E36E3">
        <w:rPr>
          <w:rFonts w:eastAsia="SimSun"/>
          <w:lang w:val="es-ES_tradnl" w:eastAsia="zh-CN"/>
        </w:rPr>
        <w:t>se representa gráficamente en la Fig</w:t>
      </w:r>
      <w:r w:rsidR="00D64839" w:rsidRPr="008E36E3">
        <w:rPr>
          <w:rFonts w:eastAsia="SimSun"/>
          <w:lang w:val="es-ES_tradnl" w:eastAsia="zh-CN"/>
        </w:rPr>
        <w:t>.</w:t>
      </w:r>
      <w:r w:rsidRPr="008E36E3">
        <w:rPr>
          <w:rFonts w:eastAsia="SimSun"/>
          <w:lang w:val="es-ES_tradnl" w:eastAsia="zh-CN"/>
        </w:rPr>
        <w:t xml:space="preserve"> 1.</w:t>
      </w:r>
    </w:p>
    <w:p w:rsidR="00625518" w:rsidRPr="008E36E3" w:rsidRDefault="00625518" w:rsidP="00625518">
      <w:pPr>
        <w:keepNext/>
        <w:keepLines/>
        <w:spacing w:before="480" w:after="80"/>
        <w:jc w:val="center"/>
        <w:rPr>
          <w:caps/>
          <w:sz w:val="18"/>
          <w:lang w:val="es-ES_tradnl"/>
        </w:rPr>
      </w:pPr>
      <w:r w:rsidRPr="008E36E3">
        <w:rPr>
          <w:caps/>
          <w:sz w:val="18"/>
          <w:lang w:val="es-ES_tradnl"/>
        </w:rPr>
        <w:t>FIGURA 1</w:t>
      </w:r>
    </w:p>
    <w:p w:rsidR="00625518" w:rsidRPr="008E36E3" w:rsidRDefault="00625518" w:rsidP="00625518">
      <w:pPr>
        <w:keepNext/>
        <w:spacing w:before="0" w:after="120"/>
        <w:jc w:val="center"/>
        <w:rPr>
          <w:rFonts w:ascii="Times New Roman Bold" w:hAnsi="Times New Roman Bold"/>
          <w:b/>
          <w:sz w:val="18"/>
          <w:lang w:val="es-ES_tradnl"/>
        </w:rPr>
      </w:pPr>
      <w:r w:rsidRPr="008E36E3">
        <w:rPr>
          <w:rFonts w:ascii="Times New Roman Bold" w:hAnsi="Times New Roman Bold"/>
          <w:b/>
          <w:sz w:val="18"/>
          <w:lang w:val="es-ES_tradnl"/>
        </w:rPr>
        <w:t xml:space="preserve">El ruido efectivo del receptor de radar en función de </w:t>
      </w:r>
      <w:r w:rsidRPr="008E36E3">
        <w:rPr>
          <w:rFonts w:ascii="Times New Roman Bold" w:hAnsi="Times New Roman Bold"/>
          <w:b/>
          <w:i/>
          <w:iCs/>
          <w:sz w:val="18"/>
          <w:lang w:val="es-ES_tradnl"/>
        </w:rPr>
        <w:t>I</w:t>
      </w:r>
      <w:r w:rsidRPr="008E36E3">
        <w:rPr>
          <w:rFonts w:ascii="Times New Roman Bold" w:hAnsi="Times New Roman Bold"/>
          <w:b/>
          <w:sz w:val="18"/>
          <w:lang w:val="es-ES_tradnl"/>
        </w:rPr>
        <w:t>/</w:t>
      </w:r>
      <w:r w:rsidRPr="008E36E3">
        <w:rPr>
          <w:rFonts w:ascii="Times New Roman Bold" w:hAnsi="Times New Roman Bold"/>
          <w:b/>
          <w:i/>
          <w:iCs/>
          <w:sz w:val="18"/>
          <w:lang w:val="es-ES_tradnl"/>
        </w:rPr>
        <w:t>N</w:t>
      </w:r>
    </w:p>
    <w:p w:rsidR="00625518" w:rsidRPr="008E36E3" w:rsidRDefault="00EC78CE" w:rsidP="00625518">
      <w:pPr>
        <w:keepLines/>
        <w:spacing w:before="0" w:after="240"/>
        <w:jc w:val="center"/>
        <w:rPr>
          <w:caps/>
          <w:sz w:val="18"/>
          <w:lang w:val="es-ES_tradnl"/>
        </w:rPr>
      </w:pPr>
      <w:r w:rsidRPr="008E36E3">
        <w:rPr>
          <w:caps/>
          <w:sz w:val="18"/>
          <w:lang w:val="es-ES_tradnl"/>
        </w:rPr>
        <w:object w:dxaOrig="5570" w:dyaOrig="3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271.2pt" o:ole="">
            <v:imagedata r:id="rId13" o:title=""/>
          </v:shape>
          <o:OLEObject Type="Embed" ProgID="CorelDRAW.Graphic.14" ShapeID="_x0000_i1025" DrawAspect="Content" ObjectID="_1500123935" r:id="rId14"/>
        </w:object>
      </w:r>
    </w:p>
    <w:p w:rsidR="00CB0007" w:rsidRPr="008E36E3" w:rsidRDefault="00CB0007" w:rsidP="00CB0007">
      <w:pPr>
        <w:spacing w:before="0"/>
        <w:rPr>
          <w:rFonts w:eastAsia="SimSun"/>
          <w:lang w:val="es-ES_tradnl" w:eastAsia="zh-CN"/>
        </w:rPr>
      </w:pPr>
    </w:p>
    <w:p w:rsidR="00625518" w:rsidRPr="008E36E3" w:rsidRDefault="00625518" w:rsidP="001B670B">
      <w:pPr>
        <w:rPr>
          <w:rFonts w:ascii="TimesNewRomanPSMT" w:eastAsia="SimSun" w:hAnsi="TimesNewRomanPSMT" w:cs="TimesNewRomanPSMT"/>
          <w:szCs w:val="24"/>
          <w:lang w:val="es-ES_tradnl" w:eastAsia="zh-CN"/>
        </w:rPr>
      </w:pPr>
      <w:r w:rsidRPr="008E36E3">
        <w:rPr>
          <w:rFonts w:eastAsia="SimSun"/>
          <w:lang w:val="es-ES_tradnl" w:eastAsia="zh-CN"/>
        </w:rPr>
        <w:t xml:space="preserve">Como se refleja en la </w:t>
      </w:r>
      <w:r w:rsidR="00D64839" w:rsidRPr="008E36E3">
        <w:rPr>
          <w:rFonts w:eastAsia="SimSun"/>
          <w:lang w:val="es-ES_tradnl" w:eastAsia="zh-CN"/>
        </w:rPr>
        <w:t>Fig.</w:t>
      </w:r>
      <w:r w:rsidR="001B670B">
        <w:rPr>
          <w:rFonts w:eastAsia="SimSun"/>
          <w:lang w:val="es-ES_tradnl" w:eastAsia="zh-CN"/>
        </w:rPr>
        <w:t> </w:t>
      </w:r>
      <w:r w:rsidRPr="008E36E3">
        <w:rPr>
          <w:rFonts w:eastAsia="SimSun"/>
          <w:lang w:val="es-ES_tradnl" w:eastAsia="zh-CN"/>
        </w:rPr>
        <w:t>1, el valor del ruido del receptor se incrementa en 0,5 dB cuando el valor de la potencia de interferencia media es de 9,5 dB por debajo del nivel de ruido nominal del receptor, y el valor del ruido del receptor se incrementa en 1</w:t>
      </w:r>
      <w:r w:rsidR="00DC518A">
        <w:rPr>
          <w:rFonts w:eastAsia="SimSun"/>
          <w:lang w:val="es-ES_tradnl" w:eastAsia="zh-CN"/>
        </w:rPr>
        <w:t> </w:t>
      </w:r>
      <w:r w:rsidRPr="008E36E3">
        <w:rPr>
          <w:rFonts w:eastAsia="SimSun"/>
          <w:lang w:val="es-ES_tradnl" w:eastAsia="zh-CN"/>
        </w:rPr>
        <w:t xml:space="preserve">dB cuando el valor de la potencia de interferencia media es de 6 dB por debajo del nivel de ruido nominal del receptor. Estos incrementos del valor del ruido efectivo representarían incrementos equivalentes en el nivel mínimo de la señal detectable de los receptores de radar sometidos a la interferencia. Por consiguiente, con el fin de proteger plenamente el funcionamiento de los radares del SRNA en esta banda de frecuencias, los criterios de protección </w:t>
      </w:r>
      <w:r w:rsidRPr="008E36E3">
        <w:rPr>
          <w:rFonts w:eastAsia="SimSun"/>
          <w:i/>
          <w:iCs/>
          <w:lang w:val="es-ES_tradnl" w:eastAsia="zh-CN"/>
        </w:rPr>
        <w:t>I</w:t>
      </w:r>
      <w:r w:rsidRPr="008E36E3">
        <w:rPr>
          <w:rFonts w:eastAsia="SimSun"/>
          <w:lang w:val="es-ES_tradnl" w:eastAsia="zh-CN"/>
        </w:rPr>
        <w:t>/</w:t>
      </w:r>
      <w:r w:rsidRPr="008E36E3">
        <w:rPr>
          <w:rFonts w:eastAsia="SimSun"/>
          <w:i/>
          <w:iCs/>
          <w:lang w:val="es-ES_tradnl" w:eastAsia="zh-CN"/>
        </w:rPr>
        <w:t>N</w:t>
      </w:r>
      <w:r w:rsidRPr="008E36E3">
        <w:rPr>
          <w:rFonts w:eastAsia="SimSun"/>
          <w:lang w:val="es-ES_tradnl" w:eastAsia="zh-CN"/>
        </w:rPr>
        <w:t xml:space="preserve"> deben ser iguales a −6 dB</w:t>
      </w:r>
      <w:r w:rsidR="00663E7D" w:rsidRPr="008E36E3">
        <w:rPr>
          <w:rStyle w:val="FootnoteReference"/>
          <w:rFonts w:eastAsia="SimSun"/>
          <w:lang w:val="es-ES_tradnl" w:eastAsia="zh-CN"/>
        </w:rPr>
        <w:footnoteReference w:id="1"/>
      </w:r>
      <w:r w:rsidRPr="008E36E3">
        <w:rPr>
          <w:rFonts w:eastAsia="SimSun"/>
          <w:lang w:val="es-ES_tradnl" w:eastAsia="zh-CN"/>
        </w:rPr>
        <w:t>.</w:t>
      </w:r>
    </w:p>
    <w:p w:rsidR="00625518" w:rsidRDefault="00625518" w:rsidP="00625518">
      <w:pPr>
        <w:rPr>
          <w:rFonts w:eastAsia="SimSun"/>
          <w:lang w:val="es-ES_tradnl" w:eastAsia="zh-CN"/>
        </w:rPr>
      </w:pPr>
      <w:r w:rsidRPr="008E36E3">
        <w:rPr>
          <w:rFonts w:eastAsia="SimSun"/>
          <w:lang w:val="es-ES_tradnl" w:eastAsia="zh-CN"/>
        </w:rPr>
        <w:lastRenderedPageBreak/>
        <w:t xml:space="preserve">Estos criterios de protección representan los efectos acumulados de varios sistemas interferentes presentes; la relación </w:t>
      </w:r>
      <w:r w:rsidRPr="008E36E3">
        <w:rPr>
          <w:rFonts w:eastAsia="SimSun"/>
          <w:i/>
          <w:iCs/>
          <w:lang w:val="es-ES_tradnl" w:eastAsia="zh-CN"/>
        </w:rPr>
        <w:t>I/N</w:t>
      </w:r>
      <w:r w:rsidRPr="008E36E3">
        <w:rPr>
          <w:rFonts w:eastAsia="SimSun"/>
          <w:lang w:val="es-ES_tradnl" w:eastAsia="zh-CN"/>
        </w:rPr>
        <w:t xml:space="preserve"> tolerable para un determinado interferente depende del número de interferentes y de su geometría, y es preciso evaluarla en el marco del estudio de cada escenario concreto. El factor de acumulación puede ser muy sustancial en el caso de ciertos sistemas de comunicaciones en los que puede instalarse un gran número de estaciones.</w:t>
      </w:r>
    </w:p>
    <w:p w:rsidR="00625518" w:rsidRPr="008E36E3" w:rsidRDefault="00625518" w:rsidP="00625518">
      <w:pPr>
        <w:rPr>
          <w:rFonts w:eastAsia="SimSun"/>
          <w:szCs w:val="22"/>
          <w:lang w:val="es-ES_tradnl" w:eastAsia="zh-CN"/>
        </w:rPr>
      </w:pPr>
      <w:r w:rsidRPr="008E36E3">
        <w:rPr>
          <w:rFonts w:eastAsia="SimSun"/>
          <w:lang w:val="es-ES_tradnl" w:eastAsia="zh-CN"/>
        </w:rPr>
        <w:t>El efecto de la interferencia impulsiva es más difícil de cuantificar, y depende fuertemente del diseño y el modo de funcionamiento del receptor y del procesador. En particular, las ganancias del procesamiento diferenciales para el retorno del objetivo a detectar válido, que es impulsado de manera sincronizada, y los impulsos de interferencia, que generalmente son asíncronos, suelen tener efectos importantes en la repercusión de determinados niveles de interferencia impulsiva. Este tipo de desensibilización puede dar lugar a diversas formas distintas de degradación de la calidad de funcionamiento; su evaluación será un objetivo para los estudios de las interacciones entre tipos de radar concretos.</w:t>
      </w:r>
      <w:r w:rsidRPr="008E36E3">
        <w:rPr>
          <w:lang w:val="es-ES_tradnl"/>
        </w:rPr>
        <w:t xml:space="preserve"> </w:t>
      </w:r>
      <w:r w:rsidRPr="008E36E3">
        <w:rPr>
          <w:rFonts w:eastAsia="SimSun"/>
          <w:lang w:val="es-ES_tradnl" w:eastAsia="zh-CN"/>
        </w:rPr>
        <w:t>Las técnicas para suprimir la interferencia impulsiva con ciclo de trabajo corto figuran en la Recomendación UIT</w:t>
      </w:r>
      <w:r w:rsidRPr="008E36E3">
        <w:rPr>
          <w:rFonts w:eastAsia="SimSun"/>
          <w:lang w:val="es-ES_tradnl" w:eastAsia="zh-CN"/>
        </w:rPr>
        <w:noBreakHyphen/>
        <w:t>R M.1372.</w:t>
      </w:r>
    </w:p>
    <w:p w:rsidR="00625518" w:rsidRPr="008E36E3" w:rsidRDefault="00625518" w:rsidP="00EC78CE">
      <w:pPr>
        <w:rPr>
          <w:lang w:val="es-ES_tradnl"/>
        </w:rPr>
      </w:pPr>
    </w:p>
    <w:p w:rsidR="00625518" w:rsidRPr="008E36E3" w:rsidRDefault="00625518">
      <w:pPr>
        <w:jc w:val="center"/>
        <w:rPr>
          <w:lang w:val="es-ES_tradnl"/>
        </w:rPr>
      </w:pPr>
      <w:r w:rsidRPr="008E36E3">
        <w:rPr>
          <w:lang w:val="es-ES_tradnl"/>
        </w:rPr>
        <w:t>______________</w:t>
      </w:r>
    </w:p>
    <w:p w:rsidR="00625518" w:rsidRPr="008E36E3" w:rsidRDefault="00625518" w:rsidP="00625518">
      <w:pPr>
        <w:rPr>
          <w:lang w:val="es-ES_tradnl"/>
        </w:rPr>
      </w:pPr>
    </w:p>
    <w:sectPr w:rsidR="00625518" w:rsidRPr="008E36E3" w:rsidSect="00AB1BD2">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518" w:rsidRDefault="00625518">
      <w:r>
        <w:separator/>
      </w:r>
    </w:p>
  </w:endnote>
  <w:endnote w:type="continuationSeparator" w:id="0">
    <w:p w:rsidR="00625518" w:rsidRDefault="00625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518" w:rsidRDefault="00625518">
      <w:r>
        <w:separator/>
      </w:r>
    </w:p>
  </w:footnote>
  <w:footnote w:type="continuationSeparator" w:id="0">
    <w:p w:rsidR="00625518" w:rsidRDefault="00625518">
      <w:r>
        <w:continuationSeparator/>
      </w:r>
    </w:p>
  </w:footnote>
  <w:footnote w:id="1">
    <w:p w:rsidR="00663E7D" w:rsidRPr="00663E7D" w:rsidRDefault="00663E7D">
      <w:pPr>
        <w:pStyle w:val="FootnoteText"/>
        <w:rPr>
          <w:lang w:val="es-ES_tradnl"/>
        </w:rPr>
      </w:pPr>
      <w:r>
        <w:rPr>
          <w:rStyle w:val="FootnoteReference"/>
        </w:rPr>
        <w:footnoteRef/>
      </w:r>
      <w:r w:rsidRPr="00663E7D">
        <w:rPr>
          <w:lang w:val="es-ES_tradnl"/>
        </w:rPr>
        <w:t xml:space="preserve"> </w:t>
      </w:r>
      <w:r>
        <w:rPr>
          <w:lang w:val="es-ES_tradnl"/>
        </w:rPr>
        <w:tab/>
      </w:r>
      <w:r w:rsidRPr="00F62707">
        <w:rPr>
          <w:szCs w:val="24"/>
          <w:lang w:val="es-ES_tradnl"/>
        </w:rPr>
        <w:t>Recomendación UIT-R M.1461-1 «Procedimientos para determinar la posibilidad de interferencia entre radares que funcionan en el servicio de radiodeterminación y sistemas de otros servicios».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518" w:rsidRDefault="0062551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518" w:rsidRDefault="00625518" w:rsidP="00CB1354">
    <w:pPr>
      <w:ind w:right="360" w:firstLine="360"/>
    </w:pPr>
    <w:r>
      <w:rPr>
        <w:noProof/>
        <w:lang w:val="es-ES_tradnl" w:eastAsia="zh-CN"/>
      </w:rPr>
      <w:drawing>
        <wp:anchor distT="0" distB="0" distL="114300" distR="114300" simplePos="0" relativeHeight="251660288" behindDoc="0" locked="0" layoutInCell="1" allowOverlap="1" wp14:anchorId="3A11FBEB" wp14:editId="5EFA4B99">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6192" behindDoc="1" locked="0" layoutInCell="1" allowOverlap="1" wp14:anchorId="433315A2" wp14:editId="19D1B4A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518" w:rsidRDefault="00625518"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3A1DFB">
      <w:rPr>
        <w:rStyle w:val="PageNumber"/>
        <w:b/>
        <w:bCs/>
        <w:noProof/>
      </w:rPr>
      <w:t>ii</w:t>
    </w:r>
    <w:r>
      <w:rPr>
        <w:rStyle w:val="PageNumber"/>
        <w:b/>
        <w:bCs/>
      </w:rPr>
      <w:fldChar w:fldCharType="end"/>
    </w:r>
    <w:r>
      <w:tab/>
    </w:r>
    <w:r w:rsidR="00EC7D2F">
      <w:fldChar w:fldCharType="begin"/>
    </w:r>
    <w:r w:rsidR="00EC7D2F">
      <w:instrText xml:space="preserve"> DOCPROPERTY "Header" \* MERGEFORMAT </w:instrText>
    </w:r>
    <w:r w:rsidR="00EC7D2F">
      <w:fldChar w:fldCharType="separate"/>
    </w:r>
    <w:r w:rsidR="003A1DFB" w:rsidRPr="003A1DFB">
      <w:rPr>
        <w:b/>
        <w:bCs/>
      </w:rPr>
      <w:t xml:space="preserve">Rec. </w:t>
    </w:r>
    <w:r w:rsidR="00EC7D2F">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3A1DFB">
      <w:rPr>
        <w:b/>
        <w:bCs/>
        <w:noProof/>
      </w:rPr>
      <w:t>UIT-R  M.2007</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518" w:rsidRDefault="00625518">
    <w:r>
      <w:tab/>
    </w:r>
    <w:r w:rsidR="00EC7D2F">
      <w:fldChar w:fldCharType="begin"/>
    </w:r>
    <w:r w:rsidR="00EC7D2F">
      <w:instrText xml:space="preserve"> DOCPROPERTY "Header" \* MERGEFORMAT </w:instrText>
    </w:r>
    <w:r w:rsidR="00EC7D2F">
      <w:fldChar w:fldCharType="separate"/>
    </w:r>
    <w:r w:rsidR="003A1DFB" w:rsidRPr="003A1DFB">
      <w:rPr>
        <w:b/>
        <w:bCs/>
      </w:rPr>
      <w:t xml:space="preserve">Rec. </w:t>
    </w:r>
    <w:r w:rsidR="00EC7D2F">
      <w:rPr>
        <w:b/>
        <w:bCs/>
      </w:rPr>
      <w:fldChar w:fldCharType="end"/>
    </w:r>
    <w:r>
      <w:rPr>
        <w:b/>
        <w:bCs/>
      </w:rPr>
      <w:t xml:space="preserve"> </w:t>
    </w:r>
    <w:r>
      <w:rPr>
        <w:b/>
        <w:bCs/>
      </w:rPr>
      <w:fldChar w:fldCharType="begin"/>
    </w:r>
    <w:r>
      <w:rPr>
        <w:b/>
        <w:bCs/>
      </w:rPr>
      <w:instrText>styleref href</w:instrText>
    </w:r>
    <w:r>
      <w:rPr>
        <w:b/>
        <w:bCs/>
      </w:rPr>
      <w:fldChar w:fldCharType="separate"/>
    </w:r>
    <w:r w:rsidR="003A1DFB">
      <w:rPr>
        <w:b/>
        <w:bCs/>
        <w:noProof/>
      </w:rPr>
      <w:t>UIT-R  M.2007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C7D2F">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A1DFB" w:rsidRPr="003A1DF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C7D2F">
      <w:rPr>
        <w:b/>
        <w:bCs/>
        <w:noProof/>
      </w:rPr>
      <w:t>UIT-R  M.2007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EC7D2F">
      <w:fldChar w:fldCharType="begin"/>
    </w:r>
    <w:r w:rsidR="00EC7D2F">
      <w:instrText xml:space="preserve"> DOCPROPERTY "Header" \* MERGEFORMAT </w:instrText>
    </w:r>
    <w:r w:rsidR="00EC7D2F">
      <w:fldChar w:fldCharType="separate"/>
    </w:r>
    <w:r w:rsidR="003A1DFB" w:rsidRPr="003A1DFB">
      <w:rPr>
        <w:b/>
        <w:bCs/>
      </w:rPr>
      <w:t xml:space="preserve">Rec. </w:t>
    </w:r>
    <w:r w:rsidR="00EC7D2F">
      <w:rPr>
        <w:b/>
        <w:bCs/>
      </w:rPr>
      <w:fldChar w:fldCharType="end"/>
    </w:r>
    <w:r>
      <w:rPr>
        <w:b/>
        <w:bCs/>
      </w:rPr>
      <w:t xml:space="preserve"> </w:t>
    </w:r>
    <w:r>
      <w:rPr>
        <w:b/>
        <w:bCs/>
      </w:rPr>
      <w:fldChar w:fldCharType="begin"/>
    </w:r>
    <w:r>
      <w:rPr>
        <w:b/>
        <w:bCs/>
      </w:rPr>
      <w:instrText>styleref href</w:instrText>
    </w:r>
    <w:r>
      <w:rPr>
        <w:b/>
        <w:bCs/>
      </w:rPr>
      <w:fldChar w:fldCharType="separate"/>
    </w:r>
    <w:r w:rsidR="00EC7D2F">
      <w:rPr>
        <w:b/>
        <w:bCs/>
        <w:noProof/>
      </w:rPr>
      <w:t>UIT-R  M.2007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C7D2F">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518"/>
    <w:rsid w:val="00054BE4"/>
    <w:rsid w:val="001B670B"/>
    <w:rsid w:val="00217EBF"/>
    <w:rsid w:val="00242AEE"/>
    <w:rsid w:val="002708FC"/>
    <w:rsid w:val="002D76C4"/>
    <w:rsid w:val="003A1DFB"/>
    <w:rsid w:val="0052529D"/>
    <w:rsid w:val="00593DE9"/>
    <w:rsid w:val="00607D68"/>
    <w:rsid w:val="00625518"/>
    <w:rsid w:val="00663E7D"/>
    <w:rsid w:val="007468DA"/>
    <w:rsid w:val="0083627C"/>
    <w:rsid w:val="008E36E3"/>
    <w:rsid w:val="009E00A8"/>
    <w:rsid w:val="00A354E5"/>
    <w:rsid w:val="00A6617B"/>
    <w:rsid w:val="00AB0DC8"/>
    <w:rsid w:val="00AB1BD2"/>
    <w:rsid w:val="00B44E24"/>
    <w:rsid w:val="00C510D5"/>
    <w:rsid w:val="00CB0007"/>
    <w:rsid w:val="00D64839"/>
    <w:rsid w:val="00DC518A"/>
    <w:rsid w:val="00DF4176"/>
    <w:rsid w:val="00EC78CE"/>
    <w:rsid w:val="00EC7D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7595BF0E-D00A-4560-ADE4-E6F9E90F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51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qFormat/>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NECG) Footnote Reference,Appel note de bas de p,FR,Footnote Reference/,Footnote symbol,Style 12,Style 124,Style 13,Style 17,fr,o"/>
    <w:basedOn w:val="DefaultParagraphFont"/>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qFormat/>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25518"/>
    <w:rPr>
      <w:color w:val="0000FF"/>
      <w:u w:val="single"/>
    </w:rPr>
  </w:style>
  <w:style w:type="character" w:customStyle="1" w:styleId="TableheadChar">
    <w:name w:val="Table_head Char"/>
    <w:basedOn w:val="DefaultParagraphFont"/>
    <w:link w:val="Tablehead"/>
    <w:locked/>
    <w:rsid w:val="00625518"/>
    <w:rPr>
      <w:b/>
      <w:sz w:val="22"/>
      <w:lang w:val="fr-FR" w:eastAsia="en-US"/>
    </w:rPr>
  </w:style>
  <w:style w:type="character" w:customStyle="1" w:styleId="TabletextChar">
    <w:name w:val="Table_text Char"/>
    <w:basedOn w:val="DefaultParagraphFont"/>
    <w:link w:val="Tabletext"/>
    <w:locked/>
    <w:rsid w:val="00625518"/>
    <w:rPr>
      <w:sz w:val="22"/>
      <w:lang w:val="fr-FR" w:eastAsia="en-US"/>
    </w:rPr>
  </w:style>
  <w:style w:type="character" w:customStyle="1" w:styleId="Heading1Char">
    <w:name w:val="Heading 1 Char"/>
    <w:basedOn w:val="DefaultParagraphFont"/>
    <w:link w:val="Heading1"/>
    <w:rsid w:val="00625518"/>
    <w:rPr>
      <w:b/>
      <w:sz w:val="24"/>
      <w:lang w:val="fr-FR" w:eastAsia="en-US"/>
    </w:rPr>
  </w:style>
  <w:style w:type="character" w:customStyle="1" w:styleId="FooterChar">
    <w:name w:val="Footer Char"/>
    <w:link w:val="Footer"/>
    <w:rsid w:val="00625518"/>
    <w:rPr>
      <w:noProof/>
      <w:sz w:val="18"/>
      <w:lang w:val="fr-FR" w:eastAsia="en-US"/>
    </w:rPr>
  </w:style>
  <w:style w:type="character" w:customStyle="1" w:styleId="HeaderChar">
    <w:name w:val="Header Char"/>
    <w:basedOn w:val="DefaultParagraphFont"/>
    <w:link w:val="Header"/>
    <w:rsid w:val="00625518"/>
    <w:rPr>
      <w:sz w:val="24"/>
      <w:lang w:val="fr-FR" w:eastAsia="en-US"/>
    </w:rPr>
  </w:style>
  <w:style w:type="character" w:customStyle="1" w:styleId="TableNo0">
    <w:name w:val="Table_No Знак"/>
    <w:link w:val="TableNo"/>
    <w:locked/>
    <w:rsid w:val="00625518"/>
    <w:rPr>
      <w:sz w:val="24"/>
      <w:lang w:val="fr-FR" w:eastAsia="en-US"/>
    </w:rPr>
  </w:style>
  <w:style w:type="character" w:customStyle="1" w:styleId="Tabletitle0">
    <w:name w:val="Table_title Знак"/>
    <w:link w:val="Tabletitle"/>
    <w:locked/>
    <w:rsid w:val="00625518"/>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E9EA3-612C-4A72-9B32-4201B2C82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78</TotalTime>
  <Pages>7</Pages>
  <Words>2091</Words>
  <Characters>11983</Characters>
  <Application>Microsoft Office Word</Application>
  <DocSecurity>0</DocSecurity>
  <Lines>386</Lines>
  <Paragraphs>81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Template BR_Rec_2005.dot</vt:lpstr>
      <vt:lpstr>Política sobre Derechos de Propiedad Intelectual (IPR)</vt:lpstr>
      <vt:lpstr>1	Introducción</vt:lpstr>
      <vt:lpstr>2	Características de los sistemas de detección y esquiva de radionavegación aero</vt:lpstr>
      <vt:lpstr>3	Funcionamiento de la detección y la esquiva</vt:lpstr>
      <vt:lpstr>4	Criterios de protección</vt:lpstr>
    </vt:vector>
  </TitlesOfParts>
  <Manager/>
  <Company>ITU</Company>
  <LinksUpToDate>false</LinksUpToDate>
  <CharactersWithSpaces>13993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15</cp:revision>
  <cp:lastPrinted>2015-08-03T13:43:00Z</cp:lastPrinted>
  <dcterms:created xsi:type="dcterms:W3CDTF">2015-08-03T09:37:00Z</dcterms:created>
  <dcterms:modified xsi:type="dcterms:W3CDTF">2015-08-03T14:17:00Z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