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04327D"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C948BC">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00567624">
              <w:rPr>
                <w:rFonts w:ascii="Tahoma" w:hAnsi="Tahoma" w:cs="Tahoma"/>
                <w:b/>
                <w:bCs/>
                <w:iCs/>
                <w:color w:val="243285"/>
                <w:sz w:val="36"/>
                <w:szCs w:val="36"/>
                <w:lang w:val="es-ES_tradnl"/>
              </w:rPr>
              <w:t>M.</w:t>
            </w:r>
            <w:r w:rsidR="00C948BC">
              <w:rPr>
                <w:rFonts w:ascii="Tahoma" w:hAnsi="Tahoma" w:cs="Tahoma"/>
                <w:b/>
                <w:bCs/>
                <w:iCs/>
                <w:color w:val="243285"/>
                <w:sz w:val="36"/>
                <w:szCs w:val="36"/>
                <w:lang w:val="es-ES_tradnl"/>
              </w:rPr>
              <w:t>2003-2</w:t>
            </w:r>
          </w:p>
          <w:p w:rsidR="00042292" w:rsidRPr="00A07AEB" w:rsidRDefault="00042292" w:rsidP="00C948BC">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574749">
              <w:rPr>
                <w:rFonts w:ascii="Tahoma" w:hAnsi="Tahoma" w:cs="Tahoma"/>
                <w:b/>
                <w:bCs/>
                <w:iCs/>
                <w:color w:val="243285"/>
                <w:szCs w:val="24"/>
                <w:lang w:val="es-ES_tradnl"/>
              </w:rPr>
              <w:t>0</w:t>
            </w:r>
            <w:r w:rsidR="00C948BC">
              <w:rPr>
                <w:rFonts w:ascii="Tahoma" w:hAnsi="Tahoma" w:cs="Tahoma"/>
                <w:b/>
                <w:bCs/>
                <w:iCs/>
                <w:color w:val="243285"/>
                <w:szCs w:val="24"/>
                <w:lang w:val="es-ES_tradnl"/>
              </w:rPr>
              <w:t>1</w:t>
            </w:r>
            <w:r w:rsidRPr="00A07AEB">
              <w:rPr>
                <w:rFonts w:ascii="Tahoma" w:hAnsi="Tahoma" w:cs="Tahoma"/>
                <w:b/>
                <w:bCs/>
                <w:iCs/>
                <w:color w:val="243285"/>
                <w:szCs w:val="24"/>
                <w:lang w:val="es-ES_tradnl"/>
              </w:rPr>
              <w:t>/</w:t>
            </w:r>
            <w:r w:rsidR="00C948BC">
              <w:rPr>
                <w:rFonts w:ascii="Tahoma" w:hAnsi="Tahoma" w:cs="Tahoma"/>
                <w:b/>
                <w:bCs/>
                <w:iCs/>
                <w:color w:val="243285"/>
                <w:szCs w:val="24"/>
                <w:lang w:val="es-ES_tradnl"/>
              </w:rPr>
              <w:t>2018</w:t>
            </w:r>
            <w:r w:rsidRPr="00A07AEB">
              <w:rPr>
                <w:rFonts w:ascii="Tahoma" w:hAnsi="Tahoma" w:cs="Tahoma"/>
                <w:b/>
                <w:bCs/>
                <w:iCs/>
                <w:color w:val="243285"/>
                <w:szCs w:val="24"/>
                <w:lang w:val="es-ES_tradnl"/>
              </w:rPr>
              <w:t>)</w:t>
            </w:r>
          </w:p>
        </w:tc>
      </w:tr>
      <w:tr w:rsidR="00042292" w:rsidRPr="00C948BC" w:rsidTr="00A07AEB">
        <w:tc>
          <w:tcPr>
            <w:tcW w:w="10089" w:type="dxa"/>
          </w:tcPr>
          <w:p w:rsidR="00567624" w:rsidRPr="0010336F" w:rsidRDefault="00567624" w:rsidP="00567624">
            <w:pPr>
              <w:spacing w:before="80" w:line="500" w:lineRule="exact"/>
              <w:jc w:val="right"/>
              <w:rPr>
                <w:rFonts w:ascii="Tahoma" w:hAnsi="Tahoma" w:cs="Tahoma"/>
                <w:b/>
                <w:bCs/>
                <w:iCs/>
                <w:color w:val="243285"/>
                <w:sz w:val="44"/>
                <w:szCs w:val="44"/>
                <w:lang w:val="es-ES_tradnl"/>
              </w:rPr>
            </w:pPr>
          </w:p>
          <w:p w:rsidR="0021735B" w:rsidRPr="0010336F" w:rsidRDefault="0021735B" w:rsidP="0021735B">
            <w:pPr>
              <w:spacing w:before="80" w:line="500" w:lineRule="exact"/>
              <w:jc w:val="right"/>
              <w:rPr>
                <w:rFonts w:ascii="Tahoma" w:hAnsi="Tahoma" w:cs="Tahoma"/>
                <w:b/>
                <w:bCs/>
                <w:iCs/>
                <w:color w:val="243285"/>
                <w:sz w:val="44"/>
                <w:szCs w:val="44"/>
                <w:lang w:val="es-ES_tradnl"/>
              </w:rPr>
            </w:pPr>
          </w:p>
          <w:p w:rsidR="0021735B" w:rsidRDefault="00C948BC" w:rsidP="00C948BC">
            <w:pPr>
              <w:spacing w:before="80" w:line="500" w:lineRule="exact"/>
              <w:jc w:val="right"/>
              <w:rPr>
                <w:rFonts w:ascii="Tahoma" w:hAnsi="Tahoma" w:cs="Tahoma"/>
                <w:b/>
                <w:bCs/>
                <w:color w:val="243285"/>
                <w:sz w:val="44"/>
                <w:szCs w:val="44"/>
                <w:lang w:val="es-ES_tradnl"/>
              </w:rPr>
            </w:pPr>
            <w:r w:rsidRPr="00C948BC">
              <w:rPr>
                <w:rFonts w:ascii="Tahoma" w:hAnsi="Tahoma" w:cs="Tahoma"/>
                <w:b/>
                <w:bCs/>
                <w:color w:val="243285"/>
                <w:sz w:val="44"/>
                <w:szCs w:val="44"/>
                <w:lang w:val="es-ES_tradnl"/>
              </w:rPr>
              <w:t xml:space="preserve">Sistemas inalámbricos de múltiples gigabits </w:t>
            </w:r>
            <w:r w:rsidRPr="00C948BC">
              <w:rPr>
                <w:rFonts w:ascii="Tahoma" w:hAnsi="Tahoma" w:cs="Tahoma"/>
                <w:b/>
                <w:bCs/>
                <w:color w:val="243285"/>
                <w:sz w:val="44"/>
                <w:szCs w:val="44"/>
                <w:lang w:val="es-ES_tradnl"/>
              </w:rPr>
              <w:br/>
              <w:t>en frecuencias en torno a 60 GHz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04327D"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42292" w:rsidRPr="0004327D"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04327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D131B8"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04327D"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04327D"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411A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42292" w:rsidRPr="0004327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04327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04327D"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42292" w:rsidRPr="0004327D" w:rsidTr="00A07AEB">
        <w:tc>
          <w:tcPr>
            <w:tcW w:w="9360" w:type="dxa"/>
          </w:tcPr>
          <w:p w:rsidR="00042292" w:rsidRPr="00A07AEB" w:rsidRDefault="00042292" w:rsidP="00F90A3D">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862592">
      <w:pPr>
        <w:spacing w:before="0" w:after="40"/>
        <w:jc w:val="right"/>
        <w:rPr>
          <w:sz w:val="20"/>
          <w:lang w:val="es-ES_tradnl"/>
        </w:rPr>
      </w:pPr>
      <w:r w:rsidRPr="00763D08">
        <w:rPr>
          <w:sz w:val="20"/>
          <w:lang w:val="es-ES_tradnl"/>
        </w:rPr>
        <w:t>Ginebra, 20</w:t>
      </w:r>
      <w:r w:rsidR="001B26B3">
        <w:rPr>
          <w:sz w:val="20"/>
          <w:lang w:val="es-ES_tradnl"/>
        </w:rPr>
        <w:t>1</w:t>
      </w:r>
      <w:r w:rsidR="00862592">
        <w:rPr>
          <w:sz w:val="20"/>
          <w:lang w:val="es-ES_tradnl"/>
        </w:rPr>
        <w:t>8</w:t>
      </w:r>
    </w:p>
    <w:p w:rsidR="00042292" w:rsidRPr="00763D08" w:rsidRDefault="00042292" w:rsidP="00042292">
      <w:pPr>
        <w:spacing w:before="0"/>
        <w:jc w:val="center"/>
        <w:rPr>
          <w:sz w:val="22"/>
          <w:lang w:val="es-ES_tradnl"/>
        </w:rPr>
      </w:pPr>
    </w:p>
    <w:p w:rsidR="00042292" w:rsidRPr="00763D08" w:rsidRDefault="00042292" w:rsidP="0086259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862592">
        <w:rPr>
          <w:sz w:val="20"/>
          <w:lang w:val="es-ES_tradnl"/>
        </w:rPr>
        <w:t>8</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574749" w:rsidRPr="0010336F" w:rsidRDefault="00574749" w:rsidP="00862592">
      <w:pPr>
        <w:pStyle w:val="RecNo"/>
        <w:rPr>
          <w:lang w:val="es-ES_tradnl"/>
        </w:rPr>
      </w:pPr>
      <w:bookmarkStart w:id="2" w:name="irecnoe"/>
      <w:bookmarkEnd w:id="2"/>
      <w:r w:rsidRPr="00862592">
        <w:lastRenderedPageBreak/>
        <w:t>RECOMENDACIÓN</w:t>
      </w:r>
      <w:r w:rsidRPr="00763D08">
        <w:rPr>
          <w:lang w:val="es-ES_tradnl"/>
        </w:rPr>
        <w:t xml:space="preserve">  </w:t>
      </w:r>
      <w:r w:rsidRPr="0010336F">
        <w:rPr>
          <w:rStyle w:val="href"/>
          <w:lang w:val="es-ES_tradnl"/>
        </w:rPr>
        <w:t xml:space="preserve">UIT-R  </w:t>
      </w:r>
      <w:r>
        <w:rPr>
          <w:rStyle w:val="href"/>
          <w:lang w:val="es-ES_tradnl"/>
        </w:rPr>
        <w:t>M</w:t>
      </w:r>
      <w:r w:rsidRPr="0010336F">
        <w:rPr>
          <w:rStyle w:val="href"/>
          <w:lang w:val="es-ES_tradnl"/>
        </w:rPr>
        <w:t>.</w:t>
      </w:r>
      <w:r w:rsidR="00C948BC">
        <w:rPr>
          <w:rStyle w:val="href"/>
          <w:lang w:val="es-ES_tradnl"/>
        </w:rPr>
        <w:t>2003-2</w:t>
      </w:r>
    </w:p>
    <w:p w:rsidR="00C948BC" w:rsidRPr="00DF6A4B" w:rsidRDefault="00C948BC" w:rsidP="00C948BC">
      <w:pPr>
        <w:pStyle w:val="Rectitle"/>
        <w:rPr>
          <w:lang w:val="es-ES_tradnl"/>
        </w:rPr>
      </w:pPr>
      <w:r w:rsidRPr="00DF6A4B">
        <w:rPr>
          <w:lang w:val="es-ES_tradnl"/>
        </w:rPr>
        <w:t xml:space="preserve">Sistemas inalámbricos de múltiples gigabits </w:t>
      </w:r>
      <w:r w:rsidRPr="00DF6A4B">
        <w:rPr>
          <w:lang w:val="es-ES_tradnl"/>
        </w:rPr>
        <w:br/>
        <w:t>en frecuencias en torno a 60 GHz</w:t>
      </w:r>
    </w:p>
    <w:p w:rsidR="00C948BC" w:rsidRPr="00DF6A4B" w:rsidRDefault="00C948BC" w:rsidP="00C948BC">
      <w:pPr>
        <w:pStyle w:val="Recref"/>
        <w:rPr>
          <w:lang w:val="es-ES_tradnl"/>
        </w:rPr>
      </w:pPr>
      <w:r w:rsidRPr="00DF6A4B">
        <w:rPr>
          <w:lang w:val="es-ES_tradnl"/>
        </w:rPr>
        <w:t>(Cuestión UIT-R 212-3/5)</w:t>
      </w:r>
    </w:p>
    <w:p w:rsidR="00C948BC" w:rsidRPr="00DF6A4B" w:rsidRDefault="00C948BC" w:rsidP="00C948BC">
      <w:pPr>
        <w:pStyle w:val="Recdate"/>
        <w:rPr>
          <w:lang w:val="es-ES_tradnl"/>
        </w:rPr>
      </w:pPr>
      <w:r w:rsidRPr="00DF6A4B">
        <w:rPr>
          <w:lang w:val="es-ES_tradnl"/>
        </w:rPr>
        <w:t>(2012-2015-2018)</w:t>
      </w:r>
    </w:p>
    <w:p w:rsidR="00C948BC" w:rsidRPr="00DF6A4B" w:rsidRDefault="00C948BC" w:rsidP="00C948BC">
      <w:pPr>
        <w:pStyle w:val="HeadingSum"/>
      </w:pPr>
      <w:r w:rsidRPr="00DF6A4B">
        <w:t>Cometido</w:t>
      </w:r>
    </w:p>
    <w:p w:rsidR="00C948BC" w:rsidRPr="00DF6A4B" w:rsidRDefault="00C948BC" w:rsidP="00C948BC">
      <w:pPr>
        <w:pStyle w:val="Summary"/>
      </w:pPr>
      <w:r w:rsidRPr="00DF6A4B">
        <w:t>En esta Recomendación se recogen las características generales y las normas de la interfaz radioeléctrica para los sistemas inalámbricos de múltiples gigabits en frecuencias en torno a 60 GHz.</w:t>
      </w:r>
    </w:p>
    <w:p w:rsidR="00C948BC" w:rsidRPr="00DF6A4B" w:rsidRDefault="00C948BC" w:rsidP="00C948BC">
      <w:pPr>
        <w:pStyle w:val="Headingb"/>
        <w:rPr>
          <w:lang w:val="es-ES_tradnl"/>
        </w:rPr>
      </w:pPr>
      <w:r w:rsidRPr="00DF6A4B">
        <w:rPr>
          <w:lang w:val="es-ES_tradnl"/>
        </w:rPr>
        <w:t>Palabras clave</w:t>
      </w:r>
    </w:p>
    <w:p w:rsidR="00C948BC" w:rsidRPr="00DF6A4B" w:rsidRDefault="00C948BC" w:rsidP="00C948BC">
      <w:pPr>
        <w:rPr>
          <w:b/>
          <w:lang w:val="es-ES_tradnl"/>
        </w:rPr>
      </w:pPr>
      <w:r w:rsidRPr="00DF6A4B">
        <w:rPr>
          <w:lang w:val="es-ES_tradnl"/>
        </w:rPr>
        <w:t>Sistema inalámbrico de múltiples gigabits (MGWS), red de área local inalámbrica (WLAN), red radioeléctrica de área local (RLAN), redes de acceso local inalámbricas, redes radioeléctricas de área local, sistemas móviles de proximidad inmediata (CPMS)</w:t>
      </w:r>
    </w:p>
    <w:p w:rsidR="00C948BC" w:rsidRPr="00DF6A4B" w:rsidRDefault="00C948BC" w:rsidP="00C948BC">
      <w:pPr>
        <w:pStyle w:val="Normalaftertitle"/>
        <w:spacing w:before="240"/>
        <w:rPr>
          <w:lang w:val="es-ES_tradnl"/>
        </w:rPr>
      </w:pPr>
      <w:r w:rsidRPr="00DF6A4B">
        <w:rPr>
          <w:lang w:val="es-ES_tradnl"/>
        </w:rPr>
        <w:t>La Asamblea de Radiocomunicaciones de la UIT,</w:t>
      </w:r>
    </w:p>
    <w:p w:rsidR="00C948BC" w:rsidRPr="00DF6A4B" w:rsidRDefault="00C948BC" w:rsidP="00C948BC">
      <w:pPr>
        <w:pStyle w:val="Call"/>
        <w:rPr>
          <w:lang w:val="es-ES_tradnl"/>
        </w:rPr>
      </w:pPr>
      <w:proofErr w:type="gramStart"/>
      <w:r w:rsidRPr="00DF6A4B">
        <w:rPr>
          <w:lang w:val="es-ES_tradnl"/>
        </w:rPr>
        <w:t>considerando</w:t>
      </w:r>
      <w:proofErr w:type="gramEnd"/>
    </w:p>
    <w:p w:rsidR="00C948BC" w:rsidRPr="00DF6A4B" w:rsidRDefault="00C948BC" w:rsidP="00C948BC">
      <w:pPr>
        <w:rPr>
          <w:lang w:val="es-ES_tradnl"/>
        </w:rPr>
      </w:pPr>
      <w:r w:rsidRPr="00DF6A4B">
        <w:rPr>
          <w:i/>
          <w:iCs/>
          <w:lang w:val="es-ES_tradnl"/>
        </w:rPr>
        <w:t>a)</w:t>
      </w:r>
      <w:r w:rsidRPr="00DF6A4B">
        <w:rPr>
          <w:lang w:val="es-ES_tradnl"/>
        </w:rPr>
        <w:tab/>
        <w:t>que los sistemas inalámbricos de múltiples gigabits (MGWS) se utilizan ampliamente en los equipos informáticos fijos, semifijos (transportables) y portátiles para diversas aplicaciones de banda ancha;</w:t>
      </w:r>
    </w:p>
    <w:p w:rsidR="00C948BC" w:rsidRPr="00DF6A4B" w:rsidRDefault="00C948BC" w:rsidP="00C948BC">
      <w:pPr>
        <w:rPr>
          <w:lang w:val="es-ES_tradnl"/>
        </w:rPr>
      </w:pPr>
      <w:r w:rsidRPr="00DF6A4B">
        <w:rPr>
          <w:i/>
          <w:iCs/>
          <w:lang w:val="es-ES_tradnl"/>
        </w:rPr>
        <w:t>b)</w:t>
      </w:r>
      <w:r w:rsidRPr="00DF6A4B">
        <w:rPr>
          <w:lang w:val="es-ES_tradnl"/>
        </w:rPr>
        <w:tab/>
        <w:t>que es previsible que los sistemas MGWS incluyan aplicaciones para vídeo, audio y aplicaciones de control digital inalámbricas, así como redes de área local inalámbricas de múltiples gigabits (WLAN) y sistemas móviles de proximidad inmediata punto a punto;</w:t>
      </w:r>
    </w:p>
    <w:p w:rsidR="00C948BC" w:rsidRPr="00DF6A4B" w:rsidRDefault="00C948BC" w:rsidP="00C948BC">
      <w:pPr>
        <w:tabs>
          <w:tab w:val="clear" w:pos="794"/>
          <w:tab w:val="clear" w:pos="1191"/>
          <w:tab w:val="clear" w:pos="1588"/>
          <w:tab w:val="clear" w:pos="1985"/>
        </w:tabs>
        <w:rPr>
          <w:lang w:val="es-ES_tradnl"/>
        </w:rPr>
      </w:pPr>
      <w:r w:rsidRPr="00DF6A4B">
        <w:rPr>
          <w:i/>
          <w:iCs/>
          <w:lang w:val="es-ES_tradnl"/>
        </w:rPr>
        <w:t>c)</w:t>
      </w:r>
      <w:r w:rsidRPr="00DF6A4B">
        <w:rPr>
          <w:i/>
          <w:lang w:val="es-ES_tradnl"/>
        </w:rPr>
        <w:tab/>
      </w:r>
      <w:r w:rsidRPr="00DF6A4B">
        <w:rPr>
          <w:lang w:val="es-ES_tradnl"/>
        </w:rPr>
        <w:t xml:space="preserve">que las normas sobre MGWS se han elaborado para el funcionamiento </w:t>
      </w:r>
      <w:r w:rsidRPr="00DF6A4B">
        <w:rPr>
          <w:iCs/>
          <w:lang w:val="es-ES_tradnl"/>
        </w:rPr>
        <w:t xml:space="preserve">en la gama de frecuencias de </w:t>
      </w:r>
      <w:r w:rsidRPr="00DF6A4B">
        <w:rPr>
          <w:lang w:val="es-ES_tradnl"/>
        </w:rPr>
        <w:t>60 GHz;</w:t>
      </w:r>
    </w:p>
    <w:p w:rsidR="00C948BC" w:rsidRPr="00DF6A4B" w:rsidRDefault="00C948BC" w:rsidP="00C948BC">
      <w:pPr>
        <w:rPr>
          <w:lang w:val="es-ES_tradnl"/>
        </w:rPr>
      </w:pPr>
      <w:r w:rsidRPr="00DF6A4B">
        <w:rPr>
          <w:i/>
          <w:lang w:val="es-ES_tradnl"/>
        </w:rPr>
        <w:t>d)</w:t>
      </w:r>
      <w:r w:rsidRPr="00DF6A4B">
        <w:rPr>
          <w:i/>
          <w:lang w:val="es-ES_tradnl"/>
        </w:rPr>
        <w:tab/>
      </w:r>
      <w:r w:rsidRPr="00DF6A4B">
        <w:rPr>
          <w:lang w:val="es-ES_tradnl"/>
        </w:rPr>
        <w:t>que los MGWS deben implementarse teniendo muy presente la compatibilidad con otras aplicaciones radioeléctricas;</w:t>
      </w:r>
    </w:p>
    <w:p w:rsidR="00C948BC" w:rsidRPr="00DF6A4B" w:rsidRDefault="00C948BC" w:rsidP="00C948BC">
      <w:pPr>
        <w:rPr>
          <w:lang w:val="es-ES_tradnl"/>
        </w:rPr>
      </w:pPr>
      <w:r w:rsidRPr="00DF6A4B">
        <w:rPr>
          <w:i/>
          <w:lang w:val="es-ES_tradnl"/>
        </w:rPr>
        <w:t>e)</w:t>
      </w:r>
      <w:r w:rsidRPr="00DF6A4B">
        <w:rPr>
          <w:i/>
          <w:lang w:val="es-ES_tradnl"/>
        </w:rPr>
        <w:tab/>
      </w:r>
      <w:r w:rsidRPr="00DF6A4B">
        <w:rPr>
          <w:lang w:val="es-ES_tradnl"/>
        </w:rPr>
        <w:t>que muchas administraciones permiten los sistemas MGWS, incluidos dispositivos de redes radioeléctricas de área local (RLAN) y redes inalámbricas de área personal (WPAN) que funcionan en el rango de frecuencias de 60 GHz en régimen exento de licencias;</w:t>
      </w:r>
    </w:p>
    <w:p w:rsidR="00C948BC" w:rsidRPr="00DF6A4B" w:rsidRDefault="00C948BC" w:rsidP="00C948BC">
      <w:pPr>
        <w:rPr>
          <w:lang w:val="es-ES_tradnl"/>
        </w:rPr>
      </w:pPr>
      <w:r w:rsidRPr="00DF6A4B">
        <w:rPr>
          <w:i/>
          <w:lang w:val="es-ES_tradnl"/>
        </w:rPr>
        <w:t>f)</w:t>
      </w:r>
      <w:r w:rsidRPr="00DF6A4B">
        <w:rPr>
          <w:lang w:val="es-ES_tradnl"/>
        </w:rPr>
        <w:tab/>
        <w:t>que las frecuencias armonizadas en la gama de frecuencias de 60 GHz para el servicio móvil facilitaría la introducción de los MGWS, incluyendo las RLAN,</w:t>
      </w:r>
    </w:p>
    <w:p w:rsidR="00C948BC" w:rsidRPr="00DF6A4B" w:rsidRDefault="00C948BC" w:rsidP="00C948BC">
      <w:pPr>
        <w:pStyle w:val="Call"/>
        <w:rPr>
          <w:lang w:val="es-ES_tradnl"/>
        </w:rPr>
      </w:pPr>
      <w:proofErr w:type="gramStart"/>
      <w:r w:rsidRPr="00DF6A4B">
        <w:rPr>
          <w:lang w:val="es-ES_tradnl"/>
        </w:rPr>
        <w:t>reconociendo</w:t>
      </w:r>
      <w:proofErr w:type="gramEnd"/>
    </w:p>
    <w:p w:rsidR="00C948BC" w:rsidRPr="00DF6A4B" w:rsidRDefault="00C948BC" w:rsidP="00C948BC">
      <w:pPr>
        <w:rPr>
          <w:lang w:val="es-ES_tradnl"/>
        </w:rPr>
      </w:pPr>
      <w:r w:rsidRPr="00DF6A4B">
        <w:rPr>
          <w:i/>
          <w:iCs/>
          <w:lang w:val="es-ES_tradnl"/>
        </w:rPr>
        <w:t>a)</w:t>
      </w:r>
      <w:r w:rsidRPr="00DF6A4B">
        <w:rPr>
          <w:lang w:val="es-ES_tradnl"/>
        </w:rPr>
        <w:tab/>
        <w:t>que tanto consumidores como fabricantes se beneficiarán de la armonización mundial del espectro en torno a 60 GHz para los MGWS;</w:t>
      </w:r>
    </w:p>
    <w:p w:rsidR="00C948BC" w:rsidRPr="00DF6A4B" w:rsidRDefault="00C948BC" w:rsidP="00C948BC">
      <w:pPr>
        <w:rPr>
          <w:lang w:val="es-ES_tradnl"/>
        </w:rPr>
      </w:pPr>
      <w:r w:rsidRPr="00DF6A4B">
        <w:rPr>
          <w:i/>
          <w:iCs/>
          <w:lang w:val="es-ES_tradnl"/>
        </w:rPr>
        <w:t>b)</w:t>
      </w:r>
      <w:r w:rsidRPr="00DF6A4B">
        <w:rPr>
          <w:lang w:val="es-ES_tradnl"/>
        </w:rPr>
        <w:tab/>
        <w:t>que aunque los MGWS se han utilizado sobre todo para aplicaciones en interiores, hay administraciones que permiten el uso de estos sistemas en exteriores,</w:t>
      </w:r>
    </w:p>
    <w:p w:rsidR="00C948BC" w:rsidRPr="00DF6A4B" w:rsidRDefault="00C948BC" w:rsidP="00C948BC">
      <w:pPr>
        <w:pStyle w:val="Call"/>
        <w:rPr>
          <w:lang w:val="es-ES_tradnl"/>
        </w:rPr>
      </w:pPr>
      <w:proofErr w:type="gramStart"/>
      <w:r w:rsidRPr="00DF6A4B">
        <w:rPr>
          <w:lang w:val="es-ES_tradnl"/>
        </w:rPr>
        <w:t>observando</w:t>
      </w:r>
      <w:proofErr w:type="gramEnd"/>
    </w:p>
    <w:p w:rsidR="00C948BC" w:rsidRPr="00DF6A4B" w:rsidRDefault="00C948BC" w:rsidP="00C948BC">
      <w:pPr>
        <w:rPr>
          <w:lang w:val="es-ES_tradnl"/>
        </w:rPr>
      </w:pPr>
      <w:proofErr w:type="gramStart"/>
      <w:r w:rsidRPr="00DF6A4B">
        <w:rPr>
          <w:rFonts w:eastAsia="SimSun"/>
          <w:lang w:val="es-ES_tradnl" w:eastAsia="zh-CN"/>
        </w:rPr>
        <w:t>que</w:t>
      </w:r>
      <w:proofErr w:type="gramEnd"/>
      <w:r w:rsidRPr="00DF6A4B">
        <w:rPr>
          <w:rFonts w:eastAsia="SimSun"/>
          <w:lang w:val="es-ES_tradnl" w:eastAsia="zh-CN"/>
        </w:rPr>
        <w:t xml:space="preserve"> existen varias normas con opciones para la implementación de sistemas MGWS,</w:t>
      </w:r>
    </w:p>
    <w:p w:rsidR="00C948BC" w:rsidRPr="00DF6A4B" w:rsidRDefault="00C948BC" w:rsidP="00C948BC">
      <w:pPr>
        <w:pStyle w:val="Call"/>
        <w:rPr>
          <w:lang w:val="es-ES_tradnl"/>
        </w:rPr>
      </w:pPr>
      <w:proofErr w:type="gramStart"/>
      <w:r w:rsidRPr="00DF6A4B">
        <w:rPr>
          <w:lang w:val="es-ES_tradnl"/>
        </w:rPr>
        <w:lastRenderedPageBreak/>
        <w:t>recomienda</w:t>
      </w:r>
      <w:proofErr w:type="gramEnd"/>
    </w:p>
    <w:p w:rsidR="00C948BC" w:rsidRPr="00DF6A4B" w:rsidRDefault="00C948BC" w:rsidP="00C948BC">
      <w:pPr>
        <w:rPr>
          <w:lang w:val="es-ES_tradnl"/>
        </w:rPr>
      </w:pPr>
      <w:proofErr w:type="gramStart"/>
      <w:r w:rsidRPr="00DF6A4B">
        <w:rPr>
          <w:lang w:val="es-ES_tradnl"/>
        </w:rPr>
        <w:t>que</w:t>
      </w:r>
      <w:proofErr w:type="gramEnd"/>
      <w:r w:rsidRPr="00DF6A4B">
        <w:rPr>
          <w:lang w:val="es-ES_tradnl"/>
        </w:rPr>
        <w:t xml:space="preserve"> se utilicen las normas sobre los MGWS y sus sistemas característicos que figuran en el Anexo 1.</w:t>
      </w:r>
    </w:p>
    <w:p w:rsidR="00C948BC" w:rsidRPr="00DF6A4B" w:rsidRDefault="00C948BC" w:rsidP="00C948BC">
      <w:pPr>
        <w:rPr>
          <w:rFonts w:eastAsia="MS Mincho"/>
          <w:lang w:val="es-ES_tradnl"/>
        </w:rPr>
      </w:pPr>
    </w:p>
    <w:p w:rsidR="00C948BC" w:rsidRPr="00DF6A4B" w:rsidRDefault="00C948BC" w:rsidP="00C948BC">
      <w:pPr>
        <w:pStyle w:val="AnnexNoTitle"/>
        <w:rPr>
          <w:lang w:val="es-ES_tradnl"/>
        </w:rPr>
      </w:pPr>
      <w:r w:rsidRPr="00DF6A4B">
        <w:rPr>
          <w:rFonts w:eastAsia="MS Mincho"/>
          <w:lang w:val="es-ES_tradnl"/>
        </w:rPr>
        <w:t>Anexo 1</w:t>
      </w:r>
      <w:r w:rsidRPr="00DF6A4B">
        <w:rPr>
          <w:rFonts w:eastAsia="MS Mincho"/>
          <w:lang w:val="es-ES_tradnl"/>
        </w:rPr>
        <w:br/>
      </w:r>
      <w:r w:rsidRPr="00DF6A4B">
        <w:rPr>
          <w:rFonts w:eastAsia="MS Mincho"/>
          <w:lang w:val="es-ES_tradnl"/>
        </w:rPr>
        <w:br/>
      </w:r>
      <w:r w:rsidRPr="00DF6A4B">
        <w:rPr>
          <w:lang w:val="es-ES_tradnl"/>
        </w:rPr>
        <w:t xml:space="preserve">Características generales de los sistemas inalámbricos </w:t>
      </w:r>
      <w:r w:rsidRPr="00DF6A4B">
        <w:rPr>
          <w:lang w:val="es-ES_tradnl"/>
        </w:rPr>
        <w:br/>
        <w:t>de múltiples gigabits en 60 GHz</w:t>
      </w:r>
    </w:p>
    <w:p w:rsidR="00C948BC" w:rsidRPr="00DF6A4B" w:rsidRDefault="00C948BC" w:rsidP="00C948BC">
      <w:pPr>
        <w:pStyle w:val="Heading1"/>
        <w:rPr>
          <w:lang w:val="es-ES_tradnl"/>
        </w:rPr>
      </w:pPr>
      <w:bookmarkStart w:id="3" w:name="_Toc168904819"/>
      <w:r w:rsidRPr="00DF6A4B">
        <w:rPr>
          <w:lang w:val="es-ES_tradnl"/>
        </w:rPr>
        <w:t>1</w:t>
      </w:r>
      <w:r w:rsidRPr="00DF6A4B">
        <w:rPr>
          <w:lang w:val="es-ES_tradnl"/>
        </w:rPr>
        <w:tab/>
      </w:r>
      <w:bookmarkEnd w:id="3"/>
      <w:r w:rsidRPr="00DF6A4B">
        <w:rPr>
          <w:lang w:val="es-ES_tradnl"/>
        </w:rPr>
        <w:t>Generalidades</w:t>
      </w:r>
    </w:p>
    <w:p w:rsidR="00C948BC" w:rsidRPr="00DF6A4B" w:rsidRDefault="00C948BC" w:rsidP="00C948BC">
      <w:pPr>
        <w:rPr>
          <w:lang w:val="es-ES_tradnl"/>
        </w:rPr>
      </w:pPr>
      <w:r w:rsidRPr="00DF6A4B">
        <w:rPr>
          <w:lang w:val="es-ES_tradnl"/>
        </w:rPr>
        <w:t>Las redes de radiocomunicaciones basadas en sistemas inalámbricos de múltiples gigabits (MGWS) pueden utilizarse para aplicaciones de corto alcance y en situaciones de visibilidad directa y de no visibilidad directa con topologías WLAN tradicionales. Los sistemas MGWS también pueden utilizarse en comunicaciones de proximidad de alta velocidad de muy corto alcance en las que el alcance radioeléctrico es de unos pocos centímetros con dispositivos de emparejamiento punto a punto en estrecha proximidad entre sí.</w:t>
      </w:r>
    </w:p>
    <w:p w:rsidR="00C948BC" w:rsidRPr="00F80C26" w:rsidRDefault="00C948BC" w:rsidP="00C948BC">
      <w:pPr>
        <w:rPr>
          <w:spacing w:val="-6"/>
          <w:lang w:val="es-ES_tradnl"/>
        </w:rPr>
      </w:pPr>
      <w:r w:rsidRPr="00F80C26">
        <w:rPr>
          <w:spacing w:val="-6"/>
          <w:lang w:val="es-ES_tradnl"/>
        </w:rPr>
        <w:t>Para las WLAN, la cobertura y la calidad de funcionamiento de la comunicación varían en función del diseño del sistema (por ejemplo, número de elementos de antena) y del entorno, pero el rendimiento de múltiples gigabits suele obtenerse en un rango de unos 10 m dentro de un recinto con dispositivos de unas pocas (≤ 3) docenas de elementos de antena y de hasta unos pocos cientos de metros en exteriores con dispositivos equipados de varias (≥ 6) docenas de elementos de antena. Estas redes pueden desplegarse con un punto de acceso, como en los despliegues de WLAN existentes, o sin dicha infraestructura, como las WLAN en modo ad hoc y las redes inalámbricas de área personal (WPAN).</w:t>
      </w:r>
    </w:p>
    <w:p w:rsidR="00C948BC" w:rsidRPr="00DF6A4B" w:rsidRDefault="00C948BC" w:rsidP="00C948BC">
      <w:pPr>
        <w:rPr>
          <w:lang w:val="es-ES_tradnl"/>
        </w:rPr>
      </w:pPr>
      <w:r w:rsidRPr="00DF6A4B">
        <w:rPr>
          <w:lang w:val="es-ES_tradnl"/>
        </w:rPr>
        <w:t>En una topología de comunicación de estrecha proximidad con un par de dispositivos (también conocida como red de par) pueden obtenerse rendimientos de hasta 100 Gbits en un alcance de 10 cm o menos (dispositivos que casi se tocan) con conexiones transitorias (rápido establecimiento y terminación); los dispositivos en estrecha proximidad suelen utilizar un solo elemento de antena y una potencia de transmisión muy baja.</w:t>
      </w:r>
    </w:p>
    <w:p w:rsidR="00C948BC" w:rsidRPr="00DF6A4B" w:rsidRDefault="00C948BC" w:rsidP="00C948BC">
      <w:pPr>
        <w:rPr>
          <w:lang w:val="es-ES_tradnl"/>
        </w:rPr>
      </w:pPr>
      <w:r w:rsidRPr="00DF6A4B">
        <w:rPr>
          <w:lang w:val="es-ES_tradnl"/>
        </w:rPr>
        <w:t>Cuando se utilizan puntos de acceso, se instalan en interiores con cobertura del hogar o de una oficina con un terminal de usuario nomádico típicamente también en interior, es decir, todo el sistema WLAN se utiliza en un entorno de interior. Para obtener un alcance mayor y mejor capacidad, el punto de acceso suele equiparse con un mayor número de elementos de antena que los terminales de usuario.</w:t>
      </w:r>
    </w:p>
    <w:p w:rsidR="00C948BC" w:rsidRPr="00DF6A4B" w:rsidRDefault="00C948BC" w:rsidP="00C948BC">
      <w:pPr>
        <w:rPr>
          <w:lang w:val="es-ES_tradnl"/>
        </w:rPr>
      </w:pPr>
      <w:r w:rsidRPr="00DF6A4B">
        <w:rPr>
          <w:lang w:val="es-ES_tradnl"/>
        </w:rPr>
        <w:t>Cuando no se utilizan puntos de acceso, los dispositivos MGWS pueden comunicarse mediante enlaces directos para intercambiar datos entre dispositivos/equipos. Las aplicaciones típicas incluyen comunicaciones de equipo a equipo (por ejemplo, de un PC a un proyector) y entre dispositivos de electrónica de consumo y un quiosco</w:t>
      </w:r>
      <w:r w:rsidRPr="00DF6A4B">
        <w:rPr>
          <w:vertAlign w:val="superscript"/>
          <w:lang w:val="es-ES_tradnl"/>
        </w:rPr>
        <w:footnoteReference w:id="1"/>
      </w:r>
      <w:r w:rsidRPr="00DF6A4B">
        <w:rPr>
          <w:lang w:val="es-ES_tradnl"/>
        </w:rPr>
        <w:t xml:space="preserve">, y puede asumirse que dicho uso será predominantemente en interiores. En algunas aplicaciones, los dispositivos nómadas se conectan a dispositivos fijos (por ejemplo, quiosco, puerta de entrada, torniquete, máquina expendedora) muy brevemente para transferir una gran cantidad de datos, por ejemplo la descarga dos horas de vídeo HD en 250 ms al pasar por un torniquete de entrada en una estación ferroviaria o en un aeropuerto. En las aplicaciones de estrecha proximidad, puede que se concentre una alta densidad de dispositivos y usuarios en un </w:t>
      </w:r>
      <w:r w:rsidRPr="00DF6A4B">
        <w:rPr>
          <w:lang w:val="es-ES_tradnl"/>
        </w:rPr>
        <w:lastRenderedPageBreak/>
        <w:t>espacio pequeño, por ejemplo personas que pasan por la puerta de control</w:t>
      </w:r>
      <w:bookmarkStart w:id="4" w:name="m_-8556175066101097020__ftnref2"/>
      <w:bookmarkEnd w:id="4"/>
      <w:r w:rsidRPr="00DF6A4B">
        <w:rPr>
          <w:position w:val="6"/>
          <w:sz w:val="18"/>
          <w:lang w:val="es-ES_tradnl"/>
        </w:rPr>
        <w:footnoteReference w:id="2"/>
      </w:r>
      <w:r w:rsidRPr="00DF6A4B">
        <w:rPr>
          <w:lang w:val="es-ES_tradnl"/>
        </w:rPr>
        <w:t xml:space="preserve"> en una estación ferroviaria o en un aeropuerto.</w:t>
      </w:r>
    </w:p>
    <w:p w:rsidR="00C948BC" w:rsidRPr="00DF6A4B" w:rsidRDefault="00C948BC" w:rsidP="00C948BC">
      <w:pPr>
        <w:pStyle w:val="Heading1"/>
        <w:rPr>
          <w:lang w:val="es-ES_tradnl"/>
        </w:rPr>
      </w:pPr>
      <w:bookmarkStart w:id="5" w:name="_Toc168904820"/>
      <w:r w:rsidRPr="00DF6A4B">
        <w:rPr>
          <w:lang w:val="es-ES_tradnl"/>
        </w:rPr>
        <w:t>2</w:t>
      </w:r>
      <w:r w:rsidRPr="00DF6A4B">
        <w:rPr>
          <w:lang w:val="es-ES_tradnl"/>
        </w:rPr>
        <w:tab/>
        <w:t>Características técnicas de los MGWS</w:t>
      </w:r>
      <w:bookmarkEnd w:id="5"/>
    </w:p>
    <w:p w:rsidR="00C948BC" w:rsidRPr="00DF6A4B" w:rsidRDefault="00C948BC" w:rsidP="00C948BC">
      <w:pPr>
        <w:pStyle w:val="Heading2"/>
        <w:rPr>
          <w:lang w:val="es-ES_tradnl"/>
        </w:rPr>
      </w:pPr>
      <w:bookmarkStart w:id="6" w:name="_Toc204649046"/>
      <w:bookmarkEnd w:id="6"/>
      <w:r w:rsidRPr="00DF6A4B">
        <w:rPr>
          <w:lang w:val="es-ES_tradnl"/>
        </w:rPr>
        <w:t>2.1</w:t>
      </w:r>
      <w:r w:rsidRPr="00DF6A4B">
        <w:rPr>
          <w:lang w:val="es-ES_tradnl"/>
        </w:rPr>
        <w:tab/>
        <w:t>Espectro</w:t>
      </w:r>
    </w:p>
    <w:p w:rsidR="00C948BC" w:rsidRPr="00DF6A4B" w:rsidRDefault="00C948BC" w:rsidP="00C948BC">
      <w:pPr>
        <w:rPr>
          <w:lang w:val="es-ES_tradnl"/>
        </w:rPr>
      </w:pPr>
      <w:r w:rsidRPr="00DF6A4B">
        <w:rPr>
          <w:lang w:val="es-ES_tradnl"/>
        </w:rPr>
        <w:t>Se necesita un mínimo de 7 GHz de espectro continuo en el rango de 57</w:t>
      </w:r>
      <w:r w:rsidRPr="00DF6A4B">
        <w:rPr>
          <w:lang w:val="es-ES_tradnl"/>
        </w:rPr>
        <w:noBreakHyphen/>
        <w:t>71 GHz para satisfacer los requisitos</w:t>
      </w:r>
      <w:r w:rsidRPr="00DF6A4B">
        <w:rPr>
          <w:position w:val="6"/>
          <w:sz w:val="18"/>
          <w:lang w:val="es-ES_tradnl"/>
        </w:rPr>
        <w:footnoteReference w:id="3"/>
      </w:r>
      <w:r w:rsidRPr="00DF6A4B">
        <w:rPr>
          <w:lang w:val="es-ES_tradnl"/>
        </w:rPr>
        <w:t xml:space="preserve"> de las aplicaciones que se prevén utilizar en ese espectro de frecuencias, tales como vídeo no comprimido (por ejemplo, a través de la interfaz multimedia de alta definición (HDMI) a 3 Gbit/s), acoplamiento inalámbrico, conexión inalámbrica y carga/descarga de alta velocidad. Ello permitiría disponer de hasta seis canales que ofrecen flexibilidad y una conectividad mejorada. Además, para canales únicos, un ancho de banda de canal de 2 160 MHz permite utilizar esquemas de modulación más sencillos para conseguir velocidades de datos de varios Gbit/s, que son adecuadas para dispositivos de baja potencia, como teléfonos inteligentes, tabletas y ordenadores en red de baja capacidad. Si se agrupan canales únicos para obtener una mayor capacidad, el ancho de banda se define como un múltiplo entero de 2 160 MHz para permitir la coexistencia con sistemas de esa frecuencia.</w:t>
      </w:r>
    </w:p>
    <w:p w:rsidR="00C948BC" w:rsidRPr="00DF6A4B" w:rsidRDefault="00C948BC" w:rsidP="00C948BC">
      <w:pPr>
        <w:pStyle w:val="Heading2"/>
        <w:rPr>
          <w:lang w:val="es-ES_tradnl"/>
        </w:rPr>
      </w:pPr>
      <w:r w:rsidRPr="00DF6A4B">
        <w:rPr>
          <w:lang w:val="es-ES_tradnl"/>
        </w:rPr>
        <w:t>2.2</w:t>
      </w:r>
      <w:r w:rsidRPr="00DF6A4B">
        <w:rPr>
          <w:lang w:val="es-ES_tradnl"/>
        </w:rPr>
        <w:tab/>
        <w:t xml:space="preserve">Ancho de banda del canal y frecuencias centrales </w:t>
      </w:r>
    </w:p>
    <w:p w:rsidR="00C948BC" w:rsidRPr="00DF6A4B" w:rsidRDefault="00C948BC" w:rsidP="00C948BC">
      <w:pPr>
        <w:rPr>
          <w:szCs w:val="24"/>
          <w:lang w:val="es-ES_tradnl"/>
        </w:rPr>
      </w:pPr>
      <w:r w:rsidRPr="00DF6A4B">
        <w:rPr>
          <w:lang w:val="es-ES_tradnl"/>
        </w:rPr>
        <w:t>Se necesita un ancho de banda del canal de 2 160 MHz para canales únicos y se permite la agrupación de esos canales. Es importante que todas las normas sobre MGWS utilicen la misma canalización con el fin de promover la coexistencia. Se recomienda que las frecuencias centrales de los canales únicos sean</w:t>
      </w:r>
      <w:r w:rsidRPr="00DF6A4B">
        <w:rPr>
          <w:szCs w:val="24"/>
          <w:lang w:val="es-ES_tradnl"/>
        </w:rPr>
        <w:t xml:space="preserve"> 58,32; 60,48; 62,64; 64,80; 66,96 y 69,12 GHz. Para los canales agrupados, las frecuencias centrales dependen de cuántos canales únicos se han agrupado, pero deben estar uniformemente espaciados con respecto de las frecuencias centrales de canal único.</w:t>
      </w:r>
    </w:p>
    <w:p w:rsidR="00C948BC" w:rsidRPr="00DF6A4B" w:rsidRDefault="00C948BC" w:rsidP="00C948BC">
      <w:pPr>
        <w:pStyle w:val="Heading2"/>
        <w:rPr>
          <w:lang w:val="es-ES_tradnl"/>
        </w:rPr>
      </w:pPr>
      <w:r w:rsidRPr="00DF6A4B">
        <w:rPr>
          <w:lang w:val="es-ES_tradnl"/>
        </w:rPr>
        <w:t>2.3</w:t>
      </w:r>
      <w:r w:rsidRPr="00DF6A4B">
        <w:rPr>
          <w:lang w:val="es-ES_tradnl"/>
        </w:rPr>
        <w:tab/>
        <w:t>Máscara de transmisión</w:t>
      </w:r>
    </w:p>
    <w:p w:rsidR="00C948BC" w:rsidRPr="00DF6A4B" w:rsidRDefault="00C948BC" w:rsidP="00C948BC">
      <w:pPr>
        <w:rPr>
          <w:lang w:val="es-ES_tradnl"/>
        </w:rPr>
      </w:pPr>
      <w:r w:rsidRPr="00DF6A4B">
        <w:rPr>
          <w:lang w:val="es-ES_tradnl"/>
        </w:rPr>
        <w:t>La máscara siguiente es aplicable al funcionamiento con un único canal.</w:t>
      </w:r>
    </w:p>
    <w:p w:rsidR="00C948BC" w:rsidRPr="00DF6A4B" w:rsidRDefault="00C948BC" w:rsidP="00F80C26">
      <w:pPr>
        <w:pStyle w:val="FigureNo"/>
        <w:keepNext w:val="0"/>
        <w:keepLines w:val="0"/>
        <w:rPr>
          <w:lang w:val="es-ES_tradnl"/>
        </w:rPr>
      </w:pPr>
      <w:r w:rsidRPr="00DF6A4B">
        <w:rPr>
          <w:lang w:val="es-ES_tradnl"/>
        </w:rPr>
        <w:t>FigurA 1</w:t>
      </w:r>
    </w:p>
    <w:p w:rsidR="00C948BC" w:rsidRPr="00DF6A4B" w:rsidRDefault="00C948BC" w:rsidP="00F80C26">
      <w:pPr>
        <w:pStyle w:val="Figuretitle"/>
        <w:keepNext w:val="0"/>
        <w:rPr>
          <w:lang w:val="es-ES_tradnl"/>
        </w:rPr>
      </w:pPr>
      <w:r w:rsidRPr="00DF6A4B">
        <w:rPr>
          <w:lang w:val="es-ES_tradnl"/>
        </w:rPr>
        <w:t xml:space="preserve">Máscara de espectro para el funcionamiento de un único canal </w:t>
      </w:r>
    </w:p>
    <w:p w:rsidR="00C948BC" w:rsidRPr="00DF6A4B" w:rsidRDefault="00C948BC" w:rsidP="00F80C26">
      <w:pPr>
        <w:pStyle w:val="Figure"/>
        <w:keepLines w:val="0"/>
        <w:rPr>
          <w:lang w:val="es-ES_tradnl"/>
        </w:rPr>
      </w:pPr>
      <w:r w:rsidRPr="00DF6A4B">
        <w:rPr>
          <w:lang w:val="es-ES_tradnl"/>
        </w:rPr>
        <w:object w:dxaOrig="7087" w:dyaOrig="1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29.6pt" o:ole="">
            <v:imagedata r:id="rId13" o:title=""/>
          </v:shape>
          <o:OLEObject Type="Embed" ProgID="CorelDraw.Graphic.16" ShapeID="_x0000_i1025" DrawAspect="Content" ObjectID="_1590490821" r:id="rId14"/>
        </w:object>
      </w:r>
    </w:p>
    <w:p w:rsidR="00C948BC" w:rsidRPr="00DF6A4B" w:rsidRDefault="00C948BC" w:rsidP="00C948BC">
      <w:pPr>
        <w:rPr>
          <w:lang w:val="es-ES_tradnl"/>
        </w:rPr>
      </w:pPr>
      <w:r w:rsidRPr="00DF6A4B">
        <w:rPr>
          <w:lang w:val="es-ES_tradnl"/>
        </w:rPr>
        <w:lastRenderedPageBreak/>
        <w:t xml:space="preserve">En la Figura 1 anterior, </w:t>
      </w:r>
      <w:r w:rsidRPr="00DF6A4B">
        <w:rPr>
          <w:i/>
          <w:iCs/>
          <w:lang w:val="es-ES_tradnl"/>
        </w:rPr>
        <w:t>f</w:t>
      </w:r>
      <w:r w:rsidRPr="00DF6A4B">
        <w:rPr>
          <w:i/>
          <w:iCs/>
          <w:vertAlign w:val="subscript"/>
          <w:lang w:val="es-ES_tradnl"/>
        </w:rPr>
        <w:t>c</w:t>
      </w:r>
      <w:r w:rsidRPr="00DF6A4B">
        <w:rPr>
          <w:lang w:val="es-ES_tradnl"/>
        </w:rPr>
        <w:t xml:space="preserve"> es la frecuencia central portadora.</w:t>
      </w:r>
    </w:p>
    <w:p w:rsidR="00C948BC" w:rsidRPr="00DF6A4B" w:rsidRDefault="00C948BC" w:rsidP="00C948BC">
      <w:pPr>
        <w:rPr>
          <w:lang w:val="es-ES_tradnl"/>
        </w:rPr>
      </w:pPr>
      <w:r w:rsidRPr="00DF6A4B">
        <w:rPr>
          <w:lang w:val="es-ES_tradnl"/>
        </w:rPr>
        <w:t>La máscara siguiente (Figura 2 y Cuadro 1) es aplicable cuando se utiliza una agrupación de canales con más de un canal contiguo.</w:t>
      </w:r>
    </w:p>
    <w:p w:rsidR="00C948BC" w:rsidRPr="00DF6A4B" w:rsidRDefault="00C948BC" w:rsidP="00C948BC">
      <w:pPr>
        <w:pStyle w:val="FigureNo"/>
        <w:rPr>
          <w:lang w:val="es-ES_tradnl"/>
        </w:rPr>
      </w:pPr>
      <w:r w:rsidRPr="00DF6A4B">
        <w:rPr>
          <w:lang w:val="es-ES_tradnl"/>
        </w:rPr>
        <w:t xml:space="preserve">FigurA 2 </w:t>
      </w:r>
    </w:p>
    <w:p w:rsidR="00C948BC" w:rsidRPr="00DF6A4B" w:rsidRDefault="00C948BC" w:rsidP="00C948BC">
      <w:pPr>
        <w:pStyle w:val="Figuretitle"/>
        <w:rPr>
          <w:lang w:val="es-ES_tradnl"/>
        </w:rPr>
      </w:pPr>
      <w:r w:rsidRPr="00DF6A4B">
        <w:rPr>
          <w:lang w:val="es-ES_tradnl"/>
        </w:rPr>
        <w:t xml:space="preserve">Máscara de espectro para más de un canal contiguo en una agrupación de canales </w:t>
      </w:r>
    </w:p>
    <w:p w:rsidR="00C948BC" w:rsidRPr="00DF6A4B" w:rsidRDefault="00C948BC" w:rsidP="00C948BC">
      <w:pPr>
        <w:pStyle w:val="Figure"/>
        <w:rPr>
          <w:lang w:val="es-ES_tradnl"/>
        </w:rPr>
      </w:pPr>
      <w:r w:rsidRPr="00DF6A4B">
        <w:rPr>
          <w:lang w:val="es-ES_tradnl" w:eastAsia="zh-CN"/>
        </w:rPr>
        <w:object w:dxaOrig="12507" w:dyaOrig="5089">
          <v:shape id="_x0000_i1026" type="#_x0000_t75" style="width:467.7pt;height:187.85pt" o:ole="">
            <v:imagedata r:id="rId15" o:title=""/>
          </v:shape>
          <o:OLEObject Type="Embed" ProgID="CorelDRAW.Graphic.14" ShapeID="_x0000_i1026" DrawAspect="Content" ObjectID="_1590490822" r:id="rId16"/>
        </w:object>
      </w:r>
    </w:p>
    <w:p w:rsidR="00C948BC" w:rsidRPr="00DF6A4B" w:rsidRDefault="00C948BC" w:rsidP="00C948BC">
      <w:pPr>
        <w:pStyle w:val="TableNo"/>
        <w:rPr>
          <w:lang w:val="es-ES_tradnl"/>
        </w:rPr>
      </w:pPr>
      <w:r w:rsidRPr="00DF6A4B">
        <w:rPr>
          <w:lang w:val="es-ES_tradnl"/>
        </w:rPr>
        <w:t>CUADRO 1</w:t>
      </w:r>
    </w:p>
    <w:p w:rsidR="00C948BC" w:rsidRPr="00DF6A4B" w:rsidRDefault="00C948BC" w:rsidP="00C948BC">
      <w:pPr>
        <w:pStyle w:val="Tabletitle"/>
        <w:rPr>
          <w:lang w:val="es-ES_tradnl"/>
        </w:rPr>
      </w:pPr>
      <w:r w:rsidRPr="00DF6A4B">
        <w:rPr>
          <w:lang w:val="es-ES_tradnl"/>
        </w:rPr>
        <w:t xml:space="preserve">Parámetros de la máscara espectral de transmisión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1"/>
        <w:gridCol w:w="1146"/>
        <w:gridCol w:w="1146"/>
        <w:gridCol w:w="1146"/>
        <w:gridCol w:w="1146"/>
      </w:tblGrid>
      <w:tr w:rsidR="00C948BC" w:rsidRPr="00DF6A4B" w:rsidTr="00D07DA0">
        <w:trPr>
          <w:jc w:val="center"/>
        </w:trPr>
        <w:tc>
          <w:tcPr>
            <w:tcW w:w="3921" w:type="dxa"/>
          </w:tcPr>
          <w:p w:rsidR="00C948BC" w:rsidRPr="00DF6A4B" w:rsidRDefault="00C948BC" w:rsidP="00D07DA0">
            <w:pPr>
              <w:pStyle w:val="Tablehead"/>
              <w:rPr>
                <w:lang w:val="es-ES_tradnl"/>
              </w:rPr>
            </w:pPr>
            <w:r w:rsidRPr="00DF6A4B">
              <w:rPr>
                <w:lang w:val="es-ES_tradnl"/>
              </w:rPr>
              <w:t>Agrupación de canales</w:t>
            </w:r>
          </w:p>
        </w:tc>
        <w:tc>
          <w:tcPr>
            <w:tcW w:w="1146" w:type="dxa"/>
          </w:tcPr>
          <w:p w:rsidR="00C948BC" w:rsidRPr="00DF6A4B" w:rsidRDefault="00C948BC" w:rsidP="00D07DA0">
            <w:pPr>
              <w:pStyle w:val="Tablehead"/>
              <w:rPr>
                <w:lang w:val="es-ES_tradnl"/>
              </w:rPr>
            </w:pPr>
            <w:r w:rsidRPr="00DF6A4B">
              <w:rPr>
                <w:i/>
                <w:lang w:val="es-ES_tradnl"/>
              </w:rPr>
              <w:t>f</w:t>
            </w:r>
            <w:r w:rsidRPr="00DF6A4B">
              <w:rPr>
                <w:vertAlign w:val="subscript"/>
                <w:lang w:val="es-ES_tradnl"/>
              </w:rPr>
              <w:t>1</w:t>
            </w:r>
            <w:r w:rsidRPr="00DF6A4B">
              <w:rPr>
                <w:lang w:val="es-ES_tradnl"/>
              </w:rPr>
              <w:t xml:space="preserve"> (GHz)</w:t>
            </w:r>
          </w:p>
        </w:tc>
        <w:tc>
          <w:tcPr>
            <w:tcW w:w="1146" w:type="dxa"/>
          </w:tcPr>
          <w:p w:rsidR="00C948BC" w:rsidRPr="00DF6A4B" w:rsidRDefault="00C948BC" w:rsidP="00D07DA0">
            <w:pPr>
              <w:pStyle w:val="Tablehead"/>
              <w:rPr>
                <w:lang w:val="es-ES_tradnl"/>
              </w:rPr>
            </w:pPr>
            <w:r w:rsidRPr="00DF6A4B">
              <w:rPr>
                <w:i/>
                <w:lang w:val="es-ES_tradnl"/>
              </w:rPr>
              <w:t>f</w:t>
            </w:r>
            <w:r w:rsidRPr="00DF6A4B">
              <w:rPr>
                <w:vertAlign w:val="subscript"/>
                <w:lang w:val="es-ES_tradnl"/>
              </w:rPr>
              <w:t>2</w:t>
            </w:r>
            <w:r w:rsidRPr="00DF6A4B">
              <w:rPr>
                <w:lang w:val="es-ES_tradnl"/>
              </w:rPr>
              <w:t xml:space="preserve"> (GHz)</w:t>
            </w:r>
          </w:p>
        </w:tc>
        <w:tc>
          <w:tcPr>
            <w:tcW w:w="1146" w:type="dxa"/>
          </w:tcPr>
          <w:p w:rsidR="00C948BC" w:rsidRPr="00DF6A4B" w:rsidRDefault="00C948BC" w:rsidP="00D07DA0">
            <w:pPr>
              <w:pStyle w:val="Tablehead"/>
              <w:rPr>
                <w:lang w:val="es-ES_tradnl"/>
              </w:rPr>
            </w:pPr>
            <w:r w:rsidRPr="00DF6A4B">
              <w:rPr>
                <w:i/>
                <w:lang w:val="es-ES_tradnl"/>
              </w:rPr>
              <w:t>f</w:t>
            </w:r>
            <w:r w:rsidRPr="00DF6A4B">
              <w:rPr>
                <w:vertAlign w:val="subscript"/>
                <w:lang w:val="es-ES_tradnl"/>
              </w:rPr>
              <w:t>3</w:t>
            </w:r>
            <w:r w:rsidRPr="00DF6A4B">
              <w:rPr>
                <w:lang w:val="es-ES_tradnl"/>
              </w:rPr>
              <w:t xml:space="preserve"> (GHz)</w:t>
            </w:r>
          </w:p>
        </w:tc>
        <w:tc>
          <w:tcPr>
            <w:tcW w:w="1146" w:type="dxa"/>
          </w:tcPr>
          <w:p w:rsidR="00C948BC" w:rsidRPr="00DF6A4B" w:rsidRDefault="00C948BC" w:rsidP="00D07DA0">
            <w:pPr>
              <w:pStyle w:val="Tablehead"/>
              <w:rPr>
                <w:lang w:val="es-ES_tradnl"/>
              </w:rPr>
            </w:pPr>
            <w:r w:rsidRPr="00DF6A4B">
              <w:rPr>
                <w:i/>
                <w:lang w:val="es-ES_tradnl"/>
              </w:rPr>
              <w:t>f</w:t>
            </w:r>
            <w:r w:rsidRPr="00DF6A4B">
              <w:rPr>
                <w:vertAlign w:val="subscript"/>
                <w:lang w:val="es-ES_tradnl"/>
              </w:rPr>
              <w:t>4</w:t>
            </w:r>
            <w:r w:rsidRPr="00DF6A4B">
              <w:rPr>
                <w:lang w:val="es-ES_tradnl"/>
              </w:rPr>
              <w:t xml:space="preserve"> (GHz)</w:t>
            </w:r>
          </w:p>
        </w:tc>
      </w:tr>
      <w:tr w:rsidR="00C948BC" w:rsidRPr="00DF6A4B" w:rsidTr="00D07DA0">
        <w:trPr>
          <w:jc w:val="center"/>
        </w:trPr>
        <w:tc>
          <w:tcPr>
            <w:tcW w:w="3921" w:type="dxa"/>
          </w:tcPr>
          <w:p w:rsidR="00C948BC" w:rsidRPr="00DF6A4B" w:rsidRDefault="00C948BC" w:rsidP="00D07DA0">
            <w:pPr>
              <w:pStyle w:val="Tabletext"/>
              <w:rPr>
                <w:lang w:val="es-ES_tradnl"/>
              </w:rPr>
            </w:pPr>
            <w:r w:rsidRPr="00DF6A4B">
              <w:rPr>
                <w:lang w:val="es-ES_tradnl"/>
              </w:rPr>
              <w:t xml:space="preserve">Transmisión de dos canales agrupados </w:t>
            </w:r>
          </w:p>
        </w:tc>
        <w:tc>
          <w:tcPr>
            <w:tcW w:w="1146" w:type="dxa"/>
          </w:tcPr>
          <w:p w:rsidR="00C948BC" w:rsidRPr="00DF6A4B" w:rsidRDefault="00C948BC" w:rsidP="00D07DA0">
            <w:pPr>
              <w:pStyle w:val="Tabletext"/>
              <w:jc w:val="center"/>
              <w:rPr>
                <w:lang w:val="es-ES_tradnl"/>
              </w:rPr>
            </w:pPr>
            <w:r w:rsidRPr="00DF6A4B">
              <w:rPr>
                <w:lang w:val="es-ES_tradnl"/>
              </w:rPr>
              <w:t>2,100</w:t>
            </w:r>
          </w:p>
        </w:tc>
        <w:tc>
          <w:tcPr>
            <w:tcW w:w="1146" w:type="dxa"/>
          </w:tcPr>
          <w:p w:rsidR="00C948BC" w:rsidRPr="00DF6A4B" w:rsidRDefault="00C948BC" w:rsidP="00D07DA0">
            <w:pPr>
              <w:pStyle w:val="Tabletext"/>
              <w:jc w:val="center"/>
              <w:rPr>
                <w:lang w:val="es-ES_tradnl"/>
              </w:rPr>
            </w:pPr>
            <w:r w:rsidRPr="00DF6A4B">
              <w:rPr>
                <w:lang w:val="es-ES_tradnl"/>
              </w:rPr>
              <w:t>2,160</w:t>
            </w:r>
          </w:p>
        </w:tc>
        <w:tc>
          <w:tcPr>
            <w:tcW w:w="1146" w:type="dxa"/>
          </w:tcPr>
          <w:p w:rsidR="00C948BC" w:rsidRPr="00DF6A4B" w:rsidRDefault="00C948BC" w:rsidP="00D07DA0">
            <w:pPr>
              <w:pStyle w:val="Tabletext"/>
              <w:jc w:val="center"/>
              <w:rPr>
                <w:lang w:val="es-ES_tradnl"/>
              </w:rPr>
            </w:pPr>
            <w:r w:rsidRPr="00DF6A4B">
              <w:rPr>
                <w:lang w:val="es-ES_tradnl"/>
              </w:rPr>
              <w:t>3,000</w:t>
            </w:r>
          </w:p>
        </w:tc>
        <w:tc>
          <w:tcPr>
            <w:tcW w:w="1146" w:type="dxa"/>
          </w:tcPr>
          <w:p w:rsidR="00C948BC" w:rsidRPr="00DF6A4B" w:rsidRDefault="00C948BC" w:rsidP="00D07DA0">
            <w:pPr>
              <w:pStyle w:val="Tabletext"/>
              <w:jc w:val="center"/>
              <w:rPr>
                <w:lang w:val="es-ES_tradnl"/>
              </w:rPr>
            </w:pPr>
            <w:r w:rsidRPr="00DF6A4B">
              <w:rPr>
                <w:lang w:val="es-ES_tradnl"/>
              </w:rPr>
              <w:t>4,000</w:t>
            </w:r>
          </w:p>
        </w:tc>
      </w:tr>
      <w:tr w:rsidR="00C948BC" w:rsidRPr="00DF6A4B" w:rsidTr="00D07DA0">
        <w:trPr>
          <w:jc w:val="center"/>
        </w:trPr>
        <w:tc>
          <w:tcPr>
            <w:tcW w:w="3921" w:type="dxa"/>
          </w:tcPr>
          <w:p w:rsidR="00C948BC" w:rsidRPr="00DF6A4B" w:rsidRDefault="00C948BC" w:rsidP="00D07DA0">
            <w:pPr>
              <w:pStyle w:val="Tabletext"/>
              <w:rPr>
                <w:lang w:val="es-ES_tradnl"/>
              </w:rPr>
            </w:pPr>
            <w:r w:rsidRPr="00DF6A4B">
              <w:rPr>
                <w:lang w:val="es-ES_tradnl"/>
              </w:rPr>
              <w:t>Transmisión de tres canales agrupados</w:t>
            </w:r>
          </w:p>
        </w:tc>
        <w:tc>
          <w:tcPr>
            <w:tcW w:w="1146" w:type="dxa"/>
          </w:tcPr>
          <w:p w:rsidR="00C948BC" w:rsidRPr="00DF6A4B" w:rsidRDefault="00C948BC" w:rsidP="00D07DA0">
            <w:pPr>
              <w:pStyle w:val="Tabletext"/>
              <w:jc w:val="center"/>
              <w:rPr>
                <w:lang w:val="es-ES_tradnl"/>
              </w:rPr>
            </w:pPr>
            <w:r w:rsidRPr="00DF6A4B">
              <w:rPr>
                <w:lang w:val="es-ES_tradnl"/>
              </w:rPr>
              <w:t>3,150</w:t>
            </w:r>
          </w:p>
        </w:tc>
        <w:tc>
          <w:tcPr>
            <w:tcW w:w="1146" w:type="dxa"/>
          </w:tcPr>
          <w:p w:rsidR="00C948BC" w:rsidRPr="00DF6A4B" w:rsidRDefault="00C948BC" w:rsidP="00D07DA0">
            <w:pPr>
              <w:pStyle w:val="Tabletext"/>
              <w:jc w:val="center"/>
              <w:rPr>
                <w:lang w:val="es-ES_tradnl"/>
              </w:rPr>
            </w:pPr>
            <w:r w:rsidRPr="00DF6A4B">
              <w:rPr>
                <w:lang w:val="es-ES_tradnl"/>
              </w:rPr>
              <w:t>32,40</w:t>
            </w:r>
          </w:p>
        </w:tc>
        <w:tc>
          <w:tcPr>
            <w:tcW w:w="1146" w:type="dxa"/>
          </w:tcPr>
          <w:p w:rsidR="00C948BC" w:rsidRPr="00DF6A4B" w:rsidRDefault="00C948BC" w:rsidP="00D07DA0">
            <w:pPr>
              <w:pStyle w:val="Tabletext"/>
              <w:jc w:val="center"/>
              <w:rPr>
                <w:lang w:val="es-ES_tradnl"/>
              </w:rPr>
            </w:pPr>
            <w:r w:rsidRPr="00DF6A4B">
              <w:rPr>
                <w:lang w:val="es-ES_tradnl"/>
              </w:rPr>
              <w:t>4,500</w:t>
            </w:r>
          </w:p>
        </w:tc>
        <w:tc>
          <w:tcPr>
            <w:tcW w:w="1146" w:type="dxa"/>
          </w:tcPr>
          <w:p w:rsidR="00C948BC" w:rsidRPr="00DF6A4B" w:rsidRDefault="00C948BC" w:rsidP="00D07DA0">
            <w:pPr>
              <w:pStyle w:val="Tabletext"/>
              <w:jc w:val="center"/>
              <w:rPr>
                <w:lang w:val="es-ES_tradnl"/>
              </w:rPr>
            </w:pPr>
            <w:r w:rsidRPr="00DF6A4B">
              <w:rPr>
                <w:lang w:val="es-ES_tradnl"/>
              </w:rPr>
              <w:t>6,000</w:t>
            </w:r>
          </w:p>
        </w:tc>
      </w:tr>
      <w:tr w:rsidR="00C948BC" w:rsidRPr="00DF6A4B" w:rsidTr="00D07DA0">
        <w:trPr>
          <w:jc w:val="center"/>
        </w:trPr>
        <w:tc>
          <w:tcPr>
            <w:tcW w:w="3921" w:type="dxa"/>
          </w:tcPr>
          <w:p w:rsidR="00C948BC" w:rsidRPr="00DF6A4B" w:rsidRDefault="00C948BC" w:rsidP="00D07DA0">
            <w:pPr>
              <w:pStyle w:val="Tabletext"/>
              <w:rPr>
                <w:lang w:val="es-ES_tradnl"/>
              </w:rPr>
            </w:pPr>
            <w:r w:rsidRPr="00DF6A4B">
              <w:rPr>
                <w:lang w:val="es-ES_tradnl"/>
              </w:rPr>
              <w:t>Transmisión de cuatro canales agrupados</w:t>
            </w:r>
          </w:p>
        </w:tc>
        <w:tc>
          <w:tcPr>
            <w:tcW w:w="1146" w:type="dxa"/>
          </w:tcPr>
          <w:p w:rsidR="00C948BC" w:rsidRPr="00DF6A4B" w:rsidRDefault="00C948BC" w:rsidP="00D07DA0">
            <w:pPr>
              <w:pStyle w:val="Tabletext"/>
              <w:jc w:val="center"/>
              <w:rPr>
                <w:lang w:val="es-ES_tradnl"/>
              </w:rPr>
            </w:pPr>
            <w:r w:rsidRPr="00DF6A4B">
              <w:rPr>
                <w:lang w:val="es-ES_tradnl"/>
              </w:rPr>
              <w:t>4,200</w:t>
            </w:r>
          </w:p>
        </w:tc>
        <w:tc>
          <w:tcPr>
            <w:tcW w:w="1146" w:type="dxa"/>
          </w:tcPr>
          <w:p w:rsidR="00C948BC" w:rsidRPr="00DF6A4B" w:rsidRDefault="00C948BC" w:rsidP="00D07DA0">
            <w:pPr>
              <w:pStyle w:val="Tabletext"/>
              <w:jc w:val="center"/>
              <w:rPr>
                <w:lang w:val="es-ES_tradnl"/>
              </w:rPr>
            </w:pPr>
            <w:r w:rsidRPr="00DF6A4B">
              <w:rPr>
                <w:lang w:val="es-ES_tradnl"/>
              </w:rPr>
              <w:t>4,320</w:t>
            </w:r>
          </w:p>
        </w:tc>
        <w:tc>
          <w:tcPr>
            <w:tcW w:w="1146" w:type="dxa"/>
          </w:tcPr>
          <w:p w:rsidR="00C948BC" w:rsidRPr="00DF6A4B" w:rsidRDefault="00C948BC" w:rsidP="00D07DA0">
            <w:pPr>
              <w:pStyle w:val="Tabletext"/>
              <w:jc w:val="center"/>
              <w:rPr>
                <w:lang w:val="es-ES_tradnl"/>
              </w:rPr>
            </w:pPr>
            <w:r w:rsidRPr="00DF6A4B">
              <w:rPr>
                <w:lang w:val="es-ES_tradnl"/>
              </w:rPr>
              <w:t>6,000</w:t>
            </w:r>
          </w:p>
        </w:tc>
        <w:tc>
          <w:tcPr>
            <w:tcW w:w="1146" w:type="dxa"/>
          </w:tcPr>
          <w:p w:rsidR="00C948BC" w:rsidRPr="00DF6A4B" w:rsidRDefault="00C948BC" w:rsidP="00D07DA0">
            <w:pPr>
              <w:pStyle w:val="Tabletext"/>
              <w:jc w:val="center"/>
              <w:rPr>
                <w:lang w:val="es-ES_tradnl"/>
              </w:rPr>
            </w:pPr>
            <w:r w:rsidRPr="00DF6A4B">
              <w:rPr>
                <w:lang w:val="es-ES_tradnl"/>
              </w:rPr>
              <w:t>8,000</w:t>
            </w:r>
          </w:p>
        </w:tc>
      </w:tr>
    </w:tbl>
    <w:p w:rsidR="00C948BC" w:rsidRPr="00F80C26" w:rsidRDefault="00C948BC" w:rsidP="00C948BC">
      <w:pPr>
        <w:pStyle w:val="Tablefin"/>
        <w:rPr>
          <w:sz w:val="4"/>
          <w:szCs w:val="4"/>
          <w:lang w:val="es-ES_tradnl"/>
        </w:rPr>
      </w:pPr>
    </w:p>
    <w:p w:rsidR="00C948BC" w:rsidRPr="00DF6A4B" w:rsidRDefault="00C948BC" w:rsidP="00C948BC">
      <w:pPr>
        <w:rPr>
          <w:lang w:val="es-ES_tradnl"/>
        </w:rPr>
      </w:pPr>
      <w:r w:rsidRPr="00DF6A4B">
        <w:rPr>
          <w:lang w:val="es-ES_tradnl"/>
        </w:rPr>
        <w:t>Se puede aplicar una máscara espectral alternativa (Fig. 3 y Cuadros 2 y 3) cuando se utiliza una agrupación de canales de más de un canal contiguo.</w:t>
      </w:r>
    </w:p>
    <w:p w:rsidR="00C948BC" w:rsidRPr="00DF6A4B" w:rsidRDefault="00C948BC" w:rsidP="00C948BC">
      <w:pPr>
        <w:pStyle w:val="FigureNo"/>
        <w:rPr>
          <w:lang w:val="es-ES_tradnl" w:eastAsia="ja-JP"/>
        </w:rPr>
      </w:pPr>
      <w:r w:rsidRPr="00DF6A4B">
        <w:rPr>
          <w:lang w:val="es-ES_tradnl" w:eastAsia="ja-JP"/>
        </w:rPr>
        <w:t>FIGURA 3</w:t>
      </w:r>
    </w:p>
    <w:p w:rsidR="00C948BC" w:rsidRPr="00DF6A4B" w:rsidRDefault="00C948BC" w:rsidP="00C948BC">
      <w:pPr>
        <w:pStyle w:val="Figuretitle"/>
        <w:rPr>
          <w:lang w:val="es-ES_tradnl" w:eastAsia="ja-JP"/>
        </w:rPr>
      </w:pPr>
      <w:r w:rsidRPr="00DF6A4B">
        <w:rPr>
          <w:lang w:val="es-ES_tradnl" w:eastAsia="ja-JP"/>
        </w:rPr>
        <w:t>Máscara de densidad espectral de potencia alternativa para operación de canales agrupados</w:t>
      </w:r>
    </w:p>
    <w:p w:rsidR="00C948BC" w:rsidRPr="00DF6A4B" w:rsidRDefault="00C948BC" w:rsidP="00C948BC">
      <w:pPr>
        <w:pStyle w:val="Figure"/>
        <w:rPr>
          <w:sz w:val="20"/>
          <w:lang w:val="es-ES_tradnl" w:eastAsia="ja-JP"/>
        </w:rPr>
      </w:pPr>
      <w:r w:rsidRPr="00DF6A4B">
        <w:rPr>
          <w:lang w:val="es-ES_tradnl"/>
        </w:rPr>
        <w:object w:dxaOrig="4132" w:dyaOrig="3206">
          <v:shape id="_x0000_i1027" type="#_x0000_t75" style="width:252.3pt;height:195.95pt" o:ole="">
            <v:imagedata r:id="rId17" o:title=""/>
          </v:shape>
          <o:OLEObject Type="Embed" ProgID="CorelDraw.Graphic.16" ShapeID="_x0000_i1027" DrawAspect="Content" ObjectID="_1590490823" r:id="rId18"/>
        </w:object>
      </w:r>
    </w:p>
    <w:p w:rsidR="00C948BC" w:rsidRPr="00DF6A4B" w:rsidRDefault="00C948BC" w:rsidP="00C948BC">
      <w:pPr>
        <w:pStyle w:val="TableNo"/>
        <w:rPr>
          <w:lang w:val="es-ES_tradnl" w:eastAsia="ja-JP"/>
        </w:rPr>
      </w:pPr>
      <w:r w:rsidRPr="00DF6A4B">
        <w:rPr>
          <w:lang w:val="es-ES_tradnl" w:eastAsia="ja-JP"/>
        </w:rPr>
        <w:lastRenderedPageBreak/>
        <w:t>CUADRO 2</w:t>
      </w:r>
    </w:p>
    <w:p w:rsidR="00C948BC" w:rsidRPr="00DF6A4B" w:rsidRDefault="00C948BC" w:rsidP="00C948BC">
      <w:pPr>
        <w:pStyle w:val="Tabletitle"/>
        <w:rPr>
          <w:lang w:val="es-ES_tradnl" w:eastAsia="ja-JP"/>
        </w:rPr>
      </w:pPr>
      <w:r w:rsidRPr="00DF6A4B">
        <w:rPr>
          <w:lang w:val="es-ES_tradnl" w:eastAsia="ja-JP"/>
        </w:rPr>
        <w:t xml:space="preserve">Valor límite relativo de máscara de densidad espectral de potencia </w:t>
      </w:r>
      <w:r w:rsidRPr="00DF6A4B">
        <w:rPr>
          <w:lang w:val="es-ES_tradnl" w:eastAsia="ja-JP"/>
        </w:rPr>
        <w:br/>
        <w:t>de transmisión para operación de agrupación de canales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820"/>
      </w:tblGrid>
      <w:tr w:rsidR="00C948BC" w:rsidRPr="00DF6A4B" w:rsidTr="00D07DA0">
        <w:trPr>
          <w:jc w:val="center"/>
        </w:trPr>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head"/>
              <w:rPr>
                <w:lang w:val="es-ES_tradnl" w:eastAsia="de-DE"/>
              </w:rPr>
            </w:pPr>
            <w:r w:rsidRPr="00DF6A4B">
              <w:rPr>
                <w:lang w:val="es-ES_tradnl" w:eastAsia="de-DE"/>
              </w:rPr>
              <w:t>Frecuencia</w:t>
            </w:r>
          </w:p>
        </w:tc>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head"/>
              <w:rPr>
                <w:lang w:val="es-ES_tradnl" w:eastAsia="de-DE"/>
              </w:rPr>
            </w:pPr>
            <w:r w:rsidRPr="00DF6A4B">
              <w:rPr>
                <w:lang w:val="es-ES_tradnl" w:eastAsia="de-DE"/>
              </w:rPr>
              <w:t>Límite relativo (dBr)</w:t>
            </w:r>
          </w:p>
        </w:tc>
      </w:tr>
      <w:tr w:rsidR="00C948BC" w:rsidRPr="00DF6A4B" w:rsidTr="00D07DA0">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5C3FE36D" wp14:editId="1A04B44D">
                  <wp:extent cx="640080" cy="1828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position w:val="-6"/>
                <w:lang w:val="es-ES_tradnl" w:eastAsia="de-DE"/>
              </w:rPr>
              <w:t>0</w:t>
            </w:r>
          </w:p>
        </w:tc>
      </w:tr>
      <w:tr w:rsidR="00C948BC" w:rsidRPr="00DF6A4B" w:rsidTr="00D07DA0">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4185B06F" wp14:editId="40CE7096">
                  <wp:extent cx="914400"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4AC1F14D" wp14:editId="0D52E367">
                  <wp:extent cx="1371600" cy="1828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1600" cy="182880"/>
                          </a:xfrm>
                          <a:prstGeom prst="rect">
                            <a:avLst/>
                          </a:prstGeom>
                          <a:noFill/>
                          <a:ln>
                            <a:noFill/>
                          </a:ln>
                        </pic:spPr>
                      </pic:pic>
                    </a:graphicData>
                  </a:graphic>
                </wp:inline>
              </w:drawing>
            </w:r>
          </w:p>
        </w:tc>
      </w:tr>
      <w:tr w:rsidR="00C948BC" w:rsidRPr="00DF6A4B" w:rsidTr="00D07DA0">
        <w:trPr>
          <w:trHeight w:hRule="exact" w:val="284"/>
          <w:jc w:val="center"/>
        </w:trPr>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3FEAA462" wp14:editId="27B125C2">
                  <wp:extent cx="9144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52025B5E" wp14:editId="3F780176">
                  <wp:extent cx="1645920" cy="182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182880"/>
                          </a:xfrm>
                          <a:prstGeom prst="rect">
                            <a:avLst/>
                          </a:prstGeom>
                          <a:noFill/>
                          <a:ln>
                            <a:noFill/>
                          </a:ln>
                        </pic:spPr>
                      </pic:pic>
                    </a:graphicData>
                  </a:graphic>
                </wp:inline>
              </w:drawing>
            </w:r>
          </w:p>
        </w:tc>
      </w:tr>
      <w:tr w:rsidR="00C948BC" w:rsidRPr="00DF6A4B" w:rsidTr="00D07DA0">
        <w:trPr>
          <w:trHeight w:hRule="exact" w:val="283"/>
          <w:jc w:val="center"/>
        </w:trPr>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noProof/>
                <w:lang w:val="en-GB" w:eastAsia="zh-CN"/>
              </w:rPr>
              <w:drawing>
                <wp:inline distT="0" distB="0" distL="0" distR="0" wp14:anchorId="79DCDD50" wp14:editId="292330E9">
                  <wp:extent cx="640080" cy="1828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tc>
        <w:tc>
          <w:tcPr>
            <w:tcW w:w="4195" w:type="dxa"/>
            <w:tcBorders>
              <w:top w:val="single" w:sz="4" w:space="0" w:color="auto"/>
              <w:left w:val="single" w:sz="4" w:space="0" w:color="auto"/>
              <w:bottom w:val="single" w:sz="4" w:space="0" w:color="auto"/>
              <w:right w:val="single" w:sz="4" w:space="0" w:color="auto"/>
            </w:tcBorders>
            <w:hideMark/>
          </w:tcPr>
          <w:p w:rsidR="00C948BC" w:rsidRPr="00DF6A4B" w:rsidRDefault="00C948BC" w:rsidP="00D07DA0">
            <w:pPr>
              <w:pStyle w:val="Tabletext"/>
              <w:jc w:val="center"/>
              <w:rPr>
                <w:lang w:val="es-ES_tradnl" w:eastAsia="de-DE"/>
              </w:rPr>
            </w:pPr>
            <w:r w:rsidRPr="00DF6A4B">
              <w:rPr>
                <w:position w:val="-6"/>
                <w:lang w:val="es-ES_tradnl" w:eastAsia="de-DE"/>
              </w:rPr>
              <w:t>−30</w:t>
            </w:r>
          </w:p>
        </w:tc>
      </w:tr>
    </w:tbl>
    <w:p w:rsidR="00C948BC" w:rsidRPr="00DF6A4B" w:rsidRDefault="00C948BC" w:rsidP="00C948BC">
      <w:pPr>
        <w:pStyle w:val="Tablefin"/>
        <w:rPr>
          <w:lang w:val="es-ES_tradnl"/>
        </w:rPr>
      </w:pPr>
    </w:p>
    <w:p w:rsidR="00C948BC" w:rsidRPr="00DF6A4B" w:rsidRDefault="00C948BC" w:rsidP="00C948BC">
      <w:pPr>
        <w:pStyle w:val="TableNo"/>
        <w:rPr>
          <w:lang w:val="es-ES_tradnl" w:eastAsia="ja-JP"/>
        </w:rPr>
      </w:pPr>
      <w:r w:rsidRPr="00DF6A4B">
        <w:rPr>
          <w:lang w:val="es-ES_tradnl" w:eastAsia="ja-JP"/>
        </w:rPr>
        <w:t>CUADRO 3</w:t>
      </w:r>
    </w:p>
    <w:p w:rsidR="00C948BC" w:rsidRPr="00DF6A4B" w:rsidRDefault="00C948BC" w:rsidP="00C948BC">
      <w:pPr>
        <w:pStyle w:val="Tabletitle"/>
        <w:rPr>
          <w:lang w:val="es-ES_tradnl" w:eastAsia="ja-JP"/>
        </w:rPr>
      </w:pPr>
      <w:r w:rsidRPr="00DF6A4B">
        <w:rPr>
          <w:lang w:val="es-ES_tradnl" w:eastAsia="ja-JP"/>
        </w:rPr>
        <w:t>Parámetros de máscara de densidad espectral de potencia de transmisión</w:t>
      </w:r>
    </w:p>
    <w:tbl>
      <w:tblPr>
        <w:tblStyle w:val="TableGrid"/>
        <w:tblW w:w="9639" w:type="dxa"/>
        <w:jc w:val="center"/>
        <w:tblLook w:val="04A0" w:firstRow="1" w:lastRow="0" w:firstColumn="1" w:lastColumn="0" w:noHBand="0" w:noVBand="1"/>
      </w:tblPr>
      <w:tblGrid>
        <w:gridCol w:w="3471"/>
        <w:gridCol w:w="2120"/>
        <w:gridCol w:w="2120"/>
        <w:gridCol w:w="1928"/>
      </w:tblGrid>
      <w:tr w:rsidR="00C948BC" w:rsidRPr="00DF6A4B" w:rsidTr="00D07DA0">
        <w:trPr>
          <w:jc w:val="center"/>
        </w:trPr>
        <w:tc>
          <w:tcPr>
            <w:tcW w:w="3471" w:type="dxa"/>
            <w:vAlign w:val="center"/>
          </w:tcPr>
          <w:p w:rsidR="00C948BC" w:rsidRPr="00DF6A4B" w:rsidRDefault="00C948BC" w:rsidP="00D07DA0">
            <w:pPr>
              <w:pStyle w:val="Tablehead"/>
              <w:rPr>
                <w:lang w:val="es-ES_tradnl"/>
              </w:rPr>
            </w:pPr>
            <w:r w:rsidRPr="00DF6A4B">
              <w:rPr>
                <w:lang w:val="es-ES_tradnl"/>
              </w:rPr>
              <w:t>Agrupación de canales</w:t>
            </w:r>
          </w:p>
        </w:tc>
        <w:tc>
          <w:tcPr>
            <w:tcW w:w="2120" w:type="dxa"/>
            <w:vAlign w:val="center"/>
          </w:tcPr>
          <w:p w:rsidR="00C948BC" w:rsidRPr="00DF6A4B" w:rsidRDefault="00C948BC" w:rsidP="00D07DA0">
            <w:pPr>
              <w:pStyle w:val="Tablehead"/>
              <w:rPr>
                <w:lang w:val="es-ES_tradnl"/>
              </w:rPr>
            </w:pPr>
            <w:r w:rsidRPr="00DF6A4B">
              <w:rPr>
                <w:i/>
                <w:iCs/>
                <w:lang w:val="es-ES_tradnl"/>
              </w:rPr>
              <w:t>f</w:t>
            </w:r>
            <w:r w:rsidRPr="00DF6A4B">
              <w:rPr>
                <w:vertAlign w:val="subscript"/>
                <w:lang w:val="es-ES_tradnl"/>
              </w:rPr>
              <w:t>1</w:t>
            </w:r>
            <w:r w:rsidRPr="00DF6A4B">
              <w:rPr>
                <w:lang w:val="es-ES_tradnl"/>
              </w:rPr>
              <w:t xml:space="preserve"> (GHz)</w:t>
            </w:r>
          </w:p>
        </w:tc>
        <w:tc>
          <w:tcPr>
            <w:tcW w:w="2120" w:type="dxa"/>
            <w:vAlign w:val="center"/>
          </w:tcPr>
          <w:p w:rsidR="00C948BC" w:rsidRPr="00DF6A4B" w:rsidRDefault="00C948BC" w:rsidP="00D07DA0">
            <w:pPr>
              <w:pStyle w:val="Tablehead"/>
              <w:rPr>
                <w:lang w:val="es-ES_tradnl"/>
              </w:rPr>
            </w:pPr>
            <w:r w:rsidRPr="00DF6A4B">
              <w:rPr>
                <w:i/>
                <w:iCs/>
                <w:lang w:val="es-ES_tradnl"/>
              </w:rPr>
              <w:t>f</w:t>
            </w:r>
            <w:r w:rsidRPr="00DF6A4B">
              <w:rPr>
                <w:vertAlign w:val="subscript"/>
                <w:lang w:val="es-ES_tradnl"/>
              </w:rPr>
              <w:t>2</w:t>
            </w:r>
            <w:r w:rsidRPr="00DF6A4B">
              <w:rPr>
                <w:lang w:val="es-ES_tradnl"/>
              </w:rPr>
              <w:t xml:space="preserve"> (GHz)</w:t>
            </w:r>
          </w:p>
        </w:tc>
        <w:tc>
          <w:tcPr>
            <w:tcW w:w="1928" w:type="dxa"/>
            <w:vAlign w:val="center"/>
          </w:tcPr>
          <w:p w:rsidR="00C948BC" w:rsidRPr="00DF6A4B" w:rsidRDefault="00C948BC" w:rsidP="00D07DA0">
            <w:pPr>
              <w:pStyle w:val="Tablehead"/>
              <w:rPr>
                <w:lang w:val="es-ES_tradnl"/>
              </w:rPr>
            </w:pPr>
            <w:r w:rsidRPr="00DF6A4B">
              <w:rPr>
                <w:i/>
                <w:iCs/>
                <w:lang w:val="es-ES_tradnl"/>
              </w:rPr>
              <w:t>f</w:t>
            </w:r>
            <w:r w:rsidRPr="00DF6A4B">
              <w:rPr>
                <w:vertAlign w:val="subscript"/>
                <w:lang w:val="es-ES_tradnl"/>
              </w:rPr>
              <w:t>3</w:t>
            </w:r>
            <w:r w:rsidRPr="00DF6A4B">
              <w:rPr>
                <w:lang w:val="es-ES_tradnl"/>
              </w:rPr>
              <w:t xml:space="preserve"> (GHz)</w:t>
            </w:r>
          </w:p>
        </w:tc>
      </w:tr>
      <w:tr w:rsidR="00C948BC" w:rsidRPr="00DF6A4B" w:rsidTr="00D07DA0">
        <w:trPr>
          <w:jc w:val="center"/>
        </w:trPr>
        <w:tc>
          <w:tcPr>
            <w:tcW w:w="3471" w:type="dxa"/>
          </w:tcPr>
          <w:p w:rsidR="00C948BC" w:rsidRPr="00DF6A4B" w:rsidRDefault="00C948BC" w:rsidP="00D07DA0">
            <w:pPr>
              <w:pStyle w:val="Tabletext"/>
              <w:rPr>
                <w:lang w:val="es-ES_tradnl"/>
              </w:rPr>
            </w:pPr>
            <w:r w:rsidRPr="00DF6A4B">
              <w:rPr>
                <w:lang w:val="es-ES_tradnl"/>
              </w:rPr>
              <w:t>Dos canales agrupados</w:t>
            </w:r>
          </w:p>
        </w:tc>
        <w:tc>
          <w:tcPr>
            <w:tcW w:w="2120" w:type="dxa"/>
          </w:tcPr>
          <w:p w:rsidR="00C948BC" w:rsidRPr="00DF6A4B" w:rsidRDefault="00C948BC" w:rsidP="00D07DA0">
            <w:pPr>
              <w:pStyle w:val="Tabletext"/>
              <w:jc w:val="center"/>
              <w:rPr>
                <w:lang w:val="es-ES_tradnl"/>
              </w:rPr>
            </w:pPr>
            <w:r w:rsidRPr="00DF6A4B">
              <w:rPr>
                <w:lang w:val="es-ES_tradnl"/>
              </w:rPr>
              <w:t>1,880</w:t>
            </w:r>
          </w:p>
        </w:tc>
        <w:tc>
          <w:tcPr>
            <w:tcW w:w="2120" w:type="dxa"/>
          </w:tcPr>
          <w:p w:rsidR="00C948BC" w:rsidRPr="00DF6A4B" w:rsidRDefault="00C948BC" w:rsidP="00D07DA0">
            <w:pPr>
              <w:pStyle w:val="Tabletext"/>
              <w:jc w:val="center"/>
              <w:rPr>
                <w:lang w:val="es-ES_tradnl"/>
              </w:rPr>
            </w:pPr>
            <w:r w:rsidRPr="00DF6A4B">
              <w:rPr>
                <w:lang w:val="es-ES_tradnl"/>
              </w:rPr>
              <w:t>2,400</w:t>
            </w:r>
          </w:p>
        </w:tc>
        <w:tc>
          <w:tcPr>
            <w:tcW w:w="1928" w:type="dxa"/>
          </w:tcPr>
          <w:p w:rsidR="00C948BC" w:rsidRPr="00DF6A4B" w:rsidRDefault="00C948BC" w:rsidP="00D07DA0">
            <w:pPr>
              <w:pStyle w:val="Tabletext"/>
              <w:jc w:val="center"/>
              <w:rPr>
                <w:lang w:val="es-ES_tradnl"/>
              </w:rPr>
            </w:pPr>
            <w:r w:rsidRPr="00DF6A4B">
              <w:rPr>
                <w:lang w:val="es-ES_tradnl"/>
              </w:rPr>
              <w:t>4,000</w:t>
            </w:r>
          </w:p>
        </w:tc>
      </w:tr>
      <w:tr w:rsidR="00C948BC" w:rsidRPr="00DF6A4B" w:rsidTr="00D07DA0">
        <w:trPr>
          <w:jc w:val="center"/>
        </w:trPr>
        <w:tc>
          <w:tcPr>
            <w:tcW w:w="3471" w:type="dxa"/>
          </w:tcPr>
          <w:p w:rsidR="00C948BC" w:rsidRPr="00DF6A4B" w:rsidRDefault="00C948BC" w:rsidP="00D07DA0">
            <w:pPr>
              <w:pStyle w:val="Tabletext"/>
              <w:rPr>
                <w:lang w:val="es-ES_tradnl"/>
              </w:rPr>
            </w:pPr>
            <w:r w:rsidRPr="00DF6A4B">
              <w:rPr>
                <w:lang w:val="es-ES_tradnl"/>
              </w:rPr>
              <w:t>Tres canales agrupados</w:t>
            </w:r>
          </w:p>
        </w:tc>
        <w:tc>
          <w:tcPr>
            <w:tcW w:w="2120" w:type="dxa"/>
          </w:tcPr>
          <w:p w:rsidR="00C948BC" w:rsidRPr="00DF6A4B" w:rsidRDefault="00C948BC" w:rsidP="00D07DA0">
            <w:pPr>
              <w:pStyle w:val="Tabletext"/>
              <w:jc w:val="center"/>
              <w:rPr>
                <w:lang w:val="es-ES_tradnl"/>
              </w:rPr>
            </w:pPr>
            <w:r w:rsidRPr="00DF6A4B">
              <w:rPr>
                <w:lang w:val="es-ES_tradnl"/>
              </w:rPr>
              <w:t>2,820</w:t>
            </w:r>
          </w:p>
        </w:tc>
        <w:tc>
          <w:tcPr>
            <w:tcW w:w="2120" w:type="dxa"/>
          </w:tcPr>
          <w:p w:rsidR="00C948BC" w:rsidRPr="00DF6A4B" w:rsidRDefault="00C948BC" w:rsidP="00D07DA0">
            <w:pPr>
              <w:pStyle w:val="Tabletext"/>
              <w:jc w:val="center"/>
              <w:rPr>
                <w:lang w:val="es-ES_tradnl"/>
              </w:rPr>
            </w:pPr>
            <w:r w:rsidRPr="00DF6A4B">
              <w:rPr>
                <w:lang w:val="es-ES_tradnl"/>
              </w:rPr>
              <w:t>3,600</w:t>
            </w:r>
          </w:p>
        </w:tc>
        <w:tc>
          <w:tcPr>
            <w:tcW w:w="1928" w:type="dxa"/>
          </w:tcPr>
          <w:p w:rsidR="00C948BC" w:rsidRPr="00DF6A4B" w:rsidRDefault="00C948BC" w:rsidP="00D07DA0">
            <w:pPr>
              <w:pStyle w:val="Tabletext"/>
              <w:jc w:val="center"/>
              <w:rPr>
                <w:lang w:val="es-ES_tradnl"/>
              </w:rPr>
            </w:pPr>
            <w:r w:rsidRPr="00DF6A4B">
              <w:rPr>
                <w:lang w:val="es-ES_tradnl"/>
              </w:rPr>
              <w:t>6,000</w:t>
            </w:r>
          </w:p>
        </w:tc>
      </w:tr>
      <w:tr w:rsidR="00C948BC" w:rsidRPr="00DF6A4B" w:rsidTr="00D07DA0">
        <w:trPr>
          <w:jc w:val="center"/>
        </w:trPr>
        <w:tc>
          <w:tcPr>
            <w:tcW w:w="3471" w:type="dxa"/>
          </w:tcPr>
          <w:p w:rsidR="00C948BC" w:rsidRPr="00DF6A4B" w:rsidRDefault="00C948BC" w:rsidP="00D07DA0">
            <w:pPr>
              <w:pStyle w:val="Tabletext"/>
              <w:rPr>
                <w:lang w:val="es-ES_tradnl"/>
              </w:rPr>
            </w:pPr>
            <w:r w:rsidRPr="00DF6A4B">
              <w:rPr>
                <w:lang w:val="es-ES_tradnl"/>
              </w:rPr>
              <w:t>Cuatro canales agrupados</w:t>
            </w:r>
          </w:p>
        </w:tc>
        <w:tc>
          <w:tcPr>
            <w:tcW w:w="2120" w:type="dxa"/>
          </w:tcPr>
          <w:p w:rsidR="00C948BC" w:rsidRPr="00DF6A4B" w:rsidRDefault="00C948BC" w:rsidP="00D07DA0">
            <w:pPr>
              <w:pStyle w:val="Tabletext"/>
              <w:jc w:val="center"/>
              <w:rPr>
                <w:lang w:val="es-ES_tradnl"/>
              </w:rPr>
            </w:pPr>
            <w:r w:rsidRPr="00DF6A4B">
              <w:rPr>
                <w:lang w:val="es-ES_tradnl"/>
              </w:rPr>
              <w:t>3,760</w:t>
            </w:r>
          </w:p>
        </w:tc>
        <w:tc>
          <w:tcPr>
            <w:tcW w:w="2120" w:type="dxa"/>
          </w:tcPr>
          <w:p w:rsidR="00C948BC" w:rsidRPr="00DF6A4B" w:rsidRDefault="00C948BC" w:rsidP="00D07DA0">
            <w:pPr>
              <w:pStyle w:val="Tabletext"/>
              <w:jc w:val="center"/>
              <w:rPr>
                <w:lang w:val="es-ES_tradnl"/>
              </w:rPr>
            </w:pPr>
            <w:r w:rsidRPr="00DF6A4B">
              <w:rPr>
                <w:lang w:val="es-ES_tradnl"/>
              </w:rPr>
              <w:t>4,800</w:t>
            </w:r>
          </w:p>
        </w:tc>
        <w:tc>
          <w:tcPr>
            <w:tcW w:w="1928" w:type="dxa"/>
          </w:tcPr>
          <w:p w:rsidR="00C948BC" w:rsidRPr="00DF6A4B" w:rsidRDefault="00C948BC" w:rsidP="00D07DA0">
            <w:pPr>
              <w:pStyle w:val="Tabletext"/>
              <w:jc w:val="center"/>
              <w:rPr>
                <w:lang w:val="es-ES_tradnl"/>
              </w:rPr>
            </w:pPr>
            <w:r w:rsidRPr="00DF6A4B">
              <w:rPr>
                <w:lang w:val="es-ES_tradnl"/>
              </w:rPr>
              <w:t>8,000</w:t>
            </w:r>
          </w:p>
        </w:tc>
      </w:tr>
    </w:tbl>
    <w:p w:rsidR="00C948BC" w:rsidRPr="00DF6A4B" w:rsidRDefault="00C948BC" w:rsidP="00C948BC">
      <w:pPr>
        <w:pStyle w:val="Tablefin"/>
        <w:rPr>
          <w:lang w:val="es-ES_tradnl"/>
        </w:rPr>
      </w:pPr>
    </w:p>
    <w:p w:rsidR="00C948BC" w:rsidRPr="00DF6A4B" w:rsidRDefault="00C948BC" w:rsidP="00C948BC">
      <w:pPr>
        <w:pStyle w:val="Heading2"/>
        <w:rPr>
          <w:lang w:val="es-ES_tradnl"/>
        </w:rPr>
      </w:pPr>
      <w:r w:rsidRPr="00DF6A4B">
        <w:rPr>
          <w:lang w:val="es-ES_tradnl"/>
        </w:rPr>
        <w:t>2.4</w:t>
      </w:r>
      <w:r w:rsidRPr="00DF6A4B">
        <w:rPr>
          <w:lang w:val="es-ES_tradnl"/>
        </w:rPr>
        <w:tab/>
        <w:t>Características comunes</w:t>
      </w:r>
    </w:p>
    <w:p w:rsidR="00C948BC" w:rsidRPr="00DF6A4B" w:rsidRDefault="00C948BC" w:rsidP="00C948BC">
      <w:pPr>
        <w:pStyle w:val="Heading3"/>
        <w:rPr>
          <w:lang w:val="es-ES_tradnl"/>
        </w:rPr>
      </w:pPr>
      <w:bookmarkStart w:id="7" w:name="_Toc201721895"/>
      <w:bookmarkStart w:id="8" w:name="_Toc206227629"/>
      <w:bookmarkStart w:id="9" w:name="_Toc206415576"/>
      <w:bookmarkStart w:id="10" w:name="_Toc206418383"/>
      <w:bookmarkStart w:id="11" w:name="_Toc207099138"/>
      <w:bookmarkStart w:id="12" w:name="_Toc207099743"/>
      <w:bookmarkStart w:id="13" w:name="_Toc207100662"/>
      <w:bookmarkStart w:id="14" w:name="_Toc207348584"/>
      <w:bookmarkStart w:id="15" w:name="_Toc215582940"/>
      <w:bookmarkStart w:id="16" w:name="_Toc235400633"/>
      <w:bookmarkStart w:id="17" w:name="_Toc255750496"/>
      <w:r w:rsidRPr="00DF6A4B">
        <w:rPr>
          <w:lang w:val="es-ES_tradnl"/>
        </w:rPr>
        <w:t>2.4.1</w:t>
      </w:r>
      <w:r w:rsidRPr="00DF6A4B">
        <w:rPr>
          <w:lang w:val="es-ES_tradnl"/>
        </w:rPr>
        <w:tab/>
        <w:t>Rango de la temperatura de funcionamiento de transmisión y recepción</w:t>
      </w:r>
      <w:bookmarkEnd w:id="7"/>
      <w:bookmarkEnd w:id="8"/>
      <w:bookmarkEnd w:id="9"/>
      <w:bookmarkEnd w:id="10"/>
      <w:bookmarkEnd w:id="11"/>
      <w:bookmarkEnd w:id="12"/>
      <w:bookmarkEnd w:id="13"/>
      <w:bookmarkEnd w:id="14"/>
      <w:bookmarkEnd w:id="15"/>
      <w:bookmarkEnd w:id="16"/>
      <w:bookmarkEnd w:id="17"/>
    </w:p>
    <w:p w:rsidR="00C948BC" w:rsidRPr="00DF6A4B" w:rsidRDefault="00C948BC" w:rsidP="00C948BC">
      <w:pPr>
        <w:rPr>
          <w:lang w:val="es-ES_tradnl"/>
        </w:rPr>
      </w:pPr>
      <w:r w:rsidRPr="00DF6A4B">
        <w:rPr>
          <w:lang w:val="es-ES_tradnl"/>
        </w:rPr>
        <w:t>El rango de temperaturas de funcionamiento es conforme con IEEE Std 802.11-2016.</w:t>
      </w:r>
    </w:p>
    <w:p w:rsidR="00C948BC" w:rsidRPr="00DF6A4B" w:rsidRDefault="00C948BC" w:rsidP="00C948BC">
      <w:pPr>
        <w:pStyle w:val="Heading3"/>
        <w:rPr>
          <w:lang w:val="es-ES_tradnl"/>
        </w:rPr>
      </w:pPr>
      <w:bookmarkStart w:id="18" w:name="_Toc201721896"/>
      <w:bookmarkStart w:id="19" w:name="_Toc206227630"/>
      <w:bookmarkStart w:id="20" w:name="_Toc206415577"/>
      <w:bookmarkStart w:id="21" w:name="_Toc206418384"/>
      <w:bookmarkStart w:id="22" w:name="_Toc207099139"/>
      <w:bookmarkStart w:id="23" w:name="_Toc207099744"/>
      <w:bookmarkStart w:id="24" w:name="_Toc207100663"/>
      <w:bookmarkStart w:id="25" w:name="_Toc207348585"/>
      <w:bookmarkStart w:id="26" w:name="_Toc215582941"/>
      <w:bookmarkStart w:id="27" w:name="_Toc235400634"/>
      <w:bookmarkStart w:id="28" w:name="_Toc255750497"/>
      <w:r w:rsidRPr="00DF6A4B">
        <w:rPr>
          <w:lang w:val="es-ES_tradnl"/>
        </w:rPr>
        <w:t>2.4.2</w:t>
      </w:r>
      <w:r w:rsidRPr="00DF6A4B">
        <w:rPr>
          <w:lang w:val="es-ES_tradnl"/>
        </w:rPr>
        <w:tab/>
        <w:t xml:space="preserve">Tolerancia de la frecuencia central </w:t>
      </w:r>
      <w:bookmarkEnd w:id="18"/>
      <w:bookmarkEnd w:id="19"/>
      <w:bookmarkEnd w:id="20"/>
      <w:bookmarkEnd w:id="21"/>
      <w:bookmarkEnd w:id="22"/>
      <w:bookmarkEnd w:id="23"/>
      <w:bookmarkEnd w:id="24"/>
      <w:bookmarkEnd w:id="25"/>
      <w:bookmarkEnd w:id="26"/>
      <w:bookmarkEnd w:id="27"/>
      <w:bookmarkEnd w:id="28"/>
    </w:p>
    <w:p w:rsidR="00C948BC" w:rsidRPr="00DF6A4B" w:rsidRDefault="00C948BC" w:rsidP="00C948BC">
      <w:pPr>
        <w:rPr>
          <w:lang w:val="es-ES_tradnl"/>
        </w:rPr>
      </w:pPr>
      <w:r w:rsidRPr="00DF6A4B">
        <w:rPr>
          <w:lang w:val="es-ES_tradnl"/>
        </w:rPr>
        <w:t>La tolerancia de la frecuencia central del transmisor debe ser como máximo de ±20 ppm en la banda de 60 GHz.</w:t>
      </w:r>
    </w:p>
    <w:p w:rsidR="00C948BC" w:rsidRPr="00DF6A4B" w:rsidRDefault="00C948BC" w:rsidP="00C948BC">
      <w:pPr>
        <w:pStyle w:val="Heading3"/>
        <w:rPr>
          <w:lang w:val="es-ES_tradnl"/>
        </w:rPr>
      </w:pPr>
      <w:bookmarkStart w:id="29" w:name="_Toc201721897"/>
      <w:bookmarkStart w:id="30" w:name="_Toc206227631"/>
      <w:bookmarkStart w:id="31" w:name="_Toc206415578"/>
      <w:bookmarkStart w:id="32" w:name="_Toc206418385"/>
      <w:bookmarkStart w:id="33" w:name="_Toc207099140"/>
      <w:bookmarkStart w:id="34" w:name="_Toc207099745"/>
      <w:bookmarkStart w:id="35" w:name="_Toc207100664"/>
      <w:bookmarkStart w:id="36" w:name="_Toc207348586"/>
      <w:bookmarkStart w:id="37" w:name="_Toc215582942"/>
      <w:bookmarkStart w:id="38" w:name="_Toc235400635"/>
      <w:bookmarkStart w:id="39" w:name="_Toc255750498"/>
      <w:r w:rsidRPr="00DF6A4B">
        <w:rPr>
          <w:lang w:val="es-ES_tradnl"/>
        </w:rPr>
        <w:t>2.4.3</w:t>
      </w:r>
      <w:r w:rsidRPr="00DF6A4B">
        <w:rPr>
          <w:lang w:val="es-ES_tradnl"/>
        </w:rPr>
        <w:tab/>
        <w:t>Tolerancia del reloj de símbolos</w:t>
      </w:r>
      <w:bookmarkEnd w:id="29"/>
      <w:bookmarkEnd w:id="30"/>
      <w:bookmarkEnd w:id="31"/>
      <w:bookmarkEnd w:id="32"/>
      <w:bookmarkEnd w:id="33"/>
      <w:bookmarkEnd w:id="34"/>
      <w:bookmarkEnd w:id="35"/>
      <w:bookmarkEnd w:id="36"/>
      <w:bookmarkEnd w:id="37"/>
      <w:bookmarkEnd w:id="38"/>
      <w:bookmarkEnd w:id="39"/>
    </w:p>
    <w:p w:rsidR="00C948BC" w:rsidRPr="00DF6A4B" w:rsidRDefault="00C948BC" w:rsidP="00C948BC">
      <w:pPr>
        <w:rPr>
          <w:lang w:val="es-ES_tradnl"/>
        </w:rPr>
      </w:pPr>
      <w:r w:rsidRPr="00DF6A4B">
        <w:rPr>
          <w:lang w:val="es-ES_tradnl"/>
        </w:rPr>
        <w:t>La tolerancia de la frecuencia del reloj de símbolos debe ser como máximo de ±20 ppm para la banda de 60 GHz. La frecuencia central del transmisor y la frecuencia del reloj de símbolos se obtienen del mismo oscilador de referencia.</w:t>
      </w:r>
    </w:p>
    <w:p w:rsidR="00C948BC" w:rsidRPr="00DF6A4B" w:rsidRDefault="00C948BC" w:rsidP="00C948BC">
      <w:pPr>
        <w:pStyle w:val="Heading3"/>
        <w:rPr>
          <w:lang w:val="es-ES_tradnl"/>
        </w:rPr>
      </w:pPr>
      <w:bookmarkStart w:id="40" w:name="_Toc201721898"/>
      <w:bookmarkStart w:id="41" w:name="_Toc206227632"/>
      <w:bookmarkStart w:id="42" w:name="_Toc206415579"/>
      <w:bookmarkStart w:id="43" w:name="_Toc206418386"/>
      <w:bookmarkStart w:id="44" w:name="_Toc207099141"/>
      <w:bookmarkStart w:id="45" w:name="_Toc207099746"/>
      <w:bookmarkStart w:id="46" w:name="_Toc207100665"/>
      <w:bookmarkStart w:id="47" w:name="_Toc207348587"/>
      <w:bookmarkStart w:id="48" w:name="_Toc215582943"/>
      <w:bookmarkStart w:id="49" w:name="_Toc235400636"/>
      <w:bookmarkStart w:id="50" w:name="_Toc255750499"/>
      <w:r w:rsidRPr="00DF6A4B">
        <w:rPr>
          <w:lang w:val="es-ES_tradnl"/>
        </w:rPr>
        <w:t>2.4.4</w:t>
      </w:r>
      <w:r w:rsidRPr="00DF6A4B">
        <w:rPr>
          <w:lang w:val="es-ES_tradnl"/>
        </w:rPr>
        <w:tab/>
        <w:t xml:space="preserve">Pérdida a la frecuencia central de transmisión </w:t>
      </w:r>
      <w:bookmarkEnd w:id="40"/>
      <w:bookmarkEnd w:id="41"/>
      <w:bookmarkEnd w:id="42"/>
      <w:bookmarkEnd w:id="43"/>
      <w:bookmarkEnd w:id="44"/>
      <w:bookmarkEnd w:id="45"/>
      <w:bookmarkEnd w:id="46"/>
      <w:bookmarkEnd w:id="47"/>
      <w:bookmarkEnd w:id="48"/>
      <w:bookmarkEnd w:id="49"/>
      <w:bookmarkEnd w:id="50"/>
    </w:p>
    <w:p w:rsidR="00C948BC" w:rsidRPr="00DF6A4B" w:rsidRDefault="00C948BC" w:rsidP="00C948BC">
      <w:pPr>
        <w:rPr>
          <w:lang w:val="es-ES_tradnl"/>
        </w:rPr>
      </w:pPr>
      <w:r w:rsidRPr="00DF6A4B">
        <w:rPr>
          <w:lang w:val="es-ES_tradnl"/>
        </w:rPr>
        <w:t>La pérdida a la frecuencia central del transmisor no debe superar –23 dB en relación con la potencia transmitida total o, de forma equivalente, 2,5 dB en relación con la energía media del resto de las subportadoras (en caso de multiplexación por división de frecuencias ortogonales, OFDM).</w:t>
      </w:r>
    </w:p>
    <w:p w:rsidR="00C948BC" w:rsidRPr="00DF6A4B" w:rsidRDefault="00C948BC" w:rsidP="00C948BC">
      <w:pPr>
        <w:pStyle w:val="Heading3"/>
        <w:rPr>
          <w:lang w:val="es-ES_tradnl"/>
        </w:rPr>
      </w:pPr>
      <w:bookmarkStart w:id="51" w:name="_Toc201721899"/>
      <w:bookmarkStart w:id="52" w:name="_Toc206227633"/>
      <w:bookmarkStart w:id="53" w:name="_Toc206415580"/>
      <w:bookmarkStart w:id="54" w:name="_Toc206418387"/>
      <w:bookmarkStart w:id="55" w:name="_Toc207099142"/>
      <w:bookmarkStart w:id="56" w:name="_Toc207099747"/>
      <w:bookmarkStart w:id="57" w:name="_Toc207100666"/>
      <w:bookmarkStart w:id="58" w:name="_Toc207348588"/>
      <w:bookmarkStart w:id="59" w:name="_Toc215582944"/>
      <w:bookmarkStart w:id="60" w:name="_Toc235400637"/>
      <w:bookmarkStart w:id="61" w:name="_Toc255750500"/>
      <w:r w:rsidRPr="00DF6A4B">
        <w:rPr>
          <w:lang w:val="es-ES_tradnl"/>
        </w:rPr>
        <w:t>2.4.5</w:t>
      </w:r>
      <w:r w:rsidRPr="00DF6A4B">
        <w:rPr>
          <w:lang w:val="es-ES_tradnl"/>
        </w:rPr>
        <w:tab/>
        <w:t xml:space="preserve">Flanco ascendente y descendente de transmisión </w:t>
      </w:r>
      <w:bookmarkEnd w:id="51"/>
      <w:bookmarkEnd w:id="52"/>
      <w:bookmarkEnd w:id="53"/>
      <w:bookmarkEnd w:id="54"/>
      <w:bookmarkEnd w:id="55"/>
      <w:bookmarkEnd w:id="56"/>
      <w:bookmarkEnd w:id="57"/>
      <w:bookmarkEnd w:id="58"/>
      <w:bookmarkEnd w:id="59"/>
      <w:bookmarkEnd w:id="60"/>
      <w:bookmarkEnd w:id="61"/>
    </w:p>
    <w:p w:rsidR="00C948BC" w:rsidRPr="00DF6A4B" w:rsidRDefault="00C948BC" w:rsidP="00C948BC">
      <w:pPr>
        <w:rPr>
          <w:lang w:val="es-ES_tradnl"/>
        </w:rPr>
      </w:pPr>
      <w:r w:rsidRPr="00DF6A4B">
        <w:rPr>
          <w:lang w:val="es-ES_tradnl"/>
        </w:rPr>
        <w:t>El flanco de encendido del transmisor se define como el tiempo que tarda un transmisor en pasar de menos del 10% a más del 90% de la potencia media de transmisión de la trama.</w:t>
      </w:r>
    </w:p>
    <w:p w:rsidR="00C948BC" w:rsidRPr="00DF6A4B" w:rsidRDefault="00C948BC" w:rsidP="00C948BC">
      <w:pPr>
        <w:rPr>
          <w:lang w:val="es-ES_tradnl"/>
        </w:rPr>
      </w:pPr>
      <w:r w:rsidRPr="00DF6A4B">
        <w:rPr>
          <w:lang w:val="es-ES_tradnl"/>
        </w:rPr>
        <w:t>El flanco de encendido del transmisor debe de ser de unos 10 ns.</w:t>
      </w:r>
    </w:p>
    <w:p w:rsidR="00C948BC" w:rsidRPr="00DF6A4B" w:rsidRDefault="00C948BC" w:rsidP="00C948BC">
      <w:pPr>
        <w:rPr>
          <w:lang w:val="es-ES_tradnl"/>
        </w:rPr>
      </w:pPr>
      <w:r w:rsidRPr="00DF6A4B">
        <w:rPr>
          <w:lang w:val="es-ES_tradnl"/>
        </w:rPr>
        <w:t>El flanco de apagado del transmisor se define como el tiempo que tarda un transmisor en pasar de más del 90% a menos del 10% de la potencia máxima de transmisión de la trama.</w:t>
      </w:r>
    </w:p>
    <w:p w:rsidR="00C948BC" w:rsidRPr="00DF6A4B" w:rsidRDefault="00C948BC" w:rsidP="00C948BC">
      <w:pPr>
        <w:rPr>
          <w:lang w:val="es-ES_tradnl"/>
        </w:rPr>
      </w:pPr>
      <w:r w:rsidRPr="00DF6A4B">
        <w:rPr>
          <w:lang w:val="es-ES_tradnl"/>
        </w:rPr>
        <w:t>El flanco de encendido del transmisor debe de ser de unos 10 ns.</w:t>
      </w:r>
    </w:p>
    <w:p w:rsidR="00C948BC" w:rsidRPr="00DF6A4B" w:rsidRDefault="00C948BC" w:rsidP="00C948BC">
      <w:pPr>
        <w:pStyle w:val="Heading3"/>
        <w:rPr>
          <w:lang w:val="es-ES_tradnl"/>
        </w:rPr>
      </w:pPr>
      <w:bookmarkStart w:id="62" w:name="_Toc255750501"/>
      <w:r w:rsidRPr="00DF6A4B">
        <w:rPr>
          <w:lang w:val="es-ES_tradnl"/>
        </w:rPr>
        <w:lastRenderedPageBreak/>
        <w:t>2.4.6</w:t>
      </w:r>
      <w:r w:rsidRPr="00DF6A4B">
        <w:rPr>
          <w:lang w:val="es-ES_tradnl"/>
        </w:rPr>
        <w:tab/>
        <w:t>Nivel de entrada máximo</w:t>
      </w:r>
      <w:bookmarkEnd w:id="62"/>
    </w:p>
    <w:p w:rsidR="00C948BC" w:rsidRPr="00DF6A4B" w:rsidRDefault="00C948BC" w:rsidP="00C948BC">
      <w:pPr>
        <w:rPr>
          <w:lang w:val="es-ES_tradnl"/>
        </w:rPr>
      </w:pPr>
      <w:r w:rsidRPr="00DF6A4B">
        <w:rPr>
          <w:lang w:val="es-ES_tradnl"/>
        </w:rPr>
        <w:t>El máximo nivel de entrada del receptor es el nivel de potencia máximo de la señal de entrada, en dBm, presente a la entrada del receptor para la cual se cumple el criterio de la tasa de error (definido en la cláusula sobre sensibilidad del receptor). Un receptor que lo cumpla tiene un nivel de entrada máximo en la(s) antena(s) receptora(s) de al menos 10 microvatios/cm</w:t>
      </w:r>
      <w:r w:rsidRPr="00DF6A4B">
        <w:rPr>
          <w:vertAlign w:val="superscript"/>
          <w:lang w:val="es-ES_tradnl"/>
        </w:rPr>
        <w:t>2</w:t>
      </w:r>
      <w:r w:rsidRPr="00DF6A4B">
        <w:rPr>
          <w:lang w:val="es-ES_tradnl"/>
        </w:rPr>
        <w:t xml:space="preserve"> para cada uno de los esquemas de modulación que soporte el receptor.</w:t>
      </w:r>
    </w:p>
    <w:p w:rsidR="00C948BC" w:rsidRPr="00DF6A4B" w:rsidRDefault="00C948BC" w:rsidP="00C948BC">
      <w:pPr>
        <w:pStyle w:val="Heading3"/>
        <w:rPr>
          <w:lang w:val="es-ES_tradnl"/>
        </w:rPr>
      </w:pPr>
      <w:r w:rsidRPr="00DF6A4B">
        <w:rPr>
          <w:lang w:val="es-ES_tradnl"/>
        </w:rPr>
        <w:t>2.4.7</w:t>
      </w:r>
      <w:r w:rsidRPr="00DF6A4B">
        <w:rPr>
          <w:lang w:val="es-ES_tradnl"/>
        </w:rPr>
        <w:tab/>
        <w:t>Características del sistema</w:t>
      </w:r>
    </w:p>
    <w:p w:rsidR="00C948BC" w:rsidRPr="00DF6A4B" w:rsidRDefault="00C948BC" w:rsidP="00C948BC">
      <w:pPr>
        <w:rPr>
          <w:lang w:val="es-ES_tradnl" w:eastAsia="ja-JP"/>
        </w:rPr>
      </w:pPr>
      <w:r w:rsidRPr="00DF6A4B">
        <w:rPr>
          <w:lang w:val="es-ES_tradnl" w:eastAsia="ja-JP"/>
        </w:rPr>
        <w:t>Para explotar todo el potencial que ofrecen los MGWS, incluido el soporte de aplicaciones y servicios aquí descritos, el sistema debe cumplir determinadas características:</w:t>
      </w:r>
    </w:p>
    <w:p w:rsidR="00C948BC" w:rsidRPr="00DF6A4B" w:rsidRDefault="00C948BC" w:rsidP="00C948BC">
      <w:pPr>
        <w:pStyle w:val="enumlev1"/>
        <w:rPr>
          <w:lang w:val="es-ES_tradnl"/>
        </w:rPr>
      </w:pPr>
      <w:r w:rsidRPr="00DF6A4B">
        <w:rPr>
          <w:lang w:val="es-ES_tradnl"/>
        </w:rPr>
        <w:t>1)</w:t>
      </w:r>
      <w:r w:rsidRPr="00DF6A4B">
        <w:rPr>
          <w:lang w:val="es-ES_tradnl"/>
        </w:rPr>
        <w:tab/>
      </w:r>
      <w:r w:rsidRPr="00DF6A4B">
        <w:rPr>
          <w:b/>
          <w:bCs/>
          <w:lang w:val="es-ES_tradnl"/>
        </w:rPr>
        <w:t>Caudal</w:t>
      </w:r>
      <w:r w:rsidRPr="00DF6A4B">
        <w:rPr>
          <w:lang w:val="es-ES_tradnl"/>
        </w:rPr>
        <w:t>: todos los dispositivos MGWS que no soportan más de una operación de canal único deben permitir un caudal máximo, medido en la capa superior de control de acceso al medio, de una velocidad mínima de 1 Gbit/s. Si el dispositivo MGWS soporta la operación de agrupación de canales, el caudal de tráfico debería escalar linealmente con el número de canales agrupados.</w:t>
      </w:r>
    </w:p>
    <w:p w:rsidR="00C948BC" w:rsidRPr="00DF6A4B" w:rsidRDefault="00C948BC" w:rsidP="00C948BC">
      <w:pPr>
        <w:pStyle w:val="enumlev1"/>
        <w:rPr>
          <w:lang w:val="es-ES_tradnl"/>
        </w:rPr>
      </w:pPr>
      <w:r w:rsidRPr="00DF6A4B">
        <w:rPr>
          <w:lang w:val="es-ES_tradnl"/>
        </w:rPr>
        <w:t>2)</w:t>
      </w:r>
      <w:r w:rsidRPr="00DF6A4B">
        <w:rPr>
          <w:lang w:val="es-ES_tradnl"/>
        </w:rPr>
        <w:tab/>
      </w:r>
      <w:r w:rsidRPr="00DF6A4B">
        <w:rPr>
          <w:b/>
          <w:bCs/>
          <w:lang w:val="es-ES_tradnl"/>
        </w:rPr>
        <w:t>Alcance</w:t>
      </w:r>
      <w:r w:rsidRPr="00DF6A4B">
        <w:rPr>
          <w:lang w:val="es-ES_tradnl"/>
        </w:rPr>
        <w:t>: los sistemas WLAN deben ofrecer un alcance de al menos 10 m a 1 Gbit/s, medido en la parte superior de la capa de control de acceso al medio en condiciones de canal físico (PHY) sin visibilidad directa. Para WPAN y CPMS, el alcance de los sistemas debería ser inferior a 10 cm para obtener una reutilización del espectro alta.</w:t>
      </w:r>
    </w:p>
    <w:p w:rsidR="00C948BC" w:rsidRPr="00DF6A4B" w:rsidRDefault="00C948BC" w:rsidP="00C948BC">
      <w:pPr>
        <w:rPr>
          <w:lang w:val="es-ES_tradnl"/>
        </w:rPr>
      </w:pPr>
      <w:r w:rsidRPr="00DF6A4B">
        <w:rPr>
          <w:lang w:val="es-ES_tradnl"/>
        </w:rPr>
        <w:t>Además de las características mencionadas, cuando el sistema soporte flujos de vídeo no comprimido, deben cumplirse las características adicionales descritas en el Cuadro 4.</w:t>
      </w:r>
    </w:p>
    <w:p w:rsidR="00C948BC" w:rsidRPr="00DF6A4B" w:rsidRDefault="00C948BC" w:rsidP="00C948BC">
      <w:pPr>
        <w:pStyle w:val="TableNo"/>
        <w:rPr>
          <w:lang w:val="es-ES_tradnl" w:eastAsia="ja-JP"/>
        </w:rPr>
      </w:pPr>
      <w:r w:rsidRPr="00DF6A4B">
        <w:rPr>
          <w:lang w:val="es-ES_tradnl" w:eastAsia="ja-JP"/>
        </w:rPr>
        <w:t>CUADRO 4</w:t>
      </w:r>
    </w:p>
    <w:p w:rsidR="00C948BC" w:rsidRPr="00DF6A4B" w:rsidRDefault="00C948BC" w:rsidP="00C948BC">
      <w:pPr>
        <w:pStyle w:val="Tabletitle"/>
        <w:rPr>
          <w:lang w:val="es-ES_tradnl" w:eastAsia="ja-JP"/>
        </w:rPr>
      </w:pPr>
      <w:r w:rsidRPr="00DF6A4B">
        <w:rPr>
          <w:lang w:val="es-ES_tradnl" w:eastAsia="ja-JP"/>
        </w:rPr>
        <w:t>Características del sistema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6"/>
        <w:gridCol w:w="1915"/>
        <w:gridCol w:w="3253"/>
      </w:tblGrid>
      <w:tr w:rsidR="00C948BC" w:rsidRPr="00DF6A4B" w:rsidTr="00F80C26">
        <w:trPr>
          <w:jc w:val="center"/>
        </w:trPr>
        <w:tc>
          <w:tcPr>
            <w:tcW w:w="2776" w:type="dxa"/>
          </w:tcPr>
          <w:p w:rsidR="00C948BC" w:rsidRPr="00DF6A4B" w:rsidRDefault="00C948BC" w:rsidP="00D07DA0">
            <w:pPr>
              <w:pStyle w:val="Tablehead"/>
              <w:rPr>
                <w:lang w:val="es-ES_tradnl"/>
              </w:rPr>
            </w:pPr>
            <w:r w:rsidRPr="00DF6A4B">
              <w:rPr>
                <w:lang w:val="es-ES_tradnl"/>
              </w:rPr>
              <w:t>Parámetro</w:t>
            </w:r>
          </w:p>
        </w:tc>
        <w:tc>
          <w:tcPr>
            <w:tcW w:w="1915" w:type="dxa"/>
          </w:tcPr>
          <w:p w:rsidR="00C948BC" w:rsidRPr="00DF6A4B" w:rsidRDefault="00C948BC" w:rsidP="00D07D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DF6A4B">
              <w:rPr>
                <w:b/>
                <w:sz w:val="22"/>
                <w:lang w:val="es-ES_tradnl"/>
              </w:rPr>
              <w:t>Valor</w:t>
            </w:r>
          </w:p>
        </w:tc>
        <w:tc>
          <w:tcPr>
            <w:tcW w:w="3253" w:type="dxa"/>
          </w:tcPr>
          <w:p w:rsidR="00C948BC" w:rsidRPr="00DF6A4B" w:rsidRDefault="00C948BC" w:rsidP="00D07D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val="es-ES_tradnl"/>
              </w:rPr>
            </w:pPr>
            <w:r w:rsidRPr="00DF6A4B">
              <w:rPr>
                <w:b/>
                <w:sz w:val="22"/>
                <w:lang w:val="es-ES_tradnl"/>
              </w:rPr>
              <w:t xml:space="preserve">Descripción </w:t>
            </w:r>
          </w:p>
        </w:tc>
      </w:tr>
      <w:tr w:rsidR="00C948BC" w:rsidRPr="00E2508C" w:rsidTr="00F80C26">
        <w:trPr>
          <w:jc w:val="center"/>
        </w:trPr>
        <w:tc>
          <w:tcPr>
            <w:tcW w:w="2776" w:type="dxa"/>
          </w:tcPr>
          <w:p w:rsidR="00C948BC" w:rsidRPr="00DF6A4B" w:rsidRDefault="00C948BC" w:rsidP="00D07DA0">
            <w:pPr>
              <w:pStyle w:val="Tabletext"/>
              <w:jc w:val="center"/>
              <w:rPr>
                <w:lang w:val="es-ES_tradnl"/>
              </w:rPr>
            </w:pPr>
            <w:r w:rsidRPr="00DF6A4B">
              <w:rPr>
                <w:lang w:val="es-ES_tradnl"/>
              </w:rPr>
              <w:t>Velocidad</w:t>
            </w:r>
          </w:p>
        </w:tc>
        <w:tc>
          <w:tcPr>
            <w:tcW w:w="1915" w:type="dxa"/>
          </w:tcPr>
          <w:p w:rsidR="00C948BC" w:rsidRPr="00DF6A4B" w:rsidRDefault="00C948BC" w:rsidP="00D07D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r w:rsidRPr="00DF6A4B">
              <w:rPr>
                <w:sz w:val="22"/>
                <w:lang w:val="es-ES_tradnl"/>
              </w:rPr>
              <w:t>3 Gbit/s</w:t>
            </w:r>
          </w:p>
        </w:tc>
        <w:tc>
          <w:tcPr>
            <w:tcW w:w="3253" w:type="dxa"/>
            <w:vMerge w:val="restart"/>
          </w:tcPr>
          <w:p w:rsidR="00C948BC" w:rsidRPr="00DF6A4B" w:rsidRDefault="00C948BC" w:rsidP="00D07DA0">
            <w:pPr>
              <w:pStyle w:val="Tabletext"/>
              <w:jc w:val="center"/>
              <w:rPr>
                <w:lang w:val="es-ES_tradnl"/>
              </w:rPr>
            </w:pPr>
            <w:r w:rsidRPr="00DF6A4B">
              <w:rPr>
                <w:lang w:val="es-ES_tradnl"/>
              </w:rPr>
              <w:t>Vídeo no comprimido, 1 080 p</w:t>
            </w:r>
          </w:p>
          <w:p w:rsidR="00C948BC" w:rsidRPr="00DF6A4B" w:rsidRDefault="00C948BC" w:rsidP="00D07DA0">
            <w:pPr>
              <w:pStyle w:val="Tabletext"/>
              <w:jc w:val="center"/>
              <w:rPr>
                <w:lang w:val="es-ES_tradnl"/>
              </w:rPr>
            </w:pPr>
            <w:r w:rsidRPr="00DF6A4B">
              <w:rPr>
                <w:lang w:val="es-ES_tradnl"/>
              </w:rPr>
              <w:br/>
              <w:t>(RGB): 1 920 × 1 080 píxeles, 24 bits/píxeles, 60 tramas/s</w:t>
            </w:r>
          </w:p>
        </w:tc>
      </w:tr>
      <w:tr w:rsidR="00C948BC" w:rsidRPr="00DF6A4B" w:rsidTr="00F80C26">
        <w:trPr>
          <w:jc w:val="center"/>
        </w:trPr>
        <w:tc>
          <w:tcPr>
            <w:tcW w:w="2776" w:type="dxa"/>
          </w:tcPr>
          <w:p w:rsidR="00C948BC" w:rsidRPr="00DF6A4B" w:rsidRDefault="00C948BC" w:rsidP="00D07DA0">
            <w:pPr>
              <w:pStyle w:val="Tabletext"/>
              <w:jc w:val="center"/>
              <w:rPr>
                <w:lang w:val="es-ES_tradnl"/>
              </w:rPr>
            </w:pPr>
            <w:r w:rsidRPr="00DF6A4B">
              <w:rPr>
                <w:lang w:val="es-ES_tradnl"/>
              </w:rPr>
              <w:t>Tasa de pérdida de paquetes (carga útil de 8 Kbyte)</w:t>
            </w:r>
          </w:p>
        </w:tc>
        <w:tc>
          <w:tcPr>
            <w:tcW w:w="1915" w:type="dxa"/>
          </w:tcPr>
          <w:p w:rsidR="00C948BC" w:rsidRPr="00DF6A4B" w:rsidRDefault="00C948BC" w:rsidP="00D07DA0">
            <w:pPr>
              <w:pStyle w:val="Tabletext"/>
              <w:jc w:val="center"/>
              <w:rPr>
                <w:lang w:val="es-ES_tradnl"/>
              </w:rPr>
            </w:pPr>
            <w:r w:rsidRPr="00DF6A4B">
              <w:rPr>
                <w:lang w:val="es-ES_tradnl"/>
              </w:rPr>
              <w:t>1e-8</w:t>
            </w:r>
          </w:p>
        </w:tc>
        <w:tc>
          <w:tcPr>
            <w:tcW w:w="3253" w:type="dxa"/>
            <w:vMerge/>
          </w:tcPr>
          <w:p w:rsidR="00C948BC" w:rsidRPr="00DF6A4B" w:rsidRDefault="00C948BC" w:rsidP="00D07D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r w:rsidR="00C948BC" w:rsidRPr="00DF6A4B" w:rsidTr="00F80C26">
        <w:trPr>
          <w:jc w:val="center"/>
        </w:trPr>
        <w:tc>
          <w:tcPr>
            <w:tcW w:w="2776" w:type="dxa"/>
          </w:tcPr>
          <w:p w:rsidR="00C948BC" w:rsidRPr="00DF6A4B" w:rsidRDefault="00C948BC" w:rsidP="00D07DA0">
            <w:pPr>
              <w:pStyle w:val="Tabletext"/>
              <w:jc w:val="center"/>
              <w:rPr>
                <w:lang w:val="es-ES_tradnl"/>
              </w:rPr>
            </w:pPr>
            <w:r w:rsidRPr="00DF6A4B">
              <w:rPr>
                <w:lang w:val="es-ES_tradnl"/>
              </w:rPr>
              <w:t>Retardo</w:t>
            </w:r>
            <w:r w:rsidRPr="00DF6A4B">
              <w:rPr>
                <w:rStyle w:val="FootnoteReference"/>
                <w:lang w:val="es-ES_tradnl"/>
              </w:rPr>
              <w:footnoteReference w:id="4"/>
            </w:r>
          </w:p>
        </w:tc>
        <w:tc>
          <w:tcPr>
            <w:tcW w:w="1915" w:type="dxa"/>
          </w:tcPr>
          <w:p w:rsidR="00C948BC" w:rsidRPr="00DF6A4B" w:rsidRDefault="00C948BC" w:rsidP="00D07DA0">
            <w:pPr>
              <w:pStyle w:val="Tabletext"/>
              <w:jc w:val="center"/>
              <w:rPr>
                <w:lang w:val="es-ES_tradnl"/>
              </w:rPr>
            </w:pPr>
            <w:r w:rsidRPr="00DF6A4B">
              <w:rPr>
                <w:lang w:val="es-ES_tradnl"/>
              </w:rPr>
              <w:t>10 ms</w:t>
            </w:r>
          </w:p>
        </w:tc>
        <w:tc>
          <w:tcPr>
            <w:tcW w:w="3253" w:type="dxa"/>
            <w:vMerge/>
          </w:tcPr>
          <w:p w:rsidR="00C948BC" w:rsidRPr="00DF6A4B" w:rsidRDefault="00C948BC" w:rsidP="00D07D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val="es-ES_tradnl"/>
              </w:rPr>
            </w:pPr>
          </w:p>
        </w:tc>
      </w:tr>
    </w:tbl>
    <w:p w:rsidR="00C948BC" w:rsidRPr="00DF6A4B" w:rsidRDefault="00C948BC" w:rsidP="00C948BC">
      <w:pPr>
        <w:pStyle w:val="Tablefin"/>
        <w:rPr>
          <w:lang w:val="es-ES_tradnl"/>
        </w:rPr>
      </w:pPr>
    </w:p>
    <w:p w:rsidR="00C948BC" w:rsidRPr="00DF6A4B" w:rsidRDefault="00C948BC" w:rsidP="00C948BC">
      <w:pPr>
        <w:pStyle w:val="Heading3"/>
        <w:rPr>
          <w:lang w:val="es-ES_tradnl"/>
        </w:rPr>
      </w:pPr>
      <w:r w:rsidRPr="00DF6A4B">
        <w:rPr>
          <w:lang w:val="es-ES_tradnl"/>
        </w:rPr>
        <w:t>2.4.8</w:t>
      </w:r>
      <w:r w:rsidRPr="00DF6A4B">
        <w:rPr>
          <w:lang w:val="es-ES_tradnl"/>
        </w:rPr>
        <w:tab/>
        <w:t xml:space="preserve">Esquemas de acceso al canal </w:t>
      </w:r>
    </w:p>
    <w:p w:rsidR="00C948BC" w:rsidRPr="00DF6A4B" w:rsidRDefault="00C948BC" w:rsidP="00C948BC">
      <w:pPr>
        <w:rPr>
          <w:lang w:val="es-ES_tradnl"/>
        </w:rPr>
      </w:pPr>
      <w:r w:rsidRPr="00DF6A4B">
        <w:rPr>
          <w:lang w:val="es-ES_tradnl"/>
        </w:rPr>
        <w:t>El esquema básico de acceso al canal es el acceso múltiple por división de tiempo (AMDT), que resulta necesario a la vista del reto que supone el funcionamiento a 60 GHz, la naturaleza direccional de la comunicación y las aplicaciones utilizadas, como la transmisión inalámbrica de vídeo. El acceso AMDT permite garantizar el ancho de banda necesario para aplicaciones sensibles a la calidad de servicio, dado que permite reserva de capacidad al tiempo que es energéticamente eficiente, ya que los dispositivos no precisan estar activos mientras no están en comunicación.</w:t>
      </w:r>
    </w:p>
    <w:p w:rsidR="00C948BC" w:rsidRPr="00DF6A4B" w:rsidRDefault="00C948BC" w:rsidP="00C948BC">
      <w:pPr>
        <w:rPr>
          <w:lang w:val="es-ES_tradnl"/>
        </w:rPr>
      </w:pPr>
      <w:r w:rsidRPr="00DF6A4B">
        <w:rPr>
          <w:lang w:val="es-ES_tradnl"/>
        </w:rPr>
        <w:t>Además, dado que el sistema AMDT tiene una secuencia de utilización del recurso preestablecida, las estaciones saben exactamente con qué estación se comunican y en qué momento, y por tanto pueden dirigir el lóbulo principal hacia el destino deseado y evitar tener que utilizar comunicaciones omnidireccionales para el acceso con contención.</w:t>
      </w:r>
    </w:p>
    <w:p w:rsidR="00C948BC" w:rsidRPr="00DF6A4B" w:rsidRDefault="00C948BC" w:rsidP="00C948BC">
      <w:pPr>
        <w:rPr>
          <w:lang w:val="es-ES_tradnl"/>
        </w:rPr>
      </w:pPr>
      <w:r w:rsidRPr="00DF6A4B">
        <w:rPr>
          <w:lang w:val="es-ES_tradnl"/>
        </w:rPr>
        <w:lastRenderedPageBreak/>
        <w:t>El acceso con contención, como el que existe en redes Wi-Fi, también debería ser soportado para otros usos como la navegación web y la transferencia de ficheros. Sin embargo, en lugar de ser el esquema básico de acceso, el acceso con contención debería utilizarse en los periodos de tiempo asignados en la infraestructura de acceso al canal AMDT.</w:t>
      </w:r>
    </w:p>
    <w:p w:rsidR="00C948BC" w:rsidRPr="00DF6A4B" w:rsidRDefault="00C948BC" w:rsidP="00C948BC">
      <w:pPr>
        <w:pStyle w:val="Heading2"/>
        <w:rPr>
          <w:lang w:val="es-ES_tradnl"/>
        </w:rPr>
      </w:pPr>
      <w:r w:rsidRPr="00DF6A4B">
        <w:rPr>
          <w:lang w:val="es-ES_tradnl"/>
        </w:rPr>
        <w:t>2.5</w:t>
      </w:r>
      <w:r w:rsidRPr="00DF6A4B">
        <w:rPr>
          <w:lang w:val="es-ES_tradnl"/>
        </w:rPr>
        <w:tab/>
        <w:t xml:space="preserve">Parámetros para la coexistencia </w:t>
      </w:r>
    </w:p>
    <w:p w:rsidR="00C948BC" w:rsidRPr="00DF6A4B" w:rsidRDefault="00C948BC" w:rsidP="00C948BC">
      <w:pPr>
        <w:rPr>
          <w:lang w:val="es-ES_tradnl"/>
        </w:rPr>
      </w:pPr>
      <w:r w:rsidRPr="00DF6A4B">
        <w:rPr>
          <w:lang w:val="es-ES_tradnl"/>
        </w:rPr>
        <w:t>Para una coexistencia mejorada, es importante que todos los MGWS utilicen la misma canalización.</w:t>
      </w:r>
    </w:p>
    <w:p w:rsidR="00C948BC" w:rsidRPr="00DF6A4B" w:rsidRDefault="00C948BC" w:rsidP="00C948BC">
      <w:pPr>
        <w:rPr>
          <w:lang w:val="es-ES_tradnl"/>
        </w:rPr>
      </w:pPr>
      <w:r w:rsidRPr="00DF6A4B">
        <w:rPr>
          <w:lang w:val="es-ES_tradnl"/>
        </w:rPr>
        <w:t>Ejemplos de canalización:</w:t>
      </w:r>
    </w:p>
    <w:p w:rsidR="00C948BC" w:rsidRPr="00DF6A4B" w:rsidRDefault="00C948BC" w:rsidP="00C948BC">
      <w:pPr>
        <w:pStyle w:val="enumlev1"/>
        <w:rPr>
          <w:lang w:val="es-ES_tradnl"/>
        </w:rPr>
      </w:pPr>
      <w:r w:rsidRPr="00DF6A4B">
        <w:rPr>
          <w:lang w:val="es-ES_tradnl"/>
        </w:rPr>
        <w:t>1)</w:t>
      </w:r>
      <w:r w:rsidRPr="00DF6A4B">
        <w:rPr>
          <w:lang w:val="es-ES_tradnl"/>
        </w:rPr>
        <w:tab/>
        <w:t>IEEE:</w:t>
      </w:r>
    </w:p>
    <w:p w:rsidR="00C948BC" w:rsidRPr="00DF6A4B" w:rsidRDefault="00C948BC" w:rsidP="00C948BC">
      <w:pPr>
        <w:pStyle w:val="enumlev2"/>
        <w:rPr>
          <w:lang w:val="es-ES_tradnl"/>
        </w:rPr>
      </w:pPr>
      <w:r w:rsidRPr="00DF6A4B">
        <w:rPr>
          <w:lang w:val="es-ES_tradnl"/>
        </w:rPr>
        <w:t>a)</w:t>
      </w:r>
      <w:r w:rsidRPr="00DF6A4B">
        <w:rPr>
          <w:lang w:val="es-ES_tradnl"/>
        </w:rPr>
        <w:tab/>
        <w:t>IEEE Std 802.11-2016</w:t>
      </w:r>
      <w:r w:rsidRPr="00DF6A4B">
        <w:rPr>
          <w:rStyle w:val="FootnoteReference"/>
          <w:lang w:val="es-ES_tradnl"/>
        </w:rPr>
        <w:footnoteReference w:id="5"/>
      </w:r>
      <w:r w:rsidRPr="00DF6A4B">
        <w:rPr>
          <w:lang w:val="es-ES_tradnl"/>
        </w:rPr>
        <w:t xml:space="preserve"> define un ancho de banda del canal de 2 160 MHz.</w:t>
      </w:r>
    </w:p>
    <w:p w:rsidR="00C948BC" w:rsidRPr="00DF6A4B" w:rsidRDefault="00C948BC" w:rsidP="00C948BC">
      <w:pPr>
        <w:pStyle w:val="enumlev2"/>
        <w:rPr>
          <w:lang w:val="es-ES_tradnl"/>
        </w:rPr>
      </w:pPr>
      <w:r w:rsidRPr="00DF6A4B">
        <w:rPr>
          <w:lang w:val="es-ES_tradnl"/>
        </w:rPr>
        <w:t>b)</w:t>
      </w:r>
      <w:r w:rsidRPr="00DF6A4B">
        <w:rPr>
          <w:lang w:val="es-ES_tradnl"/>
        </w:rPr>
        <w:tab/>
        <w:t>IEEE Std 802.15.3-2016</w:t>
      </w:r>
      <w:r w:rsidRPr="00DF6A4B">
        <w:rPr>
          <w:rStyle w:val="FootnoteReference"/>
          <w:lang w:val="es-ES_tradnl"/>
        </w:rPr>
        <w:footnoteReference w:id="6"/>
      </w:r>
      <w:r w:rsidRPr="00DF6A4B">
        <w:rPr>
          <w:lang w:val="es-ES_tradnl"/>
        </w:rPr>
        <w:t xml:space="preserve"> define un ancho de banda del canal de 2 160 MHz.</w:t>
      </w:r>
    </w:p>
    <w:p w:rsidR="00C948BC" w:rsidRPr="00DF6A4B" w:rsidRDefault="00C948BC" w:rsidP="00C948BC">
      <w:pPr>
        <w:pStyle w:val="enumlev2"/>
        <w:rPr>
          <w:lang w:val="es-ES_tradnl"/>
        </w:rPr>
      </w:pPr>
      <w:r w:rsidRPr="00DF6A4B">
        <w:rPr>
          <w:lang w:val="es-ES_tradnl"/>
        </w:rPr>
        <w:t>c)</w:t>
      </w:r>
      <w:r w:rsidRPr="00DF6A4B">
        <w:rPr>
          <w:lang w:val="es-ES_tradnl"/>
        </w:rPr>
        <w:tab/>
        <w:t>IEEE Std 802.15.3e-2017</w:t>
      </w:r>
      <w:r w:rsidRPr="00DF6A4B">
        <w:rPr>
          <w:position w:val="6"/>
          <w:sz w:val="18"/>
          <w:lang w:val="es-ES_tradnl"/>
        </w:rPr>
        <w:footnoteReference w:id="7"/>
      </w:r>
      <w:r w:rsidRPr="00DF6A4B">
        <w:rPr>
          <w:lang w:val="es-ES_tradnl"/>
        </w:rPr>
        <w:t xml:space="preserve"> define un ancho de banda del canal de 2 160 MHz con agrupación de cuatro canales.</w:t>
      </w:r>
    </w:p>
    <w:p w:rsidR="00C948BC" w:rsidRPr="00DF6A4B" w:rsidRDefault="00C948BC" w:rsidP="00C948BC">
      <w:pPr>
        <w:rPr>
          <w:lang w:val="es-ES_tradnl"/>
        </w:rPr>
      </w:pPr>
      <w:r w:rsidRPr="00DF6A4B">
        <w:rPr>
          <w:lang w:val="es-ES_tradnl"/>
        </w:rPr>
        <w:t>Antes de empezar a utilizar un canal, el MGWS debe explorar dicho canal para garantizar que su funcionamiento no causará interferencia en otro MGWS que esté utilizando dicho canal.</w:t>
      </w:r>
    </w:p>
    <w:p w:rsidR="00C948BC" w:rsidRPr="00DF6A4B" w:rsidRDefault="00C948BC" w:rsidP="00C948BC">
      <w:pPr>
        <w:keepNext/>
        <w:keepLines/>
        <w:rPr>
          <w:lang w:val="es-ES_tradnl"/>
        </w:rPr>
      </w:pPr>
      <w:r w:rsidRPr="00DF6A4B">
        <w:rPr>
          <w:lang w:val="es-ES_tradnl"/>
        </w:rPr>
        <w:t>Los siguientes son ejemplos de técnicas para la mitigación de interferencias:</w:t>
      </w:r>
    </w:p>
    <w:p w:rsidR="00C948BC" w:rsidRPr="00DF6A4B" w:rsidRDefault="00C948BC" w:rsidP="00C948BC">
      <w:pPr>
        <w:pStyle w:val="enumlev1"/>
        <w:rPr>
          <w:lang w:val="es-ES_tradnl"/>
        </w:rPr>
      </w:pPr>
      <w:r w:rsidRPr="00DF6A4B">
        <w:rPr>
          <w:lang w:val="es-ES_tradnl"/>
        </w:rPr>
        <w:t>1)</w:t>
      </w:r>
      <w:r w:rsidRPr="00DF6A4B">
        <w:rPr>
          <w:lang w:val="es-ES_tradnl"/>
        </w:rPr>
        <w:tab/>
        <w:t>IEEE:</w:t>
      </w:r>
    </w:p>
    <w:p w:rsidR="00C948BC" w:rsidRPr="00DF6A4B" w:rsidRDefault="00C948BC" w:rsidP="00C948BC">
      <w:pPr>
        <w:pStyle w:val="enumlev2"/>
        <w:rPr>
          <w:lang w:val="es-ES_tradnl"/>
        </w:rPr>
      </w:pPr>
      <w:r w:rsidRPr="00DF6A4B">
        <w:rPr>
          <w:lang w:val="es-ES_tradnl"/>
        </w:rPr>
        <w:t>a)</w:t>
      </w:r>
      <w:r w:rsidRPr="00DF6A4B">
        <w:rPr>
          <w:lang w:val="es-ES_tradnl"/>
        </w:rPr>
        <w:tab/>
        <w:t>El punto de acceso IEEE Std 802.11-2016 no debe iniciar el funcionamiento de una red en un canal cuyo nivel de señal sea igual o superior a –48 dBm o cuando detecte un preámbulo válido de señalización en modo común (CMS) IEEE Std 802.15.3c-2009 con un nivel de recepción igual o mayor que –60 dBm. Se han definido otras técnicas de mitigación tales como la conmutación de canal, el control de la potencia de transmisión y la conformación de haces, por nombrar algunas de ellas.</w:t>
      </w:r>
    </w:p>
    <w:p w:rsidR="00C948BC" w:rsidRPr="00DF6A4B" w:rsidRDefault="00C948BC" w:rsidP="00C948BC">
      <w:pPr>
        <w:pStyle w:val="enumlev2"/>
        <w:rPr>
          <w:lang w:val="es-ES_tradnl"/>
        </w:rPr>
      </w:pPr>
      <w:r w:rsidRPr="00DF6A4B">
        <w:rPr>
          <w:lang w:val="es-ES_tradnl"/>
        </w:rPr>
        <w:t>b)</w:t>
      </w:r>
      <w:r w:rsidRPr="00DF6A4B">
        <w:rPr>
          <w:lang w:val="es-ES_tradnl"/>
        </w:rPr>
        <w:tab/>
        <w:t>IEEE Std 802.15.3c-2009 no permite que un controlador de picored inicie una nueva picored en un canal ocupado por otro controlador de picored. Se ha definido un método de señalización en modo común (CMS) para permitir que varios controladores de picoredes compartan el acceso a un canal utilizando intervalos de tiempo AMDT asignados a picoredes bástagos.</w:t>
      </w:r>
    </w:p>
    <w:p w:rsidR="00C948BC" w:rsidRPr="00DF6A4B" w:rsidRDefault="00C948BC" w:rsidP="00C948BC">
      <w:pPr>
        <w:pStyle w:val="enumlev2"/>
        <w:rPr>
          <w:lang w:val="es-ES_tradnl"/>
        </w:rPr>
      </w:pPr>
      <w:r w:rsidRPr="00DF6A4B">
        <w:rPr>
          <w:lang w:val="es-ES_tradnl"/>
        </w:rPr>
        <w:t>c)</w:t>
      </w:r>
      <w:r w:rsidRPr="00DF6A4B">
        <w:rPr>
          <w:lang w:val="es-ES_tradnl"/>
        </w:rPr>
        <w:tab/>
        <w:t xml:space="preserve">IEEE Std 802.15.3e-2017 limita el alcance de comunicación a 10 cm o menos y establece un nivel p.i.r.e. muy bajo. Si la distancia entre los dispositivos supera los 10 cm, estos se desacoplan y la potencia de emisión se limita a </w:t>
      </w:r>
      <w:proofErr w:type="gramStart"/>
      <w:r w:rsidRPr="00DF6A4B">
        <w:rPr>
          <w:lang w:val="es-ES_tradnl"/>
        </w:rPr>
        <w:t>un</w:t>
      </w:r>
      <w:proofErr w:type="gramEnd"/>
      <w:r w:rsidRPr="00DF6A4B">
        <w:rPr>
          <w:lang w:val="es-ES_tradnl"/>
        </w:rPr>
        <w:t xml:space="preserve"> baliza periódica.</w:t>
      </w:r>
    </w:p>
    <w:p w:rsidR="00C948BC" w:rsidRPr="00DF6A4B" w:rsidRDefault="00C948BC" w:rsidP="00C948BC">
      <w:pPr>
        <w:pStyle w:val="Heading2"/>
        <w:rPr>
          <w:lang w:val="es-ES_tradnl"/>
        </w:rPr>
      </w:pPr>
      <w:r w:rsidRPr="00DF6A4B">
        <w:rPr>
          <w:lang w:val="es-ES_tradnl"/>
        </w:rPr>
        <w:t>2.6</w:t>
      </w:r>
      <w:r w:rsidRPr="00DF6A4B">
        <w:rPr>
          <w:lang w:val="es-ES_tradnl"/>
        </w:rPr>
        <w:tab/>
        <w:t>Niveles de sensibilidad de recepción</w:t>
      </w:r>
    </w:p>
    <w:p w:rsidR="00C948BC" w:rsidRPr="00DF6A4B" w:rsidRDefault="00C948BC" w:rsidP="00C948BC">
      <w:pPr>
        <w:rPr>
          <w:lang w:val="es-ES_tradnl"/>
        </w:rPr>
      </w:pPr>
      <w:r w:rsidRPr="00DF6A4B">
        <w:rPr>
          <w:lang w:val="es-ES_tradnl"/>
        </w:rPr>
        <w:t xml:space="preserve">Los niveles de sensibilidad de recepción están comprendidos típicamente entre −48 y −78 dBm. </w:t>
      </w:r>
    </w:p>
    <w:p w:rsidR="00C948BC" w:rsidRPr="00DF6A4B" w:rsidRDefault="00C948BC" w:rsidP="00F80C26">
      <w:pPr>
        <w:keepNext/>
        <w:keepLines/>
        <w:rPr>
          <w:lang w:val="es-ES_tradnl"/>
        </w:rPr>
      </w:pPr>
      <w:r w:rsidRPr="00DF6A4B">
        <w:rPr>
          <w:lang w:val="es-ES_tradnl"/>
        </w:rPr>
        <w:lastRenderedPageBreak/>
        <w:t>Ejemplos de niveles de sensibilidad de recepción:</w:t>
      </w:r>
    </w:p>
    <w:p w:rsidR="00C948BC" w:rsidRPr="00DF6A4B" w:rsidRDefault="00C948BC" w:rsidP="00C948BC">
      <w:pPr>
        <w:pStyle w:val="enumlev1"/>
        <w:rPr>
          <w:lang w:val="es-ES_tradnl"/>
        </w:rPr>
      </w:pPr>
      <w:r w:rsidRPr="00DF6A4B">
        <w:rPr>
          <w:lang w:val="es-ES_tradnl"/>
        </w:rPr>
        <w:t>1)</w:t>
      </w:r>
      <w:r w:rsidRPr="00DF6A4B">
        <w:rPr>
          <w:lang w:val="es-ES_tradnl"/>
        </w:rPr>
        <w:tab/>
        <w:t>IEEE: En la norma IEEE Std 802.11, la PER es menor del 1% (5% para el esquema de modulación y codificación MCS0) para una longitud de PSDU de 4 096 octetos (256 octetos para el MCS0).</w:t>
      </w:r>
    </w:p>
    <w:p w:rsidR="00C948BC" w:rsidRPr="00DF6A4B" w:rsidRDefault="00C948BC" w:rsidP="00C948BC">
      <w:pPr>
        <w:pStyle w:val="Note"/>
        <w:rPr>
          <w:lang w:val="es-ES_tradnl"/>
        </w:rPr>
      </w:pPr>
      <w:r w:rsidRPr="00DF6A4B">
        <w:rPr>
          <w:lang w:val="es-ES_tradnl"/>
        </w:rPr>
        <w:t>NOTA – En las mediciones de la potencia de radiofrecuencia basadas en la densidad de potencia recibida, el nivel de entrada se corrige para compensar la ganancia real de la antena. Esta ganancia de la antena es la ganancia máxima estimada por el fabricante. En caso de una antena con matriz de elementos en fase, la ganancia de dicha antena es la suma máxima de la ganancia estimada de los elementos a – 3 dB de pérdidas de implementación.</w:t>
      </w:r>
    </w:p>
    <w:p w:rsidR="00C948BC" w:rsidRPr="00DF6A4B" w:rsidRDefault="00C948BC" w:rsidP="00C948BC">
      <w:pPr>
        <w:pStyle w:val="Heading2"/>
        <w:rPr>
          <w:lang w:val="es-ES_tradnl"/>
        </w:rPr>
      </w:pPr>
      <w:r w:rsidRPr="00DF6A4B">
        <w:rPr>
          <w:lang w:val="es-ES_tradnl"/>
        </w:rPr>
        <w:t>2.7</w:t>
      </w:r>
      <w:r w:rsidRPr="00DF6A4B">
        <w:rPr>
          <w:lang w:val="es-ES_tradnl"/>
        </w:rPr>
        <w:tab/>
        <w:t>Reglas de evaluación de canal despejado (CCA)</w:t>
      </w:r>
    </w:p>
    <w:p w:rsidR="00C948BC" w:rsidRPr="00DF6A4B" w:rsidRDefault="00C948BC" w:rsidP="00C948BC">
      <w:pPr>
        <w:rPr>
          <w:lang w:val="es-ES_tradnl"/>
        </w:rPr>
      </w:pPr>
      <w:r w:rsidRPr="00DF6A4B">
        <w:rPr>
          <w:lang w:val="es-ES_tradnl"/>
        </w:rPr>
        <w:t xml:space="preserve">Los MGWS pueden aplicar las reglas de evaluación de canal despejado (CCA, </w:t>
      </w:r>
      <w:r w:rsidRPr="00DF6A4B">
        <w:rPr>
          <w:i/>
          <w:iCs/>
          <w:lang w:val="es-ES_tradnl"/>
        </w:rPr>
        <w:t>clear channel assessment</w:t>
      </w:r>
      <w:r w:rsidRPr="00DF6A4B">
        <w:rPr>
          <w:lang w:val="es-ES_tradnl"/>
        </w:rPr>
        <w:t>) para mitigar la interferencia causada por otros MGWS.</w:t>
      </w:r>
    </w:p>
    <w:p w:rsidR="00C948BC" w:rsidRPr="00DF6A4B" w:rsidRDefault="00C948BC" w:rsidP="00C948BC">
      <w:pPr>
        <w:rPr>
          <w:lang w:val="es-ES_tradnl"/>
        </w:rPr>
      </w:pPr>
      <w:r w:rsidRPr="00DF6A4B">
        <w:rPr>
          <w:lang w:val="es-ES_tradnl"/>
        </w:rPr>
        <w:t>Por ejemplo, en el caso de IEEE Std 802.11-2016 existen tres conjuntos definidos de esquema de modulación y codificación (MCS) con reglas específicas de CCA para cada conjunto de MCS. Los tres conjuntos de MCS son:</w:t>
      </w:r>
    </w:p>
    <w:p w:rsidR="00C948BC" w:rsidRPr="00DF6A4B" w:rsidRDefault="00C948BC" w:rsidP="00C948BC">
      <w:pPr>
        <w:pStyle w:val="enumlev1"/>
        <w:rPr>
          <w:lang w:val="es-ES_tradnl"/>
        </w:rPr>
      </w:pPr>
      <w:r w:rsidRPr="00DF6A4B">
        <w:rPr>
          <w:lang w:val="es-ES_tradnl"/>
        </w:rPr>
        <w:t>a)</w:t>
      </w:r>
      <w:r w:rsidRPr="00DF6A4B">
        <w:rPr>
          <w:lang w:val="es-ES_tradnl"/>
        </w:rPr>
        <w:tab/>
        <w:t>MCS0: conocido como MCS de control, que se basa en modulación de portadora única (SC).</w:t>
      </w:r>
    </w:p>
    <w:p w:rsidR="00C948BC" w:rsidRPr="00DF6A4B" w:rsidRDefault="00C948BC" w:rsidP="00C948BC">
      <w:pPr>
        <w:pStyle w:val="enumlev1"/>
        <w:rPr>
          <w:lang w:val="es-ES_tradnl"/>
        </w:rPr>
      </w:pPr>
      <w:r w:rsidRPr="00DF6A4B">
        <w:rPr>
          <w:lang w:val="es-ES_tradnl"/>
        </w:rPr>
        <w:t>b)</w:t>
      </w:r>
      <w:r w:rsidRPr="00DF6A4B">
        <w:rPr>
          <w:lang w:val="es-ES_tradnl"/>
        </w:rPr>
        <w:tab/>
        <w:t>MCS1 a MCS12.6 y MCS25 a MCS31: el conjunto de MCS con portadora única (SC).</w:t>
      </w:r>
    </w:p>
    <w:p w:rsidR="00C948BC" w:rsidRPr="00DF6A4B" w:rsidRDefault="00C948BC" w:rsidP="00C948BC">
      <w:pPr>
        <w:pStyle w:val="enumlev1"/>
        <w:rPr>
          <w:lang w:val="es-ES_tradnl"/>
        </w:rPr>
      </w:pPr>
      <w:r w:rsidRPr="00DF6A4B">
        <w:rPr>
          <w:lang w:val="es-ES_tradnl"/>
        </w:rPr>
        <w:t>c)</w:t>
      </w:r>
      <w:r w:rsidRPr="00DF6A4B">
        <w:rPr>
          <w:lang w:val="es-ES_tradnl"/>
        </w:rPr>
        <w:tab/>
        <w:t>MCS13 a MCS24: conjunto de MCS con multiplexación por división de frecuencias ortogonales (OFDM).</w:t>
      </w:r>
    </w:p>
    <w:p w:rsidR="00C948BC" w:rsidRPr="00DF6A4B" w:rsidRDefault="00C948BC" w:rsidP="00C948BC">
      <w:pPr>
        <w:rPr>
          <w:lang w:val="es-ES_tradnl"/>
        </w:rPr>
      </w:pPr>
      <w:r w:rsidRPr="00DF6A4B">
        <w:rPr>
          <w:lang w:val="es-ES_tradnl"/>
        </w:rPr>
        <w:t>La norma IEEE Std 802.11-2016 define reglas de CCA aplicables a cada conjunto de MCS, de la forma siguiente:</w:t>
      </w:r>
    </w:p>
    <w:p w:rsidR="00C948BC" w:rsidRPr="00DF6A4B" w:rsidRDefault="00C948BC" w:rsidP="00C948BC">
      <w:pPr>
        <w:pStyle w:val="enumlev1"/>
        <w:rPr>
          <w:lang w:val="es-ES_tradnl"/>
        </w:rPr>
      </w:pPr>
      <w:r w:rsidRPr="00DF6A4B">
        <w:rPr>
          <w:lang w:val="es-ES_tradnl"/>
        </w:rPr>
        <w:t>a)</w:t>
      </w:r>
      <w:r w:rsidRPr="00DF6A4B">
        <w:rPr>
          <w:lang w:val="es-ES_tradnl"/>
        </w:rPr>
        <w:tab/>
        <w:t>MCS de control: el comienzo de una transmisión válida de un MCS de control con un nivel de recepción mayor que la sensibilidad mínima del MCS de control (−78 dBm) hará que la CCA indique ocupado con una probabilidad &gt; 90% en 3 µs.</w:t>
      </w:r>
    </w:p>
    <w:p w:rsidR="00C948BC" w:rsidRPr="00DF6A4B" w:rsidRDefault="00C948BC" w:rsidP="00C948BC">
      <w:pPr>
        <w:pStyle w:val="enumlev1"/>
        <w:rPr>
          <w:lang w:val="es-ES_tradnl"/>
        </w:rPr>
      </w:pPr>
      <w:r w:rsidRPr="00DF6A4B">
        <w:rPr>
          <w:lang w:val="es-ES_tradnl"/>
        </w:rPr>
        <w:t>b)</w:t>
      </w:r>
      <w:r w:rsidRPr="00DF6A4B">
        <w:rPr>
          <w:lang w:val="es-ES_tradnl"/>
        </w:rPr>
        <w:tab/>
        <w:t>Conjunto MCS con SC: el comienzo de una transmisión válida de un MCS con SC con un nivel de recepción mayor que la sensibilidad mínima del MCS1 (−68 dBm) hará que la CCA indique ocupado con una probabilidad &gt; 90% en 1 µs. El receptor mantendrá en modo ocupado la señal de detección de portadora para cualquier señal con un nivel 20 dB superior a la sensibilidad mínima de MCS1.</w:t>
      </w:r>
    </w:p>
    <w:p w:rsidR="00C948BC" w:rsidRPr="00DF6A4B" w:rsidRDefault="00C948BC" w:rsidP="00C948BC">
      <w:pPr>
        <w:pStyle w:val="enumlev1"/>
        <w:rPr>
          <w:lang w:val="es-ES_tradnl"/>
        </w:rPr>
      </w:pPr>
      <w:r w:rsidRPr="00DF6A4B">
        <w:rPr>
          <w:lang w:val="es-ES_tradnl"/>
        </w:rPr>
        <w:t>c)</w:t>
      </w:r>
      <w:r w:rsidRPr="00DF6A4B">
        <w:rPr>
          <w:lang w:val="es-ES_tradnl"/>
        </w:rPr>
        <w:tab/>
        <w:t>Conjunto MCS con OFDM: el comienzo de una transmisión válida de un MCS con OFDM o de un MCS con SC con un nivel de recepción mayor que la sensibilidad mínima de MCS13 (−66 dBm) hará que CCA indique ocupado con una probabilidad &gt; 90% en 1 µs.</w:t>
      </w:r>
    </w:p>
    <w:p w:rsidR="00C948BC" w:rsidRPr="00DF6A4B" w:rsidRDefault="00C948BC" w:rsidP="00F80C26">
      <w:pPr>
        <w:pStyle w:val="Heading1"/>
        <w:keepNext w:val="0"/>
        <w:keepLines w:val="0"/>
        <w:rPr>
          <w:lang w:val="es-ES_tradnl"/>
        </w:rPr>
      </w:pPr>
      <w:r w:rsidRPr="00DF6A4B">
        <w:rPr>
          <w:lang w:val="es-ES_tradnl"/>
        </w:rPr>
        <w:t>3</w:t>
      </w:r>
      <w:r w:rsidRPr="00DF6A4B">
        <w:rPr>
          <w:lang w:val="es-ES_tradnl"/>
        </w:rPr>
        <w:tab/>
        <w:t>Normas aplicables a los sistemas inalámbricos de múltiples gigabits</w:t>
      </w:r>
    </w:p>
    <w:p w:rsidR="00C948BC" w:rsidRPr="00DF6A4B" w:rsidRDefault="00C948BC" w:rsidP="00F80C26">
      <w:pPr>
        <w:rPr>
          <w:lang w:val="es-ES_tradnl"/>
        </w:rPr>
      </w:pPr>
      <w:r w:rsidRPr="00DF6A4B">
        <w:rPr>
          <w:lang w:val="es-ES_tradnl"/>
        </w:rPr>
        <w:t>A continuación se presenta una lista de normas que incluyen especificaciones de MGWS:</w:t>
      </w:r>
    </w:p>
    <w:p w:rsidR="00C948BC" w:rsidRPr="00E2508C" w:rsidRDefault="00C948BC" w:rsidP="00F80C26">
      <w:pPr>
        <w:pStyle w:val="enumlev1"/>
        <w:rPr>
          <w:lang w:val="en-GB"/>
        </w:rPr>
      </w:pPr>
      <w:r w:rsidRPr="00E2508C">
        <w:rPr>
          <w:lang w:val="en-GB"/>
        </w:rPr>
        <w:t>1)</w:t>
      </w:r>
      <w:r w:rsidRPr="00E2508C">
        <w:rPr>
          <w:lang w:val="en-GB"/>
        </w:rPr>
        <w:tab/>
        <w:t>IEEE Std 802.11-2016, IEEE Standard for Information Technology – Telecommunications and Information Exchange Between Systems – Local and Metropolitan Area Networks – Specific Requirements – Part 11: Wireless LAN Medium Access Control (MAC) and Physical Layer (PHY) Specifications, Diciembre 2016.</w:t>
      </w:r>
    </w:p>
    <w:p w:rsidR="00C948BC" w:rsidRPr="00E2508C" w:rsidRDefault="00C948BC" w:rsidP="00F80C26">
      <w:pPr>
        <w:pStyle w:val="enumlev1"/>
        <w:rPr>
          <w:lang w:val="en-GB"/>
        </w:rPr>
      </w:pPr>
      <w:r w:rsidRPr="00E2508C">
        <w:rPr>
          <w:lang w:val="en-GB"/>
        </w:rPr>
        <w:t>2)</w:t>
      </w:r>
      <w:r w:rsidRPr="00E2508C">
        <w:rPr>
          <w:lang w:val="en-GB"/>
        </w:rPr>
        <w:tab/>
      </w:r>
      <w:r w:rsidRPr="00E2508C">
        <w:rPr>
          <w:szCs w:val="24"/>
          <w:lang w:val="en-GB"/>
        </w:rPr>
        <w:t xml:space="preserve">IEEE </w:t>
      </w:r>
      <w:proofErr w:type="gramStart"/>
      <w:r w:rsidRPr="00E2508C">
        <w:rPr>
          <w:szCs w:val="24"/>
          <w:lang w:val="en-GB"/>
        </w:rPr>
        <w:t>Std</w:t>
      </w:r>
      <w:proofErr w:type="gramEnd"/>
      <w:r w:rsidRPr="00E2508C">
        <w:rPr>
          <w:szCs w:val="24"/>
          <w:lang w:val="en-GB"/>
        </w:rPr>
        <w:t xml:space="preserve"> 802.15.</w:t>
      </w:r>
      <w:r w:rsidRPr="00E2508C">
        <w:rPr>
          <w:lang w:val="en-GB"/>
        </w:rPr>
        <w:t xml:space="preserve"> 3</w:t>
      </w:r>
      <w:r w:rsidRPr="00E2508C">
        <w:rPr>
          <w:vertAlign w:val="superscript"/>
          <w:lang w:val="en-GB"/>
        </w:rPr>
        <w:t>TM</w:t>
      </w:r>
      <w:r w:rsidRPr="00E2508C">
        <w:rPr>
          <w:lang w:val="en-GB"/>
        </w:rPr>
        <w:t>-2016</w:t>
      </w:r>
      <w:r w:rsidRPr="00E2508C">
        <w:rPr>
          <w:szCs w:val="24"/>
          <w:lang w:val="en-GB"/>
        </w:rPr>
        <w:t>,</w:t>
      </w:r>
      <w:r w:rsidRPr="00E2508C">
        <w:rPr>
          <w:lang w:val="en-GB"/>
        </w:rPr>
        <w:t xml:space="preserve"> IEEE Standard for High Data Rate Wireless Muli-Media Networks.</w:t>
      </w:r>
    </w:p>
    <w:p w:rsidR="00C948BC" w:rsidRPr="00E2508C" w:rsidRDefault="00C948BC" w:rsidP="00F80C26">
      <w:pPr>
        <w:pStyle w:val="enumlev1"/>
        <w:rPr>
          <w:rFonts w:ascii="Calibri" w:hAnsi="Calibri"/>
          <w:lang w:val="en-GB"/>
        </w:rPr>
      </w:pPr>
      <w:r w:rsidRPr="00E2508C">
        <w:rPr>
          <w:lang w:val="en-GB"/>
        </w:rPr>
        <w:t>3)</w:t>
      </w:r>
      <w:r w:rsidRPr="00E2508C">
        <w:rPr>
          <w:lang w:val="en-GB"/>
        </w:rPr>
        <w:tab/>
        <w:t xml:space="preserve">IEEE </w:t>
      </w:r>
      <w:proofErr w:type="gramStart"/>
      <w:r w:rsidRPr="00E2508C">
        <w:rPr>
          <w:lang w:val="en-GB"/>
        </w:rPr>
        <w:t>Std</w:t>
      </w:r>
      <w:proofErr w:type="gramEnd"/>
      <w:r w:rsidRPr="00E2508C">
        <w:rPr>
          <w:lang w:val="en-GB"/>
        </w:rPr>
        <w:t xml:space="preserve"> 802.15.3e</w:t>
      </w:r>
      <w:r w:rsidRPr="00E2508C">
        <w:rPr>
          <w:vertAlign w:val="superscript"/>
          <w:lang w:val="en-GB"/>
        </w:rPr>
        <w:t>TM</w:t>
      </w:r>
      <w:r w:rsidRPr="00E2508C">
        <w:rPr>
          <w:lang w:val="en-GB"/>
        </w:rPr>
        <w:t>-2017, IEEE Standard for High Data Rate Wireless Multi-Media Networks Amendment: High-Rate Close Proximity Point-to-Point Communications.</w:t>
      </w:r>
    </w:p>
    <w:p w:rsidR="00C948BC" w:rsidRPr="00E2508C" w:rsidRDefault="00C948BC" w:rsidP="00F80C26">
      <w:pPr>
        <w:pStyle w:val="enumlev1"/>
        <w:rPr>
          <w:lang w:val="en-GB"/>
        </w:rPr>
      </w:pPr>
      <w:r w:rsidRPr="00E2508C">
        <w:rPr>
          <w:lang w:val="en-GB"/>
        </w:rPr>
        <w:lastRenderedPageBreak/>
        <w:t>4)</w:t>
      </w:r>
      <w:r w:rsidRPr="00E2508C">
        <w:rPr>
          <w:lang w:val="en-GB"/>
        </w:rPr>
        <w:tab/>
        <w:t>ETSI EN 302 567 v2.1.1 (2017-07), Multiple-Gigabit</w:t>
      </w:r>
      <w:r w:rsidRPr="00E2508C">
        <w:rPr>
          <w:bCs/>
          <w:lang w:val="en-GB"/>
        </w:rPr>
        <w:t>/s radio equipment operating in the 60 GHz band; Harmonised Standard</w:t>
      </w:r>
      <w:r w:rsidRPr="00E2508C">
        <w:rPr>
          <w:lang w:val="en-GB"/>
        </w:rPr>
        <w:t xml:space="preserve"> covering the essential requirements of article 3.2 of Directive</w:t>
      </w:r>
      <w:r w:rsidRPr="00E2508C">
        <w:rPr>
          <w:bCs/>
          <w:lang w:val="en-GB"/>
        </w:rPr>
        <w:t xml:space="preserve"> 2014/53/EU.</w:t>
      </w:r>
    </w:p>
    <w:p w:rsidR="00C948BC" w:rsidRPr="00DF6A4B" w:rsidRDefault="00C948BC" w:rsidP="00C948BC">
      <w:pPr>
        <w:pStyle w:val="enumlev1"/>
        <w:rPr>
          <w:lang w:val="es-ES_tradnl"/>
        </w:rPr>
      </w:pPr>
      <w:r w:rsidRPr="00DF6A4B">
        <w:rPr>
          <w:lang w:val="es-ES_tradnl"/>
        </w:rPr>
        <w:t>5)</w:t>
      </w:r>
      <w:r w:rsidRPr="00DF6A4B">
        <w:rPr>
          <w:lang w:val="es-ES_tradnl"/>
        </w:rPr>
        <w:tab/>
        <w:t>Especificaciones de capa de adaptación de protocolo (PAL) de la Wi-Fi</w:t>
      </w:r>
      <w:r w:rsidRPr="00DF6A4B">
        <w:rPr>
          <w:szCs w:val="24"/>
          <w:lang w:val="es-ES_tradnl"/>
        </w:rPr>
        <w:t xml:space="preserve"> Alliance (</w:t>
      </w:r>
      <w:r w:rsidRPr="00DF6A4B">
        <w:rPr>
          <w:lang w:val="es-ES_tradnl"/>
        </w:rPr>
        <w:t>WFA):</w:t>
      </w:r>
    </w:p>
    <w:p w:rsidR="00C948BC" w:rsidRPr="00DF6A4B" w:rsidRDefault="00C948BC" w:rsidP="00C948BC">
      <w:pPr>
        <w:pStyle w:val="enumlev2"/>
        <w:rPr>
          <w:lang w:val="es-ES_tradnl"/>
        </w:rPr>
      </w:pPr>
      <w:r w:rsidRPr="00DF6A4B">
        <w:rPr>
          <w:lang w:val="es-ES_tradnl"/>
        </w:rPr>
        <w:t>–</w:t>
      </w:r>
      <w:r w:rsidRPr="00DF6A4B">
        <w:rPr>
          <w:lang w:val="es-ES_tradnl"/>
        </w:rPr>
        <w:tab/>
      </w:r>
      <w:r w:rsidRPr="00DF6A4B">
        <w:rPr>
          <w:szCs w:val="24"/>
          <w:lang w:val="es-ES_tradnl"/>
        </w:rPr>
        <w:t>WiGig</w:t>
      </w:r>
      <w:r w:rsidRPr="00DF6A4B">
        <w:rPr>
          <w:lang w:val="es-ES_tradnl"/>
        </w:rPr>
        <w:t>® Dis</w:t>
      </w:r>
      <w:bookmarkStart w:id="63" w:name="_GoBack"/>
      <w:bookmarkEnd w:id="63"/>
      <w:r w:rsidRPr="00DF6A4B">
        <w:rPr>
          <w:lang w:val="es-ES_tradnl"/>
        </w:rPr>
        <w:t>play Extension Technical Specification Version 2.0, marzo de 2015.</w:t>
      </w:r>
    </w:p>
    <w:p w:rsidR="00C948BC" w:rsidRPr="00DF6A4B" w:rsidRDefault="00C948BC" w:rsidP="00C948BC">
      <w:pPr>
        <w:pStyle w:val="enumlev2"/>
        <w:rPr>
          <w:lang w:val="es-ES_tradnl"/>
        </w:rPr>
      </w:pPr>
      <w:r w:rsidRPr="00DF6A4B">
        <w:rPr>
          <w:lang w:val="es-ES_tradnl"/>
        </w:rPr>
        <w:t>–</w:t>
      </w:r>
      <w:r w:rsidRPr="00DF6A4B">
        <w:rPr>
          <w:lang w:val="es-ES_tradnl"/>
        </w:rPr>
        <w:tab/>
        <w:t>WiGig® Bus Extension Specification v1.2, octubre de 2014.</w:t>
      </w:r>
    </w:p>
    <w:p w:rsidR="00C948BC" w:rsidRPr="00DF6A4B" w:rsidRDefault="00C948BC" w:rsidP="00C948BC">
      <w:pPr>
        <w:pStyle w:val="enumlev2"/>
        <w:rPr>
          <w:lang w:val="es-ES_tradnl"/>
        </w:rPr>
      </w:pPr>
      <w:r w:rsidRPr="00DF6A4B">
        <w:rPr>
          <w:lang w:val="es-ES_tradnl"/>
        </w:rPr>
        <w:t>–</w:t>
      </w:r>
      <w:r w:rsidRPr="00DF6A4B">
        <w:rPr>
          <w:lang w:val="es-ES_tradnl"/>
        </w:rPr>
        <w:tab/>
      </w:r>
      <w:r w:rsidRPr="00DF6A4B">
        <w:rPr>
          <w:szCs w:val="24"/>
          <w:lang w:val="es-ES_tradnl"/>
        </w:rPr>
        <w:t>WiGig</w:t>
      </w:r>
      <w:r w:rsidRPr="00DF6A4B">
        <w:rPr>
          <w:lang w:val="es-ES_tradnl"/>
        </w:rPr>
        <w:t>® SD (WSD) Extension</w:t>
      </w:r>
      <w:r w:rsidRPr="00DF6A4B">
        <w:rPr>
          <w:szCs w:val="24"/>
          <w:lang w:val="es-ES_tradnl"/>
        </w:rPr>
        <w:t xml:space="preserve"> Specification v1.</w:t>
      </w:r>
      <w:r w:rsidRPr="00DF6A4B">
        <w:rPr>
          <w:lang w:val="es-ES_tradnl"/>
        </w:rPr>
        <w:t>1, enero de 2015.</w:t>
      </w:r>
    </w:p>
    <w:p w:rsidR="00C948BC" w:rsidRPr="00E2508C" w:rsidRDefault="00C948BC" w:rsidP="00C948BC">
      <w:pPr>
        <w:pStyle w:val="enumlev1"/>
        <w:rPr>
          <w:lang w:val="en-GB"/>
        </w:rPr>
      </w:pPr>
      <w:r w:rsidRPr="00E2508C">
        <w:rPr>
          <w:lang w:val="en-GB"/>
        </w:rPr>
        <w:t>6)</w:t>
      </w:r>
      <w:r w:rsidRPr="00E2508C">
        <w:rPr>
          <w:lang w:val="en-GB"/>
        </w:rPr>
        <w:tab/>
      </w:r>
      <w:r w:rsidRPr="00E2508C">
        <w:rPr>
          <w:szCs w:val="24"/>
          <w:lang w:val="en-GB"/>
        </w:rPr>
        <w:t>ISO/IEC 13156,</w:t>
      </w:r>
      <w:r w:rsidRPr="00E2508C">
        <w:rPr>
          <w:lang w:val="en-GB"/>
        </w:rPr>
        <w:t xml:space="preserve"> Information technology – Telecommunications and information exchange between systems – High rate 60 GHz PHY, MAC and PALs.</w:t>
      </w:r>
    </w:p>
    <w:p w:rsidR="00C948BC" w:rsidRPr="00DF6A4B" w:rsidRDefault="00C948BC" w:rsidP="00113339">
      <w:pPr>
        <w:pStyle w:val="Heading1"/>
        <w:rPr>
          <w:lang w:val="es-ES_tradnl"/>
        </w:rPr>
      </w:pPr>
      <w:r w:rsidRPr="00DF6A4B">
        <w:rPr>
          <w:lang w:val="es-ES_tradnl"/>
        </w:rPr>
        <w:t>4</w:t>
      </w:r>
      <w:r w:rsidRPr="00DF6A4B">
        <w:rPr>
          <w:lang w:val="es-ES_tradnl"/>
        </w:rPr>
        <w:tab/>
        <w:t xml:space="preserve">Acrónimos y </w:t>
      </w:r>
      <w:r w:rsidRPr="00113339">
        <w:t>abreviaturas</w:t>
      </w:r>
      <w:r w:rsidRPr="00DF6A4B">
        <w:rPr>
          <w:lang w:val="es-ES_tradnl"/>
        </w:rPr>
        <w:t xml:space="preserve"> </w:t>
      </w:r>
    </w:p>
    <w:p w:rsidR="00C948BC" w:rsidRPr="00DF6A4B" w:rsidRDefault="00C948BC" w:rsidP="00C948BC">
      <w:pPr>
        <w:rPr>
          <w:lang w:val="es-ES_tradnl"/>
        </w:rPr>
      </w:pPr>
      <w:r w:rsidRPr="00DF6A4B">
        <w:rPr>
          <w:lang w:val="es-ES_tradnl"/>
        </w:rPr>
        <w:t>CCA</w:t>
      </w:r>
      <w:r w:rsidRPr="00DF6A4B">
        <w:rPr>
          <w:lang w:val="es-ES_tradnl"/>
        </w:rPr>
        <w:tab/>
      </w:r>
      <w:r w:rsidRPr="00DF6A4B">
        <w:rPr>
          <w:lang w:val="es-ES_tradnl"/>
        </w:rPr>
        <w:tab/>
        <w:t>Evaluación de canal despejado (</w:t>
      </w:r>
      <w:r w:rsidRPr="00DF6A4B">
        <w:rPr>
          <w:i/>
          <w:iCs/>
          <w:lang w:val="es-ES_tradnl"/>
        </w:rPr>
        <w:t>clear channel assessment</w:t>
      </w:r>
      <w:r w:rsidRPr="00DF6A4B">
        <w:rPr>
          <w:lang w:val="es-ES_tradnl"/>
        </w:rPr>
        <w:t>)</w:t>
      </w:r>
    </w:p>
    <w:p w:rsidR="00C948BC" w:rsidRPr="00DF6A4B" w:rsidRDefault="00C948BC" w:rsidP="00C948BC">
      <w:pPr>
        <w:rPr>
          <w:lang w:val="es-ES_tradnl"/>
        </w:rPr>
      </w:pPr>
      <w:r w:rsidRPr="00DF6A4B">
        <w:rPr>
          <w:lang w:val="es-ES_tradnl"/>
        </w:rPr>
        <w:t>CE</w:t>
      </w:r>
      <w:r w:rsidRPr="00DF6A4B">
        <w:rPr>
          <w:lang w:val="es-ES_tradnl"/>
        </w:rPr>
        <w:tab/>
      </w:r>
      <w:r w:rsidRPr="00DF6A4B">
        <w:rPr>
          <w:lang w:val="es-ES_tradnl"/>
        </w:rPr>
        <w:tab/>
        <w:t>Electrónica de consumo (</w:t>
      </w:r>
      <w:r w:rsidRPr="00DF6A4B">
        <w:rPr>
          <w:i/>
          <w:iCs/>
          <w:lang w:val="es-ES_tradnl"/>
        </w:rPr>
        <w:t>consumer electronics</w:t>
      </w:r>
      <w:r w:rsidRPr="00DF6A4B">
        <w:rPr>
          <w:lang w:val="es-ES_tradnl"/>
        </w:rPr>
        <w:t>)</w:t>
      </w:r>
    </w:p>
    <w:p w:rsidR="00C948BC" w:rsidRPr="00DF6A4B" w:rsidRDefault="00C948BC" w:rsidP="00C948BC">
      <w:pPr>
        <w:rPr>
          <w:lang w:val="es-ES_tradnl"/>
        </w:rPr>
      </w:pPr>
      <w:r w:rsidRPr="00DF6A4B">
        <w:rPr>
          <w:lang w:val="es-ES_tradnl"/>
        </w:rPr>
        <w:t>HDMI</w:t>
      </w:r>
      <w:r w:rsidRPr="00DF6A4B">
        <w:rPr>
          <w:lang w:val="es-ES_tradnl"/>
        </w:rPr>
        <w:tab/>
      </w:r>
      <w:r w:rsidRPr="00DF6A4B">
        <w:rPr>
          <w:lang w:val="es-ES_tradnl"/>
        </w:rPr>
        <w:tab/>
        <w:t>Interfaz multimedios de alta definición (</w:t>
      </w:r>
      <w:r w:rsidRPr="00DF6A4B">
        <w:rPr>
          <w:i/>
          <w:iCs/>
          <w:lang w:val="es-ES_tradnl"/>
        </w:rPr>
        <w:t>high definition multimedia interface</w:t>
      </w:r>
      <w:r w:rsidRPr="00DF6A4B">
        <w:rPr>
          <w:lang w:val="es-ES_tradnl"/>
        </w:rPr>
        <w:t>)</w:t>
      </w:r>
    </w:p>
    <w:p w:rsidR="00C948BC" w:rsidRPr="00DF6A4B" w:rsidRDefault="00C948BC" w:rsidP="00C948BC">
      <w:pPr>
        <w:rPr>
          <w:lang w:val="es-ES_tradnl"/>
        </w:rPr>
      </w:pPr>
      <w:r w:rsidRPr="00DF6A4B">
        <w:rPr>
          <w:lang w:val="es-ES_tradnl"/>
        </w:rPr>
        <w:t>MGWS</w:t>
      </w:r>
      <w:r w:rsidRPr="00DF6A4B">
        <w:rPr>
          <w:lang w:val="es-ES_tradnl"/>
        </w:rPr>
        <w:tab/>
      </w:r>
      <w:r w:rsidRPr="00DF6A4B">
        <w:rPr>
          <w:lang w:val="es-ES_tradnl"/>
        </w:rPr>
        <w:tab/>
        <w:t>Sistemas inalámbricos de múltiples gigabits (</w:t>
      </w:r>
      <w:r w:rsidRPr="00DF6A4B">
        <w:rPr>
          <w:i/>
          <w:iCs/>
          <w:lang w:val="es-ES_tradnl"/>
        </w:rPr>
        <w:t>multiple gigabit wireless systems</w:t>
      </w:r>
      <w:r w:rsidRPr="00DF6A4B">
        <w:rPr>
          <w:lang w:val="es-ES_tradnl"/>
        </w:rPr>
        <w:t>)</w:t>
      </w:r>
    </w:p>
    <w:p w:rsidR="00C948BC" w:rsidRPr="00DF6A4B" w:rsidRDefault="00C948BC" w:rsidP="00C948BC">
      <w:pPr>
        <w:rPr>
          <w:lang w:val="es-ES_tradnl"/>
        </w:rPr>
      </w:pPr>
      <w:r w:rsidRPr="00DF6A4B">
        <w:rPr>
          <w:lang w:val="es-ES_tradnl"/>
        </w:rPr>
        <w:t>MCS</w:t>
      </w:r>
      <w:r w:rsidRPr="00DF6A4B">
        <w:rPr>
          <w:lang w:val="es-ES_tradnl"/>
        </w:rPr>
        <w:tab/>
      </w:r>
      <w:r w:rsidRPr="00DF6A4B">
        <w:rPr>
          <w:lang w:val="es-ES_tradnl"/>
        </w:rPr>
        <w:tab/>
        <w:t xml:space="preserve">Esquema de modulación y modulación </w:t>
      </w:r>
      <w:r w:rsidRPr="00DF6A4B">
        <w:rPr>
          <w:i/>
          <w:iCs/>
          <w:lang w:val="es-ES_tradnl"/>
        </w:rPr>
        <w:t>(modulation and coding scheme</w:t>
      </w:r>
      <w:r w:rsidRPr="00DF6A4B">
        <w:rPr>
          <w:lang w:val="es-ES_tradnl"/>
        </w:rPr>
        <w:t>)</w:t>
      </w:r>
    </w:p>
    <w:p w:rsidR="00C948BC" w:rsidRPr="00DF6A4B" w:rsidRDefault="00C948BC" w:rsidP="00C948BC">
      <w:pPr>
        <w:ind w:left="1191" w:hanging="1191"/>
        <w:rPr>
          <w:lang w:val="es-ES_tradnl"/>
        </w:rPr>
      </w:pPr>
      <w:r w:rsidRPr="00DF6A4B">
        <w:rPr>
          <w:lang w:val="es-ES_tradnl"/>
        </w:rPr>
        <w:t>OFDM</w:t>
      </w:r>
      <w:r w:rsidRPr="00DF6A4B">
        <w:rPr>
          <w:lang w:val="es-ES_tradnl"/>
        </w:rPr>
        <w:tab/>
      </w:r>
      <w:r w:rsidRPr="00DF6A4B">
        <w:rPr>
          <w:lang w:val="es-ES_tradnl"/>
        </w:rPr>
        <w:tab/>
        <w:t>Multiplexación por división de frecuencias ortogonales (</w:t>
      </w:r>
      <w:r w:rsidRPr="00DF6A4B">
        <w:rPr>
          <w:i/>
          <w:iCs/>
          <w:lang w:val="es-ES_tradnl"/>
        </w:rPr>
        <w:t>orthogonal frequency división multiplexing</w:t>
      </w:r>
      <w:r w:rsidRPr="00DF6A4B">
        <w:rPr>
          <w:lang w:val="es-ES_tradnl"/>
        </w:rPr>
        <w:t>)</w:t>
      </w:r>
    </w:p>
    <w:p w:rsidR="00C948BC" w:rsidRPr="00DF6A4B" w:rsidRDefault="00C948BC" w:rsidP="00C948BC">
      <w:pPr>
        <w:rPr>
          <w:lang w:val="es-ES_tradnl"/>
        </w:rPr>
      </w:pPr>
      <w:r w:rsidRPr="00DF6A4B">
        <w:rPr>
          <w:lang w:val="es-ES_tradnl"/>
        </w:rPr>
        <w:t>PER</w:t>
      </w:r>
      <w:r w:rsidRPr="00DF6A4B">
        <w:rPr>
          <w:lang w:val="es-ES_tradnl"/>
        </w:rPr>
        <w:tab/>
      </w:r>
      <w:r w:rsidRPr="00DF6A4B">
        <w:rPr>
          <w:lang w:val="es-ES_tradnl"/>
        </w:rPr>
        <w:tab/>
        <w:t>Tasa de errores en los paquetes (</w:t>
      </w:r>
      <w:r w:rsidRPr="00DF6A4B">
        <w:rPr>
          <w:i/>
          <w:iCs/>
          <w:lang w:val="es-ES_tradnl"/>
        </w:rPr>
        <w:t>packet error rate</w:t>
      </w:r>
      <w:r w:rsidRPr="00DF6A4B">
        <w:rPr>
          <w:lang w:val="es-ES_tradnl"/>
        </w:rPr>
        <w:t>)</w:t>
      </w:r>
    </w:p>
    <w:p w:rsidR="00C948BC" w:rsidRPr="00DF6A4B" w:rsidRDefault="00C948BC" w:rsidP="00C948BC">
      <w:pPr>
        <w:rPr>
          <w:lang w:val="es-ES_tradnl"/>
        </w:rPr>
      </w:pPr>
      <w:r w:rsidRPr="00DF6A4B">
        <w:rPr>
          <w:lang w:val="es-ES_tradnl"/>
        </w:rPr>
        <w:t>RLAN</w:t>
      </w:r>
      <w:r w:rsidRPr="00DF6A4B">
        <w:rPr>
          <w:lang w:val="es-ES_tradnl"/>
        </w:rPr>
        <w:tab/>
      </w:r>
      <w:r w:rsidRPr="00DF6A4B">
        <w:rPr>
          <w:lang w:val="es-ES_tradnl"/>
        </w:rPr>
        <w:tab/>
        <w:t>Red de área local radioeléctrica (</w:t>
      </w:r>
      <w:r w:rsidRPr="00DF6A4B">
        <w:rPr>
          <w:i/>
          <w:iCs/>
          <w:lang w:val="es-ES_tradnl"/>
        </w:rPr>
        <w:t>radio local area network</w:t>
      </w:r>
      <w:r w:rsidRPr="00DF6A4B">
        <w:rPr>
          <w:lang w:val="es-ES_tradnl"/>
        </w:rPr>
        <w:t>)</w:t>
      </w:r>
    </w:p>
    <w:p w:rsidR="00C948BC" w:rsidRPr="00DF6A4B" w:rsidRDefault="00C948BC" w:rsidP="00C948BC">
      <w:pPr>
        <w:rPr>
          <w:lang w:val="es-ES_tradnl"/>
        </w:rPr>
      </w:pPr>
      <w:r w:rsidRPr="00DF6A4B">
        <w:rPr>
          <w:lang w:val="es-ES_tradnl"/>
        </w:rPr>
        <w:t>SC</w:t>
      </w:r>
      <w:r w:rsidRPr="00DF6A4B">
        <w:rPr>
          <w:lang w:val="es-ES_tradnl"/>
        </w:rPr>
        <w:tab/>
      </w:r>
      <w:r w:rsidRPr="00DF6A4B">
        <w:rPr>
          <w:lang w:val="es-ES_tradnl"/>
        </w:rPr>
        <w:tab/>
        <w:t>Portadora única (</w:t>
      </w:r>
      <w:r w:rsidRPr="00DF6A4B">
        <w:rPr>
          <w:i/>
          <w:iCs/>
          <w:lang w:val="es-ES_tradnl"/>
        </w:rPr>
        <w:t>single carrier</w:t>
      </w:r>
      <w:r w:rsidRPr="00DF6A4B">
        <w:rPr>
          <w:lang w:val="es-ES_tradnl"/>
        </w:rPr>
        <w:t>)</w:t>
      </w:r>
    </w:p>
    <w:p w:rsidR="00C948BC" w:rsidRPr="00DF6A4B" w:rsidRDefault="004C3D2E" w:rsidP="00C948BC">
      <w:pPr>
        <w:rPr>
          <w:lang w:val="es-ES_tradnl"/>
        </w:rPr>
      </w:pPr>
      <w:r>
        <w:rPr>
          <w:lang w:val="es-ES_tradnl"/>
        </w:rPr>
        <w:t>TDMA</w:t>
      </w:r>
      <w:r w:rsidR="00C948BC" w:rsidRPr="00DF6A4B">
        <w:rPr>
          <w:lang w:val="es-ES_tradnl"/>
        </w:rPr>
        <w:tab/>
      </w:r>
      <w:r w:rsidR="00C948BC" w:rsidRPr="00DF6A4B">
        <w:rPr>
          <w:lang w:val="es-ES_tradnl"/>
        </w:rPr>
        <w:tab/>
        <w:t>Acceso múltiple por división en el tiempo (</w:t>
      </w:r>
      <w:r w:rsidR="00C948BC" w:rsidRPr="00DF6A4B">
        <w:rPr>
          <w:i/>
          <w:iCs/>
          <w:lang w:val="es-ES_tradnl"/>
        </w:rPr>
        <w:t>time division multiple access</w:t>
      </w:r>
      <w:r w:rsidR="00C948BC" w:rsidRPr="00DF6A4B">
        <w:rPr>
          <w:lang w:val="es-ES_tradnl"/>
        </w:rPr>
        <w:t>)</w:t>
      </w:r>
    </w:p>
    <w:p w:rsidR="00C948BC" w:rsidRPr="00DF6A4B" w:rsidRDefault="00C948BC" w:rsidP="00C948BC">
      <w:pPr>
        <w:rPr>
          <w:lang w:val="es-ES_tradnl"/>
        </w:rPr>
      </w:pPr>
      <w:r w:rsidRPr="00DF6A4B">
        <w:rPr>
          <w:lang w:val="es-ES_tradnl"/>
        </w:rPr>
        <w:t>WLAN</w:t>
      </w:r>
      <w:r w:rsidRPr="00DF6A4B">
        <w:rPr>
          <w:lang w:val="es-ES_tradnl"/>
        </w:rPr>
        <w:tab/>
      </w:r>
      <w:r w:rsidRPr="00DF6A4B">
        <w:rPr>
          <w:lang w:val="es-ES_tradnl"/>
        </w:rPr>
        <w:tab/>
        <w:t>Red de área local inalámbrica (</w:t>
      </w:r>
      <w:r w:rsidRPr="00DF6A4B">
        <w:rPr>
          <w:i/>
          <w:iCs/>
          <w:lang w:val="es-ES_tradnl"/>
        </w:rPr>
        <w:t>wireless local area network</w:t>
      </w:r>
      <w:r w:rsidRPr="00DF6A4B">
        <w:rPr>
          <w:lang w:val="es-ES_tradnl"/>
        </w:rPr>
        <w:t>)</w:t>
      </w:r>
    </w:p>
    <w:p w:rsidR="00C948BC" w:rsidRPr="00DF6A4B" w:rsidRDefault="00C948BC" w:rsidP="00C948BC">
      <w:pPr>
        <w:rPr>
          <w:lang w:val="es-ES_tradnl"/>
        </w:rPr>
      </w:pPr>
      <w:r w:rsidRPr="00DF6A4B">
        <w:rPr>
          <w:lang w:val="es-ES_tradnl"/>
        </w:rPr>
        <w:t>WPAN</w:t>
      </w:r>
      <w:r w:rsidRPr="00DF6A4B">
        <w:rPr>
          <w:lang w:val="es-ES_tradnl"/>
        </w:rPr>
        <w:tab/>
      </w:r>
      <w:r w:rsidRPr="00DF6A4B">
        <w:rPr>
          <w:lang w:val="es-ES_tradnl"/>
        </w:rPr>
        <w:tab/>
        <w:t>Red de área personal inalámbrica (</w:t>
      </w:r>
      <w:r w:rsidRPr="00DF6A4B">
        <w:rPr>
          <w:i/>
          <w:iCs/>
          <w:lang w:val="es-ES_tradnl"/>
        </w:rPr>
        <w:t>wireless personal area network</w:t>
      </w:r>
      <w:r w:rsidRPr="00DF6A4B">
        <w:rPr>
          <w:lang w:val="es-ES_tradnl"/>
        </w:rPr>
        <w:t>)</w:t>
      </w:r>
    </w:p>
    <w:p w:rsidR="00C948BC" w:rsidRPr="00DF6A4B" w:rsidRDefault="00C948BC" w:rsidP="00C948BC">
      <w:pPr>
        <w:pStyle w:val="Reasons"/>
        <w:rPr>
          <w:lang w:val="es-ES_tradnl"/>
        </w:rPr>
      </w:pPr>
    </w:p>
    <w:p w:rsidR="00C948BC" w:rsidRPr="00DF6A4B" w:rsidRDefault="00C948BC" w:rsidP="00C948BC">
      <w:pPr>
        <w:jc w:val="center"/>
        <w:rPr>
          <w:lang w:val="es-ES_tradnl"/>
        </w:rPr>
      </w:pPr>
      <w:r w:rsidRPr="00DF6A4B">
        <w:rPr>
          <w:lang w:val="es-ES_tradnl"/>
        </w:rPr>
        <w:t>______________</w:t>
      </w:r>
    </w:p>
    <w:p w:rsidR="00574749" w:rsidRDefault="00574749" w:rsidP="0021735B">
      <w:pPr>
        <w:rPr>
          <w:lang w:val="es-ES_tradnl"/>
        </w:rPr>
      </w:pPr>
    </w:p>
    <w:sectPr w:rsidR="00574749" w:rsidSect="00862592">
      <w:headerReference w:type="even" r:id="rId25"/>
      <w:headerReference w:type="default" r:id="rId26"/>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AEB" w:rsidRDefault="00A07AEB">
      <w:r>
        <w:separator/>
      </w:r>
    </w:p>
  </w:footnote>
  <w:footnote w:type="continuationSeparator" w:id="0">
    <w:p w:rsidR="00A07AEB" w:rsidRDefault="00A07AEB">
      <w:r>
        <w:continuationSeparator/>
      </w:r>
    </w:p>
  </w:footnote>
  <w:footnote w:id="1">
    <w:p w:rsidR="00C948BC" w:rsidRPr="006D7820" w:rsidRDefault="00C948BC" w:rsidP="00C948BC">
      <w:pPr>
        <w:pStyle w:val="FootnoteText"/>
        <w:rPr>
          <w:lang w:val="es-ES"/>
        </w:rPr>
      </w:pPr>
      <w:r>
        <w:rPr>
          <w:rStyle w:val="FootnoteReference"/>
        </w:rPr>
        <w:footnoteRef/>
      </w:r>
      <w:r w:rsidRPr="006D7820">
        <w:rPr>
          <w:lang w:val="es-ES"/>
        </w:rPr>
        <w:tab/>
        <w:t>En este contexto, un quiosco en una cabina que ofrece la distribución y acceso a contenidos electrónicos tales como películas, música, v</w:t>
      </w:r>
      <w:r>
        <w:rPr>
          <w:lang w:val="es-ES"/>
        </w:rPr>
        <w:t>ídeos, libros electrónicos, etc.</w:t>
      </w:r>
    </w:p>
  </w:footnote>
  <w:footnote w:id="2">
    <w:p w:rsidR="00C948BC" w:rsidRPr="00E2508C" w:rsidRDefault="00C948BC" w:rsidP="00C948BC">
      <w:pPr>
        <w:pStyle w:val="FootnoteText"/>
        <w:rPr>
          <w:lang w:val="es-ES_tradnl" w:eastAsia="ja-JP"/>
        </w:rPr>
      </w:pPr>
      <w:r>
        <w:rPr>
          <w:rStyle w:val="FootnoteReference"/>
        </w:rPr>
        <w:footnoteRef/>
      </w:r>
      <w:r w:rsidRPr="00E2508C">
        <w:rPr>
          <w:lang w:val="es-ES_tradnl"/>
        </w:rPr>
        <w:tab/>
      </w:r>
      <w:r w:rsidRPr="00E2508C">
        <w:rPr>
          <w:color w:val="222222"/>
          <w:lang w:val="es-ES_tradnl"/>
        </w:rPr>
        <w:t>En este contexto, una puerta de control con funciones de pago de entrada y descarga de archivos de gran tamaño que se utiliza en estaciones ferroviarias y aeropuertos. El contenido de esos archivos puede ser vídeos, películas, etc.</w:t>
      </w:r>
    </w:p>
  </w:footnote>
  <w:footnote w:id="3">
    <w:p w:rsidR="00C948BC" w:rsidRPr="003D3CBD" w:rsidRDefault="00C948BC" w:rsidP="00C948BC">
      <w:pPr>
        <w:pStyle w:val="FootnoteText"/>
        <w:rPr>
          <w:lang w:val="es-ES"/>
        </w:rPr>
      </w:pPr>
      <w:r>
        <w:rPr>
          <w:rStyle w:val="FootnoteReference"/>
        </w:rPr>
        <w:footnoteRef/>
      </w:r>
      <w:r w:rsidRPr="003D3CBD">
        <w:rPr>
          <w:lang w:val="es-ES"/>
        </w:rPr>
        <w:tab/>
        <w:t xml:space="preserve">Los requerimientos del </w:t>
      </w:r>
      <w:r>
        <w:rPr>
          <w:lang w:val="es-ES"/>
        </w:rPr>
        <w:t>s</w:t>
      </w:r>
      <w:r w:rsidRPr="003D3CBD">
        <w:rPr>
          <w:lang w:val="es-ES"/>
        </w:rPr>
        <w:t xml:space="preserve">istema </w:t>
      </w:r>
      <w:r>
        <w:rPr>
          <w:lang w:val="es-ES"/>
        </w:rPr>
        <w:t>los proporcionan las normas incl</w:t>
      </w:r>
      <w:r w:rsidRPr="003D3CBD">
        <w:rPr>
          <w:lang w:val="es-ES"/>
        </w:rPr>
        <w:t>uidas en el Anexo 1.</w:t>
      </w:r>
    </w:p>
  </w:footnote>
  <w:footnote w:id="4">
    <w:p w:rsidR="00C948BC" w:rsidRPr="006479CF" w:rsidRDefault="00C948BC" w:rsidP="00C948BC">
      <w:pPr>
        <w:pStyle w:val="FootnoteText"/>
        <w:rPr>
          <w:lang w:val="es-ES_tradnl"/>
        </w:rPr>
      </w:pPr>
      <w:r>
        <w:rPr>
          <w:rStyle w:val="FootnoteReference"/>
        </w:rPr>
        <w:footnoteRef/>
      </w:r>
      <w:r w:rsidRPr="006479CF">
        <w:rPr>
          <w:lang w:val="es-ES_tradnl"/>
        </w:rPr>
        <w:tab/>
        <w:t>Representa el retardo desde la parte superior de la capa MAC en un extremo hasta la parte superior de la capa MAC en el otro extremo.</w:t>
      </w:r>
    </w:p>
  </w:footnote>
  <w:footnote w:id="5">
    <w:p w:rsidR="00C948BC" w:rsidRDefault="00C948BC" w:rsidP="00C948BC">
      <w:pPr>
        <w:pStyle w:val="FootnoteText"/>
        <w:rPr>
          <w:lang w:val="en-US"/>
        </w:rPr>
      </w:pPr>
      <w:r>
        <w:rPr>
          <w:rStyle w:val="FootnoteReference"/>
        </w:rPr>
        <w:footnoteRef/>
      </w:r>
      <w:r>
        <w:rPr>
          <w:lang w:val="en-US"/>
        </w:rPr>
        <w:tab/>
        <w:t xml:space="preserve">IEEE Standard for Information Technology – Telecommunications and Information Exchange Between Systems – Local and Metropolitan Area Networks – Specific Requirements – Part 11: </w:t>
      </w:r>
      <w:r w:rsidRPr="00D1478A">
        <w:rPr>
          <w:lang w:val="en-US"/>
        </w:rPr>
        <w:t>Wireless</w:t>
      </w:r>
      <w:r>
        <w:rPr>
          <w:lang w:val="en-US"/>
        </w:rPr>
        <w:t xml:space="preserve"> LAN Medium Access Control (MAC) and Physical Layer (PHY) Specifications, Diciembre de 2016.</w:t>
      </w:r>
    </w:p>
  </w:footnote>
  <w:footnote w:id="6">
    <w:p w:rsidR="00C948BC" w:rsidRDefault="00C948BC" w:rsidP="00C948BC">
      <w:pPr>
        <w:pStyle w:val="FootnoteText"/>
        <w:rPr>
          <w:lang w:val="en-US"/>
        </w:rPr>
      </w:pPr>
      <w:r>
        <w:rPr>
          <w:rStyle w:val="FootnoteReference"/>
        </w:rPr>
        <w:footnoteRef/>
      </w:r>
      <w:r>
        <w:rPr>
          <w:lang w:val="en-US"/>
        </w:rPr>
        <w:tab/>
      </w:r>
      <w:r w:rsidRPr="00D70E62">
        <w:rPr>
          <w:lang w:val="en-GB"/>
        </w:rPr>
        <w:t>IEEE Standard for High Data Rate Wireless Multi-Media Networks</w:t>
      </w:r>
      <w:r>
        <w:rPr>
          <w:lang w:val="en-US"/>
        </w:rPr>
        <w:t>.</w:t>
      </w:r>
    </w:p>
  </w:footnote>
  <w:footnote w:id="7">
    <w:p w:rsidR="00C948BC" w:rsidRPr="00D70E62" w:rsidRDefault="00C948BC" w:rsidP="00C948BC">
      <w:pPr>
        <w:pStyle w:val="FootnoteText"/>
        <w:rPr>
          <w:lang w:val="en-GB" w:eastAsia="ja-JP"/>
        </w:rPr>
      </w:pPr>
      <w:r>
        <w:rPr>
          <w:rStyle w:val="FootnoteReference"/>
        </w:rPr>
        <w:footnoteRef/>
      </w:r>
      <w:r w:rsidRPr="00D70E62">
        <w:rPr>
          <w:lang w:val="en-GB"/>
        </w:rPr>
        <w:tab/>
        <w:t>IEEE Standard for High Data Rate Wireless Multi-Media Networks Amendment: High-Rate Close Proximity Point-to-Point Communications.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4D65" w:rsidP="00CB1354">
    <w:pPr>
      <w:ind w:right="360" w:firstLine="360"/>
    </w:pPr>
    <w:r>
      <w:rPr>
        <w:noProof/>
        <w:lang w:val="en-GB" w:eastAsia="zh-CN"/>
      </w:rPr>
      <w:drawing>
        <wp:anchor distT="0" distB="0" distL="114300" distR="114300" simplePos="0" relativeHeight="251656704" behindDoc="1" locked="0" layoutInCell="1" allowOverlap="1" wp14:anchorId="58DDEA23" wp14:editId="546C2F8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113339">
      <w:rPr>
        <w:rStyle w:val="PageNumber"/>
        <w:b/>
        <w:bCs/>
        <w:noProof/>
      </w:rPr>
      <w:t>ii</w:t>
    </w:r>
    <w:r>
      <w:rPr>
        <w:rStyle w:val="PageNumber"/>
        <w:b/>
        <w:bCs/>
      </w:rPr>
      <w:fldChar w:fldCharType="end"/>
    </w:r>
    <w:r w:rsidR="00042292">
      <w:tab/>
    </w:r>
    <w:fldSimple w:instr=" DOCPROPERTY &quot;Header&quot; \* MERGEFORMAT ">
      <w:r w:rsidR="00574749" w:rsidRPr="00574749">
        <w:rPr>
          <w:b/>
          <w:bCs/>
        </w:rPr>
        <w:t xml:space="preserve">Rec. </w:t>
      </w:r>
    </w:fldSimple>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113339">
      <w:rPr>
        <w:b/>
        <w:bCs/>
        <w:noProof/>
      </w:rPr>
      <w:t>UIT-R  M.2003-2</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2292" w:rsidRDefault="00042292">
    <w:r>
      <w:tab/>
    </w:r>
    <w:fldSimple w:instr=" DOCPROPERTY &quot;Header&quot; \* MERGEFORMAT ">
      <w:r w:rsidR="00574749" w:rsidRPr="00574749">
        <w:rPr>
          <w:b/>
          <w:bCs/>
        </w:rPr>
        <w:t xml:space="preserve">Rec. </w:t>
      </w:r>
    </w:fldSimple>
    <w:r>
      <w:rPr>
        <w:b/>
        <w:bCs/>
      </w:rPr>
      <w:t xml:space="preserve"> </w:t>
    </w:r>
    <w:r w:rsidR="006870AA">
      <w:rPr>
        <w:b/>
        <w:bCs/>
      </w:rPr>
      <w:fldChar w:fldCharType="begin"/>
    </w:r>
    <w:r>
      <w:rPr>
        <w:b/>
        <w:bCs/>
      </w:rPr>
      <w:instrText>styleref href</w:instrText>
    </w:r>
    <w:r w:rsidR="006870AA">
      <w:rPr>
        <w:b/>
        <w:bCs/>
      </w:rPr>
      <w:fldChar w:fldCharType="separate"/>
    </w:r>
    <w:r w:rsidR="00574749">
      <w:rPr>
        <w:b/>
        <w:bCs/>
        <w:noProof/>
      </w:rPr>
      <w:t>UIT-R  M.1841-1</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914FCF" w:rsidRDefault="006870AA" w:rsidP="00914FCF">
    <w:pPr>
      <w:tabs>
        <w:tab w:val="clear" w:pos="794"/>
        <w:tab w:val="clear" w:pos="1191"/>
        <w:tab w:val="clear" w:pos="1588"/>
        <w:tab w:val="clear" w:pos="1985"/>
        <w:tab w:val="center" w:pos="4820"/>
      </w:tabs>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113339">
      <w:rPr>
        <w:rStyle w:val="PageNumber"/>
        <w:b/>
        <w:bCs/>
        <w:noProof/>
        <w:lang w:val="en-US"/>
      </w:rPr>
      <w:t>8</w:t>
    </w:r>
    <w:r>
      <w:rPr>
        <w:rStyle w:val="PageNumber"/>
        <w:b/>
        <w:bCs/>
      </w:rPr>
      <w:fldChar w:fldCharType="end"/>
    </w:r>
    <w:r w:rsidR="00607D68">
      <w:rPr>
        <w:lang w:val="en-US"/>
      </w:rPr>
      <w:tab/>
    </w:r>
    <w:fldSimple w:instr=" DOCPROPERTY &quot;Header&quot; \* MERGEFORMAT ">
      <w:r w:rsidR="00574749" w:rsidRPr="00574749">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113339">
      <w:rPr>
        <w:b/>
        <w:bCs/>
        <w:noProof/>
      </w:rPr>
      <w:t>UIT-R  M.2003-2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ED9" w:rsidRPr="00914FCF" w:rsidRDefault="00F32218" w:rsidP="00914FCF">
    <w:pPr>
      <w:pStyle w:val="Header"/>
      <w:jc w:val="left"/>
      <w:rPr>
        <w:b/>
        <w:bCs/>
      </w:rPr>
    </w:pPr>
    <w:r>
      <w:tab/>
    </w:r>
    <w:fldSimple w:instr=" DOCPROPERTY &quot;Header&quot; \* MERGEFORMAT ">
      <w:r w:rsidR="00574749" w:rsidRPr="00574749">
        <w:rPr>
          <w:b/>
          <w:bCs/>
        </w:rPr>
        <w:t xml:space="preserve">Rec. </w:t>
      </w:r>
    </w:fldSimple>
    <w:r w:rsidR="00607D68" w:rsidRPr="001B395D">
      <w:rPr>
        <w:b/>
        <w:bCs/>
      </w:rPr>
      <w:t xml:space="preserve"> </w:t>
    </w:r>
    <w:r w:rsidR="006870AA" w:rsidRPr="001B395D">
      <w:rPr>
        <w:b/>
        <w:bCs/>
      </w:rPr>
      <w:fldChar w:fldCharType="begin"/>
    </w:r>
    <w:r w:rsidR="00607D68" w:rsidRPr="001B395D">
      <w:rPr>
        <w:b/>
        <w:bCs/>
      </w:rPr>
      <w:instrText>styleref href</w:instrText>
    </w:r>
    <w:r w:rsidR="006870AA" w:rsidRPr="001B395D">
      <w:rPr>
        <w:b/>
        <w:bCs/>
      </w:rPr>
      <w:fldChar w:fldCharType="separate"/>
    </w:r>
    <w:r w:rsidR="00113339">
      <w:rPr>
        <w:b/>
        <w:bCs/>
        <w:noProof/>
      </w:rPr>
      <w:t>UIT-R  M.2003-2</w:t>
    </w:r>
    <w:r w:rsidR="006870AA" w:rsidRPr="001B395D">
      <w:rPr>
        <w:b/>
        <w:bCs/>
      </w:rPr>
      <w:fldChar w:fldCharType="end"/>
    </w:r>
    <w:r>
      <w:rPr>
        <w:b/>
        <w:bCs/>
      </w:rPr>
      <w:tab/>
    </w:r>
    <w:r w:rsidRPr="00F32218">
      <w:rPr>
        <w:rStyle w:val="PageNumber"/>
        <w:b/>
        <w:bCs/>
      </w:rPr>
      <w:fldChar w:fldCharType="begin"/>
    </w:r>
    <w:r w:rsidRPr="00F32218">
      <w:rPr>
        <w:rStyle w:val="PageNumber"/>
        <w:b/>
        <w:bCs/>
      </w:rPr>
      <w:instrText xml:space="preserve"> PAGE   \* MERGEFORMAT </w:instrText>
    </w:r>
    <w:r w:rsidRPr="00F32218">
      <w:rPr>
        <w:rStyle w:val="PageNumber"/>
        <w:b/>
        <w:bCs/>
      </w:rPr>
      <w:fldChar w:fldCharType="separate"/>
    </w:r>
    <w:r w:rsidR="00113339">
      <w:rPr>
        <w:rStyle w:val="PageNumber"/>
        <w:b/>
        <w:bCs/>
        <w:noProof/>
      </w:rPr>
      <w:t>9</w:t>
    </w:r>
    <w:r w:rsidRPr="00F32218">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292"/>
    <w:rsid w:val="000014FC"/>
    <w:rsid w:val="00042292"/>
    <w:rsid w:val="0004327D"/>
    <w:rsid w:val="00044D65"/>
    <w:rsid w:val="00113339"/>
    <w:rsid w:val="001B26B3"/>
    <w:rsid w:val="001B2F46"/>
    <w:rsid w:val="001B395D"/>
    <w:rsid w:val="0021735B"/>
    <w:rsid w:val="002D76C4"/>
    <w:rsid w:val="00383195"/>
    <w:rsid w:val="00410F5B"/>
    <w:rsid w:val="00427ED9"/>
    <w:rsid w:val="004C3D2E"/>
    <w:rsid w:val="004E4FBE"/>
    <w:rsid w:val="00567624"/>
    <w:rsid w:val="00574749"/>
    <w:rsid w:val="00607D68"/>
    <w:rsid w:val="00616F70"/>
    <w:rsid w:val="006870AA"/>
    <w:rsid w:val="006F3D6E"/>
    <w:rsid w:val="007172BA"/>
    <w:rsid w:val="0072064A"/>
    <w:rsid w:val="0076082A"/>
    <w:rsid w:val="00862592"/>
    <w:rsid w:val="008C67E6"/>
    <w:rsid w:val="00906075"/>
    <w:rsid w:val="00914FCF"/>
    <w:rsid w:val="00982F3A"/>
    <w:rsid w:val="00A07AEB"/>
    <w:rsid w:val="00A6617B"/>
    <w:rsid w:val="00A80825"/>
    <w:rsid w:val="00AB0DC8"/>
    <w:rsid w:val="00B42F17"/>
    <w:rsid w:val="00B44E24"/>
    <w:rsid w:val="00C36A75"/>
    <w:rsid w:val="00C411AF"/>
    <w:rsid w:val="00C948BC"/>
    <w:rsid w:val="00CB1354"/>
    <w:rsid w:val="00CF7F63"/>
    <w:rsid w:val="00D131B8"/>
    <w:rsid w:val="00D33FA3"/>
    <w:rsid w:val="00D4362D"/>
    <w:rsid w:val="00DF4176"/>
    <w:rsid w:val="00DF4734"/>
    <w:rsid w:val="00E704B6"/>
    <w:rsid w:val="00ED6A57"/>
    <w:rsid w:val="00EE743D"/>
    <w:rsid w:val="00F32218"/>
    <w:rsid w:val="00F80C26"/>
    <w:rsid w:val="00F90A3D"/>
    <w:rsid w:val="00F91385"/>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0C6FE78C-558C-4FE6-BBCE-9031B662B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5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62592"/>
    <w:pPr>
      <w:keepNext/>
      <w:keepLines/>
      <w:spacing w:before="480"/>
      <w:ind w:left="794" w:hanging="794"/>
      <w:outlineLvl w:val="0"/>
    </w:pPr>
    <w:rPr>
      <w:b/>
    </w:rPr>
  </w:style>
  <w:style w:type="paragraph" w:styleId="Heading2">
    <w:name w:val="heading 2"/>
    <w:basedOn w:val="Heading1"/>
    <w:next w:val="Normal"/>
    <w:link w:val="Heading2Char"/>
    <w:qFormat/>
    <w:rsid w:val="00862592"/>
    <w:pPr>
      <w:spacing w:before="320"/>
      <w:outlineLvl w:val="1"/>
    </w:pPr>
  </w:style>
  <w:style w:type="paragraph" w:styleId="Heading3">
    <w:name w:val="heading 3"/>
    <w:basedOn w:val="Heading1"/>
    <w:next w:val="Normal"/>
    <w:link w:val="Heading3Char"/>
    <w:qFormat/>
    <w:rsid w:val="00862592"/>
    <w:pPr>
      <w:spacing w:before="200"/>
      <w:outlineLvl w:val="2"/>
    </w:pPr>
  </w:style>
  <w:style w:type="paragraph" w:styleId="Heading4">
    <w:name w:val="heading 4"/>
    <w:basedOn w:val="Heading3"/>
    <w:next w:val="Normal"/>
    <w:qFormat/>
    <w:rsid w:val="00862592"/>
    <w:pPr>
      <w:tabs>
        <w:tab w:val="clear" w:pos="794"/>
        <w:tab w:val="left" w:pos="992"/>
      </w:tabs>
      <w:ind w:left="992" w:hanging="992"/>
      <w:outlineLvl w:val="3"/>
    </w:pPr>
  </w:style>
  <w:style w:type="paragraph" w:styleId="Heading5">
    <w:name w:val="heading 5"/>
    <w:basedOn w:val="Heading4"/>
    <w:next w:val="Normal"/>
    <w:qFormat/>
    <w:rsid w:val="00862592"/>
    <w:pPr>
      <w:outlineLvl w:val="4"/>
    </w:pPr>
  </w:style>
  <w:style w:type="paragraph" w:styleId="Heading6">
    <w:name w:val="heading 6"/>
    <w:basedOn w:val="Heading4"/>
    <w:next w:val="Normal"/>
    <w:qFormat/>
    <w:rsid w:val="00862592"/>
    <w:pPr>
      <w:tabs>
        <w:tab w:val="clear" w:pos="992"/>
        <w:tab w:val="clear" w:pos="1191"/>
      </w:tabs>
      <w:ind w:left="1588" w:hanging="1588"/>
      <w:outlineLvl w:val="5"/>
    </w:pPr>
  </w:style>
  <w:style w:type="paragraph" w:styleId="Heading7">
    <w:name w:val="heading 7"/>
    <w:basedOn w:val="Heading6"/>
    <w:next w:val="Normal"/>
    <w:qFormat/>
    <w:rsid w:val="00862592"/>
    <w:pPr>
      <w:outlineLvl w:val="6"/>
    </w:pPr>
  </w:style>
  <w:style w:type="paragraph" w:styleId="Heading8">
    <w:name w:val="heading 8"/>
    <w:basedOn w:val="Heading6"/>
    <w:next w:val="Normal"/>
    <w:qFormat/>
    <w:rsid w:val="00862592"/>
    <w:pPr>
      <w:outlineLvl w:val="7"/>
    </w:pPr>
  </w:style>
  <w:style w:type="paragraph" w:styleId="Heading9">
    <w:name w:val="heading 9"/>
    <w:basedOn w:val="Heading6"/>
    <w:next w:val="Normal"/>
    <w:qFormat/>
    <w:rsid w:val="00862592"/>
    <w:pPr>
      <w:jc w:val="left"/>
      <w:outlineLvl w:val="8"/>
    </w:pPr>
  </w:style>
  <w:style w:type="character" w:default="1" w:styleId="DefaultParagraphFont">
    <w:name w:val="Default Paragraph Font"/>
    <w:uiPriority w:val="1"/>
    <w:semiHidden/>
    <w:unhideWhenUsed/>
    <w:rsid w:val="0086259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62592"/>
  </w:style>
  <w:style w:type="paragraph" w:styleId="Header">
    <w:name w:val="header"/>
    <w:basedOn w:val="Normal"/>
    <w:link w:val="HeaderChar"/>
    <w:rsid w:val="0086259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6259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62592"/>
  </w:style>
  <w:style w:type="paragraph" w:customStyle="1" w:styleId="Headingb">
    <w:name w:val="Heading_b"/>
    <w:basedOn w:val="Heading3"/>
    <w:next w:val="Normal"/>
    <w:rsid w:val="00862592"/>
    <w:pPr>
      <w:spacing w:before="160"/>
      <w:ind w:left="0" w:firstLine="0"/>
      <w:outlineLvl w:val="9"/>
    </w:pPr>
  </w:style>
  <w:style w:type="paragraph" w:customStyle="1" w:styleId="Headingi">
    <w:name w:val="Heading_i"/>
    <w:basedOn w:val="Heading3"/>
    <w:next w:val="Normal"/>
    <w:rsid w:val="00862592"/>
    <w:pPr>
      <w:spacing w:before="160"/>
      <w:ind w:left="0" w:firstLine="0"/>
    </w:pPr>
    <w:rPr>
      <w:b w:val="0"/>
      <w:i/>
    </w:rPr>
  </w:style>
  <w:style w:type="character" w:customStyle="1" w:styleId="href">
    <w:name w:val="href"/>
    <w:basedOn w:val="DefaultParagraphFont"/>
    <w:rsid w:val="00862592"/>
  </w:style>
  <w:style w:type="paragraph" w:customStyle="1" w:styleId="enumlev1">
    <w:name w:val="enumlev1"/>
    <w:basedOn w:val="Normal"/>
    <w:link w:val="enumlev1Char"/>
    <w:rsid w:val="00862592"/>
    <w:pPr>
      <w:spacing w:before="80"/>
      <w:ind w:left="794" w:hanging="794"/>
    </w:pPr>
  </w:style>
  <w:style w:type="paragraph" w:customStyle="1" w:styleId="enumlev2">
    <w:name w:val="enumlev2"/>
    <w:basedOn w:val="enumlev1"/>
    <w:rsid w:val="00862592"/>
    <w:pPr>
      <w:ind w:left="1191" w:hanging="397"/>
    </w:pPr>
  </w:style>
  <w:style w:type="paragraph" w:customStyle="1" w:styleId="enumlev3">
    <w:name w:val="enumlev3"/>
    <w:basedOn w:val="enumlev2"/>
    <w:rsid w:val="00862592"/>
    <w:pPr>
      <w:ind w:left="1588"/>
    </w:pPr>
  </w:style>
  <w:style w:type="paragraph" w:customStyle="1" w:styleId="Normalaftertitle">
    <w:name w:val="Normal_after_title"/>
    <w:basedOn w:val="Normal"/>
    <w:next w:val="Normal"/>
    <w:rsid w:val="00862592"/>
    <w:pPr>
      <w:spacing w:before="320"/>
    </w:pPr>
  </w:style>
  <w:style w:type="paragraph" w:customStyle="1" w:styleId="Note">
    <w:name w:val="Note"/>
    <w:basedOn w:val="Normal"/>
    <w:rsid w:val="0086259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62592"/>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62592"/>
    <w:pPr>
      <w:spacing w:before="240"/>
    </w:pPr>
    <w:rPr>
      <w:sz w:val="22"/>
      <w:lang w:val="es-ES_tradnl"/>
    </w:rPr>
  </w:style>
  <w:style w:type="paragraph" w:customStyle="1" w:styleId="Recref">
    <w:name w:val="Rec_ref"/>
    <w:basedOn w:val="Normal"/>
    <w:next w:val="Recdate"/>
    <w:rsid w:val="00862592"/>
    <w:pPr>
      <w:jc w:val="center"/>
    </w:pPr>
  </w:style>
  <w:style w:type="paragraph" w:customStyle="1" w:styleId="Recdate">
    <w:name w:val="Rec_date"/>
    <w:basedOn w:val="Recref"/>
    <w:next w:val="Normalaftertitle"/>
    <w:rsid w:val="00862592"/>
    <w:pPr>
      <w:jc w:val="right"/>
    </w:pPr>
  </w:style>
  <w:style w:type="paragraph" w:customStyle="1" w:styleId="AnnexNoTitle">
    <w:name w:val="Annex_NoTitle"/>
    <w:basedOn w:val="Normal"/>
    <w:next w:val="Normalaftertitle"/>
    <w:rsid w:val="00862592"/>
    <w:pPr>
      <w:keepNext/>
      <w:keepLines/>
      <w:spacing w:before="480" w:after="80"/>
      <w:jc w:val="center"/>
    </w:pPr>
    <w:rPr>
      <w:b/>
      <w:sz w:val="28"/>
    </w:rPr>
  </w:style>
  <w:style w:type="paragraph" w:customStyle="1" w:styleId="AppendixNoTitle">
    <w:name w:val="Appendix_NoTitle"/>
    <w:basedOn w:val="AnnexNoTitle"/>
    <w:next w:val="Normal"/>
    <w:rsid w:val="00862592"/>
  </w:style>
  <w:style w:type="paragraph" w:customStyle="1" w:styleId="Tablefin">
    <w:name w:val="Table_fin"/>
    <w:basedOn w:val="Normal"/>
    <w:next w:val="Normal"/>
    <w:rsid w:val="00862592"/>
    <w:pPr>
      <w:spacing w:before="0"/>
    </w:pPr>
    <w:rPr>
      <w:sz w:val="20"/>
      <w:lang w:val="en-GB"/>
    </w:rPr>
  </w:style>
  <w:style w:type="paragraph" w:customStyle="1" w:styleId="Tablehead">
    <w:name w:val="Table_head"/>
    <w:basedOn w:val="Normal"/>
    <w:next w:val="Normal"/>
    <w:link w:val="TableheadChar"/>
    <w:rsid w:val="0086259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625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592"/>
    <w:pPr>
      <w:keepNext/>
      <w:spacing w:before="360" w:after="120"/>
      <w:jc w:val="center"/>
    </w:pPr>
  </w:style>
  <w:style w:type="paragraph" w:customStyle="1" w:styleId="Tabletext">
    <w:name w:val="Table_text"/>
    <w:basedOn w:val="Normal"/>
    <w:link w:val="TabletextChar"/>
    <w:rsid w:val="0086259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62592"/>
    <w:pPr>
      <w:tabs>
        <w:tab w:val="clear" w:pos="1191"/>
        <w:tab w:val="clear" w:pos="1588"/>
        <w:tab w:val="clear" w:pos="1985"/>
        <w:tab w:val="center" w:pos="4820"/>
        <w:tab w:val="right" w:pos="9639"/>
      </w:tabs>
    </w:pPr>
  </w:style>
  <w:style w:type="paragraph" w:customStyle="1" w:styleId="Equationlegend">
    <w:name w:val="Equation_legend"/>
    <w:basedOn w:val="NormalIndent"/>
    <w:rsid w:val="0086259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62592"/>
    <w:pPr>
      <w:ind w:left="794"/>
    </w:pPr>
  </w:style>
  <w:style w:type="paragraph" w:customStyle="1" w:styleId="Figurelegend">
    <w:name w:val="Figure_legend"/>
    <w:basedOn w:val="Normal"/>
    <w:rsid w:val="0086259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592"/>
    <w:pPr>
      <w:keepNext/>
      <w:keepLines/>
      <w:spacing w:before="480" w:after="80"/>
      <w:jc w:val="center"/>
    </w:pPr>
    <w:rPr>
      <w:caps/>
      <w:sz w:val="18"/>
    </w:rPr>
  </w:style>
  <w:style w:type="paragraph" w:customStyle="1" w:styleId="tocpart">
    <w:name w:val="tocpart"/>
    <w:basedOn w:val="Normal"/>
    <w:rsid w:val="0086259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62592"/>
    <w:pPr>
      <w:keepNext/>
      <w:keepLines/>
      <w:spacing w:before="480"/>
      <w:jc w:val="center"/>
    </w:pPr>
    <w:rPr>
      <w:sz w:val="28"/>
    </w:rPr>
  </w:style>
  <w:style w:type="paragraph" w:customStyle="1" w:styleId="Arttitle">
    <w:name w:val="Art_title"/>
    <w:basedOn w:val="Normal"/>
    <w:next w:val="Normalaftertitle"/>
    <w:rsid w:val="00862592"/>
    <w:pPr>
      <w:keepNext/>
      <w:keepLines/>
      <w:spacing w:before="240"/>
      <w:jc w:val="center"/>
    </w:pPr>
    <w:rPr>
      <w:b/>
      <w:sz w:val="28"/>
    </w:rPr>
  </w:style>
  <w:style w:type="paragraph" w:customStyle="1" w:styleId="Blanc">
    <w:name w:val="Blanc"/>
    <w:basedOn w:val="Normal"/>
    <w:next w:val="Tabletext"/>
    <w:rsid w:val="0086259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6259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62592"/>
    <w:pPr>
      <w:keepNext/>
      <w:keepLines/>
      <w:spacing w:before="160"/>
      <w:ind w:left="794"/>
    </w:pPr>
    <w:rPr>
      <w:i/>
    </w:rPr>
  </w:style>
  <w:style w:type="paragraph" w:customStyle="1" w:styleId="ChapNo">
    <w:name w:val="Chap_No"/>
    <w:basedOn w:val="ArtNo"/>
    <w:next w:val="Chaptitle"/>
    <w:rsid w:val="00862592"/>
    <w:rPr>
      <w:b/>
    </w:rPr>
  </w:style>
  <w:style w:type="paragraph" w:customStyle="1" w:styleId="Chaptitle">
    <w:name w:val="Chap_title"/>
    <w:basedOn w:val="Arttitle"/>
    <w:next w:val="Normalaftertitle"/>
    <w:rsid w:val="00862592"/>
  </w:style>
  <w:style w:type="character" w:styleId="FootnoteReference">
    <w:name w:val="footnote reference"/>
    <w:basedOn w:val="DefaultParagraphFont"/>
    <w:rsid w:val="00862592"/>
    <w:rPr>
      <w:position w:val="6"/>
      <w:sz w:val="18"/>
    </w:rPr>
  </w:style>
  <w:style w:type="paragraph" w:styleId="FootnoteText">
    <w:name w:val="footnote text"/>
    <w:basedOn w:val="Normal"/>
    <w:link w:val="FootnoteTextChar"/>
    <w:rsid w:val="00862592"/>
    <w:pPr>
      <w:keepLines/>
      <w:tabs>
        <w:tab w:val="left" w:pos="255"/>
      </w:tabs>
      <w:ind w:left="255" w:hanging="255"/>
    </w:pPr>
    <w:rPr>
      <w:sz w:val="22"/>
    </w:rPr>
  </w:style>
  <w:style w:type="paragraph" w:styleId="Index1">
    <w:name w:val="index 1"/>
    <w:basedOn w:val="Normal"/>
    <w:next w:val="Normal"/>
    <w:semiHidden/>
    <w:rsid w:val="00862592"/>
  </w:style>
  <w:style w:type="paragraph" w:styleId="Index2">
    <w:name w:val="index 2"/>
    <w:basedOn w:val="Normal"/>
    <w:next w:val="Normal"/>
    <w:semiHidden/>
    <w:rsid w:val="00862592"/>
    <w:pPr>
      <w:ind w:left="283"/>
    </w:pPr>
  </w:style>
  <w:style w:type="paragraph" w:styleId="Index3">
    <w:name w:val="index 3"/>
    <w:basedOn w:val="Normal"/>
    <w:next w:val="Normal"/>
    <w:semiHidden/>
    <w:rsid w:val="00862592"/>
    <w:pPr>
      <w:ind w:left="566"/>
    </w:pPr>
  </w:style>
  <w:style w:type="paragraph" w:styleId="IndexHeading">
    <w:name w:val="index heading"/>
    <w:basedOn w:val="Normal"/>
    <w:next w:val="Index1"/>
    <w:semiHidden/>
    <w:rsid w:val="00862592"/>
  </w:style>
  <w:style w:type="paragraph" w:customStyle="1" w:styleId="Line">
    <w:name w:val="Line"/>
    <w:basedOn w:val="Normal"/>
    <w:next w:val="Normal"/>
    <w:rsid w:val="0086259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59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62592"/>
  </w:style>
  <w:style w:type="paragraph" w:customStyle="1" w:styleId="Partref">
    <w:name w:val="Part_ref"/>
    <w:basedOn w:val="Normal"/>
    <w:next w:val="Normal"/>
    <w:rsid w:val="00862592"/>
    <w:pPr>
      <w:keepNext/>
      <w:keepLines/>
      <w:spacing w:after="280"/>
      <w:jc w:val="center"/>
    </w:pPr>
  </w:style>
  <w:style w:type="paragraph" w:customStyle="1" w:styleId="Parttitle">
    <w:name w:val="Part_title"/>
    <w:basedOn w:val="Normal"/>
    <w:next w:val="Normalaftertitle"/>
    <w:rsid w:val="0086259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62592"/>
  </w:style>
  <w:style w:type="paragraph" w:customStyle="1" w:styleId="QuestionNo">
    <w:name w:val="Question_No"/>
    <w:basedOn w:val="RecNo"/>
    <w:next w:val="Normal"/>
    <w:rsid w:val="00862592"/>
  </w:style>
  <w:style w:type="paragraph" w:customStyle="1" w:styleId="Questionref">
    <w:name w:val="Question_ref"/>
    <w:basedOn w:val="Recref"/>
    <w:next w:val="Questiondate"/>
    <w:rsid w:val="00862592"/>
  </w:style>
  <w:style w:type="paragraph" w:customStyle="1" w:styleId="Questiontitle">
    <w:name w:val="Question_title"/>
    <w:basedOn w:val="Normal"/>
    <w:next w:val="Questionref"/>
    <w:rsid w:val="00862592"/>
  </w:style>
  <w:style w:type="paragraph" w:customStyle="1" w:styleId="Reftext">
    <w:name w:val="Ref_text"/>
    <w:basedOn w:val="Normal"/>
    <w:rsid w:val="00862592"/>
    <w:pPr>
      <w:ind w:left="794" w:hanging="794"/>
    </w:pPr>
    <w:rPr>
      <w:sz w:val="22"/>
    </w:rPr>
  </w:style>
  <w:style w:type="paragraph" w:customStyle="1" w:styleId="Reftitle">
    <w:name w:val="Ref_title"/>
    <w:basedOn w:val="Normal"/>
    <w:next w:val="Reftext"/>
    <w:rsid w:val="0086259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62592"/>
  </w:style>
  <w:style w:type="paragraph" w:customStyle="1" w:styleId="RepNo">
    <w:name w:val="Rep_No"/>
    <w:basedOn w:val="RecNo"/>
    <w:next w:val="Reptitle"/>
    <w:rsid w:val="00862592"/>
  </w:style>
  <w:style w:type="paragraph" w:customStyle="1" w:styleId="Repref">
    <w:name w:val="Rep_ref"/>
    <w:basedOn w:val="Recref"/>
    <w:next w:val="Repdate"/>
    <w:rsid w:val="00862592"/>
  </w:style>
  <w:style w:type="paragraph" w:customStyle="1" w:styleId="Reptitle">
    <w:name w:val="Rep_title"/>
    <w:basedOn w:val="Rectitle"/>
    <w:next w:val="Repref"/>
    <w:rsid w:val="00862592"/>
  </w:style>
  <w:style w:type="paragraph" w:customStyle="1" w:styleId="Resdate">
    <w:name w:val="Res_date"/>
    <w:basedOn w:val="Recdate"/>
    <w:next w:val="Normalaftertitle"/>
    <w:rsid w:val="00862592"/>
  </w:style>
  <w:style w:type="paragraph" w:customStyle="1" w:styleId="ResNo">
    <w:name w:val="Res_No"/>
    <w:basedOn w:val="RecNo"/>
    <w:next w:val="Restitle"/>
    <w:rsid w:val="00862592"/>
  </w:style>
  <w:style w:type="paragraph" w:customStyle="1" w:styleId="Resref">
    <w:name w:val="Res_ref"/>
    <w:basedOn w:val="Recref"/>
    <w:next w:val="Resdate"/>
    <w:rsid w:val="00862592"/>
  </w:style>
  <w:style w:type="paragraph" w:customStyle="1" w:styleId="Restitle">
    <w:name w:val="Res_title"/>
    <w:basedOn w:val="Normal"/>
    <w:next w:val="Resref"/>
    <w:rsid w:val="00862592"/>
    <w:pPr>
      <w:spacing w:before="240"/>
      <w:jc w:val="center"/>
    </w:pPr>
    <w:rPr>
      <w:b/>
      <w:sz w:val="28"/>
    </w:rPr>
  </w:style>
  <w:style w:type="paragraph" w:customStyle="1" w:styleId="SectionNo">
    <w:name w:val="Section_No"/>
    <w:basedOn w:val="Normal"/>
    <w:next w:val="Normal"/>
    <w:rsid w:val="00862592"/>
  </w:style>
  <w:style w:type="paragraph" w:customStyle="1" w:styleId="Sectiontitle">
    <w:name w:val="Section_title"/>
    <w:basedOn w:val="Normal"/>
    <w:next w:val="Normalaftertitle"/>
    <w:rsid w:val="0086259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62592"/>
    <w:pPr>
      <w:tabs>
        <w:tab w:val="clear" w:pos="794"/>
        <w:tab w:val="clear" w:pos="1191"/>
        <w:tab w:val="clear" w:pos="1588"/>
        <w:tab w:val="clear" w:pos="1985"/>
        <w:tab w:val="right" w:pos="9611"/>
      </w:tabs>
    </w:pPr>
    <w:rPr>
      <w:i/>
    </w:rPr>
  </w:style>
  <w:style w:type="paragraph" w:styleId="TOC1">
    <w:name w:val="toc 1"/>
    <w:basedOn w:val="Normal"/>
    <w:rsid w:val="0086259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62592"/>
    <w:pPr>
      <w:tabs>
        <w:tab w:val="clear" w:pos="567"/>
        <w:tab w:val="left" w:pos="1276"/>
      </w:tabs>
      <w:spacing w:before="160"/>
      <w:ind w:left="1276" w:hanging="709"/>
    </w:pPr>
  </w:style>
  <w:style w:type="paragraph" w:styleId="TOC3">
    <w:name w:val="toc 3"/>
    <w:basedOn w:val="TOC2"/>
    <w:semiHidden/>
    <w:rsid w:val="00862592"/>
    <w:pPr>
      <w:tabs>
        <w:tab w:val="clear" w:pos="1276"/>
        <w:tab w:val="left" w:pos="2155"/>
      </w:tabs>
      <w:ind w:left="2155" w:hanging="879"/>
    </w:pPr>
  </w:style>
  <w:style w:type="paragraph" w:styleId="TOC4">
    <w:name w:val="toc 4"/>
    <w:basedOn w:val="TOC3"/>
    <w:semiHidden/>
    <w:rsid w:val="00862592"/>
    <w:pPr>
      <w:tabs>
        <w:tab w:val="left" w:pos="3261"/>
      </w:tabs>
      <w:spacing w:before="80"/>
      <w:ind w:left="3261" w:hanging="993"/>
    </w:pPr>
  </w:style>
  <w:style w:type="paragraph" w:styleId="TOC5">
    <w:name w:val="toc 5"/>
    <w:basedOn w:val="TOC4"/>
    <w:semiHidden/>
    <w:rsid w:val="00862592"/>
  </w:style>
  <w:style w:type="paragraph" w:styleId="TOC6">
    <w:name w:val="toc 6"/>
    <w:basedOn w:val="TOC4"/>
    <w:semiHidden/>
    <w:rsid w:val="00862592"/>
  </w:style>
  <w:style w:type="paragraph" w:styleId="TOC7">
    <w:name w:val="toc 7"/>
    <w:basedOn w:val="TOC4"/>
    <w:semiHidden/>
    <w:rsid w:val="00862592"/>
  </w:style>
  <w:style w:type="paragraph" w:styleId="TOC8">
    <w:name w:val="toc 8"/>
    <w:basedOn w:val="TOC4"/>
    <w:semiHidden/>
    <w:rsid w:val="00862592"/>
  </w:style>
  <w:style w:type="paragraph" w:customStyle="1" w:styleId="Rectitle">
    <w:name w:val="Rec_title"/>
    <w:basedOn w:val="Normal"/>
    <w:next w:val="Recref"/>
    <w:rsid w:val="00862592"/>
    <w:pPr>
      <w:keepNext/>
      <w:keepLines/>
      <w:spacing w:before="240"/>
      <w:jc w:val="center"/>
    </w:pPr>
    <w:rPr>
      <w:b/>
      <w:sz w:val="28"/>
    </w:rPr>
  </w:style>
  <w:style w:type="paragraph" w:customStyle="1" w:styleId="Annexref">
    <w:name w:val="Annex_ref"/>
    <w:basedOn w:val="Normal"/>
    <w:next w:val="Normalaftertitle"/>
    <w:rsid w:val="00862592"/>
    <w:pPr>
      <w:keepNext/>
      <w:keepLines/>
      <w:spacing w:after="280"/>
      <w:jc w:val="center"/>
    </w:pPr>
  </w:style>
  <w:style w:type="paragraph" w:customStyle="1" w:styleId="Appendixref">
    <w:name w:val="Appendix_ref"/>
    <w:basedOn w:val="Annexref"/>
    <w:next w:val="Normalaftertitle"/>
    <w:rsid w:val="00862592"/>
  </w:style>
  <w:style w:type="paragraph" w:customStyle="1" w:styleId="Figuretitle">
    <w:name w:val="Figure_title"/>
    <w:basedOn w:val="Normal"/>
    <w:next w:val="Figure"/>
    <w:link w:val="FiguretitleChar"/>
    <w:rsid w:val="00862592"/>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862592"/>
    <w:pPr>
      <w:keepNext/>
      <w:spacing w:before="0" w:after="120"/>
      <w:jc w:val="center"/>
    </w:pPr>
    <w:rPr>
      <w:b/>
    </w:rPr>
  </w:style>
  <w:style w:type="paragraph" w:customStyle="1" w:styleId="Summary">
    <w:name w:val="Summary"/>
    <w:basedOn w:val="Normal"/>
    <w:next w:val="Normalaftertitle"/>
    <w:autoRedefine/>
    <w:rsid w:val="00862592"/>
    <w:pPr>
      <w:spacing w:after="480"/>
    </w:pPr>
    <w:rPr>
      <w:sz w:val="22"/>
      <w:lang w:val="es-ES_tradnl"/>
    </w:rPr>
  </w:style>
  <w:style w:type="character" w:styleId="Hyperlink">
    <w:name w:val="Hyperlink"/>
    <w:basedOn w:val="DefaultParagraphFont"/>
    <w:uiPriority w:val="99"/>
    <w:rsid w:val="00042292"/>
    <w:rPr>
      <w:color w:val="0000FF"/>
      <w:u w:val="single"/>
    </w:rPr>
  </w:style>
  <w:style w:type="paragraph" w:customStyle="1" w:styleId="Figure">
    <w:name w:val="Figure"/>
    <w:basedOn w:val="FigureNo"/>
    <w:next w:val="Normal"/>
    <w:link w:val="FigureChar"/>
    <w:rsid w:val="00862592"/>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62592"/>
    <w:pPr>
      <w:ind w:left="-85" w:firstLine="0"/>
    </w:pPr>
    <w:rPr>
      <w:lang w:val="en-US"/>
    </w:rPr>
  </w:style>
  <w:style w:type="paragraph" w:customStyle="1" w:styleId="TableText0">
    <w:name w:val="Table_Text"/>
    <w:basedOn w:val="Normal"/>
    <w:rsid w:val="00C411AF"/>
    <w:pPr>
      <w:keepNext/>
      <w:spacing w:before="100" w:after="100" w:line="190" w:lineRule="exact"/>
    </w:pPr>
    <w:rPr>
      <w:sz w:val="18"/>
      <w:szCs w:val="18"/>
      <w:lang w:val="en-GB" w:eastAsia="zh-CN"/>
    </w:rPr>
  </w:style>
  <w:style w:type="paragraph" w:customStyle="1" w:styleId="Annex">
    <w:name w:val="Annex_#"/>
    <w:basedOn w:val="Normal"/>
    <w:next w:val="Normal"/>
    <w:rsid w:val="00C411A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Title">
    <w:name w:val="Annex_Title"/>
    <w:basedOn w:val="Normal"/>
    <w:next w:val="Normalaftertitle0"/>
    <w:rsid w:val="00C411A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Normalaftertitle0">
    <w:name w:val="Normal after title"/>
    <w:basedOn w:val="Normal"/>
    <w:next w:val="Normal"/>
    <w:rsid w:val="00C411AF"/>
    <w:pPr>
      <w:spacing w:before="480"/>
    </w:pPr>
    <w:rPr>
      <w:sz w:val="20"/>
      <w:lang w:val="en-GB" w:eastAsia="zh-CN"/>
    </w:rPr>
  </w:style>
  <w:style w:type="paragraph" w:customStyle="1" w:styleId="call0">
    <w:name w:val="call"/>
    <w:basedOn w:val="Normal"/>
    <w:next w:val="Normal"/>
    <w:rsid w:val="00C411AF"/>
    <w:pPr>
      <w:keepNext/>
      <w:keepLines/>
      <w:tabs>
        <w:tab w:val="clear" w:pos="1191"/>
        <w:tab w:val="clear" w:pos="1588"/>
        <w:tab w:val="clear" w:pos="1985"/>
      </w:tabs>
      <w:spacing w:before="227"/>
      <w:ind w:left="794"/>
      <w:jc w:val="left"/>
    </w:pPr>
    <w:rPr>
      <w:i/>
      <w:iCs/>
      <w:sz w:val="20"/>
      <w:lang w:val="en-GB" w:eastAsia="zh-CN"/>
    </w:rPr>
  </w:style>
  <w:style w:type="paragraph" w:customStyle="1" w:styleId="RecTitleRef">
    <w:name w:val="Rec_Title/Ref"/>
    <w:basedOn w:val="Normal"/>
    <w:next w:val="RecTitleDate"/>
    <w:rsid w:val="00C411AF"/>
    <w:pPr>
      <w:keepNext/>
      <w:keepLines/>
      <w:tabs>
        <w:tab w:val="clear" w:pos="794"/>
        <w:tab w:val="clear" w:pos="1191"/>
        <w:tab w:val="clear" w:pos="1588"/>
        <w:tab w:val="clear" w:pos="1985"/>
        <w:tab w:val="center" w:pos="4849"/>
        <w:tab w:val="right" w:pos="9696"/>
      </w:tabs>
      <w:spacing w:before="136"/>
      <w:jc w:val="center"/>
    </w:pPr>
    <w:rPr>
      <w:sz w:val="20"/>
      <w:lang w:val="en-GB" w:eastAsia="zh-CN"/>
    </w:rPr>
  </w:style>
  <w:style w:type="paragraph" w:customStyle="1" w:styleId="RecTitleDate">
    <w:name w:val="Rec_Title/Date"/>
    <w:basedOn w:val="RecTitleRef"/>
    <w:next w:val="headfoot"/>
    <w:rsid w:val="00C411AF"/>
    <w:pPr>
      <w:tabs>
        <w:tab w:val="clear" w:pos="4849"/>
      </w:tabs>
      <w:jc w:val="right"/>
    </w:pPr>
  </w:style>
  <w:style w:type="paragraph" w:customStyle="1" w:styleId="headfoot">
    <w:name w:val="head_foot"/>
    <w:basedOn w:val="Normal"/>
    <w:next w:val="Normalaftertitle0"/>
    <w:rsid w:val="00C411AF"/>
    <w:pPr>
      <w:tabs>
        <w:tab w:val="clear" w:pos="794"/>
        <w:tab w:val="clear" w:pos="1191"/>
        <w:tab w:val="clear" w:pos="1588"/>
        <w:tab w:val="clear" w:pos="1985"/>
      </w:tabs>
      <w:spacing w:before="0"/>
    </w:pPr>
    <w:rPr>
      <w:color w:val="FF0000"/>
      <w:sz w:val="8"/>
      <w:szCs w:val="8"/>
      <w:lang w:val="en-GB" w:eastAsia="zh-CN"/>
    </w:rPr>
  </w:style>
  <w:style w:type="character" w:customStyle="1" w:styleId="TableheadChar">
    <w:name w:val="Table_head Char"/>
    <w:basedOn w:val="DefaultParagraphFont"/>
    <w:link w:val="Tablehead"/>
    <w:locked/>
    <w:rsid w:val="00D33FA3"/>
    <w:rPr>
      <w:b/>
      <w:sz w:val="22"/>
      <w:lang w:val="fr-FR" w:eastAsia="en-US"/>
    </w:rPr>
  </w:style>
  <w:style w:type="character" w:customStyle="1" w:styleId="TabletextChar">
    <w:name w:val="Table_text Char"/>
    <w:basedOn w:val="DefaultParagraphFont"/>
    <w:link w:val="Tabletext"/>
    <w:locked/>
    <w:rsid w:val="00D33FA3"/>
    <w:rPr>
      <w:sz w:val="22"/>
      <w:lang w:val="fr-FR" w:eastAsia="en-US"/>
    </w:rPr>
  </w:style>
  <w:style w:type="character" w:customStyle="1" w:styleId="Heading1Char">
    <w:name w:val="Heading 1 Char"/>
    <w:basedOn w:val="DefaultParagraphFont"/>
    <w:link w:val="Heading1"/>
    <w:rsid w:val="001B2F46"/>
    <w:rPr>
      <w:b/>
      <w:sz w:val="24"/>
      <w:lang w:val="fr-FR" w:eastAsia="en-US"/>
    </w:rPr>
  </w:style>
  <w:style w:type="character" w:customStyle="1" w:styleId="Heading2Char">
    <w:name w:val="Heading 2 Char"/>
    <w:basedOn w:val="DefaultParagraphFont"/>
    <w:link w:val="Heading2"/>
    <w:rsid w:val="001B2F46"/>
    <w:rPr>
      <w:b/>
      <w:sz w:val="24"/>
      <w:lang w:val="fr-FR" w:eastAsia="en-US"/>
    </w:rPr>
  </w:style>
  <w:style w:type="character" w:customStyle="1" w:styleId="FigureNoChar">
    <w:name w:val="Figure_No Char"/>
    <w:basedOn w:val="DefaultParagraphFont"/>
    <w:link w:val="FigureNo"/>
    <w:locked/>
    <w:rsid w:val="001B2F46"/>
    <w:rPr>
      <w:caps/>
      <w:sz w:val="18"/>
      <w:lang w:val="fr-FR" w:eastAsia="en-US"/>
    </w:rPr>
  </w:style>
  <w:style w:type="character" w:styleId="CommentReference">
    <w:name w:val="annotation reference"/>
    <w:semiHidden/>
    <w:rsid w:val="00574749"/>
    <w:rPr>
      <w:sz w:val="16"/>
      <w:szCs w:val="16"/>
    </w:rPr>
  </w:style>
  <w:style w:type="paragraph" w:styleId="CommentText">
    <w:name w:val="annotation text"/>
    <w:basedOn w:val="Normal"/>
    <w:link w:val="CommentTextChar"/>
    <w:semiHidden/>
    <w:rsid w:val="00574749"/>
    <w:rPr>
      <w:sz w:val="20"/>
    </w:rPr>
  </w:style>
  <w:style w:type="character" w:customStyle="1" w:styleId="CommentTextChar">
    <w:name w:val="Comment Text Char"/>
    <w:basedOn w:val="DefaultParagraphFont"/>
    <w:link w:val="CommentText"/>
    <w:semiHidden/>
    <w:rsid w:val="00574749"/>
    <w:rPr>
      <w:lang w:val="fr-FR" w:eastAsia="en-US"/>
    </w:rPr>
  </w:style>
  <w:style w:type="paragraph" w:styleId="CommentSubject">
    <w:name w:val="annotation subject"/>
    <w:basedOn w:val="CommentText"/>
    <w:next w:val="CommentText"/>
    <w:link w:val="CommentSubjectChar"/>
    <w:semiHidden/>
    <w:rsid w:val="00574749"/>
    <w:rPr>
      <w:b/>
      <w:bCs/>
    </w:rPr>
  </w:style>
  <w:style w:type="character" w:customStyle="1" w:styleId="CommentSubjectChar">
    <w:name w:val="Comment Subject Char"/>
    <w:basedOn w:val="CommentTextChar"/>
    <w:link w:val="CommentSubject"/>
    <w:semiHidden/>
    <w:rsid w:val="00574749"/>
    <w:rPr>
      <w:b/>
      <w:bCs/>
      <w:lang w:val="fr-FR" w:eastAsia="en-US"/>
    </w:rPr>
  </w:style>
  <w:style w:type="character" w:customStyle="1" w:styleId="Tablefreq">
    <w:name w:val="Table_freq"/>
    <w:rsid w:val="00574749"/>
    <w:rPr>
      <w:b/>
      <w:color w:val="auto"/>
    </w:rPr>
  </w:style>
  <w:style w:type="paragraph" w:customStyle="1" w:styleId="Table">
    <w:name w:val="Table_#"/>
    <w:basedOn w:val="Normal"/>
    <w:next w:val="Normal"/>
    <w:rsid w:val="00574749"/>
    <w:pPr>
      <w:keepNext/>
      <w:tabs>
        <w:tab w:val="clear" w:pos="794"/>
        <w:tab w:val="clear" w:pos="1191"/>
        <w:tab w:val="clear" w:pos="1588"/>
        <w:tab w:val="clear" w:pos="1985"/>
      </w:tabs>
      <w:spacing w:before="567" w:after="113"/>
      <w:jc w:val="center"/>
    </w:pPr>
    <w:rPr>
      <w:sz w:val="18"/>
    </w:rPr>
  </w:style>
  <w:style w:type="character" w:customStyle="1" w:styleId="FooterChar">
    <w:name w:val="Footer Char"/>
    <w:link w:val="Footer"/>
    <w:rsid w:val="00574749"/>
    <w:rPr>
      <w:noProof/>
      <w:sz w:val="18"/>
      <w:lang w:val="fr-FR" w:eastAsia="en-US"/>
    </w:rPr>
  </w:style>
  <w:style w:type="paragraph" w:customStyle="1" w:styleId="Reasons">
    <w:name w:val="Reasons"/>
    <w:basedOn w:val="Normal"/>
    <w:qFormat/>
    <w:rsid w:val="0057474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erChar">
    <w:name w:val="Header Char"/>
    <w:basedOn w:val="DefaultParagraphFont"/>
    <w:link w:val="Header"/>
    <w:rsid w:val="00574749"/>
    <w:rPr>
      <w:sz w:val="24"/>
      <w:lang w:val="fr-FR" w:eastAsia="en-US"/>
    </w:rPr>
  </w:style>
  <w:style w:type="character" w:customStyle="1" w:styleId="Heading3Char">
    <w:name w:val="Heading 3 Char"/>
    <w:basedOn w:val="DefaultParagraphFont"/>
    <w:link w:val="Heading3"/>
    <w:rsid w:val="00C948BC"/>
    <w:rPr>
      <w:b/>
      <w:sz w:val="24"/>
      <w:lang w:val="fr-FR" w:eastAsia="en-US"/>
    </w:rPr>
  </w:style>
  <w:style w:type="character" w:customStyle="1" w:styleId="FootnoteTextChar">
    <w:name w:val="Footnote Text Char"/>
    <w:basedOn w:val="DefaultParagraphFont"/>
    <w:link w:val="FootnoteText"/>
    <w:rsid w:val="00C948BC"/>
    <w:rPr>
      <w:sz w:val="22"/>
      <w:lang w:val="fr-FR" w:eastAsia="en-US"/>
    </w:rPr>
  </w:style>
  <w:style w:type="character" w:customStyle="1" w:styleId="FiguretitleChar">
    <w:name w:val="Figure_title Char"/>
    <w:link w:val="Figuretitle"/>
    <w:locked/>
    <w:rsid w:val="00C948BC"/>
    <w:rPr>
      <w:rFonts w:ascii="Times New Roman Bold" w:hAnsi="Times New Roman Bold"/>
      <w:b/>
      <w:sz w:val="18"/>
      <w:lang w:val="fr-FR" w:eastAsia="en-US"/>
    </w:rPr>
  </w:style>
  <w:style w:type="character" w:customStyle="1" w:styleId="TableNoChar">
    <w:name w:val="Table_No Char"/>
    <w:link w:val="TableNo"/>
    <w:locked/>
    <w:rsid w:val="00C948BC"/>
    <w:rPr>
      <w:sz w:val="24"/>
      <w:lang w:val="fr-FR" w:eastAsia="en-US"/>
    </w:rPr>
  </w:style>
  <w:style w:type="character" w:customStyle="1" w:styleId="TabletitleChar">
    <w:name w:val="Table_title Char"/>
    <w:link w:val="Tabletitle"/>
    <w:locked/>
    <w:rsid w:val="00C948BC"/>
    <w:rPr>
      <w:b/>
      <w:sz w:val="24"/>
      <w:lang w:val="fr-FR" w:eastAsia="en-US"/>
    </w:rPr>
  </w:style>
  <w:style w:type="character" w:customStyle="1" w:styleId="enumlev1Char">
    <w:name w:val="enumlev1 Char"/>
    <w:basedOn w:val="DefaultParagraphFont"/>
    <w:link w:val="enumlev1"/>
    <w:rsid w:val="00C948BC"/>
    <w:rPr>
      <w:sz w:val="24"/>
      <w:lang w:val="fr-FR" w:eastAsia="en-US"/>
    </w:rPr>
  </w:style>
  <w:style w:type="character" w:customStyle="1" w:styleId="FigureChar">
    <w:name w:val="Figure Char"/>
    <w:basedOn w:val="DefaultParagraphFont"/>
    <w:link w:val="Figure"/>
    <w:locked/>
    <w:rsid w:val="00C948BC"/>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7.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w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wmf"/><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175</TotalTime>
  <Pages>11</Pages>
  <Words>3501</Words>
  <Characters>19024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22481</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6</cp:revision>
  <cp:lastPrinted>2005-02-10T14:54:00Z</cp:lastPrinted>
  <dcterms:created xsi:type="dcterms:W3CDTF">2018-06-14T09:15:00Z</dcterms:created>
  <dcterms:modified xsi:type="dcterms:W3CDTF">2018-06-14T12:13:00Z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