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335DDA" w:rsidRDefault="00FE79FE">
      <w:pPr>
        <w:rPr>
          <w:lang w:val="ru-RU"/>
        </w:rPr>
      </w:pPr>
    </w:p>
    <w:p w:rsidR="00FE79FE" w:rsidRPr="00335DDA" w:rsidRDefault="00FE79FE">
      <w:pPr>
        <w:rPr>
          <w:lang w:val="ru-RU"/>
        </w:rPr>
      </w:pPr>
    </w:p>
    <w:p w:rsidR="00FE79FE" w:rsidRPr="00335DDA" w:rsidRDefault="00FE79FE">
      <w:pPr>
        <w:rPr>
          <w:lang w:val="ru-RU"/>
        </w:rPr>
      </w:pPr>
    </w:p>
    <w:p w:rsidR="00FE79FE" w:rsidRPr="00335DDA" w:rsidRDefault="00FE79FE">
      <w:pPr>
        <w:rPr>
          <w:lang w:val="ru-RU"/>
        </w:rPr>
      </w:pPr>
    </w:p>
    <w:p w:rsidR="00FE79FE" w:rsidRPr="00335DDA" w:rsidRDefault="00FE79FE">
      <w:pPr>
        <w:rPr>
          <w:lang w:val="ru-RU"/>
        </w:rPr>
      </w:pPr>
    </w:p>
    <w:p w:rsidR="00013002" w:rsidRPr="00335DDA" w:rsidRDefault="00013002">
      <w:pPr>
        <w:rPr>
          <w:lang w:val="ru-RU"/>
        </w:rPr>
      </w:pPr>
    </w:p>
    <w:p w:rsidR="00013002" w:rsidRPr="00335DDA" w:rsidRDefault="00013002">
      <w:pPr>
        <w:rPr>
          <w:lang w:val="ru-RU"/>
        </w:rPr>
      </w:pPr>
    </w:p>
    <w:p w:rsidR="00013002" w:rsidRPr="00335DDA" w:rsidRDefault="00013002">
      <w:pPr>
        <w:rPr>
          <w:lang w:val="ru-RU"/>
        </w:rPr>
      </w:pPr>
    </w:p>
    <w:p w:rsidR="00FE79FE" w:rsidRPr="00335DDA" w:rsidRDefault="00FE79FE">
      <w:pPr>
        <w:rPr>
          <w:lang w:val="ru-RU"/>
        </w:rPr>
      </w:pPr>
    </w:p>
    <w:p w:rsidR="00FE79FE" w:rsidRPr="00335DDA" w:rsidRDefault="00FE79FE">
      <w:pPr>
        <w:rPr>
          <w:lang w:val="ru-RU"/>
        </w:rPr>
      </w:pPr>
    </w:p>
    <w:p w:rsidR="00FE79FE" w:rsidRPr="00335DDA" w:rsidRDefault="00FE79FE">
      <w:pPr>
        <w:rPr>
          <w:lang w:val="ru-RU"/>
        </w:rPr>
      </w:pPr>
    </w:p>
    <w:p w:rsidR="00FE79FE" w:rsidRPr="00335DDA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35DDA">
        <w:tc>
          <w:tcPr>
            <w:tcW w:w="10089" w:type="dxa"/>
          </w:tcPr>
          <w:p w:rsidR="00276D21" w:rsidRPr="00335DDA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335DDA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35D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335D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M.</w:t>
            </w:r>
            <w:r w:rsidR="007C0E44" w:rsidRPr="00335D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2003-2</w:t>
            </w:r>
          </w:p>
          <w:p w:rsidR="00FE79FE" w:rsidRPr="00335DDA" w:rsidRDefault="00FE79FE" w:rsidP="004D14D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35DD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7C0E44" w:rsidRPr="00335DD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01/2018</w:t>
            </w:r>
            <w:r w:rsidRPr="00335DD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335DDA">
        <w:tc>
          <w:tcPr>
            <w:tcW w:w="10089" w:type="dxa"/>
          </w:tcPr>
          <w:p w:rsidR="00013002" w:rsidRPr="00335DDA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7C0E44" w:rsidRPr="00335DDA" w:rsidRDefault="007C0E44" w:rsidP="007C0E4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35DD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Беспроводные системы с пропускной способностью несколько гигабит/с </w:t>
            </w:r>
            <w:r w:rsidRPr="00335DD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на частотах около 60 ГГц</w:t>
            </w:r>
          </w:p>
          <w:p w:rsidR="00A62A14" w:rsidRPr="00335DDA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35DDA">
        <w:tc>
          <w:tcPr>
            <w:tcW w:w="10089" w:type="dxa"/>
          </w:tcPr>
          <w:p w:rsidR="009E3058" w:rsidRPr="00335DDA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335DDA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335DDA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335DDA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35D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71378F" w:rsidRPr="00335DDA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35D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  <w:p w:rsidR="00A83C2A" w:rsidRPr="00335DDA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335DDA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335DDA" w:rsidRDefault="00FE79FE" w:rsidP="00CD659B">
      <w:pPr>
        <w:spacing w:before="80"/>
        <w:rPr>
          <w:i/>
          <w:lang w:val="ru-RU"/>
        </w:rPr>
      </w:pPr>
    </w:p>
    <w:p w:rsidR="00FE79FE" w:rsidRPr="00335DDA" w:rsidRDefault="00FE79FE" w:rsidP="00CD659B">
      <w:pPr>
        <w:spacing w:before="80"/>
        <w:rPr>
          <w:i/>
          <w:lang w:val="ru-RU"/>
        </w:rPr>
      </w:pPr>
    </w:p>
    <w:p w:rsidR="00FE79FE" w:rsidRPr="00335DDA" w:rsidRDefault="00FE79FE" w:rsidP="00CD659B">
      <w:pPr>
        <w:spacing w:before="80"/>
        <w:rPr>
          <w:i/>
          <w:lang w:val="ru-RU"/>
        </w:rPr>
      </w:pPr>
    </w:p>
    <w:p w:rsidR="00A71FE5" w:rsidRPr="00335DDA" w:rsidRDefault="00A71FE5" w:rsidP="00CD659B">
      <w:pPr>
        <w:spacing w:before="80"/>
        <w:rPr>
          <w:i/>
          <w:lang w:val="ru-RU"/>
        </w:rPr>
      </w:pPr>
    </w:p>
    <w:p w:rsidR="00CD659B" w:rsidRPr="00335DDA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335DDA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335DDA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35DDA">
        <w:rPr>
          <w:b/>
          <w:bCs/>
          <w:szCs w:val="22"/>
          <w:lang w:val="ru-RU"/>
        </w:rPr>
        <w:lastRenderedPageBreak/>
        <w:t>Предисловие</w:t>
      </w:r>
    </w:p>
    <w:p w:rsidR="006E56A2" w:rsidRPr="00335DDA" w:rsidRDefault="006E56A2" w:rsidP="006E56A2">
      <w:pPr>
        <w:rPr>
          <w:sz w:val="20"/>
          <w:lang w:val="ru-RU"/>
        </w:rPr>
      </w:pPr>
      <w:r w:rsidRPr="00335DD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335DDA" w:rsidRDefault="006E56A2" w:rsidP="006E56A2">
      <w:pPr>
        <w:rPr>
          <w:sz w:val="20"/>
          <w:lang w:val="ru-RU"/>
        </w:rPr>
      </w:pPr>
      <w:r w:rsidRPr="00335DD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335DDA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335DDA">
        <w:rPr>
          <w:b/>
          <w:bCs/>
          <w:szCs w:val="22"/>
          <w:lang w:val="ru-RU"/>
        </w:rPr>
        <w:t>Политика в области прав интеллект</w:t>
      </w:r>
      <w:bookmarkStart w:id="1" w:name="_GoBack"/>
      <w:bookmarkEnd w:id="1"/>
      <w:r w:rsidRPr="00335DDA">
        <w:rPr>
          <w:b/>
          <w:bCs/>
          <w:szCs w:val="22"/>
          <w:lang w:val="ru-RU"/>
        </w:rPr>
        <w:t>уальной собственности (ПИС)</w:t>
      </w:r>
    </w:p>
    <w:p w:rsidR="006E56A2" w:rsidRPr="00335DDA" w:rsidRDefault="006E56A2" w:rsidP="001A5DF7">
      <w:pPr>
        <w:rPr>
          <w:sz w:val="20"/>
          <w:lang w:val="ru-RU"/>
        </w:rPr>
      </w:pPr>
      <w:r w:rsidRPr="00335DDA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 w:rsidRPr="00335DDA">
        <w:rPr>
          <w:sz w:val="20"/>
          <w:lang w:val="ru-RU"/>
        </w:rPr>
        <w:t xml:space="preserve"> 1</w:t>
      </w:r>
      <w:r w:rsidRPr="00335DDA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35DDA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335DD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335DDA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335DDA" w:rsidTr="00EB0890">
        <w:trPr>
          <w:jc w:val="center"/>
        </w:trPr>
        <w:tc>
          <w:tcPr>
            <w:tcW w:w="8856" w:type="dxa"/>
            <w:gridSpan w:val="2"/>
          </w:tcPr>
          <w:p w:rsidR="006E56A2" w:rsidRPr="00335DDA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35DDA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335DDA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35DD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335DDA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35DDA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335DDA" w:rsidTr="00EB0890">
        <w:trPr>
          <w:jc w:val="center"/>
        </w:trPr>
        <w:tc>
          <w:tcPr>
            <w:tcW w:w="1188" w:type="dxa"/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335DDA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335DDA" w:rsidTr="00EB0890">
        <w:trPr>
          <w:jc w:val="center"/>
        </w:trPr>
        <w:tc>
          <w:tcPr>
            <w:tcW w:w="1188" w:type="dxa"/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335DDA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335DDA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335DDA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335DDA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335DDA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335DDA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35DDA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335DDA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35DDA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радиоопределения, любительская служба и относящиеся к ним спутниковые службы </w:t>
            </w:r>
          </w:p>
        </w:tc>
      </w:tr>
      <w:tr w:rsidR="006E56A2" w:rsidRPr="00335DDA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335DDA" w:rsidTr="00EB0890">
        <w:trPr>
          <w:jc w:val="center"/>
        </w:trPr>
        <w:tc>
          <w:tcPr>
            <w:tcW w:w="1188" w:type="dxa"/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335DDA" w:rsidTr="00EB0890">
        <w:trPr>
          <w:jc w:val="center"/>
        </w:trPr>
        <w:tc>
          <w:tcPr>
            <w:tcW w:w="1188" w:type="dxa"/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335DDA" w:rsidTr="00EB0890">
        <w:trPr>
          <w:jc w:val="center"/>
        </w:trPr>
        <w:tc>
          <w:tcPr>
            <w:tcW w:w="1188" w:type="dxa"/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335DDA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335DDA" w:rsidTr="00EB0890">
        <w:trPr>
          <w:jc w:val="center"/>
        </w:trPr>
        <w:tc>
          <w:tcPr>
            <w:tcW w:w="1188" w:type="dxa"/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335DDA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335DDA" w:rsidTr="00EB0890">
        <w:trPr>
          <w:jc w:val="center"/>
        </w:trPr>
        <w:tc>
          <w:tcPr>
            <w:tcW w:w="1188" w:type="dxa"/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335DDA" w:rsidTr="00EB0890">
        <w:trPr>
          <w:jc w:val="center"/>
        </w:trPr>
        <w:tc>
          <w:tcPr>
            <w:tcW w:w="1188" w:type="dxa"/>
          </w:tcPr>
          <w:p w:rsidR="006E56A2" w:rsidRPr="00335DD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335DD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335DDA" w:rsidTr="00EB0890">
        <w:trPr>
          <w:jc w:val="center"/>
        </w:trPr>
        <w:tc>
          <w:tcPr>
            <w:tcW w:w="1188" w:type="dxa"/>
          </w:tcPr>
          <w:p w:rsidR="006E56A2" w:rsidRPr="00335DDA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35DD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335DDA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35DD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335DDA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335DDA" w:rsidTr="00EB0890">
        <w:trPr>
          <w:jc w:val="center"/>
        </w:trPr>
        <w:tc>
          <w:tcPr>
            <w:tcW w:w="8856" w:type="dxa"/>
          </w:tcPr>
          <w:p w:rsidR="006E56A2" w:rsidRPr="00335DDA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35DD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35DDA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 w:rsidRPr="00335DDA">
              <w:rPr>
                <w:i/>
                <w:iCs/>
                <w:sz w:val="20"/>
                <w:lang w:val="ru-RU"/>
              </w:rPr>
              <w:t> </w:t>
            </w:r>
            <w:r w:rsidRPr="00335DDA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 w:rsidRPr="00335DDA">
              <w:rPr>
                <w:i/>
                <w:iCs/>
                <w:sz w:val="20"/>
                <w:lang w:val="ru-RU"/>
              </w:rPr>
              <w:t xml:space="preserve"> 1</w:t>
            </w:r>
            <w:r w:rsidRPr="00335DDA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335DDA" w:rsidRDefault="006E56A2" w:rsidP="007C0E44">
      <w:pPr>
        <w:spacing w:before="360"/>
        <w:jc w:val="right"/>
        <w:rPr>
          <w:sz w:val="20"/>
          <w:lang w:val="ru-RU"/>
        </w:rPr>
      </w:pPr>
      <w:r w:rsidRPr="00335DDA">
        <w:rPr>
          <w:i/>
          <w:iCs/>
          <w:sz w:val="20"/>
          <w:lang w:val="ru-RU"/>
        </w:rPr>
        <w:t>Электронная публикация</w:t>
      </w:r>
      <w:r w:rsidRPr="00335DDA">
        <w:rPr>
          <w:i/>
          <w:iCs/>
          <w:sz w:val="20"/>
          <w:lang w:val="ru-RU"/>
        </w:rPr>
        <w:br/>
      </w:r>
      <w:r w:rsidRPr="00335DDA">
        <w:rPr>
          <w:sz w:val="20"/>
          <w:lang w:val="ru-RU"/>
        </w:rPr>
        <w:t>Женева, 201</w:t>
      </w:r>
      <w:r w:rsidR="007C0E44" w:rsidRPr="00335DDA">
        <w:rPr>
          <w:sz w:val="20"/>
          <w:lang w:val="ru-RU"/>
        </w:rPr>
        <w:t>8</w:t>
      </w:r>
      <w:r w:rsidRPr="00335DDA">
        <w:rPr>
          <w:sz w:val="20"/>
          <w:lang w:val="ru-RU"/>
        </w:rPr>
        <w:t xml:space="preserve"> г.</w:t>
      </w:r>
    </w:p>
    <w:p w:rsidR="006E56A2" w:rsidRPr="00335DDA" w:rsidRDefault="00B62AB1" w:rsidP="007C0E44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35DDA">
        <w:rPr>
          <w:sz w:val="20"/>
          <w:lang w:val="ru-RU"/>
        </w:rPr>
        <w:sym w:font="Symbol" w:char="F0E3"/>
      </w:r>
      <w:r w:rsidRPr="00335DDA">
        <w:rPr>
          <w:sz w:val="20"/>
          <w:lang w:val="ru-RU"/>
        </w:rPr>
        <w:t xml:space="preserve"> ITU </w:t>
      </w:r>
      <w:bookmarkStart w:id="2" w:name="iiannee"/>
      <w:bookmarkEnd w:id="2"/>
      <w:r w:rsidRPr="00335DDA">
        <w:rPr>
          <w:sz w:val="20"/>
          <w:lang w:val="ru-RU"/>
        </w:rPr>
        <w:t>201</w:t>
      </w:r>
      <w:r w:rsidR="007C0E44" w:rsidRPr="00335DDA">
        <w:rPr>
          <w:sz w:val="20"/>
          <w:lang w:val="ru-RU"/>
        </w:rPr>
        <w:t>8</w:t>
      </w:r>
    </w:p>
    <w:p w:rsidR="00B62AB1" w:rsidRPr="00335DDA" w:rsidRDefault="006E56A2" w:rsidP="00B62AB1">
      <w:pPr>
        <w:rPr>
          <w:sz w:val="18"/>
          <w:szCs w:val="18"/>
          <w:lang w:val="ru-RU"/>
        </w:rPr>
      </w:pPr>
      <w:r w:rsidRPr="00335DD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335DDA">
        <w:rPr>
          <w:sz w:val="18"/>
          <w:szCs w:val="18"/>
          <w:lang w:val="ru-RU"/>
        </w:rPr>
        <w:t xml:space="preserve"> </w:t>
      </w:r>
    </w:p>
    <w:p w:rsidR="00B62AB1" w:rsidRPr="00335DDA" w:rsidRDefault="00B62AB1" w:rsidP="00B62AB1">
      <w:pPr>
        <w:spacing w:before="160"/>
        <w:rPr>
          <w:i/>
          <w:sz w:val="20"/>
          <w:lang w:val="ru-RU"/>
        </w:rPr>
        <w:sectPr w:rsidR="00B62AB1" w:rsidRPr="00335DD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335DDA" w:rsidRDefault="00C906E6" w:rsidP="003804DC">
      <w:pPr>
        <w:pStyle w:val="RecNo"/>
        <w:spacing w:before="0"/>
        <w:rPr>
          <w:lang w:val="ru-RU"/>
        </w:rPr>
      </w:pPr>
      <w:bookmarkStart w:id="3" w:name="irecnoe"/>
      <w:bookmarkEnd w:id="3"/>
      <w:r w:rsidRPr="00335DDA">
        <w:rPr>
          <w:lang w:val="ru-RU"/>
        </w:rPr>
        <w:lastRenderedPageBreak/>
        <w:t xml:space="preserve">РЕКОМЕНДАЦИЯ  </w:t>
      </w:r>
      <w:r w:rsidRPr="00335DDA">
        <w:rPr>
          <w:rStyle w:val="href"/>
          <w:lang w:val="ru-RU"/>
        </w:rPr>
        <w:t>МСЭ-R  M.</w:t>
      </w:r>
      <w:r w:rsidR="007C0E44" w:rsidRPr="00335DDA">
        <w:rPr>
          <w:rStyle w:val="href"/>
          <w:lang w:val="ru-RU"/>
        </w:rPr>
        <w:t>2003-2</w:t>
      </w:r>
    </w:p>
    <w:p w:rsidR="007C0E44" w:rsidRPr="00335DDA" w:rsidRDefault="007C0E44" w:rsidP="007C0E44">
      <w:pPr>
        <w:pStyle w:val="Rectitle"/>
        <w:rPr>
          <w:lang w:val="ru-RU"/>
        </w:rPr>
      </w:pPr>
      <w:r w:rsidRPr="00335DDA">
        <w:rPr>
          <w:lang w:val="ru-RU"/>
        </w:rPr>
        <w:t xml:space="preserve">Беспроводные системы с пропускной способностью несколько гигабит/с </w:t>
      </w:r>
      <w:r w:rsidRPr="00335DDA">
        <w:rPr>
          <w:lang w:val="ru-RU"/>
        </w:rPr>
        <w:br/>
        <w:t>на частотах около 60 ГГц</w:t>
      </w:r>
    </w:p>
    <w:p w:rsidR="007C0E44" w:rsidRPr="00335DDA" w:rsidRDefault="007C0E44" w:rsidP="007C0E44">
      <w:pPr>
        <w:pStyle w:val="Recref"/>
        <w:rPr>
          <w:lang w:val="ru-RU"/>
        </w:rPr>
      </w:pPr>
      <w:r w:rsidRPr="00335DDA">
        <w:rPr>
          <w:lang w:val="ru-RU"/>
        </w:rPr>
        <w:t>(Вопрос МСЭ-R 212-3/5)</w:t>
      </w:r>
    </w:p>
    <w:p w:rsidR="007C0E44" w:rsidRPr="00335DDA" w:rsidRDefault="007C0E44" w:rsidP="007C0E44">
      <w:pPr>
        <w:pStyle w:val="Recdate"/>
        <w:rPr>
          <w:lang w:val="ru-RU"/>
        </w:rPr>
      </w:pPr>
      <w:r w:rsidRPr="00335DDA">
        <w:rPr>
          <w:lang w:val="ru-RU"/>
        </w:rPr>
        <w:t>(2012-2015-2018)</w:t>
      </w:r>
    </w:p>
    <w:p w:rsidR="007C0E44" w:rsidRPr="00335DDA" w:rsidRDefault="007C0E44" w:rsidP="007C0E44">
      <w:pPr>
        <w:pStyle w:val="HeadingSum"/>
        <w:rPr>
          <w:szCs w:val="22"/>
          <w:lang w:val="ru-RU"/>
        </w:rPr>
      </w:pPr>
      <w:r w:rsidRPr="00335DDA">
        <w:rPr>
          <w:szCs w:val="22"/>
          <w:lang w:val="ru-RU"/>
        </w:rPr>
        <w:t>Сфера применения</w:t>
      </w:r>
    </w:p>
    <w:p w:rsidR="007C0E44" w:rsidRPr="00335DDA" w:rsidRDefault="007C0E44" w:rsidP="007C0E44">
      <w:pPr>
        <w:pStyle w:val="Summary"/>
        <w:rPr>
          <w:szCs w:val="22"/>
          <w:lang w:val="ru-RU" w:eastAsia="zh-CN"/>
        </w:rPr>
      </w:pPr>
      <w:r w:rsidRPr="00335DDA">
        <w:rPr>
          <w:szCs w:val="22"/>
          <w:lang w:val="ru-RU"/>
        </w:rPr>
        <w:t>В настоящей Рекомендации представлены общие характеристики и стандарты радиоинтерфейсов беспроводных систем с пропускной способностью несколько гигабит/с, работающих на частотах около 60 ГГц.</w:t>
      </w:r>
    </w:p>
    <w:p w:rsidR="007C0E44" w:rsidRPr="00335DDA" w:rsidRDefault="007C0E44" w:rsidP="007C0E44">
      <w:pPr>
        <w:pStyle w:val="Headingb"/>
        <w:rPr>
          <w:lang w:val="ru-RU"/>
        </w:rPr>
      </w:pPr>
      <w:r w:rsidRPr="00335DDA">
        <w:rPr>
          <w:lang w:val="ru-RU"/>
        </w:rPr>
        <w:t>Ключевые слова</w:t>
      </w:r>
    </w:p>
    <w:p w:rsidR="007C0E44" w:rsidRPr="00335DDA" w:rsidRDefault="007C0E44" w:rsidP="007C0E44">
      <w:pPr>
        <w:tabs>
          <w:tab w:val="left" w:pos="1134"/>
          <w:tab w:val="left" w:pos="1871"/>
          <w:tab w:val="left" w:pos="2268"/>
        </w:tabs>
        <w:rPr>
          <w:b/>
          <w:lang w:val="ru-RU"/>
        </w:rPr>
      </w:pPr>
      <w:r w:rsidRPr="00335DDA">
        <w:rPr>
          <w:lang w:val="ru-RU"/>
        </w:rPr>
        <w:t>MGWS, WLAN, RLAN, локальный беспроводной доступ, сети, локальные радиосети, система подвижной связи на малых расстояниях (CPMS)</w:t>
      </w:r>
    </w:p>
    <w:p w:rsidR="007C0E44" w:rsidRPr="00335DDA" w:rsidRDefault="007C0E44" w:rsidP="007C0E44">
      <w:pPr>
        <w:pStyle w:val="Normalaftertitle"/>
        <w:rPr>
          <w:lang w:val="ru-RU"/>
        </w:rPr>
      </w:pPr>
      <w:r w:rsidRPr="00335DDA">
        <w:rPr>
          <w:lang w:val="ru-RU"/>
        </w:rPr>
        <w:t>Ассамблея радиосвязи МСЭ,</w:t>
      </w:r>
    </w:p>
    <w:p w:rsidR="007C0E44" w:rsidRPr="00335DDA" w:rsidRDefault="007C0E44" w:rsidP="007C0E44">
      <w:pPr>
        <w:pStyle w:val="Call"/>
        <w:rPr>
          <w:lang w:val="ru-RU"/>
        </w:rPr>
      </w:pPr>
      <w:r w:rsidRPr="00335DDA">
        <w:rPr>
          <w:lang w:val="ru-RU"/>
        </w:rPr>
        <w:t>учитывая,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i/>
          <w:iCs/>
          <w:lang w:val="ru-RU"/>
        </w:rPr>
        <w:t>a)</w:t>
      </w:r>
      <w:r w:rsidRPr="00335DDA">
        <w:rPr>
          <w:lang w:val="ru-RU"/>
        </w:rPr>
        <w:tab/>
        <w:t>что беспроводные системы с пропускной способностью несколько гигабит/с (MGWS) широко используются для стационарного, полустационарного (транспортируемого) и переносимого компьютерного оборудования для разнообразных применений широкополосной связи;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i/>
          <w:iCs/>
          <w:lang w:val="ru-RU"/>
        </w:rPr>
        <w:t>b)</w:t>
      </w:r>
      <w:r w:rsidRPr="00335DDA">
        <w:rPr>
          <w:lang w:val="ru-RU"/>
        </w:rPr>
        <w:tab/>
        <w:t>что, как ожидается, MGWS будут охватывать применения для беспроводной передачи цифровых видеосигналов и аудиосигналов, применения для управления, а также беспроводные локальные сети с пропускной способностью несколько гигабит/с (WLAN) и систему подвижной связи пункта с пунктом на малых расстояниях;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i/>
          <w:iCs/>
          <w:lang w:val="ru-RU"/>
        </w:rPr>
        <w:t>c)</w:t>
      </w:r>
      <w:r w:rsidRPr="00335DDA">
        <w:rPr>
          <w:i/>
          <w:lang w:val="ru-RU"/>
        </w:rPr>
        <w:tab/>
      </w:r>
      <w:r w:rsidRPr="00335DDA">
        <w:rPr>
          <w:iCs/>
          <w:lang w:val="ru-RU"/>
        </w:rPr>
        <w:t>что стандарты</w:t>
      </w:r>
      <w:r w:rsidRPr="00335DDA">
        <w:rPr>
          <w:i/>
          <w:lang w:val="ru-RU"/>
        </w:rPr>
        <w:t xml:space="preserve"> </w:t>
      </w:r>
      <w:r w:rsidRPr="00335DDA">
        <w:rPr>
          <w:lang w:val="ru-RU"/>
        </w:rPr>
        <w:t>MGWS разработаны для работы в диапазоне 60 ГГц;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i/>
          <w:iCs/>
          <w:lang w:val="ru-RU"/>
        </w:rPr>
        <w:t>d)</w:t>
      </w:r>
      <w:r w:rsidRPr="00335DDA">
        <w:rPr>
          <w:lang w:val="ru-RU"/>
        </w:rPr>
        <w:tab/>
        <w:t>что MGWS должны внедряться при тщательном рассмотрении совместимости с другими радиоприменениями;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i/>
          <w:iCs/>
          <w:lang w:val="ru-RU"/>
        </w:rPr>
        <w:t>e)</w:t>
      </w:r>
      <w:r w:rsidRPr="00335DDA">
        <w:rPr>
          <w:lang w:val="ru-RU"/>
        </w:rPr>
        <w:tab/>
        <w:t>что многие администрации разрешают MGWS, включая устройства локальных радиосетей (RLAN) и персональных беспроводных сетей (WPAN), работать в диапазоне 60 ГГц на основе освобождения от лицензирования;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i/>
          <w:iCs/>
          <w:lang w:val="ru-RU"/>
        </w:rPr>
        <w:t>f)</w:t>
      </w:r>
      <w:r w:rsidRPr="00335DDA">
        <w:rPr>
          <w:lang w:val="ru-RU"/>
        </w:rPr>
        <w:tab/>
        <w:t>что согласованное использование частот в диапазоне 60 ГГц для подвижной службы способствовало бы внедрению MGWS, в том числе RLAN,</w:t>
      </w:r>
    </w:p>
    <w:p w:rsidR="007C0E44" w:rsidRPr="00335DDA" w:rsidRDefault="007C0E44" w:rsidP="007C0E44">
      <w:pPr>
        <w:pStyle w:val="Call"/>
        <w:rPr>
          <w:lang w:val="ru-RU"/>
        </w:rPr>
      </w:pPr>
      <w:r w:rsidRPr="00335DDA">
        <w:rPr>
          <w:lang w:val="ru-RU"/>
        </w:rPr>
        <w:t>признавая,</w:t>
      </w:r>
    </w:p>
    <w:p w:rsidR="007C0E44" w:rsidRPr="00335DDA" w:rsidRDefault="007C0E44" w:rsidP="007C0E44">
      <w:pPr>
        <w:rPr>
          <w:lang w:val="ru-RU" w:eastAsia="zh-CN"/>
        </w:rPr>
      </w:pPr>
      <w:r w:rsidRPr="00335DDA">
        <w:rPr>
          <w:i/>
          <w:iCs/>
          <w:lang w:val="ru-RU"/>
        </w:rPr>
        <w:t>a)</w:t>
      </w:r>
      <w:r w:rsidRPr="00335DDA">
        <w:rPr>
          <w:lang w:val="ru-RU"/>
        </w:rPr>
        <w:tab/>
        <w:t xml:space="preserve">что и потребители, и производители получат выгоды от согласованного на глобальном уровне использования спектра диапазона 60 ГГц для MGWS; 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i/>
          <w:iCs/>
          <w:lang w:val="ru-RU"/>
        </w:rPr>
        <w:t>b)</w:t>
      </w:r>
      <w:r w:rsidRPr="00335DDA">
        <w:rPr>
          <w:lang w:val="ru-RU"/>
        </w:rPr>
        <w:tab/>
      </w:r>
      <w:r w:rsidRPr="00335DDA">
        <w:rPr>
          <w:rFonts w:eastAsia="MS Mincho"/>
          <w:lang w:val="ru-RU"/>
        </w:rPr>
        <w:t xml:space="preserve">что, несмотря на то что системы </w:t>
      </w:r>
      <w:r w:rsidRPr="00335DDA">
        <w:rPr>
          <w:lang w:val="ru-RU"/>
        </w:rPr>
        <w:t>MGWS использовались главным образом для применений внутри помещений, ряд администраций разрешает использовать эти системы вне помещений,</w:t>
      </w:r>
    </w:p>
    <w:p w:rsidR="007C0E44" w:rsidRPr="00335DDA" w:rsidRDefault="007C0E44" w:rsidP="007C0E44">
      <w:pPr>
        <w:pStyle w:val="Call"/>
        <w:rPr>
          <w:lang w:val="ru-RU"/>
        </w:rPr>
      </w:pPr>
      <w:r w:rsidRPr="00335DDA">
        <w:rPr>
          <w:lang w:val="ru-RU"/>
        </w:rPr>
        <w:t>отмечая,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szCs w:val="24"/>
          <w:lang w:val="ru-RU"/>
        </w:rPr>
        <w:t xml:space="preserve">что в нескольких стандартах предусматриваются варианты реализации </w:t>
      </w:r>
      <w:r w:rsidRPr="00335DDA">
        <w:rPr>
          <w:lang w:val="ru-RU"/>
        </w:rPr>
        <w:t>MGWS,</w:t>
      </w:r>
    </w:p>
    <w:p w:rsidR="007C0E44" w:rsidRPr="00335DDA" w:rsidRDefault="007C0E44" w:rsidP="007C0E44">
      <w:pPr>
        <w:pStyle w:val="Call"/>
        <w:rPr>
          <w:lang w:val="ru-RU"/>
        </w:rPr>
      </w:pPr>
      <w:r w:rsidRPr="00335DDA">
        <w:rPr>
          <w:lang w:val="ru-RU"/>
        </w:rPr>
        <w:t>рекомендует</w:t>
      </w:r>
      <w:r w:rsidRPr="00335DDA">
        <w:rPr>
          <w:i w:val="0"/>
          <w:iCs/>
          <w:lang w:val="ru-RU"/>
        </w:rPr>
        <w:t>,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чтобы использовались стандарты и характеристики систем MGWS, содержащиеся в Приложении 1.</w:t>
      </w:r>
    </w:p>
    <w:p w:rsidR="007C0E44" w:rsidRPr="00335DDA" w:rsidRDefault="007C0E44" w:rsidP="007C0E44">
      <w:pPr>
        <w:rPr>
          <w:lang w:val="ru-RU"/>
        </w:rPr>
      </w:pPr>
    </w:p>
    <w:p w:rsidR="007C0E44" w:rsidRPr="00335DDA" w:rsidRDefault="007C0E44" w:rsidP="007C0E44">
      <w:pPr>
        <w:rPr>
          <w:lang w:val="ru-RU"/>
        </w:rPr>
      </w:pPr>
    </w:p>
    <w:p w:rsidR="007C0E44" w:rsidRPr="00335DDA" w:rsidRDefault="007C0E44" w:rsidP="007C0E44">
      <w:pPr>
        <w:pStyle w:val="AnnexNoTitle"/>
        <w:spacing w:after="0"/>
        <w:rPr>
          <w:rFonts w:ascii="Times New Roman Bold" w:hAnsi="Times New Roman Bold"/>
          <w:lang w:val="ru-RU"/>
        </w:rPr>
      </w:pPr>
      <w:r w:rsidRPr="00335DDA">
        <w:rPr>
          <w:rFonts w:eastAsia="MS Mincho"/>
          <w:lang w:val="ru-RU"/>
        </w:rPr>
        <w:lastRenderedPageBreak/>
        <w:t>Приложение 1</w:t>
      </w:r>
      <w:r w:rsidRPr="00335DDA">
        <w:rPr>
          <w:lang w:val="ru-RU"/>
        </w:rPr>
        <w:br/>
        <w:t xml:space="preserve">Общие характеристики беспроводных систем для диапазона 60 ГГц </w:t>
      </w:r>
      <w:r w:rsidRPr="00335DDA">
        <w:rPr>
          <w:lang w:val="ru-RU"/>
        </w:rPr>
        <w:br/>
        <w:t>с пропускной способностью несколько гигабит/с</w:t>
      </w:r>
    </w:p>
    <w:p w:rsidR="007C0E44" w:rsidRPr="00335DDA" w:rsidRDefault="007C0E44" w:rsidP="00335DDA">
      <w:pPr>
        <w:pStyle w:val="Heading1"/>
        <w:spacing w:before="240"/>
        <w:rPr>
          <w:lang w:val="ru-RU"/>
        </w:rPr>
      </w:pPr>
      <w:bookmarkStart w:id="4" w:name="_Toc168904819"/>
      <w:r w:rsidRPr="00335DDA">
        <w:rPr>
          <w:lang w:val="ru-RU"/>
        </w:rPr>
        <w:t>1</w:t>
      </w:r>
      <w:r w:rsidRPr="00335DDA">
        <w:rPr>
          <w:lang w:val="ru-RU"/>
        </w:rPr>
        <w:tab/>
      </w:r>
      <w:bookmarkEnd w:id="4"/>
      <w:r w:rsidRPr="00335DDA">
        <w:rPr>
          <w:lang w:val="ru-RU"/>
        </w:rPr>
        <w:t>Обзор</w:t>
      </w:r>
    </w:p>
    <w:p w:rsidR="007C0E44" w:rsidRPr="00335DDA" w:rsidRDefault="007C0E44" w:rsidP="00335DDA">
      <w:pPr>
        <w:spacing w:before="80"/>
        <w:rPr>
          <w:lang w:val="ru-RU"/>
        </w:rPr>
      </w:pPr>
      <w:r w:rsidRPr="00335DDA">
        <w:rPr>
          <w:lang w:val="ru-RU"/>
        </w:rPr>
        <w:t>Сети радиосвязи беспроводных систем с пропускной способностью несколько гигабит/с (MGWS) могут использоваться на коротких расстояниях как в условиях прямой видимости, так и при отсутствии прямой видимости с традиционной топологией WLAN. Системы MGWS могут также использоваться для высокоскоростной связи на предельно малых расстояниях, где дальность радиосвязи составляет несколько сантиметров, при этом устройства, соединяющие пункт с пунктом, находятся в непосредственной близости друг от друга.</w:t>
      </w:r>
    </w:p>
    <w:p w:rsidR="007C0E44" w:rsidRPr="00335DDA" w:rsidRDefault="007C0E44" w:rsidP="00335DDA">
      <w:pPr>
        <w:spacing w:before="80"/>
        <w:rPr>
          <w:lang w:val="ru-RU"/>
        </w:rPr>
      </w:pPr>
      <w:r w:rsidRPr="00335DDA">
        <w:rPr>
          <w:lang w:val="ru-RU"/>
        </w:rPr>
        <w:t>Применительно к WLAN общая дальность и качество связи будут зависеть как от проектного решения системы (например, количества антенных элементов), так и от окружающих условий, однако ожидается, что пропускная способность в несколько гигабит/с будет обычно достигаться на дальности около 10 м при работе в комнатных условиях, когда устройства оснащены, как правило, немногими (≤ 3) десятками антенных элементов, и около нескольких сотен метров при работе на открытом воздухе, где устройства могут быть оборудованы несколькими (≥ 6) десятками антенных элементов. Эти сети могут быть развернуты как в точках доступа уже существующих сетей WLAN, так и при отсутствии такой инфраструктуры, например, как в сети WLAN, работающей в специальном режиме, и в персональной беспроводной сети (WPAN).</w:t>
      </w:r>
    </w:p>
    <w:p w:rsidR="007C0E44" w:rsidRPr="00335DDA" w:rsidRDefault="007C0E44" w:rsidP="00335DDA">
      <w:pPr>
        <w:spacing w:before="80"/>
        <w:rPr>
          <w:lang w:val="ru-RU"/>
        </w:rPr>
      </w:pPr>
      <w:r w:rsidRPr="00335DDA">
        <w:rPr>
          <w:lang w:val="ru-RU"/>
        </w:rPr>
        <w:t>Топология связи на малых расстояниях представляет собой два устройства (также называемые парой) с ожидаемой производительностью до 100 Гбит при расстоянии между устройствами не более 10 см (устройства почти соприкасаются) и кратковременном соединении (быстрой установкой и разрывом соединения). Устройства для связи на малых расстояниях, как правило, будут иметь один антенный элемент и очень низкую мощность передачи.</w:t>
      </w:r>
    </w:p>
    <w:p w:rsidR="007C0E44" w:rsidRPr="00335DDA" w:rsidRDefault="007C0E44" w:rsidP="00335DDA">
      <w:pPr>
        <w:spacing w:before="80"/>
        <w:rPr>
          <w:lang w:val="ru-RU"/>
        </w:rPr>
      </w:pPr>
      <w:r w:rsidRPr="00335DDA">
        <w:rPr>
          <w:lang w:val="ru-RU"/>
        </w:rPr>
        <w:t>Когда используются точки доступа, они устанавливаются внутри помещений, зона обслуживания охватывает пространство дома или офиса и терминал пользователя с возможностью перемещения как правило используется тоже внутри помещения, то есть вся система WLAN используется во внутренних условиях. Для повышения дальности действия и пропускной способности точка доступа обычно оборудуется бóльшим количеством антенных элементов, чем оконечные устройства пользователей.</w:t>
      </w:r>
    </w:p>
    <w:p w:rsidR="007C0E44" w:rsidRPr="00335DDA" w:rsidRDefault="007C0E44" w:rsidP="00335DDA">
      <w:pPr>
        <w:spacing w:before="80"/>
        <w:rPr>
          <w:lang w:val="ru-RU"/>
        </w:rPr>
      </w:pPr>
      <w:r w:rsidRPr="00335DDA">
        <w:rPr>
          <w:lang w:val="ru-RU"/>
        </w:rPr>
        <w:t>Когда точки доступа не используются, устройствам MGWS разрешается осуществлять связь путем установления прямых линий обмена данными между устройствами/оборудованием. Типовые применения включают связь оборудования с оборудованием (например, портативного компьютера с проектором) и устройства бытовой электроники (CE) с киоском</w:t>
      </w:r>
      <w:r w:rsidRPr="00335DDA">
        <w:rPr>
          <w:vertAlign w:val="superscript"/>
          <w:lang w:val="ru-RU"/>
        </w:rPr>
        <w:footnoteReference w:id="1"/>
      </w:r>
      <w:r w:rsidRPr="00335DDA">
        <w:rPr>
          <w:lang w:val="ru-RU"/>
        </w:rPr>
        <w:t>, и можно считать, что они будут использоваться главным образом внутри помещений. В некоторых применениях кочевые устройства устанавливают соединение со стационарными устройствами (например, киоском, входом в помещение, турникетом, торговым автоматом) на очень короткое время для передачи большого объема данных, например для скачивания 2 часов видеоконтента высокой четкости за 250 мс при проходе через турникет на входе в здание аэропорта или вокзала. При использовании действующих в непосредственной близости применений возможна высокая концентрация устройств и пользователей в ограниченном пространстве, например при проходе через турникеты</w:t>
      </w:r>
      <w:r w:rsidRPr="00335DDA">
        <w:rPr>
          <w:szCs w:val="22"/>
          <w:vertAlign w:val="superscript"/>
          <w:lang w:val="ru-RU"/>
        </w:rPr>
        <w:footnoteReference w:id="2"/>
      </w:r>
      <w:r w:rsidRPr="00335DDA">
        <w:rPr>
          <w:lang w:val="ru-RU"/>
        </w:rPr>
        <w:t xml:space="preserve"> на входе в здание железнодорожного вокзала или аэропорта.</w:t>
      </w:r>
    </w:p>
    <w:p w:rsidR="007C0E44" w:rsidRPr="00335DDA" w:rsidRDefault="007C0E44" w:rsidP="00335DDA">
      <w:pPr>
        <w:pStyle w:val="Heading1"/>
        <w:spacing w:before="240"/>
        <w:rPr>
          <w:lang w:val="ru-RU"/>
        </w:rPr>
      </w:pPr>
      <w:bookmarkStart w:id="5" w:name="_Toc168904820"/>
      <w:r w:rsidRPr="00335DDA">
        <w:rPr>
          <w:lang w:val="ru-RU"/>
        </w:rPr>
        <w:lastRenderedPageBreak/>
        <w:t>2</w:t>
      </w:r>
      <w:r w:rsidRPr="00335DDA">
        <w:rPr>
          <w:lang w:val="ru-RU"/>
        </w:rPr>
        <w:tab/>
      </w:r>
      <w:bookmarkEnd w:id="5"/>
      <w:r w:rsidRPr="00335DDA">
        <w:rPr>
          <w:lang w:val="ru-RU"/>
        </w:rPr>
        <w:t>Технические характеристики MGWS</w:t>
      </w:r>
    </w:p>
    <w:p w:rsidR="007C0E44" w:rsidRPr="00335DDA" w:rsidRDefault="007C0E44" w:rsidP="00335DDA">
      <w:pPr>
        <w:pStyle w:val="Heading2"/>
        <w:keepLines w:val="0"/>
        <w:spacing w:before="240"/>
        <w:rPr>
          <w:lang w:val="ru-RU"/>
        </w:rPr>
      </w:pPr>
      <w:bookmarkStart w:id="6" w:name="_Toc204649046"/>
      <w:bookmarkEnd w:id="6"/>
      <w:r w:rsidRPr="00335DDA">
        <w:rPr>
          <w:lang w:val="ru-RU"/>
        </w:rPr>
        <w:t>2.1</w:t>
      </w:r>
      <w:r w:rsidRPr="00335DDA">
        <w:rPr>
          <w:lang w:val="ru-RU"/>
        </w:rPr>
        <w:tab/>
        <w:t>Частотный спектр</w:t>
      </w:r>
    </w:p>
    <w:p w:rsidR="007C0E44" w:rsidRPr="00335DDA" w:rsidRDefault="007C0E44" w:rsidP="00335DDA">
      <w:pPr>
        <w:rPr>
          <w:lang w:val="ru-RU"/>
        </w:rPr>
      </w:pPr>
      <w:r w:rsidRPr="00335DDA">
        <w:rPr>
          <w:lang w:val="ru-RU"/>
        </w:rPr>
        <w:t>Для удовлетворения потребностей применений</w:t>
      </w:r>
      <w:r w:rsidRPr="00335DDA">
        <w:rPr>
          <w:rStyle w:val="FootnoteReference"/>
          <w:position w:val="0"/>
          <w:sz w:val="22"/>
          <w:szCs w:val="22"/>
          <w:vertAlign w:val="superscript"/>
          <w:lang w:val="ru-RU"/>
        </w:rPr>
        <w:footnoteReference w:id="3"/>
      </w:r>
      <w:r w:rsidRPr="00335DDA">
        <w:rPr>
          <w:lang w:val="ru-RU"/>
        </w:rPr>
        <w:t>, которые предусматривается использовать в полосе 57−71 ГГц, таких как передача видеосигналов без сжатия (например, мультимедийный интерфейс высокой четкости HDMI с пропускной способностью 3 Гбит/с), беспроводное подключение к стыковочному блоку, использование беспроводных сетей и быстрая выгрузка/загрузка, необходима минимальная величина непрерывного частотного спектра 7 ГГц. Это позволило бы разместить до шести каналов для достижения гибкости и расширения возможности установления соединений. Кроме того, ширина полосы одного канала 2160 МГц позволяет применять более простые схемы модуляции для достижения скоростей передачи данных в несколько Гбит/с и подходит для применения в таких маломощных устройствах, как смартфоны, планшеты, нетбуки и портативные компьютеры. Если отдельные каналы соединяются для достижения большей пропускной спос</w:t>
      </w:r>
      <w:r w:rsidR="00335DDA">
        <w:rPr>
          <w:lang w:val="ru-RU"/>
        </w:rPr>
        <w:t>обности, ширина полосы оп</w:t>
      </w:r>
      <w:r w:rsidRPr="00335DDA">
        <w:rPr>
          <w:lang w:val="ru-RU"/>
        </w:rPr>
        <w:t>ределяется как целое число, кратное 2160 МГц, для обеспечения возможности сосуществования с системами 2160 МГц.</w:t>
      </w:r>
    </w:p>
    <w:p w:rsidR="007C0E44" w:rsidRPr="00335DDA" w:rsidRDefault="007C0E44" w:rsidP="00335DDA">
      <w:pPr>
        <w:pStyle w:val="Heading2"/>
        <w:rPr>
          <w:lang w:val="ru-RU"/>
        </w:rPr>
      </w:pPr>
      <w:r w:rsidRPr="00335DDA">
        <w:rPr>
          <w:lang w:val="ru-RU"/>
        </w:rPr>
        <w:t>2.2</w:t>
      </w:r>
      <w:r w:rsidRPr="00335DDA">
        <w:rPr>
          <w:lang w:val="ru-RU"/>
        </w:rPr>
        <w:tab/>
        <w:t>Ширина полосы и центральные частоты каналов</w:t>
      </w:r>
    </w:p>
    <w:p w:rsidR="007C0E44" w:rsidRPr="00335DDA" w:rsidRDefault="007C0E44" w:rsidP="00335DDA">
      <w:pPr>
        <w:rPr>
          <w:lang w:val="ru-RU"/>
        </w:rPr>
      </w:pPr>
      <w:r w:rsidRPr="00335DDA">
        <w:rPr>
          <w:lang w:val="ru-RU"/>
        </w:rPr>
        <w:t>Для отдельных каналов требуемая ширина полосы составляет 2160 МГц, допускается также объединение отдельных каналов. Важно, чтобы в целях содействия лучшему сосуществованию в стандартах MGWS применялась одна и та же схема размещения каналов. Для отдельных каналов р</w:t>
      </w:r>
      <w:r w:rsidRPr="00335DDA">
        <w:rPr>
          <w:szCs w:val="24"/>
          <w:lang w:val="ru-RU"/>
        </w:rPr>
        <w:t>екомендуются следующие центральные частоты: 58,32, 60,48, 62,64, 64,80, 66,96 и 69,12 ГГц.</w:t>
      </w:r>
      <w:r w:rsidRPr="00335DDA">
        <w:rPr>
          <w:lang w:val="ru-RU"/>
        </w:rPr>
        <w:t xml:space="preserve"> Центральные частоты для объединенных каналов зависят от того, сколько отдельных каналов было объединено, но они должны быть равномерно распределены относительно центральных частот отдельного канала. </w:t>
      </w:r>
    </w:p>
    <w:p w:rsidR="007C0E44" w:rsidRPr="00335DDA" w:rsidRDefault="007C0E44" w:rsidP="00335DDA">
      <w:pPr>
        <w:pStyle w:val="Heading2"/>
        <w:rPr>
          <w:lang w:val="ru-RU"/>
        </w:rPr>
      </w:pPr>
      <w:r w:rsidRPr="00335DDA">
        <w:rPr>
          <w:lang w:val="ru-RU"/>
        </w:rPr>
        <w:t>2.3</w:t>
      </w:r>
      <w:r w:rsidRPr="00335DDA">
        <w:rPr>
          <w:lang w:val="ru-RU"/>
        </w:rPr>
        <w:tab/>
        <w:t>Маска передачи</w:t>
      </w:r>
    </w:p>
    <w:p w:rsidR="007C0E44" w:rsidRPr="00335DDA" w:rsidRDefault="007C0E44" w:rsidP="00335DDA">
      <w:pPr>
        <w:tabs>
          <w:tab w:val="left" w:pos="1134"/>
          <w:tab w:val="left" w:pos="1871"/>
          <w:tab w:val="left" w:pos="2268"/>
        </w:tabs>
        <w:rPr>
          <w:lang w:val="ru-RU"/>
        </w:rPr>
      </w:pPr>
      <w:r w:rsidRPr="00335DDA">
        <w:rPr>
          <w:lang w:val="ru-RU"/>
        </w:rPr>
        <w:t>При работе одного канала применяется следующая маска.</w:t>
      </w:r>
    </w:p>
    <w:p w:rsidR="007C0E44" w:rsidRPr="00335DDA" w:rsidRDefault="007C0E44" w:rsidP="007C0E44">
      <w:pPr>
        <w:pStyle w:val="FigureNo"/>
        <w:rPr>
          <w:lang w:val="ru-RU"/>
        </w:rPr>
      </w:pPr>
      <w:r w:rsidRPr="00335DDA">
        <w:rPr>
          <w:lang w:val="ru-RU"/>
        </w:rPr>
        <w:t>РИСУНОК 1</w:t>
      </w:r>
    </w:p>
    <w:p w:rsidR="007C0E44" w:rsidRPr="00335DDA" w:rsidRDefault="007C0E44" w:rsidP="007C0E44">
      <w:pPr>
        <w:pStyle w:val="Figuretitle"/>
        <w:rPr>
          <w:lang w:val="ru-RU"/>
        </w:rPr>
      </w:pPr>
      <w:r w:rsidRPr="00335DDA">
        <w:rPr>
          <w:lang w:val="ru-RU"/>
        </w:rPr>
        <w:t>Спектральная маска при работе одного канала</w:t>
      </w:r>
    </w:p>
    <w:p w:rsidR="007C0E44" w:rsidRPr="00335DDA" w:rsidRDefault="007C0E44" w:rsidP="007C0E44">
      <w:pPr>
        <w:pStyle w:val="Figure"/>
        <w:rPr>
          <w:lang w:val="ru-RU"/>
        </w:rPr>
      </w:pPr>
      <w:r w:rsidRPr="00335DDA">
        <w:rPr>
          <w:lang w:val="ru-RU"/>
        </w:rPr>
        <w:object w:dxaOrig="7087" w:dyaOrig="1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129.75pt" o:ole="">
            <v:imagedata r:id="rId14" o:title="" cropright="-539f"/>
          </v:shape>
          <o:OLEObject Type="Embed" ProgID="CorelDraw.Graphic.16" ShapeID="_x0000_i1025" DrawAspect="Content" ObjectID="_1592832692" r:id="rId15"/>
        </w:objec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 xml:space="preserve">На рисунке 1 выше </w:t>
      </w:r>
      <w:r w:rsidRPr="00335DDA">
        <w:rPr>
          <w:i/>
          <w:iCs/>
          <w:lang w:val="ru-RU"/>
        </w:rPr>
        <w:t>f</w:t>
      </w:r>
      <w:r w:rsidRPr="00335DDA">
        <w:rPr>
          <w:i/>
          <w:iCs/>
          <w:vertAlign w:val="subscript"/>
          <w:lang w:val="ru-RU"/>
        </w:rPr>
        <w:t>c</w:t>
      </w:r>
      <w:r w:rsidRPr="00335DDA">
        <w:rPr>
          <w:lang w:val="ru-RU"/>
        </w:rPr>
        <w:t xml:space="preserve"> – центральная частота несущей.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При объединении нескольких смежных каналов применяется следующая маска (рисунок 2 и таблица 1).</w:t>
      </w:r>
    </w:p>
    <w:p w:rsidR="007C0E44" w:rsidRPr="00335DDA" w:rsidRDefault="007C0E44" w:rsidP="007C0E44">
      <w:pPr>
        <w:pStyle w:val="FigureNo"/>
        <w:rPr>
          <w:lang w:val="ru-RU"/>
        </w:rPr>
      </w:pPr>
      <w:r w:rsidRPr="00335DDA">
        <w:rPr>
          <w:lang w:val="ru-RU"/>
        </w:rPr>
        <w:lastRenderedPageBreak/>
        <w:t xml:space="preserve">РИСУНОК 2 </w:t>
      </w:r>
    </w:p>
    <w:p w:rsidR="007C0E44" w:rsidRPr="00335DDA" w:rsidRDefault="007C0E44" w:rsidP="007C0E44">
      <w:pPr>
        <w:pStyle w:val="Figuretitle"/>
        <w:rPr>
          <w:lang w:val="ru-RU"/>
        </w:rPr>
      </w:pPr>
      <w:r w:rsidRPr="00335DDA">
        <w:rPr>
          <w:lang w:val="ru-RU"/>
        </w:rPr>
        <w:t>Спектральная маска при объединении нескольких смежных каналов</w:t>
      </w:r>
    </w:p>
    <w:p w:rsidR="007C0E44" w:rsidRPr="00335DDA" w:rsidRDefault="007C0E44" w:rsidP="007C0E44">
      <w:pPr>
        <w:pStyle w:val="Figure"/>
        <w:rPr>
          <w:lang w:val="ru-RU"/>
        </w:rPr>
      </w:pPr>
      <w:r w:rsidRPr="00335DDA">
        <w:rPr>
          <w:lang w:val="ru-RU" w:eastAsia="zh-CN"/>
        </w:rPr>
        <w:object w:dxaOrig="7094" w:dyaOrig="3080">
          <v:shape id="_x0000_i1026" type="#_x0000_t75" style="width:460.5pt;height:208.5pt" o:ole="">
            <v:imagedata r:id="rId16" o:title="" croptop="-1956f"/>
          </v:shape>
          <o:OLEObject Type="Embed" ProgID="CorelDRAW.Graphic.14" ShapeID="_x0000_i1026" DrawAspect="Content" ObjectID="_1592832693" r:id="rId17"/>
        </w:object>
      </w:r>
    </w:p>
    <w:p w:rsidR="007C0E44" w:rsidRPr="00335DDA" w:rsidRDefault="007C0E44" w:rsidP="007C0E44">
      <w:pPr>
        <w:pStyle w:val="TableNo"/>
        <w:rPr>
          <w:lang w:val="ru-RU"/>
        </w:rPr>
      </w:pPr>
      <w:r w:rsidRPr="00335DDA">
        <w:rPr>
          <w:lang w:val="ru-RU"/>
        </w:rPr>
        <w:t>ТАБЛИЦА 1</w:t>
      </w:r>
    </w:p>
    <w:p w:rsidR="007C0E44" w:rsidRPr="00335DDA" w:rsidRDefault="007C0E44" w:rsidP="007C0E44">
      <w:pPr>
        <w:pStyle w:val="Tabletitle"/>
        <w:rPr>
          <w:lang w:val="ru-RU"/>
        </w:rPr>
      </w:pPr>
      <w:r w:rsidRPr="00335DDA">
        <w:rPr>
          <w:lang w:val="ru-RU"/>
        </w:rPr>
        <w:t>Параметры спектральной маски передачи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62"/>
        <w:gridCol w:w="1295"/>
        <w:gridCol w:w="1294"/>
        <w:gridCol w:w="1294"/>
        <w:gridCol w:w="1294"/>
      </w:tblGrid>
      <w:tr w:rsidR="007C0E44" w:rsidRPr="00335DDA" w:rsidTr="00844C88">
        <w:trPr>
          <w:jc w:val="center"/>
        </w:trPr>
        <w:tc>
          <w:tcPr>
            <w:tcW w:w="4462" w:type="dxa"/>
          </w:tcPr>
          <w:p w:rsidR="007C0E44" w:rsidRPr="00335DDA" w:rsidRDefault="007C0E44" w:rsidP="00844C88">
            <w:pPr>
              <w:pStyle w:val="Tablehead"/>
              <w:rPr>
                <w:lang w:val="ru-RU"/>
              </w:rPr>
            </w:pPr>
            <w:r w:rsidRPr="00335DDA">
              <w:rPr>
                <w:lang w:val="ru-RU"/>
              </w:rPr>
              <w:t>Объединение каналов</w:t>
            </w:r>
          </w:p>
        </w:tc>
        <w:tc>
          <w:tcPr>
            <w:tcW w:w="1295" w:type="dxa"/>
          </w:tcPr>
          <w:p w:rsidR="007C0E44" w:rsidRPr="00335DDA" w:rsidRDefault="007C0E44" w:rsidP="00844C88">
            <w:pPr>
              <w:pStyle w:val="Tablehead"/>
              <w:rPr>
                <w:lang w:val="ru-RU"/>
              </w:rPr>
            </w:pPr>
            <w:r w:rsidRPr="00335DDA">
              <w:rPr>
                <w:i/>
                <w:lang w:val="ru-RU"/>
              </w:rPr>
              <w:t>f</w:t>
            </w:r>
            <w:r w:rsidRPr="00335DDA">
              <w:rPr>
                <w:vertAlign w:val="subscript"/>
                <w:lang w:val="ru-RU"/>
              </w:rPr>
              <w:t>1</w:t>
            </w:r>
            <w:r w:rsidRPr="00335DDA">
              <w:rPr>
                <w:lang w:val="ru-RU"/>
              </w:rPr>
              <w:t xml:space="preserve"> (ГГц)</w:t>
            </w:r>
          </w:p>
        </w:tc>
        <w:tc>
          <w:tcPr>
            <w:tcW w:w="1294" w:type="dxa"/>
          </w:tcPr>
          <w:p w:rsidR="007C0E44" w:rsidRPr="00335DDA" w:rsidRDefault="007C0E44" w:rsidP="00844C88">
            <w:pPr>
              <w:pStyle w:val="Tablehead"/>
              <w:rPr>
                <w:lang w:val="ru-RU"/>
              </w:rPr>
            </w:pPr>
            <w:r w:rsidRPr="00335DDA">
              <w:rPr>
                <w:i/>
                <w:lang w:val="ru-RU"/>
              </w:rPr>
              <w:t>f</w:t>
            </w:r>
            <w:r w:rsidRPr="00335DDA">
              <w:rPr>
                <w:vertAlign w:val="subscript"/>
                <w:lang w:val="ru-RU"/>
              </w:rPr>
              <w:t>2</w:t>
            </w:r>
            <w:r w:rsidRPr="00335DDA">
              <w:rPr>
                <w:lang w:val="ru-RU"/>
              </w:rPr>
              <w:t xml:space="preserve"> (ГГц)</w:t>
            </w:r>
          </w:p>
        </w:tc>
        <w:tc>
          <w:tcPr>
            <w:tcW w:w="1294" w:type="dxa"/>
          </w:tcPr>
          <w:p w:rsidR="007C0E44" w:rsidRPr="00335DDA" w:rsidRDefault="007C0E44" w:rsidP="00844C88">
            <w:pPr>
              <w:pStyle w:val="Tablehead"/>
              <w:rPr>
                <w:lang w:val="ru-RU"/>
              </w:rPr>
            </w:pPr>
            <w:r w:rsidRPr="00335DDA">
              <w:rPr>
                <w:i/>
                <w:lang w:val="ru-RU"/>
              </w:rPr>
              <w:t>f</w:t>
            </w:r>
            <w:r w:rsidRPr="00335DDA">
              <w:rPr>
                <w:vertAlign w:val="subscript"/>
                <w:lang w:val="ru-RU"/>
              </w:rPr>
              <w:t>3</w:t>
            </w:r>
            <w:r w:rsidRPr="00335DDA">
              <w:rPr>
                <w:lang w:val="ru-RU"/>
              </w:rPr>
              <w:t xml:space="preserve"> (ГГц)</w:t>
            </w:r>
          </w:p>
        </w:tc>
        <w:tc>
          <w:tcPr>
            <w:tcW w:w="1294" w:type="dxa"/>
          </w:tcPr>
          <w:p w:rsidR="007C0E44" w:rsidRPr="00335DDA" w:rsidRDefault="007C0E44" w:rsidP="00844C88">
            <w:pPr>
              <w:pStyle w:val="Tablehead"/>
              <w:rPr>
                <w:lang w:val="ru-RU"/>
              </w:rPr>
            </w:pPr>
            <w:r w:rsidRPr="00335DDA">
              <w:rPr>
                <w:i/>
                <w:lang w:val="ru-RU"/>
              </w:rPr>
              <w:t>f</w:t>
            </w:r>
            <w:r w:rsidRPr="00335DDA">
              <w:rPr>
                <w:vertAlign w:val="subscript"/>
                <w:lang w:val="ru-RU"/>
              </w:rPr>
              <w:t>4</w:t>
            </w:r>
            <w:r w:rsidRPr="00335DDA">
              <w:rPr>
                <w:lang w:val="ru-RU"/>
              </w:rPr>
              <w:t xml:space="preserve"> (ГГц)</w:t>
            </w:r>
          </w:p>
        </w:tc>
      </w:tr>
      <w:tr w:rsidR="007C0E44" w:rsidRPr="00335DDA" w:rsidTr="00844C88">
        <w:trPr>
          <w:jc w:val="center"/>
        </w:trPr>
        <w:tc>
          <w:tcPr>
            <w:tcW w:w="4462" w:type="dxa"/>
          </w:tcPr>
          <w:p w:rsidR="007C0E44" w:rsidRPr="00335DDA" w:rsidRDefault="007C0E44" w:rsidP="00844C88">
            <w:pPr>
              <w:pStyle w:val="Tabletext"/>
              <w:rPr>
                <w:lang w:val="ru-RU"/>
              </w:rPr>
            </w:pPr>
            <w:r w:rsidRPr="00335DDA">
              <w:rPr>
                <w:lang w:val="ru-RU"/>
              </w:rPr>
              <w:t>Передача двух объединенных каналов</w:t>
            </w:r>
          </w:p>
        </w:tc>
        <w:tc>
          <w:tcPr>
            <w:tcW w:w="1295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2,100</w:t>
            </w:r>
          </w:p>
        </w:tc>
        <w:tc>
          <w:tcPr>
            <w:tcW w:w="1294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2,160</w:t>
            </w:r>
          </w:p>
        </w:tc>
        <w:tc>
          <w:tcPr>
            <w:tcW w:w="1294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3,000</w:t>
            </w:r>
          </w:p>
        </w:tc>
        <w:tc>
          <w:tcPr>
            <w:tcW w:w="1294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4,000</w:t>
            </w:r>
          </w:p>
        </w:tc>
      </w:tr>
      <w:tr w:rsidR="007C0E44" w:rsidRPr="00335DDA" w:rsidTr="00844C88">
        <w:trPr>
          <w:jc w:val="center"/>
        </w:trPr>
        <w:tc>
          <w:tcPr>
            <w:tcW w:w="4462" w:type="dxa"/>
          </w:tcPr>
          <w:p w:rsidR="007C0E44" w:rsidRPr="00335DDA" w:rsidRDefault="007C0E44" w:rsidP="00844C88">
            <w:pPr>
              <w:pStyle w:val="Tabletext"/>
              <w:rPr>
                <w:lang w:val="ru-RU"/>
              </w:rPr>
            </w:pPr>
            <w:r w:rsidRPr="00335DDA">
              <w:rPr>
                <w:lang w:val="ru-RU"/>
              </w:rPr>
              <w:t>Передача трех объединенных каналов</w:t>
            </w:r>
          </w:p>
        </w:tc>
        <w:tc>
          <w:tcPr>
            <w:tcW w:w="1295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3,150</w:t>
            </w:r>
          </w:p>
        </w:tc>
        <w:tc>
          <w:tcPr>
            <w:tcW w:w="1294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3,240</w:t>
            </w:r>
          </w:p>
        </w:tc>
        <w:tc>
          <w:tcPr>
            <w:tcW w:w="1294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4,500</w:t>
            </w:r>
          </w:p>
        </w:tc>
        <w:tc>
          <w:tcPr>
            <w:tcW w:w="1294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6,000</w:t>
            </w:r>
          </w:p>
        </w:tc>
      </w:tr>
      <w:tr w:rsidR="007C0E44" w:rsidRPr="00335DDA" w:rsidTr="00844C88">
        <w:trPr>
          <w:jc w:val="center"/>
        </w:trPr>
        <w:tc>
          <w:tcPr>
            <w:tcW w:w="4462" w:type="dxa"/>
          </w:tcPr>
          <w:p w:rsidR="007C0E44" w:rsidRPr="00335DDA" w:rsidRDefault="007C0E44" w:rsidP="00844C88">
            <w:pPr>
              <w:pStyle w:val="Tabletext"/>
              <w:rPr>
                <w:lang w:val="ru-RU"/>
              </w:rPr>
            </w:pPr>
            <w:r w:rsidRPr="00335DDA">
              <w:rPr>
                <w:lang w:val="ru-RU"/>
              </w:rPr>
              <w:t>Передача четырех объединенных каналов</w:t>
            </w:r>
          </w:p>
        </w:tc>
        <w:tc>
          <w:tcPr>
            <w:tcW w:w="1295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4,200</w:t>
            </w:r>
          </w:p>
        </w:tc>
        <w:tc>
          <w:tcPr>
            <w:tcW w:w="1294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4,320</w:t>
            </w:r>
          </w:p>
        </w:tc>
        <w:tc>
          <w:tcPr>
            <w:tcW w:w="1294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6,000</w:t>
            </w:r>
          </w:p>
        </w:tc>
        <w:tc>
          <w:tcPr>
            <w:tcW w:w="1294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8,000</w:t>
            </w:r>
          </w:p>
        </w:tc>
      </w:tr>
    </w:tbl>
    <w:p w:rsidR="007C0E44" w:rsidRPr="00335DDA" w:rsidRDefault="007C0E44" w:rsidP="007C0E44">
      <w:pPr>
        <w:pStyle w:val="Tablefin"/>
        <w:rPr>
          <w:lang w:val="ru-RU"/>
        </w:rPr>
      </w:pP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При объединении нескольких смежных каналов применяется альтернативная спектральная маска (рисунок 3 и таблицы 2 и 3).</w:t>
      </w:r>
    </w:p>
    <w:p w:rsidR="007C0E44" w:rsidRPr="00335DDA" w:rsidRDefault="007C0E44" w:rsidP="007C0E44">
      <w:pPr>
        <w:pStyle w:val="FigureNo"/>
        <w:rPr>
          <w:lang w:val="ru-RU" w:eastAsia="ja-JP"/>
        </w:rPr>
      </w:pPr>
      <w:r w:rsidRPr="00335DDA">
        <w:rPr>
          <w:lang w:val="ru-RU" w:eastAsia="ja-JP"/>
        </w:rPr>
        <w:t>РИСУНОК 3</w:t>
      </w:r>
    </w:p>
    <w:p w:rsidR="007C0E44" w:rsidRPr="00335DDA" w:rsidRDefault="007C0E44" w:rsidP="007C0E44">
      <w:pPr>
        <w:pStyle w:val="Figuretitle"/>
        <w:rPr>
          <w:lang w:val="ru-RU" w:eastAsia="ja-JP"/>
        </w:rPr>
      </w:pPr>
      <w:r w:rsidRPr="00335DDA">
        <w:rPr>
          <w:lang w:val="ru-RU" w:eastAsia="ja-JP"/>
        </w:rPr>
        <w:t xml:space="preserve">Альтернативная маска спектральной плотности мощности при работе нескольких объединенных каналов </w:t>
      </w:r>
    </w:p>
    <w:p w:rsidR="007C0E44" w:rsidRPr="00335DDA" w:rsidRDefault="007C0E44" w:rsidP="007C0E44">
      <w:pPr>
        <w:pStyle w:val="Figure"/>
        <w:rPr>
          <w:sz w:val="20"/>
          <w:lang w:val="ru-RU" w:eastAsia="ja-JP"/>
        </w:rPr>
      </w:pPr>
      <w:r w:rsidRPr="00335DDA">
        <w:rPr>
          <w:noProof/>
          <w:sz w:val="20"/>
          <w:lang w:val="en-US" w:eastAsia="zh-CN"/>
        </w:rPr>
        <w:drawing>
          <wp:inline distT="0" distB="0" distL="0" distR="0" wp14:anchorId="70CF3A1C" wp14:editId="58F5280D">
            <wp:extent cx="3176016" cy="2471928"/>
            <wp:effectExtent l="0" t="0" r="571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016" cy="24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E44" w:rsidRPr="00335DDA" w:rsidRDefault="007C0E44" w:rsidP="007C0E44">
      <w:pPr>
        <w:pStyle w:val="TableNo"/>
        <w:rPr>
          <w:lang w:val="ru-RU" w:eastAsia="ja-JP"/>
        </w:rPr>
      </w:pPr>
      <w:r w:rsidRPr="00335DDA">
        <w:rPr>
          <w:lang w:val="ru-RU" w:eastAsia="ja-JP"/>
        </w:rPr>
        <w:lastRenderedPageBreak/>
        <w:t>ТАБЛИЦА 2</w:t>
      </w:r>
    </w:p>
    <w:p w:rsidR="007C0E44" w:rsidRPr="00335DDA" w:rsidRDefault="007C0E44" w:rsidP="007C0E44">
      <w:pPr>
        <w:pStyle w:val="Tabletitle"/>
        <w:rPr>
          <w:lang w:val="ru-RU" w:eastAsia="ja-JP"/>
        </w:rPr>
      </w:pPr>
      <w:r w:rsidRPr="00335DDA">
        <w:rPr>
          <w:lang w:val="ru-RU" w:eastAsia="ja-JP"/>
        </w:rPr>
        <w:t xml:space="preserve">Относительное предельное значение маски спектральной плотности мощности при работе нескольких объединенных каналов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7C0E44" w:rsidRPr="00335DDA" w:rsidTr="00844C88">
        <w:trPr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E44" w:rsidRPr="00335DDA" w:rsidRDefault="007C0E44" w:rsidP="00844C88">
            <w:pPr>
              <w:pStyle w:val="Tablehead"/>
              <w:rPr>
                <w:lang w:val="ru-RU" w:eastAsia="de-DE"/>
              </w:rPr>
            </w:pPr>
            <w:r w:rsidRPr="00335DDA">
              <w:rPr>
                <w:lang w:val="ru-RU" w:eastAsia="de-DE"/>
              </w:rPr>
              <w:t>Частота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E44" w:rsidRPr="00335DDA" w:rsidRDefault="007C0E44" w:rsidP="00844C88">
            <w:pPr>
              <w:pStyle w:val="Tablehead"/>
              <w:rPr>
                <w:lang w:val="ru-RU" w:eastAsia="de-DE"/>
              </w:rPr>
            </w:pPr>
            <w:r w:rsidRPr="00335DDA">
              <w:rPr>
                <w:lang w:val="ru-RU" w:eastAsia="de-DE"/>
              </w:rPr>
              <w:t>Относительное предельное значение (дБо)</w:t>
            </w:r>
          </w:p>
        </w:tc>
      </w:tr>
      <w:tr w:rsidR="007C0E44" w:rsidRPr="00335DDA" w:rsidTr="00844C88">
        <w:trPr>
          <w:trHeight w:hRule="exact" w:val="284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 w:eastAsia="de-DE"/>
              </w:rPr>
            </w:pPr>
            <w:r w:rsidRPr="00335DDA">
              <w:rPr>
                <w:noProof/>
                <w:lang w:val="en-US" w:eastAsia="zh-CN"/>
              </w:rPr>
              <w:drawing>
                <wp:inline distT="0" distB="0" distL="0" distR="0" wp14:anchorId="500E5982" wp14:editId="518CA173">
                  <wp:extent cx="652145" cy="1746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 w:eastAsia="de-DE"/>
              </w:rPr>
            </w:pPr>
            <w:r w:rsidRPr="00335DDA">
              <w:rPr>
                <w:position w:val="-6"/>
                <w:lang w:val="ru-RU" w:eastAsia="de-DE"/>
              </w:rPr>
              <w:t>0</w:t>
            </w:r>
          </w:p>
        </w:tc>
      </w:tr>
      <w:tr w:rsidR="007C0E44" w:rsidRPr="00335DDA" w:rsidTr="00844C88">
        <w:trPr>
          <w:trHeight w:hRule="exact" w:val="284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 w:eastAsia="de-DE"/>
              </w:rPr>
            </w:pPr>
            <w:r w:rsidRPr="00335DDA">
              <w:rPr>
                <w:noProof/>
                <w:lang w:val="en-US" w:eastAsia="zh-CN"/>
              </w:rPr>
              <w:drawing>
                <wp:inline distT="0" distB="0" distL="0" distR="0" wp14:anchorId="1B1A8EB9" wp14:editId="64E20FCB">
                  <wp:extent cx="874395" cy="174625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 w:eastAsia="de-DE"/>
              </w:rPr>
            </w:pPr>
            <w:r w:rsidRPr="00335DDA">
              <w:rPr>
                <w:noProof/>
                <w:lang w:val="en-US" w:eastAsia="zh-CN"/>
              </w:rPr>
              <w:drawing>
                <wp:inline distT="0" distB="0" distL="0" distR="0" wp14:anchorId="4F84CE9D" wp14:editId="34F73E25">
                  <wp:extent cx="1375410" cy="1746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E44" w:rsidRPr="00335DDA" w:rsidTr="00844C88">
        <w:trPr>
          <w:trHeight w:hRule="exact" w:val="284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 w:eastAsia="de-DE"/>
              </w:rPr>
            </w:pPr>
            <w:r w:rsidRPr="00335DDA">
              <w:rPr>
                <w:noProof/>
                <w:lang w:val="en-US" w:eastAsia="zh-CN"/>
              </w:rPr>
              <w:drawing>
                <wp:inline distT="0" distB="0" distL="0" distR="0" wp14:anchorId="0C17D481" wp14:editId="09402226">
                  <wp:extent cx="874395" cy="174625"/>
                  <wp:effectExtent l="0" t="0" r="1905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 w:eastAsia="de-DE"/>
              </w:rPr>
            </w:pPr>
            <w:r w:rsidRPr="00335DDA">
              <w:rPr>
                <w:noProof/>
                <w:lang w:val="en-US" w:eastAsia="zh-CN"/>
              </w:rPr>
              <w:drawing>
                <wp:inline distT="0" distB="0" distL="0" distR="0" wp14:anchorId="7C6AB1A4" wp14:editId="242DD65E">
                  <wp:extent cx="1637665" cy="17462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E44" w:rsidRPr="00335DDA" w:rsidTr="00844C88">
        <w:trPr>
          <w:trHeight w:hRule="exact" w:val="283"/>
          <w:jc w:val="center"/>
        </w:trPr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 w:eastAsia="de-DE"/>
              </w:rPr>
            </w:pPr>
            <w:r w:rsidRPr="00335DDA">
              <w:rPr>
                <w:noProof/>
                <w:lang w:val="en-US" w:eastAsia="zh-CN"/>
              </w:rPr>
              <w:drawing>
                <wp:inline distT="0" distB="0" distL="0" distR="0" wp14:anchorId="0D859C4F" wp14:editId="59CA331A">
                  <wp:extent cx="659765" cy="174625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 w:eastAsia="de-DE"/>
              </w:rPr>
            </w:pPr>
            <w:r w:rsidRPr="00335DDA">
              <w:rPr>
                <w:position w:val="-6"/>
                <w:lang w:val="ru-RU" w:eastAsia="de-DE"/>
              </w:rPr>
              <w:t>−30</w:t>
            </w:r>
          </w:p>
        </w:tc>
      </w:tr>
    </w:tbl>
    <w:p w:rsidR="007C0E44" w:rsidRPr="00335DDA" w:rsidRDefault="007C0E44" w:rsidP="007C0E44">
      <w:pPr>
        <w:pStyle w:val="Tablefin"/>
        <w:rPr>
          <w:lang w:val="ru-RU"/>
        </w:rPr>
      </w:pPr>
    </w:p>
    <w:p w:rsidR="007C0E44" w:rsidRPr="00335DDA" w:rsidRDefault="007C0E44" w:rsidP="007C0E44">
      <w:pPr>
        <w:pStyle w:val="TableNo"/>
        <w:rPr>
          <w:lang w:val="ru-RU" w:eastAsia="ja-JP"/>
        </w:rPr>
      </w:pPr>
      <w:r w:rsidRPr="00335DDA">
        <w:rPr>
          <w:lang w:val="ru-RU" w:eastAsia="ja-JP"/>
        </w:rPr>
        <w:t>ТАБЛИЦА 3</w:t>
      </w:r>
    </w:p>
    <w:p w:rsidR="007C0E44" w:rsidRPr="00335DDA" w:rsidRDefault="007C0E44" w:rsidP="007C0E44">
      <w:pPr>
        <w:pStyle w:val="Tabletitle"/>
        <w:rPr>
          <w:lang w:val="ru-RU" w:eastAsia="ja-JP"/>
        </w:rPr>
      </w:pPr>
      <w:r w:rsidRPr="00335DDA">
        <w:rPr>
          <w:lang w:val="ru-RU" w:eastAsia="ja-JP"/>
        </w:rPr>
        <w:t>Параметры маски спектральной плотности мощности передачи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4111"/>
        <w:gridCol w:w="1843"/>
        <w:gridCol w:w="1843"/>
        <w:gridCol w:w="1842"/>
      </w:tblGrid>
      <w:tr w:rsidR="007C0E44" w:rsidRPr="00335DDA" w:rsidTr="00844C88">
        <w:trPr>
          <w:jc w:val="center"/>
        </w:trPr>
        <w:tc>
          <w:tcPr>
            <w:tcW w:w="4111" w:type="dxa"/>
          </w:tcPr>
          <w:p w:rsidR="007C0E44" w:rsidRPr="00335DDA" w:rsidRDefault="007C0E44" w:rsidP="00844C88">
            <w:pPr>
              <w:pStyle w:val="Tablehead"/>
              <w:rPr>
                <w:lang w:val="ru-RU"/>
              </w:rPr>
            </w:pPr>
            <w:r w:rsidRPr="00335DDA">
              <w:rPr>
                <w:lang w:val="ru-RU"/>
              </w:rPr>
              <w:t>Объединение каналов</w:t>
            </w:r>
          </w:p>
        </w:tc>
        <w:tc>
          <w:tcPr>
            <w:tcW w:w="1843" w:type="dxa"/>
          </w:tcPr>
          <w:p w:rsidR="007C0E44" w:rsidRPr="00335DDA" w:rsidRDefault="007C0E44" w:rsidP="00844C88">
            <w:pPr>
              <w:pStyle w:val="Tablehead"/>
              <w:rPr>
                <w:lang w:val="ru-RU"/>
              </w:rPr>
            </w:pPr>
            <w:r w:rsidRPr="00335DDA">
              <w:rPr>
                <w:i/>
                <w:lang w:val="ru-RU"/>
              </w:rPr>
              <w:t>f</w:t>
            </w:r>
            <w:r w:rsidRPr="00335DDA">
              <w:rPr>
                <w:vertAlign w:val="subscript"/>
                <w:lang w:val="ru-RU"/>
              </w:rPr>
              <w:t>1</w:t>
            </w:r>
            <w:r w:rsidRPr="00335DDA">
              <w:rPr>
                <w:lang w:val="ru-RU"/>
              </w:rPr>
              <w:t xml:space="preserve"> (ГГц)</w:t>
            </w:r>
          </w:p>
        </w:tc>
        <w:tc>
          <w:tcPr>
            <w:tcW w:w="1843" w:type="dxa"/>
          </w:tcPr>
          <w:p w:rsidR="007C0E44" w:rsidRPr="00335DDA" w:rsidRDefault="007C0E44" w:rsidP="00844C88">
            <w:pPr>
              <w:pStyle w:val="Tablehead"/>
              <w:rPr>
                <w:lang w:val="ru-RU"/>
              </w:rPr>
            </w:pPr>
            <w:r w:rsidRPr="00335DDA">
              <w:rPr>
                <w:i/>
                <w:lang w:val="ru-RU"/>
              </w:rPr>
              <w:t>f</w:t>
            </w:r>
            <w:r w:rsidRPr="00335DDA">
              <w:rPr>
                <w:vertAlign w:val="subscript"/>
                <w:lang w:val="ru-RU"/>
              </w:rPr>
              <w:t>2</w:t>
            </w:r>
            <w:r w:rsidRPr="00335DDA">
              <w:rPr>
                <w:lang w:val="ru-RU"/>
              </w:rPr>
              <w:t xml:space="preserve"> (ГГц)</w:t>
            </w:r>
          </w:p>
        </w:tc>
        <w:tc>
          <w:tcPr>
            <w:tcW w:w="1842" w:type="dxa"/>
          </w:tcPr>
          <w:p w:rsidR="007C0E44" w:rsidRPr="00335DDA" w:rsidRDefault="007C0E44" w:rsidP="00844C88">
            <w:pPr>
              <w:pStyle w:val="Tablehead"/>
              <w:rPr>
                <w:lang w:val="ru-RU"/>
              </w:rPr>
            </w:pPr>
            <w:r w:rsidRPr="00335DDA">
              <w:rPr>
                <w:i/>
                <w:lang w:val="ru-RU"/>
              </w:rPr>
              <w:t>f</w:t>
            </w:r>
            <w:r w:rsidRPr="00335DDA">
              <w:rPr>
                <w:vertAlign w:val="subscript"/>
                <w:lang w:val="ru-RU"/>
              </w:rPr>
              <w:t>3</w:t>
            </w:r>
            <w:r w:rsidRPr="00335DDA">
              <w:rPr>
                <w:lang w:val="ru-RU"/>
              </w:rPr>
              <w:t xml:space="preserve"> (ГГц)</w:t>
            </w:r>
          </w:p>
        </w:tc>
      </w:tr>
      <w:tr w:rsidR="007C0E44" w:rsidRPr="00335DDA" w:rsidTr="00844C88">
        <w:trPr>
          <w:jc w:val="center"/>
        </w:trPr>
        <w:tc>
          <w:tcPr>
            <w:tcW w:w="4111" w:type="dxa"/>
          </w:tcPr>
          <w:p w:rsidR="007C0E44" w:rsidRPr="00335DDA" w:rsidRDefault="007C0E44" w:rsidP="00844C88">
            <w:pPr>
              <w:pStyle w:val="Tabletext"/>
              <w:rPr>
                <w:lang w:val="ru-RU"/>
              </w:rPr>
            </w:pPr>
            <w:r w:rsidRPr="00335DDA">
              <w:rPr>
                <w:lang w:val="ru-RU"/>
              </w:rPr>
              <w:t>Передача двух объединенных каналов</w:t>
            </w:r>
          </w:p>
        </w:tc>
        <w:tc>
          <w:tcPr>
            <w:tcW w:w="1843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1</w:t>
            </w:r>
            <w:r w:rsidRPr="00335DDA">
              <w:rPr>
                <w:rFonts w:asciiTheme="minorHAnsi" w:hAnsiTheme="minorHAnsi"/>
                <w:lang w:val="ru-RU"/>
              </w:rPr>
              <w:t>,</w:t>
            </w:r>
            <w:r w:rsidRPr="00335DDA">
              <w:rPr>
                <w:lang w:val="ru-RU"/>
              </w:rPr>
              <w:t>880</w:t>
            </w:r>
          </w:p>
        </w:tc>
        <w:tc>
          <w:tcPr>
            <w:tcW w:w="1843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2</w:t>
            </w:r>
            <w:r w:rsidRPr="00335DDA">
              <w:rPr>
                <w:rFonts w:asciiTheme="minorHAnsi" w:hAnsiTheme="minorHAnsi"/>
                <w:lang w:val="ru-RU"/>
              </w:rPr>
              <w:t>,</w:t>
            </w:r>
            <w:r w:rsidRPr="00335DDA">
              <w:rPr>
                <w:lang w:val="ru-RU"/>
              </w:rPr>
              <w:t>400</w:t>
            </w:r>
          </w:p>
        </w:tc>
        <w:tc>
          <w:tcPr>
            <w:tcW w:w="1842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4</w:t>
            </w:r>
            <w:r w:rsidRPr="00335DDA">
              <w:rPr>
                <w:rFonts w:asciiTheme="minorHAnsi" w:hAnsiTheme="minorHAnsi"/>
                <w:lang w:val="ru-RU"/>
              </w:rPr>
              <w:t>,</w:t>
            </w:r>
            <w:r w:rsidRPr="00335DDA">
              <w:rPr>
                <w:lang w:val="ru-RU"/>
              </w:rPr>
              <w:t>000</w:t>
            </w:r>
          </w:p>
        </w:tc>
      </w:tr>
      <w:tr w:rsidR="007C0E44" w:rsidRPr="00335DDA" w:rsidTr="00844C88">
        <w:trPr>
          <w:jc w:val="center"/>
        </w:trPr>
        <w:tc>
          <w:tcPr>
            <w:tcW w:w="4111" w:type="dxa"/>
          </w:tcPr>
          <w:p w:rsidR="007C0E44" w:rsidRPr="00335DDA" w:rsidRDefault="007C0E44" w:rsidP="00844C88">
            <w:pPr>
              <w:pStyle w:val="Tabletext"/>
              <w:rPr>
                <w:lang w:val="ru-RU"/>
              </w:rPr>
            </w:pPr>
            <w:r w:rsidRPr="00335DDA">
              <w:rPr>
                <w:lang w:val="ru-RU"/>
              </w:rPr>
              <w:t>Передача трех объединенных каналов</w:t>
            </w:r>
          </w:p>
        </w:tc>
        <w:tc>
          <w:tcPr>
            <w:tcW w:w="1843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2</w:t>
            </w:r>
            <w:r w:rsidRPr="00335DDA">
              <w:rPr>
                <w:rFonts w:asciiTheme="minorHAnsi" w:hAnsiTheme="minorHAnsi"/>
                <w:lang w:val="ru-RU"/>
              </w:rPr>
              <w:t>,</w:t>
            </w:r>
            <w:r w:rsidRPr="00335DDA">
              <w:rPr>
                <w:lang w:val="ru-RU"/>
              </w:rPr>
              <w:t>820</w:t>
            </w:r>
          </w:p>
        </w:tc>
        <w:tc>
          <w:tcPr>
            <w:tcW w:w="1843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3</w:t>
            </w:r>
            <w:r w:rsidRPr="00335DDA">
              <w:rPr>
                <w:rFonts w:asciiTheme="minorHAnsi" w:hAnsiTheme="minorHAnsi"/>
                <w:lang w:val="ru-RU"/>
              </w:rPr>
              <w:t>,</w:t>
            </w:r>
            <w:r w:rsidRPr="00335DDA">
              <w:rPr>
                <w:lang w:val="ru-RU"/>
              </w:rPr>
              <w:t>600</w:t>
            </w:r>
          </w:p>
        </w:tc>
        <w:tc>
          <w:tcPr>
            <w:tcW w:w="1842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6</w:t>
            </w:r>
            <w:r w:rsidRPr="00335DDA">
              <w:rPr>
                <w:rFonts w:asciiTheme="minorHAnsi" w:hAnsiTheme="minorHAnsi"/>
                <w:lang w:val="ru-RU"/>
              </w:rPr>
              <w:t>,</w:t>
            </w:r>
            <w:r w:rsidRPr="00335DDA">
              <w:rPr>
                <w:lang w:val="ru-RU"/>
              </w:rPr>
              <w:t>000</w:t>
            </w:r>
          </w:p>
        </w:tc>
      </w:tr>
      <w:tr w:rsidR="007C0E44" w:rsidRPr="00335DDA" w:rsidTr="00844C88">
        <w:trPr>
          <w:jc w:val="center"/>
        </w:trPr>
        <w:tc>
          <w:tcPr>
            <w:tcW w:w="4111" w:type="dxa"/>
          </w:tcPr>
          <w:p w:rsidR="007C0E44" w:rsidRPr="00335DDA" w:rsidRDefault="007C0E44" w:rsidP="00844C88">
            <w:pPr>
              <w:pStyle w:val="Tabletext"/>
              <w:rPr>
                <w:lang w:val="ru-RU"/>
              </w:rPr>
            </w:pPr>
            <w:r w:rsidRPr="00335DDA">
              <w:rPr>
                <w:lang w:val="ru-RU"/>
              </w:rPr>
              <w:t>Передача четырех объединенных каналов</w:t>
            </w:r>
          </w:p>
        </w:tc>
        <w:tc>
          <w:tcPr>
            <w:tcW w:w="1843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3</w:t>
            </w:r>
            <w:r w:rsidRPr="00335DDA">
              <w:rPr>
                <w:rFonts w:asciiTheme="minorHAnsi" w:hAnsiTheme="minorHAnsi"/>
                <w:lang w:val="ru-RU"/>
              </w:rPr>
              <w:t>,</w:t>
            </w:r>
            <w:r w:rsidRPr="00335DDA">
              <w:rPr>
                <w:lang w:val="ru-RU"/>
              </w:rPr>
              <w:t>760</w:t>
            </w:r>
          </w:p>
        </w:tc>
        <w:tc>
          <w:tcPr>
            <w:tcW w:w="1843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4</w:t>
            </w:r>
            <w:r w:rsidRPr="00335DDA">
              <w:rPr>
                <w:rFonts w:asciiTheme="minorHAnsi" w:hAnsiTheme="minorHAnsi"/>
                <w:lang w:val="ru-RU"/>
              </w:rPr>
              <w:t>,</w:t>
            </w:r>
            <w:r w:rsidRPr="00335DDA">
              <w:rPr>
                <w:lang w:val="ru-RU"/>
              </w:rPr>
              <w:t>800</w:t>
            </w:r>
          </w:p>
        </w:tc>
        <w:tc>
          <w:tcPr>
            <w:tcW w:w="1842" w:type="dxa"/>
          </w:tcPr>
          <w:p w:rsidR="007C0E44" w:rsidRPr="00335DDA" w:rsidRDefault="007C0E44" w:rsidP="00844C88">
            <w:pPr>
              <w:pStyle w:val="Tabletext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8</w:t>
            </w:r>
            <w:r w:rsidRPr="00335DDA">
              <w:rPr>
                <w:rFonts w:asciiTheme="minorHAnsi" w:hAnsiTheme="minorHAnsi"/>
                <w:lang w:val="ru-RU"/>
              </w:rPr>
              <w:t>,</w:t>
            </w:r>
            <w:r w:rsidRPr="00335DDA">
              <w:rPr>
                <w:lang w:val="ru-RU"/>
              </w:rPr>
              <w:t>000</w:t>
            </w:r>
          </w:p>
        </w:tc>
      </w:tr>
    </w:tbl>
    <w:p w:rsidR="007C0E44" w:rsidRPr="00335DDA" w:rsidRDefault="007C0E44" w:rsidP="007C0E44">
      <w:pPr>
        <w:pStyle w:val="Tablefin"/>
        <w:rPr>
          <w:lang w:val="ru-RU"/>
        </w:rPr>
      </w:pPr>
    </w:p>
    <w:p w:rsidR="007C0E44" w:rsidRPr="00335DDA" w:rsidRDefault="007C0E44" w:rsidP="007C0E44">
      <w:pPr>
        <w:pStyle w:val="Heading2"/>
        <w:rPr>
          <w:lang w:val="ru-RU"/>
        </w:rPr>
      </w:pPr>
      <w:r w:rsidRPr="00335DDA">
        <w:rPr>
          <w:lang w:val="ru-RU"/>
        </w:rPr>
        <w:t>2.4</w:t>
      </w:r>
      <w:r w:rsidRPr="00335DDA">
        <w:rPr>
          <w:lang w:val="ru-RU"/>
        </w:rPr>
        <w:tab/>
        <w:t>Общие характеристики</w:t>
      </w:r>
    </w:p>
    <w:p w:rsidR="007C0E44" w:rsidRPr="00335DDA" w:rsidRDefault="007C0E44" w:rsidP="007C0E44">
      <w:pPr>
        <w:pStyle w:val="Heading3"/>
        <w:rPr>
          <w:lang w:val="ru-RU"/>
        </w:rPr>
      </w:pPr>
      <w:bookmarkStart w:id="7" w:name="_Toc201721895"/>
      <w:bookmarkStart w:id="8" w:name="_Toc206227629"/>
      <w:bookmarkStart w:id="9" w:name="_Toc206415576"/>
      <w:bookmarkStart w:id="10" w:name="_Toc206418383"/>
      <w:bookmarkStart w:id="11" w:name="_Toc207099138"/>
      <w:bookmarkStart w:id="12" w:name="_Toc207099743"/>
      <w:bookmarkStart w:id="13" w:name="_Toc207100662"/>
      <w:bookmarkStart w:id="14" w:name="_Toc207348584"/>
      <w:bookmarkStart w:id="15" w:name="_Toc215582940"/>
      <w:bookmarkStart w:id="16" w:name="_Toc235400633"/>
      <w:bookmarkStart w:id="17" w:name="_Toc255750496"/>
      <w:r w:rsidRPr="00335DDA">
        <w:rPr>
          <w:lang w:val="ru-RU"/>
        </w:rPr>
        <w:t>2.4.1</w:t>
      </w:r>
      <w:r w:rsidRPr="00335DDA">
        <w:rPr>
          <w:lang w:val="ru-RU"/>
        </w:rPr>
        <w:tab/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335DDA">
        <w:rPr>
          <w:lang w:val="ru-RU"/>
        </w:rPr>
        <w:t>Диапазон эксплуатационных температур при передаче и приеме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Диапазон эксплуатационных температур при передаче и приеме соответствует стандарту IEEE 802.11-2016.</w:t>
      </w:r>
    </w:p>
    <w:p w:rsidR="007C0E44" w:rsidRPr="00335DDA" w:rsidRDefault="007C0E44" w:rsidP="007C0E44">
      <w:pPr>
        <w:pStyle w:val="Heading3"/>
        <w:rPr>
          <w:lang w:val="ru-RU"/>
        </w:rPr>
      </w:pPr>
      <w:bookmarkStart w:id="18" w:name="_Toc201721896"/>
      <w:bookmarkStart w:id="19" w:name="_Toc206227630"/>
      <w:bookmarkStart w:id="20" w:name="_Toc206415577"/>
      <w:bookmarkStart w:id="21" w:name="_Toc206418384"/>
      <w:bookmarkStart w:id="22" w:name="_Toc207099139"/>
      <w:bookmarkStart w:id="23" w:name="_Toc207099744"/>
      <w:bookmarkStart w:id="24" w:name="_Toc207100663"/>
      <w:bookmarkStart w:id="25" w:name="_Toc207348585"/>
      <w:bookmarkStart w:id="26" w:name="_Toc215582941"/>
      <w:bookmarkStart w:id="27" w:name="_Toc235400634"/>
      <w:bookmarkStart w:id="28" w:name="_Toc255750497"/>
      <w:r w:rsidRPr="00335DDA">
        <w:rPr>
          <w:lang w:val="ru-RU"/>
        </w:rPr>
        <w:t>2.4.2</w:t>
      </w:r>
      <w:r w:rsidRPr="00335DDA">
        <w:rPr>
          <w:lang w:val="ru-RU"/>
        </w:rPr>
        <w:tab/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335DDA">
        <w:rPr>
          <w:lang w:val="ru-RU"/>
        </w:rPr>
        <w:t>Допустимое отклонение центральной частоты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Допустимое максимальное отклонение центральной частоты передачи для диапазона 60 ГГц должно составлять ±20·10</w:t>
      </w:r>
      <w:r w:rsidRPr="00335DDA">
        <w:rPr>
          <w:vertAlign w:val="superscript"/>
          <w:lang w:val="ru-RU"/>
        </w:rPr>
        <w:t>–6</w:t>
      </w:r>
      <w:r w:rsidRPr="00335DDA">
        <w:rPr>
          <w:lang w:val="ru-RU"/>
        </w:rPr>
        <w:t>.</w:t>
      </w:r>
    </w:p>
    <w:p w:rsidR="007C0E44" w:rsidRPr="00335DDA" w:rsidRDefault="007C0E44" w:rsidP="007C0E44">
      <w:pPr>
        <w:pStyle w:val="Heading3"/>
        <w:rPr>
          <w:lang w:val="ru-RU"/>
        </w:rPr>
      </w:pPr>
      <w:bookmarkStart w:id="29" w:name="_Toc201721897"/>
      <w:bookmarkStart w:id="30" w:name="_Toc206227631"/>
      <w:bookmarkStart w:id="31" w:name="_Toc206415578"/>
      <w:bookmarkStart w:id="32" w:name="_Toc206418385"/>
      <w:bookmarkStart w:id="33" w:name="_Toc207099140"/>
      <w:bookmarkStart w:id="34" w:name="_Toc207099745"/>
      <w:bookmarkStart w:id="35" w:name="_Toc207100664"/>
      <w:bookmarkStart w:id="36" w:name="_Toc207348586"/>
      <w:bookmarkStart w:id="37" w:name="_Toc215582942"/>
      <w:bookmarkStart w:id="38" w:name="_Toc235400635"/>
      <w:bookmarkStart w:id="39" w:name="_Toc255750498"/>
      <w:r w:rsidRPr="00335DDA">
        <w:rPr>
          <w:lang w:val="ru-RU"/>
        </w:rPr>
        <w:t>2.4.3</w:t>
      </w:r>
      <w:r w:rsidRPr="00335DDA">
        <w:rPr>
          <w:lang w:val="ru-RU"/>
        </w:rPr>
        <w:tab/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335DDA">
        <w:rPr>
          <w:lang w:val="ru-RU"/>
        </w:rPr>
        <w:t>Допустимое отклонение частоты синхронизации символов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Допустимое максимальное отклонение частоты синхронизации символов для диапазона 60 ГГц должно составлять ±20·10</w:t>
      </w:r>
      <w:r w:rsidRPr="00335DDA">
        <w:rPr>
          <w:vertAlign w:val="superscript"/>
          <w:lang w:val="ru-RU"/>
        </w:rPr>
        <w:t>–6</w:t>
      </w:r>
      <w:r w:rsidRPr="00335DDA">
        <w:rPr>
          <w:lang w:val="ru-RU"/>
        </w:rPr>
        <w:t>. Центральная частота передачи и частота синхронизации символов выделяются из одного и того же опорного генератора.</w:t>
      </w:r>
    </w:p>
    <w:p w:rsidR="007C0E44" w:rsidRPr="00335DDA" w:rsidRDefault="007C0E44" w:rsidP="007C0E44">
      <w:pPr>
        <w:pStyle w:val="Heading3"/>
        <w:rPr>
          <w:lang w:val="ru-RU"/>
        </w:rPr>
      </w:pPr>
      <w:bookmarkStart w:id="40" w:name="_Toc201721898"/>
      <w:bookmarkStart w:id="41" w:name="_Toc206227632"/>
      <w:bookmarkStart w:id="42" w:name="_Toc206415579"/>
      <w:bookmarkStart w:id="43" w:name="_Toc206418386"/>
      <w:bookmarkStart w:id="44" w:name="_Toc207099141"/>
      <w:bookmarkStart w:id="45" w:name="_Toc207099746"/>
      <w:bookmarkStart w:id="46" w:name="_Toc207100665"/>
      <w:bookmarkStart w:id="47" w:name="_Toc207348587"/>
      <w:bookmarkStart w:id="48" w:name="_Toc215582943"/>
      <w:bookmarkStart w:id="49" w:name="_Toc235400636"/>
      <w:bookmarkStart w:id="50" w:name="_Toc255750499"/>
      <w:r w:rsidRPr="00335DDA">
        <w:rPr>
          <w:lang w:val="ru-RU"/>
        </w:rPr>
        <w:t>2.4.4</w:t>
      </w:r>
      <w:r w:rsidRPr="00335DDA">
        <w:rPr>
          <w:lang w:val="ru-RU"/>
        </w:rPr>
        <w:tab/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Pr="00335DDA">
        <w:rPr>
          <w:lang w:val="ru-RU"/>
        </w:rPr>
        <w:t>Просачивание центральной частоты передачи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Величина просачивания центральной частоты передачи не должна превышать −23 дБ относительно oбщей мощности передачи или, эквивалентно, 2,5 дБ относительно средней энергии остальных поднесущих (при ортогональном частотном разделении, OFDM).</w:t>
      </w:r>
    </w:p>
    <w:p w:rsidR="007C0E44" w:rsidRPr="00335DDA" w:rsidRDefault="007C0E44" w:rsidP="007C0E44">
      <w:pPr>
        <w:pStyle w:val="Heading3"/>
        <w:rPr>
          <w:lang w:val="ru-RU"/>
        </w:rPr>
      </w:pPr>
      <w:bookmarkStart w:id="51" w:name="_Toc201721899"/>
      <w:bookmarkStart w:id="52" w:name="_Toc206227633"/>
      <w:bookmarkStart w:id="53" w:name="_Toc206415580"/>
      <w:bookmarkStart w:id="54" w:name="_Toc206418387"/>
      <w:bookmarkStart w:id="55" w:name="_Toc207099142"/>
      <w:bookmarkStart w:id="56" w:name="_Toc207099747"/>
      <w:bookmarkStart w:id="57" w:name="_Toc207100666"/>
      <w:bookmarkStart w:id="58" w:name="_Toc207348588"/>
      <w:bookmarkStart w:id="59" w:name="_Toc215582944"/>
      <w:bookmarkStart w:id="60" w:name="_Toc235400637"/>
      <w:bookmarkStart w:id="61" w:name="_Toc255750500"/>
      <w:r w:rsidRPr="00335DDA">
        <w:rPr>
          <w:lang w:val="ru-RU"/>
        </w:rPr>
        <w:t>2.4.5</w:t>
      </w:r>
      <w:r w:rsidRPr="00335DDA">
        <w:rPr>
          <w:lang w:val="ru-RU"/>
        </w:rPr>
        <w:tab/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r w:rsidRPr="00335DDA">
        <w:rPr>
          <w:lang w:val="ru-RU"/>
        </w:rPr>
        <w:t>Время нарастания и спада мощности передачи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Время нарастания при включении мощности передачи определяется временем нарастания от менее 10% до более 90% средней мощности, передаваемой в кадре.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Время нарастания при включении мощности передачи должно быть около 10 нс.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Время спада при выключении мощности передачи определяется временем спада от более 90% до менее 10% средней мощности, передаваемой в кадре.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Время спада при выключении мощности передачи должно быть около 10 нс.</w:t>
      </w:r>
    </w:p>
    <w:p w:rsidR="007C0E44" w:rsidRPr="00335DDA" w:rsidRDefault="007C0E44" w:rsidP="007C0E44">
      <w:pPr>
        <w:pStyle w:val="Heading3"/>
        <w:rPr>
          <w:lang w:val="ru-RU"/>
        </w:rPr>
      </w:pPr>
      <w:bookmarkStart w:id="62" w:name="_Toc255750501"/>
      <w:r w:rsidRPr="00335DDA">
        <w:rPr>
          <w:lang w:val="ru-RU"/>
        </w:rPr>
        <w:lastRenderedPageBreak/>
        <w:t>2.4.6</w:t>
      </w:r>
      <w:r w:rsidRPr="00335DDA">
        <w:rPr>
          <w:lang w:val="ru-RU"/>
        </w:rPr>
        <w:tab/>
      </w:r>
      <w:bookmarkEnd w:id="62"/>
      <w:r w:rsidRPr="00335DDA">
        <w:rPr>
          <w:lang w:val="ru-RU"/>
        </w:rPr>
        <w:t>Максимальный уровень мощности на входе</w:t>
      </w:r>
    </w:p>
    <w:p w:rsidR="007C0E44" w:rsidRPr="00335DDA" w:rsidRDefault="007C0E44" w:rsidP="007C0E44">
      <w:pPr>
        <w:spacing w:before="80"/>
        <w:rPr>
          <w:lang w:val="ru-RU"/>
        </w:rPr>
      </w:pPr>
      <w:r w:rsidRPr="00335DDA">
        <w:rPr>
          <w:lang w:val="ru-RU"/>
        </w:rPr>
        <w:t>Максимальный входной уровень приемника – это максимальный уровень мощности входного сигнала, в дБм, присутствующий на входе приемника, при котором удовлетворяется критерий коэффициента ошибок (определяется в разделе "Чувствительность приемника"). Максимальный входной уровень приемной антенны (антенн) приемника, удовлетворяющего этому критерию, составляет не менее 10 микроватт/см</w:t>
      </w:r>
      <w:r w:rsidRPr="00335DDA">
        <w:rPr>
          <w:vertAlign w:val="superscript"/>
          <w:lang w:val="ru-RU"/>
        </w:rPr>
        <w:t>2</w:t>
      </w:r>
      <w:r w:rsidRPr="00335DDA">
        <w:rPr>
          <w:lang w:val="ru-RU"/>
        </w:rPr>
        <w:t xml:space="preserve"> для каждого формата модуляции, поддерживаемого приемником.</w:t>
      </w:r>
    </w:p>
    <w:p w:rsidR="007C0E44" w:rsidRPr="00335DDA" w:rsidRDefault="007C0E44" w:rsidP="007C0E44">
      <w:pPr>
        <w:pStyle w:val="Heading3"/>
        <w:rPr>
          <w:lang w:val="ru-RU" w:eastAsia="ja-JP"/>
        </w:rPr>
      </w:pPr>
      <w:r w:rsidRPr="00335DDA">
        <w:rPr>
          <w:lang w:val="ru-RU"/>
        </w:rPr>
        <w:t>2.4.7</w:t>
      </w:r>
      <w:r w:rsidRPr="00335DDA">
        <w:rPr>
          <w:lang w:val="ru-RU"/>
        </w:rPr>
        <w:tab/>
      </w:r>
      <w:r w:rsidRPr="00335DDA">
        <w:rPr>
          <w:lang w:val="ru-RU" w:eastAsia="ja-JP"/>
        </w:rPr>
        <w:t>Системные характеристики</w:t>
      </w:r>
    </w:p>
    <w:p w:rsidR="007C0E44" w:rsidRPr="00335DDA" w:rsidRDefault="007C0E44" w:rsidP="007C0E44">
      <w:pPr>
        <w:spacing w:before="80"/>
        <w:rPr>
          <w:lang w:val="ru-RU" w:eastAsia="ja-JP"/>
        </w:rPr>
      </w:pPr>
      <w:r w:rsidRPr="00335DDA">
        <w:rPr>
          <w:lang w:val="ru-RU" w:eastAsia="ja-JP"/>
        </w:rPr>
        <w:t>Для того чтобы использовать весь потенциал, который может предоставить система MGWS, включая поддержку описываемых здесь применений и услуг, необходимо реализовать конкретные характеристики системного уровня:</w:t>
      </w:r>
    </w:p>
    <w:p w:rsidR="007C0E44" w:rsidRPr="00335DDA" w:rsidRDefault="007C0E44" w:rsidP="007C0E44">
      <w:pPr>
        <w:pStyle w:val="enumlev1"/>
        <w:spacing w:before="40" w:line="228" w:lineRule="auto"/>
        <w:rPr>
          <w:lang w:val="ru-RU"/>
        </w:rPr>
      </w:pPr>
      <w:r w:rsidRPr="00335DDA">
        <w:rPr>
          <w:lang w:val="ru-RU"/>
        </w:rPr>
        <w:t>1)</w:t>
      </w:r>
      <w:r w:rsidRPr="00335DDA">
        <w:rPr>
          <w:lang w:val="ru-RU"/>
        </w:rPr>
        <w:tab/>
      </w:r>
      <w:r w:rsidRPr="00335DDA">
        <w:rPr>
          <w:b/>
          <w:bCs/>
          <w:lang w:val="ru-RU"/>
        </w:rPr>
        <w:t>Пропускная способность</w:t>
      </w:r>
      <w:r w:rsidRPr="00335DDA">
        <w:rPr>
          <w:lang w:val="ru-RU"/>
        </w:rPr>
        <w:t>: в каждом устройстве MGWS, способном работать только с отдельными каналами, должны быть реализованы средства достижения максимальной пропускной способности, обеспечивающие скорость передачи данных не менее 1 Гбит/с, измеренную в верхней части уровня управления доступом к среде передачи данных. Если устройство MGWS способно работать с объединенными каналами, пропускная способность должна масштабироваться линейно в соответствии с количеством объединенных каналов.</w:t>
      </w:r>
    </w:p>
    <w:p w:rsidR="007C0E44" w:rsidRPr="00335DDA" w:rsidRDefault="007C0E44" w:rsidP="007C0E44">
      <w:pPr>
        <w:pStyle w:val="enumlev1"/>
        <w:spacing w:before="40" w:line="228" w:lineRule="auto"/>
        <w:rPr>
          <w:lang w:val="ru-RU"/>
        </w:rPr>
      </w:pPr>
      <w:r w:rsidRPr="00335DDA">
        <w:rPr>
          <w:lang w:val="ru-RU"/>
        </w:rPr>
        <w:t>2)</w:t>
      </w:r>
      <w:r w:rsidRPr="00335DDA">
        <w:rPr>
          <w:lang w:val="ru-RU"/>
        </w:rPr>
        <w:tab/>
      </w:r>
      <w:r w:rsidRPr="00335DDA">
        <w:rPr>
          <w:b/>
          <w:bCs/>
          <w:lang w:val="ru-RU"/>
        </w:rPr>
        <w:t>Дальность действия</w:t>
      </w:r>
      <w:r w:rsidRPr="00335DDA">
        <w:rPr>
          <w:lang w:val="ru-RU"/>
        </w:rPr>
        <w:t>: в системах WLAN должны быть реализованы средства достижения дальности действия не менее 10 м при скорости 1 Гбит/с, измеренной в верхней части уровня управления доступом к среде передачи данных, при определенных условиях отсутствия прямой видимости физического канала. Применительно к WPAN и CPMS дальность действия систем должна, как правило, быть менее 10 см для обеспечения многократного повторного использования частот.</w:t>
      </w:r>
    </w:p>
    <w:p w:rsidR="007C0E44" w:rsidRPr="00335DDA" w:rsidRDefault="007C0E44" w:rsidP="007C0E44">
      <w:pPr>
        <w:spacing w:before="80"/>
        <w:rPr>
          <w:lang w:val="ru-RU"/>
        </w:rPr>
      </w:pPr>
      <w:r w:rsidRPr="00335DDA">
        <w:rPr>
          <w:lang w:val="ru-RU"/>
        </w:rPr>
        <w:t>В случае поддержки системой несжатого потокового видео, дополнительно к вышеупомянутым характеристикам, необходимо реализовать характеристики, указанные в таблице 4.</w:t>
      </w:r>
    </w:p>
    <w:p w:rsidR="007C0E44" w:rsidRPr="00335DDA" w:rsidRDefault="007C0E44" w:rsidP="007C0E44">
      <w:pPr>
        <w:pStyle w:val="TableNo"/>
        <w:spacing w:before="240"/>
        <w:rPr>
          <w:lang w:val="ru-RU" w:eastAsia="ja-JP"/>
        </w:rPr>
      </w:pPr>
      <w:r w:rsidRPr="00335DDA">
        <w:rPr>
          <w:lang w:val="ru-RU" w:eastAsia="ja-JP"/>
        </w:rPr>
        <w:t>ТАБЛИЦА 4</w:t>
      </w:r>
    </w:p>
    <w:p w:rsidR="007C0E44" w:rsidRPr="00335DDA" w:rsidRDefault="007C0E44" w:rsidP="007C0E44">
      <w:pPr>
        <w:pStyle w:val="Tabletitle"/>
        <w:rPr>
          <w:lang w:val="ru-RU" w:eastAsia="ja-JP"/>
        </w:rPr>
      </w:pPr>
      <w:r w:rsidRPr="00335DDA">
        <w:rPr>
          <w:lang w:val="ru-RU" w:eastAsia="ja-JP"/>
        </w:rPr>
        <w:t>Системные характеристики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915"/>
        <w:gridCol w:w="3087"/>
      </w:tblGrid>
      <w:tr w:rsidR="007C0E44" w:rsidRPr="00335DDA" w:rsidTr="00844C88">
        <w:trPr>
          <w:jc w:val="center"/>
        </w:trPr>
        <w:tc>
          <w:tcPr>
            <w:tcW w:w="2690" w:type="dxa"/>
          </w:tcPr>
          <w:p w:rsidR="007C0E44" w:rsidRPr="00335DDA" w:rsidRDefault="007C0E44" w:rsidP="00844C88">
            <w:pPr>
              <w:pStyle w:val="Tablehead"/>
              <w:spacing w:before="40" w:after="40"/>
              <w:rPr>
                <w:lang w:val="ru-RU"/>
              </w:rPr>
            </w:pPr>
            <w:r w:rsidRPr="00335DDA">
              <w:rPr>
                <w:lang w:val="ru-RU"/>
              </w:rPr>
              <w:t>Параметр</w:t>
            </w:r>
          </w:p>
        </w:tc>
        <w:tc>
          <w:tcPr>
            <w:tcW w:w="1915" w:type="dxa"/>
          </w:tcPr>
          <w:p w:rsidR="007C0E44" w:rsidRPr="00335DDA" w:rsidRDefault="007C0E44" w:rsidP="00844C88">
            <w:pPr>
              <w:pStyle w:val="Tablehead"/>
              <w:spacing w:before="40" w:after="40"/>
              <w:rPr>
                <w:lang w:val="ru-RU"/>
              </w:rPr>
            </w:pPr>
            <w:r w:rsidRPr="00335DDA">
              <w:rPr>
                <w:lang w:val="ru-RU"/>
              </w:rPr>
              <w:t>Значение</w:t>
            </w:r>
          </w:p>
        </w:tc>
        <w:tc>
          <w:tcPr>
            <w:tcW w:w="3087" w:type="dxa"/>
          </w:tcPr>
          <w:p w:rsidR="007C0E44" w:rsidRPr="00335DDA" w:rsidRDefault="007C0E44" w:rsidP="00844C88">
            <w:pPr>
              <w:pStyle w:val="Tablehead"/>
              <w:spacing w:before="40" w:after="40"/>
              <w:rPr>
                <w:lang w:val="ru-RU"/>
              </w:rPr>
            </w:pPr>
            <w:r w:rsidRPr="00335DDA">
              <w:rPr>
                <w:lang w:val="ru-RU"/>
              </w:rPr>
              <w:t>Описание</w:t>
            </w:r>
          </w:p>
        </w:tc>
      </w:tr>
      <w:tr w:rsidR="007C0E44" w:rsidRPr="00335DDA" w:rsidTr="00844C88">
        <w:trPr>
          <w:jc w:val="center"/>
        </w:trPr>
        <w:tc>
          <w:tcPr>
            <w:tcW w:w="2690" w:type="dxa"/>
          </w:tcPr>
          <w:p w:rsidR="007C0E44" w:rsidRPr="00335DDA" w:rsidRDefault="007C0E44" w:rsidP="00844C8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Скорость</w:t>
            </w:r>
          </w:p>
        </w:tc>
        <w:tc>
          <w:tcPr>
            <w:tcW w:w="1915" w:type="dxa"/>
          </w:tcPr>
          <w:p w:rsidR="007C0E44" w:rsidRPr="00335DDA" w:rsidRDefault="007C0E44" w:rsidP="00844C8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3 Гбит/с</w:t>
            </w:r>
          </w:p>
        </w:tc>
        <w:tc>
          <w:tcPr>
            <w:tcW w:w="3087" w:type="dxa"/>
            <w:vMerge w:val="restart"/>
          </w:tcPr>
          <w:p w:rsidR="007C0E44" w:rsidRPr="00335DDA" w:rsidRDefault="007C0E44" w:rsidP="00844C8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Несжатое видео,</w:t>
            </w:r>
            <w:r w:rsidRPr="00335DDA">
              <w:rPr>
                <w:lang w:val="ru-RU"/>
              </w:rPr>
              <w:br/>
              <w:t>1 080 p</w:t>
            </w:r>
          </w:p>
          <w:p w:rsidR="007C0E44" w:rsidRPr="00335DDA" w:rsidRDefault="007C0E44" w:rsidP="00844C8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(RGB): 1 920 × 1 080 пикселей, 24 бит/пиксель, 60 кадров/с</w:t>
            </w:r>
          </w:p>
        </w:tc>
      </w:tr>
      <w:tr w:rsidR="007C0E44" w:rsidRPr="00335DDA" w:rsidTr="00844C88">
        <w:trPr>
          <w:jc w:val="center"/>
        </w:trPr>
        <w:tc>
          <w:tcPr>
            <w:tcW w:w="2690" w:type="dxa"/>
          </w:tcPr>
          <w:p w:rsidR="007C0E44" w:rsidRPr="00335DDA" w:rsidRDefault="007C0E44" w:rsidP="00844C8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Коэффициент потерь пакетов (полезная нагрузка 8 кБайт)</w:t>
            </w:r>
          </w:p>
        </w:tc>
        <w:tc>
          <w:tcPr>
            <w:tcW w:w="1915" w:type="dxa"/>
          </w:tcPr>
          <w:p w:rsidR="007C0E44" w:rsidRPr="00335DDA" w:rsidRDefault="007C0E44" w:rsidP="00844C8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1e-8</w:t>
            </w:r>
          </w:p>
        </w:tc>
        <w:tc>
          <w:tcPr>
            <w:tcW w:w="3087" w:type="dxa"/>
            <w:vMerge/>
          </w:tcPr>
          <w:p w:rsidR="007C0E44" w:rsidRPr="00335DDA" w:rsidRDefault="007C0E44" w:rsidP="00844C88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7C0E44" w:rsidRPr="00335DDA" w:rsidTr="00844C88">
        <w:trPr>
          <w:jc w:val="center"/>
        </w:trPr>
        <w:tc>
          <w:tcPr>
            <w:tcW w:w="2690" w:type="dxa"/>
          </w:tcPr>
          <w:p w:rsidR="007C0E44" w:rsidRPr="00335DDA" w:rsidRDefault="007C0E44" w:rsidP="00844C8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Задержка</w:t>
            </w:r>
            <w:r w:rsidRPr="00335DDA">
              <w:rPr>
                <w:rStyle w:val="FootnoteReference"/>
                <w:position w:val="0"/>
                <w:sz w:val="20"/>
                <w:vertAlign w:val="superscript"/>
                <w:lang w:val="ru-RU"/>
              </w:rPr>
              <w:footnoteReference w:id="4"/>
            </w:r>
          </w:p>
        </w:tc>
        <w:tc>
          <w:tcPr>
            <w:tcW w:w="1915" w:type="dxa"/>
          </w:tcPr>
          <w:p w:rsidR="007C0E44" w:rsidRPr="00335DDA" w:rsidRDefault="007C0E44" w:rsidP="00844C8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335DDA">
              <w:rPr>
                <w:lang w:val="ru-RU"/>
              </w:rPr>
              <w:t>10 мс</w:t>
            </w:r>
          </w:p>
        </w:tc>
        <w:tc>
          <w:tcPr>
            <w:tcW w:w="3087" w:type="dxa"/>
            <w:vMerge/>
          </w:tcPr>
          <w:p w:rsidR="007C0E44" w:rsidRPr="00335DDA" w:rsidRDefault="007C0E44" w:rsidP="00844C88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</w:tbl>
    <w:p w:rsidR="007C0E44" w:rsidRPr="00335DDA" w:rsidRDefault="007C0E44" w:rsidP="007C0E44">
      <w:pPr>
        <w:pStyle w:val="Heading3"/>
        <w:rPr>
          <w:lang w:val="ru-RU"/>
        </w:rPr>
      </w:pPr>
      <w:r w:rsidRPr="00335DDA">
        <w:rPr>
          <w:lang w:val="ru-RU"/>
        </w:rPr>
        <w:t>2.4.8</w:t>
      </w:r>
      <w:r w:rsidRPr="00335DDA">
        <w:rPr>
          <w:lang w:val="ru-RU"/>
        </w:rPr>
        <w:tab/>
        <w:t>Схемы доступа к каналу</w:t>
      </w:r>
    </w:p>
    <w:p w:rsidR="007C0E44" w:rsidRPr="00335DDA" w:rsidRDefault="007C0E44" w:rsidP="007C0E44">
      <w:pPr>
        <w:spacing w:before="80"/>
        <w:rPr>
          <w:lang w:val="ru-RU"/>
        </w:rPr>
      </w:pPr>
      <w:r w:rsidRPr="00335DDA">
        <w:rPr>
          <w:lang w:val="ru-RU"/>
        </w:rPr>
        <w:t>Основной схемой доступа к каналу является многостанционный доступ с временным разделением (TDMA), при котором необходимо решать проблемы работы в диапазоне 60 ГГц, направленного характера связи и таких применений, как беспроводные дисплеи. TDMA может гарантированно обеспечить необходимую ширину полосы тем применениям, которые чувствительны к качеству обслуживания, благодаря ее характеристикам резервирования, при которых она остается энергетически эффективной, так как устройствам нет необходимости быть активными при прекращении связи.</w:t>
      </w:r>
    </w:p>
    <w:p w:rsidR="007C0E44" w:rsidRPr="00335DDA" w:rsidRDefault="007C0E44" w:rsidP="007C0E44">
      <w:pPr>
        <w:spacing w:before="80"/>
        <w:rPr>
          <w:lang w:val="ru-RU"/>
        </w:rPr>
      </w:pPr>
      <w:r w:rsidRPr="00335DDA">
        <w:rPr>
          <w:lang w:val="ru-RU"/>
        </w:rPr>
        <w:t>Кроме того, поскольку TDMA работает по расписанию, станции точно знают, с какой другой станцией и когда они будут осуществлять связь, и поэтому они могут нацелить главный луч своей антенны в предназначенном направлении, и избавляются от потребности иметь всенаправленную связь, необходимую при доступе на основе конкуренции.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 xml:space="preserve">Доступ на основе конкуренции, какой предоставляется в сети Wi-Fi, тоже должен поддерживаться для использований, включающих веб-навигацию и передачу файлов. Однако доступ на основе </w:t>
      </w:r>
      <w:r w:rsidRPr="00335DDA">
        <w:rPr>
          <w:lang w:val="ru-RU"/>
        </w:rPr>
        <w:lastRenderedPageBreak/>
        <w:t>конкуренции не является основной схемой доступа, и его следует использовать в течение интервалов времени, выделенных в инфраструктуре доступа к каналам TDMA.</w:t>
      </w:r>
    </w:p>
    <w:p w:rsidR="007C0E44" w:rsidRPr="00335DDA" w:rsidRDefault="007C0E44" w:rsidP="007C0E44">
      <w:pPr>
        <w:pStyle w:val="Heading2"/>
        <w:spacing w:before="240"/>
        <w:rPr>
          <w:lang w:val="ru-RU"/>
        </w:rPr>
      </w:pPr>
      <w:r w:rsidRPr="00335DDA">
        <w:rPr>
          <w:lang w:val="ru-RU"/>
        </w:rPr>
        <w:t>2.5</w:t>
      </w:r>
      <w:r w:rsidRPr="00335DDA">
        <w:rPr>
          <w:lang w:val="ru-RU"/>
        </w:rPr>
        <w:tab/>
        <w:t>Параметры для совместной работы</w:t>
      </w:r>
    </w:p>
    <w:p w:rsidR="007C0E44" w:rsidRPr="00335DDA" w:rsidRDefault="007C0E44" w:rsidP="007C0E44">
      <w:pPr>
        <w:tabs>
          <w:tab w:val="left" w:pos="1134"/>
          <w:tab w:val="left" w:pos="1871"/>
          <w:tab w:val="left" w:pos="2268"/>
        </w:tabs>
        <w:rPr>
          <w:lang w:val="ru-RU"/>
        </w:rPr>
      </w:pPr>
      <w:r w:rsidRPr="00335DDA">
        <w:rPr>
          <w:lang w:val="ru-RU"/>
        </w:rPr>
        <w:t>Для улучшения совместной работы важно, чтобы во всех системах MGWS использовалась одна и та же схема размещения каналов.</w:t>
      </w:r>
    </w:p>
    <w:p w:rsidR="007C0E44" w:rsidRPr="00335DDA" w:rsidRDefault="007C0E44" w:rsidP="007C0E44">
      <w:pPr>
        <w:tabs>
          <w:tab w:val="left" w:pos="1134"/>
          <w:tab w:val="left" w:pos="1871"/>
          <w:tab w:val="left" w:pos="2268"/>
        </w:tabs>
        <w:rPr>
          <w:lang w:val="ru-RU"/>
        </w:rPr>
      </w:pPr>
      <w:r w:rsidRPr="00335DDA">
        <w:rPr>
          <w:lang w:val="ru-RU"/>
        </w:rPr>
        <w:t>Примеры схем размещения каналов:</w:t>
      </w:r>
    </w:p>
    <w:p w:rsidR="007C0E44" w:rsidRPr="00335DDA" w:rsidRDefault="007C0E44" w:rsidP="007C0E44">
      <w:pPr>
        <w:pStyle w:val="enumlev1"/>
        <w:rPr>
          <w:lang w:val="ru-RU"/>
        </w:rPr>
      </w:pPr>
      <w:r w:rsidRPr="00335DDA">
        <w:rPr>
          <w:lang w:val="ru-RU"/>
        </w:rPr>
        <w:t>1)</w:t>
      </w:r>
      <w:r w:rsidRPr="00335DDA">
        <w:rPr>
          <w:lang w:val="ru-RU"/>
        </w:rPr>
        <w:tab/>
        <w:t>IEEE:</w:t>
      </w:r>
    </w:p>
    <w:p w:rsidR="007C0E44" w:rsidRPr="00335DDA" w:rsidRDefault="007C0E44" w:rsidP="007C0E44">
      <w:pPr>
        <w:pStyle w:val="enumlev2"/>
        <w:rPr>
          <w:lang w:val="ru-RU"/>
        </w:rPr>
      </w:pPr>
      <w:r w:rsidRPr="00335DDA">
        <w:rPr>
          <w:lang w:val="ru-RU"/>
        </w:rPr>
        <w:t>a)</w:t>
      </w:r>
      <w:r w:rsidRPr="00335DDA">
        <w:rPr>
          <w:lang w:val="ru-RU"/>
        </w:rPr>
        <w:tab/>
        <w:t>Стандарт IEEE 802.11-2016</w:t>
      </w:r>
      <w:r w:rsidRPr="00335DDA">
        <w:rPr>
          <w:szCs w:val="22"/>
          <w:vertAlign w:val="superscript"/>
          <w:lang w:val="ru-RU"/>
        </w:rPr>
        <w:footnoteReference w:id="5"/>
      </w:r>
      <w:r w:rsidRPr="00335DDA">
        <w:rPr>
          <w:lang w:val="ru-RU"/>
        </w:rPr>
        <w:t xml:space="preserve"> определяет ширину полосы канала 2160 МГц.</w:t>
      </w:r>
    </w:p>
    <w:p w:rsidR="007C0E44" w:rsidRPr="00335DDA" w:rsidRDefault="007C0E44" w:rsidP="007C0E44">
      <w:pPr>
        <w:pStyle w:val="enumlev2"/>
        <w:rPr>
          <w:lang w:val="ru-RU"/>
        </w:rPr>
      </w:pPr>
      <w:r w:rsidRPr="00335DDA">
        <w:rPr>
          <w:lang w:val="ru-RU"/>
        </w:rPr>
        <w:t>b)</w:t>
      </w:r>
      <w:r w:rsidRPr="00335DDA">
        <w:rPr>
          <w:i/>
          <w:lang w:val="ru-RU"/>
        </w:rPr>
        <w:tab/>
      </w:r>
      <w:r w:rsidRPr="00335DDA">
        <w:rPr>
          <w:lang w:val="ru-RU"/>
        </w:rPr>
        <w:t>Стандарт IEEE 802.15.3-2016</w:t>
      </w:r>
      <w:r w:rsidRPr="00335DDA">
        <w:rPr>
          <w:szCs w:val="22"/>
          <w:vertAlign w:val="superscript"/>
          <w:lang w:val="ru-RU"/>
        </w:rPr>
        <w:footnoteReference w:id="6"/>
      </w:r>
      <w:r w:rsidRPr="00335DDA">
        <w:rPr>
          <w:lang w:val="ru-RU"/>
        </w:rPr>
        <w:t xml:space="preserve"> определяет ширину полосы канала 2160 МГц.</w:t>
      </w:r>
    </w:p>
    <w:p w:rsidR="007C0E44" w:rsidRPr="00335DDA" w:rsidRDefault="007C0E44" w:rsidP="007C0E44">
      <w:pPr>
        <w:pStyle w:val="enumlev2"/>
        <w:rPr>
          <w:lang w:val="ru-RU"/>
        </w:rPr>
      </w:pPr>
      <w:r w:rsidRPr="00335DDA">
        <w:rPr>
          <w:lang w:val="ru-RU"/>
        </w:rPr>
        <w:t>c)</w:t>
      </w:r>
      <w:r w:rsidRPr="00335DDA">
        <w:rPr>
          <w:lang w:val="ru-RU"/>
        </w:rPr>
        <w:tab/>
        <w:t>Стандарт IEEE 802.15.3e-2017</w:t>
      </w:r>
      <w:r w:rsidRPr="00335DDA">
        <w:rPr>
          <w:szCs w:val="22"/>
          <w:vertAlign w:val="superscript"/>
          <w:lang w:val="ru-RU"/>
        </w:rPr>
        <w:footnoteReference w:id="7"/>
      </w:r>
      <w:r w:rsidRPr="00335DDA">
        <w:rPr>
          <w:lang w:val="ru-RU"/>
        </w:rPr>
        <w:t xml:space="preserve"> определяет ширину полосы канала 2160 МГц при объединении до четырех каналов.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Перед тем как начать работу в канале, MGWS должна просмотреть этот канал и попытаться удостовериться, что ее работа не создаст помеху другим MGWS, работающих в этом канале.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Примеры методов ослабления действия помех:</w:t>
      </w:r>
    </w:p>
    <w:p w:rsidR="007C0E44" w:rsidRPr="00335DDA" w:rsidRDefault="007C0E44" w:rsidP="007C0E44">
      <w:pPr>
        <w:pStyle w:val="enumlev1"/>
        <w:rPr>
          <w:lang w:val="ru-RU"/>
        </w:rPr>
      </w:pPr>
      <w:r w:rsidRPr="00335DDA">
        <w:rPr>
          <w:lang w:val="ru-RU"/>
        </w:rPr>
        <w:t>1)</w:t>
      </w:r>
      <w:r w:rsidRPr="00335DDA">
        <w:rPr>
          <w:lang w:val="ru-RU"/>
        </w:rPr>
        <w:tab/>
        <w:t>IEEE:</w:t>
      </w:r>
    </w:p>
    <w:p w:rsidR="007C0E44" w:rsidRPr="00335DDA" w:rsidRDefault="007C0E44" w:rsidP="007C0E44">
      <w:pPr>
        <w:pStyle w:val="enumlev2"/>
        <w:spacing w:before="40"/>
        <w:rPr>
          <w:lang w:val="ru-RU"/>
        </w:rPr>
      </w:pPr>
      <w:r w:rsidRPr="00335DDA">
        <w:rPr>
          <w:lang w:val="ru-RU"/>
        </w:rPr>
        <w:t>a)</w:t>
      </w:r>
      <w:r w:rsidRPr="00335DDA">
        <w:rPr>
          <w:lang w:val="ru-RU"/>
        </w:rPr>
        <w:tab/>
        <w:t>Точка доступа в стандарте IEEE 802.11-2016 не должна начинать работу сети в канале, в котором уровень сигнала равен или выше –48 дБм, или при обнаружении действительного заголовка общего режима сигнализации (CMS) по стандарту IEEE 802.15.3c-2009 с уровнем приема, равным –60 дБм или выше. Определены также некоторые другие методы ослабления действия помех, в том числе такие, как коммутация каналов, управление мощностью передачи, создание специальной формы луча.</w:t>
      </w:r>
    </w:p>
    <w:p w:rsidR="007C0E44" w:rsidRPr="00335DDA" w:rsidRDefault="007C0E44" w:rsidP="007C0E44">
      <w:pPr>
        <w:pStyle w:val="enumlev2"/>
        <w:spacing w:before="40"/>
        <w:rPr>
          <w:lang w:val="ru-RU"/>
        </w:rPr>
      </w:pPr>
      <w:r w:rsidRPr="00335DDA">
        <w:rPr>
          <w:lang w:val="ru-RU"/>
        </w:rPr>
        <w:t>b)</w:t>
      </w:r>
      <w:r w:rsidRPr="00335DDA">
        <w:rPr>
          <w:lang w:val="ru-RU"/>
        </w:rPr>
        <w:tab/>
        <w:t>Стандарт IEEE 802.15.3c-2009 не позволяет контроллеру пикосети начать работу новой пикосети в канале, уже занятом другим контроллером пикосети. Метод общего режима сигнализации (CMS) был определен для того, чтобы несколько контроллеров пикосети могли совместно иметь доступ к каналу, использующему временные интервалы TDMA, распределенные детским пикосетям.</w:t>
      </w:r>
    </w:p>
    <w:p w:rsidR="007C0E44" w:rsidRPr="00335DDA" w:rsidRDefault="007C0E44" w:rsidP="007C0E44">
      <w:pPr>
        <w:pStyle w:val="enumlev2"/>
        <w:spacing w:before="40"/>
        <w:rPr>
          <w:lang w:val="ru-RU" w:eastAsia="ja-JP"/>
        </w:rPr>
      </w:pPr>
      <w:r w:rsidRPr="00335DDA">
        <w:rPr>
          <w:lang w:val="ru-RU" w:eastAsia="ja-JP"/>
        </w:rPr>
        <w:t>c)</w:t>
      </w:r>
      <w:r w:rsidRPr="00335DDA">
        <w:rPr>
          <w:lang w:val="ru-RU" w:eastAsia="ja-JP"/>
        </w:rPr>
        <w:tab/>
      </w:r>
      <w:r w:rsidRPr="00335DDA">
        <w:rPr>
          <w:lang w:val="ru-RU"/>
        </w:rPr>
        <w:t>Стандарт IEEE 802</w:t>
      </w:r>
      <w:r w:rsidRPr="00335DDA">
        <w:rPr>
          <w:lang w:val="ru-RU" w:eastAsia="ja-JP"/>
        </w:rPr>
        <w:t>.15.3e-2017 ограничивает дальность связи расстоянием в 10 см или менее и устанавливает очень низкий уровень э.и.и.м. Если расстояние между устройствами превышает 10 см, устройства разъединяются, а мощность излучения ограничивается периодическими сигналами.</w:t>
      </w:r>
    </w:p>
    <w:p w:rsidR="007C0E44" w:rsidRPr="00335DDA" w:rsidRDefault="007C0E44" w:rsidP="007C0E44">
      <w:pPr>
        <w:pStyle w:val="Heading2"/>
        <w:spacing w:before="240"/>
        <w:rPr>
          <w:lang w:val="ru-RU"/>
        </w:rPr>
      </w:pPr>
      <w:r w:rsidRPr="00335DDA">
        <w:rPr>
          <w:lang w:val="ru-RU"/>
        </w:rPr>
        <w:t>2.6</w:t>
      </w:r>
      <w:r w:rsidRPr="00335DDA">
        <w:rPr>
          <w:lang w:val="ru-RU"/>
        </w:rPr>
        <w:tab/>
        <w:t>Уровни чувствительности приема</w:t>
      </w:r>
    </w:p>
    <w:p w:rsidR="007C0E44" w:rsidRPr="00335DDA" w:rsidRDefault="007C0E44" w:rsidP="007C0E44">
      <w:pPr>
        <w:tabs>
          <w:tab w:val="left" w:pos="1134"/>
          <w:tab w:val="left" w:pos="1871"/>
          <w:tab w:val="left" w:pos="2268"/>
        </w:tabs>
        <w:rPr>
          <w:lang w:val="ru-RU"/>
        </w:rPr>
      </w:pPr>
      <w:r w:rsidRPr="00335DDA">
        <w:rPr>
          <w:lang w:val="ru-RU"/>
        </w:rPr>
        <w:t>Уровни чувствительности приема обычно составляют от –48 до –78 дБм.</w:t>
      </w:r>
    </w:p>
    <w:p w:rsidR="007C0E44" w:rsidRPr="00335DDA" w:rsidRDefault="007C0E44" w:rsidP="007C0E44">
      <w:pPr>
        <w:tabs>
          <w:tab w:val="left" w:pos="1134"/>
          <w:tab w:val="left" w:pos="1871"/>
          <w:tab w:val="left" w:pos="2268"/>
        </w:tabs>
        <w:rPr>
          <w:lang w:val="ru-RU"/>
        </w:rPr>
      </w:pPr>
      <w:r w:rsidRPr="00335DDA">
        <w:rPr>
          <w:lang w:val="ru-RU"/>
        </w:rPr>
        <w:t>Примеры уровней чувствительности приема:</w:t>
      </w:r>
    </w:p>
    <w:p w:rsidR="007C0E44" w:rsidRPr="00335DDA" w:rsidRDefault="007C0E44" w:rsidP="007C0E44">
      <w:pPr>
        <w:pStyle w:val="enumlev1"/>
        <w:rPr>
          <w:lang w:val="ru-RU"/>
        </w:rPr>
      </w:pPr>
      <w:r w:rsidRPr="00335DDA">
        <w:rPr>
          <w:lang w:val="ru-RU"/>
        </w:rPr>
        <w:t>1)</w:t>
      </w:r>
      <w:r w:rsidRPr="00335DDA">
        <w:rPr>
          <w:lang w:val="ru-RU"/>
        </w:rPr>
        <w:tab/>
        <w:t>IEEE: В стандарте IEEE 802.11-2016, коэффициент ошибок по пакетам (PER) менее 1% (5% для MCS 0) при длине PSDU 4096 октетов (256 октетов для MCS 0).</w:t>
      </w:r>
    </w:p>
    <w:p w:rsidR="007C0E44" w:rsidRPr="00335DDA" w:rsidRDefault="007C0E44" w:rsidP="007C0E44">
      <w:pPr>
        <w:pStyle w:val="Note"/>
        <w:spacing w:line="228" w:lineRule="auto"/>
        <w:rPr>
          <w:lang w:val="ru-RU"/>
        </w:rPr>
      </w:pPr>
      <w:r w:rsidRPr="00335DDA">
        <w:rPr>
          <w:lang w:val="ru-RU"/>
        </w:rPr>
        <w:t xml:space="preserve">ПРИМЕЧАНИЕ. – При измерениях мощности на радиочастоте, основанных на плотности мощности, входной уровень должен быть скорректирован для компенсации отличия усиления реальной антенны от максимальной </w:t>
      </w:r>
      <w:r w:rsidRPr="00335DDA">
        <w:rPr>
          <w:lang w:val="ru-RU"/>
        </w:rPr>
        <w:lastRenderedPageBreak/>
        <w:t>оценки усиления, указываемой производителем. В случае фазированной антенной решетки, усиление такой антенны равно максимальной сумме оценок усиления элементов минус 3 дБ потерь на реализацию.</w:t>
      </w:r>
    </w:p>
    <w:p w:rsidR="007C0E44" w:rsidRPr="00335DDA" w:rsidRDefault="007C0E44" w:rsidP="007C0E44">
      <w:pPr>
        <w:pStyle w:val="Heading2"/>
        <w:rPr>
          <w:lang w:val="ru-RU"/>
        </w:rPr>
      </w:pPr>
      <w:r w:rsidRPr="00335DDA">
        <w:rPr>
          <w:lang w:val="ru-RU"/>
        </w:rPr>
        <w:t>2.7</w:t>
      </w:r>
      <w:r w:rsidRPr="00335DDA">
        <w:rPr>
          <w:lang w:val="ru-RU"/>
        </w:rPr>
        <w:tab/>
        <w:t>Правила оценки незанятости канала (CCA)</w:t>
      </w:r>
    </w:p>
    <w:p w:rsidR="007C0E44" w:rsidRPr="00335DDA" w:rsidRDefault="007C0E44" w:rsidP="007C0E44">
      <w:pPr>
        <w:spacing w:before="80"/>
        <w:rPr>
          <w:lang w:val="ru-RU"/>
        </w:rPr>
      </w:pPr>
      <w:r w:rsidRPr="00335DDA">
        <w:rPr>
          <w:lang w:val="ru-RU"/>
        </w:rPr>
        <w:t>В системах MGWS для ослабления действия помех, создаваемых другими MGWS, могут применяться правила оценки незанятости канала.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Например, в случае стандарта IEEE 802.11-2016 определено три набора MCS и для каждого набора MCS имеются свои правила CCA. Наборы MCS следующие:</w:t>
      </w:r>
    </w:p>
    <w:p w:rsidR="007C0E44" w:rsidRPr="00335DDA" w:rsidRDefault="007C0E44" w:rsidP="007C0E44">
      <w:pPr>
        <w:pStyle w:val="enumlev1"/>
        <w:rPr>
          <w:lang w:val="ru-RU"/>
        </w:rPr>
      </w:pPr>
      <w:r w:rsidRPr="00335DDA">
        <w:rPr>
          <w:lang w:val="ru-RU"/>
        </w:rPr>
        <w:t>a)</w:t>
      </w:r>
      <w:r w:rsidRPr="00335DDA">
        <w:rPr>
          <w:lang w:val="ru-RU"/>
        </w:rPr>
        <w:tab/>
        <w:t>MCS0: известен как MCS управления, его работа основана на модуляции одной несущей (SC).</w:t>
      </w:r>
    </w:p>
    <w:p w:rsidR="007C0E44" w:rsidRPr="00335DDA" w:rsidRDefault="007C0E44" w:rsidP="007C0E44">
      <w:pPr>
        <w:pStyle w:val="enumlev1"/>
        <w:rPr>
          <w:lang w:val="ru-RU"/>
        </w:rPr>
      </w:pPr>
      <w:r w:rsidRPr="00335DDA">
        <w:rPr>
          <w:lang w:val="ru-RU"/>
        </w:rPr>
        <w:t>b)</w:t>
      </w:r>
      <w:r w:rsidRPr="00335DDA">
        <w:rPr>
          <w:lang w:val="ru-RU"/>
        </w:rPr>
        <w:tab/>
        <w:t>MCS1 – MCS12.6 и MCS25 – MCS31: набор SC MCS.</w:t>
      </w:r>
    </w:p>
    <w:p w:rsidR="007C0E44" w:rsidRPr="00335DDA" w:rsidRDefault="007C0E44" w:rsidP="007C0E44">
      <w:pPr>
        <w:pStyle w:val="enumlev1"/>
        <w:rPr>
          <w:lang w:val="ru-RU"/>
        </w:rPr>
      </w:pPr>
      <w:r w:rsidRPr="00335DDA">
        <w:rPr>
          <w:lang w:val="ru-RU"/>
        </w:rPr>
        <w:t>c)</w:t>
      </w:r>
      <w:r w:rsidRPr="00335DDA">
        <w:rPr>
          <w:lang w:val="ru-RU"/>
        </w:rPr>
        <w:tab/>
        <w:t>MCS13 – MCS24: набор OFDM MCS (OFDM – ортогональное частотное разделение).</w:t>
      </w:r>
    </w:p>
    <w:p w:rsidR="007C0E44" w:rsidRPr="00335DDA" w:rsidRDefault="007C0E44" w:rsidP="007C0E44">
      <w:pPr>
        <w:rPr>
          <w:lang w:val="ru-RU"/>
        </w:rPr>
      </w:pPr>
      <w:r w:rsidRPr="00335DDA">
        <w:rPr>
          <w:lang w:val="ru-RU"/>
        </w:rPr>
        <w:t>В связи с этим в стандарте IEEE 802.11-2016 определены следующие правила CCA, применительно к каждому набору MCS:</w:t>
      </w:r>
    </w:p>
    <w:p w:rsidR="007C0E44" w:rsidRPr="00335DDA" w:rsidRDefault="007C0E44" w:rsidP="007C0E44">
      <w:pPr>
        <w:pStyle w:val="enumlev1"/>
        <w:rPr>
          <w:lang w:val="ru-RU"/>
        </w:rPr>
      </w:pPr>
      <w:r w:rsidRPr="00335DDA">
        <w:rPr>
          <w:lang w:val="ru-RU"/>
        </w:rPr>
        <w:t>a)</w:t>
      </w:r>
      <w:r w:rsidRPr="00335DDA">
        <w:rPr>
          <w:lang w:val="ru-RU"/>
        </w:rPr>
        <w:tab/>
        <w:t xml:space="preserve">MCS управления: При начале передачи действительного MCS управления с уровнем приема больше минимальной чувствительности для MCS управления (−78 дБм) CCA покажет состояние занятости с вероятностью &gt; 90% в течение 3 мкс. </w:t>
      </w:r>
    </w:p>
    <w:p w:rsidR="007C0E44" w:rsidRPr="00335DDA" w:rsidRDefault="007C0E44" w:rsidP="007C0E44">
      <w:pPr>
        <w:pStyle w:val="enumlev1"/>
        <w:rPr>
          <w:lang w:val="ru-RU"/>
        </w:rPr>
      </w:pPr>
      <w:r w:rsidRPr="00335DDA">
        <w:rPr>
          <w:lang w:val="ru-RU"/>
        </w:rPr>
        <w:t>b)</w:t>
      </w:r>
      <w:r w:rsidRPr="00335DDA">
        <w:rPr>
          <w:lang w:val="ru-RU"/>
        </w:rPr>
        <w:tab/>
        <w:t>Набор SC MCS: При начале передачи действительного SC MCS с уровнем приема больше минимальной чувствительности для MCS1 (−68 дБм) CCA покажет состояние занятости с вероятностью &gt; 90% в течение 1 мкс. Приемник будет удерживать сигнал контроля несущей в состоянии занятости при любом сигнале, превышающем минимальную чувствительность для MCS1 на 20 дБ.</w:t>
      </w:r>
    </w:p>
    <w:p w:rsidR="007C0E44" w:rsidRPr="00335DDA" w:rsidRDefault="007C0E44" w:rsidP="007C0E44">
      <w:pPr>
        <w:pStyle w:val="enumlev1"/>
        <w:rPr>
          <w:lang w:val="ru-RU"/>
        </w:rPr>
      </w:pPr>
      <w:r w:rsidRPr="00335DDA">
        <w:rPr>
          <w:lang w:val="ru-RU"/>
        </w:rPr>
        <w:t>c)</w:t>
      </w:r>
      <w:r w:rsidRPr="00335DDA">
        <w:rPr>
          <w:lang w:val="ru-RU"/>
        </w:rPr>
        <w:tab/>
        <w:t>Набор OFDM MCS: При начале передачи действительного OFDM MCS или SC MCS с уровнем приема больше минимальной чувствительности для MCS13 (−66 дБм) CCA покажет состояние занятости с вероятностью &gt; 90% в течение 1 мкс.</w:t>
      </w:r>
    </w:p>
    <w:p w:rsidR="007C0E44" w:rsidRPr="00335DDA" w:rsidRDefault="007C0E44" w:rsidP="007C0E44">
      <w:pPr>
        <w:pStyle w:val="Heading1"/>
        <w:spacing w:before="240"/>
        <w:rPr>
          <w:lang w:val="ru-RU"/>
        </w:rPr>
      </w:pPr>
      <w:r w:rsidRPr="00335DDA">
        <w:rPr>
          <w:lang w:val="ru-RU"/>
        </w:rPr>
        <w:t>3</w:t>
      </w:r>
      <w:r w:rsidRPr="00335DDA">
        <w:rPr>
          <w:lang w:val="ru-RU"/>
        </w:rPr>
        <w:tab/>
        <w:t>Стандарты беспроводных сетей с пропускной способностью несколько гигабит/с (MGWS)</w:t>
      </w:r>
    </w:p>
    <w:p w:rsidR="007C0E44" w:rsidRPr="00335DDA" w:rsidRDefault="007C0E44" w:rsidP="007C0E44">
      <w:pPr>
        <w:spacing w:line="228" w:lineRule="auto"/>
        <w:rPr>
          <w:lang w:val="ru-RU"/>
        </w:rPr>
      </w:pPr>
      <w:r w:rsidRPr="00335DDA">
        <w:rPr>
          <w:lang w:val="ru-RU"/>
        </w:rPr>
        <w:t>Ниже приводится список стандартов, которые касаются спецификаций MGWS:</w:t>
      </w:r>
    </w:p>
    <w:p w:rsidR="007C0E44" w:rsidRPr="00335DDA" w:rsidRDefault="007C0E44" w:rsidP="007C0E44">
      <w:pPr>
        <w:pStyle w:val="enumlev1"/>
        <w:spacing w:line="228" w:lineRule="auto"/>
        <w:rPr>
          <w:lang w:val="ru-RU"/>
        </w:rPr>
      </w:pPr>
      <w:r w:rsidRPr="00335DDA">
        <w:rPr>
          <w:lang w:val="ru-RU"/>
        </w:rPr>
        <w:t>1)</w:t>
      </w:r>
      <w:r w:rsidRPr="00335DDA">
        <w:rPr>
          <w:lang w:val="ru-RU"/>
        </w:rPr>
        <w:tab/>
      </w:r>
      <w:r w:rsidRPr="00335DDA">
        <w:rPr>
          <w:rStyle w:val="DeltaViewInsertion"/>
          <w:sz w:val="24"/>
          <w:szCs w:val="24"/>
          <w:lang w:val="ru-RU"/>
        </w:rPr>
        <w:t xml:space="preserve">Стандарт </w:t>
      </w:r>
      <w:r w:rsidRPr="00335DDA">
        <w:rPr>
          <w:szCs w:val="24"/>
          <w:lang w:val="ru-RU"/>
        </w:rPr>
        <w:t xml:space="preserve">IEEE 802.11-2016, </w:t>
      </w:r>
      <w:r w:rsidRPr="00335DDA">
        <w:rPr>
          <w:rStyle w:val="DeltaViewInsertion"/>
          <w:iCs/>
          <w:sz w:val="24"/>
          <w:szCs w:val="24"/>
          <w:lang w:val="ru-RU"/>
        </w:rPr>
        <w:t xml:space="preserve">Стандарт </w:t>
      </w:r>
      <w:r w:rsidRPr="00335DDA">
        <w:rPr>
          <w:szCs w:val="24"/>
          <w:lang w:val="ru-RU"/>
        </w:rPr>
        <w:t xml:space="preserve">IEEE </w:t>
      </w:r>
      <w:r w:rsidRPr="00335DDA">
        <w:rPr>
          <w:rStyle w:val="DeltaViewInsertion"/>
          <w:iCs/>
          <w:sz w:val="24"/>
          <w:szCs w:val="24"/>
          <w:lang w:val="ru-RU"/>
        </w:rPr>
        <w:t xml:space="preserve">для информационных технологий – </w:t>
      </w:r>
      <w:r w:rsidRPr="00335DDA">
        <w:rPr>
          <w:szCs w:val="24"/>
          <w:lang w:val="ru-RU"/>
        </w:rPr>
        <w:t>Электросвязь и обмен информацией между системами</w:t>
      </w:r>
      <w:r w:rsidRPr="00335DDA">
        <w:rPr>
          <w:rStyle w:val="DeltaViewInsertion"/>
          <w:iCs/>
          <w:sz w:val="24"/>
          <w:szCs w:val="24"/>
          <w:lang w:val="ru-RU"/>
        </w:rPr>
        <w:t xml:space="preserve"> – Локальная и городская сети – Конкретные требования – Часть 11: Спецификации уровня управления доступом к среде передачи данных </w:t>
      </w:r>
      <w:r w:rsidRPr="00335DDA">
        <w:rPr>
          <w:szCs w:val="24"/>
          <w:lang w:val="ru-RU"/>
        </w:rPr>
        <w:t xml:space="preserve">(MAC) </w:t>
      </w:r>
      <w:r w:rsidRPr="00335DDA">
        <w:rPr>
          <w:rStyle w:val="DeltaViewInsertion"/>
          <w:iCs/>
          <w:sz w:val="24"/>
          <w:szCs w:val="24"/>
          <w:lang w:val="ru-RU"/>
        </w:rPr>
        <w:t>и физического уровня (PHY) в беспроводной локальной сети</w:t>
      </w:r>
      <w:r w:rsidRPr="00335DDA">
        <w:rPr>
          <w:szCs w:val="24"/>
          <w:lang w:val="ru-RU"/>
        </w:rPr>
        <w:t>,</w:t>
      </w:r>
      <w:r w:rsidRPr="00335DDA">
        <w:rPr>
          <w:lang w:val="ru-RU"/>
        </w:rPr>
        <w:t xml:space="preserve"> декабрь 2016 г.</w:t>
      </w:r>
    </w:p>
    <w:p w:rsidR="007C0E44" w:rsidRPr="00335DDA" w:rsidRDefault="007C0E44" w:rsidP="007C0E44">
      <w:pPr>
        <w:pStyle w:val="enumlev1"/>
        <w:spacing w:line="228" w:lineRule="auto"/>
        <w:rPr>
          <w:lang w:val="ru-RU"/>
        </w:rPr>
      </w:pPr>
      <w:r w:rsidRPr="00335DDA">
        <w:rPr>
          <w:lang w:val="ru-RU"/>
        </w:rPr>
        <w:t>2)</w:t>
      </w:r>
      <w:r w:rsidRPr="00335DDA">
        <w:rPr>
          <w:lang w:val="ru-RU"/>
        </w:rPr>
        <w:tab/>
      </w:r>
      <w:r w:rsidRPr="00335DDA">
        <w:rPr>
          <w:rStyle w:val="DeltaViewInsertion"/>
          <w:lang w:val="ru-RU"/>
        </w:rPr>
        <w:t xml:space="preserve">Стандарт </w:t>
      </w:r>
      <w:r w:rsidRPr="00335DDA">
        <w:rPr>
          <w:szCs w:val="22"/>
          <w:lang w:val="ru-RU"/>
        </w:rPr>
        <w:t xml:space="preserve">IEEE </w:t>
      </w:r>
      <w:r w:rsidRPr="00335DDA">
        <w:rPr>
          <w:lang w:val="ru-RU"/>
        </w:rPr>
        <w:t>802.15.3</w:t>
      </w:r>
      <w:r w:rsidRPr="00335DDA">
        <w:rPr>
          <w:vertAlign w:val="superscript"/>
          <w:lang w:val="ru-RU"/>
        </w:rPr>
        <w:t>TM</w:t>
      </w:r>
      <w:r w:rsidRPr="00335DDA">
        <w:rPr>
          <w:lang w:val="ru-RU"/>
        </w:rPr>
        <w:t xml:space="preserve">-2016, </w:t>
      </w:r>
      <w:r w:rsidRPr="00335DDA">
        <w:rPr>
          <w:rStyle w:val="DeltaViewInsertion"/>
          <w:iCs/>
          <w:sz w:val="24"/>
          <w:szCs w:val="24"/>
          <w:lang w:val="ru-RU"/>
        </w:rPr>
        <w:t xml:space="preserve">Стандарт </w:t>
      </w:r>
      <w:r w:rsidRPr="00335DDA">
        <w:rPr>
          <w:szCs w:val="24"/>
          <w:lang w:val="ru-RU"/>
        </w:rPr>
        <w:t>IEEE для беспроводных мультимедийных сетей с высокой скоростью передачи данных</w:t>
      </w:r>
      <w:r w:rsidRPr="00335DDA">
        <w:rPr>
          <w:lang w:val="ru-RU"/>
        </w:rPr>
        <w:t>.</w:t>
      </w:r>
    </w:p>
    <w:p w:rsidR="007C0E44" w:rsidRPr="00335DDA" w:rsidRDefault="007C0E44" w:rsidP="007C0E44">
      <w:pPr>
        <w:pStyle w:val="enumlev1"/>
        <w:spacing w:line="228" w:lineRule="auto"/>
        <w:rPr>
          <w:szCs w:val="24"/>
          <w:lang w:val="ru-RU"/>
        </w:rPr>
      </w:pPr>
      <w:r w:rsidRPr="00335DDA">
        <w:rPr>
          <w:lang w:val="ru-RU"/>
        </w:rPr>
        <w:t>3)</w:t>
      </w:r>
      <w:r w:rsidRPr="00335DDA">
        <w:rPr>
          <w:lang w:val="ru-RU"/>
        </w:rPr>
        <w:tab/>
      </w:r>
      <w:r w:rsidRPr="00335DDA">
        <w:rPr>
          <w:rStyle w:val="DeltaViewInsertion"/>
          <w:lang w:val="ru-RU"/>
        </w:rPr>
        <w:t xml:space="preserve">Стандарт </w:t>
      </w:r>
      <w:r w:rsidRPr="00335DDA">
        <w:rPr>
          <w:szCs w:val="22"/>
          <w:lang w:val="ru-RU"/>
        </w:rPr>
        <w:t>IEEE</w:t>
      </w:r>
      <w:r w:rsidRPr="00335DDA">
        <w:rPr>
          <w:lang w:val="ru-RU"/>
        </w:rPr>
        <w:t xml:space="preserve"> 802.15.3e</w:t>
      </w:r>
      <w:r w:rsidRPr="00335DDA">
        <w:rPr>
          <w:vertAlign w:val="superscript"/>
          <w:lang w:val="ru-RU"/>
        </w:rPr>
        <w:t>TM</w:t>
      </w:r>
      <w:r w:rsidRPr="00335DDA">
        <w:rPr>
          <w:lang w:val="ru-RU"/>
        </w:rPr>
        <w:t xml:space="preserve">-2017, </w:t>
      </w:r>
      <w:r w:rsidRPr="00335DDA">
        <w:rPr>
          <w:szCs w:val="24"/>
          <w:lang w:val="ru-RU"/>
        </w:rPr>
        <w:t xml:space="preserve">Поправка к </w:t>
      </w:r>
      <w:r w:rsidRPr="00335DDA">
        <w:rPr>
          <w:rStyle w:val="DeltaViewInsertion"/>
          <w:iCs/>
          <w:sz w:val="24"/>
          <w:szCs w:val="24"/>
          <w:lang w:val="ru-RU"/>
        </w:rPr>
        <w:t xml:space="preserve">Стандарту </w:t>
      </w:r>
      <w:r w:rsidRPr="00335DDA">
        <w:rPr>
          <w:szCs w:val="24"/>
          <w:lang w:val="ru-RU"/>
        </w:rPr>
        <w:t>IEEE для беспроводных мультимедийных сетей с высокой скоростью передачи данных: высокоскоростная связь между двумя пунктами, расположенными в непосредственной близости друг от друга.</w:t>
      </w:r>
    </w:p>
    <w:p w:rsidR="007C0E44" w:rsidRPr="00335DDA" w:rsidRDefault="007C0E44" w:rsidP="007C0E44">
      <w:pPr>
        <w:pStyle w:val="enumlev1"/>
        <w:spacing w:line="228" w:lineRule="auto"/>
        <w:rPr>
          <w:rFonts w:ascii="Calibri" w:hAnsi="Calibri"/>
          <w:lang w:val="ru-RU"/>
        </w:rPr>
      </w:pPr>
      <w:r w:rsidRPr="00335DDA">
        <w:rPr>
          <w:lang w:val="ru-RU"/>
        </w:rPr>
        <w:t>4)</w:t>
      </w:r>
      <w:r w:rsidRPr="00335DDA">
        <w:rPr>
          <w:lang w:val="ru-RU"/>
        </w:rPr>
        <w:tab/>
        <w:t xml:space="preserve">ETSI EN 302 567 v2.1.1 (2017-07), Оборудование радиосвязи с пропускной способностью в несколько гигабит/с, работающее в диапазоне 60 ГГц; согласованный стандарт, охватывающий основные требования статьи 3.2 Директивы </w:t>
      </w:r>
      <w:r w:rsidRPr="00335DDA">
        <w:rPr>
          <w:bCs/>
          <w:lang w:val="ru-RU"/>
        </w:rPr>
        <w:t>2014/53/EU.</w:t>
      </w:r>
    </w:p>
    <w:p w:rsidR="007C0E44" w:rsidRPr="00335DDA" w:rsidRDefault="007C0E44" w:rsidP="007C0E44">
      <w:pPr>
        <w:pStyle w:val="enumlev1"/>
        <w:spacing w:line="228" w:lineRule="auto"/>
        <w:rPr>
          <w:lang w:val="ru-RU"/>
        </w:rPr>
      </w:pPr>
      <w:r w:rsidRPr="00335DDA">
        <w:rPr>
          <w:lang w:val="ru-RU"/>
        </w:rPr>
        <w:t>5)</w:t>
      </w:r>
      <w:r w:rsidRPr="00335DDA">
        <w:rPr>
          <w:lang w:val="ru-RU"/>
        </w:rPr>
        <w:tab/>
        <w:t>Спецификации протокола уровня адаптации (PAL) Альянса широкополосной беспроводной связи (WFA):</w:t>
      </w:r>
    </w:p>
    <w:p w:rsidR="007C0E44" w:rsidRPr="00335DDA" w:rsidRDefault="007C0E44" w:rsidP="007C0E44">
      <w:pPr>
        <w:pStyle w:val="enumlev2"/>
        <w:spacing w:line="228" w:lineRule="auto"/>
        <w:rPr>
          <w:lang w:val="ru-RU"/>
        </w:rPr>
      </w:pPr>
      <w:r w:rsidRPr="00335DDA">
        <w:rPr>
          <w:lang w:val="ru-RU"/>
        </w:rPr>
        <w:t>–</w:t>
      </w:r>
      <w:r w:rsidRPr="00335DDA">
        <w:rPr>
          <w:lang w:val="ru-RU"/>
        </w:rPr>
        <w:tab/>
        <w:t>WiGig® Display Extension Technical Specification Version 2.0, март 2015 года.</w:t>
      </w:r>
    </w:p>
    <w:p w:rsidR="007C0E44" w:rsidRPr="00335DDA" w:rsidRDefault="007C0E44" w:rsidP="007C0E44">
      <w:pPr>
        <w:pStyle w:val="enumlev2"/>
        <w:spacing w:line="228" w:lineRule="auto"/>
        <w:rPr>
          <w:lang w:val="ru-RU"/>
        </w:rPr>
      </w:pPr>
      <w:r w:rsidRPr="00335DDA">
        <w:rPr>
          <w:lang w:val="ru-RU"/>
        </w:rPr>
        <w:t>–</w:t>
      </w:r>
      <w:r w:rsidRPr="00335DDA">
        <w:rPr>
          <w:lang w:val="ru-RU"/>
        </w:rPr>
        <w:tab/>
        <w:t>WiGig® Bus Extension Specification v1.2, октябрь 2014 года.</w:t>
      </w:r>
    </w:p>
    <w:p w:rsidR="007C0E44" w:rsidRPr="00335DDA" w:rsidRDefault="007C0E44" w:rsidP="007C0E44">
      <w:pPr>
        <w:pStyle w:val="enumlev2"/>
        <w:spacing w:line="228" w:lineRule="auto"/>
        <w:rPr>
          <w:lang w:val="ru-RU"/>
        </w:rPr>
      </w:pPr>
      <w:r w:rsidRPr="00335DDA">
        <w:rPr>
          <w:lang w:val="ru-RU"/>
        </w:rPr>
        <w:t>–</w:t>
      </w:r>
      <w:r w:rsidRPr="00335DDA">
        <w:rPr>
          <w:lang w:val="ru-RU"/>
        </w:rPr>
        <w:tab/>
        <w:t>WiGig® SD (WSD) Extension Specification v1.1, январь 2015 года.</w:t>
      </w:r>
    </w:p>
    <w:p w:rsidR="007C0E44" w:rsidRPr="00335DDA" w:rsidRDefault="007C0E44" w:rsidP="007C0E44">
      <w:pPr>
        <w:pStyle w:val="enumlev1"/>
        <w:spacing w:line="228" w:lineRule="auto"/>
        <w:rPr>
          <w:lang w:val="ru-RU"/>
        </w:rPr>
      </w:pPr>
      <w:r w:rsidRPr="00335DDA">
        <w:rPr>
          <w:lang w:val="ru-RU"/>
        </w:rPr>
        <w:t>6)</w:t>
      </w:r>
      <w:r w:rsidRPr="00335DDA">
        <w:rPr>
          <w:lang w:val="ru-RU"/>
        </w:rPr>
        <w:tab/>
        <w:t xml:space="preserve">ИСО/МЭК </w:t>
      </w:r>
      <w:r w:rsidRPr="00335DDA">
        <w:rPr>
          <w:szCs w:val="24"/>
          <w:lang w:val="ru-RU"/>
        </w:rPr>
        <w:t>13156,</w:t>
      </w:r>
      <w:r w:rsidRPr="00335DDA">
        <w:rPr>
          <w:lang w:val="ru-RU"/>
        </w:rPr>
        <w:t xml:space="preserve"> </w:t>
      </w:r>
      <w:r w:rsidRPr="00335DDA">
        <w:rPr>
          <w:szCs w:val="24"/>
          <w:lang w:val="ru-RU"/>
        </w:rPr>
        <w:t>Информационные технологии</w:t>
      </w:r>
      <w:r w:rsidRPr="00335DDA">
        <w:rPr>
          <w:sz w:val="20"/>
          <w:lang w:val="ru-RU"/>
        </w:rPr>
        <w:t xml:space="preserve"> </w:t>
      </w:r>
      <w:r w:rsidRPr="00335DDA">
        <w:rPr>
          <w:lang w:val="ru-RU"/>
        </w:rPr>
        <w:t xml:space="preserve">– </w:t>
      </w:r>
      <w:r w:rsidRPr="00335DDA">
        <w:rPr>
          <w:szCs w:val="24"/>
          <w:lang w:val="ru-RU"/>
        </w:rPr>
        <w:t xml:space="preserve">Электросвязь и обмен информацией между системами – </w:t>
      </w:r>
      <w:r w:rsidRPr="00335DDA">
        <w:rPr>
          <w:lang w:val="ru-RU"/>
        </w:rPr>
        <w:t>Уровни PHY, MAC и PAL высокоскоростных систем в диапазоне 60 ГГц.</w:t>
      </w:r>
    </w:p>
    <w:p w:rsidR="007C0E44" w:rsidRPr="00335DDA" w:rsidRDefault="007C0E44" w:rsidP="007C0E44">
      <w:pPr>
        <w:pStyle w:val="Heading1"/>
        <w:rPr>
          <w:lang w:val="ru-RU"/>
        </w:rPr>
      </w:pPr>
      <w:r w:rsidRPr="00335DDA">
        <w:rPr>
          <w:lang w:val="ru-RU"/>
        </w:rPr>
        <w:lastRenderedPageBreak/>
        <w:t>4</w:t>
      </w:r>
      <w:r w:rsidRPr="00335DDA">
        <w:rPr>
          <w:lang w:val="ru-RU"/>
        </w:rPr>
        <w:tab/>
        <w:t>Акронимы и сокращения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3685"/>
        <w:gridCol w:w="4502"/>
      </w:tblGrid>
      <w:tr w:rsidR="007C0E44" w:rsidRPr="00335DDA" w:rsidTr="00844C88">
        <w:tc>
          <w:tcPr>
            <w:tcW w:w="1668" w:type="dxa"/>
          </w:tcPr>
          <w:p w:rsidR="007C0E44" w:rsidRPr="00335DDA" w:rsidRDefault="007C0E44" w:rsidP="00844C88">
            <w:pPr>
              <w:rPr>
                <w:lang w:val="ru-RU"/>
              </w:rPr>
            </w:pPr>
            <w:r w:rsidRPr="00335DDA">
              <w:rPr>
                <w:lang w:val="ru-RU"/>
              </w:rPr>
              <w:t>CCA</w:t>
            </w:r>
          </w:p>
        </w:tc>
        <w:tc>
          <w:tcPr>
            <w:tcW w:w="3685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Clear channel assessment</w:t>
            </w:r>
          </w:p>
        </w:tc>
        <w:tc>
          <w:tcPr>
            <w:tcW w:w="4502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Оценка незанятости канала</w:t>
            </w:r>
          </w:p>
        </w:tc>
      </w:tr>
      <w:tr w:rsidR="007C0E44" w:rsidRPr="00335DDA" w:rsidTr="00844C88">
        <w:tc>
          <w:tcPr>
            <w:tcW w:w="1668" w:type="dxa"/>
          </w:tcPr>
          <w:p w:rsidR="007C0E44" w:rsidRPr="00335DDA" w:rsidRDefault="007C0E44" w:rsidP="00844C88">
            <w:pPr>
              <w:rPr>
                <w:lang w:val="ru-RU"/>
              </w:rPr>
            </w:pPr>
            <w:r w:rsidRPr="00335DDA">
              <w:rPr>
                <w:lang w:val="ru-RU"/>
              </w:rPr>
              <w:t>CE</w:t>
            </w:r>
          </w:p>
        </w:tc>
        <w:tc>
          <w:tcPr>
            <w:tcW w:w="3685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Consumer electronics</w:t>
            </w:r>
          </w:p>
        </w:tc>
        <w:tc>
          <w:tcPr>
            <w:tcW w:w="4502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Бытовая электроника</w:t>
            </w:r>
          </w:p>
        </w:tc>
      </w:tr>
      <w:tr w:rsidR="007C0E44" w:rsidRPr="00335DDA" w:rsidTr="00844C88">
        <w:tc>
          <w:tcPr>
            <w:tcW w:w="1668" w:type="dxa"/>
          </w:tcPr>
          <w:p w:rsidR="007C0E44" w:rsidRPr="00335DDA" w:rsidRDefault="007C0E44" w:rsidP="00844C88">
            <w:pPr>
              <w:rPr>
                <w:lang w:val="ru-RU"/>
              </w:rPr>
            </w:pPr>
            <w:r w:rsidRPr="00335DDA">
              <w:rPr>
                <w:lang w:val="ru-RU"/>
              </w:rPr>
              <w:t>HDMI</w:t>
            </w:r>
          </w:p>
        </w:tc>
        <w:tc>
          <w:tcPr>
            <w:tcW w:w="3685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High definition multimedia interface</w:t>
            </w:r>
          </w:p>
        </w:tc>
        <w:tc>
          <w:tcPr>
            <w:tcW w:w="4502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Мультимедийный интерфейс высокой четкости</w:t>
            </w:r>
          </w:p>
        </w:tc>
      </w:tr>
      <w:tr w:rsidR="007C0E44" w:rsidRPr="00335DDA" w:rsidTr="00844C88">
        <w:tc>
          <w:tcPr>
            <w:tcW w:w="1668" w:type="dxa"/>
          </w:tcPr>
          <w:p w:rsidR="007C0E44" w:rsidRPr="00335DDA" w:rsidRDefault="007C0E44" w:rsidP="00844C88">
            <w:pPr>
              <w:rPr>
                <w:lang w:val="ru-RU"/>
              </w:rPr>
            </w:pPr>
            <w:r w:rsidRPr="00335DDA">
              <w:rPr>
                <w:lang w:val="ru-RU"/>
              </w:rPr>
              <w:t>MGWS</w:t>
            </w:r>
          </w:p>
        </w:tc>
        <w:tc>
          <w:tcPr>
            <w:tcW w:w="3685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Multiple Gigabit Wireless Systems</w:t>
            </w:r>
          </w:p>
        </w:tc>
        <w:tc>
          <w:tcPr>
            <w:tcW w:w="4502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Беспроводные системы с пропускной способностью несколько гигабит/с</w:t>
            </w:r>
          </w:p>
        </w:tc>
      </w:tr>
      <w:tr w:rsidR="007C0E44" w:rsidRPr="00335DDA" w:rsidTr="00844C88">
        <w:tc>
          <w:tcPr>
            <w:tcW w:w="1668" w:type="dxa"/>
          </w:tcPr>
          <w:p w:rsidR="007C0E44" w:rsidRPr="00335DDA" w:rsidRDefault="007C0E44" w:rsidP="00844C88">
            <w:pPr>
              <w:rPr>
                <w:lang w:val="ru-RU"/>
              </w:rPr>
            </w:pPr>
            <w:r w:rsidRPr="00335DDA">
              <w:rPr>
                <w:lang w:val="ru-RU"/>
              </w:rPr>
              <w:t>MCS</w:t>
            </w:r>
          </w:p>
        </w:tc>
        <w:tc>
          <w:tcPr>
            <w:tcW w:w="3685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Modulation and coding scheme</w:t>
            </w:r>
          </w:p>
        </w:tc>
        <w:tc>
          <w:tcPr>
            <w:tcW w:w="4502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Схема модуляции и кодирования</w:t>
            </w:r>
          </w:p>
        </w:tc>
      </w:tr>
      <w:tr w:rsidR="007C0E44" w:rsidRPr="00335DDA" w:rsidTr="00844C88">
        <w:tc>
          <w:tcPr>
            <w:tcW w:w="1668" w:type="dxa"/>
          </w:tcPr>
          <w:p w:rsidR="007C0E44" w:rsidRPr="00335DDA" w:rsidRDefault="007C0E44" w:rsidP="00844C88">
            <w:pPr>
              <w:rPr>
                <w:lang w:val="ru-RU"/>
              </w:rPr>
            </w:pPr>
            <w:r w:rsidRPr="00335DDA">
              <w:rPr>
                <w:lang w:val="ru-RU"/>
              </w:rPr>
              <w:t>OFDM</w:t>
            </w:r>
          </w:p>
        </w:tc>
        <w:tc>
          <w:tcPr>
            <w:tcW w:w="3685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Orthogonal frequency division multiplexing</w:t>
            </w:r>
          </w:p>
        </w:tc>
        <w:tc>
          <w:tcPr>
            <w:tcW w:w="4502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Ортогональное частотное разделение</w:t>
            </w:r>
          </w:p>
        </w:tc>
      </w:tr>
      <w:tr w:rsidR="007C0E44" w:rsidRPr="00335DDA" w:rsidTr="00844C88">
        <w:tc>
          <w:tcPr>
            <w:tcW w:w="1668" w:type="dxa"/>
          </w:tcPr>
          <w:p w:rsidR="007C0E44" w:rsidRPr="00335DDA" w:rsidRDefault="007C0E44" w:rsidP="00844C88">
            <w:pPr>
              <w:rPr>
                <w:lang w:val="ru-RU"/>
              </w:rPr>
            </w:pPr>
            <w:r w:rsidRPr="00335DDA">
              <w:rPr>
                <w:lang w:val="ru-RU"/>
              </w:rPr>
              <w:t>PER</w:t>
            </w:r>
          </w:p>
        </w:tc>
        <w:tc>
          <w:tcPr>
            <w:tcW w:w="3685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Packet error rate</w:t>
            </w:r>
          </w:p>
        </w:tc>
        <w:tc>
          <w:tcPr>
            <w:tcW w:w="4502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Коэффициент ошибок по пакетам</w:t>
            </w:r>
          </w:p>
        </w:tc>
      </w:tr>
      <w:tr w:rsidR="007C0E44" w:rsidRPr="00335DDA" w:rsidTr="00844C88">
        <w:tc>
          <w:tcPr>
            <w:tcW w:w="1668" w:type="dxa"/>
          </w:tcPr>
          <w:p w:rsidR="007C0E44" w:rsidRPr="00335DDA" w:rsidRDefault="007C0E44" w:rsidP="00844C88">
            <w:pPr>
              <w:rPr>
                <w:lang w:val="ru-RU"/>
              </w:rPr>
            </w:pPr>
            <w:r w:rsidRPr="00335DDA">
              <w:rPr>
                <w:lang w:val="ru-RU"/>
              </w:rPr>
              <w:t>RLAN</w:t>
            </w:r>
          </w:p>
        </w:tc>
        <w:tc>
          <w:tcPr>
            <w:tcW w:w="3685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Radio local area network</w:t>
            </w:r>
          </w:p>
        </w:tc>
        <w:tc>
          <w:tcPr>
            <w:tcW w:w="4502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Локальная радиосеть</w:t>
            </w:r>
          </w:p>
        </w:tc>
      </w:tr>
      <w:tr w:rsidR="007C0E44" w:rsidRPr="00335DDA" w:rsidTr="00844C88">
        <w:tc>
          <w:tcPr>
            <w:tcW w:w="1668" w:type="dxa"/>
          </w:tcPr>
          <w:p w:rsidR="007C0E44" w:rsidRPr="00335DDA" w:rsidRDefault="007C0E44" w:rsidP="00844C88">
            <w:pPr>
              <w:rPr>
                <w:lang w:val="ru-RU"/>
              </w:rPr>
            </w:pPr>
            <w:r w:rsidRPr="00335DDA">
              <w:rPr>
                <w:lang w:val="ru-RU"/>
              </w:rPr>
              <w:t>SC</w:t>
            </w:r>
          </w:p>
        </w:tc>
        <w:tc>
          <w:tcPr>
            <w:tcW w:w="3685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Single carrier</w:t>
            </w:r>
          </w:p>
        </w:tc>
        <w:tc>
          <w:tcPr>
            <w:tcW w:w="4502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Одна несущая</w:t>
            </w:r>
          </w:p>
        </w:tc>
      </w:tr>
      <w:tr w:rsidR="007C0E44" w:rsidRPr="00335DDA" w:rsidTr="00844C88">
        <w:tc>
          <w:tcPr>
            <w:tcW w:w="1668" w:type="dxa"/>
          </w:tcPr>
          <w:p w:rsidR="007C0E44" w:rsidRPr="00335DDA" w:rsidRDefault="007C0E44" w:rsidP="00844C88">
            <w:pPr>
              <w:rPr>
                <w:lang w:val="ru-RU"/>
              </w:rPr>
            </w:pPr>
            <w:r w:rsidRPr="00335DDA">
              <w:rPr>
                <w:lang w:val="ru-RU"/>
              </w:rPr>
              <w:t>TDMA</w:t>
            </w:r>
          </w:p>
        </w:tc>
        <w:tc>
          <w:tcPr>
            <w:tcW w:w="3685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Time division multiple access</w:t>
            </w:r>
          </w:p>
        </w:tc>
        <w:tc>
          <w:tcPr>
            <w:tcW w:w="4502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Многостанционный доступ с временным разделением</w:t>
            </w:r>
          </w:p>
        </w:tc>
      </w:tr>
      <w:tr w:rsidR="007C0E44" w:rsidRPr="00335DDA" w:rsidTr="00844C88">
        <w:tc>
          <w:tcPr>
            <w:tcW w:w="1668" w:type="dxa"/>
          </w:tcPr>
          <w:p w:rsidR="007C0E44" w:rsidRPr="00335DDA" w:rsidRDefault="007C0E44" w:rsidP="00844C88">
            <w:pPr>
              <w:rPr>
                <w:lang w:val="ru-RU"/>
              </w:rPr>
            </w:pPr>
            <w:r w:rsidRPr="00335DDA">
              <w:rPr>
                <w:lang w:val="ru-RU"/>
              </w:rPr>
              <w:t>WLAN</w:t>
            </w:r>
          </w:p>
        </w:tc>
        <w:tc>
          <w:tcPr>
            <w:tcW w:w="3685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Wireless local area network</w:t>
            </w:r>
          </w:p>
        </w:tc>
        <w:tc>
          <w:tcPr>
            <w:tcW w:w="4502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Беспроводная локальная сеть</w:t>
            </w:r>
          </w:p>
        </w:tc>
      </w:tr>
      <w:tr w:rsidR="007C0E44" w:rsidRPr="00335DDA" w:rsidTr="00844C88">
        <w:tc>
          <w:tcPr>
            <w:tcW w:w="1668" w:type="dxa"/>
          </w:tcPr>
          <w:p w:rsidR="007C0E44" w:rsidRPr="00335DDA" w:rsidRDefault="007C0E44" w:rsidP="00844C88">
            <w:pPr>
              <w:rPr>
                <w:lang w:val="ru-RU"/>
              </w:rPr>
            </w:pPr>
            <w:r w:rsidRPr="00335DDA">
              <w:rPr>
                <w:lang w:val="ru-RU"/>
              </w:rPr>
              <w:t>WPAN</w:t>
            </w:r>
          </w:p>
        </w:tc>
        <w:tc>
          <w:tcPr>
            <w:tcW w:w="3685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Wireless personal area network</w:t>
            </w:r>
          </w:p>
        </w:tc>
        <w:tc>
          <w:tcPr>
            <w:tcW w:w="4502" w:type="dxa"/>
          </w:tcPr>
          <w:p w:rsidR="007C0E44" w:rsidRPr="00335DDA" w:rsidRDefault="007C0E44" w:rsidP="00844C88">
            <w:pPr>
              <w:jc w:val="left"/>
              <w:rPr>
                <w:lang w:val="ru-RU"/>
              </w:rPr>
            </w:pPr>
            <w:r w:rsidRPr="00335DDA">
              <w:rPr>
                <w:lang w:val="ru-RU"/>
              </w:rPr>
              <w:t>Беспроводная персональная сеть</w:t>
            </w:r>
          </w:p>
        </w:tc>
      </w:tr>
    </w:tbl>
    <w:p w:rsidR="007C0E44" w:rsidRPr="00335DDA" w:rsidRDefault="007C0E44" w:rsidP="007C0E44">
      <w:pPr>
        <w:overflowPunct/>
        <w:autoSpaceDE/>
        <w:autoSpaceDN/>
        <w:adjustRightInd/>
        <w:spacing w:before="720"/>
        <w:jc w:val="center"/>
        <w:textAlignment w:val="auto"/>
        <w:rPr>
          <w:lang w:val="ru-RU"/>
        </w:rPr>
      </w:pPr>
      <w:r w:rsidRPr="00335DDA">
        <w:rPr>
          <w:lang w:val="ru-RU"/>
        </w:rPr>
        <w:t>______________</w:t>
      </w:r>
    </w:p>
    <w:sectPr w:rsidR="007C0E44" w:rsidRPr="00335DDA" w:rsidSect="00C906E6">
      <w:headerReference w:type="first" r:id="rId2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  <w:footnote w:id="1">
    <w:p w:rsidR="007C0E44" w:rsidRPr="00F13AA4" w:rsidRDefault="007C0E44" w:rsidP="007C0E44">
      <w:pPr>
        <w:pStyle w:val="FootnoteText"/>
        <w:rPr>
          <w:lang w:val="ru-RU"/>
        </w:rPr>
      </w:pPr>
      <w:r w:rsidRPr="00F13AA4">
        <w:rPr>
          <w:rStyle w:val="FootnoteReference"/>
          <w:position w:val="0"/>
          <w:sz w:val="20"/>
          <w:vertAlign w:val="superscript"/>
        </w:rPr>
        <w:footnoteRef/>
      </w:r>
      <w:r w:rsidRPr="00F13AA4">
        <w:rPr>
          <w:lang w:val="ru-RU"/>
        </w:rPr>
        <w:tab/>
        <w:t>В данном контексте киоск представляет собой кабину, в которой обеспечивается распределение такого электронного контента, как кино, музыка, видеоизображения, электронные книги и</w:t>
      </w:r>
      <w:r>
        <w:rPr>
          <w:lang w:val="ru-RU"/>
        </w:rPr>
        <w:t> </w:t>
      </w:r>
      <w:r w:rsidRPr="00F13AA4">
        <w:rPr>
          <w:lang w:val="ru-RU"/>
        </w:rPr>
        <w:t>т.</w:t>
      </w:r>
      <w:r w:rsidRPr="00F13AA4">
        <w:rPr>
          <w:lang w:val="en-US"/>
        </w:rPr>
        <w:t> </w:t>
      </w:r>
      <w:r w:rsidRPr="00F13AA4">
        <w:rPr>
          <w:lang w:val="ru-RU"/>
        </w:rPr>
        <w:t>п., а также доступ к</w:t>
      </w:r>
      <w:r>
        <w:rPr>
          <w:lang w:val="ru-RU"/>
        </w:rPr>
        <w:t> </w:t>
      </w:r>
      <w:r w:rsidRPr="00F13AA4">
        <w:rPr>
          <w:lang w:val="ru-RU"/>
        </w:rPr>
        <w:t>ним.</w:t>
      </w:r>
    </w:p>
  </w:footnote>
  <w:footnote w:id="2">
    <w:p w:rsidR="007C0E44" w:rsidRPr="00F13AA4" w:rsidRDefault="007C0E44" w:rsidP="007C0E44">
      <w:pPr>
        <w:pStyle w:val="FootnoteText"/>
        <w:rPr>
          <w:lang w:val="ru-RU" w:eastAsia="ja-JP"/>
        </w:rPr>
      </w:pPr>
      <w:r w:rsidRPr="00F13AA4">
        <w:rPr>
          <w:rStyle w:val="FootnoteReference"/>
          <w:position w:val="0"/>
          <w:sz w:val="20"/>
          <w:vertAlign w:val="superscript"/>
        </w:rPr>
        <w:footnoteRef/>
      </w:r>
      <w:r w:rsidRPr="00F13AA4">
        <w:rPr>
          <w:lang w:val="ru-RU"/>
        </w:rPr>
        <w:tab/>
        <w:t>В данном контексте турникет обладает функциями как приема оплаты за проезд, так и скачивания объемных файлов и используется на железнодорожных вокзалах и станциях метро. К объемным файлам относятся видеоматериалы, кинофильмы и</w:t>
      </w:r>
      <w:r>
        <w:rPr>
          <w:lang w:val="ru-RU"/>
        </w:rPr>
        <w:t> </w:t>
      </w:r>
      <w:r w:rsidRPr="00F13AA4">
        <w:rPr>
          <w:lang w:val="ru-RU"/>
        </w:rPr>
        <w:t>т.</w:t>
      </w:r>
      <w:r>
        <w:rPr>
          <w:lang w:val="ru-RU"/>
        </w:rPr>
        <w:t> </w:t>
      </w:r>
      <w:r w:rsidRPr="00F13AA4">
        <w:rPr>
          <w:lang w:val="ru-RU"/>
        </w:rPr>
        <w:t>д.</w:t>
      </w:r>
    </w:p>
  </w:footnote>
  <w:footnote w:id="3">
    <w:p w:rsidR="007C0E44" w:rsidRPr="00F13AA4" w:rsidRDefault="007C0E44" w:rsidP="007C0E44">
      <w:pPr>
        <w:pStyle w:val="FootnoteText"/>
        <w:rPr>
          <w:lang w:val="ru-RU"/>
        </w:rPr>
      </w:pPr>
      <w:r w:rsidRPr="00F13AA4">
        <w:rPr>
          <w:rStyle w:val="FootnoteReference"/>
          <w:position w:val="0"/>
          <w:sz w:val="20"/>
          <w:vertAlign w:val="superscript"/>
        </w:rPr>
        <w:footnoteRef/>
      </w:r>
      <w:r w:rsidRPr="00F13AA4">
        <w:rPr>
          <w:lang w:val="ru-RU"/>
        </w:rPr>
        <w:tab/>
        <w:t>Системные требования приведены в стандартах, указанных в Приложении 1.</w:t>
      </w:r>
    </w:p>
  </w:footnote>
  <w:footnote w:id="4">
    <w:p w:rsidR="007C0E44" w:rsidRPr="00F13AA4" w:rsidRDefault="007C0E44" w:rsidP="007C0E44">
      <w:pPr>
        <w:pStyle w:val="FootnoteText"/>
        <w:rPr>
          <w:lang w:val="ru-RU"/>
        </w:rPr>
      </w:pPr>
      <w:r w:rsidRPr="00F13AA4">
        <w:rPr>
          <w:rStyle w:val="FootnoteReference"/>
          <w:position w:val="0"/>
          <w:sz w:val="20"/>
          <w:vertAlign w:val="superscript"/>
        </w:rPr>
        <w:footnoteRef/>
      </w:r>
      <w:r w:rsidRPr="00F13AA4">
        <w:rPr>
          <w:lang w:val="ru-RU"/>
        </w:rPr>
        <w:tab/>
        <w:t xml:space="preserve">Эта величина определяет задержку от верхней части уровня </w:t>
      </w:r>
      <w:r w:rsidRPr="00F13AA4">
        <w:rPr>
          <w:lang w:val="en-US"/>
        </w:rPr>
        <w:t>MAC</w:t>
      </w:r>
      <w:r w:rsidRPr="00F13AA4">
        <w:rPr>
          <w:lang w:val="ru-RU"/>
        </w:rPr>
        <w:t xml:space="preserve"> на одном конце линии до верхней части уровня </w:t>
      </w:r>
      <w:r w:rsidRPr="00F13AA4">
        <w:rPr>
          <w:lang w:val="en-US"/>
        </w:rPr>
        <w:t>MAC</w:t>
      </w:r>
      <w:r w:rsidRPr="00F13AA4">
        <w:rPr>
          <w:lang w:val="ru-RU"/>
        </w:rPr>
        <w:t xml:space="preserve"> на другом конце линии.</w:t>
      </w:r>
    </w:p>
  </w:footnote>
  <w:footnote w:id="5">
    <w:p w:rsidR="007C0E44" w:rsidRPr="00F13AA4" w:rsidRDefault="007C0E44" w:rsidP="007C0E44">
      <w:pPr>
        <w:pStyle w:val="FootnoteText"/>
        <w:rPr>
          <w:lang w:val="ru-RU"/>
        </w:rPr>
      </w:pPr>
      <w:r w:rsidRPr="00F13AA4">
        <w:rPr>
          <w:rStyle w:val="FootnoteReference"/>
          <w:position w:val="0"/>
          <w:sz w:val="20"/>
          <w:vertAlign w:val="superscript"/>
        </w:rPr>
        <w:footnoteRef/>
      </w:r>
      <w:r w:rsidRPr="00F13AA4">
        <w:rPr>
          <w:lang w:val="ru-RU"/>
        </w:rPr>
        <w:tab/>
      </w:r>
      <w:r w:rsidRPr="00F13AA4">
        <w:rPr>
          <w:rStyle w:val="DeltaViewInsertion"/>
          <w:iCs/>
          <w:lang w:val="ru-RU"/>
        </w:rPr>
        <w:t xml:space="preserve">Стандарт </w:t>
      </w:r>
      <w:r w:rsidRPr="00F13AA4">
        <w:rPr>
          <w:lang w:val="en-US"/>
        </w:rPr>
        <w:t>IEEE</w:t>
      </w:r>
      <w:r w:rsidRPr="00F13AA4">
        <w:rPr>
          <w:lang w:val="ru-RU"/>
        </w:rPr>
        <w:t xml:space="preserve"> </w:t>
      </w:r>
      <w:r w:rsidRPr="00F13AA4">
        <w:rPr>
          <w:rStyle w:val="DeltaViewInsertion"/>
          <w:iCs/>
          <w:lang w:val="ru-RU"/>
        </w:rPr>
        <w:t xml:space="preserve">для информационных технологий – Электросвязь и обмен информацией между системами – Локальная и городская сети – Конкретные требования – Часть 11: Спецификации уровня управления доступом к среде передачи данных </w:t>
      </w:r>
      <w:r w:rsidRPr="00F13AA4">
        <w:rPr>
          <w:lang w:val="ru-RU"/>
        </w:rPr>
        <w:t>(</w:t>
      </w:r>
      <w:r w:rsidRPr="00F13AA4">
        <w:rPr>
          <w:lang w:val="en-US"/>
        </w:rPr>
        <w:t>MAC</w:t>
      </w:r>
      <w:r w:rsidRPr="00F13AA4">
        <w:rPr>
          <w:lang w:val="ru-RU"/>
        </w:rPr>
        <w:t xml:space="preserve">) </w:t>
      </w:r>
      <w:r w:rsidRPr="00F13AA4">
        <w:rPr>
          <w:rStyle w:val="DeltaViewInsertion"/>
          <w:iCs/>
          <w:lang w:val="ru-RU"/>
        </w:rPr>
        <w:t>и физического уровня (PHY) в беспроводной локальной сети</w:t>
      </w:r>
      <w:r w:rsidRPr="00F13AA4">
        <w:rPr>
          <w:lang w:val="ru-RU"/>
        </w:rPr>
        <w:t>, декабрь 2016 года.</w:t>
      </w:r>
    </w:p>
  </w:footnote>
  <w:footnote w:id="6">
    <w:p w:rsidR="007C0E44" w:rsidRPr="00F13AA4" w:rsidRDefault="007C0E44" w:rsidP="007C0E44">
      <w:pPr>
        <w:pStyle w:val="FootnoteText"/>
        <w:rPr>
          <w:lang w:val="ru-RU"/>
        </w:rPr>
      </w:pPr>
      <w:r w:rsidRPr="00F13AA4">
        <w:rPr>
          <w:rStyle w:val="FootnoteReference"/>
          <w:position w:val="0"/>
          <w:sz w:val="20"/>
          <w:vertAlign w:val="superscript"/>
        </w:rPr>
        <w:footnoteRef/>
      </w:r>
      <w:r w:rsidRPr="00F13AA4">
        <w:rPr>
          <w:lang w:val="ru-RU"/>
        </w:rPr>
        <w:tab/>
      </w:r>
      <w:r w:rsidRPr="00F13AA4">
        <w:rPr>
          <w:rStyle w:val="DeltaViewInsertion"/>
          <w:iCs/>
          <w:lang w:val="ru-RU"/>
        </w:rPr>
        <w:t xml:space="preserve">Стандарт </w:t>
      </w:r>
      <w:r w:rsidRPr="00F13AA4">
        <w:rPr>
          <w:lang w:val="en-US"/>
        </w:rPr>
        <w:t>IEEE</w:t>
      </w:r>
      <w:r w:rsidRPr="00F13AA4">
        <w:rPr>
          <w:lang w:val="ru-RU"/>
        </w:rPr>
        <w:t xml:space="preserve"> для беспроводных мультимедийных сетей с высокой скоростью передачи данных</w:t>
      </w:r>
      <w:r>
        <w:rPr>
          <w:lang w:val="ru-RU"/>
        </w:rPr>
        <w:t>.</w:t>
      </w:r>
      <w:r w:rsidRPr="00F13AA4">
        <w:rPr>
          <w:lang w:val="ru-RU"/>
        </w:rPr>
        <w:t xml:space="preserve"> </w:t>
      </w:r>
    </w:p>
  </w:footnote>
  <w:footnote w:id="7">
    <w:p w:rsidR="007C0E44" w:rsidRPr="00F13AA4" w:rsidRDefault="007C0E44" w:rsidP="00335DDA">
      <w:pPr>
        <w:pStyle w:val="FootnoteText"/>
        <w:rPr>
          <w:lang w:val="ru-RU" w:eastAsia="ja-JP"/>
        </w:rPr>
      </w:pPr>
      <w:r w:rsidRPr="00F13AA4">
        <w:rPr>
          <w:rStyle w:val="FootnoteReference"/>
          <w:position w:val="0"/>
          <w:sz w:val="20"/>
          <w:vertAlign w:val="superscript"/>
        </w:rPr>
        <w:footnoteRef/>
      </w:r>
      <w:r w:rsidRPr="00F13AA4">
        <w:rPr>
          <w:lang w:val="ru-RU"/>
        </w:rPr>
        <w:tab/>
        <w:t xml:space="preserve">Поправка к </w:t>
      </w:r>
      <w:r w:rsidRPr="00F13AA4">
        <w:rPr>
          <w:rStyle w:val="DeltaViewInsertion"/>
          <w:iCs/>
          <w:lang w:val="ru-RU"/>
        </w:rPr>
        <w:t xml:space="preserve">Стандарту </w:t>
      </w:r>
      <w:r w:rsidRPr="00F13AA4">
        <w:rPr>
          <w:lang w:val="en-US"/>
        </w:rPr>
        <w:t>IEEE</w:t>
      </w:r>
      <w:r w:rsidRPr="00F13AA4">
        <w:rPr>
          <w:lang w:val="ru-RU"/>
        </w:rPr>
        <w:t xml:space="preserve"> для беспроводных мультимедийных сетей с высокой скоростью передачи данных: высокоскоростная связь между двумя пунктами, расположенными в непосредственной близости друг от друга.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02818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02818">
      <w:rPr>
        <w:b/>
        <w:bCs/>
        <w:noProof/>
        <w:szCs w:val="22"/>
        <w:lang w:val="en-US"/>
      </w:rPr>
      <w:t>МСЭ-R  M.2003-2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902818">
      <w:rPr>
        <w:b/>
        <w:bCs/>
        <w:noProof/>
      </w:rPr>
      <w:t>МСЭ-R  M.2003-2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02818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02818">
      <w:rPr>
        <w:b/>
        <w:bCs/>
        <w:noProof/>
        <w:szCs w:val="22"/>
        <w:lang w:val="en-US"/>
      </w:rPr>
      <w:t>МСЭ-R  M.2003-2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02818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5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6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8"/>
  </w:num>
  <w:num w:numId="14">
    <w:abstractNumId w:val="14"/>
  </w:num>
  <w:num w:numId="15">
    <w:abstractNumId w:val="13"/>
  </w:num>
  <w:num w:numId="16">
    <w:abstractNumId w:val="15"/>
  </w:num>
  <w:num w:numId="17">
    <w:abstractNumId w:val="17"/>
  </w:num>
  <w:num w:numId="18">
    <w:abstractNumId w:val="1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83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1C55"/>
    <w:rsid w:val="00102934"/>
    <w:rsid w:val="001232F8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442C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35DDA"/>
    <w:rsid w:val="00356B5D"/>
    <w:rsid w:val="003646F2"/>
    <w:rsid w:val="003804DC"/>
    <w:rsid w:val="00387A7D"/>
    <w:rsid w:val="003C38BA"/>
    <w:rsid w:val="00420DFD"/>
    <w:rsid w:val="00437A76"/>
    <w:rsid w:val="00470E28"/>
    <w:rsid w:val="00475345"/>
    <w:rsid w:val="004934C5"/>
    <w:rsid w:val="004D14DC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D223D"/>
    <w:rsid w:val="006E1131"/>
    <w:rsid w:val="006E2037"/>
    <w:rsid w:val="006E56A2"/>
    <w:rsid w:val="006E6199"/>
    <w:rsid w:val="00712870"/>
    <w:rsid w:val="0071378F"/>
    <w:rsid w:val="00743D85"/>
    <w:rsid w:val="00753CF4"/>
    <w:rsid w:val="007565CC"/>
    <w:rsid w:val="00763B00"/>
    <w:rsid w:val="00763B9A"/>
    <w:rsid w:val="007A6AA8"/>
    <w:rsid w:val="007C0E44"/>
    <w:rsid w:val="00800C5F"/>
    <w:rsid w:val="008310C9"/>
    <w:rsid w:val="00853CC5"/>
    <w:rsid w:val="00870848"/>
    <w:rsid w:val="008C7848"/>
    <w:rsid w:val="0090281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6BD9"/>
    <w:rsid w:val="00C47F82"/>
    <w:rsid w:val="00C55258"/>
    <w:rsid w:val="00C73560"/>
    <w:rsid w:val="00C847AA"/>
    <w:rsid w:val="00C906E6"/>
    <w:rsid w:val="00CB0F14"/>
    <w:rsid w:val="00CD659B"/>
    <w:rsid w:val="00CE0A43"/>
    <w:rsid w:val="00CE257A"/>
    <w:rsid w:val="00D270E7"/>
    <w:rsid w:val="00D54BEC"/>
    <w:rsid w:val="00D83556"/>
    <w:rsid w:val="00DF4176"/>
    <w:rsid w:val="00E17240"/>
    <w:rsid w:val="00E44309"/>
    <w:rsid w:val="00E74595"/>
    <w:rsid w:val="00EB0890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B0E4E"/>
    <w:rsid w:val="00FB2189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1A5DF7"/>
  </w:style>
  <w:style w:type="paragraph" w:customStyle="1" w:styleId="AnnexNoTitle">
    <w:name w:val="Annex_NoTitle"/>
    <w:basedOn w:val="Heading1"/>
    <w:next w:val="Normalaftertitle"/>
    <w:link w:val="AnnexNoTitleChar1"/>
    <w:rsid w:val="0027442C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uiPriority w:val="99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uiPriority w:val="99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uiPriority w:val="99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uiPriority w:val="99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uiPriority w:val="99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uiPriority w:val="99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uiPriority w:val="99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uiPriority w:val="99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27442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character" w:customStyle="1" w:styleId="DeltaViewInsertion">
    <w:name w:val="DeltaView Insertion"/>
    <w:rsid w:val="007C0E44"/>
    <w:rPr>
      <w:rFonts w:ascii="Times New Roman" w:hAnsi="Times New Roman" w:cs="Times New Roman"/>
      <w:color w:val="auto"/>
      <w:spacing w:val="0"/>
      <w:sz w:val="22"/>
      <w:szCs w:val="22"/>
      <w:u w:val="none"/>
    </w:rPr>
  </w:style>
  <w:style w:type="table" w:styleId="TableGrid">
    <w:name w:val="Table Grid"/>
    <w:basedOn w:val="TableNormal"/>
    <w:rsid w:val="007C0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w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8.wmf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828D7-1BAE-458B-9075-37BDDB1AB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</TotalTime>
  <Pages>11</Pages>
  <Words>2822</Words>
  <Characters>19395</Characters>
  <Application>Microsoft Office Word</Application>
  <DocSecurity>0</DocSecurity>
  <Lines>606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22160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5</cp:revision>
  <cp:lastPrinted>2018-07-11T14:41:00Z</cp:lastPrinted>
  <dcterms:created xsi:type="dcterms:W3CDTF">2018-07-11T14:31:00Z</dcterms:created>
  <dcterms:modified xsi:type="dcterms:W3CDTF">2018-07-11T14:44:00Z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