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755C" w:rsidRPr="00575CB8" w:rsidRDefault="00B0755C" w:rsidP="00B0755C">
      <w:pPr>
        <w:rPr>
          <w:lang w:val="en-US"/>
        </w:rPr>
      </w:pPr>
      <w:bookmarkStart w:id="0" w:name="_GoBack"/>
      <w:bookmarkEnd w:id="0"/>
    </w:p>
    <w:p w:rsidR="00B0755C" w:rsidRDefault="00B0755C" w:rsidP="00B0755C"/>
    <w:p w:rsidR="00B0755C" w:rsidRDefault="00B0755C" w:rsidP="00B0755C"/>
    <w:p w:rsidR="00B0755C" w:rsidRDefault="00B0755C" w:rsidP="00B0755C"/>
    <w:p w:rsidR="00B0755C" w:rsidRDefault="00B0755C" w:rsidP="00B0755C"/>
    <w:p w:rsidR="00B0755C" w:rsidRDefault="00B0755C" w:rsidP="00B0755C"/>
    <w:p w:rsidR="00B0755C" w:rsidRDefault="00B0755C" w:rsidP="00B0755C"/>
    <w:p w:rsidR="00B0755C" w:rsidRDefault="00B0755C" w:rsidP="00B0755C"/>
    <w:p w:rsidR="00B0755C" w:rsidRDefault="00B0755C" w:rsidP="00B0755C"/>
    <w:tbl>
      <w:tblPr>
        <w:tblW w:w="10089" w:type="dxa"/>
        <w:tblLook w:val="01E0" w:firstRow="1" w:lastRow="1" w:firstColumn="1" w:lastColumn="1" w:noHBand="0" w:noVBand="0"/>
      </w:tblPr>
      <w:tblGrid>
        <w:gridCol w:w="10089"/>
      </w:tblGrid>
      <w:tr w:rsidR="00B0755C" w:rsidRPr="00B0755C" w:rsidTr="00F74E07">
        <w:tc>
          <w:tcPr>
            <w:tcW w:w="10089" w:type="dxa"/>
          </w:tcPr>
          <w:p w:rsidR="00B0755C" w:rsidRPr="00A07AEB" w:rsidRDefault="00B0755C" w:rsidP="00F74E07">
            <w:pPr>
              <w:spacing w:before="380" w:line="280" w:lineRule="exact"/>
              <w:jc w:val="right"/>
              <w:rPr>
                <w:rFonts w:ascii="Tahoma" w:hAnsi="Tahoma" w:cs="Tahoma"/>
                <w:b/>
                <w:bCs/>
                <w:iCs/>
                <w:color w:val="243285"/>
                <w:sz w:val="32"/>
                <w:szCs w:val="32"/>
                <w:lang w:val="en-US"/>
              </w:rPr>
            </w:pPr>
          </w:p>
          <w:p w:rsidR="00B0755C" w:rsidRPr="00A07AEB" w:rsidRDefault="00B0755C" w:rsidP="00573030">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M.</w:t>
            </w:r>
            <w:r w:rsidR="00573030">
              <w:rPr>
                <w:rFonts w:ascii="Tahoma" w:hAnsi="Tahoma" w:cs="Tahoma"/>
                <w:b/>
                <w:bCs/>
                <w:iCs/>
                <w:color w:val="243285"/>
                <w:sz w:val="36"/>
                <w:szCs w:val="36"/>
                <w:lang w:val="es-ES_tradnl"/>
              </w:rPr>
              <w:t>2003-1</w:t>
            </w:r>
          </w:p>
          <w:p w:rsidR="00B0755C" w:rsidRPr="00A07AEB" w:rsidRDefault="00B0755C" w:rsidP="00573030">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573030">
              <w:rPr>
                <w:rFonts w:ascii="Tahoma" w:hAnsi="Tahoma" w:cs="Tahoma"/>
                <w:b/>
                <w:bCs/>
                <w:iCs/>
                <w:color w:val="243285"/>
                <w:szCs w:val="24"/>
                <w:lang w:val="es-ES_tradnl"/>
              </w:rPr>
              <w:t>01</w:t>
            </w:r>
            <w:r w:rsidRPr="00A07AEB">
              <w:rPr>
                <w:rFonts w:ascii="Tahoma" w:hAnsi="Tahoma" w:cs="Tahoma"/>
                <w:b/>
                <w:bCs/>
                <w:iCs/>
                <w:color w:val="243285"/>
                <w:szCs w:val="24"/>
                <w:lang w:val="es-ES_tradnl"/>
              </w:rPr>
              <w:t>/</w:t>
            </w:r>
            <w:r w:rsidR="00573030">
              <w:rPr>
                <w:rFonts w:ascii="Tahoma" w:hAnsi="Tahoma" w:cs="Tahoma"/>
                <w:b/>
                <w:bCs/>
                <w:iCs/>
                <w:color w:val="243285"/>
                <w:szCs w:val="24"/>
                <w:lang w:val="es-ES_tradnl"/>
              </w:rPr>
              <w:t>2015</w:t>
            </w:r>
            <w:r w:rsidRPr="00A07AEB">
              <w:rPr>
                <w:rFonts w:ascii="Tahoma" w:hAnsi="Tahoma" w:cs="Tahoma"/>
                <w:b/>
                <w:bCs/>
                <w:iCs/>
                <w:color w:val="243285"/>
                <w:szCs w:val="24"/>
                <w:lang w:val="es-ES_tradnl"/>
              </w:rPr>
              <w:t>)</w:t>
            </w:r>
          </w:p>
        </w:tc>
      </w:tr>
      <w:tr w:rsidR="00B0755C" w:rsidRPr="00FB1BC6" w:rsidTr="00F74E07">
        <w:tc>
          <w:tcPr>
            <w:tcW w:w="10089" w:type="dxa"/>
          </w:tcPr>
          <w:p w:rsidR="00B0755C" w:rsidRPr="0010336F" w:rsidRDefault="00B0755C" w:rsidP="00F74E07">
            <w:pPr>
              <w:spacing w:before="80" w:line="500" w:lineRule="exact"/>
              <w:jc w:val="right"/>
              <w:rPr>
                <w:rFonts w:ascii="Tahoma" w:hAnsi="Tahoma" w:cs="Tahoma"/>
                <w:b/>
                <w:bCs/>
                <w:iCs/>
                <w:color w:val="243285"/>
                <w:sz w:val="44"/>
                <w:szCs w:val="44"/>
                <w:lang w:val="es-ES_tradnl"/>
              </w:rPr>
            </w:pPr>
          </w:p>
          <w:p w:rsidR="00B0755C" w:rsidRPr="0010336F" w:rsidRDefault="00B0755C" w:rsidP="00F74E07">
            <w:pPr>
              <w:spacing w:before="80" w:line="500" w:lineRule="exact"/>
              <w:jc w:val="right"/>
              <w:rPr>
                <w:rFonts w:ascii="Tahoma" w:hAnsi="Tahoma" w:cs="Tahoma"/>
                <w:b/>
                <w:bCs/>
                <w:iCs/>
                <w:color w:val="243285"/>
                <w:sz w:val="44"/>
                <w:szCs w:val="44"/>
                <w:lang w:val="es-ES_tradnl"/>
              </w:rPr>
            </w:pPr>
          </w:p>
          <w:p w:rsidR="00B0755C" w:rsidRDefault="00FB1BC6" w:rsidP="00FB1BC6">
            <w:pPr>
              <w:spacing w:before="80" w:line="500" w:lineRule="exact"/>
              <w:jc w:val="right"/>
              <w:rPr>
                <w:rFonts w:ascii="Tahoma" w:hAnsi="Tahoma" w:cs="Tahoma"/>
                <w:b/>
                <w:bCs/>
                <w:color w:val="243285"/>
                <w:sz w:val="44"/>
                <w:szCs w:val="44"/>
                <w:lang w:val="es-ES_tradnl"/>
              </w:rPr>
            </w:pPr>
            <w:r w:rsidRPr="00FB1BC6">
              <w:rPr>
                <w:rFonts w:ascii="Tahoma" w:hAnsi="Tahoma" w:cs="Tahoma"/>
                <w:b/>
                <w:bCs/>
                <w:color w:val="243285"/>
                <w:sz w:val="44"/>
                <w:szCs w:val="44"/>
                <w:lang w:val="es-ES_tradnl"/>
              </w:rPr>
              <w:t xml:space="preserve">Sistemas inalámbricos de múltiples gigabits </w:t>
            </w:r>
            <w:r w:rsidRPr="00FB1BC6">
              <w:rPr>
                <w:rFonts w:ascii="Tahoma" w:hAnsi="Tahoma" w:cs="Tahoma"/>
                <w:b/>
                <w:bCs/>
                <w:color w:val="243285"/>
                <w:sz w:val="44"/>
                <w:szCs w:val="44"/>
                <w:lang w:val="es-ES_tradnl"/>
              </w:rPr>
              <w:br/>
              <w:t>en frecuencias en torno a 60 GHz</w:t>
            </w:r>
          </w:p>
          <w:p w:rsidR="00B0755C" w:rsidRPr="00A07AEB" w:rsidRDefault="00B0755C" w:rsidP="00FB1BC6">
            <w:pPr>
              <w:spacing w:before="80" w:line="500" w:lineRule="exact"/>
              <w:jc w:val="right"/>
              <w:rPr>
                <w:rFonts w:ascii="Tahoma" w:hAnsi="Tahoma" w:cs="Tahoma"/>
                <w:b/>
                <w:bCs/>
                <w:iCs/>
                <w:color w:val="243285"/>
                <w:sz w:val="44"/>
                <w:szCs w:val="44"/>
                <w:lang w:val="es-ES_tradnl"/>
              </w:rPr>
            </w:pPr>
          </w:p>
        </w:tc>
      </w:tr>
      <w:tr w:rsidR="00B0755C" w:rsidRPr="00B0755C" w:rsidTr="00F74E07">
        <w:tc>
          <w:tcPr>
            <w:tcW w:w="10089" w:type="dxa"/>
          </w:tcPr>
          <w:p w:rsidR="00B0755C" w:rsidRPr="00A07AEB" w:rsidRDefault="00B0755C" w:rsidP="00F74E07">
            <w:pPr>
              <w:spacing w:before="80" w:line="280" w:lineRule="exact"/>
              <w:ind w:right="640"/>
              <w:rPr>
                <w:rFonts w:ascii="Tahoma" w:hAnsi="Tahoma" w:cs="Tahoma"/>
                <w:b/>
                <w:bCs/>
                <w:iCs/>
                <w:color w:val="243285"/>
                <w:sz w:val="32"/>
                <w:szCs w:val="32"/>
                <w:lang w:val="es-ES_tradnl"/>
              </w:rPr>
            </w:pPr>
          </w:p>
          <w:p w:rsidR="00B0755C" w:rsidRPr="00A07AEB" w:rsidRDefault="00B0755C" w:rsidP="00F74E07">
            <w:pPr>
              <w:spacing w:before="80" w:line="280" w:lineRule="exact"/>
              <w:ind w:right="640"/>
              <w:rPr>
                <w:rFonts w:ascii="Tahoma" w:hAnsi="Tahoma" w:cs="Tahoma"/>
                <w:b/>
                <w:bCs/>
                <w:iCs/>
                <w:color w:val="243285"/>
                <w:sz w:val="32"/>
                <w:szCs w:val="32"/>
                <w:lang w:val="es-ES_tradnl"/>
              </w:rPr>
            </w:pPr>
          </w:p>
          <w:p w:rsidR="00B0755C" w:rsidRPr="00A07AEB" w:rsidRDefault="00B0755C" w:rsidP="00F74E07">
            <w:pPr>
              <w:spacing w:before="80" w:after="180" w:line="360" w:lineRule="exact"/>
              <w:ind w:right="720"/>
              <w:rPr>
                <w:rFonts w:ascii="Tahoma" w:hAnsi="Tahoma" w:cs="Tahoma"/>
                <w:b/>
                <w:bCs/>
                <w:iCs/>
                <w:color w:val="243285"/>
                <w:sz w:val="36"/>
                <w:szCs w:val="36"/>
                <w:lang w:val="es-ES_tradnl"/>
              </w:rPr>
            </w:pPr>
          </w:p>
          <w:p w:rsidR="00B0755C" w:rsidRPr="00A07AEB" w:rsidRDefault="00B0755C" w:rsidP="00F74E07">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B0755C" w:rsidRPr="00A07AEB" w:rsidRDefault="00B0755C" w:rsidP="00F74E07">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Servicios móviles, de </w:t>
            </w:r>
            <w:proofErr w:type="spellStart"/>
            <w:r w:rsidRPr="00A07AEB">
              <w:rPr>
                <w:rFonts w:ascii="Tahoma" w:hAnsi="Tahoma" w:cs="Tahoma"/>
                <w:b/>
                <w:bCs/>
                <w:iCs/>
                <w:color w:val="243285"/>
                <w:sz w:val="36"/>
                <w:szCs w:val="36"/>
                <w:lang w:val="es-ES_tradnl"/>
              </w:rPr>
              <w:t>radiodeterminación</w:t>
            </w:r>
            <w:proofErr w:type="spellEnd"/>
            <w:r w:rsidRPr="00A07AEB">
              <w:rPr>
                <w:rFonts w:ascii="Tahoma" w:hAnsi="Tahoma" w:cs="Tahoma"/>
                <w:b/>
                <w:bCs/>
                <w:iCs/>
                <w:color w:val="243285"/>
                <w:sz w:val="36"/>
                <w:szCs w:val="36"/>
                <w:lang w:val="es-ES_tradnl"/>
              </w:rPr>
              <w:t>,</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B0755C" w:rsidRPr="0026666F" w:rsidRDefault="00B0755C" w:rsidP="00B0755C">
      <w:pPr>
        <w:spacing w:before="80"/>
        <w:rPr>
          <w:i/>
          <w:sz w:val="22"/>
          <w:lang w:val="es-ES_tradnl"/>
        </w:rPr>
      </w:pPr>
    </w:p>
    <w:p w:rsidR="00B0755C" w:rsidRPr="0026666F" w:rsidRDefault="00B0755C" w:rsidP="00B0755C">
      <w:pPr>
        <w:spacing w:before="80"/>
        <w:rPr>
          <w:i/>
          <w:sz w:val="22"/>
          <w:lang w:val="es-ES_tradnl"/>
        </w:rPr>
      </w:pPr>
    </w:p>
    <w:p w:rsidR="00B0755C" w:rsidRPr="0026666F" w:rsidRDefault="00B0755C" w:rsidP="00B0755C">
      <w:pPr>
        <w:spacing w:before="80"/>
        <w:rPr>
          <w:i/>
          <w:sz w:val="22"/>
          <w:lang w:val="es-ES_tradnl"/>
        </w:rPr>
      </w:pPr>
    </w:p>
    <w:p w:rsidR="00B0755C" w:rsidRPr="0026666F" w:rsidRDefault="00B0755C" w:rsidP="00B0755C">
      <w:pPr>
        <w:pStyle w:val="Equation"/>
        <w:tabs>
          <w:tab w:val="clear" w:pos="4820"/>
          <w:tab w:val="clear" w:pos="9639"/>
          <w:tab w:val="left" w:pos="1191"/>
          <w:tab w:val="left" w:pos="1588"/>
          <w:tab w:val="left" w:pos="1985"/>
        </w:tabs>
        <w:rPr>
          <w:rFonts w:ascii="Palatino Linotype" w:hAnsi="Palatino Linotype"/>
          <w:lang w:val="es-ES_tradnl"/>
        </w:rPr>
        <w:sectPr w:rsidR="00B0755C" w:rsidRPr="0026666F">
          <w:headerReference w:type="even" r:id="rId6"/>
          <w:headerReference w:type="default" r:id="rId7"/>
          <w:pgSz w:w="11907" w:h="16840" w:code="9"/>
          <w:pgMar w:top="1089" w:right="1089" w:bottom="284" w:left="1089" w:header="567" w:footer="284" w:gutter="0"/>
          <w:pgNumType w:start="1"/>
          <w:cols w:space="720"/>
        </w:sectPr>
      </w:pPr>
    </w:p>
    <w:p w:rsidR="00B0755C" w:rsidRPr="006C718C" w:rsidRDefault="00B0755C" w:rsidP="00B0755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0755C" w:rsidRPr="006C718C" w:rsidRDefault="00B0755C" w:rsidP="00B0755C">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0755C" w:rsidRPr="006C718C" w:rsidRDefault="00B0755C" w:rsidP="00B0755C">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0755C" w:rsidRPr="00021E8A" w:rsidRDefault="00B0755C" w:rsidP="00B0755C">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0755C" w:rsidRPr="00021E8A" w:rsidRDefault="00B0755C" w:rsidP="00B0755C">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0755C" w:rsidRPr="007C36CA" w:rsidRDefault="00B0755C" w:rsidP="00B0755C">
      <w:pPr>
        <w:spacing w:before="0"/>
        <w:jc w:val="center"/>
        <w:rPr>
          <w:sz w:val="22"/>
          <w:lang w:val="es-ES_tradnl"/>
        </w:rPr>
      </w:pPr>
    </w:p>
    <w:p w:rsidR="00B0755C" w:rsidRPr="007C36CA" w:rsidRDefault="00B0755C" w:rsidP="00B0755C">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0755C" w:rsidRPr="00B0755C" w:rsidTr="00F74E07">
        <w:tc>
          <w:tcPr>
            <w:tcW w:w="9360" w:type="dxa"/>
            <w:gridSpan w:val="2"/>
          </w:tcPr>
          <w:p w:rsidR="00B0755C" w:rsidRPr="00021E8A" w:rsidRDefault="00B0755C" w:rsidP="00F74E07">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0755C" w:rsidRPr="00763D08" w:rsidRDefault="00B0755C" w:rsidP="00F74E0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Pr>
                  <w:rStyle w:val="Hyperlink"/>
                  <w:b w:val="0"/>
                  <w:bCs/>
                  <w:sz w:val="18"/>
                  <w:szCs w:val="18"/>
                  <w:lang w:val="es-ES_tradnl"/>
                </w:rPr>
                <w:t>http://www.itu.int/publ/R-REC/es</w:t>
              </w:r>
            </w:hyperlink>
            <w:r w:rsidRPr="00763D08">
              <w:rPr>
                <w:b w:val="0"/>
                <w:bCs/>
                <w:sz w:val="18"/>
                <w:szCs w:val="18"/>
                <w:lang w:val="es-ES_tradnl"/>
              </w:rPr>
              <w:t>)</w:t>
            </w:r>
          </w:p>
        </w:tc>
      </w:tr>
      <w:tr w:rsidR="00B0755C" w:rsidRPr="00036EE3" w:rsidTr="00F74E07">
        <w:tc>
          <w:tcPr>
            <w:tcW w:w="1140" w:type="dxa"/>
          </w:tcPr>
          <w:p w:rsidR="00B0755C" w:rsidRPr="00036EE3" w:rsidRDefault="00B0755C" w:rsidP="00F74E07">
            <w:pPr>
              <w:spacing w:before="180" w:after="100"/>
              <w:ind w:left="57"/>
              <w:rPr>
                <w:b/>
                <w:bCs/>
                <w:sz w:val="20"/>
                <w:lang w:val="en-US"/>
              </w:rPr>
            </w:pPr>
            <w:r w:rsidRPr="00036EE3">
              <w:rPr>
                <w:b/>
                <w:bCs/>
                <w:sz w:val="20"/>
                <w:lang w:val="en-US"/>
              </w:rPr>
              <w:t>Series</w:t>
            </w:r>
          </w:p>
        </w:tc>
        <w:tc>
          <w:tcPr>
            <w:tcW w:w="8220" w:type="dxa"/>
          </w:tcPr>
          <w:p w:rsidR="00B0755C" w:rsidRPr="00036EE3" w:rsidRDefault="00B0755C" w:rsidP="00F74E0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B0755C" w:rsidRPr="00036EE3" w:rsidTr="00F74E07">
        <w:tc>
          <w:tcPr>
            <w:tcW w:w="1140" w:type="dxa"/>
          </w:tcPr>
          <w:p w:rsidR="00B0755C" w:rsidRPr="00036EE3" w:rsidRDefault="00B0755C" w:rsidP="00F74E07">
            <w:pPr>
              <w:spacing w:before="30" w:after="30"/>
              <w:ind w:left="57"/>
              <w:jc w:val="left"/>
              <w:rPr>
                <w:b/>
                <w:bCs/>
                <w:sz w:val="20"/>
                <w:lang w:val="en-US"/>
              </w:rPr>
            </w:pPr>
            <w:r w:rsidRPr="00036EE3">
              <w:rPr>
                <w:b/>
                <w:bCs/>
                <w:sz w:val="20"/>
                <w:lang w:val="en-US"/>
              </w:rPr>
              <w:t>BO</w:t>
            </w:r>
          </w:p>
        </w:tc>
        <w:tc>
          <w:tcPr>
            <w:tcW w:w="8220" w:type="dxa"/>
          </w:tcPr>
          <w:p w:rsidR="00B0755C" w:rsidRPr="00021E8A" w:rsidRDefault="00B0755C" w:rsidP="00F74E0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Distribución</w:t>
            </w:r>
            <w:proofErr w:type="spellEnd"/>
            <w:r w:rsidRPr="00021E8A">
              <w:rPr>
                <w:b w:val="0"/>
                <w:bCs/>
                <w:sz w:val="20"/>
              </w:rPr>
              <w:t xml:space="preserve"> </w:t>
            </w:r>
            <w:proofErr w:type="spellStart"/>
            <w:r w:rsidRPr="00021E8A">
              <w:rPr>
                <w:b w:val="0"/>
                <w:bCs/>
                <w:sz w:val="20"/>
              </w:rPr>
              <w:t>por</w:t>
            </w:r>
            <w:proofErr w:type="spellEnd"/>
            <w:r w:rsidRPr="00021E8A">
              <w:rPr>
                <w:b w:val="0"/>
                <w:bCs/>
                <w:sz w:val="20"/>
              </w:rPr>
              <w:t xml:space="preserve"> </w:t>
            </w:r>
            <w:proofErr w:type="spellStart"/>
            <w:r w:rsidRPr="00021E8A">
              <w:rPr>
                <w:b w:val="0"/>
                <w:bCs/>
                <w:sz w:val="20"/>
              </w:rPr>
              <w:t>satélite</w:t>
            </w:r>
            <w:proofErr w:type="spellEnd"/>
          </w:p>
        </w:tc>
      </w:tr>
      <w:tr w:rsidR="00B0755C" w:rsidRPr="00B0755C" w:rsidTr="00F74E07">
        <w:tc>
          <w:tcPr>
            <w:tcW w:w="1140" w:type="dxa"/>
          </w:tcPr>
          <w:p w:rsidR="00B0755C" w:rsidRPr="00036EE3" w:rsidRDefault="00B0755C" w:rsidP="00F74E07">
            <w:pPr>
              <w:spacing w:before="30" w:after="30"/>
              <w:ind w:left="57"/>
              <w:jc w:val="left"/>
              <w:rPr>
                <w:b/>
                <w:bCs/>
                <w:sz w:val="20"/>
                <w:lang w:val="en-US"/>
              </w:rPr>
            </w:pPr>
            <w:r w:rsidRPr="00036EE3">
              <w:rPr>
                <w:b/>
                <w:bCs/>
                <w:sz w:val="20"/>
                <w:lang w:val="en-US"/>
              </w:rPr>
              <w:t>BR</w:t>
            </w:r>
          </w:p>
        </w:tc>
        <w:tc>
          <w:tcPr>
            <w:tcW w:w="8220" w:type="dxa"/>
          </w:tcPr>
          <w:p w:rsidR="00B0755C" w:rsidRPr="00021E8A" w:rsidRDefault="00B0755C" w:rsidP="00F74E0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B0755C" w:rsidRPr="00036EE3" w:rsidTr="00F74E07">
        <w:tc>
          <w:tcPr>
            <w:tcW w:w="1140" w:type="dxa"/>
          </w:tcPr>
          <w:p w:rsidR="00B0755C" w:rsidRPr="00036EE3" w:rsidRDefault="00B0755C" w:rsidP="00F74E07">
            <w:pPr>
              <w:spacing w:before="30" w:after="30"/>
              <w:ind w:left="57"/>
              <w:jc w:val="left"/>
              <w:rPr>
                <w:b/>
                <w:bCs/>
                <w:sz w:val="20"/>
                <w:lang w:val="en-US"/>
              </w:rPr>
            </w:pPr>
            <w:r w:rsidRPr="00036EE3">
              <w:rPr>
                <w:b/>
                <w:bCs/>
                <w:sz w:val="20"/>
                <w:lang w:val="en-US"/>
              </w:rPr>
              <w:t>BS</w:t>
            </w:r>
          </w:p>
        </w:tc>
        <w:tc>
          <w:tcPr>
            <w:tcW w:w="8220" w:type="dxa"/>
          </w:tcPr>
          <w:p w:rsidR="00B0755C" w:rsidRPr="00021E8A" w:rsidRDefault="00B0755C" w:rsidP="00F74E0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B0755C" w:rsidRPr="00ED2695" w:rsidTr="00F74E07">
        <w:tc>
          <w:tcPr>
            <w:tcW w:w="1140" w:type="dxa"/>
            <w:shd w:val="clear" w:color="auto" w:fill="auto"/>
          </w:tcPr>
          <w:p w:rsidR="00B0755C" w:rsidRPr="00ED2695" w:rsidRDefault="00B0755C" w:rsidP="00F74E07">
            <w:pPr>
              <w:spacing w:before="30" w:after="30"/>
              <w:ind w:left="57"/>
              <w:jc w:val="left"/>
              <w:rPr>
                <w:b/>
                <w:bCs/>
                <w:sz w:val="20"/>
                <w:lang w:val="en-US"/>
              </w:rPr>
            </w:pPr>
            <w:r w:rsidRPr="00ED2695">
              <w:rPr>
                <w:b/>
                <w:bCs/>
                <w:sz w:val="20"/>
                <w:lang w:val="en-US"/>
              </w:rPr>
              <w:t>BT</w:t>
            </w:r>
          </w:p>
        </w:tc>
        <w:tc>
          <w:tcPr>
            <w:tcW w:w="8220" w:type="dxa"/>
            <w:shd w:val="clear" w:color="auto" w:fill="auto"/>
          </w:tcPr>
          <w:p w:rsidR="00B0755C" w:rsidRPr="00021E8A" w:rsidRDefault="00B0755C" w:rsidP="00F74E0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B0755C" w:rsidRPr="00036EE3" w:rsidTr="00F74E07">
        <w:tc>
          <w:tcPr>
            <w:tcW w:w="1140" w:type="dxa"/>
            <w:shd w:val="clear" w:color="auto" w:fill="auto"/>
          </w:tcPr>
          <w:p w:rsidR="00B0755C" w:rsidRPr="00036EE3" w:rsidRDefault="00B0755C" w:rsidP="00F74E07">
            <w:pPr>
              <w:spacing w:before="30" w:after="30"/>
              <w:ind w:left="57"/>
              <w:jc w:val="left"/>
              <w:rPr>
                <w:b/>
                <w:bCs/>
                <w:sz w:val="20"/>
                <w:lang w:val="fr-CH"/>
              </w:rPr>
            </w:pPr>
            <w:r w:rsidRPr="00036EE3">
              <w:rPr>
                <w:b/>
                <w:bCs/>
                <w:sz w:val="20"/>
                <w:lang w:val="fr-CH"/>
              </w:rPr>
              <w:t>F</w:t>
            </w:r>
          </w:p>
        </w:tc>
        <w:tc>
          <w:tcPr>
            <w:tcW w:w="8220" w:type="dxa"/>
            <w:shd w:val="clear" w:color="auto" w:fill="auto"/>
          </w:tcPr>
          <w:p w:rsidR="00B0755C" w:rsidRPr="00021E8A" w:rsidRDefault="00B0755C" w:rsidP="00F74E0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p>
        </w:tc>
      </w:tr>
      <w:tr w:rsidR="00B0755C" w:rsidRPr="00B0755C" w:rsidTr="00F74E07">
        <w:tc>
          <w:tcPr>
            <w:tcW w:w="1140" w:type="dxa"/>
            <w:shd w:val="clear" w:color="auto" w:fill="F3F3F3"/>
          </w:tcPr>
          <w:p w:rsidR="00B0755C" w:rsidRPr="001240BC" w:rsidRDefault="00B0755C" w:rsidP="00F74E07">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B0755C" w:rsidRPr="001240BC" w:rsidRDefault="00B0755C" w:rsidP="00F74E0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 xml:space="preserve">Servicios móviles, de </w:t>
            </w:r>
            <w:proofErr w:type="spellStart"/>
            <w:r w:rsidRPr="001240BC">
              <w:rPr>
                <w:bCs/>
                <w:color w:val="000080"/>
                <w:sz w:val="20"/>
                <w:lang w:val="es-ES_tradnl"/>
              </w:rPr>
              <w:t>radiodeterminación</w:t>
            </w:r>
            <w:proofErr w:type="spellEnd"/>
            <w:r w:rsidRPr="001240BC">
              <w:rPr>
                <w:bCs/>
                <w:color w:val="000080"/>
                <w:sz w:val="20"/>
                <w:lang w:val="es-ES_tradnl"/>
              </w:rPr>
              <w:t>, de aficionados y otros servicios por satélite conexos</w:t>
            </w:r>
          </w:p>
        </w:tc>
      </w:tr>
      <w:tr w:rsidR="00B0755C" w:rsidRPr="00B0755C" w:rsidTr="00F74E07">
        <w:tc>
          <w:tcPr>
            <w:tcW w:w="1140" w:type="dxa"/>
          </w:tcPr>
          <w:p w:rsidR="00B0755C" w:rsidRPr="00036EE3" w:rsidRDefault="00B0755C" w:rsidP="00F74E07">
            <w:pPr>
              <w:spacing w:before="30" w:after="30"/>
              <w:ind w:left="57"/>
              <w:jc w:val="left"/>
              <w:rPr>
                <w:b/>
                <w:bCs/>
                <w:sz w:val="20"/>
                <w:lang w:val="fr-CH"/>
              </w:rPr>
            </w:pPr>
            <w:r w:rsidRPr="00036EE3">
              <w:rPr>
                <w:b/>
                <w:bCs/>
                <w:sz w:val="20"/>
                <w:lang w:val="fr-CH"/>
              </w:rPr>
              <w:t>P</w:t>
            </w:r>
          </w:p>
        </w:tc>
        <w:tc>
          <w:tcPr>
            <w:tcW w:w="8220" w:type="dxa"/>
          </w:tcPr>
          <w:p w:rsidR="00B0755C" w:rsidRPr="00021E8A" w:rsidRDefault="00B0755C" w:rsidP="00F74E07">
            <w:pPr>
              <w:spacing w:before="30" w:after="30"/>
              <w:jc w:val="left"/>
              <w:rPr>
                <w:bCs/>
                <w:sz w:val="20"/>
                <w:lang w:val="es-ES_tradnl"/>
              </w:rPr>
            </w:pPr>
            <w:r w:rsidRPr="00021E8A">
              <w:rPr>
                <w:bCs/>
                <w:sz w:val="20"/>
                <w:lang w:val="es-ES_tradnl"/>
              </w:rPr>
              <w:t>Propagación de las ondas radioeléctricas</w:t>
            </w:r>
          </w:p>
        </w:tc>
      </w:tr>
      <w:tr w:rsidR="00B0755C" w:rsidRPr="00036EE3" w:rsidTr="00F74E07">
        <w:tc>
          <w:tcPr>
            <w:tcW w:w="1140" w:type="dxa"/>
          </w:tcPr>
          <w:p w:rsidR="00B0755C" w:rsidRPr="00036EE3" w:rsidRDefault="00B0755C" w:rsidP="00F74E07">
            <w:pPr>
              <w:spacing w:before="30" w:after="30"/>
              <w:ind w:left="57"/>
              <w:jc w:val="left"/>
              <w:rPr>
                <w:b/>
                <w:bCs/>
                <w:sz w:val="20"/>
                <w:lang w:val="en-US"/>
              </w:rPr>
            </w:pPr>
            <w:r w:rsidRPr="00036EE3">
              <w:rPr>
                <w:b/>
                <w:bCs/>
                <w:sz w:val="20"/>
                <w:lang w:val="en-US"/>
              </w:rPr>
              <w:t>RA</w:t>
            </w:r>
          </w:p>
        </w:tc>
        <w:tc>
          <w:tcPr>
            <w:tcW w:w="8220" w:type="dxa"/>
          </w:tcPr>
          <w:p w:rsidR="00B0755C" w:rsidRPr="00021E8A" w:rsidRDefault="00B0755C" w:rsidP="00F74E0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sidRPr="00021E8A">
              <w:rPr>
                <w:bCs/>
                <w:sz w:val="20"/>
              </w:rPr>
              <w:t>Radioastronomía</w:t>
            </w:r>
            <w:proofErr w:type="spellEnd"/>
          </w:p>
        </w:tc>
      </w:tr>
      <w:tr w:rsidR="00B0755C" w:rsidRPr="00B0755C" w:rsidTr="00F74E07">
        <w:tc>
          <w:tcPr>
            <w:tcW w:w="1140" w:type="dxa"/>
          </w:tcPr>
          <w:p w:rsidR="00B0755C" w:rsidRPr="00036EE3" w:rsidRDefault="00B0755C" w:rsidP="00F74E07">
            <w:pPr>
              <w:spacing w:before="30" w:after="30"/>
              <w:ind w:left="57"/>
              <w:jc w:val="left"/>
              <w:rPr>
                <w:b/>
                <w:bCs/>
                <w:sz w:val="20"/>
                <w:lang w:val="en-US"/>
              </w:rPr>
            </w:pPr>
            <w:r w:rsidRPr="00036EE3">
              <w:rPr>
                <w:b/>
                <w:bCs/>
                <w:sz w:val="20"/>
                <w:lang w:val="en-US"/>
              </w:rPr>
              <w:t>RS</w:t>
            </w:r>
          </w:p>
        </w:tc>
        <w:tc>
          <w:tcPr>
            <w:tcW w:w="8220" w:type="dxa"/>
          </w:tcPr>
          <w:p w:rsidR="00B0755C" w:rsidRPr="00021E8A" w:rsidRDefault="00B0755C" w:rsidP="00F74E0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0755C" w:rsidRPr="00036EE3" w:rsidTr="00F74E07">
        <w:tc>
          <w:tcPr>
            <w:tcW w:w="1140" w:type="dxa"/>
          </w:tcPr>
          <w:p w:rsidR="00B0755C" w:rsidRPr="00036EE3" w:rsidRDefault="00B0755C" w:rsidP="00F74E07">
            <w:pPr>
              <w:spacing w:before="30" w:after="30"/>
              <w:ind w:left="57"/>
              <w:jc w:val="left"/>
              <w:rPr>
                <w:b/>
                <w:bCs/>
                <w:sz w:val="20"/>
                <w:lang w:val="en-US"/>
              </w:rPr>
            </w:pPr>
            <w:r w:rsidRPr="00036EE3">
              <w:rPr>
                <w:b/>
                <w:bCs/>
                <w:sz w:val="20"/>
                <w:lang w:val="en-US"/>
              </w:rPr>
              <w:t>S</w:t>
            </w:r>
          </w:p>
        </w:tc>
        <w:tc>
          <w:tcPr>
            <w:tcW w:w="8220" w:type="dxa"/>
          </w:tcPr>
          <w:p w:rsidR="00B0755C" w:rsidRPr="00021E8A" w:rsidRDefault="00B0755C" w:rsidP="00F74E07">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B0755C" w:rsidRPr="00036EE3" w:rsidTr="00F74E07">
        <w:tc>
          <w:tcPr>
            <w:tcW w:w="1140" w:type="dxa"/>
          </w:tcPr>
          <w:p w:rsidR="00B0755C" w:rsidRPr="00036EE3" w:rsidRDefault="00B0755C" w:rsidP="00F74E07">
            <w:pPr>
              <w:spacing w:before="30" w:after="30"/>
              <w:ind w:left="57"/>
              <w:jc w:val="left"/>
              <w:rPr>
                <w:b/>
                <w:bCs/>
                <w:sz w:val="20"/>
                <w:lang w:val="en-US"/>
              </w:rPr>
            </w:pPr>
            <w:r w:rsidRPr="00036EE3">
              <w:rPr>
                <w:b/>
                <w:bCs/>
                <w:sz w:val="20"/>
                <w:lang w:val="en-US"/>
              </w:rPr>
              <w:t>SA</w:t>
            </w:r>
          </w:p>
        </w:tc>
        <w:tc>
          <w:tcPr>
            <w:tcW w:w="8220" w:type="dxa"/>
          </w:tcPr>
          <w:p w:rsidR="00B0755C" w:rsidRPr="00021E8A" w:rsidRDefault="00B0755C" w:rsidP="00F74E07">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B0755C" w:rsidRPr="00B0755C" w:rsidTr="00F74E07">
        <w:tc>
          <w:tcPr>
            <w:tcW w:w="1140" w:type="dxa"/>
          </w:tcPr>
          <w:p w:rsidR="00B0755C" w:rsidRPr="00036EE3" w:rsidRDefault="00B0755C" w:rsidP="00F74E07">
            <w:pPr>
              <w:spacing w:before="30" w:after="30"/>
              <w:ind w:left="57"/>
              <w:jc w:val="left"/>
              <w:rPr>
                <w:b/>
                <w:bCs/>
                <w:sz w:val="20"/>
                <w:lang w:val="en-US"/>
              </w:rPr>
            </w:pPr>
            <w:r w:rsidRPr="00036EE3">
              <w:rPr>
                <w:b/>
                <w:bCs/>
                <w:sz w:val="20"/>
                <w:lang w:val="en-US"/>
              </w:rPr>
              <w:t>SF</w:t>
            </w:r>
          </w:p>
        </w:tc>
        <w:tc>
          <w:tcPr>
            <w:tcW w:w="8220" w:type="dxa"/>
          </w:tcPr>
          <w:p w:rsidR="00B0755C" w:rsidRPr="00021E8A" w:rsidRDefault="00B0755C" w:rsidP="00F74E07">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0755C" w:rsidRPr="00036EE3" w:rsidTr="00F74E07">
        <w:tc>
          <w:tcPr>
            <w:tcW w:w="1140" w:type="dxa"/>
            <w:shd w:val="clear" w:color="auto" w:fill="auto"/>
          </w:tcPr>
          <w:p w:rsidR="00B0755C" w:rsidRPr="001240BC" w:rsidRDefault="00B0755C" w:rsidP="00F74E07">
            <w:pPr>
              <w:spacing w:before="30" w:after="30"/>
              <w:ind w:left="57"/>
              <w:jc w:val="left"/>
              <w:rPr>
                <w:b/>
                <w:bCs/>
                <w:sz w:val="20"/>
                <w:lang w:val="en-US"/>
              </w:rPr>
            </w:pPr>
            <w:r w:rsidRPr="001240BC">
              <w:rPr>
                <w:b/>
                <w:bCs/>
                <w:sz w:val="20"/>
                <w:lang w:val="en-US"/>
              </w:rPr>
              <w:t>SM</w:t>
            </w:r>
          </w:p>
        </w:tc>
        <w:tc>
          <w:tcPr>
            <w:tcW w:w="8220" w:type="dxa"/>
            <w:shd w:val="clear" w:color="auto" w:fill="auto"/>
          </w:tcPr>
          <w:p w:rsidR="00B0755C" w:rsidRPr="001240BC" w:rsidRDefault="00B0755C" w:rsidP="00F74E07">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B0755C" w:rsidRPr="00036EE3" w:rsidTr="00F74E07">
        <w:tc>
          <w:tcPr>
            <w:tcW w:w="1140" w:type="dxa"/>
          </w:tcPr>
          <w:p w:rsidR="00B0755C" w:rsidRPr="00036EE3" w:rsidRDefault="00B0755C" w:rsidP="00F74E07">
            <w:pPr>
              <w:spacing w:before="30" w:after="30"/>
              <w:ind w:left="57"/>
              <w:jc w:val="left"/>
              <w:rPr>
                <w:b/>
                <w:bCs/>
                <w:sz w:val="20"/>
                <w:lang w:val="en-US"/>
              </w:rPr>
            </w:pPr>
            <w:r w:rsidRPr="00036EE3">
              <w:rPr>
                <w:b/>
                <w:bCs/>
                <w:sz w:val="20"/>
                <w:lang w:val="en-US"/>
              </w:rPr>
              <w:t>SNG</w:t>
            </w:r>
          </w:p>
        </w:tc>
        <w:tc>
          <w:tcPr>
            <w:tcW w:w="8220" w:type="dxa"/>
          </w:tcPr>
          <w:p w:rsidR="00B0755C" w:rsidRPr="00021E8A" w:rsidRDefault="00B0755C" w:rsidP="00F74E07">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B0755C" w:rsidRPr="00B0755C" w:rsidTr="00F74E07">
        <w:tc>
          <w:tcPr>
            <w:tcW w:w="1140" w:type="dxa"/>
          </w:tcPr>
          <w:p w:rsidR="00B0755C" w:rsidRPr="00036EE3" w:rsidRDefault="00B0755C" w:rsidP="00F74E07">
            <w:pPr>
              <w:spacing w:before="30" w:after="30"/>
              <w:ind w:left="57"/>
              <w:jc w:val="left"/>
              <w:rPr>
                <w:b/>
                <w:bCs/>
                <w:sz w:val="20"/>
                <w:lang w:val="en-US"/>
              </w:rPr>
            </w:pPr>
            <w:r w:rsidRPr="00036EE3">
              <w:rPr>
                <w:b/>
                <w:bCs/>
                <w:sz w:val="20"/>
                <w:lang w:val="en-US"/>
              </w:rPr>
              <w:t>TF</w:t>
            </w:r>
          </w:p>
        </w:tc>
        <w:tc>
          <w:tcPr>
            <w:tcW w:w="8220" w:type="dxa"/>
          </w:tcPr>
          <w:p w:rsidR="00B0755C" w:rsidRPr="00021E8A" w:rsidRDefault="00B0755C" w:rsidP="00F74E07">
            <w:pPr>
              <w:spacing w:before="30" w:after="30"/>
              <w:jc w:val="left"/>
              <w:rPr>
                <w:bCs/>
                <w:sz w:val="20"/>
                <w:lang w:val="es-ES_tradnl"/>
              </w:rPr>
            </w:pPr>
            <w:r w:rsidRPr="00021E8A">
              <w:rPr>
                <w:bCs/>
                <w:sz w:val="20"/>
                <w:lang w:val="es-ES_tradnl"/>
              </w:rPr>
              <w:t>Emisiones de frecuencias patrón y señales horarias</w:t>
            </w:r>
          </w:p>
        </w:tc>
      </w:tr>
      <w:tr w:rsidR="00B0755C" w:rsidRPr="00036EE3" w:rsidTr="00F74E07">
        <w:tc>
          <w:tcPr>
            <w:tcW w:w="1140" w:type="dxa"/>
          </w:tcPr>
          <w:p w:rsidR="00B0755C" w:rsidRPr="00036EE3" w:rsidRDefault="00B0755C" w:rsidP="00F74E07">
            <w:pPr>
              <w:spacing w:before="30" w:after="30"/>
              <w:ind w:left="57"/>
              <w:jc w:val="left"/>
              <w:rPr>
                <w:b/>
                <w:bCs/>
                <w:sz w:val="20"/>
                <w:lang w:val="en-US"/>
              </w:rPr>
            </w:pPr>
            <w:r w:rsidRPr="00036EE3">
              <w:rPr>
                <w:b/>
                <w:bCs/>
                <w:sz w:val="20"/>
                <w:lang w:val="en-US"/>
              </w:rPr>
              <w:t>V</w:t>
            </w:r>
          </w:p>
        </w:tc>
        <w:tc>
          <w:tcPr>
            <w:tcW w:w="8220" w:type="dxa"/>
          </w:tcPr>
          <w:p w:rsidR="00B0755C" w:rsidRPr="00021E8A" w:rsidRDefault="00B0755C" w:rsidP="00F74E07">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B0755C" w:rsidRPr="00036EE3" w:rsidRDefault="00B0755C" w:rsidP="00B0755C">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0755C" w:rsidTr="00F74E07">
        <w:tc>
          <w:tcPr>
            <w:tcW w:w="720" w:type="dxa"/>
          </w:tcPr>
          <w:p w:rsidR="00B0755C" w:rsidRDefault="00B0755C" w:rsidP="00F74E07">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B0755C" w:rsidRPr="00B0755C" w:rsidTr="00F74E07">
        <w:tc>
          <w:tcPr>
            <w:tcW w:w="9360" w:type="dxa"/>
          </w:tcPr>
          <w:p w:rsidR="00B0755C" w:rsidRPr="00A07AEB" w:rsidRDefault="00B0755C" w:rsidP="00F74E07">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B0755C" w:rsidRPr="00763D08" w:rsidRDefault="00B0755C" w:rsidP="00B0755C">
      <w:pPr>
        <w:spacing w:before="0"/>
        <w:jc w:val="center"/>
        <w:rPr>
          <w:sz w:val="22"/>
          <w:lang w:val="es-ES_tradnl"/>
        </w:rPr>
      </w:pPr>
    </w:p>
    <w:p w:rsidR="00B0755C" w:rsidRPr="00763D08" w:rsidRDefault="00B0755C" w:rsidP="00B0755C">
      <w:pPr>
        <w:spacing w:before="60"/>
        <w:jc w:val="right"/>
        <w:rPr>
          <w:i/>
          <w:iCs/>
          <w:sz w:val="20"/>
          <w:lang w:val="es-ES_tradnl"/>
        </w:rPr>
      </w:pPr>
      <w:r w:rsidRPr="00763D08">
        <w:rPr>
          <w:i/>
          <w:iCs/>
          <w:sz w:val="20"/>
          <w:lang w:val="es-ES_tradnl"/>
        </w:rPr>
        <w:t>Publicación electrónica</w:t>
      </w:r>
    </w:p>
    <w:p w:rsidR="00B0755C" w:rsidRPr="00763D08" w:rsidRDefault="00B0755C" w:rsidP="00B0755C">
      <w:pPr>
        <w:spacing w:before="0" w:after="40"/>
        <w:jc w:val="right"/>
        <w:rPr>
          <w:sz w:val="20"/>
          <w:lang w:val="es-ES_tradnl"/>
        </w:rPr>
      </w:pPr>
      <w:r w:rsidRPr="00763D08">
        <w:rPr>
          <w:sz w:val="20"/>
          <w:lang w:val="es-ES_tradnl"/>
        </w:rPr>
        <w:t>Ginebra, 20</w:t>
      </w:r>
      <w:r>
        <w:rPr>
          <w:sz w:val="20"/>
          <w:lang w:val="es-ES_tradnl"/>
        </w:rPr>
        <w:t>16</w:t>
      </w:r>
    </w:p>
    <w:p w:rsidR="00B0755C" w:rsidRPr="00763D08" w:rsidRDefault="00B0755C" w:rsidP="00B0755C">
      <w:pPr>
        <w:spacing w:before="0"/>
        <w:jc w:val="center"/>
        <w:rPr>
          <w:sz w:val="22"/>
          <w:lang w:val="es-ES_tradnl"/>
        </w:rPr>
      </w:pPr>
    </w:p>
    <w:p w:rsidR="00B0755C" w:rsidRPr="00763D08" w:rsidRDefault="00B0755C" w:rsidP="00B0755C">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16</w:t>
      </w:r>
    </w:p>
    <w:p w:rsidR="00B0755C" w:rsidRPr="006C718C" w:rsidRDefault="00B0755C" w:rsidP="00B0755C">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0755C" w:rsidRPr="006C718C" w:rsidRDefault="00B0755C" w:rsidP="00B0755C">
      <w:pPr>
        <w:spacing w:before="160"/>
        <w:rPr>
          <w:i/>
          <w:sz w:val="20"/>
          <w:highlight w:val="yellow"/>
          <w:lang w:val="es-ES_tradnl"/>
        </w:rPr>
        <w:sectPr w:rsidR="00B0755C" w:rsidRPr="006C718C" w:rsidSect="00CB1354">
          <w:headerReference w:type="even" r:id="rId10"/>
          <w:headerReference w:type="default" r:id="rId11"/>
          <w:pgSz w:w="11907" w:h="16834" w:code="9"/>
          <w:pgMar w:top="1418" w:right="1134" w:bottom="1134" w:left="1134" w:header="720" w:footer="482" w:gutter="0"/>
          <w:pgNumType w:fmt="lowerRoman" w:start="2"/>
          <w:cols w:space="720"/>
        </w:sectPr>
      </w:pPr>
    </w:p>
    <w:p w:rsidR="00B0755C" w:rsidRPr="0010336F" w:rsidRDefault="00B0755C" w:rsidP="007B1B1E">
      <w:pPr>
        <w:pStyle w:val="RecNo"/>
        <w:rPr>
          <w:lang w:val="es-ES_tradnl"/>
        </w:rPr>
      </w:pPr>
      <w:bookmarkStart w:id="3" w:name="irecnoe"/>
      <w:bookmarkEnd w:id="3"/>
      <w:r w:rsidRPr="007B1B1E">
        <w:lastRenderedPageBreak/>
        <w:t>RECOMENDACIÓN</w:t>
      </w:r>
      <w:r w:rsidRPr="00763D08">
        <w:rPr>
          <w:lang w:val="es-ES_tradnl"/>
        </w:rPr>
        <w:t xml:space="preserve">  </w:t>
      </w:r>
      <w:r w:rsidRPr="0010336F">
        <w:rPr>
          <w:rStyle w:val="href"/>
          <w:lang w:val="es-ES_tradnl"/>
        </w:rPr>
        <w:t xml:space="preserve">UIT-R  </w:t>
      </w:r>
      <w:r>
        <w:rPr>
          <w:rStyle w:val="href"/>
          <w:lang w:val="es-ES_tradnl"/>
        </w:rPr>
        <w:t>M</w:t>
      </w:r>
      <w:r w:rsidRPr="0010336F">
        <w:rPr>
          <w:rStyle w:val="href"/>
          <w:lang w:val="es-ES_tradnl"/>
        </w:rPr>
        <w:t>.</w:t>
      </w:r>
      <w:r w:rsidR="00FB1BC6">
        <w:rPr>
          <w:rStyle w:val="href"/>
          <w:lang w:val="es-ES_tradnl"/>
        </w:rPr>
        <w:t>2003-1</w:t>
      </w:r>
    </w:p>
    <w:p w:rsidR="007B1B1E" w:rsidRPr="007B1B1E" w:rsidRDefault="00573030" w:rsidP="007B1B1E">
      <w:pPr>
        <w:pStyle w:val="Rectitle"/>
        <w:rPr>
          <w:lang w:val="es-ES_tradnl"/>
        </w:rPr>
      </w:pPr>
      <w:r w:rsidRPr="0023523B">
        <w:rPr>
          <w:lang w:val="es-ES_tradnl"/>
        </w:rPr>
        <w:t xml:space="preserve">Sistemas inalámbricos de múltiples gigabits </w:t>
      </w:r>
      <w:r>
        <w:rPr>
          <w:lang w:val="es-ES_tradnl"/>
        </w:rPr>
        <w:br/>
      </w:r>
      <w:r w:rsidRPr="0023523B">
        <w:rPr>
          <w:lang w:val="es-ES_tradnl"/>
        </w:rPr>
        <w:t>en frecuencias en torno a 60 GHz</w:t>
      </w:r>
    </w:p>
    <w:p w:rsidR="00573030" w:rsidRPr="0023523B" w:rsidRDefault="00573030" w:rsidP="00573030">
      <w:pPr>
        <w:pStyle w:val="Recref"/>
        <w:rPr>
          <w:lang w:val="es-ES_tradnl"/>
        </w:rPr>
      </w:pPr>
      <w:r w:rsidRPr="0023523B">
        <w:rPr>
          <w:lang w:val="es-ES_tradnl"/>
        </w:rPr>
        <w:t>(Cuestión UIT-R 212-3/5)</w:t>
      </w:r>
    </w:p>
    <w:p w:rsidR="00573030" w:rsidRPr="0023523B" w:rsidRDefault="00573030" w:rsidP="00573030">
      <w:pPr>
        <w:pStyle w:val="Recdate"/>
        <w:rPr>
          <w:lang w:val="es-ES_tradnl"/>
        </w:rPr>
      </w:pPr>
      <w:r w:rsidRPr="0023523B">
        <w:rPr>
          <w:lang w:val="es-ES_tradnl"/>
        </w:rPr>
        <w:t>(2012-2015)</w:t>
      </w:r>
    </w:p>
    <w:p w:rsidR="00573030" w:rsidRPr="0023523B" w:rsidRDefault="00573030" w:rsidP="00573030">
      <w:pPr>
        <w:pStyle w:val="HeadingSum"/>
      </w:pPr>
      <w:r w:rsidRPr="0023523B">
        <w:t>Cometido</w:t>
      </w:r>
    </w:p>
    <w:p w:rsidR="00573030" w:rsidRDefault="00573030" w:rsidP="00573030">
      <w:pPr>
        <w:pStyle w:val="Summary"/>
      </w:pPr>
      <w:r w:rsidRPr="0023523B">
        <w:t>En esta Recomendación se recogen las características generales y las normas de la interfaz radioeléctrica para los sistemas inalámbricos de múltiples gigabits en frecuencias en torno a 60 GHz.</w:t>
      </w:r>
    </w:p>
    <w:p w:rsidR="007B1B1E" w:rsidRPr="0023523B" w:rsidRDefault="007B1B1E" w:rsidP="007B1B1E">
      <w:pPr>
        <w:pStyle w:val="Headingb"/>
      </w:pPr>
      <w:r w:rsidRPr="0023523B">
        <w:t>Palabras clave</w:t>
      </w:r>
    </w:p>
    <w:p w:rsidR="007B1B1E" w:rsidRPr="007B1B1E" w:rsidRDefault="007B1B1E" w:rsidP="007B1B1E">
      <w:pPr>
        <w:pStyle w:val="Summary"/>
        <w:rPr>
          <w:b/>
        </w:rPr>
      </w:pPr>
      <w:r w:rsidRPr="0023523B">
        <w:t>Sistema inalámbrico de múltiples gigabits (MGWS), red de área local inalámbrica (WLAN), red radioeléctrica de área local (RLAN)</w:t>
      </w:r>
    </w:p>
    <w:p w:rsidR="00573030" w:rsidRPr="0023523B" w:rsidRDefault="00573030" w:rsidP="00573030">
      <w:pPr>
        <w:pStyle w:val="Normalaftertitle"/>
        <w:spacing w:before="240"/>
        <w:rPr>
          <w:lang w:val="es-ES_tradnl"/>
        </w:rPr>
      </w:pPr>
      <w:r w:rsidRPr="0023523B">
        <w:rPr>
          <w:lang w:val="es-ES_tradnl"/>
        </w:rPr>
        <w:t>La Asamblea de Radiocomunicaciones de la UIT,</w:t>
      </w:r>
    </w:p>
    <w:p w:rsidR="00573030" w:rsidRPr="0023523B" w:rsidRDefault="00573030" w:rsidP="00573030">
      <w:pPr>
        <w:pStyle w:val="Call"/>
        <w:rPr>
          <w:lang w:val="es-ES_tradnl"/>
        </w:rPr>
      </w:pPr>
      <w:r w:rsidRPr="0023523B">
        <w:rPr>
          <w:lang w:val="es-ES_tradnl"/>
        </w:rPr>
        <w:t>considerando</w:t>
      </w:r>
    </w:p>
    <w:p w:rsidR="00573030" w:rsidRPr="0023523B" w:rsidRDefault="00573030" w:rsidP="00573030">
      <w:pPr>
        <w:rPr>
          <w:lang w:val="es-ES_tradnl"/>
        </w:rPr>
      </w:pPr>
      <w:r w:rsidRPr="0023523B">
        <w:rPr>
          <w:i/>
          <w:iCs/>
          <w:lang w:val="es-ES_tradnl"/>
        </w:rPr>
        <w:t>a)</w:t>
      </w:r>
      <w:r w:rsidRPr="0023523B">
        <w:rPr>
          <w:lang w:val="es-ES_tradnl"/>
        </w:rPr>
        <w:tab/>
        <w:t>que los sistemas inalámbricos de múltiples gigabits (MGWS) se utilizan ampliamente en los equipos informáticos fijos, semifijos (transportables) y portátiles para diversas aplicaciones de banda ancha;</w:t>
      </w:r>
    </w:p>
    <w:p w:rsidR="00573030" w:rsidRPr="0023523B" w:rsidRDefault="00573030" w:rsidP="00573030">
      <w:pPr>
        <w:rPr>
          <w:lang w:val="es-ES_tradnl"/>
        </w:rPr>
      </w:pPr>
      <w:r w:rsidRPr="0023523B">
        <w:rPr>
          <w:i/>
          <w:iCs/>
          <w:lang w:val="es-ES_tradnl"/>
        </w:rPr>
        <w:t>b)</w:t>
      </w:r>
      <w:r w:rsidRPr="0023523B">
        <w:rPr>
          <w:lang w:val="es-ES_tradnl"/>
        </w:rPr>
        <w:tab/>
        <w:t xml:space="preserve">que es previsible que los sistemas MGWS </w:t>
      </w:r>
      <w:r>
        <w:rPr>
          <w:lang w:val="es-ES_tradnl"/>
        </w:rPr>
        <w:t>incluyan aplicaciones para ví</w:t>
      </w:r>
      <w:r w:rsidRPr="0023523B">
        <w:rPr>
          <w:lang w:val="es-ES_tradnl"/>
        </w:rPr>
        <w:t>deo, audio y aplicaciones de control digital inalámbricas, así como redes de área local inalámbricas de múltiples gigabits (WLAN);</w:t>
      </w:r>
    </w:p>
    <w:p w:rsidR="00573030" w:rsidRPr="0023523B" w:rsidRDefault="00573030" w:rsidP="00573030">
      <w:pPr>
        <w:tabs>
          <w:tab w:val="clear" w:pos="794"/>
          <w:tab w:val="clear" w:pos="1191"/>
          <w:tab w:val="clear" w:pos="1588"/>
          <w:tab w:val="clear" w:pos="1985"/>
        </w:tabs>
        <w:rPr>
          <w:lang w:val="es-ES_tradnl"/>
        </w:rPr>
      </w:pPr>
      <w:r w:rsidRPr="0023523B">
        <w:rPr>
          <w:i/>
          <w:iCs/>
          <w:lang w:val="es-ES_tradnl"/>
        </w:rPr>
        <w:t>c)</w:t>
      </w:r>
      <w:r w:rsidRPr="0023523B">
        <w:rPr>
          <w:i/>
          <w:lang w:val="es-ES_tradnl"/>
        </w:rPr>
        <w:tab/>
      </w:r>
      <w:r w:rsidRPr="0023523B">
        <w:rPr>
          <w:lang w:val="es-ES_tradnl"/>
        </w:rPr>
        <w:t xml:space="preserve">que las normas sobre MGWS se han elaborado para el funcionamiento </w:t>
      </w:r>
      <w:r w:rsidRPr="0023523B">
        <w:rPr>
          <w:iCs/>
          <w:lang w:val="es-ES_tradnl"/>
        </w:rPr>
        <w:t xml:space="preserve">en la gama de frecuencias de </w:t>
      </w:r>
      <w:r w:rsidRPr="0023523B">
        <w:rPr>
          <w:lang w:val="es-ES_tradnl"/>
        </w:rPr>
        <w:t>60 GHz;</w:t>
      </w:r>
    </w:p>
    <w:p w:rsidR="00573030" w:rsidRPr="0023523B" w:rsidRDefault="00573030" w:rsidP="00A9490A">
      <w:pPr>
        <w:rPr>
          <w:lang w:val="es-ES_tradnl"/>
        </w:rPr>
      </w:pPr>
      <w:r>
        <w:rPr>
          <w:i/>
          <w:lang w:val="es-ES_tradnl"/>
        </w:rPr>
        <w:t>d</w:t>
      </w:r>
      <w:r w:rsidRPr="0023523B">
        <w:rPr>
          <w:i/>
          <w:lang w:val="es-ES_tradnl"/>
        </w:rPr>
        <w:t>)</w:t>
      </w:r>
      <w:r w:rsidRPr="0023523B">
        <w:rPr>
          <w:i/>
          <w:lang w:val="es-ES_tradnl"/>
        </w:rPr>
        <w:tab/>
      </w:r>
      <w:r w:rsidRPr="0023523B">
        <w:rPr>
          <w:lang w:val="es-ES_tradnl"/>
        </w:rPr>
        <w:t>que los MGWS deben implementarse teniendo muy presente la compatibilidad con otras aplicaciones radioeléctricas;</w:t>
      </w:r>
    </w:p>
    <w:p w:rsidR="00573030" w:rsidRPr="0023523B" w:rsidRDefault="00573030" w:rsidP="00A9490A">
      <w:pPr>
        <w:rPr>
          <w:lang w:val="es-ES_tradnl"/>
        </w:rPr>
      </w:pPr>
      <w:r w:rsidRPr="0023523B">
        <w:rPr>
          <w:i/>
          <w:lang w:val="es-ES_tradnl"/>
        </w:rPr>
        <w:t>e)</w:t>
      </w:r>
      <w:r w:rsidRPr="0023523B">
        <w:rPr>
          <w:i/>
          <w:lang w:val="es-ES_tradnl"/>
        </w:rPr>
        <w:tab/>
      </w:r>
      <w:r w:rsidRPr="0023523B">
        <w:rPr>
          <w:lang w:val="es-ES_tradnl"/>
        </w:rPr>
        <w:t>que muchas administraciones permiten los sistemas MGWS, incluidos dispositivos de redes radioeléctricas de área local (RLAN), que funcionan en el rango de frecuencias de 60 GHz en régimen exento de licencias;</w:t>
      </w:r>
    </w:p>
    <w:p w:rsidR="00573030" w:rsidRPr="0023523B" w:rsidRDefault="00573030" w:rsidP="00A9490A">
      <w:pPr>
        <w:rPr>
          <w:lang w:val="es-ES_tradnl"/>
        </w:rPr>
      </w:pPr>
      <w:r w:rsidRPr="0023523B">
        <w:rPr>
          <w:i/>
          <w:lang w:val="es-ES_tradnl"/>
        </w:rPr>
        <w:t>f)</w:t>
      </w:r>
      <w:r w:rsidRPr="0023523B">
        <w:rPr>
          <w:lang w:val="es-ES_tradnl"/>
        </w:rPr>
        <w:tab/>
        <w:t>que las frecuencias armonizadas en la gama de frecuencias de 60 GHz para el servicio móvil facilitaría la introducción de los MGWS, incluyendo las RLAN,</w:t>
      </w:r>
    </w:p>
    <w:p w:rsidR="00573030" w:rsidRPr="0023523B" w:rsidRDefault="00573030" w:rsidP="00573030">
      <w:pPr>
        <w:pStyle w:val="Call"/>
        <w:rPr>
          <w:lang w:val="es-ES_tradnl"/>
        </w:rPr>
      </w:pPr>
      <w:r w:rsidRPr="0023523B">
        <w:rPr>
          <w:lang w:val="es-ES_tradnl"/>
        </w:rPr>
        <w:t>reconociendo</w:t>
      </w:r>
    </w:p>
    <w:p w:rsidR="00573030" w:rsidRPr="0023523B" w:rsidRDefault="00573030" w:rsidP="00A9490A">
      <w:pPr>
        <w:rPr>
          <w:lang w:val="es-ES_tradnl"/>
        </w:rPr>
      </w:pPr>
      <w:r w:rsidRPr="0023523B">
        <w:rPr>
          <w:i/>
          <w:iCs/>
          <w:lang w:val="es-ES_tradnl"/>
        </w:rPr>
        <w:t>a)</w:t>
      </w:r>
      <w:r w:rsidRPr="0023523B">
        <w:rPr>
          <w:lang w:val="es-ES_tradnl"/>
        </w:rPr>
        <w:tab/>
        <w:t>que tanto consumidores como fabricantes se beneficiarán de la armonización mundial del espectro en torno a 60 GHz para los MGWS;</w:t>
      </w:r>
    </w:p>
    <w:p w:rsidR="00573030" w:rsidRPr="0023523B" w:rsidRDefault="00573030" w:rsidP="00573030">
      <w:pPr>
        <w:rPr>
          <w:lang w:val="es-ES_tradnl"/>
        </w:rPr>
      </w:pPr>
      <w:r w:rsidRPr="0023523B">
        <w:rPr>
          <w:i/>
          <w:iCs/>
          <w:lang w:val="es-ES_tradnl"/>
        </w:rPr>
        <w:t>b)</w:t>
      </w:r>
      <w:r w:rsidRPr="0023523B">
        <w:rPr>
          <w:lang w:val="es-ES_tradnl"/>
        </w:rPr>
        <w:tab/>
        <w:t>que aunque los MGWS se han utilizado sobre todo para aplicaciones en interiores, hay administraciones que permiten el uso de estos sistemas en exteriores,</w:t>
      </w:r>
    </w:p>
    <w:p w:rsidR="00573030" w:rsidRPr="0023523B" w:rsidRDefault="00573030" w:rsidP="00573030">
      <w:pPr>
        <w:pStyle w:val="Call"/>
        <w:rPr>
          <w:lang w:val="es-ES_tradnl"/>
        </w:rPr>
      </w:pPr>
      <w:r w:rsidRPr="0023523B">
        <w:rPr>
          <w:lang w:val="es-ES_tradnl"/>
        </w:rPr>
        <w:t>observando</w:t>
      </w:r>
    </w:p>
    <w:p w:rsidR="00573030" w:rsidRPr="0023523B" w:rsidRDefault="00573030" w:rsidP="00A9490A">
      <w:pPr>
        <w:rPr>
          <w:lang w:val="es-ES_tradnl"/>
        </w:rPr>
      </w:pPr>
      <w:r w:rsidRPr="0023523B">
        <w:rPr>
          <w:i/>
          <w:iCs/>
          <w:lang w:val="es-ES_tradnl"/>
        </w:rPr>
        <w:t>a)</w:t>
      </w:r>
      <w:r w:rsidRPr="0023523B">
        <w:rPr>
          <w:lang w:val="es-ES_tradnl"/>
        </w:rPr>
        <w:tab/>
      </w:r>
      <w:r w:rsidRPr="0023523B">
        <w:rPr>
          <w:rFonts w:eastAsia="SimSun"/>
          <w:lang w:val="es-ES_tradnl" w:eastAsia="zh-CN"/>
        </w:rPr>
        <w:t>que existen varias normas con opciones para la implementación de sistemas MGWS,</w:t>
      </w:r>
    </w:p>
    <w:p w:rsidR="00573030" w:rsidRPr="0023523B" w:rsidRDefault="00573030" w:rsidP="00573030">
      <w:pPr>
        <w:pStyle w:val="Call"/>
        <w:rPr>
          <w:lang w:val="es-ES_tradnl"/>
        </w:rPr>
      </w:pPr>
      <w:r w:rsidRPr="0023523B">
        <w:rPr>
          <w:lang w:val="es-ES_tradnl"/>
        </w:rPr>
        <w:lastRenderedPageBreak/>
        <w:t>recomienda</w:t>
      </w:r>
    </w:p>
    <w:p w:rsidR="00573030" w:rsidRPr="0023523B" w:rsidRDefault="00573030" w:rsidP="00A9490A">
      <w:pPr>
        <w:rPr>
          <w:lang w:val="es-ES_tradnl"/>
        </w:rPr>
      </w:pPr>
      <w:r w:rsidRPr="0023523B">
        <w:rPr>
          <w:b/>
          <w:lang w:val="es-ES_tradnl"/>
        </w:rPr>
        <w:t>1</w:t>
      </w:r>
      <w:r w:rsidRPr="0023523B">
        <w:rPr>
          <w:bCs/>
          <w:lang w:val="es-ES_tradnl"/>
        </w:rPr>
        <w:tab/>
      </w:r>
      <w:r w:rsidRPr="0023523B">
        <w:rPr>
          <w:lang w:val="es-ES_tradnl"/>
        </w:rPr>
        <w:t>que se utilicen las normas sobre los MGWS y sus sistemas característicos que figuran en el Anexo 1.</w:t>
      </w:r>
    </w:p>
    <w:p w:rsidR="00573030" w:rsidRPr="0023523B" w:rsidRDefault="00573030" w:rsidP="007A1594">
      <w:pPr>
        <w:pStyle w:val="AnnexNoTitle"/>
        <w:rPr>
          <w:lang w:val="es-ES_tradnl"/>
        </w:rPr>
      </w:pPr>
      <w:proofErr w:type="spellStart"/>
      <w:r w:rsidRPr="007A1594">
        <w:rPr>
          <w:rFonts w:eastAsia="MS Mincho"/>
        </w:rPr>
        <w:t>Anexo</w:t>
      </w:r>
      <w:proofErr w:type="spellEnd"/>
      <w:r w:rsidRPr="00573030">
        <w:rPr>
          <w:rFonts w:eastAsia="MS Mincho"/>
          <w:lang w:val="es-ES_tradnl"/>
        </w:rPr>
        <w:t xml:space="preserve"> 1</w:t>
      </w:r>
      <w:r w:rsidRPr="00573030">
        <w:rPr>
          <w:rFonts w:eastAsia="MS Mincho"/>
          <w:lang w:val="es-ES_tradnl"/>
        </w:rPr>
        <w:br/>
      </w:r>
      <w:r w:rsidRPr="00573030">
        <w:rPr>
          <w:rFonts w:eastAsia="MS Mincho"/>
          <w:lang w:val="es-ES_tradnl"/>
        </w:rPr>
        <w:br/>
      </w:r>
      <w:r w:rsidRPr="0023523B">
        <w:rPr>
          <w:lang w:val="es-ES_tradnl"/>
        </w:rPr>
        <w:t xml:space="preserve">Características generales de los sistemas inalámbricos </w:t>
      </w:r>
      <w:r w:rsidRPr="0023523B">
        <w:rPr>
          <w:lang w:val="es-ES_tradnl"/>
        </w:rPr>
        <w:br/>
        <w:t>de múltiples gigabits en 60 GHz</w:t>
      </w:r>
    </w:p>
    <w:p w:rsidR="00573030" w:rsidRPr="0023523B" w:rsidRDefault="00573030" w:rsidP="00573030">
      <w:pPr>
        <w:pStyle w:val="Heading1"/>
        <w:rPr>
          <w:lang w:val="es-ES_tradnl"/>
        </w:rPr>
      </w:pPr>
      <w:bookmarkStart w:id="4" w:name="_Toc168904819"/>
      <w:r w:rsidRPr="0023523B">
        <w:rPr>
          <w:lang w:val="es-ES_tradnl"/>
        </w:rPr>
        <w:t>1</w:t>
      </w:r>
      <w:r w:rsidRPr="0023523B">
        <w:rPr>
          <w:lang w:val="es-ES_tradnl"/>
        </w:rPr>
        <w:tab/>
      </w:r>
      <w:bookmarkEnd w:id="4"/>
      <w:r w:rsidRPr="0023523B">
        <w:rPr>
          <w:lang w:val="es-ES_tradnl"/>
        </w:rPr>
        <w:t>Generalidades</w:t>
      </w:r>
    </w:p>
    <w:p w:rsidR="00573030" w:rsidRPr="0023523B" w:rsidRDefault="00573030" w:rsidP="00573030">
      <w:pPr>
        <w:rPr>
          <w:lang w:val="es-ES_tradnl"/>
        </w:rPr>
      </w:pPr>
      <w:r w:rsidRPr="0023523B">
        <w:rPr>
          <w:lang w:val="es-ES_tradnl"/>
        </w:rPr>
        <w:t>Las redes de radiocomunicaciones basadas en sistemas inalámbricos de múltiples gigabits (MGWS) pueden utilizarse para aplicaciones de corto alcance y en situaciones de visibilidad directa y de no visibilidad directa. La cobertura y la calidad de funcionamiento de la comunicación varían en función del entorno, pero la calidad de funcionamiento esperada de los sistemas de múltiples gigabits responde a usos con un alcance de unos 10 m y limitado al recinto de una habitación. Estas redes pueden desplegarse con un punto de acceso, como en los despliegues de WLAN existentes, o sin dicha infraestructura, como las WLAN en modo ad hoc y las redes inalámbricas de área personal (WPAN).</w:t>
      </w:r>
    </w:p>
    <w:p w:rsidR="00573030" w:rsidRPr="0023523B" w:rsidRDefault="00573030" w:rsidP="00573030">
      <w:pPr>
        <w:rPr>
          <w:lang w:val="es-ES_tradnl"/>
        </w:rPr>
      </w:pPr>
      <w:r w:rsidRPr="0023523B">
        <w:rPr>
          <w:lang w:val="es-ES_tradnl"/>
        </w:rPr>
        <w:t xml:space="preserve">Cuando se utilizan puntos de acceso, se instalan en interiores con cobertura del hogar o de una oficina con un terminal de usuario </w:t>
      </w:r>
      <w:proofErr w:type="spellStart"/>
      <w:r w:rsidRPr="0023523B">
        <w:rPr>
          <w:lang w:val="es-ES_tradnl"/>
        </w:rPr>
        <w:t>nomádico</w:t>
      </w:r>
      <w:proofErr w:type="spellEnd"/>
      <w:r w:rsidRPr="0023523B">
        <w:rPr>
          <w:lang w:val="es-ES_tradnl"/>
        </w:rPr>
        <w:t xml:space="preserve"> típicamente también en interior, es decir, todo el sistema WLAN se utiliza en un entorno de interior.</w:t>
      </w:r>
    </w:p>
    <w:p w:rsidR="00573030" w:rsidRPr="0023523B" w:rsidRDefault="00573030" w:rsidP="00573030">
      <w:pPr>
        <w:rPr>
          <w:lang w:val="es-ES_tradnl"/>
        </w:rPr>
      </w:pPr>
      <w:r w:rsidRPr="0023523B">
        <w:rPr>
          <w:lang w:val="es-ES_tradnl"/>
        </w:rPr>
        <w:t>Cuando no se utilizan puntos de acceso, los dispositivos MGWS pueden comunicarse mediante enlaces directos para intercambiar datos entre dispositivos/equipos. Las aplicaciones típicas incluyen comunicaciones de equipo a equipo (por ejemplo, de un PC a un proyector) y entre dispositivos de electrónica de consumo y un quiosco</w:t>
      </w:r>
      <w:r w:rsidRPr="0023523B">
        <w:rPr>
          <w:vertAlign w:val="superscript"/>
          <w:lang w:val="es-ES_tradnl"/>
        </w:rPr>
        <w:footnoteReference w:id="1"/>
      </w:r>
      <w:r w:rsidRPr="0023523B">
        <w:rPr>
          <w:lang w:val="es-ES_tradnl"/>
        </w:rPr>
        <w:t>, y puede asumirse que dicho uso será predominantemente en interiores.</w:t>
      </w:r>
    </w:p>
    <w:p w:rsidR="00573030" w:rsidRPr="0023523B" w:rsidRDefault="00573030" w:rsidP="00573030">
      <w:pPr>
        <w:pStyle w:val="Heading1"/>
        <w:rPr>
          <w:lang w:val="es-ES_tradnl"/>
        </w:rPr>
      </w:pPr>
      <w:bookmarkStart w:id="5" w:name="_Toc168904820"/>
      <w:r w:rsidRPr="0023523B">
        <w:rPr>
          <w:lang w:val="es-ES_tradnl"/>
        </w:rPr>
        <w:t>2</w:t>
      </w:r>
      <w:r w:rsidRPr="0023523B">
        <w:rPr>
          <w:lang w:val="es-ES_tradnl"/>
        </w:rPr>
        <w:tab/>
        <w:t>Características técnicas de los MGWS</w:t>
      </w:r>
      <w:bookmarkEnd w:id="5"/>
    </w:p>
    <w:p w:rsidR="00573030" w:rsidRPr="0023523B" w:rsidRDefault="00573030" w:rsidP="00573030">
      <w:pPr>
        <w:pStyle w:val="Heading2"/>
        <w:rPr>
          <w:lang w:val="es-ES_tradnl"/>
        </w:rPr>
      </w:pPr>
      <w:bookmarkStart w:id="6" w:name="_Toc204649046"/>
      <w:bookmarkEnd w:id="6"/>
      <w:r w:rsidRPr="0023523B">
        <w:rPr>
          <w:lang w:val="es-ES_tradnl"/>
        </w:rPr>
        <w:t>2.1</w:t>
      </w:r>
      <w:r w:rsidRPr="0023523B">
        <w:rPr>
          <w:lang w:val="es-ES_tradnl"/>
        </w:rPr>
        <w:tab/>
        <w:t>Espectro</w:t>
      </w:r>
    </w:p>
    <w:p w:rsidR="00573030" w:rsidRPr="0023523B" w:rsidRDefault="00573030" w:rsidP="00573030">
      <w:pPr>
        <w:rPr>
          <w:lang w:val="es-ES_tradnl"/>
        </w:rPr>
      </w:pPr>
      <w:r w:rsidRPr="0023523B">
        <w:rPr>
          <w:lang w:val="es-ES_tradnl"/>
        </w:rPr>
        <w:t>Se necesita un mínimo</w:t>
      </w:r>
      <w:r>
        <w:rPr>
          <w:lang w:val="es-ES_tradnl"/>
        </w:rPr>
        <w:t xml:space="preserve"> de 7 </w:t>
      </w:r>
      <w:r w:rsidRPr="0023523B">
        <w:rPr>
          <w:lang w:val="es-ES_tradnl"/>
        </w:rPr>
        <w:t>GHz de espectr</w:t>
      </w:r>
      <w:r>
        <w:rPr>
          <w:lang w:val="es-ES_tradnl"/>
        </w:rPr>
        <w:t>o continuo en el rango de 57</w:t>
      </w:r>
      <w:r>
        <w:rPr>
          <w:lang w:val="es-ES_tradnl"/>
        </w:rPr>
        <w:noBreakHyphen/>
        <w:t>66 </w:t>
      </w:r>
      <w:r w:rsidRPr="0023523B">
        <w:rPr>
          <w:lang w:val="es-ES_tradnl"/>
        </w:rPr>
        <w:t>GHz para satisfacer los requisitos</w:t>
      </w:r>
      <w:r w:rsidRPr="0023523B">
        <w:rPr>
          <w:position w:val="6"/>
          <w:sz w:val="18"/>
          <w:lang w:val="es-ES_tradnl"/>
        </w:rPr>
        <w:footnoteReference w:id="2"/>
      </w:r>
      <w:r w:rsidRPr="0023523B">
        <w:rPr>
          <w:lang w:val="es-ES_tradnl"/>
        </w:rPr>
        <w:t xml:space="preserve"> de las aplicaciones que se prevén utilizar en ese espectro de frecuencias</w:t>
      </w:r>
      <w:r>
        <w:rPr>
          <w:lang w:val="es-ES_tradnl"/>
        </w:rPr>
        <w:t>, tales como ví</w:t>
      </w:r>
      <w:r w:rsidRPr="0023523B">
        <w:rPr>
          <w:lang w:val="es-ES_tradnl"/>
        </w:rPr>
        <w:t>deo no comprimido (por ejemplo, a través de la interfaz multimedia de alta definición (HDMI) a 3</w:t>
      </w:r>
      <w:r>
        <w:rPr>
          <w:lang w:val="es-ES_tradnl"/>
        </w:rPr>
        <w:t> </w:t>
      </w:r>
      <w:r w:rsidRPr="0023523B">
        <w:rPr>
          <w:lang w:val="es-ES_tradnl"/>
        </w:rPr>
        <w:t>Gbit/s), acoplamiento inalámbrico y carga/descarga de alta velocidad. Ello permitiría disponer de al menos tres canales que ofrecen flexibilidad y una conectividad mejorada. Además, un ancho</w:t>
      </w:r>
      <w:r>
        <w:rPr>
          <w:lang w:val="es-ES_tradnl"/>
        </w:rPr>
        <w:t xml:space="preserve"> de banda de canal de 2 160 </w:t>
      </w:r>
      <w:r w:rsidRPr="0023523B">
        <w:rPr>
          <w:lang w:val="es-ES_tradnl"/>
        </w:rPr>
        <w:t>MHz permite utilizar esquemas de modulación más sencillos para conseguir velocidades de datos de varios Gbit/s, que son adecuadas para dispositivos de baja potencia, como teléfonos inteligentes, tabletas y ordenadores en red de baja capacidad.</w:t>
      </w:r>
    </w:p>
    <w:p w:rsidR="00573030" w:rsidRPr="0023523B" w:rsidRDefault="00573030" w:rsidP="00573030">
      <w:pPr>
        <w:pStyle w:val="Heading2"/>
        <w:rPr>
          <w:lang w:val="es-ES_tradnl"/>
        </w:rPr>
      </w:pPr>
      <w:r w:rsidRPr="0023523B">
        <w:rPr>
          <w:lang w:val="es-ES_tradnl"/>
        </w:rPr>
        <w:lastRenderedPageBreak/>
        <w:t>2.2</w:t>
      </w:r>
      <w:r w:rsidRPr="0023523B">
        <w:rPr>
          <w:lang w:val="es-ES_tradnl"/>
        </w:rPr>
        <w:tab/>
        <w:t xml:space="preserve">Ancho de banda del canal y frecuencias centrales </w:t>
      </w:r>
    </w:p>
    <w:p w:rsidR="00573030" w:rsidRPr="0023523B" w:rsidRDefault="00573030" w:rsidP="00573030">
      <w:pPr>
        <w:rPr>
          <w:szCs w:val="24"/>
          <w:lang w:val="es-ES_tradnl"/>
        </w:rPr>
      </w:pPr>
      <w:r w:rsidRPr="0023523B">
        <w:rPr>
          <w:lang w:val="es-ES_tradnl"/>
        </w:rPr>
        <w:t>Se necesita un ancho de banda del canal de 2 160 MHz. Es importante que todas las normas sobre MGWS utilicen la misma canalización con el fin de promover la coexistencia. Se recomienda que las cuatro frecuencias centrales sean</w:t>
      </w:r>
      <w:r w:rsidRPr="0023523B">
        <w:rPr>
          <w:szCs w:val="24"/>
          <w:lang w:val="es-ES_tradnl"/>
        </w:rPr>
        <w:t xml:space="preserve"> 58,32; 60,48</w:t>
      </w:r>
      <w:r>
        <w:rPr>
          <w:szCs w:val="24"/>
          <w:lang w:val="es-ES_tradnl"/>
        </w:rPr>
        <w:t>; 62,64 y </w:t>
      </w:r>
      <w:r w:rsidRPr="0023523B">
        <w:rPr>
          <w:szCs w:val="24"/>
          <w:lang w:val="es-ES_tradnl"/>
        </w:rPr>
        <w:t>64,</w:t>
      </w:r>
      <w:r>
        <w:rPr>
          <w:szCs w:val="24"/>
          <w:lang w:val="es-ES_tradnl"/>
        </w:rPr>
        <w:t>80 </w:t>
      </w:r>
      <w:r w:rsidRPr="0023523B">
        <w:rPr>
          <w:szCs w:val="24"/>
          <w:lang w:val="es-ES_tradnl"/>
        </w:rPr>
        <w:t>GHz.</w:t>
      </w:r>
    </w:p>
    <w:p w:rsidR="00573030" w:rsidRPr="0023523B" w:rsidRDefault="00573030" w:rsidP="00573030">
      <w:pPr>
        <w:pStyle w:val="Heading2"/>
        <w:rPr>
          <w:lang w:val="es-ES_tradnl"/>
        </w:rPr>
      </w:pPr>
      <w:r w:rsidRPr="0023523B">
        <w:rPr>
          <w:lang w:val="es-ES_tradnl"/>
        </w:rPr>
        <w:t>2.3</w:t>
      </w:r>
      <w:r w:rsidRPr="0023523B">
        <w:rPr>
          <w:lang w:val="es-ES_tradnl"/>
        </w:rPr>
        <w:tab/>
        <w:t>Máscara de transmisión</w:t>
      </w:r>
    </w:p>
    <w:p w:rsidR="00573030" w:rsidRPr="0023523B" w:rsidRDefault="00573030" w:rsidP="00573030">
      <w:pPr>
        <w:rPr>
          <w:lang w:val="es-ES_tradnl"/>
        </w:rPr>
      </w:pPr>
      <w:r w:rsidRPr="0023523B">
        <w:rPr>
          <w:lang w:val="es-ES_tradnl"/>
        </w:rPr>
        <w:t>La máscara siguiente es aplicable al funcionamiento con un único canal.</w:t>
      </w:r>
    </w:p>
    <w:p w:rsidR="00573030" w:rsidRPr="0023523B" w:rsidRDefault="00573030" w:rsidP="00573030">
      <w:pPr>
        <w:pStyle w:val="FigureNo"/>
        <w:rPr>
          <w:lang w:val="es-ES_tradnl"/>
        </w:rPr>
      </w:pPr>
      <w:r w:rsidRPr="0023523B">
        <w:rPr>
          <w:lang w:val="es-ES_tradnl"/>
        </w:rPr>
        <w:t>FigurA 1</w:t>
      </w:r>
    </w:p>
    <w:p w:rsidR="00573030" w:rsidRPr="0023523B" w:rsidRDefault="00573030" w:rsidP="00573030">
      <w:pPr>
        <w:pStyle w:val="Figuretitle"/>
        <w:rPr>
          <w:lang w:val="es-ES_tradnl"/>
        </w:rPr>
      </w:pPr>
      <w:r w:rsidRPr="0023523B">
        <w:rPr>
          <w:lang w:val="es-ES_tradnl"/>
        </w:rPr>
        <w:t xml:space="preserve">Máscara de espectro para el funcionamiento de un único canal </w:t>
      </w:r>
    </w:p>
    <w:p w:rsidR="00573030" w:rsidRPr="0023523B" w:rsidRDefault="00573030" w:rsidP="007A1594">
      <w:pPr>
        <w:pStyle w:val="Figure"/>
        <w:rPr>
          <w:lang w:val="es-ES_tradnl"/>
        </w:rPr>
      </w:pPr>
      <w:r w:rsidRPr="007A1594">
        <w:object w:dxaOrig="7087" w:dyaOrig="1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129.5pt" o:ole="">
            <v:imagedata r:id="rId12" o:title=""/>
          </v:shape>
          <o:OLEObject Type="Embed" ProgID="CorelDraw.Graphic.16" ShapeID="_x0000_i1025" DrawAspect="Content" ObjectID="_1514712067" r:id="rId13"/>
        </w:object>
      </w:r>
    </w:p>
    <w:p w:rsidR="00573030" w:rsidRPr="0023523B" w:rsidRDefault="00573030" w:rsidP="00573030">
      <w:pPr>
        <w:rPr>
          <w:lang w:val="es-ES_tradnl"/>
        </w:rPr>
      </w:pPr>
      <w:r w:rsidRPr="0023523B">
        <w:rPr>
          <w:lang w:val="es-ES_tradnl"/>
        </w:rPr>
        <w:t xml:space="preserve">En la Figura 1 anterior, </w:t>
      </w:r>
      <w:proofErr w:type="spellStart"/>
      <w:r w:rsidRPr="0023523B">
        <w:rPr>
          <w:i/>
          <w:iCs/>
          <w:lang w:val="es-ES_tradnl"/>
        </w:rPr>
        <w:t>f</w:t>
      </w:r>
      <w:r w:rsidRPr="0023523B">
        <w:rPr>
          <w:i/>
          <w:iCs/>
          <w:vertAlign w:val="subscript"/>
          <w:lang w:val="es-ES_tradnl"/>
        </w:rPr>
        <w:t>c</w:t>
      </w:r>
      <w:proofErr w:type="spellEnd"/>
      <w:r w:rsidRPr="0023523B">
        <w:rPr>
          <w:lang w:val="es-ES_tradnl"/>
        </w:rPr>
        <w:t xml:space="preserve"> es la frecuencia central portadora.</w:t>
      </w:r>
    </w:p>
    <w:p w:rsidR="00573030" w:rsidRPr="0023523B" w:rsidRDefault="00573030" w:rsidP="00573030">
      <w:pPr>
        <w:rPr>
          <w:lang w:val="es-ES_tradnl"/>
        </w:rPr>
      </w:pPr>
      <w:r w:rsidRPr="0023523B">
        <w:rPr>
          <w:lang w:val="es-ES_tradnl"/>
        </w:rPr>
        <w:t>La máscara siguiente (Figura 2 y Cuadro 1) es aplicable cuando se utiliza una agrupación de canales con más de un canal contiguo.</w:t>
      </w:r>
    </w:p>
    <w:p w:rsidR="00573030" w:rsidRPr="0023523B" w:rsidRDefault="00573030" w:rsidP="00573030">
      <w:pPr>
        <w:pStyle w:val="FigureNo"/>
        <w:rPr>
          <w:lang w:val="es-ES_tradnl"/>
        </w:rPr>
      </w:pPr>
      <w:r w:rsidRPr="0023523B">
        <w:rPr>
          <w:lang w:val="es-ES_tradnl"/>
        </w:rPr>
        <w:t xml:space="preserve">FigurA 2 </w:t>
      </w:r>
    </w:p>
    <w:p w:rsidR="00573030" w:rsidRPr="0023523B" w:rsidRDefault="00573030" w:rsidP="00573030">
      <w:pPr>
        <w:pStyle w:val="Figuretitle"/>
        <w:rPr>
          <w:lang w:val="es-ES_tradnl"/>
        </w:rPr>
      </w:pPr>
      <w:r w:rsidRPr="0023523B">
        <w:rPr>
          <w:lang w:val="es-ES_tradnl"/>
        </w:rPr>
        <w:t xml:space="preserve">Máscara de espectro para más de un canal contiguo en una agrupación de canales </w:t>
      </w:r>
    </w:p>
    <w:p w:rsidR="00573030" w:rsidRPr="0023523B" w:rsidRDefault="00573030" w:rsidP="004954ED">
      <w:pPr>
        <w:pStyle w:val="Figure"/>
        <w:rPr>
          <w:lang w:val="es-ES_tradnl"/>
        </w:rPr>
      </w:pPr>
      <w:r w:rsidRPr="0023523B">
        <w:rPr>
          <w:lang w:val="es-ES_tradnl" w:eastAsia="zh-CN"/>
        </w:rPr>
        <w:object w:dxaOrig="12507" w:dyaOrig="5089">
          <v:shape id="_x0000_i1026" type="#_x0000_t75" style="width:468pt;height:188pt" o:ole="">
            <v:imagedata r:id="rId14" o:title=""/>
          </v:shape>
          <o:OLEObject Type="Embed" ProgID="CorelDRAW.Graphic.14" ShapeID="_x0000_i1026" DrawAspect="Content" ObjectID="_1514712068" r:id="rId15"/>
        </w:object>
      </w:r>
    </w:p>
    <w:p w:rsidR="004954ED" w:rsidRDefault="004954ED" w:rsidP="00573030">
      <w:pPr>
        <w:pStyle w:val="TableNo"/>
        <w:rPr>
          <w:lang w:val="es-ES_tradnl"/>
        </w:rPr>
      </w:pPr>
      <w:r>
        <w:rPr>
          <w:lang w:val="es-ES_tradnl"/>
        </w:rPr>
        <w:br w:type="page"/>
      </w:r>
    </w:p>
    <w:p w:rsidR="00573030" w:rsidRPr="0023523B" w:rsidRDefault="00573030" w:rsidP="00573030">
      <w:pPr>
        <w:pStyle w:val="TableNo"/>
        <w:rPr>
          <w:lang w:val="es-ES_tradnl"/>
        </w:rPr>
      </w:pPr>
      <w:r w:rsidRPr="0023523B">
        <w:rPr>
          <w:lang w:val="es-ES_tradnl"/>
        </w:rPr>
        <w:lastRenderedPageBreak/>
        <w:t>CUADRO 1</w:t>
      </w:r>
    </w:p>
    <w:p w:rsidR="00573030" w:rsidRPr="0023523B" w:rsidRDefault="00573030" w:rsidP="00573030">
      <w:pPr>
        <w:pStyle w:val="Tabletitle"/>
        <w:rPr>
          <w:lang w:val="es-ES_tradnl"/>
        </w:rPr>
      </w:pPr>
      <w:r w:rsidRPr="0023523B">
        <w:rPr>
          <w:lang w:val="es-ES_tradnl"/>
        </w:rPr>
        <w:t xml:space="preserve">Parámetros de la máscara espectral de transmisión </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21"/>
        <w:gridCol w:w="1146"/>
        <w:gridCol w:w="1146"/>
        <w:gridCol w:w="1146"/>
        <w:gridCol w:w="1146"/>
      </w:tblGrid>
      <w:tr w:rsidR="00573030" w:rsidRPr="0023523B" w:rsidTr="00F74E07">
        <w:trPr>
          <w:jc w:val="center"/>
        </w:trPr>
        <w:tc>
          <w:tcPr>
            <w:tcW w:w="3921" w:type="dxa"/>
          </w:tcPr>
          <w:p w:rsidR="00573030" w:rsidRPr="0023523B" w:rsidRDefault="00573030" w:rsidP="00F74E07">
            <w:pPr>
              <w:pStyle w:val="Tablehead"/>
              <w:rPr>
                <w:lang w:val="es-ES_tradnl"/>
              </w:rPr>
            </w:pPr>
            <w:r w:rsidRPr="0023523B">
              <w:rPr>
                <w:lang w:val="es-ES_tradnl"/>
              </w:rPr>
              <w:t>Agrupación de canales</w:t>
            </w:r>
          </w:p>
        </w:tc>
        <w:tc>
          <w:tcPr>
            <w:tcW w:w="1146" w:type="dxa"/>
          </w:tcPr>
          <w:p w:rsidR="00573030" w:rsidRPr="0023523B" w:rsidRDefault="00573030" w:rsidP="00F74E07">
            <w:pPr>
              <w:pStyle w:val="Tablehead"/>
              <w:rPr>
                <w:lang w:val="es-ES_tradnl"/>
              </w:rPr>
            </w:pPr>
            <w:r w:rsidRPr="0023523B">
              <w:rPr>
                <w:i/>
                <w:lang w:val="es-ES_tradnl"/>
              </w:rPr>
              <w:t>f</w:t>
            </w:r>
            <w:r w:rsidRPr="0023523B">
              <w:rPr>
                <w:vertAlign w:val="subscript"/>
                <w:lang w:val="es-ES_tradnl"/>
              </w:rPr>
              <w:t>1</w:t>
            </w:r>
            <w:r w:rsidRPr="0023523B">
              <w:rPr>
                <w:lang w:val="es-ES_tradnl"/>
              </w:rPr>
              <w:t xml:space="preserve"> (GHz)</w:t>
            </w:r>
          </w:p>
        </w:tc>
        <w:tc>
          <w:tcPr>
            <w:tcW w:w="1146" w:type="dxa"/>
          </w:tcPr>
          <w:p w:rsidR="00573030" w:rsidRPr="0023523B" w:rsidRDefault="00573030" w:rsidP="00F74E07">
            <w:pPr>
              <w:pStyle w:val="Tablehead"/>
              <w:rPr>
                <w:lang w:val="es-ES_tradnl"/>
              </w:rPr>
            </w:pPr>
            <w:r w:rsidRPr="0023523B">
              <w:rPr>
                <w:i/>
                <w:lang w:val="es-ES_tradnl"/>
              </w:rPr>
              <w:t>f</w:t>
            </w:r>
            <w:r w:rsidRPr="0023523B">
              <w:rPr>
                <w:vertAlign w:val="subscript"/>
                <w:lang w:val="es-ES_tradnl"/>
              </w:rPr>
              <w:t>2</w:t>
            </w:r>
            <w:r w:rsidRPr="0023523B">
              <w:rPr>
                <w:lang w:val="es-ES_tradnl"/>
              </w:rPr>
              <w:t xml:space="preserve"> (GHz)</w:t>
            </w:r>
          </w:p>
        </w:tc>
        <w:tc>
          <w:tcPr>
            <w:tcW w:w="1146" w:type="dxa"/>
          </w:tcPr>
          <w:p w:rsidR="00573030" w:rsidRPr="0023523B" w:rsidRDefault="00573030" w:rsidP="00F74E07">
            <w:pPr>
              <w:pStyle w:val="Tablehead"/>
              <w:rPr>
                <w:lang w:val="es-ES_tradnl"/>
              </w:rPr>
            </w:pPr>
            <w:r w:rsidRPr="0023523B">
              <w:rPr>
                <w:i/>
                <w:lang w:val="es-ES_tradnl"/>
              </w:rPr>
              <w:t>f</w:t>
            </w:r>
            <w:r w:rsidRPr="0023523B">
              <w:rPr>
                <w:vertAlign w:val="subscript"/>
                <w:lang w:val="es-ES_tradnl"/>
              </w:rPr>
              <w:t>3</w:t>
            </w:r>
            <w:r w:rsidRPr="0023523B">
              <w:rPr>
                <w:lang w:val="es-ES_tradnl"/>
              </w:rPr>
              <w:t xml:space="preserve"> (GHz)</w:t>
            </w:r>
          </w:p>
        </w:tc>
        <w:tc>
          <w:tcPr>
            <w:tcW w:w="1146" w:type="dxa"/>
          </w:tcPr>
          <w:p w:rsidR="00573030" w:rsidRPr="0023523B" w:rsidRDefault="00573030" w:rsidP="00F74E07">
            <w:pPr>
              <w:pStyle w:val="Tablehead"/>
              <w:rPr>
                <w:lang w:val="es-ES_tradnl"/>
              </w:rPr>
            </w:pPr>
            <w:r w:rsidRPr="0023523B">
              <w:rPr>
                <w:i/>
                <w:lang w:val="es-ES_tradnl"/>
              </w:rPr>
              <w:t>f</w:t>
            </w:r>
            <w:r w:rsidRPr="0023523B">
              <w:rPr>
                <w:vertAlign w:val="subscript"/>
                <w:lang w:val="es-ES_tradnl"/>
              </w:rPr>
              <w:t>4</w:t>
            </w:r>
            <w:r w:rsidRPr="0023523B">
              <w:rPr>
                <w:lang w:val="es-ES_tradnl"/>
              </w:rPr>
              <w:t xml:space="preserve"> (GHz)</w:t>
            </w:r>
          </w:p>
        </w:tc>
      </w:tr>
      <w:tr w:rsidR="00573030" w:rsidRPr="0023523B" w:rsidTr="00F74E07">
        <w:trPr>
          <w:jc w:val="center"/>
        </w:trPr>
        <w:tc>
          <w:tcPr>
            <w:tcW w:w="3921" w:type="dxa"/>
          </w:tcPr>
          <w:p w:rsidR="00573030" w:rsidRPr="0023523B" w:rsidRDefault="00573030" w:rsidP="00F74E07">
            <w:pPr>
              <w:pStyle w:val="Tabletext"/>
              <w:rPr>
                <w:lang w:val="es-ES_tradnl"/>
              </w:rPr>
            </w:pPr>
            <w:r w:rsidRPr="0023523B">
              <w:rPr>
                <w:lang w:val="es-ES_tradnl"/>
              </w:rPr>
              <w:t xml:space="preserve">Transmisión de dos canales agrupados </w:t>
            </w:r>
          </w:p>
        </w:tc>
        <w:tc>
          <w:tcPr>
            <w:tcW w:w="1146" w:type="dxa"/>
          </w:tcPr>
          <w:p w:rsidR="00573030" w:rsidRPr="0023523B" w:rsidRDefault="00573030" w:rsidP="00F74E07">
            <w:pPr>
              <w:pStyle w:val="Tabletext"/>
              <w:jc w:val="center"/>
              <w:rPr>
                <w:lang w:val="es-ES_tradnl"/>
              </w:rPr>
            </w:pPr>
            <w:r w:rsidRPr="0023523B">
              <w:rPr>
                <w:lang w:val="es-ES_tradnl"/>
              </w:rPr>
              <w:t>2,100</w:t>
            </w:r>
          </w:p>
        </w:tc>
        <w:tc>
          <w:tcPr>
            <w:tcW w:w="1146" w:type="dxa"/>
          </w:tcPr>
          <w:p w:rsidR="00573030" w:rsidRPr="0023523B" w:rsidRDefault="00573030" w:rsidP="00F74E07">
            <w:pPr>
              <w:pStyle w:val="Tabletext"/>
              <w:jc w:val="center"/>
              <w:rPr>
                <w:lang w:val="es-ES_tradnl"/>
              </w:rPr>
            </w:pPr>
            <w:r w:rsidRPr="0023523B">
              <w:rPr>
                <w:lang w:val="es-ES_tradnl"/>
              </w:rPr>
              <w:t>2,160</w:t>
            </w:r>
          </w:p>
        </w:tc>
        <w:tc>
          <w:tcPr>
            <w:tcW w:w="1146" w:type="dxa"/>
          </w:tcPr>
          <w:p w:rsidR="00573030" w:rsidRPr="0023523B" w:rsidRDefault="00573030" w:rsidP="00F74E07">
            <w:pPr>
              <w:pStyle w:val="Tabletext"/>
              <w:jc w:val="center"/>
              <w:rPr>
                <w:lang w:val="es-ES_tradnl"/>
              </w:rPr>
            </w:pPr>
            <w:r w:rsidRPr="0023523B">
              <w:rPr>
                <w:lang w:val="es-ES_tradnl"/>
              </w:rPr>
              <w:t>3,000</w:t>
            </w:r>
          </w:p>
        </w:tc>
        <w:tc>
          <w:tcPr>
            <w:tcW w:w="1146" w:type="dxa"/>
          </w:tcPr>
          <w:p w:rsidR="00573030" w:rsidRPr="0023523B" w:rsidRDefault="00573030" w:rsidP="00F74E07">
            <w:pPr>
              <w:pStyle w:val="Tabletext"/>
              <w:jc w:val="center"/>
              <w:rPr>
                <w:lang w:val="es-ES_tradnl"/>
              </w:rPr>
            </w:pPr>
            <w:r w:rsidRPr="0023523B">
              <w:rPr>
                <w:lang w:val="es-ES_tradnl"/>
              </w:rPr>
              <w:t>4,000</w:t>
            </w:r>
          </w:p>
        </w:tc>
      </w:tr>
      <w:tr w:rsidR="00573030" w:rsidRPr="0023523B" w:rsidTr="00F74E07">
        <w:trPr>
          <w:jc w:val="center"/>
        </w:trPr>
        <w:tc>
          <w:tcPr>
            <w:tcW w:w="3921" w:type="dxa"/>
          </w:tcPr>
          <w:p w:rsidR="00573030" w:rsidRPr="0023523B" w:rsidRDefault="00573030" w:rsidP="00F74E07">
            <w:pPr>
              <w:pStyle w:val="Tabletext"/>
              <w:rPr>
                <w:lang w:val="es-ES_tradnl"/>
              </w:rPr>
            </w:pPr>
            <w:r w:rsidRPr="0023523B">
              <w:rPr>
                <w:lang w:val="es-ES_tradnl"/>
              </w:rPr>
              <w:t>Transmisión de tres canales agrupados</w:t>
            </w:r>
          </w:p>
        </w:tc>
        <w:tc>
          <w:tcPr>
            <w:tcW w:w="1146" w:type="dxa"/>
          </w:tcPr>
          <w:p w:rsidR="00573030" w:rsidRPr="0023523B" w:rsidRDefault="00573030" w:rsidP="00F74E07">
            <w:pPr>
              <w:pStyle w:val="Tabletext"/>
              <w:jc w:val="center"/>
              <w:rPr>
                <w:lang w:val="es-ES_tradnl"/>
              </w:rPr>
            </w:pPr>
            <w:r w:rsidRPr="0023523B">
              <w:rPr>
                <w:lang w:val="es-ES_tradnl"/>
              </w:rPr>
              <w:t>3,150</w:t>
            </w:r>
          </w:p>
        </w:tc>
        <w:tc>
          <w:tcPr>
            <w:tcW w:w="1146" w:type="dxa"/>
          </w:tcPr>
          <w:p w:rsidR="00573030" w:rsidRPr="0023523B" w:rsidRDefault="00573030" w:rsidP="00F74E07">
            <w:pPr>
              <w:pStyle w:val="Tabletext"/>
              <w:jc w:val="center"/>
              <w:rPr>
                <w:lang w:val="es-ES_tradnl"/>
              </w:rPr>
            </w:pPr>
            <w:r w:rsidRPr="0023523B">
              <w:rPr>
                <w:lang w:val="es-ES_tradnl"/>
              </w:rPr>
              <w:t>32,40</w:t>
            </w:r>
          </w:p>
        </w:tc>
        <w:tc>
          <w:tcPr>
            <w:tcW w:w="1146" w:type="dxa"/>
          </w:tcPr>
          <w:p w:rsidR="00573030" w:rsidRPr="0023523B" w:rsidRDefault="00573030" w:rsidP="00F74E07">
            <w:pPr>
              <w:pStyle w:val="Tabletext"/>
              <w:jc w:val="center"/>
              <w:rPr>
                <w:lang w:val="es-ES_tradnl"/>
              </w:rPr>
            </w:pPr>
            <w:r w:rsidRPr="0023523B">
              <w:rPr>
                <w:lang w:val="es-ES_tradnl"/>
              </w:rPr>
              <w:t>4,500</w:t>
            </w:r>
          </w:p>
        </w:tc>
        <w:tc>
          <w:tcPr>
            <w:tcW w:w="1146" w:type="dxa"/>
          </w:tcPr>
          <w:p w:rsidR="00573030" w:rsidRPr="0023523B" w:rsidRDefault="00573030" w:rsidP="00F74E07">
            <w:pPr>
              <w:pStyle w:val="Tabletext"/>
              <w:jc w:val="center"/>
              <w:rPr>
                <w:lang w:val="es-ES_tradnl"/>
              </w:rPr>
            </w:pPr>
            <w:r w:rsidRPr="0023523B">
              <w:rPr>
                <w:lang w:val="es-ES_tradnl"/>
              </w:rPr>
              <w:t>6,000</w:t>
            </w:r>
          </w:p>
        </w:tc>
      </w:tr>
      <w:tr w:rsidR="00573030" w:rsidRPr="0023523B" w:rsidTr="00F74E07">
        <w:trPr>
          <w:jc w:val="center"/>
        </w:trPr>
        <w:tc>
          <w:tcPr>
            <w:tcW w:w="3921" w:type="dxa"/>
          </w:tcPr>
          <w:p w:rsidR="00573030" w:rsidRPr="0023523B" w:rsidRDefault="00573030" w:rsidP="00F74E07">
            <w:pPr>
              <w:pStyle w:val="Tabletext"/>
              <w:rPr>
                <w:lang w:val="es-ES_tradnl"/>
              </w:rPr>
            </w:pPr>
            <w:r w:rsidRPr="0023523B">
              <w:rPr>
                <w:lang w:val="es-ES_tradnl"/>
              </w:rPr>
              <w:t>Transmisión de cuatro canales agrupados</w:t>
            </w:r>
          </w:p>
        </w:tc>
        <w:tc>
          <w:tcPr>
            <w:tcW w:w="1146" w:type="dxa"/>
          </w:tcPr>
          <w:p w:rsidR="00573030" w:rsidRPr="0023523B" w:rsidRDefault="00573030" w:rsidP="00F74E07">
            <w:pPr>
              <w:pStyle w:val="Tabletext"/>
              <w:jc w:val="center"/>
              <w:rPr>
                <w:lang w:val="es-ES_tradnl"/>
              </w:rPr>
            </w:pPr>
            <w:r w:rsidRPr="0023523B">
              <w:rPr>
                <w:lang w:val="es-ES_tradnl"/>
              </w:rPr>
              <w:t>4,200</w:t>
            </w:r>
          </w:p>
        </w:tc>
        <w:tc>
          <w:tcPr>
            <w:tcW w:w="1146" w:type="dxa"/>
          </w:tcPr>
          <w:p w:rsidR="00573030" w:rsidRPr="0023523B" w:rsidRDefault="00573030" w:rsidP="00F74E07">
            <w:pPr>
              <w:pStyle w:val="Tabletext"/>
              <w:jc w:val="center"/>
              <w:rPr>
                <w:lang w:val="es-ES_tradnl"/>
              </w:rPr>
            </w:pPr>
            <w:r w:rsidRPr="0023523B">
              <w:rPr>
                <w:lang w:val="es-ES_tradnl"/>
              </w:rPr>
              <w:t>4,320</w:t>
            </w:r>
          </w:p>
        </w:tc>
        <w:tc>
          <w:tcPr>
            <w:tcW w:w="1146" w:type="dxa"/>
          </w:tcPr>
          <w:p w:rsidR="00573030" w:rsidRPr="0023523B" w:rsidRDefault="00573030" w:rsidP="00F74E07">
            <w:pPr>
              <w:pStyle w:val="Tabletext"/>
              <w:jc w:val="center"/>
              <w:rPr>
                <w:lang w:val="es-ES_tradnl"/>
              </w:rPr>
            </w:pPr>
            <w:r w:rsidRPr="0023523B">
              <w:rPr>
                <w:lang w:val="es-ES_tradnl"/>
              </w:rPr>
              <w:t>6,000</w:t>
            </w:r>
          </w:p>
        </w:tc>
        <w:tc>
          <w:tcPr>
            <w:tcW w:w="1146" w:type="dxa"/>
          </w:tcPr>
          <w:p w:rsidR="00573030" w:rsidRPr="0023523B" w:rsidRDefault="00573030" w:rsidP="00F74E07">
            <w:pPr>
              <w:pStyle w:val="Tabletext"/>
              <w:jc w:val="center"/>
              <w:rPr>
                <w:lang w:val="es-ES_tradnl"/>
              </w:rPr>
            </w:pPr>
            <w:r w:rsidRPr="0023523B">
              <w:rPr>
                <w:lang w:val="es-ES_tradnl"/>
              </w:rPr>
              <w:t>8,000</w:t>
            </w:r>
          </w:p>
        </w:tc>
      </w:tr>
    </w:tbl>
    <w:p w:rsidR="00573030" w:rsidRPr="0023523B" w:rsidRDefault="00573030" w:rsidP="004954ED">
      <w:pPr>
        <w:pStyle w:val="Tablefin"/>
      </w:pPr>
    </w:p>
    <w:p w:rsidR="00573030" w:rsidRPr="0023523B" w:rsidRDefault="00573030" w:rsidP="00573030">
      <w:pPr>
        <w:pStyle w:val="Heading2"/>
        <w:rPr>
          <w:lang w:val="es-ES_tradnl"/>
        </w:rPr>
      </w:pPr>
      <w:r w:rsidRPr="0023523B">
        <w:rPr>
          <w:lang w:val="es-ES_tradnl"/>
        </w:rPr>
        <w:t>2.4</w:t>
      </w:r>
      <w:r w:rsidRPr="0023523B">
        <w:rPr>
          <w:lang w:val="es-ES_tradnl"/>
        </w:rPr>
        <w:tab/>
        <w:t>Características comunes</w:t>
      </w:r>
    </w:p>
    <w:p w:rsidR="00573030" w:rsidRPr="0023523B" w:rsidRDefault="00573030" w:rsidP="00573030">
      <w:pPr>
        <w:pStyle w:val="Heading3"/>
        <w:rPr>
          <w:lang w:val="es-ES_tradnl"/>
        </w:rPr>
      </w:pPr>
      <w:bookmarkStart w:id="7" w:name="_Toc201721895"/>
      <w:bookmarkStart w:id="8" w:name="_Toc206227629"/>
      <w:bookmarkStart w:id="9" w:name="_Toc206415576"/>
      <w:bookmarkStart w:id="10" w:name="_Toc206418383"/>
      <w:bookmarkStart w:id="11" w:name="_Toc207099138"/>
      <w:bookmarkStart w:id="12" w:name="_Toc207099743"/>
      <w:bookmarkStart w:id="13" w:name="_Toc207100662"/>
      <w:bookmarkStart w:id="14" w:name="_Toc207348584"/>
      <w:bookmarkStart w:id="15" w:name="_Toc215582940"/>
      <w:bookmarkStart w:id="16" w:name="_Toc235400633"/>
      <w:bookmarkStart w:id="17" w:name="_Toc255750496"/>
      <w:r w:rsidRPr="0023523B">
        <w:rPr>
          <w:lang w:val="es-ES_tradnl"/>
        </w:rPr>
        <w:t>2.4.1</w:t>
      </w:r>
      <w:r w:rsidRPr="0023523B">
        <w:rPr>
          <w:lang w:val="es-ES_tradnl"/>
        </w:rPr>
        <w:tab/>
        <w:t>Rango de la temperatura de funcionamiento de transmisión y recepción</w:t>
      </w:r>
      <w:bookmarkEnd w:id="7"/>
      <w:bookmarkEnd w:id="8"/>
      <w:bookmarkEnd w:id="9"/>
      <w:bookmarkEnd w:id="10"/>
      <w:bookmarkEnd w:id="11"/>
      <w:bookmarkEnd w:id="12"/>
      <w:bookmarkEnd w:id="13"/>
      <w:bookmarkEnd w:id="14"/>
      <w:bookmarkEnd w:id="15"/>
      <w:bookmarkEnd w:id="16"/>
      <w:bookmarkEnd w:id="17"/>
    </w:p>
    <w:p w:rsidR="00573030" w:rsidRPr="0023523B" w:rsidRDefault="00573030" w:rsidP="00573030">
      <w:pPr>
        <w:rPr>
          <w:lang w:val="es-ES_tradnl"/>
        </w:rPr>
      </w:pPr>
      <w:r w:rsidRPr="0023523B">
        <w:rPr>
          <w:lang w:val="es-ES_tradnl"/>
        </w:rPr>
        <w:t xml:space="preserve">El rango de temperaturas de funcionamiento es conforme con IEEE </w:t>
      </w:r>
      <w:proofErr w:type="spellStart"/>
      <w:r w:rsidRPr="0023523B">
        <w:rPr>
          <w:lang w:val="es-ES_tradnl"/>
        </w:rPr>
        <w:t>Std</w:t>
      </w:r>
      <w:proofErr w:type="spellEnd"/>
      <w:r w:rsidRPr="0023523B">
        <w:rPr>
          <w:lang w:val="es-ES_tradnl"/>
        </w:rPr>
        <w:t xml:space="preserve"> 802.11-2012.</w:t>
      </w:r>
    </w:p>
    <w:p w:rsidR="00573030" w:rsidRPr="0023523B" w:rsidRDefault="00573030" w:rsidP="00573030">
      <w:pPr>
        <w:pStyle w:val="Heading3"/>
        <w:rPr>
          <w:lang w:val="es-ES_tradnl"/>
        </w:rPr>
      </w:pPr>
      <w:bookmarkStart w:id="18" w:name="_Toc201721896"/>
      <w:bookmarkStart w:id="19" w:name="_Toc206227630"/>
      <w:bookmarkStart w:id="20" w:name="_Toc206415577"/>
      <w:bookmarkStart w:id="21" w:name="_Toc206418384"/>
      <w:bookmarkStart w:id="22" w:name="_Toc207099139"/>
      <w:bookmarkStart w:id="23" w:name="_Toc207099744"/>
      <w:bookmarkStart w:id="24" w:name="_Toc207100663"/>
      <w:bookmarkStart w:id="25" w:name="_Toc207348585"/>
      <w:bookmarkStart w:id="26" w:name="_Toc215582941"/>
      <w:bookmarkStart w:id="27" w:name="_Toc235400634"/>
      <w:bookmarkStart w:id="28" w:name="_Toc255750497"/>
      <w:r w:rsidRPr="0023523B">
        <w:rPr>
          <w:lang w:val="es-ES_tradnl"/>
        </w:rPr>
        <w:t>2.4.2</w:t>
      </w:r>
      <w:r w:rsidRPr="0023523B">
        <w:rPr>
          <w:lang w:val="es-ES_tradnl"/>
        </w:rPr>
        <w:tab/>
        <w:t xml:space="preserve">Tolerancia de la frecuencia central </w:t>
      </w:r>
      <w:bookmarkEnd w:id="18"/>
      <w:bookmarkEnd w:id="19"/>
      <w:bookmarkEnd w:id="20"/>
      <w:bookmarkEnd w:id="21"/>
      <w:bookmarkEnd w:id="22"/>
      <w:bookmarkEnd w:id="23"/>
      <w:bookmarkEnd w:id="24"/>
      <w:bookmarkEnd w:id="25"/>
      <w:bookmarkEnd w:id="26"/>
      <w:bookmarkEnd w:id="27"/>
      <w:bookmarkEnd w:id="28"/>
    </w:p>
    <w:p w:rsidR="00573030" w:rsidRPr="0023523B" w:rsidRDefault="00573030" w:rsidP="00573030">
      <w:pPr>
        <w:rPr>
          <w:lang w:val="es-ES_tradnl"/>
        </w:rPr>
      </w:pPr>
      <w:r w:rsidRPr="0023523B">
        <w:rPr>
          <w:lang w:val="es-ES_tradnl"/>
        </w:rPr>
        <w:t>La tolerancia de la frecuencia central del transmisor debe ser como máximo de ±20 ppm en la banda de 60 GHz.</w:t>
      </w:r>
    </w:p>
    <w:p w:rsidR="00573030" w:rsidRPr="0023523B" w:rsidRDefault="00573030" w:rsidP="00573030">
      <w:pPr>
        <w:pStyle w:val="Heading3"/>
        <w:rPr>
          <w:lang w:val="es-ES_tradnl"/>
        </w:rPr>
      </w:pPr>
      <w:bookmarkStart w:id="29" w:name="_Toc201721897"/>
      <w:bookmarkStart w:id="30" w:name="_Toc206227631"/>
      <w:bookmarkStart w:id="31" w:name="_Toc206415578"/>
      <w:bookmarkStart w:id="32" w:name="_Toc206418385"/>
      <w:bookmarkStart w:id="33" w:name="_Toc207099140"/>
      <w:bookmarkStart w:id="34" w:name="_Toc207099745"/>
      <w:bookmarkStart w:id="35" w:name="_Toc207100664"/>
      <w:bookmarkStart w:id="36" w:name="_Toc207348586"/>
      <w:bookmarkStart w:id="37" w:name="_Toc215582942"/>
      <w:bookmarkStart w:id="38" w:name="_Toc235400635"/>
      <w:bookmarkStart w:id="39" w:name="_Toc255750498"/>
      <w:r w:rsidRPr="0023523B">
        <w:rPr>
          <w:lang w:val="es-ES_tradnl"/>
        </w:rPr>
        <w:t>2.4.3</w:t>
      </w:r>
      <w:r w:rsidRPr="0023523B">
        <w:rPr>
          <w:lang w:val="es-ES_tradnl"/>
        </w:rPr>
        <w:tab/>
        <w:t>Tolerancia del reloj de símbolos</w:t>
      </w:r>
      <w:bookmarkEnd w:id="29"/>
      <w:bookmarkEnd w:id="30"/>
      <w:bookmarkEnd w:id="31"/>
      <w:bookmarkEnd w:id="32"/>
      <w:bookmarkEnd w:id="33"/>
      <w:bookmarkEnd w:id="34"/>
      <w:bookmarkEnd w:id="35"/>
      <w:bookmarkEnd w:id="36"/>
      <w:bookmarkEnd w:id="37"/>
      <w:bookmarkEnd w:id="38"/>
      <w:bookmarkEnd w:id="39"/>
    </w:p>
    <w:p w:rsidR="00573030" w:rsidRPr="0023523B" w:rsidRDefault="00573030" w:rsidP="00573030">
      <w:pPr>
        <w:rPr>
          <w:lang w:val="es-ES_tradnl"/>
        </w:rPr>
      </w:pPr>
      <w:r w:rsidRPr="0023523B">
        <w:rPr>
          <w:lang w:val="es-ES_tradnl"/>
        </w:rPr>
        <w:t>La tolerancia de la frecuencia del reloj de símbolos debe ser como máximo de ±20 ppm para la banda de 60 GHz. La frecuencia central del transmisor y la frecuencia del reloj de símbolos se obtienen del mismo oscilador de referencia.</w:t>
      </w:r>
    </w:p>
    <w:p w:rsidR="00573030" w:rsidRPr="0023523B" w:rsidRDefault="00573030" w:rsidP="00573030">
      <w:pPr>
        <w:pStyle w:val="Heading3"/>
        <w:rPr>
          <w:lang w:val="es-ES_tradnl"/>
        </w:rPr>
      </w:pPr>
      <w:bookmarkStart w:id="40" w:name="_Toc201721898"/>
      <w:bookmarkStart w:id="41" w:name="_Toc206227632"/>
      <w:bookmarkStart w:id="42" w:name="_Toc206415579"/>
      <w:bookmarkStart w:id="43" w:name="_Toc206418386"/>
      <w:bookmarkStart w:id="44" w:name="_Toc207099141"/>
      <w:bookmarkStart w:id="45" w:name="_Toc207099746"/>
      <w:bookmarkStart w:id="46" w:name="_Toc207100665"/>
      <w:bookmarkStart w:id="47" w:name="_Toc207348587"/>
      <w:bookmarkStart w:id="48" w:name="_Toc215582943"/>
      <w:bookmarkStart w:id="49" w:name="_Toc235400636"/>
      <w:bookmarkStart w:id="50" w:name="_Toc255750499"/>
      <w:r w:rsidRPr="0023523B">
        <w:rPr>
          <w:lang w:val="es-ES_tradnl"/>
        </w:rPr>
        <w:t>2.4.4</w:t>
      </w:r>
      <w:r w:rsidRPr="0023523B">
        <w:rPr>
          <w:lang w:val="es-ES_tradnl"/>
        </w:rPr>
        <w:tab/>
        <w:t xml:space="preserve">Pérdida a la frecuencia central de transmisión </w:t>
      </w:r>
      <w:bookmarkEnd w:id="40"/>
      <w:bookmarkEnd w:id="41"/>
      <w:bookmarkEnd w:id="42"/>
      <w:bookmarkEnd w:id="43"/>
      <w:bookmarkEnd w:id="44"/>
      <w:bookmarkEnd w:id="45"/>
      <w:bookmarkEnd w:id="46"/>
      <w:bookmarkEnd w:id="47"/>
      <w:bookmarkEnd w:id="48"/>
      <w:bookmarkEnd w:id="49"/>
      <w:bookmarkEnd w:id="50"/>
    </w:p>
    <w:p w:rsidR="00573030" w:rsidRPr="0023523B" w:rsidRDefault="00573030" w:rsidP="00573030">
      <w:pPr>
        <w:rPr>
          <w:lang w:val="es-ES_tradnl"/>
        </w:rPr>
      </w:pPr>
      <w:r w:rsidRPr="0023523B">
        <w:rPr>
          <w:lang w:val="es-ES_tradnl"/>
        </w:rPr>
        <w:t xml:space="preserve">La pérdida a la frecuencia central del transmisor no debe superar –23 dB en relación con la potencia transmitida total o, de forma equivalente, 2,5 dB en relación con la energía media del resto de las </w:t>
      </w:r>
      <w:proofErr w:type="spellStart"/>
      <w:r w:rsidRPr="0023523B">
        <w:rPr>
          <w:lang w:val="es-ES_tradnl"/>
        </w:rPr>
        <w:t>subportadoras</w:t>
      </w:r>
      <w:proofErr w:type="spellEnd"/>
      <w:r w:rsidRPr="0023523B">
        <w:rPr>
          <w:lang w:val="es-ES_tradnl"/>
        </w:rPr>
        <w:t xml:space="preserve"> (en caso de </w:t>
      </w:r>
      <w:proofErr w:type="spellStart"/>
      <w:r w:rsidRPr="0023523B">
        <w:rPr>
          <w:lang w:val="es-ES_tradnl"/>
        </w:rPr>
        <w:t>multiplexación</w:t>
      </w:r>
      <w:proofErr w:type="spellEnd"/>
      <w:r w:rsidRPr="0023523B">
        <w:rPr>
          <w:lang w:val="es-ES_tradnl"/>
        </w:rPr>
        <w:t xml:space="preserve"> por división de frecuencias ortogonales, OFDM).</w:t>
      </w:r>
    </w:p>
    <w:p w:rsidR="00573030" w:rsidRPr="0023523B" w:rsidRDefault="00573030" w:rsidP="00573030">
      <w:pPr>
        <w:pStyle w:val="Heading3"/>
        <w:rPr>
          <w:lang w:val="es-ES_tradnl"/>
        </w:rPr>
      </w:pPr>
      <w:bookmarkStart w:id="51" w:name="_Toc201721899"/>
      <w:bookmarkStart w:id="52" w:name="_Toc206227633"/>
      <w:bookmarkStart w:id="53" w:name="_Toc206415580"/>
      <w:bookmarkStart w:id="54" w:name="_Toc206418387"/>
      <w:bookmarkStart w:id="55" w:name="_Toc207099142"/>
      <w:bookmarkStart w:id="56" w:name="_Toc207099747"/>
      <w:bookmarkStart w:id="57" w:name="_Toc207100666"/>
      <w:bookmarkStart w:id="58" w:name="_Toc207348588"/>
      <w:bookmarkStart w:id="59" w:name="_Toc215582944"/>
      <w:bookmarkStart w:id="60" w:name="_Toc235400637"/>
      <w:bookmarkStart w:id="61" w:name="_Toc255750500"/>
      <w:r w:rsidRPr="0023523B">
        <w:rPr>
          <w:lang w:val="es-ES_tradnl"/>
        </w:rPr>
        <w:t>2.4.5</w:t>
      </w:r>
      <w:r w:rsidRPr="0023523B">
        <w:rPr>
          <w:lang w:val="es-ES_tradnl"/>
        </w:rPr>
        <w:tab/>
        <w:t xml:space="preserve">Flanco ascendente y descendente de transmisión </w:t>
      </w:r>
      <w:bookmarkEnd w:id="51"/>
      <w:bookmarkEnd w:id="52"/>
      <w:bookmarkEnd w:id="53"/>
      <w:bookmarkEnd w:id="54"/>
      <w:bookmarkEnd w:id="55"/>
      <w:bookmarkEnd w:id="56"/>
      <w:bookmarkEnd w:id="57"/>
      <w:bookmarkEnd w:id="58"/>
      <w:bookmarkEnd w:id="59"/>
      <w:bookmarkEnd w:id="60"/>
      <w:bookmarkEnd w:id="61"/>
    </w:p>
    <w:p w:rsidR="00573030" w:rsidRPr="0023523B" w:rsidRDefault="00573030" w:rsidP="00573030">
      <w:pPr>
        <w:rPr>
          <w:lang w:val="es-ES_tradnl"/>
        </w:rPr>
      </w:pPr>
      <w:r w:rsidRPr="0023523B">
        <w:rPr>
          <w:lang w:val="es-ES_tradnl"/>
        </w:rPr>
        <w:t>El flanco de encendido del transmisor se define como el tiempo que tarda un transmisor en pasar de menos del 10% a más del 90% de la potencia media de transmisión de la trama.</w:t>
      </w:r>
    </w:p>
    <w:p w:rsidR="00573030" w:rsidRPr="0023523B" w:rsidRDefault="00573030" w:rsidP="00573030">
      <w:pPr>
        <w:rPr>
          <w:lang w:val="es-ES_tradnl"/>
        </w:rPr>
      </w:pPr>
      <w:r w:rsidRPr="0023523B">
        <w:rPr>
          <w:lang w:val="es-ES_tradnl"/>
        </w:rPr>
        <w:t xml:space="preserve">El flanco de encendido del transmisor debe de ser de unos 10 </w:t>
      </w:r>
      <w:proofErr w:type="spellStart"/>
      <w:r w:rsidRPr="0023523B">
        <w:rPr>
          <w:lang w:val="es-ES_tradnl"/>
        </w:rPr>
        <w:t>ns</w:t>
      </w:r>
      <w:proofErr w:type="spellEnd"/>
      <w:r w:rsidRPr="0023523B">
        <w:rPr>
          <w:lang w:val="es-ES_tradnl"/>
        </w:rPr>
        <w:t>.</w:t>
      </w:r>
    </w:p>
    <w:p w:rsidR="00573030" w:rsidRPr="0023523B" w:rsidRDefault="00573030" w:rsidP="00573030">
      <w:pPr>
        <w:rPr>
          <w:lang w:val="es-ES_tradnl"/>
        </w:rPr>
      </w:pPr>
      <w:r w:rsidRPr="0023523B">
        <w:rPr>
          <w:lang w:val="es-ES_tradnl"/>
        </w:rPr>
        <w:t xml:space="preserve">El flanco de apagado del transmisor se define como el tiempo que tarda un transmisor en pasar de más del 90% a menos </w:t>
      </w:r>
      <w:r>
        <w:rPr>
          <w:lang w:val="es-ES_tradnl"/>
        </w:rPr>
        <w:t>del 1</w:t>
      </w:r>
      <w:r w:rsidRPr="0023523B">
        <w:rPr>
          <w:lang w:val="es-ES_tradnl"/>
        </w:rPr>
        <w:t>0% de la potencia máxima de transmisión de la trama.</w:t>
      </w:r>
    </w:p>
    <w:p w:rsidR="00573030" w:rsidRPr="0023523B" w:rsidRDefault="00573030" w:rsidP="00573030">
      <w:pPr>
        <w:rPr>
          <w:lang w:val="es-ES_tradnl"/>
        </w:rPr>
      </w:pPr>
      <w:r w:rsidRPr="0023523B">
        <w:rPr>
          <w:lang w:val="es-ES_tradnl"/>
        </w:rPr>
        <w:t xml:space="preserve">El flanco de encendido del transmisor debe de ser de unos 10 </w:t>
      </w:r>
      <w:proofErr w:type="spellStart"/>
      <w:r w:rsidRPr="0023523B">
        <w:rPr>
          <w:lang w:val="es-ES_tradnl"/>
        </w:rPr>
        <w:t>ns</w:t>
      </w:r>
      <w:proofErr w:type="spellEnd"/>
      <w:r w:rsidRPr="0023523B">
        <w:rPr>
          <w:lang w:val="es-ES_tradnl"/>
        </w:rPr>
        <w:t>.</w:t>
      </w:r>
    </w:p>
    <w:p w:rsidR="00573030" w:rsidRPr="0023523B" w:rsidRDefault="00573030" w:rsidP="00573030">
      <w:pPr>
        <w:pStyle w:val="Heading3"/>
        <w:rPr>
          <w:lang w:val="es-ES_tradnl"/>
        </w:rPr>
      </w:pPr>
      <w:bookmarkStart w:id="62" w:name="_Toc255750501"/>
      <w:r w:rsidRPr="0023523B">
        <w:rPr>
          <w:lang w:val="es-ES_tradnl"/>
        </w:rPr>
        <w:t>2.4.6</w:t>
      </w:r>
      <w:r w:rsidRPr="0023523B">
        <w:rPr>
          <w:lang w:val="es-ES_tradnl"/>
        </w:rPr>
        <w:tab/>
        <w:t>Nivel de entrada máximo</w:t>
      </w:r>
      <w:bookmarkEnd w:id="62"/>
    </w:p>
    <w:p w:rsidR="00573030" w:rsidRPr="0023523B" w:rsidRDefault="00573030" w:rsidP="00573030">
      <w:pPr>
        <w:rPr>
          <w:lang w:val="es-ES_tradnl"/>
        </w:rPr>
      </w:pPr>
      <w:r w:rsidRPr="0023523B">
        <w:rPr>
          <w:lang w:val="es-ES_tradnl"/>
        </w:rPr>
        <w:t xml:space="preserve">El máximo nivel de entrada del receptor es el nivel de potencia máximo de la señal de entrada, en </w:t>
      </w:r>
      <w:proofErr w:type="spellStart"/>
      <w:r w:rsidRPr="0023523B">
        <w:rPr>
          <w:lang w:val="es-ES_tradnl"/>
        </w:rPr>
        <w:t>dBm</w:t>
      </w:r>
      <w:proofErr w:type="spellEnd"/>
      <w:r w:rsidRPr="0023523B">
        <w:rPr>
          <w:lang w:val="es-ES_tradnl"/>
        </w:rPr>
        <w:t xml:space="preserve">, presente a la entrada del receptor para la cual se cumple el criterio de la tasa de error (definido en la cláusula sobre sensibilidad del receptor). Un receptor que lo cumpla tiene un nivel de entrada máximo de al menos –33 </w:t>
      </w:r>
      <w:proofErr w:type="spellStart"/>
      <w:r w:rsidRPr="0023523B">
        <w:rPr>
          <w:lang w:val="es-ES_tradnl"/>
        </w:rPr>
        <w:t>dBm</w:t>
      </w:r>
      <w:proofErr w:type="spellEnd"/>
      <w:r w:rsidRPr="0023523B">
        <w:rPr>
          <w:lang w:val="es-ES_tradnl"/>
        </w:rPr>
        <w:t xml:space="preserve"> para cada uno de los esquemas de modulación que soporte el receptor.</w:t>
      </w:r>
    </w:p>
    <w:p w:rsidR="00573030" w:rsidRPr="0023523B" w:rsidRDefault="00573030" w:rsidP="00573030">
      <w:pPr>
        <w:pStyle w:val="Heading3"/>
        <w:rPr>
          <w:lang w:val="es-ES_tradnl"/>
        </w:rPr>
      </w:pPr>
      <w:r w:rsidRPr="0023523B">
        <w:rPr>
          <w:lang w:val="es-ES_tradnl"/>
        </w:rPr>
        <w:t>2.4.7</w:t>
      </w:r>
      <w:r w:rsidRPr="0023523B">
        <w:rPr>
          <w:lang w:val="es-ES_tradnl"/>
        </w:rPr>
        <w:tab/>
        <w:t>Características del sistema</w:t>
      </w:r>
    </w:p>
    <w:p w:rsidR="00573030" w:rsidRPr="0023523B" w:rsidRDefault="00573030" w:rsidP="00573030">
      <w:pPr>
        <w:rPr>
          <w:lang w:val="es-ES_tradnl" w:eastAsia="ja-JP"/>
        </w:rPr>
      </w:pPr>
      <w:r w:rsidRPr="0023523B">
        <w:rPr>
          <w:lang w:val="es-ES_tradnl" w:eastAsia="ja-JP"/>
        </w:rPr>
        <w:t>Para explotar todo el potencial que ofrecen los MGWS, incluido el soporte de aplicaciones y servicios aquí descritos, el sistema debe cumplir determinadas características:</w:t>
      </w:r>
    </w:p>
    <w:p w:rsidR="00573030" w:rsidRPr="0023523B" w:rsidRDefault="00573030" w:rsidP="00573030">
      <w:pPr>
        <w:pStyle w:val="enumlev1"/>
        <w:rPr>
          <w:lang w:val="es-ES_tradnl"/>
        </w:rPr>
      </w:pPr>
      <w:r w:rsidRPr="0023523B">
        <w:rPr>
          <w:lang w:val="es-ES_tradnl"/>
        </w:rPr>
        <w:t>1)</w:t>
      </w:r>
      <w:r w:rsidRPr="0023523B">
        <w:rPr>
          <w:lang w:val="es-ES_tradnl"/>
        </w:rPr>
        <w:tab/>
      </w:r>
      <w:r w:rsidRPr="0023523B">
        <w:rPr>
          <w:b/>
          <w:bCs/>
          <w:lang w:val="es-ES_tradnl"/>
        </w:rPr>
        <w:t>Caudal</w:t>
      </w:r>
      <w:r w:rsidRPr="0023523B">
        <w:rPr>
          <w:lang w:val="es-ES_tradnl"/>
        </w:rPr>
        <w:t>: todos los dispositivos MGWS deben permitir un caudal máximo, medido en la capa superior de control de acceso al medio, de una velocidad mínima de 1 Gbit/s.</w:t>
      </w:r>
    </w:p>
    <w:p w:rsidR="00573030" w:rsidRPr="0023523B" w:rsidRDefault="00573030" w:rsidP="00573030">
      <w:pPr>
        <w:pStyle w:val="enumlev1"/>
        <w:rPr>
          <w:lang w:val="es-ES_tradnl"/>
        </w:rPr>
      </w:pPr>
      <w:r w:rsidRPr="0023523B">
        <w:rPr>
          <w:lang w:val="es-ES_tradnl"/>
        </w:rPr>
        <w:lastRenderedPageBreak/>
        <w:t>2)</w:t>
      </w:r>
      <w:r w:rsidRPr="0023523B">
        <w:rPr>
          <w:lang w:val="es-ES_tradnl"/>
        </w:rPr>
        <w:tab/>
      </w:r>
      <w:r w:rsidRPr="0023523B">
        <w:rPr>
          <w:b/>
          <w:bCs/>
          <w:lang w:val="es-ES_tradnl"/>
        </w:rPr>
        <w:t>Alcance</w:t>
      </w:r>
      <w:r w:rsidRPr="0023523B">
        <w:rPr>
          <w:lang w:val="es-ES_tradnl"/>
        </w:rPr>
        <w:t>: el sistema debe ofrecer un alcance de al menos 10 m a 1 Gbit/s, medido en la parte superior de la capa de control de acceso al medio en condiciones de canal físico (PHY) sin visibilidad directa.</w:t>
      </w:r>
    </w:p>
    <w:p w:rsidR="00573030" w:rsidRPr="0023523B" w:rsidRDefault="00573030" w:rsidP="00573030">
      <w:pPr>
        <w:rPr>
          <w:lang w:val="es-ES_tradnl"/>
        </w:rPr>
      </w:pPr>
      <w:r w:rsidRPr="0023523B">
        <w:rPr>
          <w:lang w:val="es-ES_tradnl"/>
        </w:rPr>
        <w:t>Además de las características mencionadas, cuando el sistema sop</w:t>
      </w:r>
      <w:r>
        <w:rPr>
          <w:lang w:val="es-ES_tradnl"/>
        </w:rPr>
        <w:t>orte flujos de ví</w:t>
      </w:r>
      <w:r w:rsidRPr="0023523B">
        <w:rPr>
          <w:lang w:val="es-ES_tradnl"/>
        </w:rPr>
        <w:t>deo no comprimido, deben cumplirse las características adicionales descritas en el Cuadro 2.</w:t>
      </w:r>
    </w:p>
    <w:p w:rsidR="00573030" w:rsidRPr="0023523B" w:rsidRDefault="00573030" w:rsidP="00573030">
      <w:pPr>
        <w:pStyle w:val="TableNo"/>
        <w:rPr>
          <w:lang w:val="es-ES_tradnl" w:eastAsia="ja-JP"/>
        </w:rPr>
      </w:pPr>
      <w:r w:rsidRPr="0023523B">
        <w:rPr>
          <w:lang w:val="es-ES_tradnl" w:eastAsia="ja-JP"/>
        </w:rPr>
        <w:t>CUADRO 2</w:t>
      </w:r>
    </w:p>
    <w:p w:rsidR="00573030" w:rsidRPr="0023523B" w:rsidRDefault="00573030" w:rsidP="00573030">
      <w:pPr>
        <w:pStyle w:val="Tabletitle"/>
        <w:rPr>
          <w:lang w:val="es-ES_tradnl" w:eastAsia="ja-JP"/>
        </w:rPr>
      </w:pPr>
      <w:r w:rsidRPr="0023523B">
        <w:rPr>
          <w:lang w:val="es-ES_tradnl" w:eastAsia="ja-JP"/>
        </w:rPr>
        <w:t>Características del sistema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5"/>
        <w:gridCol w:w="1915"/>
        <w:gridCol w:w="3253"/>
      </w:tblGrid>
      <w:tr w:rsidR="00573030" w:rsidRPr="0023523B" w:rsidTr="0039220B">
        <w:trPr>
          <w:jc w:val="center"/>
        </w:trPr>
        <w:tc>
          <w:tcPr>
            <w:tcW w:w="1915" w:type="dxa"/>
          </w:tcPr>
          <w:p w:rsidR="00573030" w:rsidRPr="0023523B" w:rsidRDefault="00573030" w:rsidP="00F74E07">
            <w:pPr>
              <w:pStyle w:val="Tablehead"/>
              <w:rPr>
                <w:lang w:val="es-ES_tradnl"/>
              </w:rPr>
            </w:pPr>
            <w:r w:rsidRPr="0023523B">
              <w:rPr>
                <w:lang w:val="es-ES_tradnl"/>
              </w:rPr>
              <w:t>Parámetro</w:t>
            </w:r>
          </w:p>
        </w:tc>
        <w:tc>
          <w:tcPr>
            <w:tcW w:w="1915" w:type="dxa"/>
          </w:tcPr>
          <w:p w:rsidR="00573030" w:rsidRPr="0023523B" w:rsidRDefault="00573030" w:rsidP="00F74E0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r w:rsidRPr="0023523B">
              <w:rPr>
                <w:b/>
                <w:sz w:val="22"/>
                <w:lang w:val="es-ES_tradnl"/>
              </w:rPr>
              <w:t>Valor</w:t>
            </w:r>
          </w:p>
        </w:tc>
        <w:tc>
          <w:tcPr>
            <w:tcW w:w="3253" w:type="dxa"/>
          </w:tcPr>
          <w:p w:rsidR="00573030" w:rsidRPr="0023523B" w:rsidRDefault="00573030" w:rsidP="00F74E0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r w:rsidRPr="0023523B">
              <w:rPr>
                <w:b/>
                <w:sz w:val="22"/>
                <w:lang w:val="es-ES_tradnl"/>
              </w:rPr>
              <w:t xml:space="preserve">Descripción </w:t>
            </w:r>
          </w:p>
        </w:tc>
      </w:tr>
      <w:tr w:rsidR="00573030" w:rsidRPr="00573030" w:rsidTr="0039220B">
        <w:trPr>
          <w:jc w:val="center"/>
        </w:trPr>
        <w:tc>
          <w:tcPr>
            <w:tcW w:w="1915" w:type="dxa"/>
          </w:tcPr>
          <w:p w:rsidR="00573030" w:rsidRPr="0023523B" w:rsidRDefault="00573030" w:rsidP="00F74E07">
            <w:pPr>
              <w:pStyle w:val="Tabletext"/>
              <w:jc w:val="center"/>
              <w:rPr>
                <w:lang w:val="es-ES_tradnl"/>
              </w:rPr>
            </w:pPr>
            <w:r w:rsidRPr="0023523B">
              <w:rPr>
                <w:lang w:val="es-ES_tradnl"/>
              </w:rPr>
              <w:t>Velocidad</w:t>
            </w:r>
          </w:p>
        </w:tc>
        <w:tc>
          <w:tcPr>
            <w:tcW w:w="1915" w:type="dxa"/>
          </w:tcPr>
          <w:p w:rsidR="00573030" w:rsidRPr="0023523B" w:rsidRDefault="00573030" w:rsidP="00F74E0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23523B">
              <w:rPr>
                <w:sz w:val="22"/>
                <w:lang w:val="es-ES_tradnl"/>
              </w:rPr>
              <w:t>3 Gbit/s</w:t>
            </w:r>
          </w:p>
        </w:tc>
        <w:tc>
          <w:tcPr>
            <w:tcW w:w="3253" w:type="dxa"/>
            <w:vMerge w:val="restart"/>
          </w:tcPr>
          <w:p w:rsidR="00573030" w:rsidRPr="0023523B" w:rsidRDefault="00573030" w:rsidP="0039220B">
            <w:pPr>
              <w:pStyle w:val="Tabletext"/>
              <w:jc w:val="center"/>
              <w:rPr>
                <w:lang w:val="es-ES_tradnl"/>
              </w:rPr>
            </w:pPr>
            <w:r w:rsidRPr="0023523B">
              <w:rPr>
                <w:lang w:val="es-ES_tradnl"/>
              </w:rPr>
              <w:t>Vídeo no comprimido,</w:t>
            </w:r>
            <w:r w:rsidR="0039220B">
              <w:rPr>
                <w:lang w:val="es-ES_tradnl"/>
              </w:rPr>
              <w:t xml:space="preserve"> </w:t>
            </w:r>
            <w:r w:rsidRPr="0023523B">
              <w:rPr>
                <w:lang w:val="es-ES_tradnl"/>
              </w:rPr>
              <w:t>1 080 p</w:t>
            </w:r>
          </w:p>
          <w:p w:rsidR="00573030" w:rsidRPr="0023523B" w:rsidRDefault="00573030" w:rsidP="00F74E07">
            <w:pPr>
              <w:pStyle w:val="Tabletext"/>
              <w:jc w:val="center"/>
              <w:rPr>
                <w:lang w:val="es-ES_tradnl"/>
              </w:rPr>
            </w:pPr>
            <w:r w:rsidRPr="0023523B">
              <w:rPr>
                <w:lang w:val="es-ES_tradnl"/>
              </w:rPr>
              <w:t>(RGB): 1 920 × 1 080 píxeles</w:t>
            </w:r>
            <w:r w:rsidR="0039220B">
              <w:rPr>
                <w:lang w:val="es-ES_tradnl"/>
              </w:rPr>
              <w:t>, 24 </w:t>
            </w:r>
            <w:r w:rsidRPr="0023523B">
              <w:rPr>
                <w:lang w:val="es-ES_tradnl"/>
              </w:rPr>
              <w:t>bits/píxeles, 60 tramas/s</w:t>
            </w:r>
          </w:p>
        </w:tc>
      </w:tr>
      <w:tr w:rsidR="00573030" w:rsidRPr="0023523B" w:rsidTr="0039220B">
        <w:trPr>
          <w:jc w:val="center"/>
        </w:trPr>
        <w:tc>
          <w:tcPr>
            <w:tcW w:w="1915" w:type="dxa"/>
          </w:tcPr>
          <w:p w:rsidR="00573030" w:rsidRPr="0023523B" w:rsidRDefault="00573030" w:rsidP="00F74E07">
            <w:pPr>
              <w:pStyle w:val="Tabletext"/>
              <w:jc w:val="center"/>
              <w:rPr>
                <w:lang w:val="es-ES_tradnl"/>
              </w:rPr>
            </w:pPr>
            <w:r w:rsidRPr="0023523B">
              <w:rPr>
                <w:lang w:val="es-ES_tradnl"/>
              </w:rPr>
              <w:t>Tasa de pérdida de paquetes (carga útil de 8 Kbyte)</w:t>
            </w:r>
          </w:p>
        </w:tc>
        <w:tc>
          <w:tcPr>
            <w:tcW w:w="1915" w:type="dxa"/>
          </w:tcPr>
          <w:p w:rsidR="00573030" w:rsidRPr="0023523B" w:rsidRDefault="00573030" w:rsidP="00F74E07">
            <w:pPr>
              <w:pStyle w:val="Tabletext"/>
              <w:jc w:val="center"/>
              <w:rPr>
                <w:lang w:val="es-ES_tradnl"/>
              </w:rPr>
            </w:pPr>
            <w:r w:rsidRPr="0023523B">
              <w:rPr>
                <w:lang w:val="es-ES_tradnl"/>
              </w:rPr>
              <w:t>1e-8</w:t>
            </w:r>
          </w:p>
        </w:tc>
        <w:tc>
          <w:tcPr>
            <w:tcW w:w="3253" w:type="dxa"/>
            <w:vMerge/>
          </w:tcPr>
          <w:p w:rsidR="00573030" w:rsidRPr="0023523B" w:rsidRDefault="00573030" w:rsidP="00F74E0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p>
        </w:tc>
      </w:tr>
      <w:tr w:rsidR="00573030" w:rsidRPr="0023523B" w:rsidTr="0039220B">
        <w:trPr>
          <w:jc w:val="center"/>
        </w:trPr>
        <w:tc>
          <w:tcPr>
            <w:tcW w:w="1915" w:type="dxa"/>
          </w:tcPr>
          <w:p w:rsidR="00573030" w:rsidRPr="0023523B" w:rsidRDefault="00573030" w:rsidP="00F74E07">
            <w:pPr>
              <w:pStyle w:val="Tabletext"/>
              <w:jc w:val="center"/>
              <w:rPr>
                <w:lang w:val="es-ES_tradnl"/>
              </w:rPr>
            </w:pPr>
            <w:r w:rsidRPr="0023523B">
              <w:rPr>
                <w:lang w:val="es-ES_tradnl"/>
              </w:rPr>
              <w:t>Retardo</w:t>
            </w:r>
            <w:r w:rsidRPr="0023523B">
              <w:rPr>
                <w:rStyle w:val="FootnoteReference"/>
                <w:lang w:val="es-ES_tradnl"/>
              </w:rPr>
              <w:footnoteReference w:id="3"/>
            </w:r>
          </w:p>
        </w:tc>
        <w:tc>
          <w:tcPr>
            <w:tcW w:w="1915" w:type="dxa"/>
          </w:tcPr>
          <w:p w:rsidR="00573030" w:rsidRPr="0023523B" w:rsidRDefault="00573030" w:rsidP="00F74E07">
            <w:pPr>
              <w:pStyle w:val="Tabletext"/>
              <w:jc w:val="center"/>
              <w:rPr>
                <w:lang w:val="es-ES_tradnl"/>
              </w:rPr>
            </w:pPr>
            <w:r w:rsidRPr="0023523B">
              <w:rPr>
                <w:lang w:val="es-ES_tradnl"/>
              </w:rPr>
              <w:t>10 ms</w:t>
            </w:r>
          </w:p>
        </w:tc>
        <w:tc>
          <w:tcPr>
            <w:tcW w:w="3253" w:type="dxa"/>
            <w:vMerge/>
          </w:tcPr>
          <w:p w:rsidR="00573030" w:rsidRPr="0023523B" w:rsidRDefault="00573030" w:rsidP="00F74E0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p>
        </w:tc>
      </w:tr>
    </w:tbl>
    <w:p w:rsidR="00573030" w:rsidRPr="0023523B" w:rsidRDefault="00573030" w:rsidP="0039220B">
      <w:pPr>
        <w:pStyle w:val="Tablefin"/>
      </w:pPr>
    </w:p>
    <w:p w:rsidR="00573030" w:rsidRPr="0023523B" w:rsidRDefault="00573030" w:rsidP="00573030">
      <w:pPr>
        <w:pStyle w:val="Heading3"/>
        <w:rPr>
          <w:lang w:val="es-ES_tradnl"/>
        </w:rPr>
      </w:pPr>
      <w:r w:rsidRPr="0023523B">
        <w:rPr>
          <w:lang w:val="es-ES_tradnl"/>
        </w:rPr>
        <w:t>2.4.8</w:t>
      </w:r>
      <w:r w:rsidRPr="0023523B">
        <w:rPr>
          <w:lang w:val="es-ES_tradnl"/>
        </w:rPr>
        <w:tab/>
        <w:t xml:space="preserve">Esquemas de acceso al canal </w:t>
      </w:r>
    </w:p>
    <w:p w:rsidR="00573030" w:rsidRPr="0023523B" w:rsidRDefault="00573030" w:rsidP="00573030">
      <w:pPr>
        <w:rPr>
          <w:lang w:val="es-ES_tradnl"/>
        </w:rPr>
      </w:pPr>
      <w:r w:rsidRPr="0023523B">
        <w:rPr>
          <w:lang w:val="es-ES_tradnl"/>
        </w:rPr>
        <w:t>El esquema básico de acceso al canal es el acceso múltiple por división de tiempo (AMDT), que resulta necesario a la vista del reto que supone el funcionamiento a 60 GHz, la naturaleza direccional de la comunicación y las aplicaciones utilizadas, como la transmisión inalámbrica de v</w:t>
      </w:r>
      <w:r>
        <w:rPr>
          <w:lang w:val="es-ES_tradnl"/>
        </w:rPr>
        <w:t>í</w:t>
      </w:r>
      <w:r w:rsidRPr="0023523B">
        <w:rPr>
          <w:lang w:val="es-ES_tradnl"/>
        </w:rPr>
        <w:t>deo. El acceso AMDT permite garantizar el ancho de banda necesario para aplicaciones sensibles a la calidad de servicio, dado que permite reserva de capacidad al tiempo que es energéticamente eficiente, ya que los dispositivos no precisan estar activos mientras no están en comunicación.</w:t>
      </w:r>
    </w:p>
    <w:p w:rsidR="00573030" w:rsidRPr="0023523B" w:rsidRDefault="00573030" w:rsidP="00573030">
      <w:pPr>
        <w:rPr>
          <w:lang w:val="es-ES_tradnl"/>
        </w:rPr>
      </w:pPr>
      <w:r w:rsidRPr="0023523B">
        <w:rPr>
          <w:lang w:val="es-ES_tradnl"/>
        </w:rPr>
        <w:t>Además, dado que el sistema AMDT tiene una secuencia de utilización del recurso preestablecida, las estaciones saben exactamente con qué estación se comunican y en qué momento, y por tanto pueden dirigir el lóbulo principal hacia el destino deseado y evitar tener que utilizar comunicaciones omnidireccionales para el acceso con contención.</w:t>
      </w:r>
    </w:p>
    <w:p w:rsidR="00573030" w:rsidRPr="0023523B" w:rsidRDefault="00573030" w:rsidP="00573030">
      <w:pPr>
        <w:rPr>
          <w:lang w:val="es-ES_tradnl"/>
        </w:rPr>
      </w:pPr>
      <w:r w:rsidRPr="0023523B">
        <w:rPr>
          <w:lang w:val="es-ES_tradnl"/>
        </w:rPr>
        <w:t xml:space="preserve">El acceso con contención, como el que existe en redes </w:t>
      </w:r>
      <w:proofErr w:type="spellStart"/>
      <w:r w:rsidRPr="0023523B">
        <w:rPr>
          <w:lang w:val="es-ES_tradnl"/>
        </w:rPr>
        <w:t>Wi</w:t>
      </w:r>
      <w:proofErr w:type="spellEnd"/>
      <w:r>
        <w:rPr>
          <w:lang w:val="es-ES_tradnl"/>
        </w:rPr>
        <w:t>-</w:t>
      </w:r>
      <w:r w:rsidRPr="0023523B">
        <w:rPr>
          <w:lang w:val="es-ES_tradnl"/>
        </w:rPr>
        <w:t>Fi, también debería ser soportado para otros usos como la navegación web y la transferencia de ficheros. Sin embargo, en lugar de ser el esquema básico de acceso, el acceso con contención debería utilizarse en los periodos de tiempo asignados en la infraestructura de acceso al canal AMDT.</w:t>
      </w:r>
    </w:p>
    <w:p w:rsidR="00573030" w:rsidRPr="0023523B" w:rsidRDefault="00573030" w:rsidP="00573030">
      <w:pPr>
        <w:pStyle w:val="Heading2"/>
        <w:rPr>
          <w:lang w:val="es-ES_tradnl"/>
        </w:rPr>
      </w:pPr>
      <w:r w:rsidRPr="0023523B">
        <w:rPr>
          <w:lang w:val="es-ES_tradnl"/>
        </w:rPr>
        <w:t>2.5</w:t>
      </w:r>
      <w:r w:rsidRPr="0023523B">
        <w:rPr>
          <w:lang w:val="es-ES_tradnl"/>
        </w:rPr>
        <w:tab/>
        <w:t xml:space="preserve">Parámetros para la coexistencia </w:t>
      </w:r>
    </w:p>
    <w:p w:rsidR="00573030" w:rsidRPr="0023523B" w:rsidRDefault="00573030" w:rsidP="00573030">
      <w:pPr>
        <w:rPr>
          <w:lang w:val="es-ES_tradnl"/>
        </w:rPr>
      </w:pPr>
      <w:r w:rsidRPr="0023523B">
        <w:rPr>
          <w:lang w:val="es-ES_tradnl"/>
        </w:rPr>
        <w:t>Para una coexistencia mejorada, es importante que todos los MGWS utilicen la misma canalización.</w:t>
      </w:r>
    </w:p>
    <w:p w:rsidR="00573030" w:rsidRPr="0023523B" w:rsidRDefault="00573030" w:rsidP="00573030">
      <w:pPr>
        <w:rPr>
          <w:lang w:val="es-ES_tradnl"/>
        </w:rPr>
      </w:pPr>
      <w:r w:rsidRPr="0023523B">
        <w:rPr>
          <w:lang w:val="es-ES_tradnl"/>
        </w:rPr>
        <w:t>Ejemplos de canalización:</w:t>
      </w:r>
    </w:p>
    <w:p w:rsidR="00573030" w:rsidRPr="0023523B" w:rsidRDefault="00573030" w:rsidP="00573030">
      <w:pPr>
        <w:pStyle w:val="enumlev1"/>
        <w:rPr>
          <w:lang w:val="es-ES_tradnl"/>
        </w:rPr>
      </w:pPr>
      <w:r w:rsidRPr="0023523B">
        <w:rPr>
          <w:lang w:val="es-ES_tradnl"/>
        </w:rPr>
        <w:t>1)</w:t>
      </w:r>
      <w:r w:rsidRPr="0023523B">
        <w:rPr>
          <w:lang w:val="es-ES_tradnl"/>
        </w:rPr>
        <w:tab/>
        <w:t>IEEE:</w:t>
      </w:r>
    </w:p>
    <w:p w:rsidR="00573030" w:rsidRPr="0023523B" w:rsidRDefault="00573030" w:rsidP="00573030">
      <w:pPr>
        <w:pStyle w:val="enumlev2"/>
        <w:rPr>
          <w:lang w:val="es-ES_tradnl"/>
        </w:rPr>
      </w:pPr>
      <w:r w:rsidRPr="0023523B">
        <w:rPr>
          <w:lang w:val="es-ES_tradnl"/>
        </w:rPr>
        <w:t>a)</w:t>
      </w:r>
      <w:r w:rsidRPr="0023523B">
        <w:rPr>
          <w:lang w:val="es-ES_tradnl"/>
        </w:rPr>
        <w:tab/>
        <w:t xml:space="preserve">IEEE </w:t>
      </w:r>
      <w:proofErr w:type="spellStart"/>
      <w:r w:rsidRPr="0023523B">
        <w:rPr>
          <w:lang w:val="es-ES_tradnl"/>
        </w:rPr>
        <w:t>Std</w:t>
      </w:r>
      <w:proofErr w:type="spellEnd"/>
      <w:r w:rsidRPr="0023523B">
        <w:rPr>
          <w:lang w:val="es-ES_tradnl"/>
        </w:rPr>
        <w:t xml:space="preserve"> 802.11ad-2012</w:t>
      </w:r>
      <w:r w:rsidRPr="0023523B">
        <w:rPr>
          <w:rStyle w:val="FootnoteReference"/>
          <w:lang w:val="es-ES_tradnl"/>
        </w:rPr>
        <w:footnoteReference w:id="4"/>
      </w:r>
      <w:r w:rsidRPr="0023523B">
        <w:rPr>
          <w:lang w:val="es-ES_tradnl"/>
        </w:rPr>
        <w:t xml:space="preserve"> define un ancho de banda del canal de 2 160 MHz.</w:t>
      </w:r>
    </w:p>
    <w:p w:rsidR="00573030" w:rsidRPr="0023523B" w:rsidRDefault="00573030" w:rsidP="00573030">
      <w:pPr>
        <w:pStyle w:val="enumlev2"/>
        <w:rPr>
          <w:lang w:val="es-ES_tradnl"/>
        </w:rPr>
      </w:pPr>
      <w:r w:rsidRPr="0023523B">
        <w:rPr>
          <w:lang w:val="es-ES_tradnl"/>
        </w:rPr>
        <w:lastRenderedPageBreak/>
        <w:t>b)</w:t>
      </w:r>
      <w:r w:rsidRPr="0023523B">
        <w:rPr>
          <w:lang w:val="es-ES_tradnl"/>
        </w:rPr>
        <w:tab/>
        <w:t xml:space="preserve">IEEE </w:t>
      </w:r>
      <w:proofErr w:type="spellStart"/>
      <w:r w:rsidRPr="0023523B">
        <w:rPr>
          <w:lang w:val="es-ES_tradnl"/>
        </w:rPr>
        <w:t>Std</w:t>
      </w:r>
      <w:proofErr w:type="spellEnd"/>
      <w:r w:rsidRPr="0023523B">
        <w:rPr>
          <w:lang w:val="es-ES_tradnl"/>
        </w:rPr>
        <w:t xml:space="preserve"> 802.15.3c-2009</w:t>
      </w:r>
      <w:r w:rsidRPr="0023523B">
        <w:rPr>
          <w:rStyle w:val="FootnoteReference"/>
          <w:lang w:val="es-ES_tradnl"/>
        </w:rPr>
        <w:footnoteReference w:id="5"/>
      </w:r>
      <w:r w:rsidRPr="0023523B">
        <w:rPr>
          <w:lang w:val="es-ES_tradnl"/>
        </w:rPr>
        <w:t xml:space="preserve"> define un ancho de banda del canal de 2 160 MHz.</w:t>
      </w:r>
    </w:p>
    <w:p w:rsidR="00573030" w:rsidRPr="0023523B" w:rsidRDefault="00573030" w:rsidP="00573030">
      <w:pPr>
        <w:rPr>
          <w:lang w:val="es-ES_tradnl"/>
        </w:rPr>
      </w:pPr>
      <w:r w:rsidRPr="0023523B">
        <w:rPr>
          <w:lang w:val="es-ES_tradnl"/>
        </w:rPr>
        <w:t>Ante de empezar a utilizar un canal, el MGWS debe explorar dicho canal para garantizar que su funcionamiento no causará interferencia en otro MGWS que esté utilizando dicho canal.</w:t>
      </w:r>
    </w:p>
    <w:p w:rsidR="00573030" w:rsidRPr="0023523B" w:rsidRDefault="00573030" w:rsidP="00573030">
      <w:pPr>
        <w:keepNext/>
        <w:keepLines/>
        <w:rPr>
          <w:lang w:val="es-ES_tradnl"/>
        </w:rPr>
      </w:pPr>
      <w:r w:rsidRPr="0023523B">
        <w:rPr>
          <w:lang w:val="es-ES_tradnl"/>
        </w:rPr>
        <w:t>Los siguientes son ejemplos de técnicas para la mitigación de interferencias:</w:t>
      </w:r>
    </w:p>
    <w:p w:rsidR="00573030" w:rsidRPr="0023523B" w:rsidRDefault="00573030" w:rsidP="00573030">
      <w:pPr>
        <w:pStyle w:val="enumlev1"/>
        <w:rPr>
          <w:lang w:val="es-ES_tradnl"/>
        </w:rPr>
      </w:pPr>
      <w:r w:rsidRPr="0023523B">
        <w:rPr>
          <w:lang w:val="es-ES_tradnl"/>
        </w:rPr>
        <w:t>1)</w:t>
      </w:r>
      <w:r w:rsidRPr="0023523B">
        <w:rPr>
          <w:lang w:val="es-ES_tradnl"/>
        </w:rPr>
        <w:tab/>
        <w:t>IEEE:</w:t>
      </w:r>
    </w:p>
    <w:p w:rsidR="00573030" w:rsidRPr="0023523B" w:rsidRDefault="00573030" w:rsidP="00573030">
      <w:pPr>
        <w:pStyle w:val="enumlev2"/>
        <w:rPr>
          <w:lang w:val="es-ES_tradnl"/>
        </w:rPr>
      </w:pPr>
      <w:r w:rsidRPr="0023523B">
        <w:rPr>
          <w:lang w:val="es-ES_tradnl"/>
        </w:rPr>
        <w:t>a)</w:t>
      </w:r>
      <w:r w:rsidRPr="0023523B">
        <w:rPr>
          <w:lang w:val="es-ES_tradnl"/>
        </w:rPr>
        <w:tab/>
        <w:t xml:space="preserve">El punto de acceso IEEE </w:t>
      </w:r>
      <w:proofErr w:type="spellStart"/>
      <w:r w:rsidRPr="0023523B">
        <w:rPr>
          <w:lang w:val="es-ES_tradnl"/>
        </w:rPr>
        <w:t>Std</w:t>
      </w:r>
      <w:proofErr w:type="spellEnd"/>
      <w:r w:rsidRPr="0023523B">
        <w:rPr>
          <w:lang w:val="es-ES_tradnl"/>
        </w:rPr>
        <w:t xml:space="preserve"> 802.11ad-2012 no debe iniciar el funcionamiento de una red en un canal cuyo nivel de señal sea igual o superior a –48 </w:t>
      </w:r>
      <w:proofErr w:type="spellStart"/>
      <w:r w:rsidRPr="0023523B">
        <w:rPr>
          <w:lang w:val="es-ES_tradnl"/>
        </w:rPr>
        <w:t>dBm</w:t>
      </w:r>
      <w:proofErr w:type="spellEnd"/>
      <w:r w:rsidRPr="0023523B">
        <w:rPr>
          <w:lang w:val="es-ES_tradnl"/>
        </w:rPr>
        <w:t xml:space="preserve"> o cuando detecte un preámbulo válido de señalización en modo común (CMS) IEEE </w:t>
      </w:r>
      <w:proofErr w:type="spellStart"/>
      <w:r w:rsidRPr="0023523B">
        <w:rPr>
          <w:lang w:val="es-ES_tradnl"/>
        </w:rPr>
        <w:t>Std</w:t>
      </w:r>
      <w:proofErr w:type="spellEnd"/>
      <w:r w:rsidRPr="0023523B">
        <w:rPr>
          <w:lang w:val="es-ES_tradnl"/>
        </w:rPr>
        <w:t xml:space="preserve"> 802.15.3c-2009 con un nivel de recepción igual o mayor que –60 </w:t>
      </w:r>
      <w:proofErr w:type="spellStart"/>
      <w:r w:rsidRPr="0023523B">
        <w:rPr>
          <w:lang w:val="es-ES_tradnl"/>
        </w:rPr>
        <w:t>dBm</w:t>
      </w:r>
      <w:proofErr w:type="spellEnd"/>
      <w:r w:rsidRPr="0023523B">
        <w:rPr>
          <w:lang w:val="es-ES_tradnl"/>
        </w:rPr>
        <w:t>. Se han definido otras técnicas de mitigación tales como la conmutación de canal, el control de la potencia de transmisión y la conformación de haces, por nombrar algunas de ellas.</w:t>
      </w:r>
    </w:p>
    <w:p w:rsidR="00573030" w:rsidRPr="0023523B" w:rsidRDefault="00573030" w:rsidP="00573030">
      <w:pPr>
        <w:pStyle w:val="enumlev2"/>
        <w:rPr>
          <w:lang w:val="es-ES_tradnl"/>
        </w:rPr>
      </w:pPr>
      <w:r w:rsidRPr="0023523B">
        <w:rPr>
          <w:lang w:val="es-ES_tradnl"/>
        </w:rPr>
        <w:t>b)</w:t>
      </w:r>
      <w:r w:rsidRPr="0023523B">
        <w:rPr>
          <w:lang w:val="es-ES_tradnl"/>
        </w:rPr>
        <w:tab/>
        <w:t xml:space="preserve">IEEE </w:t>
      </w:r>
      <w:proofErr w:type="spellStart"/>
      <w:r w:rsidRPr="0023523B">
        <w:rPr>
          <w:lang w:val="es-ES_tradnl"/>
        </w:rPr>
        <w:t>Std</w:t>
      </w:r>
      <w:proofErr w:type="spellEnd"/>
      <w:r w:rsidRPr="0023523B">
        <w:rPr>
          <w:lang w:val="es-ES_tradnl"/>
        </w:rPr>
        <w:t xml:space="preserve"> 802.15.3c-2009 no permite que un controlador de </w:t>
      </w:r>
      <w:proofErr w:type="spellStart"/>
      <w:r w:rsidRPr="0023523B">
        <w:rPr>
          <w:lang w:val="es-ES_tradnl"/>
        </w:rPr>
        <w:t>picored</w:t>
      </w:r>
      <w:proofErr w:type="spellEnd"/>
      <w:r w:rsidRPr="0023523B">
        <w:rPr>
          <w:lang w:val="es-ES_tradnl"/>
        </w:rPr>
        <w:t xml:space="preserve"> inicie una nueva </w:t>
      </w:r>
      <w:proofErr w:type="spellStart"/>
      <w:r w:rsidRPr="0023523B">
        <w:rPr>
          <w:lang w:val="es-ES_tradnl"/>
        </w:rPr>
        <w:t>picored</w:t>
      </w:r>
      <w:proofErr w:type="spellEnd"/>
      <w:r w:rsidRPr="0023523B">
        <w:rPr>
          <w:lang w:val="es-ES_tradnl"/>
        </w:rPr>
        <w:t xml:space="preserve"> en un canal ocupado por otro controlador de </w:t>
      </w:r>
      <w:proofErr w:type="spellStart"/>
      <w:r w:rsidRPr="0023523B">
        <w:rPr>
          <w:lang w:val="es-ES_tradnl"/>
        </w:rPr>
        <w:t>picored</w:t>
      </w:r>
      <w:proofErr w:type="spellEnd"/>
      <w:r w:rsidRPr="0023523B">
        <w:rPr>
          <w:lang w:val="es-ES_tradnl"/>
        </w:rPr>
        <w:t xml:space="preserve">. Se ha definido un método de señalización en modo común (CMS) para permitir que varios controladores de </w:t>
      </w:r>
      <w:proofErr w:type="spellStart"/>
      <w:r w:rsidRPr="0023523B">
        <w:rPr>
          <w:lang w:val="es-ES_tradnl"/>
        </w:rPr>
        <w:t>picoredes</w:t>
      </w:r>
      <w:proofErr w:type="spellEnd"/>
      <w:r w:rsidRPr="0023523B">
        <w:rPr>
          <w:lang w:val="es-ES_tradnl"/>
        </w:rPr>
        <w:t xml:space="preserve"> compartan el acceso a un canal utilizando intervalos de tiempo AMDT asignados a </w:t>
      </w:r>
      <w:proofErr w:type="spellStart"/>
      <w:r w:rsidRPr="0023523B">
        <w:rPr>
          <w:lang w:val="es-ES_tradnl"/>
        </w:rPr>
        <w:t>picoredes</w:t>
      </w:r>
      <w:proofErr w:type="spellEnd"/>
      <w:r w:rsidRPr="0023523B">
        <w:rPr>
          <w:lang w:val="es-ES_tradnl"/>
        </w:rPr>
        <w:t xml:space="preserve"> </w:t>
      </w:r>
      <w:proofErr w:type="spellStart"/>
      <w:r w:rsidRPr="0023523B">
        <w:rPr>
          <w:lang w:val="es-ES_tradnl"/>
        </w:rPr>
        <w:t>bástagos</w:t>
      </w:r>
      <w:proofErr w:type="spellEnd"/>
      <w:r w:rsidRPr="0023523B">
        <w:rPr>
          <w:lang w:val="es-ES_tradnl"/>
        </w:rPr>
        <w:t>.</w:t>
      </w:r>
    </w:p>
    <w:p w:rsidR="00573030" w:rsidRPr="0023523B" w:rsidRDefault="00573030" w:rsidP="00573030">
      <w:pPr>
        <w:pStyle w:val="Heading2"/>
        <w:rPr>
          <w:lang w:val="es-ES_tradnl"/>
        </w:rPr>
      </w:pPr>
      <w:r w:rsidRPr="0023523B">
        <w:rPr>
          <w:lang w:val="es-ES_tradnl"/>
        </w:rPr>
        <w:t>2.6</w:t>
      </w:r>
      <w:r w:rsidRPr="0023523B">
        <w:rPr>
          <w:lang w:val="es-ES_tradnl"/>
        </w:rPr>
        <w:tab/>
        <w:t>Niveles de sensibilidad de recepción</w:t>
      </w:r>
    </w:p>
    <w:p w:rsidR="00573030" w:rsidRPr="0023523B" w:rsidRDefault="00573030" w:rsidP="00573030">
      <w:pPr>
        <w:rPr>
          <w:lang w:val="es-ES_tradnl"/>
        </w:rPr>
      </w:pPr>
      <w:r w:rsidRPr="0023523B">
        <w:rPr>
          <w:lang w:val="es-ES_tradnl"/>
        </w:rPr>
        <w:t>Los niveles de sensibilidad de recepción están comprendidos típicamente entre −48 y −78 </w:t>
      </w:r>
      <w:proofErr w:type="spellStart"/>
      <w:r w:rsidRPr="0023523B">
        <w:rPr>
          <w:lang w:val="es-ES_tradnl"/>
        </w:rPr>
        <w:t>dBm</w:t>
      </w:r>
      <w:proofErr w:type="spellEnd"/>
      <w:r w:rsidRPr="0023523B">
        <w:rPr>
          <w:lang w:val="es-ES_tradnl"/>
        </w:rPr>
        <w:t xml:space="preserve">. </w:t>
      </w:r>
    </w:p>
    <w:p w:rsidR="00573030" w:rsidRPr="0023523B" w:rsidRDefault="00573030" w:rsidP="00573030">
      <w:pPr>
        <w:rPr>
          <w:lang w:val="es-ES_tradnl"/>
        </w:rPr>
      </w:pPr>
      <w:r w:rsidRPr="0023523B">
        <w:rPr>
          <w:lang w:val="es-ES_tradnl"/>
        </w:rPr>
        <w:t>Ejemplos de niveles de sensibilidad de recepción:</w:t>
      </w:r>
    </w:p>
    <w:p w:rsidR="00573030" w:rsidRPr="0023523B" w:rsidRDefault="00573030" w:rsidP="00573030">
      <w:pPr>
        <w:pStyle w:val="enumlev1"/>
        <w:rPr>
          <w:lang w:val="es-ES_tradnl"/>
        </w:rPr>
      </w:pPr>
      <w:r w:rsidRPr="0023523B">
        <w:rPr>
          <w:lang w:val="es-ES_tradnl"/>
        </w:rPr>
        <w:t>1)</w:t>
      </w:r>
      <w:r w:rsidRPr="0023523B">
        <w:rPr>
          <w:lang w:val="es-ES_tradnl"/>
        </w:rPr>
        <w:tab/>
        <w:t xml:space="preserve">IEEE: En la norma IEEE </w:t>
      </w:r>
      <w:proofErr w:type="spellStart"/>
      <w:r w:rsidRPr="0023523B">
        <w:rPr>
          <w:lang w:val="es-ES_tradnl"/>
        </w:rPr>
        <w:t>Std</w:t>
      </w:r>
      <w:proofErr w:type="spellEnd"/>
      <w:r w:rsidRPr="0023523B">
        <w:rPr>
          <w:lang w:val="es-ES_tradnl"/>
        </w:rPr>
        <w:t xml:space="preserve"> 802.11ad-2012, la PER es menor del 1% (5% para el esquema de modulación y codificación </w:t>
      </w:r>
      <w:r>
        <w:rPr>
          <w:lang w:val="es-ES_tradnl"/>
        </w:rPr>
        <w:t>MCS</w:t>
      </w:r>
      <w:r w:rsidRPr="0023523B">
        <w:rPr>
          <w:lang w:val="es-ES_tradnl"/>
        </w:rPr>
        <w:t xml:space="preserve">0) para una longitud de PSDU de 4 096 octetos (256 octetos para el </w:t>
      </w:r>
      <w:r>
        <w:rPr>
          <w:lang w:val="es-ES_tradnl"/>
        </w:rPr>
        <w:t>MCS</w:t>
      </w:r>
      <w:r w:rsidRPr="0023523B">
        <w:rPr>
          <w:lang w:val="es-ES_tradnl"/>
        </w:rPr>
        <w:t>0).</w:t>
      </w:r>
    </w:p>
    <w:p w:rsidR="00573030" w:rsidRPr="0023523B" w:rsidRDefault="00573030" w:rsidP="00573030">
      <w:pPr>
        <w:pStyle w:val="Note"/>
        <w:rPr>
          <w:lang w:val="es-ES_tradnl"/>
        </w:rPr>
      </w:pPr>
      <w:r w:rsidRPr="0023523B">
        <w:rPr>
          <w:lang w:val="es-ES_tradnl"/>
        </w:rPr>
        <w:t>NOTA – En las mediciones de la potencia de radiofrecuencia basadas en la densidad de potencia recibida, el nivel de entrada se corrige para compensar la ganancia real de la antena. Esta ganancia de la antena es la ganancia máxima estimada por el fabricante. En caso de una antena con matriz de elementos en fase, la ganancia de dicha antena es la suma máxima de la ganancia estimada de los elementos a – 3 dB de pérdidas de implementación.</w:t>
      </w:r>
    </w:p>
    <w:p w:rsidR="00573030" w:rsidRPr="0023523B" w:rsidRDefault="00573030" w:rsidP="00573030">
      <w:pPr>
        <w:pStyle w:val="Heading2"/>
        <w:rPr>
          <w:lang w:val="es-ES_tradnl"/>
        </w:rPr>
      </w:pPr>
      <w:r w:rsidRPr="0023523B">
        <w:rPr>
          <w:lang w:val="es-ES_tradnl"/>
        </w:rPr>
        <w:t>2.7</w:t>
      </w:r>
      <w:r w:rsidRPr="0023523B">
        <w:rPr>
          <w:lang w:val="es-ES_tradnl"/>
        </w:rPr>
        <w:tab/>
        <w:t xml:space="preserve">Reglas de evaluación de canal despejado </w:t>
      </w:r>
      <w:r>
        <w:rPr>
          <w:lang w:val="es-ES_tradnl"/>
        </w:rPr>
        <w:t>(CCA)</w:t>
      </w:r>
    </w:p>
    <w:p w:rsidR="00573030" w:rsidRPr="0023523B" w:rsidRDefault="00573030" w:rsidP="00573030">
      <w:pPr>
        <w:rPr>
          <w:lang w:val="es-ES_tradnl"/>
        </w:rPr>
      </w:pPr>
      <w:r w:rsidRPr="0023523B">
        <w:rPr>
          <w:lang w:val="es-ES_tradnl"/>
        </w:rPr>
        <w:t xml:space="preserve">Los MGWS pueden aplicar las reglas de evaluación de canal despejado (CCA, </w:t>
      </w:r>
      <w:proofErr w:type="spellStart"/>
      <w:r w:rsidRPr="0023523B">
        <w:rPr>
          <w:i/>
          <w:iCs/>
          <w:lang w:val="es-ES_tradnl"/>
        </w:rPr>
        <w:t>clear</w:t>
      </w:r>
      <w:proofErr w:type="spellEnd"/>
      <w:r w:rsidRPr="0023523B">
        <w:rPr>
          <w:i/>
          <w:iCs/>
          <w:lang w:val="es-ES_tradnl"/>
        </w:rPr>
        <w:t xml:space="preserve"> </w:t>
      </w:r>
      <w:proofErr w:type="spellStart"/>
      <w:r w:rsidRPr="0023523B">
        <w:rPr>
          <w:i/>
          <w:iCs/>
          <w:lang w:val="es-ES_tradnl"/>
        </w:rPr>
        <w:t>channel</w:t>
      </w:r>
      <w:proofErr w:type="spellEnd"/>
      <w:r w:rsidRPr="0023523B">
        <w:rPr>
          <w:i/>
          <w:iCs/>
          <w:lang w:val="es-ES_tradnl"/>
        </w:rPr>
        <w:t xml:space="preserve"> </w:t>
      </w:r>
      <w:proofErr w:type="spellStart"/>
      <w:r w:rsidRPr="0023523B">
        <w:rPr>
          <w:i/>
          <w:iCs/>
          <w:lang w:val="es-ES_tradnl"/>
        </w:rPr>
        <w:t>assessment</w:t>
      </w:r>
      <w:proofErr w:type="spellEnd"/>
      <w:r w:rsidRPr="0023523B">
        <w:rPr>
          <w:lang w:val="es-ES_tradnl"/>
        </w:rPr>
        <w:t>) para mitigar la interferencia causada por otros MGWS.</w:t>
      </w:r>
    </w:p>
    <w:p w:rsidR="00573030" w:rsidRPr="0023523B" w:rsidRDefault="00573030" w:rsidP="00573030">
      <w:pPr>
        <w:rPr>
          <w:lang w:val="es-ES_tradnl"/>
        </w:rPr>
      </w:pPr>
      <w:r w:rsidRPr="0023523B">
        <w:rPr>
          <w:lang w:val="es-ES_tradnl"/>
        </w:rPr>
        <w:t xml:space="preserve">Por ejemplo, en el caso de IEEE </w:t>
      </w:r>
      <w:proofErr w:type="spellStart"/>
      <w:r w:rsidRPr="0023523B">
        <w:rPr>
          <w:lang w:val="es-ES_tradnl"/>
        </w:rPr>
        <w:t>Std</w:t>
      </w:r>
      <w:proofErr w:type="spellEnd"/>
      <w:r w:rsidRPr="0023523B">
        <w:rPr>
          <w:lang w:val="es-ES_tradnl"/>
        </w:rPr>
        <w:t xml:space="preserve"> 802.11ad-2012 existen tres conjuntos definidos de esquema de modulación y codificación (MCS) con reglas específicas de CCA para cada conjunto de MCS. </w:t>
      </w:r>
      <w:r>
        <w:rPr>
          <w:lang w:val="es-ES_tradnl"/>
        </w:rPr>
        <w:t>Los tres conjuntos de MCS son:</w:t>
      </w:r>
    </w:p>
    <w:p w:rsidR="00573030" w:rsidRPr="0023523B" w:rsidRDefault="00573030" w:rsidP="00573030">
      <w:pPr>
        <w:pStyle w:val="enumlev1"/>
        <w:rPr>
          <w:lang w:val="es-ES_tradnl"/>
        </w:rPr>
      </w:pPr>
      <w:r w:rsidRPr="0023523B">
        <w:rPr>
          <w:lang w:val="es-ES_tradnl"/>
        </w:rPr>
        <w:t>a)</w:t>
      </w:r>
      <w:r w:rsidRPr="0023523B">
        <w:rPr>
          <w:lang w:val="es-ES_tradnl"/>
        </w:rPr>
        <w:tab/>
        <w:t xml:space="preserve">MCS0: conocido como MCS de control, que se basa en modulación de </w:t>
      </w:r>
      <w:r>
        <w:rPr>
          <w:lang w:val="es-ES_tradnl"/>
        </w:rPr>
        <w:t>portadora única</w:t>
      </w:r>
      <w:r w:rsidRPr="0023523B">
        <w:rPr>
          <w:lang w:val="es-ES_tradnl"/>
        </w:rPr>
        <w:t xml:space="preserve"> (SC).</w:t>
      </w:r>
    </w:p>
    <w:p w:rsidR="00573030" w:rsidRPr="0023523B" w:rsidRDefault="00573030" w:rsidP="00573030">
      <w:pPr>
        <w:pStyle w:val="enumlev1"/>
        <w:rPr>
          <w:lang w:val="es-ES_tradnl"/>
        </w:rPr>
      </w:pPr>
      <w:r w:rsidRPr="0023523B">
        <w:rPr>
          <w:lang w:val="es-ES_tradnl"/>
        </w:rPr>
        <w:t>b)</w:t>
      </w:r>
      <w:r w:rsidRPr="0023523B">
        <w:rPr>
          <w:lang w:val="es-ES_tradnl"/>
        </w:rPr>
        <w:tab/>
        <w:t>MCS1 a MCS12, y MCS25 a MCS31: el conjunto de MCS con portadora única (SC).</w:t>
      </w:r>
    </w:p>
    <w:p w:rsidR="00573030" w:rsidRPr="0023523B" w:rsidRDefault="00573030" w:rsidP="00573030">
      <w:pPr>
        <w:pStyle w:val="enumlev1"/>
        <w:rPr>
          <w:lang w:val="es-ES_tradnl"/>
        </w:rPr>
      </w:pPr>
      <w:r w:rsidRPr="0023523B">
        <w:rPr>
          <w:lang w:val="es-ES_tradnl"/>
        </w:rPr>
        <w:t>c)</w:t>
      </w:r>
      <w:r w:rsidRPr="0023523B">
        <w:rPr>
          <w:lang w:val="es-ES_tradnl"/>
        </w:rPr>
        <w:tab/>
        <w:t xml:space="preserve">MCS13 a MCS24: conjunto de MCS con </w:t>
      </w:r>
      <w:proofErr w:type="spellStart"/>
      <w:r w:rsidRPr="0023523B">
        <w:rPr>
          <w:lang w:val="es-ES_tradnl"/>
        </w:rPr>
        <w:t>multiplexación</w:t>
      </w:r>
      <w:proofErr w:type="spellEnd"/>
      <w:r w:rsidRPr="0023523B">
        <w:rPr>
          <w:lang w:val="es-ES_tradnl"/>
        </w:rPr>
        <w:t xml:space="preserve"> por división de frecuencias ortogonales (OFDM).</w:t>
      </w:r>
    </w:p>
    <w:p w:rsidR="00573030" w:rsidRPr="0023523B" w:rsidRDefault="00573030" w:rsidP="00573030">
      <w:pPr>
        <w:rPr>
          <w:lang w:val="es-ES_tradnl"/>
        </w:rPr>
      </w:pPr>
      <w:r w:rsidRPr="0023523B">
        <w:rPr>
          <w:lang w:val="es-ES_tradnl"/>
        </w:rPr>
        <w:lastRenderedPageBreak/>
        <w:t xml:space="preserve">La norma IEEE </w:t>
      </w:r>
      <w:proofErr w:type="spellStart"/>
      <w:r w:rsidRPr="0023523B">
        <w:rPr>
          <w:lang w:val="es-ES_tradnl"/>
        </w:rPr>
        <w:t>Std</w:t>
      </w:r>
      <w:proofErr w:type="spellEnd"/>
      <w:r w:rsidRPr="0023523B">
        <w:rPr>
          <w:lang w:val="es-ES_tradnl"/>
        </w:rPr>
        <w:t xml:space="preserve"> 802.11ad-2012 define reglas de CCA aplicables a cada conjunto de MCS, de la forma siguiente:</w:t>
      </w:r>
    </w:p>
    <w:p w:rsidR="00573030" w:rsidRPr="0023523B" w:rsidRDefault="00573030" w:rsidP="00573030">
      <w:pPr>
        <w:pStyle w:val="enumlev1"/>
        <w:rPr>
          <w:lang w:val="es-ES_tradnl"/>
        </w:rPr>
      </w:pPr>
      <w:r w:rsidRPr="0023523B">
        <w:rPr>
          <w:lang w:val="es-ES_tradnl"/>
        </w:rPr>
        <w:t>a)</w:t>
      </w:r>
      <w:r w:rsidRPr="0023523B">
        <w:rPr>
          <w:lang w:val="es-ES_tradnl"/>
        </w:rPr>
        <w:tab/>
        <w:t>MCS de control: el comienzo de una transmisión válida de un MCS de control con un nivel de recepción mayor que la sensibilidad mínima del MCS de control (−78 </w:t>
      </w:r>
      <w:proofErr w:type="spellStart"/>
      <w:r w:rsidRPr="0023523B">
        <w:rPr>
          <w:lang w:val="es-ES_tradnl"/>
        </w:rPr>
        <w:t>dBm</w:t>
      </w:r>
      <w:proofErr w:type="spellEnd"/>
      <w:r w:rsidRPr="0023523B">
        <w:rPr>
          <w:lang w:val="es-ES_tradnl"/>
        </w:rPr>
        <w:t xml:space="preserve">) hará que la CCA indique ocupado con una probabilidad &gt; 90% en </w:t>
      </w:r>
      <w:r>
        <w:rPr>
          <w:lang w:val="es-ES_tradnl"/>
        </w:rPr>
        <w:t>3 µs.</w:t>
      </w:r>
    </w:p>
    <w:p w:rsidR="00573030" w:rsidRPr="0023523B" w:rsidRDefault="00573030" w:rsidP="00573030">
      <w:pPr>
        <w:pStyle w:val="enumlev1"/>
        <w:rPr>
          <w:lang w:val="es-ES_tradnl"/>
        </w:rPr>
      </w:pPr>
      <w:r w:rsidRPr="0023523B">
        <w:rPr>
          <w:lang w:val="es-ES_tradnl"/>
        </w:rPr>
        <w:t>b)</w:t>
      </w:r>
      <w:r w:rsidRPr="0023523B">
        <w:rPr>
          <w:lang w:val="es-ES_tradnl"/>
        </w:rPr>
        <w:tab/>
        <w:t>Conjunto MCS con SC: el comienzo de una transmisión válida de un MCS con SC con un nivel de recepción mayor que la sensibilidad mínima del MCS1 (−68 </w:t>
      </w:r>
      <w:proofErr w:type="spellStart"/>
      <w:r w:rsidRPr="0023523B">
        <w:rPr>
          <w:lang w:val="es-ES_tradnl"/>
        </w:rPr>
        <w:t>dBm</w:t>
      </w:r>
      <w:proofErr w:type="spellEnd"/>
      <w:r w:rsidRPr="0023523B">
        <w:rPr>
          <w:lang w:val="es-ES_tradnl"/>
        </w:rPr>
        <w:t>) hará que la CCA indique ocupado con una probabilidad &gt; 90% en 1 µs. El receptor mantendrá en modo ocupado la señal de detección de portadora para cualquier señal con un nivel 20 dB superior a la sensibilidad mínima</w:t>
      </w:r>
      <w:r>
        <w:rPr>
          <w:lang w:val="es-ES_tradnl"/>
        </w:rPr>
        <w:t xml:space="preserve"> de MCS</w:t>
      </w:r>
      <w:r w:rsidRPr="0023523B">
        <w:rPr>
          <w:lang w:val="es-ES_tradnl"/>
        </w:rPr>
        <w:t>1.</w:t>
      </w:r>
    </w:p>
    <w:p w:rsidR="00573030" w:rsidRPr="0023523B" w:rsidRDefault="00573030" w:rsidP="00573030">
      <w:pPr>
        <w:pStyle w:val="enumlev1"/>
        <w:rPr>
          <w:lang w:val="es-ES_tradnl"/>
        </w:rPr>
      </w:pPr>
      <w:r w:rsidRPr="0023523B">
        <w:rPr>
          <w:lang w:val="es-ES_tradnl"/>
        </w:rPr>
        <w:t>c)</w:t>
      </w:r>
      <w:r w:rsidRPr="0023523B">
        <w:rPr>
          <w:lang w:val="es-ES_tradnl"/>
        </w:rPr>
        <w:tab/>
        <w:t>Conjunto MCS con OFDM: el comienzo de una transmisión válida de un MCS con OFDM o de un MCS con SC con un nivel de recepción mayor que la sensibilidad mínima de MCS13 (−66 </w:t>
      </w:r>
      <w:proofErr w:type="spellStart"/>
      <w:r w:rsidRPr="0023523B">
        <w:rPr>
          <w:lang w:val="es-ES_tradnl"/>
        </w:rPr>
        <w:t>dBm</w:t>
      </w:r>
      <w:proofErr w:type="spellEnd"/>
      <w:r w:rsidRPr="0023523B">
        <w:rPr>
          <w:lang w:val="es-ES_tradnl"/>
        </w:rPr>
        <w:t>) hará que CCA indique ocupado con una probabilidad &gt; 90% en 1 µs.</w:t>
      </w:r>
    </w:p>
    <w:p w:rsidR="00573030" w:rsidRPr="0023523B" w:rsidRDefault="00573030" w:rsidP="00573030">
      <w:pPr>
        <w:pStyle w:val="Heading1"/>
        <w:rPr>
          <w:lang w:val="es-ES_tradnl"/>
        </w:rPr>
      </w:pPr>
      <w:r w:rsidRPr="0023523B">
        <w:rPr>
          <w:lang w:val="es-ES_tradnl"/>
        </w:rPr>
        <w:t>3</w:t>
      </w:r>
      <w:r w:rsidRPr="0023523B">
        <w:rPr>
          <w:lang w:val="es-ES_tradnl"/>
        </w:rPr>
        <w:tab/>
        <w:t>Normas aplicables a los sistemas inalámbricos de múltiples gigabits</w:t>
      </w:r>
    </w:p>
    <w:p w:rsidR="00573030" w:rsidRPr="0023523B" w:rsidRDefault="00573030" w:rsidP="00573030">
      <w:pPr>
        <w:keepNext/>
        <w:keepLines/>
        <w:rPr>
          <w:lang w:val="es-ES_tradnl"/>
        </w:rPr>
      </w:pPr>
      <w:r w:rsidRPr="0023523B">
        <w:rPr>
          <w:lang w:val="es-ES_tradnl"/>
        </w:rPr>
        <w:t>A continuación se presenta una lista de normas que incluyen especificaciones de MGWS:</w:t>
      </w:r>
    </w:p>
    <w:p w:rsidR="00573030" w:rsidRPr="00573030" w:rsidRDefault="00573030" w:rsidP="00573030">
      <w:pPr>
        <w:pStyle w:val="enumlev1"/>
        <w:keepNext/>
        <w:keepLines/>
        <w:rPr>
          <w:lang w:val="en-US"/>
        </w:rPr>
      </w:pPr>
      <w:r w:rsidRPr="00573030">
        <w:rPr>
          <w:lang w:val="en-US"/>
        </w:rPr>
        <w:t>1)</w:t>
      </w:r>
      <w:r w:rsidRPr="00573030">
        <w:rPr>
          <w:lang w:val="en-US"/>
        </w:rPr>
        <w:tab/>
        <w:t xml:space="preserve">IEEE </w:t>
      </w:r>
      <w:proofErr w:type="spellStart"/>
      <w:r w:rsidRPr="00573030">
        <w:rPr>
          <w:lang w:val="en-US"/>
        </w:rPr>
        <w:t>Std</w:t>
      </w:r>
      <w:proofErr w:type="spellEnd"/>
      <w:r w:rsidRPr="00573030">
        <w:rPr>
          <w:lang w:val="en-US"/>
        </w:rPr>
        <w:t xml:space="preserve"> 802.11ad-2012, IEEE Standard for Information Technology – Telecommunications and Information Exchange Between Systems – Local and Metropolitan Area Networks – Specific Requirements – Part 11: Wireless LAN Medium Access Control (MAC) and Physical Layer (PHY) Specifications – Amendment 3: Enhancements for Very High Throughput in the 60 GHz Band. </w:t>
      </w:r>
      <w:proofErr w:type="spellStart"/>
      <w:r w:rsidRPr="00573030">
        <w:rPr>
          <w:lang w:val="en-US"/>
        </w:rPr>
        <w:t>Diciembre</w:t>
      </w:r>
      <w:proofErr w:type="spellEnd"/>
      <w:r w:rsidRPr="00573030">
        <w:rPr>
          <w:lang w:val="en-US"/>
        </w:rPr>
        <w:t xml:space="preserve"> 2012.</w:t>
      </w:r>
    </w:p>
    <w:p w:rsidR="00573030" w:rsidRPr="00573030" w:rsidRDefault="00573030" w:rsidP="00573030">
      <w:pPr>
        <w:pStyle w:val="enumlev1"/>
        <w:keepNext/>
        <w:keepLines/>
        <w:rPr>
          <w:lang w:val="en-US"/>
        </w:rPr>
      </w:pPr>
      <w:r w:rsidRPr="00573030">
        <w:rPr>
          <w:lang w:val="en-US"/>
        </w:rPr>
        <w:t>2)</w:t>
      </w:r>
      <w:r w:rsidRPr="00573030">
        <w:rPr>
          <w:lang w:val="en-US"/>
        </w:rPr>
        <w:tab/>
      </w:r>
      <w:r w:rsidRPr="00573030">
        <w:rPr>
          <w:szCs w:val="24"/>
          <w:lang w:val="en-US"/>
        </w:rPr>
        <w:t xml:space="preserve">IEEE </w:t>
      </w:r>
      <w:proofErr w:type="spellStart"/>
      <w:r w:rsidRPr="00573030">
        <w:rPr>
          <w:szCs w:val="24"/>
          <w:lang w:val="en-US"/>
        </w:rPr>
        <w:t>Std</w:t>
      </w:r>
      <w:proofErr w:type="spellEnd"/>
      <w:r w:rsidRPr="00573030">
        <w:rPr>
          <w:szCs w:val="24"/>
          <w:lang w:val="en-US"/>
        </w:rPr>
        <w:t xml:space="preserve"> 802.15.3c</w:t>
      </w:r>
      <w:r w:rsidRPr="00573030">
        <w:rPr>
          <w:szCs w:val="24"/>
          <w:vertAlign w:val="superscript"/>
          <w:lang w:val="en-US"/>
        </w:rPr>
        <w:t>TM</w:t>
      </w:r>
      <w:r w:rsidRPr="00573030">
        <w:rPr>
          <w:szCs w:val="24"/>
          <w:lang w:val="en-US"/>
        </w:rPr>
        <w:t>-2009,</w:t>
      </w:r>
      <w:r w:rsidRPr="00573030">
        <w:rPr>
          <w:lang w:val="en-US"/>
        </w:rPr>
        <w:t xml:space="preserve"> IEEE Standard for Information Technology – Telecommunications and Information Exchange Between Systems – Local and Metropolitan Area Networks – Specific Requirements – Part 15.3: Wireless Medium Access Control (MAC) and Physical Layer (PHY) Specifications for High Rate Wireless Personal Area Networks (WPANs) – Amendment 2: Millimeter-wave-based Alternative Physical Layer Extension. </w:t>
      </w:r>
    </w:p>
    <w:p w:rsidR="00573030" w:rsidRPr="0023523B" w:rsidRDefault="00573030" w:rsidP="00573030">
      <w:pPr>
        <w:pStyle w:val="enumlev1"/>
        <w:keepNext/>
        <w:keepLines/>
        <w:rPr>
          <w:rFonts w:ascii="Calibri" w:hAnsi="Calibri"/>
          <w:lang w:val="es-ES_tradnl"/>
        </w:rPr>
      </w:pPr>
      <w:r w:rsidRPr="0023523B">
        <w:rPr>
          <w:lang w:val="es-ES_tradnl"/>
        </w:rPr>
        <w:t>3)</w:t>
      </w:r>
      <w:r w:rsidRPr="0023523B">
        <w:rPr>
          <w:lang w:val="es-ES_tradnl"/>
        </w:rPr>
        <w:tab/>
        <w:t xml:space="preserve">ETSI EN 302 567 v1.2.1 (2012-01), </w:t>
      </w:r>
      <w:proofErr w:type="spellStart"/>
      <w:r w:rsidRPr="0023523B">
        <w:rPr>
          <w:lang w:val="es-ES_tradnl"/>
        </w:rPr>
        <w:t>Broadband</w:t>
      </w:r>
      <w:proofErr w:type="spellEnd"/>
      <w:r w:rsidRPr="0023523B">
        <w:rPr>
          <w:lang w:val="es-ES_tradnl"/>
        </w:rPr>
        <w:t xml:space="preserve"> Radio Access Networks (BRAN); 60 GHz </w:t>
      </w:r>
      <w:proofErr w:type="spellStart"/>
      <w:r w:rsidRPr="0023523B">
        <w:rPr>
          <w:lang w:val="es-ES_tradnl"/>
        </w:rPr>
        <w:t>Multiple</w:t>
      </w:r>
      <w:proofErr w:type="spellEnd"/>
      <w:r w:rsidRPr="0023523B">
        <w:rPr>
          <w:lang w:val="es-ES_tradnl"/>
        </w:rPr>
        <w:t xml:space="preserve">-Gigabit WAS/RLAN </w:t>
      </w:r>
      <w:proofErr w:type="spellStart"/>
      <w:r w:rsidRPr="0023523B">
        <w:rPr>
          <w:lang w:val="es-ES_tradnl"/>
        </w:rPr>
        <w:t>Systems</w:t>
      </w:r>
      <w:proofErr w:type="spellEnd"/>
      <w:r w:rsidRPr="0023523B">
        <w:rPr>
          <w:lang w:val="es-ES_tradnl"/>
        </w:rPr>
        <w:t>; EN armonizada que incluye los requisitos esenciales del artículo 3.2 de la Directiva R&amp;TTE.</w:t>
      </w:r>
    </w:p>
    <w:p w:rsidR="00573030" w:rsidRPr="00573030" w:rsidRDefault="00573030" w:rsidP="00573030">
      <w:pPr>
        <w:pStyle w:val="enumlev1"/>
        <w:keepNext/>
        <w:keepLines/>
        <w:rPr>
          <w:lang w:val="en-US"/>
        </w:rPr>
      </w:pPr>
      <w:r w:rsidRPr="00573030">
        <w:rPr>
          <w:lang w:val="en-US"/>
        </w:rPr>
        <w:t>4)</w:t>
      </w:r>
      <w:r w:rsidRPr="00573030">
        <w:rPr>
          <w:lang w:val="en-US"/>
        </w:rPr>
        <w:tab/>
        <w:t>Wireless</w:t>
      </w:r>
      <w:r w:rsidRPr="00573030">
        <w:rPr>
          <w:szCs w:val="24"/>
          <w:lang w:val="en-US"/>
        </w:rPr>
        <w:t xml:space="preserve"> Gigabit Alliance (WGA): </w:t>
      </w:r>
      <w:proofErr w:type="spellStart"/>
      <w:r w:rsidRPr="00573030">
        <w:rPr>
          <w:szCs w:val="24"/>
          <w:lang w:val="en-US"/>
        </w:rPr>
        <w:t>WiGig</w:t>
      </w:r>
      <w:proofErr w:type="spellEnd"/>
      <w:r w:rsidRPr="00573030">
        <w:rPr>
          <w:szCs w:val="24"/>
          <w:lang w:val="en-US"/>
        </w:rPr>
        <w:t xml:space="preserve"> MAC and PHY Specification v1.2, </w:t>
      </w:r>
      <w:proofErr w:type="spellStart"/>
      <w:r w:rsidRPr="00573030">
        <w:rPr>
          <w:szCs w:val="24"/>
          <w:lang w:val="en-US"/>
        </w:rPr>
        <w:t>Marzo</w:t>
      </w:r>
      <w:proofErr w:type="spellEnd"/>
      <w:r w:rsidRPr="00573030">
        <w:rPr>
          <w:szCs w:val="24"/>
          <w:lang w:val="en-US"/>
        </w:rPr>
        <w:t xml:space="preserve"> 2012</w:t>
      </w:r>
      <w:r w:rsidRPr="00573030">
        <w:rPr>
          <w:lang w:val="en-US"/>
        </w:rPr>
        <w:t>.</w:t>
      </w:r>
    </w:p>
    <w:p w:rsidR="00573030" w:rsidRPr="00573030" w:rsidRDefault="00573030" w:rsidP="00573030">
      <w:pPr>
        <w:pStyle w:val="enumlev1"/>
        <w:keepNext/>
        <w:keepLines/>
        <w:rPr>
          <w:lang w:val="en-US"/>
        </w:rPr>
      </w:pPr>
      <w:r w:rsidRPr="00573030">
        <w:rPr>
          <w:lang w:val="en-US"/>
        </w:rPr>
        <w:t>5)</w:t>
      </w:r>
      <w:r w:rsidRPr="00573030">
        <w:rPr>
          <w:lang w:val="en-US"/>
        </w:rPr>
        <w:tab/>
      </w:r>
      <w:r w:rsidRPr="00573030">
        <w:rPr>
          <w:szCs w:val="24"/>
          <w:lang w:val="en-US"/>
        </w:rPr>
        <w:t>ISO/IEC 13156,</w:t>
      </w:r>
      <w:r w:rsidRPr="00573030">
        <w:rPr>
          <w:lang w:val="en-US"/>
        </w:rPr>
        <w:t xml:space="preserve"> Information technology – Telecommunications and information exchange between systems – High rate 60 GHz PHY, MAC and PALs.</w:t>
      </w:r>
    </w:p>
    <w:p w:rsidR="00573030" w:rsidRPr="0023523B" w:rsidRDefault="00573030" w:rsidP="00573030">
      <w:pPr>
        <w:pStyle w:val="Heading1"/>
        <w:rPr>
          <w:lang w:val="es-ES_tradnl"/>
        </w:rPr>
      </w:pPr>
      <w:r w:rsidRPr="0023523B">
        <w:rPr>
          <w:lang w:val="es-ES_tradnl"/>
        </w:rPr>
        <w:t>4</w:t>
      </w:r>
      <w:r w:rsidRPr="0023523B">
        <w:rPr>
          <w:lang w:val="es-ES_tradnl"/>
        </w:rPr>
        <w:tab/>
        <w:t xml:space="preserve">Acrónimos y abreviaturas </w:t>
      </w:r>
    </w:p>
    <w:p w:rsidR="00573030" w:rsidRPr="0023523B" w:rsidRDefault="00573030" w:rsidP="00573030">
      <w:pPr>
        <w:rPr>
          <w:lang w:val="es-ES_tradnl"/>
        </w:rPr>
      </w:pPr>
      <w:r w:rsidRPr="0023523B">
        <w:rPr>
          <w:lang w:val="es-ES_tradnl"/>
        </w:rPr>
        <w:t>CCA</w:t>
      </w:r>
      <w:r w:rsidRPr="0023523B">
        <w:rPr>
          <w:lang w:val="es-ES_tradnl"/>
        </w:rPr>
        <w:tab/>
      </w:r>
      <w:r w:rsidRPr="0023523B">
        <w:rPr>
          <w:lang w:val="es-ES_tradnl"/>
        </w:rPr>
        <w:tab/>
        <w:t>Evaluación de canal despejado (</w:t>
      </w:r>
      <w:proofErr w:type="spellStart"/>
      <w:r w:rsidRPr="0023523B">
        <w:rPr>
          <w:i/>
          <w:iCs/>
          <w:lang w:val="es-ES_tradnl"/>
        </w:rPr>
        <w:t>clear</w:t>
      </w:r>
      <w:proofErr w:type="spellEnd"/>
      <w:r w:rsidRPr="0023523B">
        <w:rPr>
          <w:i/>
          <w:iCs/>
          <w:lang w:val="es-ES_tradnl"/>
        </w:rPr>
        <w:t xml:space="preserve"> </w:t>
      </w:r>
      <w:proofErr w:type="spellStart"/>
      <w:r w:rsidRPr="0023523B">
        <w:rPr>
          <w:i/>
          <w:iCs/>
          <w:lang w:val="es-ES_tradnl"/>
        </w:rPr>
        <w:t>channel</w:t>
      </w:r>
      <w:proofErr w:type="spellEnd"/>
      <w:r w:rsidRPr="0023523B">
        <w:rPr>
          <w:i/>
          <w:iCs/>
          <w:lang w:val="es-ES_tradnl"/>
        </w:rPr>
        <w:t xml:space="preserve"> </w:t>
      </w:r>
      <w:proofErr w:type="spellStart"/>
      <w:r w:rsidRPr="0023523B">
        <w:rPr>
          <w:i/>
          <w:iCs/>
          <w:lang w:val="es-ES_tradnl"/>
        </w:rPr>
        <w:t>assessment</w:t>
      </w:r>
      <w:proofErr w:type="spellEnd"/>
      <w:r w:rsidRPr="0023523B">
        <w:rPr>
          <w:lang w:val="es-ES_tradnl"/>
        </w:rPr>
        <w:t>)</w:t>
      </w:r>
    </w:p>
    <w:p w:rsidR="00573030" w:rsidRPr="0023523B" w:rsidRDefault="00573030" w:rsidP="00573030">
      <w:pPr>
        <w:rPr>
          <w:lang w:val="es-ES_tradnl"/>
        </w:rPr>
      </w:pPr>
      <w:r w:rsidRPr="0023523B">
        <w:rPr>
          <w:lang w:val="es-ES_tradnl"/>
        </w:rPr>
        <w:t>CE</w:t>
      </w:r>
      <w:r w:rsidRPr="0023523B">
        <w:rPr>
          <w:lang w:val="es-ES_tradnl"/>
        </w:rPr>
        <w:tab/>
      </w:r>
      <w:r w:rsidRPr="0023523B">
        <w:rPr>
          <w:lang w:val="es-ES_tradnl"/>
        </w:rPr>
        <w:tab/>
        <w:t>Electrónica de consumo (</w:t>
      </w:r>
      <w:proofErr w:type="spellStart"/>
      <w:r w:rsidRPr="0023523B">
        <w:rPr>
          <w:i/>
          <w:iCs/>
          <w:lang w:val="es-ES_tradnl"/>
        </w:rPr>
        <w:t>consumer</w:t>
      </w:r>
      <w:proofErr w:type="spellEnd"/>
      <w:r w:rsidRPr="0023523B">
        <w:rPr>
          <w:i/>
          <w:iCs/>
          <w:lang w:val="es-ES_tradnl"/>
        </w:rPr>
        <w:t xml:space="preserve"> </w:t>
      </w:r>
      <w:proofErr w:type="spellStart"/>
      <w:r w:rsidRPr="0023523B">
        <w:rPr>
          <w:i/>
          <w:iCs/>
          <w:lang w:val="es-ES_tradnl"/>
        </w:rPr>
        <w:t>electronics</w:t>
      </w:r>
      <w:proofErr w:type="spellEnd"/>
      <w:r w:rsidRPr="0023523B">
        <w:rPr>
          <w:lang w:val="es-ES_tradnl"/>
        </w:rPr>
        <w:t>)</w:t>
      </w:r>
    </w:p>
    <w:p w:rsidR="00573030" w:rsidRPr="0023523B" w:rsidRDefault="00573030" w:rsidP="00573030">
      <w:pPr>
        <w:rPr>
          <w:lang w:val="es-ES_tradnl"/>
        </w:rPr>
      </w:pPr>
      <w:r w:rsidRPr="0023523B">
        <w:rPr>
          <w:lang w:val="es-ES_tradnl"/>
        </w:rPr>
        <w:t>HDMI</w:t>
      </w:r>
      <w:r w:rsidRPr="0023523B">
        <w:rPr>
          <w:lang w:val="es-ES_tradnl"/>
        </w:rPr>
        <w:tab/>
      </w:r>
      <w:r w:rsidRPr="0023523B">
        <w:rPr>
          <w:lang w:val="es-ES_tradnl"/>
        </w:rPr>
        <w:tab/>
        <w:t>Interfaz multimedios de alta definición (</w:t>
      </w:r>
      <w:proofErr w:type="spellStart"/>
      <w:r w:rsidRPr="0023523B">
        <w:rPr>
          <w:i/>
          <w:iCs/>
          <w:lang w:val="es-ES_tradnl"/>
        </w:rPr>
        <w:t>high</w:t>
      </w:r>
      <w:proofErr w:type="spellEnd"/>
      <w:r w:rsidRPr="0023523B">
        <w:rPr>
          <w:i/>
          <w:iCs/>
          <w:lang w:val="es-ES_tradnl"/>
        </w:rPr>
        <w:t xml:space="preserve"> </w:t>
      </w:r>
      <w:proofErr w:type="spellStart"/>
      <w:r w:rsidRPr="0023523B">
        <w:rPr>
          <w:i/>
          <w:iCs/>
          <w:lang w:val="es-ES_tradnl"/>
        </w:rPr>
        <w:t>definition</w:t>
      </w:r>
      <w:proofErr w:type="spellEnd"/>
      <w:r w:rsidRPr="0023523B">
        <w:rPr>
          <w:i/>
          <w:iCs/>
          <w:lang w:val="es-ES_tradnl"/>
        </w:rPr>
        <w:t xml:space="preserve"> multimedia interface</w:t>
      </w:r>
      <w:r w:rsidRPr="0023523B">
        <w:rPr>
          <w:lang w:val="es-ES_tradnl"/>
        </w:rPr>
        <w:t>)</w:t>
      </w:r>
    </w:p>
    <w:p w:rsidR="00573030" w:rsidRPr="0023523B" w:rsidRDefault="00573030" w:rsidP="00573030">
      <w:pPr>
        <w:rPr>
          <w:lang w:val="es-ES_tradnl"/>
        </w:rPr>
      </w:pPr>
      <w:r w:rsidRPr="0023523B">
        <w:rPr>
          <w:lang w:val="es-ES_tradnl"/>
        </w:rPr>
        <w:t>MGWS</w:t>
      </w:r>
      <w:r w:rsidRPr="0023523B">
        <w:rPr>
          <w:lang w:val="es-ES_tradnl"/>
        </w:rPr>
        <w:tab/>
      </w:r>
      <w:r w:rsidRPr="0023523B">
        <w:rPr>
          <w:lang w:val="es-ES_tradnl"/>
        </w:rPr>
        <w:tab/>
        <w:t>Sistemas inalámbricos de múltiples gigabits (</w:t>
      </w:r>
      <w:proofErr w:type="spellStart"/>
      <w:r w:rsidRPr="0023523B">
        <w:rPr>
          <w:i/>
          <w:iCs/>
          <w:lang w:val="es-ES_tradnl"/>
        </w:rPr>
        <w:t>multiple</w:t>
      </w:r>
      <w:proofErr w:type="spellEnd"/>
      <w:r w:rsidRPr="0023523B">
        <w:rPr>
          <w:i/>
          <w:iCs/>
          <w:lang w:val="es-ES_tradnl"/>
        </w:rPr>
        <w:t xml:space="preserve"> gigabit </w:t>
      </w:r>
      <w:proofErr w:type="spellStart"/>
      <w:r w:rsidRPr="0023523B">
        <w:rPr>
          <w:i/>
          <w:iCs/>
          <w:lang w:val="es-ES_tradnl"/>
        </w:rPr>
        <w:t>wireless</w:t>
      </w:r>
      <w:proofErr w:type="spellEnd"/>
      <w:r w:rsidRPr="0023523B">
        <w:rPr>
          <w:i/>
          <w:iCs/>
          <w:lang w:val="es-ES_tradnl"/>
        </w:rPr>
        <w:t xml:space="preserve"> </w:t>
      </w:r>
      <w:proofErr w:type="spellStart"/>
      <w:r w:rsidRPr="0023523B">
        <w:rPr>
          <w:i/>
          <w:iCs/>
          <w:lang w:val="es-ES_tradnl"/>
        </w:rPr>
        <w:t>systems</w:t>
      </w:r>
      <w:proofErr w:type="spellEnd"/>
      <w:r w:rsidRPr="0023523B">
        <w:rPr>
          <w:lang w:val="es-ES_tradnl"/>
        </w:rPr>
        <w:t>)</w:t>
      </w:r>
    </w:p>
    <w:p w:rsidR="00573030" w:rsidRPr="0023523B" w:rsidRDefault="00573030" w:rsidP="00573030">
      <w:pPr>
        <w:rPr>
          <w:lang w:val="es-ES_tradnl"/>
        </w:rPr>
      </w:pPr>
      <w:r w:rsidRPr="0023523B">
        <w:rPr>
          <w:lang w:val="es-ES_tradnl"/>
        </w:rPr>
        <w:t>MCS</w:t>
      </w:r>
      <w:r w:rsidRPr="0023523B">
        <w:rPr>
          <w:lang w:val="es-ES_tradnl"/>
        </w:rPr>
        <w:tab/>
      </w:r>
      <w:r w:rsidRPr="0023523B">
        <w:rPr>
          <w:lang w:val="es-ES_tradnl"/>
        </w:rPr>
        <w:tab/>
        <w:t xml:space="preserve">Esquema de modulación y modulación </w:t>
      </w:r>
      <w:r w:rsidRPr="0023523B">
        <w:rPr>
          <w:i/>
          <w:iCs/>
          <w:lang w:val="es-ES_tradnl"/>
        </w:rPr>
        <w:t>(</w:t>
      </w:r>
      <w:proofErr w:type="spellStart"/>
      <w:r w:rsidRPr="0023523B">
        <w:rPr>
          <w:i/>
          <w:iCs/>
          <w:lang w:val="es-ES_tradnl"/>
        </w:rPr>
        <w:t>modulation</w:t>
      </w:r>
      <w:proofErr w:type="spellEnd"/>
      <w:r w:rsidRPr="0023523B">
        <w:rPr>
          <w:i/>
          <w:iCs/>
          <w:lang w:val="es-ES_tradnl"/>
        </w:rPr>
        <w:t xml:space="preserve"> and </w:t>
      </w:r>
      <w:proofErr w:type="spellStart"/>
      <w:r w:rsidRPr="0023523B">
        <w:rPr>
          <w:i/>
          <w:iCs/>
          <w:lang w:val="es-ES_tradnl"/>
        </w:rPr>
        <w:t>coding</w:t>
      </w:r>
      <w:proofErr w:type="spellEnd"/>
      <w:r w:rsidRPr="0023523B">
        <w:rPr>
          <w:i/>
          <w:iCs/>
          <w:lang w:val="es-ES_tradnl"/>
        </w:rPr>
        <w:t xml:space="preserve"> </w:t>
      </w:r>
      <w:proofErr w:type="spellStart"/>
      <w:r w:rsidRPr="0023523B">
        <w:rPr>
          <w:i/>
          <w:iCs/>
          <w:lang w:val="es-ES_tradnl"/>
        </w:rPr>
        <w:t>scheme</w:t>
      </w:r>
      <w:proofErr w:type="spellEnd"/>
      <w:r w:rsidRPr="0023523B">
        <w:rPr>
          <w:lang w:val="es-ES_tradnl"/>
        </w:rPr>
        <w:t>)</w:t>
      </w:r>
    </w:p>
    <w:p w:rsidR="00573030" w:rsidRPr="0023523B" w:rsidRDefault="00573030" w:rsidP="0039220B">
      <w:pPr>
        <w:ind w:left="1191" w:hanging="1191"/>
        <w:rPr>
          <w:lang w:val="es-ES_tradnl"/>
        </w:rPr>
      </w:pPr>
      <w:r w:rsidRPr="0023523B">
        <w:rPr>
          <w:lang w:val="es-ES_tradnl"/>
        </w:rPr>
        <w:t>OFDM</w:t>
      </w:r>
      <w:r w:rsidRPr="0023523B">
        <w:rPr>
          <w:lang w:val="es-ES_tradnl"/>
        </w:rPr>
        <w:tab/>
      </w:r>
      <w:r w:rsidRPr="0023523B">
        <w:rPr>
          <w:lang w:val="es-ES_tradnl"/>
        </w:rPr>
        <w:tab/>
      </w:r>
      <w:proofErr w:type="spellStart"/>
      <w:r w:rsidRPr="0023523B">
        <w:rPr>
          <w:lang w:val="es-ES_tradnl"/>
        </w:rPr>
        <w:t>Multiplexación</w:t>
      </w:r>
      <w:proofErr w:type="spellEnd"/>
      <w:r w:rsidRPr="0023523B">
        <w:rPr>
          <w:lang w:val="es-ES_tradnl"/>
        </w:rPr>
        <w:t xml:space="preserve"> por división de frecuencias ortogonales (</w:t>
      </w:r>
      <w:proofErr w:type="spellStart"/>
      <w:r w:rsidRPr="0023523B">
        <w:rPr>
          <w:i/>
          <w:iCs/>
          <w:lang w:val="es-ES_tradnl"/>
        </w:rPr>
        <w:t>orthogonal</w:t>
      </w:r>
      <w:proofErr w:type="spellEnd"/>
      <w:r w:rsidRPr="0023523B">
        <w:rPr>
          <w:i/>
          <w:iCs/>
          <w:lang w:val="es-ES_tradnl"/>
        </w:rPr>
        <w:t xml:space="preserve"> </w:t>
      </w:r>
      <w:proofErr w:type="spellStart"/>
      <w:r w:rsidRPr="0023523B">
        <w:rPr>
          <w:i/>
          <w:iCs/>
          <w:lang w:val="es-ES_tradnl"/>
        </w:rPr>
        <w:t>frequency</w:t>
      </w:r>
      <w:proofErr w:type="spellEnd"/>
      <w:r w:rsidRPr="0023523B">
        <w:rPr>
          <w:i/>
          <w:iCs/>
          <w:lang w:val="es-ES_tradnl"/>
        </w:rPr>
        <w:t xml:space="preserve"> división </w:t>
      </w:r>
      <w:proofErr w:type="spellStart"/>
      <w:r w:rsidRPr="0023523B">
        <w:rPr>
          <w:i/>
          <w:iCs/>
          <w:lang w:val="es-ES_tradnl"/>
        </w:rPr>
        <w:t>multiplexing</w:t>
      </w:r>
      <w:proofErr w:type="spellEnd"/>
      <w:r w:rsidRPr="0023523B">
        <w:rPr>
          <w:lang w:val="es-ES_tradnl"/>
        </w:rPr>
        <w:t>)</w:t>
      </w:r>
    </w:p>
    <w:p w:rsidR="00573030" w:rsidRPr="0023523B" w:rsidRDefault="00573030" w:rsidP="00573030">
      <w:pPr>
        <w:rPr>
          <w:lang w:val="es-ES_tradnl"/>
        </w:rPr>
      </w:pPr>
      <w:r w:rsidRPr="0023523B">
        <w:rPr>
          <w:lang w:val="es-ES_tradnl"/>
        </w:rPr>
        <w:t>PER</w:t>
      </w:r>
      <w:r w:rsidRPr="0023523B">
        <w:rPr>
          <w:lang w:val="es-ES_tradnl"/>
        </w:rPr>
        <w:tab/>
      </w:r>
      <w:r w:rsidRPr="0023523B">
        <w:rPr>
          <w:lang w:val="es-ES_tradnl"/>
        </w:rPr>
        <w:tab/>
        <w:t>Tasa de errores en los paquetes (</w:t>
      </w:r>
      <w:proofErr w:type="spellStart"/>
      <w:r w:rsidRPr="0023523B">
        <w:rPr>
          <w:i/>
          <w:iCs/>
          <w:lang w:val="es-ES_tradnl"/>
        </w:rPr>
        <w:t>packet</w:t>
      </w:r>
      <w:proofErr w:type="spellEnd"/>
      <w:r w:rsidRPr="0023523B">
        <w:rPr>
          <w:i/>
          <w:iCs/>
          <w:lang w:val="es-ES_tradnl"/>
        </w:rPr>
        <w:t xml:space="preserve"> error </w:t>
      </w:r>
      <w:proofErr w:type="spellStart"/>
      <w:r w:rsidRPr="0023523B">
        <w:rPr>
          <w:i/>
          <w:iCs/>
          <w:lang w:val="es-ES_tradnl"/>
        </w:rPr>
        <w:t>rate</w:t>
      </w:r>
      <w:proofErr w:type="spellEnd"/>
      <w:r w:rsidRPr="0023523B">
        <w:rPr>
          <w:lang w:val="es-ES_tradnl"/>
        </w:rPr>
        <w:t>)</w:t>
      </w:r>
    </w:p>
    <w:p w:rsidR="00573030" w:rsidRPr="0023523B" w:rsidRDefault="00573030" w:rsidP="00573030">
      <w:pPr>
        <w:rPr>
          <w:lang w:val="es-ES_tradnl"/>
        </w:rPr>
      </w:pPr>
      <w:r w:rsidRPr="0023523B">
        <w:rPr>
          <w:lang w:val="es-ES_tradnl"/>
        </w:rPr>
        <w:t>RLAN</w:t>
      </w:r>
      <w:r w:rsidRPr="0023523B">
        <w:rPr>
          <w:lang w:val="es-ES_tradnl"/>
        </w:rPr>
        <w:tab/>
      </w:r>
      <w:r w:rsidRPr="0023523B">
        <w:rPr>
          <w:lang w:val="es-ES_tradnl"/>
        </w:rPr>
        <w:tab/>
        <w:t>Red de área local radioeléctrica (</w:t>
      </w:r>
      <w:r w:rsidRPr="0023523B">
        <w:rPr>
          <w:i/>
          <w:iCs/>
          <w:lang w:val="es-ES_tradnl"/>
        </w:rPr>
        <w:t xml:space="preserve">radio local </w:t>
      </w:r>
      <w:proofErr w:type="spellStart"/>
      <w:r w:rsidRPr="0023523B">
        <w:rPr>
          <w:i/>
          <w:iCs/>
          <w:lang w:val="es-ES_tradnl"/>
        </w:rPr>
        <w:t>area</w:t>
      </w:r>
      <w:proofErr w:type="spellEnd"/>
      <w:r w:rsidRPr="0023523B">
        <w:rPr>
          <w:i/>
          <w:iCs/>
          <w:lang w:val="es-ES_tradnl"/>
        </w:rPr>
        <w:t xml:space="preserve"> </w:t>
      </w:r>
      <w:proofErr w:type="spellStart"/>
      <w:r w:rsidRPr="0023523B">
        <w:rPr>
          <w:i/>
          <w:iCs/>
          <w:lang w:val="es-ES_tradnl"/>
        </w:rPr>
        <w:t>network</w:t>
      </w:r>
      <w:proofErr w:type="spellEnd"/>
      <w:r w:rsidRPr="0023523B">
        <w:rPr>
          <w:lang w:val="es-ES_tradnl"/>
        </w:rPr>
        <w:t>)</w:t>
      </w:r>
    </w:p>
    <w:p w:rsidR="00573030" w:rsidRPr="0023523B" w:rsidRDefault="00573030" w:rsidP="00573030">
      <w:pPr>
        <w:rPr>
          <w:lang w:val="es-ES_tradnl"/>
        </w:rPr>
      </w:pPr>
      <w:r w:rsidRPr="0023523B">
        <w:rPr>
          <w:lang w:val="es-ES_tradnl"/>
        </w:rPr>
        <w:lastRenderedPageBreak/>
        <w:t>SC</w:t>
      </w:r>
      <w:r w:rsidRPr="0023523B">
        <w:rPr>
          <w:lang w:val="es-ES_tradnl"/>
        </w:rPr>
        <w:tab/>
      </w:r>
      <w:r w:rsidRPr="0023523B">
        <w:rPr>
          <w:lang w:val="es-ES_tradnl"/>
        </w:rPr>
        <w:tab/>
        <w:t>Portadora única (</w:t>
      </w:r>
      <w:r w:rsidRPr="0023523B">
        <w:rPr>
          <w:i/>
          <w:iCs/>
          <w:lang w:val="es-ES_tradnl"/>
        </w:rPr>
        <w:t xml:space="preserve">single </w:t>
      </w:r>
      <w:proofErr w:type="spellStart"/>
      <w:r w:rsidRPr="0023523B">
        <w:rPr>
          <w:i/>
          <w:iCs/>
          <w:lang w:val="es-ES_tradnl"/>
        </w:rPr>
        <w:t>carrier</w:t>
      </w:r>
      <w:proofErr w:type="spellEnd"/>
      <w:r w:rsidRPr="0023523B">
        <w:rPr>
          <w:lang w:val="es-ES_tradnl"/>
        </w:rPr>
        <w:t>)</w:t>
      </w:r>
    </w:p>
    <w:p w:rsidR="00573030" w:rsidRPr="0023523B" w:rsidRDefault="00573030" w:rsidP="00573030">
      <w:pPr>
        <w:rPr>
          <w:lang w:val="es-ES_tradnl"/>
        </w:rPr>
      </w:pPr>
      <w:r w:rsidRPr="0023523B">
        <w:rPr>
          <w:lang w:val="es-ES_tradnl"/>
        </w:rPr>
        <w:t>AMDT</w:t>
      </w:r>
      <w:r w:rsidRPr="0023523B">
        <w:rPr>
          <w:lang w:val="es-ES_tradnl"/>
        </w:rPr>
        <w:tab/>
      </w:r>
      <w:r w:rsidRPr="0023523B">
        <w:rPr>
          <w:lang w:val="es-ES_tradnl"/>
        </w:rPr>
        <w:tab/>
        <w:t xml:space="preserve">Acceso múltiple </w:t>
      </w:r>
      <w:r>
        <w:rPr>
          <w:lang w:val="es-ES_tradnl"/>
        </w:rPr>
        <w:t>por división en el tiempo (</w:t>
      </w:r>
      <w:r w:rsidRPr="0037210E">
        <w:rPr>
          <w:i/>
          <w:iCs/>
          <w:lang w:val="es-ES_tradnl"/>
        </w:rPr>
        <w:t xml:space="preserve">time </w:t>
      </w:r>
      <w:proofErr w:type="spellStart"/>
      <w:r w:rsidRPr="0037210E">
        <w:rPr>
          <w:i/>
          <w:iCs/>
          <w:lang w:val="es-ES_tradnl"/>
        </w:rPr>
        <w:t>division</w:t>
      </w:r>
      <w:proofErr w:type="spellEnd"/>
      <w:r w:rsidRPr="0037210E">
        <w:rPr>
          <w:i/>
          <w:iCs/>
          <w:lang w:val="es-ES_tradnl"/>
        </w:rPr>
        <w:t xml:space="preserve"> </w:t>
      </w:r>
      <w:proofErr w:type="spellStart"/>
      <w:r w:rsidRPr="0037210E">
        <w:rPr>
          <w:i/>
          <w:iCs/>
          <w:lang w:val="es-ES_tradnl"/>
        </w:rPr>
        <w:t>multiple</w:t>
      </w:r>
      <w:proofErr w:type="spellEnd"/>
      <w:r w:rsidRPr="0037210E">
        <w:rPr>
          <w:i/>
          <w:iCs/>
          <w:lang w:val="es-ES_tradnl"/>
        </w:rPr>
        <w:t xml:space="preserve"> </w:t>
      </w:r>
      <w:proofErr w:type="spellStart"/>
      <w:r w:rsidRPr="0037210E">
        <w:rPr>
          <w:i/>
          <w:iCs/>
          <w:lang w:val="es-ES_tradnl"/>
        </w:rPr>
        <w:t>access</w:t>
      </w:r>
      <w:proofErr w:type="spellEnd"/>
      <w:r>
        <w:rPr>
          <w:lang w:val="es-ES_tradnl"/>
        </w:rPr>
        <w:t>)</w:t>
      </w:r>
    </w:p>
    <w:p w:rsidR="00573030" w:rsidRPr="0023523B" w:rsidRDefault="00573030" w:rsidP="00573030">
      <w:pPr>
        <w:rPr>
          <w:lang w:val="es-ES_tradnl"/>
        </w:rPr>
      </w:pPr>
      <w:r w:rsidRPr="0023523B">
        <w:rPr>
          <w:lang w:val="es-ES_tradnl"/>
        </w:rPr>
        <w:t>WLAN</w:t>
      </w:r>
      <w:r w:rsidRPr="0023523B">
        <w:rPr>
          <w:lang w:val="es-ES_tradnl"/>
        </w:rPr>
        <w:tab/>
      </w:r>
      <w:r w:rsidRPr="0023523B">
        <w:rPr>
          <w:lang w:val="es-ES_tradnl"/>
        </w:rPr>
        <w:tab/>
        <w:t>Red de área local inalámbrica (</w:t>
      </w:r>
      <w:proofErr w:type="spellStart"/>
      <w:r w:rsidRPr="0023523B">
        <w:rPr>
          <w:i/>
          <w:iCs/>
          <w:lang w:val="es-ES_tradnl"/>
        </w:rPr>
        <w:t>wireless</w:t>
      </w:r>
      <w:proofErr w:type="spellEnd"/>
      <w:r w:rsidRPr="0023523B">
        <w:rPr>
          <w:i/>
          <w:iCs/>
          <w:lang w:val="es-ES_tradnl"/>
        </w:rPr>
        <w:t xml:space="preserve"> local </w:t>
      </w:r>
      <w:proofErr w:type="spellStart"/>
      <w:r w:rsidRPr="0023523B">
        <w:rPr>
          <w:i/>
          <w:iCs/>
          <w:lang w:val="es-ES_tradnl"/>
        </w:rPr>
        <w:t>area</w:t>
      </w:r>
      <w:proofErr w:type="spellEnd"/>
      <w:r w:rsidRPr="0023523B">
        <w:rPr>
          <w:i/>
          <w:iCs/>
          <w:lang w:val="es-ES_tradnl"/>
        </w:rPr>
        <w:t xml:space="preserve"> </w:t>
      </w:r>
      <w:proofErr w:type="spellStart"/>
      <w:r w:rsidRPr="0023523B">
        <w:rPr>
          <w:i/>
          <w:iCs/>
          <w:lang w:val="es-ES_tradnl"/>
        </w:rPr>
        <w:t>network</w:t>
      </w:r>
      <w:proofErr w:type="spellEnd"/>
      <w:r w:rsidRPr="0023523B">
        <w:rPr>
          <w:lang w:val="es-ES_tradnl"/>
        </w:rPr>
        <w:t>)</w:t>
      </w:r>
    </w:p>
    <w:p w:rsidR="00573030" w:rsidRPr="0023523B" w:rsidRDefault="00573030" w:rsidP="00573030">
      <w:pPr>
        <w:rPr>
          <w:lang w:val="es-ES_tradnl"/>
        </w:rPr>
      </w:pPr>
      <w:r w:rsidRPr="0023523B">
        <w:rPr>
          <w:lang w:val="es-ES_tradnl"/>
        </w:rPr>
        <w:t>WPAN</w:t>
      </w:r>
      <w:r w:rsidRPr="0023523B">
        <w:rPr>
          <w:lang w:val="es-ES_tradnl"/>
        </w:rPr>
        <w:tab/>
      </w:r>
      <w:r w:rsidRPr="0023523B">
        <w:rPr>
          <w:lang w:val="es-ES_tradnl"/>
        </w:rPr>
        <w:tab/>
        <w:t>Red de área personal inalámbrica (</w:t>
      </w:r>
      <w:proofErr w:type="spellStart"/>
      <w:r w:rsidRPr="0023523B">
        <w:rPr>
          <w:i/>
          <w:iCs/>
          <w:lang w:val="es-ES_tradnl"/>
        </w:rPr>
        <w:t>wireless</w:t>
      </w:r>
      <w:proofErr w:type="spellEnd"/>
      <w:r w:rsidRPr="0023523B">
        <w:rPr>
          <w:i/>
          <w:iCs/>
          <w:lang w:val="es-ES_tradnl"/>
        </w:rPr>
        <w:t xml:space="preserve"> personal </w:t>
      </w:r>
      <w:proofErr w:type="spellStart"/>
      <w:r w:rsidRPr="0023523B">
        <w:rPr>
          <w:i/>
          <w:iCs/>
          <w:lang w:val="es-ES_tradnl"/>
        </w:rPr>
        <w:t>area</w:t>
      </w:r>
      <w:proofErr w:type="spellEnd"/>
      <w:r w:rsidRPr="0023523B">
        <w:rPr>
          <w:i/>
          <w:iCs/>
          <w:lang w:val="es-ES_tradnl"/>
        </w:rPr>
        <w:t xml:space="preserve"> </w:t>
      </w:r>
      <w:proofErr w:type="spellStart"/>
      <w:r w:rsidRPr="0023523B">
        <w:rPr>
          <w:i/>
          <w:iCs/>
          <w:lang w:val="es-ES_tradnl"/>
        </w:rPr>
        <w:t>network</w:t>
      </w:r>
      <w:proofErr w:type="spellEnd"/>
      <w:r w:rsidRPr="0023523B">
        <w:rPr>
          <w:lang w:val="es-ES_tradnl"/>
        </w:rPr>
        <w:t>)</w:t>
      </w:r>
    </w:p>
    <w:p w:rsidR="00573030" w:rsidRPr="0023523B" w:rsidRDefault="00573030" w:rsidP="00573030">
      <w:pPr>
        <w:pStyle w:val="Reasons"/>
        <w:rPr>
          <w:lang w:val="es-ES_tradnl"/>
        </w:rPr>
      </w:pPr>
    </w:p>
    <w:p w:rsidR="00573030" w:rsidRPr="0023523B" w:rsidRDefault="00573030" w:rsidP="0039220B">
      <w:pPr>
        <w:pStyle w:val="Line"/>
      </w:pPr>
    </w:p>
    <w:p w:rsidR="00A6617B" w:rsidRPr="00A6617B" w:rsidRDefault="00A6617B" w:rsidP="00242AEE">
      <w:pPr>
        <w:pStyle w:val="HeadingSum"/>
      </w:pPr>
    </w:p>
    <w:sectPr w:rsidR="00A6617B" w:rsidRPr="00A6617B" w:rsidSect="00FB1BC6">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755C" w:rsidRDefault="00B0755C">
      <w:r>
        <w:separator/>
      </w:r>
    </w:p>
  </w:endnote>
  <w:endnote w:type="continuationSeparator" w:id="0">
    <w:p w:rsidR="00B0755C" w:rsidRDefault="00B07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755C" w:rsidRDefault="00B0755C">
      <w:r>
        <w:separator/>
      </w:r>
    </w:p>
  </w:footnote>
  <w:footnote w:type="continuationSeparator" w:id="0">
    <w:p w:rsidR="00B0755C" w:rsidRDefault="00B0755C">
      <w:r>
        <w:continuationSeparator/>
      </w:r>
    </w:p>
  </w:footnote>
  <w:footnote w:id="1">
    <w:p w:rsidR="00573030" w:rsidRPr="006D7820" w:rsidRDefault="00573030" w:rsidP="00573030">
      <w:pPr>
        <w:pStyle w:val="FootnoteText"/>
        <w:rPr>
          <w:lang w:val="es-ES"/>
        </w:rPr>
      </w:pPr>
      <w:r>
        <w:rPr>
          <w:rStyle w:val="FootnoteReference"/>
        </w:rPr>
        <w:footnoteRef/>
      </w:r>
      <w:r w:rsidRPr="006D7820">
        <w:rPr>
          <w:lang w:val="es-ES"/>
        </w:rPr>
        <w:tab/>
        <w:t>En este contexto, un quiosco en una cabina que ofrece la distribución y acceso a contenidos electrónicos tales como películas, música, v</w:t>
      </w:r>
      <w:r>
        <w:rPr>
          <w:lang w:val="es-ES"/>
        </w:rPr>
        <w:t>ídeos, libros electrónicos, etc.</w:t>
      </w:r>
    </w:p>
  </w:footnote>
  <w:footnote w:id="2">
    <w:p w:rsidR="00573030" w:rsidRPr="003D3CBD" w:rsidRDefault="00573030" w:rsidP="00573030">
      <w:pPr>
        <w:pStyle w:val="FootnoteText"/>
        <w:rPr>
          <w:lang w:val="es-ES"/>
        </w:rPr>
      </w:pPr>
      <w:r>
        <w:rPr>
          <w:rStyle w:val="FootnoteReference"/>
        </w:rPr>
        <w:footnoteRef/>
      </w:r>
      <w:r w:rsidRPr="003D3CBD">
        <w:rPr>
          <w:lang w:val="es-ES"/>
        </w:rPr>
        <w:tab/>
        <w:t xml:space="preserve">Los requerimientos del </w:t>
      </w:r>
      <w:r>
        <w:rPr>
          <w:lang w:val="es-ES"/>
        </w:rPr>
        <w:t>s</w:t>
      </w:r>
      <w:r w:rsidRPr="003D3CBD">
        <w:rPr>
          <w:lang w:val="es-ES"/>
        </w:rPr>
        <w:t xml:space="preserve">istema </w:t>
      </w:r>
      <w:r>
        <w:rPr>
          <w:lang w:val="es-ES"/>
        </w:rPr>
        <w:t>los proporcionan las normas incl</w:t>
      </w:r>
      <w:r w:rsidRPr="003D3CBD">
        <w:rPr>
          <w:lang w:val="es-ES"/>
        </w:rPr>
        <w:t>uidas en el Anexo 1.</w:t>
      </w:r>
    </w:p>
  </w:footnote>
  <w:footnote w:id="3">
    <w:p w:rsidR="00573030" w:rsidRPr="006479CF" w:rsidRDefault="00573030" w:rsidP="00573030">
      <w:pPr>
        <w:pStyle w:val="FootnoteText"/>
        <w:rPr>
          <w:lang w:val="es-ES_tradnl"/>
        </w:rPr>
      </w:pPr>
      <w:r>
        <w:rPr>
          <w:rStyle w:val="FootnoteReference"/>
        </w:rPr>
        <w:footnoteRef/>
      </w:r>
      <w:r w:rsidRPr="006479CF">
        <w:rPr>
          <w:lang w:val="es-ES_tradnl"/>
        </w:rPr>
        <w:tab/>
        <w:t>Representa el retardo desde la parte superior de la capa MAC en un extremo hasta la parte superior de la capa MAC en el otro extremo.</w:t>
      </w:r>
    </w:p>
  </w:footnote>
  <w:footnote w:id="4">
    <w:p w:rsidR="00573030" w:rsidRDefault="00573030" w:rsidP="00573030">
      <w:pPr>
        <w:pStyle w:val="FootnoteText"/>
        <w:rPr>
          <w:lang w:val="en-US"/>
        </w:rPr>
      </w:pPr>
      <w:r>
        <w:rPr>
          <w:rStyle w:val="FootnoteReference"/>
        </w:rPr>
        <w:footnoteRef/>
      </w:r>
      <w:r>
        <w:rPr>
          <w:lang w:val="en-US"/>
        </w:rPr>
        <w:tab/>
        <w:t xml:space="preserve">IEEE Standard for Information Technology – Telecommunications and Information Exchange Between Systems – Local and Metropolitan Area Networks – Specific Requirements – Part 11: </w:t>
      </w:r>
      <w:r w:rsidRPr="00D1478A">
        <w:rPr>
          <w:lang w:val="en-US"/>
        </w:rPr>
        <w:t>Wireless</w:t>
      </w:r>
      <w:r>
        <w:rPr>
          <w:lang w:val="en-US"/>
        </w:rPr>
        <w:t xml:space="preserve"> LAN Medium Access Control (MAC) and Physical Layer (PHY) Specifications – Amendment 3: Enhancements for Very High Throughput in the 60 GHz Band, </w:t>
      </w:r>
      <w:proofErr w:type="spellStart"/>
      <w:r w:rsidRPr="00360DB3">
        <w:rPr>
          <w:lang w:val="en-US"/>
        </w:rPr>
        <w:t>Diciembre</w:t>
      </w:r>
      <w:proofErr w:type="spellEnd"/>
      <w:r w:rsidRPr="00360DB3">
        <w:rPr>
          <w:lang w:val="en-US"/>
        </w:rPr>
        <w:t xml:space="preserve"> de </w:t>
      </w:r>
      <w:r>
        <w:rPr>
          <w:lang w:val="en-US"/>
        </w:rPr>
        <w:t>2012.</w:t>
      </w:r>
    </w:p>
  </w:footnote>
  <w:footnote w:id="5">
    <w:p w:rsidR="00573030" w:rsidRDefault="00573030" w:rsidP="00573030">
      <w:pPr>
        <w:pStyle w:val="FootnoteText"/>
        <w:rPr>
          <w:lang w:val="en-US"/>
        </w:rPr>
      </w:pPr>
      <w:r>
        <w:rPr>
          <w:rStyle w:val="FootnoteReference"/>
        </w:rPr>
        <w:footnoteRef/>
      </w:r>
      <w:r>
        <w:rPr>
          <w:lang w:val="en-US"/>
        </w:rPr>
        <w:tab/>
        <w:t>IEEE Standard for Information Technology – Telecommunications and Information Exchange Between Systems – Local and Metropolitan Area Networks – Specific Requirements – Part 15.3: Wireless Medium Access Control (MAC) and Physical Layer (PHY) Specifications for High Rate Wireless Personal Area Networks (WPANs) – Amendment 2: Millimeter-wave-based Alternative Physical Layer Extension.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55C" w:rsidRDefault="00B0755C">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55C" w:rsidRDefault="00B0755C" w:rsidP="00CB1354">
    <w:pPr>
      <w:ind w:right="360" w:firstLine="360"/>
    </w:pPr>
    <w:r>
      <w:rPr>
        <w:noProof/>
        <w:lang w:val="en-US" w:eastAsia="zh-CN"/>
      </w:rPr>
      <w:drawing>
        <wp:anchor distT="0" distB="0" distL="114300" distR="114300" simplePos="0" relativeHeight="251659264" behindDoc="1" locked="0" layoutInCell="1" allowOverlap="1" wp14:anchorId="34766F1E" wp14:editId="3E919CFA">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55C" w:rsidRDefault="00B0755C"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ED3B7D">
      <w:rPr>
        <w:rStyle w:val="PageNumber"/>
        <w:b/>
        <w:bCs/>
        <w:noProof/>
      </w:rPr>
      <w:t>ii</w:t>
    </w:r>
    <w:r>
      <w:rPr>
        <w:rStyle w:val="PageNumber"/>
        <w:b/>
        <w:bCs/>
      </w:rPr>
      <w:fldChar w:fldCharType="end"/>
    </w:r>
    <w:r>
      <w:tab/>
    </w:r>
    <w:fldSimple w:instr=" DOCPROPERTY &quot;Header&quot; \* MERGEFORMAT ">
      <w:r w:rsidR="00507007" w:rsidRPr="00507007">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ED3B7D">
      <w:rPr>
        <w:b/>
        <w:bCs/>
        <w:noProof/>
      </w:rPr>
      <w:t>UIT-R  M.2003-1</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55C" w:rsidRDefault="00B0755C">
    <w:r>
      <w:tab/>
    </w:r>
    <w:fldSimple w:instr=" DOCPROPERTY &quot;Header&quot; \* MERGEFORMAT ">
      <w:r w:rsidR="00507007" w:rsidRPr="0050700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07007">
      <w:rPr>
        <w:b/>
        <w:bCs/>
        <w:noProof/>
      </w:rPr>
      <w:t>UIT-R  M.2003-1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D3B7D">
      <w:rPr>
        <w:rStyle w:val="PageNumber"/>
        <w:b/>
        <w:bCs/>
        <w:noProof/>
        <w:lang w:val="en-US"/>
      </w:rPr>
      <w:t>8</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507007" w:rsidRPr="00507007">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D3B7D">
      <w:rPr>
        <w:b/>
        <w:bCs/>
        <w:noProof/>
      </w:rPr>
      <w:t>UIT-R  M.2003-1</w:t>
    </w:r>
    <w:r>
      <w:rPr>
        <w:b/>
        <w:bCs/>
      </w:rPr>
      <w:fldChar w:fldCharType="end"/>
    </w:r>
  </w:p>
  <w:p w:rsidR="0012077B" w:rsidRDefault="0012077B"/>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507007" w:rsidRPr="0050700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D3B7D">
      <w:rPr>
        <w:b/>
        <w:bCs/>
        <w:noProof/>
      </w:rPr>
      <w:t>UIT-R  M.2003-1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D3B7D">
      <w:rPr>
        <w:rStyle w:val="PageNumber"/>
        <w:b/>
        <w:bCs/>
        <w:noProof/>
      </w:rPr>
      <w:t>7</w:t>
    </w:r>
    <w:r>
      <w:rPr>
        <w:rStyle w:val="PageNumber"/>
        <w:b/>
        <w:bCs/>
      </w:rPr>
      <w:fldChar w:fldCharType="end"/>
    </w:r>
  </w:p>
  <w:p w:rsidR="0012077B" w:rsidRDefault="0012077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55C"/>
    <w:rsid w:val="0012077B"/>
    <w:rsid w:val="00217EBF"/>
    <w:rsid w:val="00242AEE"/>
    <w:rsid w:val="002D76C4"/>
    <w:rsid w:val="0039220B"/>
    <w:rsid w:val="004954ED"/>
    <w:rsid w:val="00507007"/>
    <w:rsid w:val="0052529D"/>
    <w:rsid w:val="00573030"/>
    <w:rsid w:val="005E3982"/>
    <w:rsid w:val="00607D68"/>
    <w:rsid w:val="00631DEF"/>
    <w:rsid w:val="007468DA"/>
    <w:rsid w:val="007A1594"/>
    <w:rsid w:val="007B1B1E"/>
    <w:rsid w:val="009E00A8"/>
    <w:rsid w:val="00A03655"/>
    <w:rsid w:val="00A6617B"/>
    <w:rsid w:val="00A9490A"/>
    <w:rsid w:val="00AB0DC8"/>
    <w:rsid w:val="00B0755C"/>
    <w:rsid w:val="00B44E24"/>
    <w:rsid w:val="00B77341"/>
    <w:rsid w:val="00DF4176"/>
    <w:rsid w:val="00ED3B7D"/>
    <w:rsid w:val="00FB1BC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74861CCE-D6F4-4EAA-A32F-7E8E35274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398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E3982"/>
    <w:pPr>
      <w:keepNext/>
      <w:keepLines/>
      <w:spacing w:before="480"/>
      <w:ind w:left="794" w:hanging="794"/>
      <w:outlineLvl w:val="0"/>
    </w:pPr>
    <w:rPr>
      <w:b/>
    </w:rPr>
  </w:style>
  <w:style w:type="paragraph" w:styleId="Heading2">
    <w:name w:val="heading 2"/>
    <w:basedOn w:val="Heading1"/>
    <w:next w:val="Normal"/>
    <w:qFormat/>
    <w:rsid w:val="005E3982"/>
    <w:pPr>
      <w:spacing w:before="320"/>
      <w:outlineLvl w:val="1"/>
    </w:pPr>
  </w:style>
  <w:style w:type="paragraph" w:styleId="Heading3">
    <w:name w:val="heading 3"/>
    <w:basedOn w:val="Heading1"/>
    <w:next w:val="Normal"/>
    <w:qFormat/>
    <w:rsid w:val="005E3982"/>
    <w:pPr>
      <w:spacing w:before="200"/>
      <w:outlineLvl w:val="2"/>
    </w:pPr>
  </w:style>
  <w:style w:type="paragraph" w:styleId="Heading4">
    <w:name w:val="heading 4"/>
    <w:basedOn w:val="Heading3"/>
    <w:next w:val="Normal"/>
    <w:qFormat/>
    <w:rsid w:val="005E3982"/>
    <w:pPr>
      <w:tabs>
        <w:tab w:val="clear" w:pos="794"/>
        <w:tab w:val="left" w:pos="992"/>
      </w:tabs>
      <w:ind w:left="992" w:hanging="992"/>
      <w:outlineLvl w:val="3"/>
    </w:pPr>
  </w:style>
  <w:style w:type="paragraph" w:styleId="Heading5">
    <w:name w:val="heading 5"/>
    <w:basedOn w:val="Heading4"/>
    <w:next w:val="Normal"/>
    <w:qFormat/>
    <w:rsid w:val="005E3982"/>
    <w:pPr>
      <w:outlineLvl w:val="4"/>
    </w:pPr>
  </w:style>
  <w:style w:type="paragraph" w:styleId="Heading6">
    <w:name w:val="heading 6"/>
    <w:basedOn w:val="Heading4"/>
    <w:next w:val="Normal"/>
    <w:qFormat/>
    <w:rsid w:val="005E3982"/>
    <w:pPr>
      <w:tabs>
        <w:tab w:val="clear" w:pos="992"/>
        <w:tab w:val="clear" w:pos="1191"/>
      </w:tabs>
      <w:ind w:left="1588" w:hanging="1588"/>
      <w:outlineLvl w:val="5"/>
    </w:pPr>
  </w:style>
  <w:style w:type="paragraph" w:styleId="Heading7">
    <w:name w:val="heading 7"/>
    <w:basedOn w:val="Heading6"/>
    <w:next w:val="Normal"/>
    <w:qFormat/>
    <w:rsid w:val="005E3982"/>
    <w:pPr>
      <w:outlineLvl w:val="6"/>
    </w:pPr>
  </w:style>
  <w:style w:type="paragraph" w:styleId="Heading8">
    <w:name w:val="heading 8"/>
    <w:basedOn w:val="Heading6"/>
    <w:next w:val="Normal"/>
    <w:qFormat/>
    <w:rsid w:val="005E3982"/>
    <w:pPr>
      <w:outlineLvl w:val="7"/>
    </w:pPr>
  </w:style>
  <w:style w:type="paragraph" w:styleId="Heading9">
    <w:name w:val="heading 9"/>
    <w:basedOn w:val="Heading6"/>
    <w:next w:val="Normal"/>
    <w:qFormat/>
    <w:rsid w:val="005E398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E398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E398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E3982"/>
  </w:style>
  <w:style w:type="paragraph" w:customStyle="1" w:styleId="Headingb">
    <w:name w:val="Heading_b"/>
    <w:basedOn w:val="Heading3"/>
    <w:next w:val="Normal"/>
    <w:rsid w:val="005E3982"/>
    <w:pPr>
      <w:spacing w:before="160"/>
      <w:ind w:left="0" w:firstLine="0"/>
      <w:outlineLvl w:val="9"/>
    </w:pPr>
  </w:style>
  <w:style w:type="paragraph" w:customStyle="1" w:styleId="Headingi">
    <w:name w:val="Heading_i"/>
    <w:basedOn w:val="Heading3"/>
    <w:next w:val="Normal"/>
    <w:rsid w:val="005E3982"/>
    <w:pPr>
      <w:spacing w:before="160"/>
      <w:ind w:left="0" w:firstLine="0"/>
    </w:pPr>
    <w:rPr>
      <w:b w:val="0"/>
      <w:i/>
    </w:rPr>
  </w:style>
  <w:style w:type="character" w:customStyle="1" w:styleId="href">
    <w:name w:val="href"/>
    <w:basedOn w:val="DefaultParagraphFont"/>
    <w:rsid w:val="005E3982"/>
  </w:style>
  <w:style w:type="paragraph" w:customStyle="1" w:styleId="enumlev1">
    <w:name w:val="enumlev1"/>
    <w:basedOn w:val="Normal"/>
    <w:link w:val="enumlev1Char"/>
    <w:rsid w:val="005E3982"/>
    <w:pPr>
      <w:spacing w:before="80"/>
      <w:ind w:left="794" w:hanging="794"/>
    </w:pPr>
  </w:style>
  <w:style w:type="paragraph" w:customStyle="1" w:styleId="enumlev2">
    <w:name w:val="enumlev2"/>
    <w:basedOn w:val="enumlev1"/>
    <w:rsid w:val="005E3982"/>
    <w:pPr>
      <w:ind w:left="1191" w:hanging="397"/>
    </w:pPr>
  </w:style>
  <w:style w:type="paragraph" w:customStyle="1" w:styleId="enumlev3">
    <w:name w:val="enumlev3"/>
    <w:basedOn w:val="enumlev2"/>
    <w:rsid w:val="005E3982"/>
    <w:pPr>
      <w:ind w:left="1588"/>
    </w:pPr>
  </w:style>
  <w:style w:type="paragraph" w:customStyle="1" w:styleId="Normalaftertitle">
    <w:name w:val="Normal_after_title"/>
    <w:basedOn w:val="Normal"/>
    <w:next w:val="Normal"/>
    <w:rsid w:val="005E3982"/>
    <w:pPr>
      <w:spacing w:before="320"/>
    </w:pPr>
  </w:style>
  <w:style w:type="paragraph" w:customStyle="1" w:styleId="Note">
    <w:name w:val="Note"/>
    <w:basedOn w:val="Normal"/>
    <w:rsid w:val="005E398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E398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5E3982"/>
    <w:pPr>
      <w:spacing w:before="240"/>
    </w:pPr>
    <w:rPr>
      <w:sz w:val="22"/>
      <w:lang w:val="es-ES_tradnl"/>
    </w:rPr>
  </w:style>
  <w:style w:type="paragraph" w:customStyle="1" w:styleId="Recref">
    <w:name w:val="Rec_ref"/>
    <w:basedOn w:val="Normal"/>
    <w:next w:val="Recdate"/>
    <w:rsid w:val="005E3982"/>
    <w:pPr>
      <w:jc w:val="center"/>
    </w:pPr>
  </w:style>
  <w:style w:type="paragraph" w:customStyle="1" w:styleId="Recdate">
    <w:name w:val="Rec_date"/>
    <w:basedOn w:val="Recref"/>
    <w:next w:val="Normalaftertitle"/>
    <w:rsid w:val="005E3982"/>
    <w:pPr>
      <w:jc w:val="right"/>
    </w:pPr>
  </w:style>
  <w:style w:type="paragraph" w:customStyle="1" w:styleId="AnnexNoTitle">
    <w:name w:val="Annex_NoTitle"/>
    <w:basedOn w:val="Normal"/>
    <w:next w:val="Normalaftertitle"/>
    <w:rsid w:val="005E3982"/>
    <w:pPr>
      <w:keepNext/>
      <w:keepLines/>
      <w:spacing w:before="480" w:after="80"/>
      <w:jc w:val="center"/>
    </w:pPr>
    <w:rPr>
      <w:b/>
      <w:sz w:val="28"/>
    </w:rPr>
  </w:style>
  <w:style w:type="paragraph" w:customStyle="1" w:styleId="AppendixNoTitle">
    <w:name w:val="Appendix_NoTitle"/>
    <w:basedOn w:val="AnnexNoTitle"/>
    <w:next w:val="Normal"/>
    <w:rsid w:val="005E3982"/>
  </w:style>
  <w:style w:type="paragraph" w:customStyle="1" w:styleId="Tablefin">
    <w:name w:val="Table_fin"/>
    <w:basedOn w:val="Normal"/>
    <w:next w:val="Normal"/>
    <w:rsid w:val="005E3982"/>
    <w:pPr>
      <w:spacing w:before="0"/>
    </w:pPr>
    <w:rPr>
      <w:sz w:val="20"/>
      <w:lang w:val="en-GB"/>
    </w:rPr>
  </w:style>
  <w:style w:type="paragraph" w:customStyle="1" w:styleId="Tablehead">
    <w:name w:val="Table_head"/>
    <w:basedOn w:val="Normal"/>
    <w:next w:val="Normal"/>
    <w:link w:val="TableheadChar"/>
    <w:rsid w:val="005E398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E398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5E3982"/>
    <w:pPr>
      <w:keepNext/>
      <w:spacing w:before="360" w:after="120"/>
      <w:jc w:val="center"/>
    </w:pPr>
  </w:style>
  <w:style w:type="paragraph" w:customStyle="1" w:styleId="Tabletext">
    <w:name w:val="Table_text"/>
    <w:basedOn w:val="Normal"/>
    <w:link w:val="TabletextChar"/>
    <w:rsid w:val="005E398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E3982"/>
    <w:pPr>
      <w:tabs>
        <w:tab w:val="clear" w:pos="1191"/>
        <w:tab w:val="clear" w:pos="1588"/>
        <w:tab w:val="clear" w:pos="1985"/>
        <w:tab w:val="center" w:pos="4820"/>
        <w:tab w:val="right" w:pos="9639"/>
      </w:tabs>
    </w:pPr>
  </w:style>
  <w:style w:type="paragraph" w:customStyle="1" w:styleId="Equationlegend">
    <w:name w:val="Equation_legend"/>
    <w:basedOn w:val="NormalIndent"/>
    <w:rsid w:val="005E398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E3982"/>
    <w:pPr>
      <w:ind w:left="794"/>
    </w:pPr>
  </w:style>
  <w:style w:type="paragraph" w:customStyle="1" w:styleId="Figurelegend">
    <w:name w:val="Figure_legend"/>
    <w:basedOn w:val="Normal"/>
    <w:rsid w:val="005E398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E3982"/>
    <w:pPr>
      <w:keepNext/>
      <w:keepLines/>
      <w:spacing w:before="480" w:after="80"/>
      <w:jc w:val="center"/>
    </w:pPr>
    <w:rPr>
      <w:caps/>
      <w:sz w:val="18"/>
    </w:rPr>
  </w:style>
  <w:style w:type="paragraph" w:customStyle="1" w:styleId="tocpart">
    <w:name w:val="tocpart"/>
    <w:basedOn w:val="Normal"/>
    <w:rsid w:val="005E398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E3982"/>
    <w:pPr>
      <w:keepNext/>
      <w:keepLines/>
      <w:spacing w:before="480"/>
      <w:jc w:val="center"/>
    </w:pPr>
    <w:rPr>
      <w:sz w:val="28"/>
    </w:rPr>
  </w:style>
  <w:style w:type="paragraph" w:customStyle="1" w:styleId="Arttitle">
    <w:name w:val="Art_title"/>
    <w:basedOn w:val="Normal"/>
    <w:next w:val="Normalaftertitle"/>
    <w:rsid w:val="005E3982"/>
    <w:pPr>
      <w:keepNext/>
      <w:keepLines/>
      <w:spacing w:before="240"/>
      <w:jc w:val="center"/>
    </w:pPr>
    <w:rPr>
      <w:b/>
      <w:sz w:val="28"/>
    </w:rPr>
  </w:style>
  <w:style w:type="paragraph" w:customStyle="1" w:styleId="Blanc">
    <w:name w:val="Blanc"/>
    <w:basedOn w:val="Normal"/>
    <w:next w:val="Tabletext"/>
    <w:rsid w:val="005E398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E398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E3982"/>
    <w:pPr>
      <w:keepNext/>
      <w:keepLines/>
      <w:spacing w:before="160"/>
      <w:ind w:left="794"/>
    </w:pPr>
    <w:rPr>
      <w:i/>
    </w:rPr>
  </w:style>
  <w:style w:type="paragraph" w:customStyle="1" w:styleId="ChapNo">
    <w:name w:val="Chap_No"/>
    <w:basedOn w:val="ArtNo"/>
    <w:next w:val="Chaptitle"/>
    <w:rsid w:val="005E3982"/>
    <w:rPr>
      <w:b/>
    </w:rPr>
  </w:style>
  <w:style w:type="paragraph" w:customStyle="1" w:styleId="Chaptitle">
    <w:name w:val="Chap_title"/>
    <w:basedOn w:val="Arttitle"/>
    <w:next w:val="Normalaftertitle"/>
    <w:rsid w:val="005E3982"/>
  </w:style>
  <w:style w:type="character" w:styleId="FootnoteReference">
    <w:name w:val="footnote reference"/>
    <w:basedOn w:val="DefaultParagraphFont"/>
    <w:rsid w:val="005E3982"/>
    <w:rPr>
      <w:position w:val="6"/>
      <w:sz w:val="18"/>
    </w:rPr>
  </w:style>
  <w:style w:type="paragraph" w:styleId="FootnoteText">
    <w:name w:val="footnote text"/>
    <w:basedOn w:val="Normal"/>
    <w:link w:val="FootnoteTextChar"/>
    <w:rsid w:val="005E3982"/>
    <w:pPr>
      <w:keepLines/>
      <w:tabs>
        <w:tab w:val="left" w:pos="255"/>
      </w:tabs>
      <w:ind w:left="255" w:hanging="255"/>
    </w:pPr>
    <w:rPr>
      <w:sz w:val="22"/>
    </w:rPr>
  </w:style>
  <w:style w:type="paragraph" w:styleId="Index1">
    <w:name w:val="index 1"/>
    <w:basedOn w:val="Normal"/>
    <w:next w:val="Normal"/>
    <w:semiHidden/>
    <w:rsid w:val="005E3982"/>
  </w:style>
  <w:style w:type="paragraph" w:styleId="Index2">
    <w:name w:val="index 2"/>
    <w:basedOn w:val="Normal"/>
    <w:next w:val="Normal"/>
    <w:semiHidden/>
    <w:rsid w:val="005E3982"/>
    <w:pPr>
      <w:ind w:left="283"/>
    </w:pPr>
  </w:style>
  <w:style w:type="paragraph" w:styleId="Index3">
    <w:name w:val="index 3"/>
    <w:basedOn w:val="Normal"/>
    <w:next w:val="Normal"/>
    <w:semiHidden/>
    <w:rsid w:val="005E3982"/>
    <w:pPr>
      <w:ind w:left="566"/>
    </w:pPr>
  </w:style>
  <w:style w:type="paragraph" w:styleId="IndexHeading">
    <w:name w:val="index heading"/>
    <w:basedOn w:val="Normal"/>
    <w:next w:val="Index1"/>
    <w:semiHidden/>
    <w:rsid w:val="005E3982"/>
  </w:style>
  <w:style w:type="paragraph" w:customStyle="1" w:styleId="Line">
    <w:name w:val="Line"/>
    <w:basedOn w:val="Normal"/>
    <w:next w:val="Normal"/>
    <w:rsid w:val="005E398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E398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E3982"/>
  </w:style>
  <w:style w:type="paragraph" w:customStyle="1" w:styleId="Partref">
    <w:name w:val="Part_ref"/>
    <w:basedOn w:val="Normal"/>
    <w:next w:val="Normal"/>
    <w:rsid w:val="005E3982"/>
    <w:pPr>
      <w:keepNext/>
      <w:keepLines/>
      <w:spacing w:after="280"/>
      <w:jc w:val="center"/>
    </w:pPr>
  </w:style>
  <w:style w:type="paragraph" w:customStyle="1" w:styleId="Parttitle">
    <w:name w:val="Part_title"/>
    <w:basedOn w:val="Normal"/>
    <w:next w:val="Normalaftertitle"/>
    <w:rsid w:val="005E398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E3982"/>
  </w:style>
  <w:style w:type="paragraph" w:customStyle="1" w:styleId="QuestionNo">
    <w:name w:val="Question_No"/>
    <w:basedOn w:val="RecNo"/>
    <w:next w:val="Normal"/>
    <w:rsid w:val="005E3982"/>
  </w:style>
  <w:style w:type="paragraph" w:customStyle="1" w:styleId="Questionref">
    <w:name w:val="Question_ref"/>
    <w:basedOn w:val="Recref"/>
    <w:next w:val="Questiondate"/>
    <w:rsid w:val="005E3982"/>
  </w:style>
  <w:style w:type="paragraph" w:customStyle="1" w:styleId="Questiontitle">
    <w:name w:val="Question_title"/>
    <w:basedOn w:val="Normal"/>
    <w:next w:val="Questionref"/>
    <w:rsid w:val="005E3982"/>
  </w:style>
  <w:style w:type="paragraph" w:customStyle="1" w:styleId="Reftext">
    <w:name w:val="Ref_text"/>
    <w:basedOn w:val="Normal"/>
    <w:rsid w:val="005E3982"/>
    <w:pPr>
      <w:ind w:left="794" w:hanging="794"/>
    </w:pPr>
    <w:rPr>
      <w:sz w:val="22"/>
    </w:rPr>
  </w:style>
  <w:style w:type="paragraph" w:customStyle="1" w:styleId="Reftitle">
    <w:name w:val="Ref_title"/>
    <w:basedOn w:val="Normal"/>
    <w:next w:val="Reftext"/>
    <w:rsid w:val="005E398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E3982"/>
  </w:style>
  <w:style w:type="paragraph" w:customStyle="1" w:styleId="RepNo">
    <w:name w:val="Rep_No"/>
    <w:basedOn w:val="RecNo"/>
    <w:next w:val="Reptitle"/>
    <w:rsid w:val="005E3982"/>
  </w:style>
  <w:style w:type="paragraph" w:customStyle="1" w:styleId="Repref">
    <w:name w:val="Rep_ref"/>
    <w:basedOn w:val="Recref"/>
    <w:next w:val="Repdate"/>
    <w:rsid w:val="005E3982"/>
  </w:style>
  <w:style w:type="paragraph" w:customStyle="1" w:styleId="Reptitle">
    <w:name w:val="Rep_title"/>
    <w:basedOn w:val="Rectitle"/>
    <w:next w:val="Repref"/>
    <w:rsid w:val="005E3982"/>
  </w:style>
  <w:style w:type="paragraph" w:customStyle="1" w:styleId="Resdate">
    <w:name w:val="Res_date"/>
    <w:basedOn w:val="Recdate"/>
    <w:next w:val="Normalaftertitle"/>
    <w:rsid w:val="005E3982"/>
  </w:style>
  <w:style w:type="paragraph" w:customStyle="1" w:styleId="ResNo">
    <w:name w:val="Res_No"/>
    <w:basedOn w:val="RecNo"/>
    <w:next w:val="Restitle"/>
    <w:rsid w:val="005E3982"/>
  </w:style>
  <w:style w:type="paragraph" w:customStyle="1" w:styleId="Resref">
    <w:name w:val="Res_ref"/>
    <w:basedOn w:val="Recref"/>
    <w:next w:val="Resdate"/>
    <w:rsid w:val="005E3982"/>
  </w:style>
  <w:style w:type="paragraph" w:customStyle="1" w:styleId="Restitle">
    <w:name w:val="Res_title"/>
    <w:basedOn w:val="Normal"/>
    <w:next w:val="Resref"/>
    <w:rsid w:val="005E3982"/>
    <w:pPr>
      <w:spacing w:before="240"/>
      <w:jc w:val="center"/>
    </w:pPr>
    <w:rPr>
      <w:b/>
      <w:sz w:val="28"/>
    </w:rPr>
  </w:style>
  <w:style w:type="paragraph" w:customStyle="1" w:styleId="SectionNo">
    <w:name w:val="Section_No"/>
    <w:basedOn w:val="Normal"/>
    <w:next w:val="Normal"/>
    <w:rsid w:val="005E3982"/>
  </w:style>
  <w:style w:type="paragraph" w:customStyle="1" w:styleId="Sectiontitle">
    <w:name w:val="Section_title"/>
    <w:basedOn w:val="Normal"/>
    <w:next w:val="Normalaftertitle"/>
    <w:rsid w:val="005E398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E3982"/>
    <w:pPr>
      <w:tabs>
        <w:tab w:val="clear" w:pos="794"/>
        <w:tab w:val="clear" w:pos="1191"/>
        <w:tab w:val="clear" w:pos="1588"/>
        <w:tab w:val="clear" w:pos="1985"/>
        <w:tab w:val="right" w:pos="9611"/>
      </w:tabs>
    </w:pPr>
    <w:rPr>
      <w:i/>
    </w:rPr>
  </w:style>
  <w:style w:type="paragraph" w:styleId="TOC1">
    <w:name w:val="toc 1"/>
    <w:basedOn w:val="Normal"/>
    <w:semiHidden/>
    <w:rsid w:val="005E398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E3982"/>
    <w:pPr>
      <w:tabs>
        <w:tab w:val="clear" w:pos="567"/>
        <w:tab w:val="left" w:pos="1276"/>
      </w:tabs>
      <w:spacing w:before="160"/>
      <w:ind w:left="1276" w:hanging="709"/>
    </w:pPr>
  </w:style>
  <w:style w:type="paragraph" w:styleId="TOC3">
    <w:name w:val="toc 3"/>
    <w:basedOn w:val="TOC2"/>
    <w:semiHidden/>
    <w:rsid w:val="005E3982"/>
    <w:pPr>
      <w:tabs>
        <w:tab w:val="clear" w:pos="1276"/>
        <w:tab w:val="left" w:pos="2155"/>
      </w:tabs>
      <w:ind w:left="2155" w:hanging="879"/>
    </w:pPr>
  </w:style>
  <w:style w:type="paragraph" w:styleId="TOC4">
    <w:name w:val="toc 4"/>
    <w:basedOn w:val="TOC3"/>
    <w:semiHidden/>
    <w:rsid w:val="005E3982"/>
    <w:pPr>
      <w:tabs>
        <w:tab w:val="left" w:pos="3261"/>
      </w:tabs>
      <w:spacing w:before="80"/>
      <w:ind w:left="3261" w:hanging="993"/>
    </w:pPr>
  </w:style>
  <w:style w:type="paragraph" w:styleId="TOC5">
    <w:name w:val="toc 5"/>
    <w:basedOn w:val="TOC4"/>
    <w:semiHidden/>
    <w:rsid w:val="005E3982"/>
  </w:style>
  <w:style w:type="paragraph" w:styleId="TOC6">
    <w:name w:val="toc 6"/>
    <w:basedOn w:val="TOC4"/>
    <w:semiHidden/>
    <w:rsid w:val="005E3982"/>
  </w:style>
  <w:style w:type="paragraph" w:styleId="TOC7">
    <w:name w:val="toc 7"/>
    <w:basedOn w:val="TOC4"/>
    <w:semiHidden/>
    <w:rsid w:val="005E3982"/>
  </w:style>
  <w:style w:type="paragraph" w:styleId="TOC8">
    <w:name w:val="toc 8"/>
    <w:basedOn w:val="TOC4"/>
    <w:semiHidden/>
    <w:rsid w:val="005E3982"/>
  </w:style>
  <w:style w:type="paragraph" w:customStyle="1" w:styleId="Rectitle">
    <w:name w:val="Rec_title"/>
    <w:basedOn w:val="Normal"/>
    <w:next w:val="Recref"/>
    <w:rsid w:val="005E3982"/>
    <w:pPr>
      <w:keepNext/>
      <w:keepLines/>
      <w:spacing w:before="240"/>
      <w:jc w:val="center"/>
    </w:pPr>
    <w:rPr>
      <w:b/>
      <w:sz w:val="28"/>
    </w:rPr>
  </w:style>
  <w:style w:type="paragraph" w:customStyle="1" w:styleId="Annexref">
    <w:name w:val="Annex_ref"/>
    <w:basedOn w:val="Normal"/>
    <w:next w:val="Normalaftertitle"/>
    <w:rsid w:val="005E3982"/>
    <w:pPr>
      <w:keepNext/>
      <w:keepLines/>
      <w:spacing w:after="280"/>
      <w:jc w:val="center"/>
    </w:pPr>
  </w:style>
  <w:style w:type="paragraph" w:customStyle="1" w:styleId="Appendixref">
    <w:name w:val="Appendix_ref"/>
    <w:basedOn w:val="Annexref"/>
    <w:next w:val="Normalaftertitle"/>
    <w:rsid w:val="005E3982"/>
  </w:style>
  <w:style w:type="paragraph" w:customStyle="1" w:styleId="Figuretitle">
    <w:name w:val="Figure_title"/>
    <w:basedOn w:val="Normal"/>
    <w:next w:val="Figure"/>
    <w:link w:val="FiguretitleChar"/>
    <w:rsid w:val="005E3982"/>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5E3982"/>
    <w:pPr>
      <w:keepNext/>
      <w:spacing w:before="0" w:after="120"/>
      <w:jc w:val="center"/>
    </w:pPr>
    <w:rPr>
      <w:b/>
    </w:rPr>
  </w:style>
  <w:style w:type="paragraph" w:customStyle="1" w:styleId="Summary">
    <w:name w:val="Summary"/>
    <w:basedOn w:val="Normal"/>
    <w:next w:val="Normalaftertitle"/>
    <w:autoRedefine/>
    <w:rsid w:val="005E3982"/>
    <w:pPr>
      <w:spacing w:after="480"/>
    </w:pPr>
    <w:rPr>
      <w:sz w:val="22"/>
      <w:lang w:val="es-ES_tradnl"/>
    </w:rPr>
  </w:style>
  <w:style w:type="paragraph" w:customStyle="1" w:styleId="TableLegendNote">
    <w:name w:val="Table_Legend_Note"/>
    <w:basedOn w:val="Tablelegend"/>
    <w:next w:val="Tablelegend"/>
    <w:rsid w:val="005E3982"/>
    <w:pPr>
      <w:ind w:left="-85" w:firstLine="0"/>
    </w:pPr>
    <w:rPr>
      <w:lang w:val="en-US"/>
    </w:rPr>
  </w:style>
  <w:style w:type="paragraph" w:customStyle="1" w:styleId="Figure">
    <w:name w:val="Figure"/>
    <w:basedOn w:val="FigureNo"/>
    <w:next w:val="Normal"/>
    <w:rsid w:val="005E3982"/>
    <w:pPr>
      <w:keepNext w:val="0"/>
      <w:spacing w:before="0" w:after="240"/>
    </w:pPr>
  </w:style>
  <w:style w:type="character" w:customStyle="1" w:styleId="Heading1Char">
    <w:name w:val="Heading 1 Char"/>
    <w:basedOn w:val="DefaultParagraphFont"/>
    <w:link w:val="Heading1"/>
    <w:rsid w:val="00B0755C"/>
    <w:rPr>
      <w:b/>
      <w:sz w:val="24"/>
      <w:lang w:val="fr-FR" w:eastAsia="en-US"/>
    </w:rPr>
  </w:style>
  <w:style w:type="character" w:customStyle="1" w:styleId="HeaderChar">
    <w:name w:val="Header Char"/>
    <w:basedOn w:val="DefaultParagraphFont"/>
    <w:link w:val="Header"/>
    <w:rsid w:val="00B0755C"/>
    <w:rPr>
      <w:sz w:val="24"/>
      <w:lang w:val="fr-FR" w:eastAsia="en-US"/>
    </w:rPr>
  </w:style>
  <w:style w:type="character" w:styleId="Hyperlink">
    <w:name w:val="Hyperlink"/>
    <w:basedOn w:val="DefaultParagraphFont"/>
    <w:uiPriority w:val="99"/>
    <w:rsid w:val="00B0755C"/>
    <w:rPr>
      <w:color w:val="0000FF"/>
      <w:u w:val="single"/>
    </w:rPr>
  </w:style>
  <w:style w:type="character" w:customStyle="1" w:styleId="TableheadChar">
    <w:name w:val="Table_head Char"/>
    <w:basedOn w:val="DefaultParagraphFont"/>
    <w:link w:val="Tablehead"/>
    <w:locked/>
    <w:rsid w:val="00B0755C"/>
    <w:rPr>
      <w:b/>
      <w:sz w:val="22"/>
      <w:lang w:val="fr-FR" w:eastAsia="en-US"/>
    </w:rPr>
  </w:style>
  <w:style w:type="character" w:customStyle="1" w:styleId="TabletextChar">
    <w:name w:val="Table_text Char"/>
    <w:basedOn w:val="DefaultParagraphFont"/>
    <w:link w:val="Tabletext"/>
    <w:locked/>
    <w:rsid w:val="00B0755C"/>
    <w:rPr>
      <w:sz w:val="22"/>
      <w:lang w:val="fr-FR" w:eastAsia="en-US"/>
    </w:rPr>
  </w:style>
  <w:style w:type="character" w:customStyle="1" w:styleId="FootnoteTextChar">
    <w:name w:val="Footnote Text Char"/>
    <w:basedOn w:val="DefaultParagraphFont"/>
    <w:link w:val="FootnoteText"/>
    <w:rsid w:val="00573030"/>
    <w:rPr>
      <w:sz w:val="22"/>
      <w:lang w:val="fr-FR" w:eastAsia="en-US"/>
    </w:rPr>
  </w:style>
  <w:style w:type="paragraph" w:customStyle="1" w:styleId="Reasons">
    <w:name w:val="Reasons"/>
    <w:basedOn w:val="Normal"/>
    <w:qFormat/>
    <w:rsid w:val="00573030"/>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FigureNoChar">
    <w:name w:val="Figure_No Char"/>
    <w:link w:val="FigureNo"/>
    <w:locked/>
    <w:rsid w:val="00573030"/>
    <w:rPr>
      <w:caps/>
      <w:sz w:val="18"/>
      <w:lang w:val="fr-FR" w:eastAsia="en-US"/>
    </w:rPr>
  </w:style>
  <w:style w:type="character" w:customStyle="1" w:styleId="FiguretitleChar">
    <w:name w:val="Figure_title Char"/>
    <w:link w:val="Figuretitle"/>
    <w:locked/>
    <w:rsid w:val="00573030"/>
    <w:rPr>
      <w:rFonts w:ascii="Times New Roman Bold" w:hAnsi="Times New Roman Bold"/>
      <w:b/>
      <w:sz w:val="18"/>
      <w:lang w:val="fr-FR" w:eastAsia="en-US"/>
    </w:rPr>
  </w:style>
  <w:style w:type="character" w:customStyle="1" w:styleId="TableNoChar">
    <w:name w:val="Table_No Char"/>
    <w:link w:val="TableNo"/>
    <w:locked/>
    <w:rsid w:val="00573030"/>
    <w:rPr>
      <w:sz w:val="24"/>
      <w:lang w:val="fr-FR" w:eastAsia="en-US"/>
    </w:rPr>
  </w:style>
  <w:style w:type="character" w:customStyle="1" w:styleId="TabletitleChar">
    <w:name w:val="Table_title Char"/>
    <w:link w:val="Tabletitle"/>
    <w:locked/>
    <w:rsid w:val="00573030"/>
    <w:rPr>
      <w:b/>
      <w:sz w:val="24"/>
      <w:lang w:val="fr-FR" w:eastAsia="en-US"/>
    </w:rPr>
  </w:style>
  <w:style w:type="character" w:customStyle="1" w:styleId="enumlev1Char">
    <w:name w:val="enumlev1 Char"/>
    <w:basedOn w:val="DefaultParagraphFont"/>
    <w:link w:val="enumlev1"/>
    <w:rsid w:val="00573030"/>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2.emf"/><Relationship Id="rId17"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header" Target="header5.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oleObject" Target="embeddings/oleObject2.bin"/><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yal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175</TotalTime>
  <Pages>10</Pages>
  <Words>2889</Words>
  <Characters>15761</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18613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Ayala Martinez, Beatriz</cp:lastModifiedBy>
  <cp:revision>13</cp:revision>
  <cp:lastPrinted>2016-01-19T09:53:00Z</cp:lastPrinted>
  <dcterms:created xsi:type="dcterms:W3CDTF">2016-01-18T09:31:00Z</dcterms:created>
  <dcterms:modified xsi:type="dcterms:W3CDTF">2016-01-19T11:33:00Z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