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4D4" w:rsidRPr="00575CB8" w:rsidRDefault="003714D4" w:rsidP="008F350E">
      <w:pPr>
        <w:rPr>
          <w:lang w:val="en-US"/>
        </w:rPr>
      </w:pPr>
      <w:bookmarkStart w:id="0" w:name="_GoBack"/>
      <w:bookmarkEnd w:id="0"/>
    </w:p>
    <w:p w:rsidR="003714D4" w:rsidRDefault="003714D4" w:rsidP="008F350E"/>
    <w:p w:rsidR="003714D4" w:rsidRDefault="003714D4" w:rsidP="008F350E"/>
    <w:p w:rsidR="003714D4" w:rsidRDefault="003714D4" w:rsidP="008F350E"/>
    <w:p w:rsidR="003714D4" w:rsidRDefault="003714D4" w:rsidP="008F350E"/>
    <w:p w:rsidR="003714D4" w:rsidRDefault="003714D4" w:rsidP="008F350E"/>
    <w:p w:rsidR="003714D4" w:rsidRDefault="003714D4" w:rsidP="008F350E"/>
    <w:p w:rsidR="003714D4" w:rsidRDefault="003714D4" w:rsidP="008F350E"/>
    <w:p w:rsidR="003714D4" w:rsidRDefault="003714D4" w:rsidP="008F350E"/>
    <w:tbl>
      <w:tblPr>
        <w:tblW w:w="10089" w:type="dxa"/>
        <w:tblLook w:val="01E0" w:firstRow="1" w:lastRow="1" w:firstColumn="1" w:lastColumn="1" w:noHBand="0" w:noVBand="0"/>
      </w:tblPr>
      <w:tblGrid>
        <w:gridCol w:w="10089"/>
      </w:tblGrid>
      <w:tr w:rsidR="003714D4" w:rsidRPr="003714D4" w:rsidTr="008F350E">
        <w:tc>
          <w:tcPr>
            <w:tcW w:w="10089" w:type="dxa"/>
          </w:tcPr>
          <w:p w:rsidR="003714D4" w:rsidRPr="00A07AEB" w:rsidRDefault="003714D4" w:rsidP="008F350E">
            <w:pPr>
              <w:spacing w:before="380" w:line="280" w:lineRule="exact"/>
              <w:jc w:val="right"/>
              <w:rPr>
                <w:rFonts w:ascii="Tahoma" w:hAnsi="Tahoma" w:cs="Tahoma"/>
                <w:b/>
                <w:bCs/>
                <w:iCs/>
                <w:color w:val="243285"/>
                <w:sz w:val="32"/>
                <w:szCs w:val="32"/>
                <w:lang w:val="en-US"/>
              </w:rPr>
            </w:pPr>
          </w:p>
          <w:p w:rsidR="003714D4" w:rsidRPr="00A07AEB" w:rsidRDefault="003714D4" w:rsidP="00AA1CB1">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AA1CB1">
              <w:rPr>
                <w:rFonts w:ascii="Tahoma" w:hAnsi="Tahoma" w:cs="Tahoma"/>
                <w:b/>
                <w:bCs/>
                <w:iCs/>
                <w:color w:val="243285"/>
                <w:sz w:val="36"/>
                <w:szCs w:val="36"/>
                <w:lang w:val="es-ES_tradnl"/>
              </w:rPr>
              <w:t>1905</w:t>
            </w:r>
          </w:p>
          <w:p w:rsidR="003714D4" w:rsidRPr="00A07AEB" w:rsidRDefault="003714D4" w:rsidP="00AA1CB1">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AA1CB1">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AA1CB1">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3714D4" w:rsidRPr="00915A38" w:rsidTr="008F350E">
        <w:tc>
          <w:tcPr>
            <w:tcW w:w="10089" w:type="dxa"/>
          </w:tcPr>
          <w:p w:rsidR="003714D4" w:rsidRPr="00A07AEB" w:rsidRDefault="003714D4" w:rsidP="008F350E">
            <w:pPr>
              <w:spacing w:before="80" w:line="500" w:lineRule="exact"/>
              <w:jc w:val="right"/>
              <w:rPr>
                <w:rFonts w:ascii="Tahoma" w:hAnsi="Tahoma" w:cs="Tahoma"/>
                <w:b/>
                <w:bCs/>
                <w:iCs/>
                <w:color w:val="243285"/>
                <w:sz w:val="44"/>
                <w:szCs w:val="44"/>
                <w:lang w:val="es-ES_tradnl"/>
              </w:rPr>
            </w:pPr>
          </w:p>
          <w:p w:rsidR="003714D4" w:rsidRPr="00A07AEB" w:rsidRDefault="00AA1CB1" w:rsidP="00A92104">
            <w:pPr>
              <w:spacing w:before="80" w:line="500" w:lineRule="exact"/>
              <w:jc w:val="right"/>
              <w:rPr>
                <w:rFonts w:ascii="Tahoma" w:hAnsi="Tahoma" w:cs="Tahoma"/>
                <w:b/>
                <w:bCs/>
                <w:iCs/>
                <w:color w:val="243285"/>
                <w:sz w:val="44"/>
                <w:szCs w:val="44"/>
                <w:lang w:val="es-ES_tradnl"/>
              </w:rPr>
            </w:pPr>
            <w:r w:rsidRPr="00AA1CB1">
              <w:rPr>
                <w:rFonts w:ascii="Tahoma" w:hAnsi="Tahoma" w:cs="Tahoma"/>
                <w:b/>
                <w:bCs/>
                <w:iCs/>
                <w:color w:val="243285"/>
                <w:sz w:val="44"/>
                <w:szCs w:val="44"/>
                <w:lang w:val="es-ES_tradnl"/>
              </w:rPr>
              <w:t>Características y criterios de protección</w:t>
            </w:r>
            <w:r w:rsidR="00A92104">
              <w:rPr>
                <w:rFonts w:ascii="Tahoma" w:hAnsi="Tahoma" w:cs="Tahoma"/>
                <w:b/>
                <w:bCs/>
                <w:iCs/>
                <w:color w:val="243285"/>
                <w:sz w:val="44"/>
                <w:szCs w:val="44"/>
                <w:lang w:val="es-ES_tradnl"/>
              </w:rPr>
              <w:br/>
            </w:r>
            <w:r w:rsidRPr="00AA1CB1">
              <w:rPr>
                <w:rFonts w:ascii="Tahoma" w:hAnsi="Tahoma" w:cs="Tahoma"/>
                <w:b/>
                <w:bCs/>
                <w:iCs/>
                <w:color w:val="243285"/>
                <w:sz w:val="44"/>
                <w:szCs w:val="44"/>
                <w:lang w:val="es-ES_tradnl"/>
              </w:rPr>
              <w:t>de las estaciones terrenas</w:t>
            </w:r>
            <w:r>
              <w:rPr>
                <w:rFonts w:ascii="Tahoma" w:hAnsi="Tahoma" w:cs="Tahoma"/>
                <w:b/>
                <w:bCs/>
                <w:iCs/>
                <w:color w:val="243285"/>
                <w:sz w:val="44"/>
                <w:szCs w:val="44"/>
                <w:lang w:val="es-ES_tradnl"/>
              </w:rPr>
              <w:t xml:space="preserve"> </w:t>
            </w:r>
            <w:r w:rsidRPr="00AA1CB1">
              <w:rPr>
                <w:rFonts w:ascii="Tahoma" w:hAnsi="Tahoma" w:cs="Tahoma"/>
                <w:b/>
                <w:bCs/>
                <w:iCs/>
                <w:color w:val="243285"/>
                <w:sz w:val="44"/>
                <w:szCs w:val="44"/>
                <w:lang w:val="es-ES_tradnl"/>
              </w:rPr>
              <w:t>receptoras</w:t>
            </w:r>
            <w:r w:rsidR="00A92104">
              <w:rPr>
                <w:rFonts w:ascii="Tahoma" w:hAnsi="Tahoma" w:cs="Tahoma"/>
                <w:b/>
                <w:bCs/>
                <w:iCs/>
                <w:color w:val="243285"/>
                <w:sz w:val="44"/>
                <w:szCs w:val="44"/>
                <w:lang w:val="es-ES_tradnl"/>
              </w:rPr>
              <w:br/>
            </w:r>
            <w:r w:rsidRPr="00AA1CB1">
              <w:rPr>
                <w:rFonts w:ascii="Tahoma" w:hAnsi="Tahoma" w:cs="Tahoma"/>
                <w:b/>
                <w:bCs/>
                <w:iCs/>
                <w:color w:val="243285"/>
                <w:sz w:val="44"/>
                <w:szCs w:val="44"/>
                <w:lang w:val="es-ES_tradnl"/>
              </w:rPr>
              <w:t>del servicio de radionavegación</w:t>
            </w:r>
            <w:r w:rsidR="00A92104">
              <w:rPr>
                <w:rFonts w:ascii="Tahoma" w:hAnsi="Tahoma" w:cs="Tahoma"/>
                <w:b/>
                <w:bCs/>
                <w:iCs/>
                <w:color w:val="243285"/>
                <w:sz w:val="44"/>
                <w:szCs w:val="44"/>
                <w:lang w:val="es-ES_tradnl"/>
              </w:rPr>
              <w:br/>
            </w:r>
            <w:r w:rsidRPr="00AA1CB1">
              <w:rPr>
                <w:rFonts w:ascii="Tahoma" w:hAnsi="Tahoma" w:cs="Tahoma"/>
                <w:b/>
                <w:bCs/>
                <w:iCs/>
                <w:color w:val="243285"/>
                <w:sz w:val="44"/>
                <w:szCs w:val="44"/>
                <w:lang w:val="es-ES_tradnl"/>
              </w:rPr>
              <w:t>por</w:t>
            </w:r>
            <w:r w:rsidR="00A92104">
              <w:rPr>
                <w:rFonts w:ascii="Tahoma" w:hAnsi="Tahoma" w:cs="Tahoma"/>
                <w:b/>
                <w:bCs/>
                <w:iCs/>
                <w:color w:val="243285"/>
                <w:sz w:val="44"/>
                <w:szCs w:val="44"/>
                <w:lang w:val="es-ES_tradnl"/>
              </w:rPr>
              <w:t xml:space="preserve"> </w:t>
            </w:r>
            <w:r w:rsidRPr="00AA1CB1">
              <w:rPr>
                <w:rFonts w:ascii="Tahoma" w:hAnsi="Tahoma" w:cs="Tahoma"/>
                <w:b/>
                <w:bCs/>
                <w:iCs/>
                <w:color w:val="243285"/>
                <w:sz w:val="44"/>
                <w:szCs w:val="44"/>
                <w:lang w:val="es-ES_tradnl"/>
              </w:rPr>
              <w:t>satélite</w:t>
            </w:r>
            <w:r>
              <w:rPr>
                <w:rFonts w:ascii="Tahoma" w:hAnsi="Tahoma" w:cs="Tahoma"/>
                <w:b/>
                <w:bCs/>
                <w:iCs/>
                <w:color w:val="243285"/>
                <w:sz w:val="44"/>
                <w:szCs w:val="44"/>
                <w:lang w:val="es-ES_tradnl"/>
              </w:rPr>
              <w:t xml:space="preserve"> </w:t>
            </w:r>
            <w:r w:rsidRPr="00AA1CB1">
              <w:rPr>
                <w:rFonts w:ascii="Tahoma" w:hAnsi="Tahoma" w:cs="Tahoma"/>
                <w:b/>
                <w:bCs/>
                <w:iCs/>
                <w:color w:val="243285"/>
                <w:sz w:val="44"/>
                <w:szCs w:val="44"/>
                <w:lang w:val="es-ES_tradnl"/>
              </w:rPr>
              <w:t xml:space="preserve">(espacio-Tierra) </w:t>
            </w:r>
            <w:r w:rsidR="00A92104">
              <w:rPr>
                <w:rFonts w:ascii="Tahoma" w:hAnsi="Tahoma" w:cs="Tahoma"/>
                <w:b/>
                <w:bCs/>
                <w:iCs/>
                <w:color w:val="243285"/>
                <w:sz w:val="44"/>
                <w:szCs w:val="44"/>
                <w:lang w:val="es-ES_tradnl"/>
              </w:rPr>
              <w:br/>
            </w:r>
            <w:r w:rsidR="00A92104" w:rsidRPr="00AA1CB1">
              <w:rPr>
                <w:rFonts w:ascii="Tahoma" w:hAnsi="Tahoma" w:cs="Tahoma"/>
                <w:b/>
                <w:bCs/>
                <w:iCs/>
                <w:color w:val="243285"/>
                <w:sz w:val="44"/>
                <w:szCs w:val="44"/>
                <w:lang w:val="es-ES_tradnl"/>
              </w:rPr>
              <w:t xml:space="preserve">que </w:t>
            </w:r>
            <w:r w:rsidRPr="00AA1CB1">
              <w:rPr>
                <w:rFonts w:ascii="Tahoma" w:hAnsi="Tahoma" w:cs="Tahoma"/>
                <w:b/>
                <w:bCs/>
                <w:iCs/>
                <w:color w:val="243285"/>
                <w:sz w:val="44"/>
                <w:szCs w:val="44"/>
                <w:lang w:val="es-ES_tradnl"/>
              </w:rPr>
              <w:t>funcionan</w:t>
            </w:r>
            <w:r w:rsidR="00A92104">
              <w:rPr>
                <w:rFonts w:ascii="Tahoma" w:hAnsi="Tahoma" w:cs="Tahoma"/>
                <w:b/>
                <w:bCs/>
                <w:iCs/>
                <w:color w:val="243285"/>
                <w:sz w:val="44"/>
                <w:szCs w:val="44"/>
                <w:lang w:val="es-ES_tradnl"/>
              </w:rPr>
              <w:t xml:space="preserve"> </w:t>
            </w:r>
            <w:r w:rsidRPr="00AA1CB1">
              <w:rPr>
                <w:rFonts w:ascii="Tahoma" w:hAnsi="Tahoma" w:cs="Tahoma"/>
                <w:b/>
                <w:bCs/>
                <w:iCs/>
                <w:color w:val="243285"/>
                <w:sz w:val="44"/>
                <w:szCs w:val="44"/>
                <w:lang w:val="es-ES_tradnl"/>
              </w:rPr>
              <w:t>en la banda</w:t>
            </w:r>
            <w:r w:rsidR="00A92104">
              <w:rPr>
                <w:rFonts w:ascii="Tahoma" w:hAnsi="Tahoma" w:cs="Tahoma"/>
                <w:b/>
                <w:bCs/>
                <w:iCs/>
                <w:color w:val="243285"/>
                <w:sz w:val="44"/>
                <w:szCs w:val="44"/>
                <w:lang w:val="es-ES_tradnl"/>
              </w:rPr>
              <w:br/>
            </w:r>
            <w:r w:rsidRPr="00AA1CB1">
              <w:rPr>
                <w:rFonts w:ascii="Tahoma" w:hAnsi="Tahoma" w:cs="Tahoma"/>
                <w:b/>
                <w:bCs/>
                <w:iCs/>
                <w:color w:val="243285"/>
                <w:sz w:val="44"/>
                <w:szCs w:val="44"/>
                <w:lang w:val="es-ES_tradnl"/>
              </w:rPr>
              <w:t>1 164-1 215 MHz</w:t>
            </w:r>
          </w:p>
          <w:p w:rsidR="003714D4" w:rsidRPr="00A07AEB" w:rsidRDefault="003714D4" w:rsidP="008F350E">
            <w:pPr>
              <w:spacing w:before="80" w:line="500" w:lineRule="exact"/>
              <w:jc w:val="right"/>
              <w:rPr>
                <w:rFonts w:ascii="Tahoma" w:hAnsi="Tahoma" w:cs="Tahoma"/>
                <w:b/>
                <w:bCs/>
                <w:iCs/>
                <w:color w:val="243285"/>
                <w:sz w:val="44"/>
                <w:szCs w:val="44"/>
                <w:lang w:val="es-ES_tradnl"/>
              </w:rPr>
            </w:pPr>
          </w:p>
        </w:tc>
      </w:tr>
      <w:tr w:rsidR="003714D4" w:rsidRPr="00915A38" w:rsidTr="008F350E">
        <w:tc>
          <w:tcPr>
            <w:tcW w:w="10089" w:type="dxa"/>
          </w:tcPr>
          <w:p w:rsidR="003714D4" w:rsidRPr="00A07AEB" w:rsidRDefault="003714D4" w:rsidP="008F350E">
            <w:pPr>
              <w:spacing w:before="80" w:line="280" w:lineRule="exact"/>
              <w:ind w:right="640"/>
              <w:rPr>
                <w:rFonts w:ascii="Tahoma" w:hAnsi="Tahoma" w:cs="Tahoma"/>
                <w:b/>
                <w:bCs/>
                <w:iCs/>
                <w:color w:val="243285"/>
                <w:sz w:val="32"/>
                <w:szCs w:val="32"/>
                <w:lang w:val="es-ES_tradnl"/>
              </w:rPr>
            </w:pPr>
          </w:p>
          <w:p w:rsidR="003714D4" w:rsidRPr="00A07AEB" w:rsidRDefault="003714D4" w:rsidP="008F350E">
            <w:pPr>
              <w:spacing w:before="80" w:line="280" w:lineRule="exact"/>
              <w:ind w:right="640"/>
              <w:rPr>
                <w:rFonts w:ascii="Tahoma" w:hAnsi="Tahoma" w:cs="Tahoma"/>
                <w:b/>
                <w:bCs/>
                <w:iCs/>
                <w:color w:val="243285"/>
                <w:sz w:val="32"/>
                <w:szCs w:val="32"/>
                <w:lang w:val="es-ES_tradnl"/>
              </w:rPr>
            </w:pPr>
          </w:p>
          <w:p w:rsidR="003714D4" w:rsidRPr="00224D54" w:rsidRDefault="003714D4" w:rsidP="008F350E">
            <w:pPr>
              <w:spacing w:before="80" w:after="180" w:line="360" w:lineRule="exact"/>
              <w:ind w:right="720"/>
              <w:rPr>
                <w:rFonts w:ascii="Tahoma" w:hAnsi="Tahoma" w:cs="Tahoma"/>
                <w:b/>
                <w:bCs/>
                <w:iCs/>
                <w:color w:val="243285"/>
                <w:sz w:val="32"/>
                <w:szCs w:val="36"/>
                <w:lang w:val="es-ES_tradnl"/>
              </w:rPr>
            </w:pPr>
          </w:p>
          <w:p w:rsidR="003714D4" w:rsidRPr="00A07AEB" w:rsidRDefault="003714D4" w:rsidP="008F350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3714D4" w:rsidRPr="00A07AEB" w:rsidRDefault="003714D4" w:rsidP="008F350E">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3714D4" w:rsidRPr="0026666F" w:rsidRDefault="003714D4" w:rsidP="008F350E">
      <w:pPr>
        <w:spacing w:before="80"/>
        <w:rPr>
          <w:i/>
          <w:sz w:val="22"/>
          <w:lang w:val="es-ES_tradnl"/>
        </w:rPr>
      </w:pPr>
    </w:p>
    <w:p w:rsidR="003714D4" w:rsidRPr="0026666F" w:rsidRDefault="003714D4" w:rsidP="008F350E">
      <w:pPr>
        <w:spacing w:before="80"/>
        <w:rPr>
          <w:i/>
          <w:sz w:val="22"/>
          <w:lang w:val="es-ES_tradnl"/>
        </w:rPr>
      </w:pPr>
    </w:p>
    <w:p w:rsidR="003714D4" w:rsidRPr="0026666F" w:rsidRDefault="003714D4" w:rsidP="008F350E">
      <w:pPr>
        <w:spacing w:before="80"/>
        <w:rPr>
          <w:i/>
          <w:sz w:val="22"/>
          <w:lang w:val="es-ES_tradnl"/>
        </w:rPr>
      </w:pPr>
    </w:p>
    <w:p w:rsidR="003714D4" w:rsidRPr="0026666F" w:rsidRDefault="003714D4" w:rsidP="008F350E">
      <w:pPr>
        <w:spacing w:before="80"/>
        <w:rPr>
          <w:i/>
          <w:sz w:val="22"/>
          <w:lang w:val="es-ES_tradnl"/>
        </w:rPr>
      </w:pPr>
    </w:p>
    <w:p w:rsidR="003714D4" w:rsidRPr="0026666F" w:rsidRDefault="003714D4" w:rsidP="008F350E">
      <w:pPr>
        <w:pStyle w:val="Equation"/>
        <w:tabs>
          <w:tab w:val="clear" w:pos="4820"/>
          <w:tab w:val="clear" w:pos="9639"/>
          <w:tab w:val="left" w:pos="1191"/>
          <w:tab w:val="left" w:pos="1588"/>
          <w:tab w:val="left" w:pos="1985"/>
        </w:tabs>
        <w:rPr>
          <w:rFonts w:ascii="Palatino Linotype" w:hAnsi="Palatino Linotype"/>
          <w:lang w:val="es-ES_tradnl"/>
        </w:rPr>
        <w:sectPr w:rsidR="003714D4" w:rsidRPr="0026666F" w:rsidSect="008F350E">
          <w:headerReference w:type="even" r:id="rId9"/>
          <w:headerReference w:type="default" r:id="rId10"/>
          <w:pgSz w:w="11907" w:h="16834" w:code="9"/>
          <w:pgMar w:top="1418" w:right="1134" w:bottom="1134" w:left="1134" w:header="720" w:footer="482" w:gutter="0"/>
          <w:paperSrc w:first="15" w:other="15"/>
          <w:cols w:space="720"/>
        </w:sectPr>
      </w:pPr>
    </w:p>
    <w:p w:rsidR="003714D4" w:rsidRPr="006C718C"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714D4" w:rsidRPr="006C718C" w:rsidRDefault="003714D4" w:rsidP="008F350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714D4" w:rsidRPr="006C718C" w:rsidRDefault="003714D4" w:rsidP="008F350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714D4" w:rsidRPr="00021E8A" w:rsidRDefault="003714D4" w:rsidP="008F350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714D4" w:rsidRPr="00021E8A" w:rsidRDefault="003714D4" w:rsidP="008F350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714D4" w:rsidRPr="007C36CA" w:rsidRDefault="003714D4" w:rsidP="008F350E">
      <w:pPr>
        <w:spacing w:before="0"/>
        <w:jc w:val="center"/>
        <w:rPr>
          <w:sz w:val="22"/>
          <w:lang w:val="es-ES_tradnl"/>
        </w:rPr>
      </w:pPr>
    </w:p>
    <w:p w:rsidR="003714D4" w:rsidRPr="007C36CA" w:rsidRDefault="003714D4" w:rsidP="008F350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714D4" w:rsidRPr="00915A38" w:rsidTr="008F350E">
        <w:tc>
          <w:tcPr>
            <w:tcW w:w="9360" w:type="dxa"/>
            <w:gridSpan w:val="2"/>
          </w:tcPr>
          <w:p w:rsidR="003714D4" w:rsidRPr="00021E8A" w:rsidRDefault="003714D4" w:rsidP="008F350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714D4" w:rsidRPr="00763D08"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3714D4" w:rsidRPr="00036EE3" w:rsidTr="008F350E">
        <w:tc>
          <w:tcPr>
            <w:tcW w:w="1140" w:type="dxa"/>
          </w:tcPr>
          <w:p w:rsidR="003714D4" w:rsidRPr="00036EE3" w:rsidRDefault="003714D4" w:rsidP="008F350E">
            <w:pPr>
              <w:spacing w:before="180" w:after="100"/>
              <w:ind w:left="57"/>
              <w:rPr>
                <w:b/>
                <w:bCs/>
                <w:sz w:val="20"/>
                <w:lang w:val="en-US"/>
              </w:rPr>
            </w:pPr>
            <w:r w:rsidRPr="00036EE3">
              <w:rPr>
                <w:b/>
                <w:bCs/>
                <w:sz w:val="20"/>
                <w:lang w:val="en-US"/>
              </w:rPr>
              <w:t>Series</w:t>
            </w:r>
          </w:p>
        </w:tc>
        <w:tc>
          <w:tcPr>
            <w:tcW w:w="8220" w:type="dxa"/>
          </w:tcPr>
          <w:p w:rsidR="003714D4" w:rsidRPr="00036EE3"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BO</w:t>
            </w:r>
          </w:p>
        </w:tc>
        <w:tc>
          <w:tcPr>
            <w:tcW w:w="8220" w:type="dxa"/>
          </w:tcPr>
          <w:p w:rsidR="003714D4" w:rsidRPr="00021E8A"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3714D4" w:rsidRPr="00915A38"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BR</w:t>
            </w:r>
          </w:p>
        </w:tc>
        <w:tc>
          <w:tcPr>
            <w:tcW w:w="8220" w:type="dxa"/>
          </w:tcPr>
          <w:p w:rsidR="003714D4" w:rsidRPr="00021E8A"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BS</w:t>
            </w:r>
          </w:p>
        </w:tc>
        <w:tc>
          <w:tcPr>
            <w:tcW w:w="8220" w:type="dxa"/>
          </w:tcPr>
          <w:p w:rsidR="003714D4" w:rsidRPr="00021E8A"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3714D4" w:rsidRPr="00ED2695" w:rsidTr="008F350E">
        <w:tc>
          <w:tcPr>
            <w:tcW w:w="1140" w:type="dxa"/>
            <w:shd w:val="clear" w:color="auto" w:fill="auto"/>
          </w:tcPr>
          <w:p w:rsidR="003714D4" w:rsidRPr="00ED2695" w:rsidRDefault="003714D4" w:rsidP="008F350E">
            <w:pPr>
              <w:spacing w:before="30" w:after="30"/>
              <w:ind w:left="57"/>
              <w:jc w:val="left"/>
              <w:rPr>
                <w:b/>
                <w:bCs/>
                <w:sz w:val="20"/>
                <w:lang w:val="en-US"/>
              </w:rPr>
            </w:pPr>
            <w:r w:rsidRPr="00ED2695">
              <w:rPr>
                <w:b/>
                <w:bCs/>
                <w:sz w:val="20"/>
                <w:lang w:val="en-US"/>
              </w:rPr>
              <w:t>BT</w:t>
            </w:r>
          </w:p>
        </w:tc>
        <w:tc>
          <w:tcPr>
            <w:tcW w:w="8220" w:type="dxa"/>
            <w:shd w:val="clear" w:color="auto" w:fill="auto"/>
          </w:tcPr>
          <w:p w:rsidR="003714D4" w:rsidRPr="00021E8A"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714D4" w:rsidRPr="00036EE3" w:rsidTr="008F350E">
        <w:tc>
          <w:tcPr>
            <w:tcW w:w="1140" w:type="dxa"/>
            <w:shd w:val="clear" w:color="auto" w:fill="auto"/>
          </w:tcPr>
          <w:p w:rsidR="003714D4" w:rsidRPr="00036EE3" w:rsidRDefault="003714D4" w:rsidP="008F350E">
            <w:pPr>
              <w:spacing w:before="30" w:after="30"/>
              <w:ind w:left="57"/>
              <w:jc w:val="left"/>
              <w:rPr>
                <w:b/>
                <w:bCs/>
                <w:sz w:val="20"/>
                <w:lang w:val="fr-CH"/>
              </w:rPr>
            </w:pPr>
            <w:r w:rsidRPr="00036EE3">
              <w:rPr>
                <w:b/>
                <w:bCs/>
                <w:sz w:val="20"/>
                <w:lang w:val="fr-CH"/>
              </w:rPr>
              <w:t>F</w:t>
            </w:r>
          </w:p>
        </w:tc>
        <w:tc>
          <w:tcPr>
            <w:tcW w:w="8220" w:type="dxa"/>
            <w:shd w:val="clear" w:color="auto" w:fill="auto"/>
          </w:tcPr>
          <w:p w:rsidR="003714D4" w:rsidRPr="00021E8A" w:rsidRDefault="003714D4" w:rsidP="008F3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714D4" w:rsidRPr="00915A38" w:rsidTr="008F350E">
        <w:tc>
          <w:tcPr>
            <w:tcW w:w="1140" w:type="dxa"/>
            <w:shd w:val="clear" w:color="auto" w:fill="F3F3F3"/>
          </w:tcPr>
          <w:p w:rsidR="003714D4" w:rsidRPr="001240BC" w:rsidRDefault="003714D4" w:rsidP="008F350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3714D4" w:rsidRPr="001240BC" w:rsidRDefault="003714D4" w:rsidP="008F35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3714D4" w:rsidRPr="00915A38" w:rsidTr="008F350E">
        <w:tc>
          <w:tcPr>
            <w:tcW w:w="1140" w:type="dxa"/>
          </w:tcPr>
          <w:p w:rsidR="003714D4" w:rsidRPr="00036EE3" w:rsidRDefault="003714D4" w:rsidP="008F350E">
            <w:pPr>
              <w:spacing w:before="30" w:after="30"/>
              <w:ind w:left="57"/>
              <w:jc w:val="left"/>
              <w:rPr>
                <w:b/>
                <w:bCs/>
                <w:sz w:val="20"/>
                <w:lang w:val="fr-CH"/>
              </w:rPr>
            </w:pPr>
            <w:r w:rsidRPr="00036EE3">
              <w:rPr>
                <w:b/>
                <w:bCs/>
                <w:sz w:val="20"/>
                <w:lang w:val="fr-CH"/>
              </w:rPr>
              <w:t>P</w:t>
            </w:r>
          </w:p>
        </w:tc>
        <w:tc>
          <w:tcPr>
            <w:tcW w:w="8220" w:type="dxa"/>
          </w:tcPr>
          <w:p w:rsidR="003714D4" w:rsidRPr="00021E8A" w:rsidRDefault="003714D4" w:rsidP="008F350E">
            <w:pPr>
              <w:spacing w:before="30" w:after="30"/>
              <w:jc w:val="left"/>
              <w:rPr>
                <w:bCs/>
                <w:sz w:val="20"/>
                <w:lang w:val="es-ES_tradnl"/>
              </w:rPr>
            </w:pPr>
            <w:r w:rsidRPr="00021E8A">
              <w:rPr>
                <w:bCs/>
                <w:sz w:val="20"/>
                <w:lang w:val="es-ES_tradnl"/>
              </w:rPr>
              <w:t>Propagación de las ondas radioeléctricas</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RA</w:t>
            </w:r>
          </w:p>
        </w:tc>
        <w:tc>
          <w:tcPr>
            <w:tcW w:w="8220" w:type="dxa"/>
          </w:tcPr>
          <w:p w:rsidR="003714D4" w:rsidRPr="00021E8A" w:rsidRDefault="003714D4" w:rsidP="006122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714D4" w:rsidRPr="00915A38"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RS</w:t>
            </w:r>
          </w:p>
        </w:tc>
        <w:tc>
          <w:tcPr>
            <w:tcW w:w="8220" w:type="dxa"/>
          </w:tcPr>
          <w:p w:rsidR="003714D4" w:rsidRPr="00021E8A" w:rsidRDefault="003714D4" w:rsidP="008F3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S</w:t>
            </w:r>
          </w:p>
        </w:tc>
        <w:tc>
          <w:tcPr>
            <w:tcW w:w="8220" w:type="dxa"/>
          </w:tcPr>
          <w:p w:rsidR="003714D4" w:rsidRPr="00021E8A" w:rsidRDefault="003714D4" w:rsidP="008F350E">
            <w:pPr>
              <w:spacing w:before="30" w:after="30"/>
              <w:jc w:val="left"/>
              <w:rPr>
                <w:bCs/>
                <w:sz w:val="20"/>
                <w:lang w:val="en-US"/>
              </w:rPr>
            </w:pPr>
            <w:r w:rsidRPr="00021E8A">
              <w:rPr>
                <w:bCs/>
                <w:sz w:val="20"/>
              </w:rPr>
              <w:t>Servicio fijo por satélite</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SA</w:t>
            </w:r>
          </w:p>
        </w:tc>
        <w:tc>
          <w:tcPr>
            <w:tcW w:w="8220" w:type="dxa"/>
          </w:tcPr>
          <w:p w:rsidR="003714D4" w:rsidRPr="00021E8A" w:rsidRDefault="003714D4" w:rsidP="008F350E">
            <w:pPr>
              <w:spacing w:before="30" w:after="30"/>
              <w:jc w:val="left"/>
              <w:rPr>
                <w:bCs/>
                <w:sz w:val="20"/>
                <w:lang w:val="en-US"/>
              </w:rPr>
            </w:pPr>
            <w:r w:rsidRPr="00021E8A">
              <w:rPr>
                <w:bCs/>
                <w:sz w:val="20"/>
              </w:rPr>
              <w:t>Aplicaciones espaciales y meteorología</w:t>
            </w:r>
          </w:p>
        </w:tc>
      </w:tr>
      <w:tr w:rsidR="003714D4" w:rsidRPr="00915A38"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SF</w:t>
            </w:r>
          </w:p>
        </w:tc>
        <w:tc>
          <w:tcPr>
            <w:tcW w:w="8220" w:type="dxa"/>
          </w:tcPr>
          <w:p w:rsidR="003714D4" w:rsidRPr="00021E8A" w:rsidRDefault="003714D4" w:rsidP="008F350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714D4" w:rsidRPr="00036EE3" w:rsidTr="008F350E">
        <w:tc>
          <w:tcPr>
            <w:tcW w:w="1140" w:type="dxa"/>
            <w:shd w:val="clear" w:color="auto" w:fill="auto"/>
          </w:tcPr>
          <w:p w:rsidR="003714D4" w:rsidRPr="001240BC" w:rsidRDefault="003714D4" w:rsidP="008F350E">
            <w:pPr>
              <w:spacing w:before="30" w:after="30"/>
              <w:ind w:left="57"/>
              <w:jc w:val="left"/>
              <w:rPr>
                <w:b/>
                <w:bCs/>
                <w:sz w:val="20"/>
                <w:lang w:val="en-US"/>
              </w:rPr>
            </w:pPr>
            <w:r w:rsidRPr="001240BC">
              <w:rPr>
                <w:b/>
                <w:bCs/>
                <w:sz w:val="20"/>
                <w:lang w:val="en-US"/>
              </w:rPr>
              <w:t>SM</w:t>
            </w:r>
          </w:p>
        </w:tc>
        <w:tc>
          <w:tcPr>
            <w:tcW w:w="8220" w:type="dxa"/>
            <w:shd w:val="clear" w:color="auto" w:fill="auto"/>
          </w:tcPr>
          <w:p w:rsidR="003714D4" w:rsidRPr="001240BC" w:rsidRDefault="003714D4" w:rsidP="008F350E">
            <w:pPr>
              <w:spacing w:before="30" w:after="30"/>
              <w:jc w:val="left"/>
              <w:rPr>
                <w:sz w:val="20"/>
                <w:lang w:val="en-US"/>
              </w:rPr>
            </w:pPr>
            <w:r w:rsidRPr="001240BC">
              <w:rPr>
                <w:sz w:val="20"/>
              </w:rPr>
              <w:t>Gestión del espectro</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SNG</w:t>
            </w:r>
          </w:p>
        </w:tc>
        <w:tc>
          <w:tcPr>
            <w:tcW w:w="8220" w:type="dxa"/>
          </w:tcPr>
          <w:p w:rsidR="003714D4" w:rsidRPr="00021E8A" w:rsidRDefault="003714D4" w:rsidP="008F350E">
            <w:pPr>
              <w:spacing w:before="30" w:after="30"/>
              <w:jc w:val="left"/>
              <w:rPr>
                <w:bCs/>
                <w:sz w:val="20"/>
                <w:lang w:val="en-US"/>
              </w:rPr>
            </w:pPr>
            <w:r w:rsidRPr="00021E8A">
              <w:rPr>
                <w:bCs/>
                <w:sz w:val="20"/>
              </w:rPr>
              <w:t>Periodismo electrónico por satélite</w:t>
            </w:r>
          </w:p>
        </w:tc>
      </w:tr>
      <w:tr w:rsidR="003714D4" w:rsidRPr="00915A38"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TF</w:t>
            </w:r>
          </w:p>
        </w:tc>
        <w:tc>
          <w:tcPr>
            <w:tcW w:w="8220" w:type="dxa"/>
          </w:tcPr>
          <w:p w:rsidR="003714D4" w:rsidRPr="00021E8A" w:rsidRDefault="003714D4" w:rsidP="008F350E">
            <w:pPr>
              <w:spacing w:before="30" w:after="30"/>
              <w:jc w:val="left"/>
              <w:rPr>
                <w:bCs/>
                <w:sz w:val="20"/>
                <w:lang w:val="es-ES_tradnl"/>
              </w:rPr>
            </w:pPr>
            <w:r w:rsidRPr="00021E8A">
              <w:rPr>
                <w:bCs/>
                <w:sz w:val="20"/>
                <w:lang w:val="es-ES_tradnl"/>
              </w:rPr>
              <w:t>Emisiones de frecuencias patrón y señales horarias</w:t>
            </w:r>
          </w:p>
        </w:tc>
      </w:tr>
      <w:tr w:rsidR="003714D4" w:rsidRPr="00036EE3" w:rsidTr="008F350E">
        <w:tc>
          <w:tcPr>
            <w:tcW w:w="1140" w:type="dxa"/>
          </w:tcPr>
          <w:p w:rsidR="003714D4" w:rsidRPr="00036EE3" w:rsidRDefault="003714D4" w:rsidP="008F350E">
            <w:pPr>
              <w:spacing w:before="30" w:after="30"/>
              <w:ind w:left="57"/>
              <w:jc w:val="left"/>
              <w:rPr>
                <w:b/>
                <w:bCs/>
                <w:sz w:val="20"/>
                <w:lang w:val="en-US"/>
              </w:rPr>
            </w:pPr>
            <w:r w:rsidRPr="00036EE3">
              <w:rPr>
                <w:b/>
                <w:bCs/>
                <w:sz w:val="20"/>
                <w:lang w:val="en-US"/>
              </w:rPr>
              <w:t>V</w:t>
            </w:r>
          </w:p>
        </w:tc>
        <w:tc>
          <w:tcPr>
            <w:tcW w:w="8220" w:type="dxa"/>
          </w:tcPr>
          <w:p w:rsidR="003714D4" w:rsidRPr="00021E8A" w:rsidRDefault="003714D4" w:rsidP="008F350E">
            <w:pPr>
              <w:spacing w:before="30" w:after="140"/>
              <w:jc w:val="left"/>
              <w:rPr>
                <w:bCs/>
                <w:sz w:val="20"/>
                <w:lang w:val="en-US"/>
              </w:rPr>
            </w:pPr>
            <w:r w:rsidRPr="00021E8A">
              <w:rPr>
                <w:bCs/>
                <w:sz w:val="20"/>
              </w:rPr>
              <w:t>Vocabulario y cuestiones afines</w:t>
            </w:r>
          </w:p>
        </w:tc>
      </w:tr>
    </w:tbl>
    <w:p w:rsidR="003714D4" w:rsidRPr="00036EE3" w:rsidRDefault="003714D4" w:rsidP="008F350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714D4" w:rsidTr="008F350E">
        <w:tc>
          <w:tcPr>
            <w:tcW w:w="720" w:type="dxa"/>
          </w:tcPr>
          <w:p w:rsidR="003714D4" w:rsidRDefault="003714D4" w:rsidP="008F350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714D4" w:rsidRPr="00915A38" w:rsidTr="008F350E">
        <w:tc>
          <w:tcPr>
            <w:tcW w:w="9360" w:type="dxa"/>
          </w:tcPr>
          <w:p w:rsidR="003714D4" w:rsidRPr="00A07AEB" w:rsidRDefault="003714D4" w:rsidP="008F350E">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3714D4" w:rsidRPr="00763D08" w:rsidRDefault="003714D4" w:rsidP="008F350E">
      <w:pPr>
        <w:spacing w:before="0"/>
        <w:jc w:val="center"/>
        <w:rPr>
          <w:sz w:val="22"/>
          <w:lang w:val="es-ES_tradnl"/>
        </w:rPr>
      </w:pPr>
    </w:p>
    <w:p w:rsidR="003714D4" w:rsidRPr="00763D08" w:rsidRDefault="003714D4" w:rsidP="008F350E">
      <w:pPr>
        <w:spacing w:before="60"/>
        <w:jc w:val="right"/>
        <w:rPr>
          <w:i/>
          <w:iCs/>
          <w:sz w:val="20"/>
          <w:lang w:val="es-ES_tradnl"/>
        </w:rPr>
      </w:pPr>
      <w:r w:rsidRPr="00763D08">
        <w:rPr>
          <w:i/>
          <w:iCs/>
          <w:sz w:val="20"/>
          <w:lang w:val="es-ES_tradnl"/>
        </w:rPr>
        <w:t>Publicación electrónica</w:t>
      </w:r>
    </w:p>
    <w:p w:rsidR="003714D4" w:rsidRPr="00763D08" w:rsidRDefault="003714D4" w:rsidP="008F350E">
      <w:pPr>
        <w:spacing w:before="0" w:after="40"/>
        <w:jc w:val="right"/>
        <w:rPr>
          <w:sz w:val="20"/>
          <w:lang w:val="es-ES_tradnl"/>
        </w:rPr>
      </w:pPr>
      <w:r w:rsidRPr="00763D08">
        <w:rPr>
          <w:sz w:val="20"/>
          <w:lang w:val="es-ES_tradnl"/>
        </w:rPr>
        <w:t>Ginebra, 20</w:t>
      </w:r>
      <w:r>
        <w:rPr>
          <w:sz w:val="20"/>
          <w:lang w:val="es-ES_tradnl"/>
        </w:rPr>
        <w:t>12</w:t>
      </w:r>
    </w:p>
    <w:p w:rsidR="003714D4" w:rsidRPr="00763D08" w:rsidRDefault="003714D4" w:rsidP="008F350E">
      <w:pPr>
        <w:spacing w:before="0"/>
        <w:jc w:val="center"/>
        <w:rPr>
          <w:sz w:val="22"/>
          <w:lang w:val="es-ES_tradnl"/>
        </w:rPr>
      </w:pPr>
    </w:p>
    <w:p w:rsidR="003714D4" w:rsidRPr="00763D08" w:rsidRDefault="003714D4" w:rsidP="008F350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3714D4" w:rsidRPr="006C718C" w:rsidRDefault="003714D4" w:rsidP="008F350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714D4" w:rsidRPr="006C718C" w:rsidRDefault="003714D4" w:rsidP="008F350E">
      <w:pPr>
        <w:spacing w:before="160"/>
        <w:rPr>
          <w:i/>
          <w:sz w:val="20"/>
          <w:highlight w:val="yellow"/>
          <w:lang w:val="es-ES_tradnl"/>
        </w:rPr>
        <w:sectPr w:rsidR="003714D4" w:rsidRPr="006C718C" w:rsidSect="008F350E">
          <w:headerReference w:type="even" r:id="rId13"/>
          <w:headerReference w:type="default" r:id="rId14"/>
          <w:pgSz w:w="11907" w:h="16834" w:code="9"/>
          <w:pgMar w:top="1418" w:right="1134" w:bottom="1134" w:left="1134" w:header="720" w:footer="482" w:gutter="0"/>
          <w:pgNumType w:fmt="lowerRoman" w:start="2"/>
          <w:cols w:space="720"/>
        </w:sectPr>
      </w:pPr>
    </w:p>
    <w:p w:rsidR="003714D4" w:rsidRPr="006B5AD2" w:rsidRDefault="003714D4" w:rsidP="003714D4">
      <w:pPr>
        <w:pStyle w:val="RecNo"/>
        <w:spacing w:before="0"/>
        <w:rPr>
          <w:lang w:val="es-ES_tradnl"/>
        </w:rPr>
      </w:pPr>
      <w:bookmarkStart w:id="3" w:name="irecnoe"/>
      <w:bookmarkEnd w:id="3"/>
      <w:r w:rsidRPr="006B5AD2">
        <w:rPr>
          <w:lang w:val="es-ES_tradnl"/>
        </w:rPr>
        <w:lastRenderedPageBreak/>
        <w:t xml:space="preserve">RECOMENDACIÓN  </w:t>
      </w:r>
      <w:r w:rsidRPr="006B5AD2">
        <w:rPr>
          <w:rStyle w:val="href"/>
          <w:lang w:val="es-ES_tradnl"/>
        </w:rPr>
        <w:t>ITU-R  M.1905</w:t>
      </w:r>
    </w:p>
    <w:p w:rsidR="003714D4" w:rsidRPr="006B5AD2" w:rsidRDefault="003714D4" w:rsidP="00643418">
      <w:pPr>
        <w:pStyle w:val="Rectitle"/>
        <w:rPr>
          <w:lang w:val="es-ES_tradnl"/>
        </w:rPr>
      </w:pPr>
      <w:r w:rsidRPr="006B5AD2">
        <w:rPr>
          <w:lang w:val="es-ES_tradnl"/>
        </w:rPr>
        <w:t>Características y criterios de protección</w:t>
      </w:r>
      <w:r>
        <w:rPr>
          <w:lang w:val="es-ES_tradnl"/>
        </w:rPr>
        <w:t xml:space="preserve"> </w:t>
      </w:r>
      <w:r w:rsidRPr="006B5AD2">
        <w:rPr>
          <w:lang w:val="es-ES_tradnl"/>
        </w:rPr>
        <w:t>de las estaciones terrenas</w:t>
      </w:r>
      <w:r w:rsidR="00AA1CB1">
        <w:rPr>
          <w:lang w:val="es-ES_tradnl"/>
        </w:rPr>
        <w:t xml:space="preserve"> </w:t>
      </w:r>
      <w:r w:rsidRPr="006B5AD2">
        <w:rPr>
          <w:lang w:val="es-ES_tradnl"/>
        </w:rPr>
        <w:t>receptoras</w:t>
      </w:r>
      <w:r w:rsidR="00643418">
        <w:rPr>
          <w:lang w:val="es-ES_tradnl"/>
        </w:rPr>
        <w:br/>
      </w:r>
      <w:r w:rsidRPr="006B5AD2">
        <w:rPr>
          <w:lang w:val="es-ES_tradnl"/>
        </w:rPr>
        <w:t>del servicio de radionavegación por</w:t>
      </w:r>
      <w:r>
        <w:rPr>
          <w:lang w:val="es-ES_tradnl"/>
        </w:rPr>
        <w:t xml:space="preserve"> </w:t>
      </w:r>
      <w:r w:rsidRPr="006B5AD2">
        <w:rPr>
          <w:lang w:val="es-ES_tradnl"/>
        </w:rPr>
        <w:t>satélite</w:t>
      </w:r>
      <w:r w:rsidR="00643418">
        <w:rPr>
          <w:lang w:val="es-ES_tradnl"/>
        </w:rPr>
        <w:t xml:space="preserve"> </w:t>
      </w:r>
      <w:r w:rsidRPr="006B5AD2">
        <w:rPr>
          <w:lang w:val="es-ES_tradnl"/>
        </w:rPr>
        <w:t>(espacio-Tierra</w:t>
      </w:r>
      <w:r>
        <w:rPr>
          <w:lang w:val="es-ES_tradnl"/>
        </w:rPr>
        <w:t>)</w:t>
      </w:r>
      <w:r w:rsidR="00643418">
        <w:rPr>
          <w:lang w:val="es-ES_tradnl"/>
        </w:rPr>
        <w:br/>
      </w:r>
      <w:r w:rsidRPr="006B5AD2">
        <w:rPr>
          <w:lang w:val="es-ES_tradnl"/>
        </w:rPr>
        <w:t>que funciona</w:t>
      </w:r>
      <w:r>
        <w:rPr>
          <w:lang w:val="es-ES_tradnl"/>
        </w:rPr>
        <w:t xml:space="preserve">n </w:t>
      </w:r>
      <w:r w:rsidRPr="006B5AD2">
        <w:rPr>
          <w:lang w:val="es-ES_tradnl"/>
        </w:rPr>
        <w:t>en la banda 1 164-1 215 MHz</w:t>
      </w:r>
    </w:p>
    <w:p w:rsidR="003714D4" w:rsidRPr="006B5AD2" w:rsidRDefault="003714D4" w:rsidP="003714D4">
      <w:pPr>
        <w:pStyle w:val="Recref"/>
        <w:rPr>
          <w:lang w:val="es-ES_tradnl"/>
        </w:rPr>
      </w:pPr>
      <w:r w:rsidRPr="006B5AD2">
        <w:rPr>
          <w:lang w:val="es-ES_tradnl"/>
        </w:rPr>
        <w:t>(Cuestiones UIT</w:t>
      </w:r>
      <w:r w:rsidRPr="006B5AD2">
        <w:rPr>
          <w:lang w:val="es-ES_tradnl"/>
        </w:rPr>
        <w:noBreakHyphen/>
        <w:t>R 217-2/4 y U</w:t>
      </w:r>
      <w:r>
        <w:rPr>
          <w:lang w:val="es-ES_tradnl"/>
        </w:rPr>
        <w:t>IT</w:t>
      </w:r>
      <w:r w:rsidRPr="006B5AD2">
        <w:rPr>
          <w:lang w:val="es-ES_tradnl"/>
        </w:rPr>
        <w:noBreakHyphen/>
        <w:t>R 288/4)</w:t>
      </w:r>
    </w:p>
    <w:p w:rsidR="003714D4" w:rsidRPr="006B5AD2" w:rsidRDefault="003714D4" w:rsidP="003714D4">
      <w:pPr>
        <w:pStyle w:val="Recdate"/>
        <w:rPr>
          <w:lang w:val="es-ES_tradnl"/>
        </w:rPr>
      </w:pPr>
      <w:r w:rsidRPr="006B5AD2">
        <w:rPr>
          <w:lang w:val="es-ES_tradnl"/>
        </w:rPr>
        <w:t>(2012)</w:t>
      </w:r>
    </w:p>
    <w:p w:rsidR="003714D4" w:rsidRDefault="003714D4" w:rsidP="003714D4">
      <w:pPr>
        <w:pStyle w:val="HeadingSum"/>
        <w:rPr>
          <w:snapToGrid w:val="0"/>
        </w:rPr>
      </w:pPr>
      <w:r>
        <w:rPr>
          <w:snapToGrid w:val="0"/>
        </w:rPr>
        <w:t>Cometido</w:t>
      </w:r>
    </w:p>
    <w:p w:rsidR="003714D4" w:rsidRPr="0014583A" w:rsidRDefault="003714D4" w:rsidP="003714D4">
      <w:pPr>
        <w:pStyle w:val="Summary"/>
      </w:pPr>
      <w:r>
        <w:t xml:space="preserve">En esta Recomendación se presentan las características y los criterios de protección de las estaciones terrenas receptoras del servicio de radionavegación por satélite (SRNS) que funcionan en la banda </w:t>
      </w:r>
      <w:r w:rsidRPr="0014583A">
        <w:t>1 164-1 215 MHz</w:t>
      </w:r>
      <w:r>
        <w:t xml:space="preserve">. Esta información tiene por objeto analizar los efectos de la interferencia de radiofrecuencia causada por otras fuentes radioeléctricas distintas del SRNS en los receptores del SRNS (espacio-Tierra) que funcionan en la banda </w:t>
      </w:r>
      <w:r w:rsidRPr="0014583A">
        <w:t>1 164</w:t>
      </w:r>
      <w:r w:rsidRPr="0014583A">
        <w:noBreakHyphen/>
        <w:t>1 215 MHz</w:t>
      </w:r>
      <w:r>
        <w:t>.</w:t>
      </w:r>
    </w:p>
    <w:p w:rsidR="003714D4" w:rsidRPr="0013551E" w:rsidRDefault="003714D4" w:rsidP="003714D4">
      <w:pPr>
        <w:pStyle w:val="Normalaftertitle"/>
        <w:rPr>
          <w:snapToGrid w:val="0"/>
          <w:lang w:val="es-ES_tradnl"/>
        </w:rPr>
      </w:pPr>
      <w:r>
        <w:rPr>
          <w:lang w:val="es-ES_tradnl"/>
        </w:rPr>
        <w:t>La Asamblea de Radiocomunicaciones de la UIT</w:t>
      </w:r>
      <w:r w:rsidRPr="0013551E">
        <w:rPr>
          <w:snapToGrid w:val="0"/>
          <w:lang w:val="es-ES_tradnl"/>
        </w:rPr>
        <w:t>,</w:t>
      </w:r>
    </w:p>
    <w:p w:rsidR="003714D4" w:rsidRPr="000216FF" w:rsidRDefault="003714D4" w:rsidP="003714D4">
      <w:pPr>
        <w:pStyle w:val="Call"/>
        <w:rPr>
          <w:snapToGrid w:val="0"/>
          <w:lang w:val="es-ES_tradnl"/>
        </w:rPr>
      </w:pPr>
      <w:r w:rsidRPr="000216FF">
        <w:rPr>
          <w:snapToGrid w:val="0"/>
          <w:lang w:val="es-ES_tradnl"/>
        </w:rPr>
        <w:t>considerando</w:t>
      </w:r>
    </w:p>
    <w:p w:rsidR="003714D4" w:rsidRPr="0013551E" w:rsidRDefault="003714D4" w:rsidP="003714D4">
      <w:pPr>
        <w:rPr>
          <w:lang w:val="es-ES_tradnl"/>
        </w:rPr>
      </w:pPr>
      <w:r w:rsidRPr="0013551E">
        <w:rPr>
          <w:lang w:val="es-ES_tradnl"/>
        </w:rPr>
        <w:t>a)</w:t>
      </w:r>
      <w:r w:rsidRPr="0013551E">
        <w:rPr>
          <w:lang w:val="es-ES_tradnl"/>
        </w:rPr>
        <w:tab/>
      </w:r>
      <w:r>
        <w:rPr>
          <w:lang w:val="es-ES_tradnl"/>
        </w:rPr>
        <w:t>que los sistemas y redes del servicio de radionavegación por satélite (SRNS) proporcionan en todo el mundo información exacta para muchas aplicaciones de determinación de la posición, navegación y temporización, incluidos los aspectos de seguridad para algunas bandas de frecuencia y bajo ciertas circunstancias y aplicaciones</w:t>
      </w:r>
      <w:r w:rsidRPr="0013551E">
        <w:rPr>
          <w:lang w:val="es-ES_tradnl"/>
        </w:rPr>
        <w:t>;</w:t>
      </w:r>
    </w:p>
    <w:p w:rsidR="003714D4" w:rsidRPr="0013551E" w:rsidRDefault="003714D4" w:rsidP="003714D4">
      <w:pPr>
        <w:rPr>
          <w:lang w:val="es-ES_tradnl"/>
        </w:rPr>
      </w:pPr>
      <w:r w:rsidRPr="0013551E">
        <w:rPr>
          <w:lang w:val="es-ES_tradnl"/>
        </w:rPr>
        <w:t>b)</w:t>
      </w:r>
      <w:r w:rsidRPr="0013551E">
        <w:rPr>
          <w:lang w:val="es-ES_tradnl"/>
        </w:rPr>
        <w:tab/>
      </w:r>
      <w:r>
        <w:rPr>
          <w:lang w:val="es-ES_tradnl"/>
        </w:rPr>
        <w:t>que existen varios sistemas y redes del SRNS en funcionamiento y planificados</w:t>
      </w:r>
      <w:r w:rsidRPr="0013551E">
        <w:rPr>
          <w:lang w:val="es-ES_tradnl"/>
        </w:rPr>
        <w:t>;</w:t>
      </w:r>
    </w:p>
    <w:p w:rsidR="003714D4" w:rsidRPr="0013551E" w:rsidRDefault="003714D4" w:rsidP="003714D4">
      <w:pPr>
        <w:rPr>
          <w:lang w:val="es-ES_tradnl"/>
        </w:rPr>
      </w:pPr>
      <w:r w:rsidRPr="0013551E">
        <w:rPr>
          <w:lang w:val="es-ES_tradnl" w:eastAsia="ja-JP"/>
        </w:rPr>
        <w:t>c</w:t>
      </w:r>
      <w:r w:rsidRPr="0013551E">
        <w:rPr>
          <w:lang w:val="es-ES_tradnl"/>
        </w:rPr>
        <w:t>)</w:t>
      </w:r>
      <w:r w:rsidRPr="0013551E">
        <w:rPr>
          <w:lang w:val="es-ES_tradnl"/>
        </w:rPr>
        <w:tab/>
      </w:r>
      <w:r>
        <w:rPr>
          <w:lang w:val="es-ES_tradnl"/>
        </w:rPr>
        <w:t>que las características de los sistemas y redes del SRNS y sus criterios de protección pueden ser distintos según las bandas de frecuencias y las aplicaciones</w:t>
      </w:r>
      <w:r w:rsidRPr="0013551E">
        <w:rPr>
          <w:lang w:val="es-ES_tradnl"/>
        </w:rPr>
        <w:t>;</w:t>
      </w:r>
    </w:p>
    <w:p w:rsidR="003714D4" w:rsidRPr="0013551E" w:rsidRDefault="003714D4" w:rsidP="003714D4">
      <w:pPr>
        <w:rPr>
          <w:lang w:val="es-ES_tradnl"/>
        </w:rPr>
      </w:pPr>
      <w:r w:rsidRPr="0013551E">
        <w:rPr>
          <w:lang w:val="es-ES_tradnl" w:eastAsia="ja-JP"/>
        </w:rPr>
        <w:t>d</w:t>
      </w:r>
      <w:r w:rsidRPr="0013551E">
        <w:rPr>
          <w:lang w:val="es-ES_tradnl"/>
        </w:rPr>
        <w:t>)</w:t>
      </w:r>
      <w:r w:rsidRPr="0013551E">
        <w:rPr>
          <w:lang w:val="es-ES_tradnl"/>
        </w:rPr>
        <w:tab/>
      </w:r>
      <w:r>
        <w:rPr>
          <w:lang w:val="es-ES_tradnl"/>
        </w:rPr>
        <w:t>que se están realizando o se tiene previsto realizar estudios sobre los efectos de las fuentes radioeléctricas distintas del SRNS en los sistemas y redes del SRNS</w:t>
      </w:r>
      <w:r w:rsidRPr="0013551E">
        <w:rPr>
          <w:lang w:val="es-ES_tradnl"/>
        </w:rPr>
        <w:t xml:space="preserve">; </w:t>
      </w:r>
    </w:p>
    <w:p w:rsidR="003714D4" w:rsidRPr="0013551E" w:rsidRDefault="003714D4" w:rsidP="003714D4">
      <w:pPr>
        <w:rPr>
          <w:lang w:val="es-ES_tradnl" w:eastAsia="ja-JP"/>
        </w:rPr>
      </w:pPr>
      <w:r w:rsidRPr="0013551E">
        <w:rPr>
          <w:lang w:val="es-ES_tradnl" w:eastAsia="ja-JP"/>
        </w:rPr>
        <w:t>e</w:t>
      </w:r>
      <w:r w:rsidRPr="0013551E">
        <w:rPr>
          <w:lang w:val="es-ES_tradnl"/>
        </w:rPr>
        <w:t>)</w:t>
      </w:r>
      <w:r w:rsidRPr="0013551E">
        <w:rPr>
          <w:lang w:val="es-ES_tradnl"/>
        </w:rPr>
        <w:tab/>
      </w:r>
      <w:r>
        <w:rPr>
          <w:lang w:val="es-ES_tradnl"/>
        </w:rPr>
        <w:t>que existe un gran número de aplicaciones del SRNS aeronáuticas y no aeronáuticas utilizadas o cuya utilización está prevista en la banda</w:t>
      </w:r>
      <w:r w:rsidRPr="0013551E">
        <w:rPr>
          <w:snapToGrid w:val="0"/>
          <w:lang w:val="es-ES_tradnl"/>
        </w:rPr>
        <w:t xml:space="preserve"> 1 164-1 215 MHz</w:t>
      </w:r>
      <w:r w:rsidRPr="0013551E">
        <w:rPr>
          <w:lang w:val="es-ES_tradnl"/>
        </w:rPr>
        <w:t>;</w:t>
      </w:r>
    </w:p>
    <w:p w:rsidR="003714D4" w:rsidRPr="00E95163" w:rsidRDefault="003714D4" w:rsidP="003714D4">
      <w:pPr>
        <w:rPr>
          <w:lang w:val="es-ES_tradnl"/>
        </w:rPr>
      </w:pPr>
      <w:r w:rsidRPr="00E95163">
        <w:rPr>
          <w:lang w:val="es-ES_tradnl" w:eastAsia="ja-JP"/>
        </w:rPr>
        <w:t>f</w:t>
      </w:r>
      <w:r w:rsidRPr="00E95163">
        <w:rPr>
          <w:lang w:val="es-ES_tradnl"/>
        </w:rPr>
        <w:t>)</w:t>
      </w:r>
      <w:r w:rsidRPr="00E95163">
        <w:rPr>
          <w:lang w:val="es-ES_tradnl"/>
        </w:rPr>
        <w:tab/>
      </w:r>
      <w:r>
        <w:rPr>
          <w:lang w:val="es-ES_tradnl"/>
        </w:rPr>
        <w:t xml:space="preserve">que la Recomendación UIT-R M.1787 proporciona descripciones técnicas de sistemas y redes del SRNS y de las características técnicas de las estaciones espaciales transmisoras que funcionan en las bandas </w:t>
      </w:r>
      <w:r w:rsidRPr="00E95163">
        <w:rPr>
          <w:lang w:val="es-ES_tradnl"/>
        </w:rPr>
        <w:t xml:space="preserve">1 164-1 215 MHz, 1 215-1 300 MHz </w:t>
      </w:r>
      <w:r>
        <w:rPr>
          <w:lang w:val="es-ES_tradnl"/>
        </w:rPr>
        <w:t>y</w:t>
      </w:r>
      <w:r w:rsidRPr="00E95163">
        <w:rPr>
          <w:lang w:val="es-ES_tradnl"/>
        </w:rPr>
        <w:t xml:space="preserve"> 1 559-1 610 MHz;</w:t>
      </w:r>
    </w:p>
    <w:p w:rsidR="003714D4" w:rsidRPr="00FB46F6" w:rsidRDefault="003714D4" w:rsidP="003714D4">
      <w:pPr>
        <w:rPr>
          <w:lang w:val="es-ES_tradnl" w:eastAsia="ja-JP"/>
        </w:rPr>
      </w:pPr>
      <w:r w:rsidRPr="00FB46F6">
        <w:rPr>
          <w:lang w:val="es-ES_tradnl" w:eastAsia="ja-JP"/>
        </w:rPr>
        <w:t>g</w:t>
      </w:r>
      <w:r w:rsidRPr="00FB46F6">
        <w:rPr>
          <w:lang w:val="es-ES_tradnl"/>
        </w:rPr>
        <w:t>)</w:t>
      </w:r>
      <w:r w:rsidRPr="00FB46F6">
        <w:rPr>
          <w:lang w:val="es-ES_tradnl"/>
        </w:rPr>
        <w:tab/>
      </w:r>
      <w:r>
        <w:rPr>
          <w:lang w:val="es-ES_tradnl"/>
        </w:rPr>
        <w:t>que la Recomendación UIT-R M.1904 proporciona las características técnicas y los criterios de protección de las estaciones espaciales receptoras que funcionan en el SRNS (espacio</w:t>
      </w:r>
      <w:r>
        <w:rPr>
          <w:lang w:val="es-ES_tradnl"/>
        </w:rPr>
        <w:noBreakHyphen/>
        <w:t>espacio) en las bandas</w:t>
      </w:r>
      <w:r w:rsidRPr="00FB46F6">
        <w:rPr>
          <w:lang w:val="es-ES_tradnl"/>
        </w:rPr>
        <w:t xml:space="preserve"> 1 164</w:t>
      </w:r>
      <w:r w:rsidRPr="00FB46F6">
        <w:rPr>
          <w:lang w:val="es-ES_tradnl"/>
        </w:rPr>
        <w:noBreakHyphen/>
        <w:t xml:space="preserve">1 215 MHz, 1 215-1 300 MHz </w:t>
      </w:r>
      <w:r>
        <w:rPr>
          <w:lang w:val="es-ES_tradnl"/>
        </w:rPr>
        <w:t>y</w:t>
      </w:r>
      <w:r w:rsidRPr="00FB46F6">
        <w:rPr>
          <w:lang w:val="es-ES_tradnl"/>
        </w:rPr>
        <w:t xml:space="preserve"> 1 559-1 610 MHz</w:t>
      </w:r>
      <w:r w:rsidRPr="00FB46F6">
        <w:rPr>
          <w:lang w:val="es-ES_tradnl" w:eastAsia="ja-JP"/>
        </w:rPr>
        <w:t>;</w:t>
      </w:r>
    </w:p>
    <w:p w:rsidR="003714D4" w:rsidRPr="00FB46F6" w:rsidRDefault="003714D4" w:rsidP="00643418">
      <w:pPr>
        <w:rPr>
          <w:lang w:val="es-ES_tradnl"/>
        </w:rPr>
      </w:pPr>
      <w:r w:rsidRPr="00FB46F6">
        <w:rPr>
          <w:lang w:val="es-ES_tradnl"/>
        </w:rPr>
        <w:t>h)</w:t>
      </w:r>
      <w:r w:rsidRPr="00FB46F6">
        <w:rPr>
          <w:lang w:val="es-ES_tradnl"/>
        </w:rPr>
        <w:tab/>
      </w:r>
      <w:r>
        <w:rPr>
          <w:lang w:val="es-ES_tradnl"/>
        </w:rPr>
        <w:t xml:space="preserve">que la Recomendación UIT-R M.1901 proporciona orientaciones sobre </w:t>
      </w:r>
      <w:r w:rsidR="00643418">
        <w:rPr>
          <w:lang w:val="es-ES_tradnl"/>
        </w:rPr>
        <w:t>é</w:t>
      </w:r>
      <w:r>
        <w:rPr>
          <w:lang w:val="es-ES_tradnl"/>
        </w:rPr>
        <w:t>sta y otras Recomendaciones</w:t>
      </w:r>
      <w:r w:rsidR="00643418">
        <w:rPr>
          <w:lang w:val="es-ES_tradnl"/>
        </w:rPr>
        <w:t xml:space="preserve"> del</w:t>
      </w:r>
      <w:r>
        <w:rPr>
          <w:lang w:val="es-ES_tradnl"/>
        </w:rPr>
        <w:t xml:space="preserve"> UIT-R relativas a sistemas y redes del SRNS que funcionan en las bandas de frecuencia</w:t>
      </w:r>
      <w:r w:rsidRPr="00FB46F6">
        <w:rPr>
          <w:lang w:val="es-ES_tradnl"/>
        </w:rPr>
        <w:t xml:space="preserve"> 1 164-1 215 MHz, 1 215-1 300 MHz, 1 559-1 610 MHz, 5 000-5 010 MHz </w:t>
      </w:r>
      <w:r>
        <w:rPr>
          <w:lang w:val="es-ES_tradnl"/>
        </w:rPr>
        <w:t>y</w:t>
      </w:r>
      <w:r w:rsidRPr="00FB46F6">
        <w:rPr>
          <w:lang w:val="es-ES_tradnl"/>
        </w:rPr>
        <w:t xml:space="preserve"> 5 010</w:t>
      </w:r>
      <w:r w:rsidR="00643418">
        <w:rPr>
          <w:lang w:val="es-ES_tradnl"/>
        </w:rPr>
        <w:t>-</w:t>
      </w:r>
      <w:r w:rsidRPr="00FB46F6">
        <w:rPr>
          <w:lang w:val="es-ES_tradnl"/>
        </w:rPr>
        <w:t>5 030 MHz,</w:t>
      </w:r>
    </w:p>
    <w:p w:rsidR="003714D4" w:rsidRPr="00FB46F6" w:rsidRDefault="003714D4" w:rsidP="003714D4">
      <w:pPr>
        <w:pStyle w:val="Call"/>
        <w:rPr>
          <w:lang w:val="es-ES_tradnl"/>
        </w:rPr>
      </w:pPr>
      <w:r w:rsidRPr="00FB46F6">
        <w:rPr>
          <w:lang w:val="es-ES_tradnl"/>
        </w:rPr>
        <w:t>reconociendo</w:t>
      </w:r>
    </w:p>
    <w:p w:rsidR="003714D4" w:rsidRPr="00FB46F6" w:rsidRDefault="003714D4" w:rsidP="003714D4">
      <w:pPr>
        <w:rPr>
          <w:lang w:val="es-ES_tradnl"/>
        </w:rPr>
      </w:pPr>
      <w:r w:rsidRPr="00FB46F6">
        <w:rPr>
          <w:lang w:val="es-ES_tradnl" w:eastAsia="ja-JP"/>
        </w:rPr>
        <w:t>a</w:t>
      </w:r>
      <w:r w:rsidRPr="00FB46F6">
        <w:rPr>
          <w:lang w:val="es-ES_tradnl"/>
        </w:rPr>
        <w:t>)</w:t>
      </w:r>
      <w:r w:rsidRPr="00FB46F6">
        <w:rPr>
          <w:lang w:val="es-ES_tradnl"/>
        </w:rPr>
        <w:tab/>
      </w:r>
      <w:r>
        <w:rPr>
          <w:lang w:val="es-ES_tradnl"/>
        </w:rPr>
        <w:t xml:space="preserve">que la banda </w:t>
      </w:r>
      <w:r w:rsidRPr="00FB46F6">
        <w:rPr>
          <w:lang w:val="es-ES_tradnl"/>
        </w:rPr>
        <w:t>1 164-1 215 MHz</w:t>
      </w:r>
      <w:r>
        <w:rPr>
          <w:lang w:val="es-ES_tradnl"/>
        </w:rPr>
        <w:t xml:space="preserve"> está atribuida a título primario al SRNS (espacio-Tierra y espacio-espacio) en las tres Regiones;</w:t>
      </w:r>
    </w:p>
    <w:p w:rsidR="003714D4" w:rsidRPr="00747700" w:rsidRDefault="003714D4" w:rsidP="003714D4">
      <w:pPr>
        <w:rPr>
          <w:lang w:val="es-ES_tradnl"/>
        </w:rPr>
      </w:pPr>
      <w:r w:rsidRPr="00747700">
        <w:rPr>
          <w:lang w:val="es-ES_tradnl" w:eastAsia="ja-JP"/>
        </w:rPr>
        <w:t>b</w:t>
      </w:r>
      <w:r w:rsidRPr="00747700">
        <w:rPr>
          <w:lang w:val="es-ES_tradnl"/>
        </w:rPr>
        <w:t>)</w:t>
      </w:r>
      <w:r w:rsidRPr="00747700">
        <w:rPr>
          <w:lang w:val="es-ES_tradnl"/>
        </w:rPr>
        <w:tab/>
      </w:r>
      <w:r>
        <w:rPr>
          <w:lang w:val="es-ES_tradnl"/>
        </w:rPr>
        <w:t xml:space="preserve">que la banda </w:t>
      </w:r>
      <w:r w:rsidRPr="00747700">
        <w:rPr>
          <w:lang w:val="es-ES_tradnl"/>
        </w:rPr>
        <w:t>1 164-1 215 MHz</w:t>
      </w:r>
      <w:r>
        <w:rPr>
          <w:lang w:val="es-ES_tradnl"/>
        </w:rPr>
        <w:t xml:space="preserve"> está también atribuida a título primario al servicio de radionavegación aeronáutica (SRNA) en las tres Regiones;</w:t>
      </w:r>
    </w:p>
    <w:p w:rsidR="003714D4" w:rsidRDefault="003714D4" w:rsidP="003714D4">
      <w:pPr>
        <w:rPr>
          <w:lang w:val="es-ES_tradnl"/>
        </w:rPr>
      </w:pPr>
      <w:r w:rsidRPr="00747700">
        <w:rPr>
          <w:lang w:val="es-ES_tradnl" w:eastAsia="ja-JP"/>
        </w:rPr>
        <w:lastRenderedPageBreak/>
        <w:t>c)</w:t>
      </w:r>
      <w:r w:rsidRPr="00747700">
        <w:rPr>
          <w:lang w:val="es-ES_tradnl" w:eastAsia="ja-JP"/>
        </w:rPr>
        <w:tab/>
      </w:r>
      <w:r>
        <w:rPr>
          <w:lang w:val="es-ES_tradnl"/>
        </w:rPr>
        <w:t xml:space="preserve">que el número </w:t>
      </w:r>
      <w:r w:rsidRPr="00747700">
        <w:rPr>
          <w:b/>
          <w:lang w:val="es-ES_tradnl"/>
        </w:rPr>
        <w:t>5.328A</w:t>
      </w:r>
      <w:r>
        <w:rPr>
          <w:lang w:val="es-ES_tradnl"/>
        </w:rPr>
        <w:t xml:space="preserve"> del Reglamento de Radiocomunicaciones (RR) indica que «l</w:t>
      </w:r>
      <w:r w:rsidRPr="00A80515">
        <w:rPr>
          <w:lang w:val="es-ES_tradnl"/>
        </w:rPr>
        <w:t>as estaciones del servicio de radionavegación por satélite en la banda 1 164-1 215 MHz funcionarán</w:t>
      </w:r>
      <w:r>
        <w:rPr>
          <w:lang w:val="es-ES_tradnl"/>
        </w:rPr>
        <w:t xml:space="preserve"> </w:t>
      </w:r>
      <w:r w:rsidRPr="00A80515">
        <w:rPr>
          <w:lang w:val="es-ES_tradnl"/>
        </w:rPr>
        <w:t>de conformidad con las disposiciones de la Resolución 609 (Rev.CMR-07) y no reclamarán protección contra las</w:t>
      </w:r>
      <w:r>
        <w:rPr>
          <w:lang w:val="es-ES_tradnl"/>
        </w:rPr>
        <w:t xml:space="preserve"> </w:t>
      </w:r>
      <w:r w:rsidRPr="00A80515">
        <w:rPr>
          <w:lang w:val="es-ES_tradnl"/>
        </w:rPr>
        <w:t>estaciones del servicio de radionavegación aeronáutica en la banda 960-1 215 MHz. No se aplican las disposiciones</w:t>
      </w:r>
      <w:r>
        <w:rPr>
          <w:lang w:val="es-ES_tradnl"/>
        </w:rPr>
        <w:t xml:space="preserve"> </w:t>
      </w:r>
      <w:r w:rsidRPr="00A80515">
        <w:rPr>
          <w:lang w:val="es-ES_tradnl"/>
        </w:rPr>
        <w:t xml:space="preserve">del número </w:t>
      </w:r>
      <w:r w:rsidRPr="00A80515">
        <w:rPr>
          <w:b/>
          <w:bCs/>
          <w:lang w:val="es-ES_tradnl"/>
        </w:rPr>
        <w:t>5.43A</w:t>
      </w:r>
      <w:r w:rsidRPr="00A80515">
        <w:rPr>
          <w:lang w:val="es-ES_tradnl"/>
        </w:rPr>
        <w:t xml:space="preserve">. Se aplicarán las disposiciones del número </w:t>
      </w:r>
      <w:r w:rsidRPr="00443541">
        <w:rPr>
          <w:b/>
          <w:bCs/>
          <w:lang w:val="es-ES_tradnl"/>
        </w:rPr>
        <w:t>21.18</w:t>
      </w:r>
      <w:r>
        <w:rPr>
          <w:lang w:val="es-ES_tradnl"/>
        </w:rPr>
        <w:t>»,</w:t>
      </w:r>
    </w:p>
    <w:p w:rsidR="003714D4" w:rsidRPr="000216FF" w:rsidRDefault="003714D4" w:rsidP="003714D4">
      <w:pPr>
        <w:pStyle w:val="Call"/>
        <w:rPr>
          <w:snapToGrid w:val="0"/>
          <w:lang w:val="es-ES_tradnl"/>
        </w:rPr>
      </w:pPr>
      <w:r w:rsidRPr="000216FF">
        <w:rPr>
          <w:snapToGrid w:val="0"/>
          <w:lang w:val="es-ES_tradnl"/>
        </w:rPr>
        <w:t>recomienda</w:t>
      </w:r>
    </w:p>
    <w:p w:rsidR="003714D4" w:rsidRPr="00BA20D8" w:rsidRDefault="003714D4" w:rsidP="003714D4">
      <w:pPr>
        <w:rPr>
          <w:snapToGrid w:val="0"/>
          <w:lang w:val="es-ES_tradnl" w:eastAsia="ja-JP"/>
        </w:rPr>
      </w:pPr>
      <w:r w:rsidRPr="00BA20D8">
        <w:rPr>
          <w:b/>
          <w:bCs/>
          <w:snapToGrid w:val="0"/>
          <w:lang w:val="es-ES_tradnl" w:eastAsia="ja-JP"/>
        </w:rPr>
        <w:t>1</w:t>
      </w:r>
      <w:r w:rsidRPr="00BA20D8">
        <w:rPr>
          <w:snapToGrid w:val="0"/>
          <w:lang w:val="es-ES_tradnl" w:eastAsia="ja-JP"/>
        </w:rPr>
        <w:tab/>
      </w:r>
      <w:r>
        <w:rPr>
          <w:lang w:val="es-ES_tradnl"/>
        </w:rPr>
        <w:t xml:space="preserve">que para analizar los efectos de la interferencia procedente de fuentes radioeléctricas distintas al SRNS en los receptores del SRNS (espacio-Tierra) que funcionan en la banda </w:t>
      </w:r>
      <w:r w:rsidRPr="008E4EFA">
        <w:rPr>
          <w:snapToGrid w:val="0"/>
          <w:lang w:val="es-ES_tradnl"/>
        </w:rPr>
        <w:t>1 164</w:t>
      </w:r>
      <w:r>
        <w:rPr>
          <w:snapToGrid w:val="0"/>
          <w:lang w:val="es-ES_tradnl"/>
        </w:rPr>
        <w:noBreakHyphen/>
      </w:r>
      <w:r w:rsidRPr="008E4EFA">
        <w:rPr>
          <w:snapToGrid w:val="0"/>
          <w:lang w:val="es-ES_tradnl"/>
        </w:rPr>
        <w:t>1 215 MHz</w:t>
      </w:r>
      <w:r>
        <w:rPr>
          <w:lang w:val="es-ES_tradnl"/>
        </w:rPr>
        <w:t xml:space="preserve"> se utilicen las características y los criterios de protección de las estaciones terrenas receptoras que figuran en el Anexo 2;</w:t>
      </w:r>
    </w:p>
    <w:p w:rsidR="003714D4" w:rsidRPr="00187BB9" w:rsidRDefault="003714D4" w:rsidP="003714D4">
      <w:pPr>
        <w:rPr>
          <w:snapToGrid w:val="0"/>
          <w:lang w:val="es-ES_tradnl"/>
        </w:rPr>
      </w:pPr>
      <w:r w:rsidRPr="00187BB9">
        <w:rPr>
          <w:b/>
          <w:lang w:val="es-ES_tradnl"/>
        </w:rPr>
        <w:t>2</w:t>
      </w:r>
      <w:r w:rsidRPr="00187BB9">
        <w:rPr>
          <w:lang w:val="es-ES_tradnl"/>
        </w:rPr>
        <w:tab/>
      </w:r>
      <w:r>
        <w:rPr>
          <w:lang w:val="es-ES_tradnl"/>
        </w:rPr>
        <w:t>que, cuando se lleven a cabo análisis de interferencia, para proteger los aspectos de seguridad y las aplicaciones del SRNS se satisfaga el margen de seguridad indicado en el Anexo 1</w:t>
      </w:r>
      <w:r w:rsidRPr="00187BB9">
        <w:rPr>
          <w:snapToGrid w:val="0"/>
          <w:lang w:val="es-ES_tradnl"/>
        </w:rPr>
        <w:t>;</w:t>
      </w:r>
    </w:p>
    <w:p w:rsidR="003714D4" w:rsidRPr="00187BB9" w:rsidRDefault="003714D4" w:rsidP="003714D4">
      <w:pPr>
        <w:rPr>
          <w:lang w:val="es-ES_tradnl"/>
        </w:rPr>
      </w:pPr>
      <w:r w:rsidRPr="00187BB9">
        <w:rPr>
          <w:b/>
          <w:lang w:val="es-ES_tradnl"/>
        </w:rPr>
        <w:t>3</w:t>
      </w:r>
      <w:r w:rsidRPr="00187BB9">
        <w:rPr>
          <w:lang w:val="es-ES_tradnl"/>
        </w:rPr>
        <w:tab/>
      </w:r>
      <w:r>
        <w:rPr>
          <w:lang w:val="es-ES_tradnl"/>
        </w:rPr>
        <w:t>que la siguiente Nota se considere parte integrante de la presente Recomendación.</w:t>
      </w:r>
    </w:p>
    <w:p w:rsidR="003714D4" w:rsidRPr="007F5A9D" w:rsidRDefault="003714D4" w:rsidP="000E4E45">
      <w:pPr>
        <w:rPr>
          <w:lang w:val="es-ES_tradnl"/>
        </w:rPr>
      </w:pPr>
      <w:r w:rsidRPr="007F5A9D">
        <w:rPr>
          <w:lang w:val="es-ES_tradnl"/>
        </w:rPr>
        <w:t>NOT</w:t>
      </w:r>
      <w:r>
        <w:rPr>
          <w:lang w:val="es-ES_tradnl"/>
        </w:rPr>
        <w:t>A</w:t>
      </w:r>
      <w:r w:rsidRPr="007F5A9D">
        <w:rPr>
          <w:lang w:val="es-ES_tradnl"/>
        </w:rPr>
        <w:t xml:space="preserve"> 1 – </w:t>
      </w:r>
      <w:r>
        <w:rPr>
          <w:lang w:val="es-ES_tradnl"/>
        </w:rPr>
        <w:t xml:space="preserve">El margen de seguridad aeronáutica de 6 dB indicado en el </w:t>
      </w:r>
      <w:r w:rsidRPr="007F5A9D">
        <w:rPr>
          <w:szCs w:val="24"/>
          <w:lang w:val="es-ES_tradnl"/>
        </w:rPr>
        <w:t>§</w:t>
      </w:r>
      <w:r w:rsidRPr="007F5A9D">
        <w:rPr>
          <w:lang w:val="es-ES_tradnl"/>
        </w:rPr>
        <w:t> </w:t>
      </w:r>
      <w:r>
        <w:rPr>
          <w:lang w:val="es-ES_tradnl"/>
        </w:rPr>
        <w:t xml:space="preserve">3.2 del Anexo 1 se estableció para una aplicación de radionavegación aeronáutica especifica del SRNS en la banda </w:t>
      </w:r>
      <w:r w:rsidRPr="007F5A9D">
        <w:rPr>
          <w:lang w:val="es-ES_tradnl"/>
        </w:rPr>
        <w:t>1 164</w:t>
      </w:r>
      <w:r w:rsidRPr="007F5A9D">
        <w:rPr>
          <w:lang w:val="es-ES_tradnl"/>
        </w:rPr>
        <w:noBreakHyphen/>
        <w:t>1 215 MHz</w:t>
      </w:r>
      <w:r>
        <w:rPr>
          <w:lang w:val="es-ES_tradnl"/>
        </w:rPr>
        <w:t>, y no est</w:t>
      </w:r>
      <w:r w:rsidR="000E4E45">
        <w:rPr>
          <w:lang w:val="es-ES_tradnl"/>
        </w:rPr>
        <w:t>á</w:t>
      </w:r>
      <w:r>
        <w:rPr>
          <w:lang w:val="es-ES_tradnl"/>
        </w:rPr>
        <w:t xml:space="preserve"> destinado a aplicaciones distintas a las aeronáuticas. El nivel del margen de seguridad, caso de existir, que debe utilizarse en aplicaciones de seguridad no aeronáuticas del SRNS se establecerá basándose en </w:t>
      </w:r>
      <w:r w:rsidR="00DF44F2">
        <w:rPr>
          <w:lang w:val="es-ES_tradnl"/>
        </w:rPr>
        <w:t xml:space="preserve">los </w:t>
      </w:r>
      <w:r>
        <w:rPr>
          <w:lang w:val="es-ES_tradnl"/>
        </w:rPr>
        <w:t>resultados de estudios posteriores.</w:t>
      </w:r>
    </w:p>
    <w:p w:rsidR="003714D4" w:rsidRDefault="003714D4" w:rsidP="003714D4">
      <w:pPr>
        <w:rPr>
          <w:lang w:val="es-ES_tradnl"/>
        </w:rPr>
      </w:pPr>
    </w:p>
    <w:p w:rsidR="00643418" w:rsidRDefault="00643418" w:rsidP="003714D4">
      <w:pPr>
        <w:rPr>
          <w:lang w:val="es-ES_tradnl"/>
        </w:rPr>
      </w:pPr>
    </w:p>
    <w:p w:rsidR="00643418" w:rsidRPr="000216FF" w:rsidRDefault="00643418" w:rsidP="00643418">
      <w:pPr>
        <w:spacing w:before="0"/>
        <w:rPr>
          <w:lang w:val="es-ES_tradnl"/>
        </w:rPr>
      </w:pPr>
    </w:p>
    <w:p w:rsidR="003714D4" w:rsidRPr="00EE5F92" w:rsidRDefault="003714D4" w:rsidP="003714D4">
      <w:pPr>
        <w:pStyle w:val="AnnexNoTitle"/>
        <w:rPr>
          <w:lang w:val="es-ES_tradnl"/>
        </w:rPr>
      </w:pPr>
      <w:r w:rsidRPr="00EE5F92">
        <w:rPr>
          <w:lang w:val="es-ES_tradnl"/>
        </w:rPr>
        <w:t>Anex</w:t>
      </w:r>
      <w:r>
        <w:rPr>
          <w:lang w:val="es-ES_tradnl"/>
        </w:rPr>
        <w:t>o</w:t>
      </w:r>
      <w:r w:rsidRPr="00EE5F92">
        <w:rPr>
          <w:lang w:val="es-ES_tradnl"/>
        </w:rPr>
        <w:t xml:space="preserve"> 1</w:t>
      </w:r>
      <w:r w:rsidRPr="00EE5F92">
        <w:rPr>
          <w:lang w:val="es-ES_tradnl"/>
        </w:rPr>
        <w:br/>
      </w:r>
      <w:r w:rsidRPr="00EE5F92">
        <w:rPr>
          <w:lang w:val="es-ES_tradnl"/>
        </w:rPr>
        <w:br/>
      </w:r>
      <w:r>
        <w:rPr>
          <w:lang w:val="es-ES_tradnl"/>
        </w:rPr>
        <w:t>Margen para las aplicaciones de seguridad del SRNS</w:t>
      </w:r>
    </w:p>
    <w:p w:rsidR="003714D4" w:rsidRPr="008E4EFA" w:rsidRDefault="003714D4" w:rsidP="003714D4">
      <w:pPr>
        <w:pStyle w:val="Heading1"/>
        <w:rPr>
          <w:lang w:val="es-ES_tradnl"/>
        </w:rPr>
      </w:pPr>
      <w:r w:rsidRPr="008E4EFA">
        <w:rPr>
          <w:lang w:val="es-ES_tradnl"/>
        </w:rPr>
        <w:t>1</w:t>
      </w:r>
      <w:r w:rsidRPr="008E4EFA">
        <w:rPr>
          <w:lang w:val="es-ES_tradnl"/>
        </w:rPr>
        <w:tab/>
        <w:t>Introducción</w:t>
      </w:r>
    </w:p>
    <w:p w:rsidR="003714D4" w:rsidRPr="000216FF" w:rsidRDefault="003714D4" w:rsidP="003714D4">
      <w:pPr>
        <w:rPr>
          <w:lang w:val="es-ES_tradnl"/>
        </w:rPr>
      </w:pPr>
      <w:r>
        <w:rPr>
          <w:lang w:val="es-ES_tradnl"/>
        </w:rPr>
        <w:t xml:space="preserve">Históricamente, la UIT y la Organización de Aviación Civil Internacional (OACI) han reservado una parte del balance del enlace de interferencia para establecer un margen que garantice la protección de los aspectos de seguridad del servicio de radionavegación. Los valores de este margen normalmente se encuentran entre </w:t>
      </w:r>
      <w:r w:rsidRPr="000216FF">
        <w:rPr>
          <w:lang w:val="es-ES_tradnl"/>
        </w:rPr>
        <w:t>6 </w:t>
      </w:r>
      <w:r>
        <w:rPr>
          <w:lang w:val="es-ES_tradnl"/>
        </w:rPr>
        <w:t>y</w:t>
      </w:r>
      <w:r w:rsidRPr="000216FF">
        <w:rPr>
          <w:lang w:val="es-ES_tradnl"/>
        </w:rPr>
        <w:t xml:space="preserve"> 10 dB</w:t>
      </w:r>
      <w:r>
        <w:rPr>
          <w:lang w:val="es-ES_tradnl"/>
        </w:rPr>
        <w:t>, o valores superiores. Además, en la UIT hay un amplio precedente de márgenes de seguridad para las aplicaciones de seguridad en la radionavegación, por ejemplo:</w:t>
      </w:r>
    </w:p>
    <w:p w:rsidR="003714D4" w:rsidRDefault="003714D4" w:rsidP="003714D4">
      <w:pPr>
        <w:rPr>
          <w:lang w:val="es-ES_tradnl"/>
        </w:rPr>
      </w:pPr>
      <w:r w:rsidRPr="00A95573">
        <w:rPr>
          <w:lang w:val="es-ES_tradnl"/>
        </w:rPr>
        <w:t>«Con independencia de las intenciones originales de los planificadores del espectro radioeléctrico, no hay ninguna duda de que las presiones para efectuar atribuciones adicionales en el espectro radioeléctrico a varios servicios de</w:t>
      </w:r>
      <w:r>
        <w:rPr>
          <w:lang w:val="es-ES_tradnl"/>
        </w:rPr>
        <w:t xml:space="preserve"> </w:t>
      </w:r>
      <w:r w:rsidRPr="00A95573">
        <w:rPr>
          <w:lang w:val="es-ES_tradnl"/>
        </w:rPr>
        <w:t>radiocomunicación pueden afectar a los criterios de protección aeronáutica considerados como criterios de compartición no aeronáuticos. En consecuencia, un servicio de seguridad debe adoptar precauciones considerables para asegurarse de que cualquier servicio radioeléctrico que comparta la misma banda, tenga una limitación suficiente para dejar un margen adecuado de forma que en todas las circunstancias probables la interferencia perjudicial total nunca rebase los criterios de protección requeridos.»</w:t>
      </w:r>
      <w:r>
        <w:rPr>
          <w:rStyle w:val="FootnoteReference"/>
          <w:lang w:val="es-ES_tradnl"/>
        </w:rPr>
        <w:footnoteReference w:id="1"/>
      </w:r>
    </w:p>
    <w:p w:rsidR="003714D4" w:rsidRPr="00507A54" w:rsidRDefault="003714D4" w:rsidP="003714D4">
      <w:pPr>
        <w:rPr>
          <w:lang w:val="es-ES_tradnl"/>
        </w:rPr>
      </w:pPr>
      <w:r>
        <w:rPr>
          <w:lang w:val="es-ES_tradnl"/>
        </w:rPr>
        <w:lastRenderedPageBreak/>
        <w:t xml:space="preserve">Además, la Recomendación UIT-R M.1318-1 contiene en su Anexo un modelo para evaluar la interferencia causada a los receptores del SRNS por fuentes radioeléctricas distintas del SRNS. Dicho modelo incluye la utilización de un factor denominado «margen de protección (dB)». Su descripción indica que se utiliza «para garantizar la protección, como se estipula </w:t>
      </w:r>
      <w:r w:rsidR="00EB023E">
        <w:rPr>
          <w:lang w:val="es-ES_tradnl"/>
        </w:rPr>
        <w:t xml:space="preserve">en el </w:t>
      </w:r>
      <w:r>
        <w:rPr>
          <w:lang w:val="es-ES_tradnl"/>
        </w:rPr>
        <w:t>número 4.10</w:t>
      </w:r>
      <w:r w:rsidRPr="00526347">
        <w:rPr>
          <w:lang w:val="es-ES_tradnl"/>
        </w:rPr>
        <w:t xml:space="preserve"> </w:t>
      </w:r>
      <w:r>
        <w:rPr>
          <w:lang w:val="es-ES_tradnl"/>
        </w:rPr>
        <w:t>del RR».</w:t>
      </w:r>
    </w:p>
    <w:p w:rsidR="003714D4" w:rsidRPr="00156191" w:rsidRDefault="003714D4" w:rsidP="003714D4">
      <w:pPr>
        <w:pStyle w:val="Heading1"/>
        <w:rPr>
          <w:lang w:val="es-ES_tradnl"/>
        </w:rPr>
      </w:pPr>
      <w:r w:rsidRPr="00156191">
        <w:rPr>
          <w:lang w:val="es-ES_tradnl"/>
        </w:rPr>
        <w:t>2</w:t>
      </w:r>
      <w:r w:rsidRPr="00156191">
        <w:rPr>
          <w:lang w:val="es-ES_tradnl"/>
        </w:rPr>
        <w:tab/>
      </w:r>
      <w:r>
        <w:rPr>
          <w:lang w:val="es-ES_tradnl"/>
        </w:rPr>
        <w:t>Objetivo del margen de seguridad</w:t>
      </w:r>
    </w:p>
    <w:p w:rsidR="003714D4" w:rsidRPr="00156191" w:rsidRDefault="003714D4" w:rsidP="000E4E45">
      <w:pPr>
        <w:rPr>
          <w:lang w:val="es-ES_tradnl"/>
        </w:rPr>
      </w:pPr>
      <w:r>
        <w:rPr>
          <w:lang w:val="es-ES_tradnl"/>
        </w:rPr>
        <w:t>El margen de seguridad (que también puede recibir el nombre de factor de seguridad p</w:t>
      </w:r>
      <w:r w:rsidR="000E4E45">
        <w:rPr>
          <w:lang w:val="es-ES_tradnl"/>
        </w:rPr>
        <w:t>ú</w:t>
      </w:r>
      <w:r>
        <w:rPr>
          <w:lang w:val="es-ES_tradnl"/>
        </w:rPr>
        <w:t>blica) es un parámetro c</w:t>
      </w:r>
      <w:r w:rsidR="000E4E45">
        <w:rPr>
          <w:lang w:val="es-ES_tradnl"/>
        </w:rPr>
        <w:t>rítico</w:t>
      </w:r>
      <w:r>
        <w:rPr>
          <w:lang w:val="es-ES_tradnl"/>
        </w:rPr>
        <w:t xml:space="preserve"> para las aplicaciones de seguridad de la vida a fin de tener en cuenta el riesgo de pérdidas de vidas humanas a causa de la interferencia de radiofrecuencia, riesgo que es real pero no cuantificable. Para soportar las aplicaciones de seguridad de la vida humana deben tenerse en cuenta todas las fuentes de interferencia.</w:t>
      </w:r>
    </w:p>
    <w:p w:rsidR="003714D4" w:rsidRPr="00C37C53" w:rsidRDefault="003714D4" w:rsidP="003714D4">
      <w:pPr>
        <w:pStyle w:val="Heading1"/>
        <w:rPr>
          <w:lang w:val="es-ES_tradnl"/>
        </w:rPr>
      </w:pPr>
      <w:r w:rsidRPr="00C37C53">
        <w:rPr>
          <w:lang w:val="es-ES_tradnl"/>
        </w:rPr>
        <w:t>3</w:t>
      </w:r>
      <w:r w:rsidRPr="00C37C53">
        <w:rPr>
          <w:lang w:val="es-ES_tradnl"/>
        </w:rPr>
        <w:tab/>
      </w:r>
      <w:r>
        <w:rPr>
          <w:lang w:val="es-ES_tradnl"/>
        </w:rPr>
        <w:t>Aplicaciones del margen de seguridad en la radionavegación aeronáutica</w:t>
      </w:r>
    </w:p>
    <w:p w:rsidR="003714D4" w:rsidRDefault="003714D4" w:rsidP="003714D4">
      <w:pPr>
        <w:pStyle w:val="Heading2"/>
        <w:rPr>
          <w:lang w:val="es-ES_tradnl"/>
        </w:rPr>
      </w:pPr>
      <w:r w:rsidRPr="00D924F8">
        <w:rPr>
          <w:lang w:val="es-ES_tradnl"/>
        </w:rPr>
        <w:t>3.1</w:t>
      </w:r>
      <w:r w:rsidRPr="00D924F8">
        <w:rPr>
          <w:lang w:val="es-ES_tradnl"/>
        </w:rPr>
        <w:tab/>
      </w:r>
      <w:r>
        <w:rPr>
          <w:lang w:val="es-ES_tradnl"/>
        </w:rPr>
        <w:t>Consideraciones básicas sobre el margen de seguridad en la radionavegación aeronáutica</w:t>
      </w:r>
    </w:p>
    <w:p w:rsidR="003714D4" w:rsidRDefault="003714D4" w:rsidP="00DF44F2">
      <w:pPr>
        <w:rPr>
          <w:lang w:val="es-ES_tradnl"/>
        </w:rPr>
      </w:pPr>
      <w:r>
        <w:rPr>
          <w:lang w:val="es-ES_tradnl"/>
        </w:rPr>
        <w:t xml:space="preserve">La utilización de márgenes de seguridad en los sistemas de navegación está perfectamente establecida. La OACI especifica un margen de seguridad para el sistema de aterrizaje por microondas (MLS) de 6 dB (Anexo 10 al Convenio de la OACI: Normas </w:t>
      </w:r>
      <w:r w:rsidR="00DF44F2">
        <w:rPr>
          <w:lang w:val="es-ES_tradnl"/>
        </w:rPr>
        <w:t>I</w:t>
      </w:r>
      <w:r>
        <w:rPr>
          <w:lang w:val="es-ES_tradnl"/>
        </w:rPr>
        <w:t xml:space="preserve">nternacionales y </w:t>
      </w:r>
      <w:r w:rsidR="00DF44F2">
        <w:rPr>
          <w:lang w:val="es-ES_tradnl"/>
        </w:rPr>
        <w:t>P</w:t>
      </w:r>
      <w:r>
        <w:rPr>
          <w:lang w:val="es-ES_tradnl"/>
        </w:rPr>
        <w:t xml:space="preserve">rácticas </w:t>
      </w:r>
      <w:r w:rsidR="00DF44F2">
        <w:rPr>
          <w:lang w:val="es-ES_tradnl"/>
        </w:rPr>
        <w:t>R</w:t>
      </w:r>
      <w:r>
        <w:rPr>
          <w:lang w:val="es-ES_tradnl"/>
        </w:rPr>
        <w:t xml:space="preserve">ecomendadas en las </w:t>
      </w:r>
      <w:r w:rsidR="00DF44F2">
        <w:rPr>
          <w:lang w:val="es-ES_tradnl"/>
        </w:rPr>
        <w:t>T</w:t>
      </w:r>
      <w:r>
        <w:rPr>
          <w:lang w:val="es-ES_tradnl"/>
        </w:rPr>
        <w:t xml:space="preserve">elecomunicaciones </w:t>
      </w:r>
      <w:r w:rsidR="00DF44F2">
        <w:rPr>
          <w:lang w:val="es-ES_tradnl"/>
        </w:rPr>
        <w:t>A</w:t>
      </w:r>
      <w:r>
        <w:rPr>
          <w:lang w:val="es-ES_tradnl"/>
        </w:rPr>
        <w:t xml:space="preserve">eronáuticas, Volumen 1 – Ayudas a la navegación </w:t>
      </w:r>
      <w:r w:rsidR="00DF44F2">
        <w:rPr>
          <w:lang w:val="es-ES_tradnl"/>
        </w:rPr>
        <w:t>a</w:t>
      </w:r>
      <w:r>
        <w:rPr>
          <w:lang w:val="es-ES_tradnl"/>
        </w:rPr>
        <w:t>érea (Apéndice G, Cuadro G-2)). El sistema de aterrizaje por instrumentos (ILS) aplica un margen de seguridad de 8 dB (véase la Recomendación UIT-R SM.1009-1, Apéndice 3 del Anexo 2). En cada caso el margen se define con respecto a la potencia de portadora del sistema de navegación. Es decir, para probar el comportamiento de estos sistemas, la potencia de la señal deseada se reduce de su valor nominal el margen de seguridad y a continuación se prueba para determinar si el sistema proporciona la calidad de funcionamiento requerida en presencia de interferencia. En otras palabras, el fabricante debe diseñar el equipo para que pueda soportar el máximo nivel de interferencia previsto sin perjuicio de que sea capaz de recibir una señal cuyo nivel deseado esté por debajo (en un margen de seguridad) del que correspondería.</w:t>
      </w:r>
    </w:p>
    <w:p w:rsidR="003714D4" w:rsidRPr="00785EFB" w:rsidRDefault="003714D4" w:rsidP="003714D4">
      <w:pPr>
        <w:rPr>
          <w:lang w:val="es-ES_tradnl"/>
        </w:rPr>
      </w:pPr>
      <w:r>
        <w:rPr>
          <w:lang w:val="es-ES_tradnl"/>
        </w:rPr>
        <w:t xml:space="preserve">Con el sistema mundial de navegación por satélite </w:t>
      </w:r>
      <w:r w:rsidRPr="00A06A72">
        <w:rPr>
          <w:lang w:val="es-ES_tradnl"/>
        </w:rPr>
        <w:t>(GNSS)</w:t>
      </w:r>
      <w:r w:rsidRPr="00636777">
        <w:rPr>
          <w:rStyle w:val="FootnoteReference"/>
        </w:rPr>
        <w:footnoteReference w:id="2"/>
      </w:r>
      <w:r>
        <w:rPr>
          <w:lang w:val="es-ES_tradnl"/>
        </w:rPr>
        <w:t xml:space="preserve"> este método no es posible porque la potencia del satélite GNSS recibida es muy baja y relativamente restringida y, por consiguiente, los receptores GNSS funcionan a una gama dinámica de señal limitada. Para los receptores GNSS, la principal medida de la calidad de señal recibida es la relación </w:t>
      </w:r>
      <w:r w:rsidRPr="009F47D4">
        <w:rPr>
          <w:i/>
          <w:lang w:val="es-ES_tradnl"/>
        </w:rPr>
        <w:t>C</w:t>
      </w:r>
      <w:r w:rsidRPr="009F47D4">
        <w:rPr>
          <w:lang w:val="es-ES_tradnl"/>
        </w:rPr>
        <w:t>/</w:t>
      </w:r>
      <w:r w:rsidRPr="009F47D4">
        <w:rPr>
          <w:i/>
          <w:lang w:val="es-ES_tradnl"/>
        </w:rPr>
        <w:t>N</w:t>
      </w:r>
      <w:r w:rsidRPr="009F47D4">
        <w:rPr>
          <w:iCs/>
          <w:vertAlign w:val="subscript"/>
          <w:lang w:val="es-ES_tradnl"/>
        </w:rPr>
        <w:t>0,</w:t>
      </w:r>
      <w:r w:rsidRPr="009F47D4">
        <w:rPr>
          <w:i/>
          <w:vertAlign w:val="subscript"/>
          <w:lang w:val="es-ES_tradnl"/>
        </w:rPr>
        <w:t>EFF</w:t>
      </w:r>
      <w:r>
        <w:rPr>
          <w:lang w:val="es-ES_tradnl"/>
        </w:rPr>
        <w:t xml:space="preserve">, que se trata de la relación entre la potencia de portadora recuperada, </w:t>
      </w:r>
      <w:r w:rsidRPr="009F47D4">
        <w:rPr>
          <w:i/>
          <w:lang w:val="es-ES_tradnl"/>
        </w:rPr>
        <w:t>C</w:t>
      </w:r>
      <w:r>
        <w:rPr>
          <w:lang w:val="es-ES_tradnl"/>
        </w:rPr>
        <w:t xml:space="preserve">, y el ruido efectivo + la densidad espectral de potencia de la interferencia, </w:t>
      </w:r>
      <w:r w:rsidRPr="009F47D4">
        <w:rPr>
          <w:i/>
          <w:lang w:val="es-ES_tradnl"/>
        </w:rPr>
        <w:t>N</w:t>
      </w:r>
      <w:r w:rsidRPr="009F47D4">
        <w:rPr>
          <w:iCs/>
          <w:position w:val="-4"/>
          <w:sz w:val="16"/>
          <w:lang w:val="es-ES_tradnl"/>
        </w:rPr>
        <w:t>0,</w:t>
      </w:r>
      <w:r w:rsidRPr="009F47D4">
        <w:rPr>
          <w:i/>
          <w:position w:val="-4"/>
          <w:sz w:val="16"/>
          <w:lang w:val="es-ES_tradnl"/>
        </w:rPr>
        <w:t>EFF</w:t>
      </w:r>
      <w:r>
        <w:rPr>
          <w:lang w:val="es-ES_tradnl"/>
        </w:rPr>
        <w:t xml:space="preserve">. Los receptores GNSS deben poder funcionar cerca del mínimo valor de </w:t>
      </w:r>
      <w:r w:rsidRPr="009F47D4">
        <w:rPr>
          <w:i/>
          <w:lang w:val="es-ES_tradnl"/>
        </w:rPr>
        <w:t>C</w:t>
      </w:r>
      <w:r w:rsidRPr="009F47D4">
        <w:rPr>
          <w:lang w:val="es-ES_tradnl"/>
        </w:rPr>
        <w:t>/</w:t>
      </w:r>
      <w:r w:rsidRPr="009F47D4">
        <w:rPr>
          <w:i/>
          <w:lang w:val="es-ES_tradnl"/>
        </w:rPr>
        <w:t>N</w:t>
      </w:r>
      <w:r w:rsidRPr="009F47D4">
        <w:rPr>
          <w:iCs/>
          <w:vertAlign w:val="subscript"/>
          <w:lang w:val="es-ES_tradnl"/>
        </w:rPr>
        <w:t>0,</w:t>
      </w:r>
      <w:r w:rsidRPr="009F47D4">
        <w:rPr>
          <w:i/>
          <w:vertAlign w:val="subscript"/>
          <w:lang w:val="es-ES_tradnl"/>
        </w:rPr>
        <w:t>EFF</w:t>
      </w:r>
      <w:r w:rsidRPr="009F47D4">
        <w:rPr>
          <w:lang w:val="es-ES_tradnl"/>
        </w:rPr>
        <w:t xml:space="preserve"> </w:t>
      </w:r>
      <w:r>
        <w:rPr>
          <w:lang w:val="es-ES_tradnl"/>
        </w:rPr>
        <w:t xml:space="preserve">que es una región en la que importantes parámetros de comportamiento, tales como la tasa de errores de palabra detectados o los errores en la fase de la portadora, aumentan rápidamente para pequeñas reducciones de </w:t>
      </w:r>
      <w:r w:rsidRPr="001B601A">
        <w:rPr>
          <w:i/>
          <w:lang w:val="es-ES_tradnl"/>
        </w:rPr>
        <w:t>C</w:t>
      </w:r>
      <w:r w:rsidRPr="001B601A">
        <w:rPr>
          <w:lang w:val="es-ES_tradnl"/>
        </w:rPr>
        <w:t>/</w:t>
      </w:r>
      <w:r w:rsidRPr="001B601A">
        <w:rPr>
          <w:i/>
          <w:lang w:val="es-ES_tradnl"/>
        </w:rPr>
        <w:t>N</w:t>
      </w:r>
      <w:r w:rsidRPr="001B601A">
        <w:rPr>
          <w:iCs/>
          <w:vertAlign w:val="subscript"/>
          <w:lang w:val="es-ES_tradnl"/>
        </w:rPr>
        <w:t>0,</w:t>
      </w:r>
      <w:r w:rsidRPr="001B601A">
        <w:rPr>
          <w:i/>
          <w:vertAlign w:val="subscript"/>
          <w:lang w:val="es-ES_tradnl"/>
        </w:rPr>
        <w:t>EFF</w:t>
      </w:r>
      <w:r>
        <w:rPr>
          <w:lang w:val="es-ES_tradnl"/>
        </w:rPr>
        <w:t xml:space="preserve"> debidas, por ejemplo, a la interferencia.</w:t>
      </w:r>
    </w:p>
    <w:p w:rsidR="003714D4" w:rsidRDefault="003714D4" w:rsidP="003714D4">
      <w:pPr>
        <w:pStyle w:val="Heading2"/>
        <w:rPr>
          <w:lang w:val="es-ES_tradnl"/>
        </w:rPr>
      </w:pPr>
      <w:r w:rsidRPr="001B601A">
        <w:rPr>
          <w:lang w:val="es-ES_tradnl"/>
        </w:rPr>
        <w:lastRenderedPageBreak/>
        <w:t>3.2</w:t>
      </w:r>
      <w:r w:rsidRPr="001B601A">
        <w:rPr>
          <w:lang w:val="es-ES_tradnl"/>
        </w:rPr>
        <w:tab/>
      </w:r>
      <w:r>
        <w:rPr>
          <w:lang w:val="es-ES_tradnl"/>
        </w:rPr>
        <w:t>Método del margen de seguridad para el GNSS en la banda</w:t>
      </w:r>
      <w:r w:rsidRPr="001B601A">
        <w:rPr>
          <w:lang w:val="es-ES_tradnl"/>
        </w:rPr>
        <w:t xml:space="preserve"> 1 164-1 215 MHz</w:t>
      </w:r>
    </w:p>
    <w:p w:rsidR="003714D4" w:rsidRDefault="003714D4" w:rsidP="00DF44F2">
      <w:pPr>
        <w:rPr>
          <w:lang w:val="es-ES_tradnl"/>
        </w:rPr>
      </w:pPr>
      <w:r>
        <w:rPr>
          <w:lang w:val="es-ES_tradnl"/>
        </w:rPr>
        <w:t xml:space="preserve">Como sucede con el MLS y el ILS, el método para el GNSS consiste en definir un nivel de interferencia de radiofrecuencia no aeronáutica </w:t>
      </w:r>
      <w:r w:rsidRPr="001E07AF">
        <w:rPr>
          <w:lang w:val="es-ES_tradnl"/>
        </w:rPr>
        <w:t>(RFI)</w:t>
      </w:r>
      <w:r w:rsidRPr="00636777">
        <w:rPr>
          <w:rStyle w:val="FootnoteReference"/>
        </w:rPr>
        <w:footnoteReference w:id="3"/>
      </w:r>
      <w:r>
        <w:rPr>
          <w:lang w:val="es-ES_tradnl"/>
        </w:rPr>
        <w:t xml:space="preserve"> que el receptor sea capaz de aceptar sin que por ello deje de cumplir las especificaciones de calidad de funcionamiento. Para el GNSS, el límite de prueba de interferencia de </w:t>
      </w:r>
      <w:r w:rsidRPr="00ED784F">
        <w:rPr>
          <w:lang w:val="es-ES_tradnl"/>
        </w:rPr>
        <w:t>RF</w:t>
      </w:r>
      <w:r>
        <w:rPr>
          <w:lang w:val="es-ES_tradnl"/>
        </w:rPr>
        <w:t xml:space="preserve"> del receptor (es decir, el umbral de diseño) rebasa el máximo nivel de interferencia combinada medioambiental admisible en un valor igual al margen de seguridad. Específicamente, si el límite de prueba de la interferencia combinada continua para el GNSS es </w:t>
      </w:r>
      <w:r w:rsidRPr="00ED784F">
        <w:rPr>
          <w:i/>
          <w:lang w:val="es-ES_tradnl"/>
        </w:rPr>
        <w:t>J</w:t>
      </w:r>
      <w:r w:rsidRPr="00ED784F">
        <w:rPr>
          <w:i/>
          <w:iCs/>
          <w:vertAlign w:val="subscript"/>
          <w:lang w:val="es-ES_tradnl"/>
        </w:rPr>
        <w:t>agg</w:t>
      </w:r>
      <w:r w:rsidRPr="00ED784F">
        <w:rPr>
          <w:vertAlign w:val="subscript"/>
          <w:lang w:val="es-ES_tradnl"/>
        </w:rPr>
        <w:t>,m</w:t>
      </w:r>
      <w:r w:rsidR="00DF44F2">
        <w:rPr>
          <w:vertAlign w:val="subscript"/>
          <w:lang w:val="es-ES_tradnl"/>
        </w:rPr>
        <w:t>á</w:t>
      </w:r>
      <w:r w:rsidRPr="00ED784F">
        <w:rPr>
          <w:vertAlign w:val="subscript"/>
          <w:lang w:val="es-ES_tradnl"/>
        </w:rPr>
        <w:t>x</w:t>
      </w:r>
      <w:r w:rsidRPr="00ED784F">
        <w:rPr>
          <w:iCs/>
          <w:lang w:val="es-ES_tradnl"/>
        </w:rPr>
        <w:t xml:space="preserve"> (dBW) </w:t>
      </w:r>
      <w:r>
        <w:rPr>
          <w:lang w:val="es-ES_tradnl"/>
        </w:rPr>
        <w:t xml:space="preserve">y se utiliza un margen de seguridad </w:t>
      </w:r>
      <w:r w:rsidRPr="00ED784F">
        <w:rPr>
          <w:i/>
          <w:lang w:val="es-ES_tradnl"/>
        </w:rPr>
        <w:t>M</w:t>
      </w:r>
      <w:r w:rsidRPr="00ED784F">
        <w:rPr>
          <w:iCs/>
          <w:lang w:val="es-ES_tradnl"/>
        </w:rPr>
        <w:t> (dB)</w:t>
      </w:r>
      <w:r>
        <w:rPr>
          <w:lang w:val="es-ES_tradnl"/>
        </w:rPr>
        <w:t xml:space="preserve">, la máxima interferencia de </w:t>
      </w:r>
      <w:r w:rsidRPr="00ED784F">
        <w:rPr>
          <w:lang w:val="es-ES_tradnl"/>
        </w:rPr>
        <w:t>RF</w:t>
      </w:r>
      <w:r>
        <w:rPr>
          <w:lang w:val="es-ES_tradnl"/>
        </w:rPr>
        <w:t xml:space="preserve"> continua combinada medioambiental segura, </w:t>
      </w:r>
      <w:r w:rsidRPr="00297289">
        <w:rPr>
          <w:i/>
          <w:lang w:val="es-ES_tradnl"/>
        </w:rPr>
        <w:t>J</w:t>
      </w:r>
      <w:r w:rsidRPr="00297289">
        <w:rPr>
          <w:i/>
          <w:vertAlign w:val="subscript"/>
          <w:lang w:val="es-ES_tradnl"/>
        </w:rPr>
        <w:t>safe</w:t>
      </w:r>
      <w:r w:rsidRPr="00297289">
        <w:rPr>
          <w:vertAlign w:val="subscript"/>
          <w:lang w:val="es-ES_tradnl"/>
        </w:rPr>
        <w:t>,m</w:t>
      </w:r>
      <w:r w:rsidR="00DF44F2">
        <w:rPr>
          <w:vertAlign w:val="subscript"/>
          <w:lang w:val="es-ES_tradnl"/>
        </w:rPr>
        <w:t>á</w:t>
      </w:r>
      <w:r w:rsidRPr="00297289">
        <w:rPr>
          <w:vertAlign w:val="subscript"/>
          <w:lang w:val="es-ES_tradnl"/>
        </w:rPr>
        <w:t>x</w:t>
      </w:r>
      <w:r w:rsidRPr="00297289">
        <w:rPr>
          <w:lang w:val="es-ES_tradnl"/>
        </w:rPr>
        <w:t xml:space="preserve"> (dBW)</w:t>
      </w:r>
      <w:r>
        <w:rPr>
          <w:lang w:val="es-ES_tradnl"/>
        </w:rPr>
        <w:t xml:space="preserve"> es:</w:t>
      </w:r>
    </w:p>
    <w:p w:rsidR="006122AB" w:rsidRPr="008F350E" w:rsidRDefault="006122AB" w:rsidP="006122AB">
      <w:pPr>
        <w:pStyle w:val="Blanc"/>
        <w:rPr>
          <w:lang w:val="es-ES_tradnl"/>
        </w:rPr>
      </w:pPr>
    </w:p>
    <w:p w:rsidR="003714D4" w:rsidRPr="008E4EFA" w:rsidRDefault="003714D4" w:rsidP="006122AB">
      <w:pPr>
        <w:pStyle w:val="Equation"/>
        <w:rPr>
          <w:lang w:val="es-ES_tradnl"/>
        </w:rPr>
      </w:pPr>
      <w:r w:rsidRPr="008E4EFA">
        <w:rPr>
          <w:i/>
          <w:lang w:val="es-ES_tradnl"/>
        </w:rPr>
        <w:tab/>
      </w:r>
      <w:r w:rsidRPr="008E4EFA">
        <w:rPr>
          <w:i/>
          <w:lang w:val="es-ES_tradnl"/>
        </w:rPr>
        <w:tab/>
        <w:t>J</w:t>
      </w:r>
      <w:r w:rsidRPr="008E4EFA">
        <w:rPr>
          <w:i/>
          <w:iCs/>
          <w:vertAlign w:val="subscript"/>
          <w:lang w:val="es-ES_tradnl"/>
        </w:rPr>
        <w:t>safe,</w:t>
      </w:r>
      <w:r w:rsidRPr="008E4EFA">
        <w:rPr>
          <w:vertAlign w:val="subscript"/>
          <w:lang w:val="es-ES_tradnl"/>
        </w:rPr>
        <w:t>m</w:t>
      </w:r>
      <w:r w:rsidR="006122AB">
        <w:rPr>
          <w:vertAlign w:val="subscript"/>
          <w:lang w:val="es-ES_tradnl"/>
        </w:rPr>
        <w:t>á</w:t>
      </w:r>
      <w:r w:rsidRPr="008E4EFA">
        <w:rPr>
          <w:vertAlign w:val="subscript"/>
          <w:lang w:val="es-ES_tradnl"/>
        </w:rPr>
        <w:t>x</w:t>
      </w:r>
      <w:r w:rsidRPr="008E4EFA">
        <w:rPr>
          <w:lang w:val="es-ES_tradnl"/>
        </w:rPr>
        <w:t xml:space="preserve"> = </w:t>
      </w:r>
      <w:r w:rsidRPr="008E4EFA">
        <w:rPr>
          <w:i/>
          <w:lang w:val="es-ES_tradnl"/>
        </w:rPr>
        <w:t>J</w:t>
      </w:r>
      <w:r w:rsidRPr="008E4EFA">
        <w:rPr>
          <w:i/>
          <w:iCs/>
          <w:vertAlign w:val="subscript"/>
          <w:lang w:val="es-ES_tradnl"/>
        </w:rPr>
        <w:t>agg,</w:t>
      </w:r>
      <w:r w:rsidRPr="008E4EFA">
        <w:rPr>
          <w:vertAlign w:val="subscript"/>
          <w:lang w:val="es-ES_tradnl"/>
        </w:rPr>
        <w:t>m</w:t>
      </w:r>
      <w:r w:rsidR="006122AB">
        <w:rPr>
          <w:vertAlign w:val="subscript"/>
          <w:lang w:val="es-ES_tradnl"/>
        </w:rPr>
        <w:t>á</w:t>
      </w:r>
      <w:r w:rsidRPr="008E4EFA">
        <w:rPr>
          <w:vertAlign w:val="subscript"/>
          <w:lang w:val="es-ES_tradnl"/>
        </w:rPr>
        <w:t>x</w:t>
      </w:r>
      <w:r w:rsidRPr="008E4EFA">
        <w:rPr>
          <w:lang w:val="es-ES_tradnl"/>
        </w:rPr>
        <w:t xml:space="preserve"> – </w:t>
      </w:r>
      <w:r w:rsidRPr="008E4EFA">
        <w:rPr>
          <w:i/>
          <w:lang w:val="es-ES_tradnl"/>
        </w:rPr>
        <w:t>M</w:t>
      </w:r>
    </w:p>
    <w:p w:rsidR="003714D4" w:rsidRPr="008E4EFA" w:rsidRDefault="003714D4" w:rsidP="003714D4">
      <w:pPr>
        <w:pStyle w:val="Blanc"/>
        <w:rPr>
          <w:lang w:val="es-ES_tradnl"/>
        </w:rPr>
      </w:pPr>
    </w:p>
    <w:p w:rsidR="003714D4" w:rsidRDefault="003714D4" w:rsidP="003714D4">
      <w:pPr>
        <w:rPr>
          <w:lang w:val="es-ES_tradnl"/>
        </w:rPr>
      </w:pPr>
      <w:r w:rsidRPr="00AC1917">
        <w:rPr>
          <w:lang w:val="es-ES_tradnl"/>
        </w:rPr>
        <w:t>Al igual que con el GNSS en la banda 1 559-1 610 MHz (véase la Recomendaci</w:t>
      </w:r>
      <w:r>
        <w:rPr>
          <w:lang w:val="es-ES_tradnl"/>
        </w:rPr>
        <w:t>ó</w:t>
      </w:r>
      <w:r w:rsidRPr="00AC1917">
        <w:rPr>
          <w:lang w:val="es-ES_tradnl"/>
        </w:rPr>
        <w:t>n U</w:t>
      </w:r>
      <w:r>
        <w:rPr>
          <w:lang w:val="es-ES_tradnl"/>
        </w:rPr>
        <w:t>IT</w:t>
      </w:r>
      <w:r w:rsidRPr="00AC1917">
        <w:rPr>
          <w:lang w:val="es-ES_tradnl"/>
        </w:rPr>
        <w:noBreakHyphen/>
        <w:t>R M.1903, Anex</w:t>
      </w:r>
      <w:r>
        <w:rPr>
          <w:lang w:val="es-ES_tradnl"/>
        </w:rPr>
        <w:t>o</w:t>
      </w:r>
      <w:r w:rsidRPr="00AC1917">
        <w:rPr>
          <w:lang w:val="es-ES_tradnl"/>
        </w:rPr>
        <w:t xml:space="preserve"> 1), </w:t>
      </w:r>
      <w:r>
        <w:rPr>
          <w:lang w:val="es-ES_tradnl"/>
        </w:rPr>
        <w:t>el margen de seguridad necesario</w:t>
      </w:r>
      <w:r w:rsidRPr="00AC1917">
        <w:rPr>
          <w:lang w:val="es-ES_tradnl"/>
        </w:rPr>
        <w:t xml:space="preserve">, </w:t>
      </w:r>
      <w:r w:rsidRPr="00AC1917">
        <w:rPr>
          <w:i/>
          <w:lang w:val="es-ES_tradnl"/>
        </w:rPr>
        <w:t>M</w:t>
      </w:r>
      <w:r w:rsidRPr="00AC1917">
        <w:rPr>
          <w:lang w:val="es-ES_tradnl"/>
        </w:rPr>
        <w:t xml:space="preserve"> (dB), </w:t>
      </w:r>
      <w:r>
        <w:rPr>
          <w:lang w:val="es-ES_tradnl"/>
        </w:rPr>
        <w:t>e</w:t>
      </w:r>
      <w:r w:rsidRPr="00AC1917">
        <w:rPr>
          <w:lang w:val="es-ES_tradnl"/>
        </w:rPr>
        <w:t>s 6 dB.</w:t>
      </w:r>
    </w:p>
    <w:p w:rsidR="003714D4" w:rsidRPr="00AC1917" w:rsidRDefault="003714D4" w:rsidP="003714D4">
      <w:pPr>
        <w:rPr>
          <w:lang w:val="es-ES_tradnl"/>
        </w:rPr>
      </w:pPr>
    </w:p>
    <w:p w:rsidR="00643418" w:rsidRDefault="00643418" w:rsidP="00643418">
      <w:pPr>
        <w:rPr>
          <w:lang w:val="es-ES_tradnl"/>
        </w:rPr>
      </w:pPr>
    </w:p>
    <w:p w:rsidR="00643418" w:rsidRDefault="00643418" w:rsidP="00643418">
      <w:pPr>
        <w:rPr>
          <w:lang w:val="es-ES_tradnl"/>
        </w:rPr>
      </w:pPr>
    </w:p>
    <w:p w:rsidR="003714D4" w:rsidRPr="00051DEF" w:rsidRDefault="003714D4" w:rsidP="003714D4">
      <w:pPr>
        <w:pStyle w:val="AnnexNoTitle"/>
        <w:rPr>
          <w:lang w:val="es-ES_tradnl"/>
        </w:rPr>
      </w:pPr>
      <w:r w:rsidRPr="00051DEF">
        <w:rPr>
          <w:lang w:val="es-ES_tradnl"/>
        </w:rPr>
        <w:t>Anexo 2</w:t>
      </w:r>
      <w:r w:rsidRPr="00051DEF">
        <w:rPr>
          <w:lang w:val="es-ES_tradnl"/>
        </w:rPr>
        <w:br/>
      </w:r>
      <w:r w:rsidRPr="00051DEF">
        <w:rPr>
          <w:lang w:val="es-ES_tradnl"/>
        </w:rPr>
        <w:br/>
      </w:r>
      <w:r>
        <w:rPr>
          <w:lang w:val="es-ES_tradnl"/>
        </w:rPr>
        <w:t>Características técnicas y criterios de protección de las estaciones</w:t>
      </w:r>
      <w:r>
        <w:rPr>
          <w:lang w:val="es-ES_tradnl"/>
        </w:rPr>
        <w:br/>
        <w:t>terrenas receptoras del SRNS (espacio-Tierra) que funcionan</w:t>
      </w:r>
      <w:r>
        <w:rPr>
          <w:lang w:val="es-ES_tradnl"/>
        </w:rPr>
        <w:br/>
        <w:t>en la banda</w:t>
      </w:r>
      <w:r w:rsidRPr="00051DEF">
        <w:rPr>
          <w:lang w:val="es-ES_tradnl"/>
        </w:rPr>
        <w:t xml:space="preserve"> 1 164</w:t>
      </w:r>
      <w:r>
        <w:rPr>
          <w:lang w:val="es-ES_tradnl"/>
        </w:rPr>
        <w:noBreakHyphen/>
      </w:r>
      <w:r w:rsidRPr="00051DEF">
        <w:rPr>
          <w:lang w:val="es-ES_tradnl"/>
        </w:rPr>
        <w:t>1 215 MHz</w:t>
      </w:r>
    </w:p>
    <w:p w:rsidR="003714D4" w:rsidRPr="008E4EFA" w:rsidRDefault="003714D4" w:rsidP="003714D4">
      <w:pPr>
        <w:pStyle w:val="Heading1"/>
        <w:rPr>
          <w:lang w:val="es-ES_tradnl"/>
        </w:rPr>
      </w:pPr>
      <w:r w:rsidRPr="008E4EFA">
        <w:rPr>
          <w:lang w:val="es-ES_tradnl"/>
        </w:rPr>
        <w:t>1</w:t>
      </w:r>
      <w:r w:rsidRPr="008E4EFA">
        <w:rPr>
          <w:lang w:val="es-ES_tradnl"/>
        </w:rPr>
        <w:tab/>
        <w:t>Introducción</w:t>
      </w:r>
    </w:p>
    <w:p w:rsidR="003714D4" w:rsidRPr="00617224" w:rsidRDefault="003714D4" w:rsidP="003714D4">
      <w:pPr>
        <w:rPr>
          <w:lang w:val="es-ES_tradnl"/>
        </w:rPr>
      </w:pPr>
      <w:r>
        <w:rPr>
          <w:lang w:val="es-ES_tradnl"/>
        </w:rPr>
        <w:t xml:space="preserve">En esta banda de frecuencias es probable que varias clases de receptores diferentes en cuanto a función y comportamiento utilicen las señales del satélite del SRNS. En el Cuadro 2-1 de este Anexo aparecen las características y los criterios de protección para varios tipos de receptores del SRNS incluidos dos tipos que representan a los receptores de navegación aérea. Un tipo de receptor de navegación aérea emplea una señal </w:t>
      </w:r>
      <w:r w:rsidRPr="00617224">
        <w:rPr>
          <w:snapToGrid w:val="0"/>
          <w:lang w:val="es-ES_tradnl"/>
        </w:rPr>
        <w:t>SBAS</w:t>
      </w:r>
      <w:r w:rsidRPr="00636777">
        <w:rPr>
          <w:rStyle w:val="FootnoteReference"/>
          <w:snapToGrid w:val="0"/>
        </w:rPr>
        <w:footnoteReference w:id="4"/>
      </w:r>
      <w:r>
        <w:rPr>
          <w:lang w:val="es-ES_tradnl"/>
        </w:rPr>
        <w:t xml:space="preserve"> transmitida en la misma frecuencia central portadora que la señal del SRNS. Otros tipos indicados incluyen receptores del SRNS de alta precisión (por ejemplo, para agrimensura y tratamiento de planos), de posicionamiento en interiores y polivalentes. En la Recomendación UIT-R M.1787 aparecen más detalles sobre las señales del SRNS y del SBAS. Como el SRNS continua evolucionando, pueden aparecer aplicaciones de este servicio que utilizan receptores más sensibles a la interferencia de RF, lo que exige la actualización de esta Recomendación para tenerlas en cuenta.</w:t>
      </w:r>
    </w:p>
    <w:p w:rsidR="003714D4" w:rsidRPr="00B930C1" w:rsidRDefault="003714D4" w:rsidP="006122AB">
      <w:pPr>
        <w:pStyle w:val="Heading1"/>
        <w:rPr>
          <w:lang w:val="es-ES_tradnl"/>
        </w:rPr>
      </w:pPr>
      <w:r w:rsidRPr="00B930C1">
        <w:rPr>
          <w:lang w:val="es-ES_tradnl"/>
        </w:rPr>
        <w:lastRenderedPageBreak/>
        <w:t>2</w:t>
      </w:r>
      <w:r w:rsidRPr="00B930C1">
        <w:rPr>
          <w:lang w:val="es-ES_tradnl"/>
        </w:rPr>
        <w:tab/>
      </w:r>
      <w:r>
        <w:rPr>
          <w:lang w:val="es-ES_tradnl"/>
        </w:rPr>
        <w:t>Tipo de receptor y descripciones de la aplicación</w:t>
      </w:r>
    </w:p>
    <w:p w:rsidR="003714D4" w:rsidRPr="006F2F7E" w:rsidRDefault="003714D4" w:rsidP="006122AB">
      <w:pPr>
        <w:keepNext/>
        <w:keepLines/>
        <w:rPr>
          <w:lang w:val="es-ES_tradnl"/>
        </w:rPr>
      </w:pPr>
      <w:r>
        <w:rPr>
          <w:lang w:val="es-ES_tradnl"/>
        </w:rPr>
        <w:t>Este punto describe varios tipos del receptor del SRNS actuales y previstos.</w:t>
      </w:r>
    </w:p>
    <w:p w:rsidR="003714D4" w:rsidRDefault="003714D4" w:rsidP="003714D4">
      <w:pPr>
        <w:pStyle w:val="Heading2"/>
        <w:rPr>
          <w:lang w:val="es-ES_tradnl"/>
        </w:rPr>
      </w:pPr>
      <w:r w:rsidRPr="008E4EFA">
        <w:rPr>
          <w:lang w:val="es-ES_tradnl"/>
        </w:rPr>
        <w:t>2.1</w:t>
      </w:r>
      <w:r w:rsidRPr="008E4EFA">
        <w:rPr>
          <w:lang w:val="es-ES_tradnl"/>
        </w:rPr>
        <w:tab/>
      </w:r>
      <w:r>
        <w:rPr>
          <w:lang w:val="es-ES_tradnl"/>
        </w:rPr>
        <w:t>Receptor de navegación aérea</w:t>
      </w:r>
    </w:p>
    <w:p w:rsidR="003714D4" w:rsidRPr="00517C1C" w:rsidRDefault="003714D4" w:rsidP="009C478A">
      <w:pPr>
        <w:rPr>
          <w:lang w:val="es-ES_tradnl"/>
        </w:rPr>
      </w:pPr>
      <w:r>
        <w:rPr>
          <w:lang w:val="es-ES_tradnl"/>
        </w:rPr>
        <w:t>La categoría de navegación aérea representa varios tipos de receptores del SRNR. Se trata de receptores a bordo de aeronave de alta integridad para el funcionamiento en todas las fases del vuelo y que tienen dispositivos específicos para reducir la interferencia impulsiva. En el Cuadro 2</w:t>
      </w:r>
      <w:r>
        <w:rPr>
          <w:lang w:val="es-ES_tradnl"/>
        </w:rPr>
        <w:noBreakHyphen/>
        <w:t xml:space="preserve">1 figuran las características y los criterios de protección para dos tipos de receptores del SRNS. El receptor de navegación aérea </w:t>
      </w:r>
      <w:r w:rsidR="009C478A" w:rsidRPr="009C478A">
        <w:rPr>
          <w:rFonts w:eastAsia="MS PGothic"/>
        </w:rPr>
        <w:t>N°</w:t>
      </w:r>
      <w:r>
        <w:rPr>
          <w:lang w:val="es-ES_tradnl"/>
        </w:rPr>
        <w:t> 1 utiliza señales del SNRS y del SBAS con AMDC</w:t>
      </w:r>
      <w:r w:rsidRPr="00636777">
        <w:rPr>
          <w:rStyle w:val="FootnoteReference"/>
        </w:rPr>
        <w:footnoteReference w:id="5"/>
      </w:r>
      <w:r>
        <w:rPr>
          <w:lang w:val="es-ES_tradnl"/>
        </w:rPr>
        <w:t xml:space="preserve">. Los umbrales de interferencia para el receptor de navegación aérea </w:t>
      </w:r>
      <w:r w:rsidR="009C478A" w:rsidRPr="009C478A">
        <w:rPr>
          <w:rFonts w:eastAsia="MS PGothic"/>
        </w:rPr>
        <w:t>N°</w:t>
      </w:r>
      <w:r>
        <w:rPr>
          <w:lang w:val="es-ES_tradnl"/>
        </w:rPr>
        <w:t> 1 representan los límites aplicables más bajos para el conjunto de señales del SRNS y del SBAS utilizadas en ese receptor (véase el Cuadro 2</w:t>
      </w:r>
      <w:r>
        <w:rPr>
          <w:lang w:val="es-ES_tradnl"/>
        </w:rPr>
        <w:noBreakHyphen/>
        <w:t>1</w:t>
      </w:r>
      <w:r w:rsidR="00DF44F2">
        <w:rPr>
          <w:lang w:val="es-ES_tradnl"/>
        </w:rPr>
        <w:t>, columna 1</w:t>
      </w:r>
      <w:r>
        <w:rPr>
          <w:lang w:val="es-ES_tradnl"/>
        </w:rPr>
        <w:t xml:space="preserve">). El receptor de navegación aérea </w:t>
      </w:r>
      <w:r w:rsidR="009C478A" w:rsidRPr="009C478A">
        <w:rPr>
          <w:rFonts w:eastAsia="MS PGothic"/>
        </w:rPr>
        <w:t>N°</w:t>
      </w:r>
      <w:r>
        <w:rPr>
          <w:lang w:val="es-ES_tradnl"/>
        </w:rPr>
        <w:t> 2 emplea señales del SRNS con AMDF</w:t>
      </w:r>
      <w:r w:rsidRPr="00636777">
        <w:rPr>
          <w:rStyle w:val="FootnoteReference"/>
        </w:rPr>
        <w:footnoteReference w:id="6"/>
      </w:r>
      <w:r>
        <w:rPr>
          <w:lang w:val="es-ES_tradnl"/>
        </w:rPr>
        <w:t xml:space="preserve"> y funciona en varias frecuencias portadoras simultáneamente (Cuadro 2-1, columna 2).</w:t>
      </w:r>
    </w:p>
    <w:p w:rsidR="003714D4" w:rsidRPr="00395260" w:rsidRDefault="003714D4" w:rsidP="009C478A">
      <w:pPr>
        <w:rPr>
          <w:lang w:val="es-ES_tradnl"/>
        </w:rPr>
      </w:pPr>
      <w:r>
        <w:rPr>
          <w:lang w:val="es-ES_tradnl"/>
        </w:rPr>
        <w:t xml:space="preserve">Las características del receptor de navegación aérea </w:t>
      </w:r>
      <w:r w:rsidR="009C478A" w:rsidRPr="009C478A">
        <w:rPr>
          <w:rFonts w:eastAsia="MS PGothic"/>
        </w:rPr>
        <w:t>N°</w:t>
      </w:r>
      <w:r>
        <w:rPr>
          <w:lang w:val="es-ES_tradnl"/>
        </w:rPr>
        <w:t xml:space="preserve"> 2 también pueden aplicarse a receptores diseñados para aplicaciones terrestres y marítimas que no se describen en el presente Anexo.</w:t>
      </w:r>
    </w:p>
    <w:p w:rsidR="003714D4" w:rsidRPr="00A12909" w:rsidRDefault="003714D4" w:rsidP="003714D4">
      <w:pPr>
        <w:pStyle w:val="Heading2"/>
        <w:rPr>
          <w:lang w:val="es-ES_tradnl"/>
        </w:rPr>
      </w:pPr>
      <w:r w:rsidRPr="00A12909">
        <w:rPr>
          <w:lang w:val="es-ES_tradnl"/>
        </w:rPr>
        <w:t>2.2</w:t>
      </w:r>
      <w:r w:rsidRPr="00A12909">
        <w:rPr>
          <w:lang w:val="es-ES_tradnl"/>
        </w:rPr>
        <w:tab/>
      </w:r>
      <w:r>
        <w:rPr>
          <w:lang w:val="es-ES_tradnl"/>
        </w:rPr>
        <w:t>Receptor de alta precisión</w:t>
      </w:r>
    </w:p>
    <w:p w:rsidR="003714D4" w:rsidRPr="00A12909" w:rsidRDefault="003714D4" w:rsidP="003714D4">
      <w:pPr>
        <w:rPr>
          <w:color w:val="000000"/>
          <w:lang w:val="es-ES_tradnl"/>
        </w:rPr>
      </w:pPr>
      <w:r>
        <w:rPr>
          <w:lang w:val="es-ES_tradnl"/>
        </w:rPr>
        <w:t>La categoría de alta precisión representa a los receptores del SRNS utilizados en aplicaciones que exigen una elevada precisión en el posicionamiento (por ejemplo, aplicaciones topográficas y de levantamiento de planos, científicas y agrícolas). Estos receptores de alta precisión emplean varias técnicas (por ejemplo, técnicas de codificación parcial) para adquirir y realizar el seguimiento de señales del SRNS en dos o tres bandas de frecuencias del SRNS para la resolución de la ambigüedad de la fase de portadora y requieren protección en todas las bandas utilizadas. Las características y los niveles de protección para los receptores de alta precisión también se aplican a los receptores del SRNS diseñados para funcionar en aplicaciones del SRNS especializadas (por ejemplo, redes terrestres monofrecuencia y navegación de precisión).</w:t>
      </w:r>
    </w:p>
    <w:p w:rsidR="003714D4" w:rsidRPr="00A12909" w:rsidRDefault="003714D4" w:rsidP="003714D4">
      <w:pPr>
        <w:rPr>
          <w:b/>
          <w:lang w:val="es-ES_tradnl"/>
        </w:rPr>
      </w:pPr>
      <w:r>
        <w:rPr>
          <w:lang w:val="es-ES_tradnl"/>
        </w:rPr>
        <w:t>Los receptores del SRNS de alta precisión y los receptores diseñados para funcionar en aplicaciones del SRNS especializadas también pueden explotarse en entornos difíciles (por ejemplo, bajo un espeso manto de vegetación). En el Cuadro 2-1, columna 3 se indican dos tipos de receptores, cada uno de los cuales utiliza un tipo de señal del satélite del SRNS distinta (de acceso múltiple por división de código (AMDC) o de acceso múltiple por división de frecuencia (AMDF)) y una gama de frecuencias diferente. Los criterios de protección y las restantes características son iguales.</w:t>
      </w:r>
    </w:p>
    <w:p w:rsidR="00643418" w:rsidRDefault="00643418">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3714D4" w:rsidRDefault="003714D4" w:rsidP="003714D4">
      <w:pPr>
        <w:pStyle w:val="Heading2"/>
        <w:rPr>
          <w:lang w:val="es-ES_tradnl"/>
        </w:rPr>
      </w:pPr>
      <w:r w:rsidRPr="008E4EFA">
        <w:rPr>
          <w:lang w:val="es-ES_tradnl"/>
        </w:rPr>
        <w:lastRenderedPageBreak/>
        <w:t>2.3</w:t>
      </w:r>
      <w:r w:rsidRPr="008E4EFA">
        <w:rPr>
          <w:lang w:val="es-ES_tradnl"/>
        </w:rPr>
        <w:tab/>
      </w:r>
      <w:r>
        <w:rPr>
          <w:lang w:val="es-ES_tradnl"/>
        </w:rPr>
        <w:t>Receptor de posicionamiento en interiores</w:t>
      </w:r>
    </w:p>
    <w:p w:rsidR="003714D4" w:rsidRPr="00E260F4" w:rsidRDefault="003714D4" w:rsidP="003714D4">
      <w:pPr>
        <w:rPr>
          <w:lang w:val="es-ES_tradnl"/>
        </w:rPr>
      </w:pPr>
      <w:r>
        <w:rPr>
          <w:lang w:val="es-ES_tradnl"/>
        </w:rPr>
        <w:t xml:space="preserve">La categoría de posicionamiento en interiores representa a receptores del SRNS destinados a su utilización en interiores y que normalmente tiene una baja capacidad de </w:t>
      </w:r>
      <w:r w:rsidRPr="008D007B">
        <w:rPr>
          <w:i/>
          <w:iCs/>
          <w:lang w:val="es-ES_tradnl"/>
        </w:rPr>
        <w:t>C</w:t>
      </w:r>
      <w:r w:rsidRPr="008D007B">
        <w:rPr>
          <w:lang w:val="es-ES_tradnl"/>
        </w:rPr>
        <w:t>/</w:t>
      </w:r>
      <w:r w:rsidRPr="008D007B">
        <w:rPr>
          <w:i/>
          <w:iCs/>
          <w:lang w:val="es-ES_tradnl"/>
        </w:rPr>
        <w:t>N</w:t>
      </w:r>
      <w:r w:rsidRPr="008D007B">
        <w:rPr>
          <w:vertAlign w:val="subscript"/>
          <w:lang w:val="es-ES_tradnl"/>
        </w:rPr>
        <w:t>0</w:t>
      </w:r>
      <w:r w:rsidRPr="008D007B">
        <w:rPr>
          <w:lang w:val="es-ES_tradnl"/>
        </w:rPr>
        <w:t xml:space="preserve"> </w:t>
      </w:r>
      <w:r>
        <w:rPr>
          <w:lang w:val="es-ES_tradnl"/>
        </w:rPr>
        <w:t xml:space="preserve">(es decir, son receptores muy sensibles). Dado que con las señales de baja potencia presentes en entornos de interiores no puede utilizarse seguimiento de portadora, en este tipo de receptor sólo se emplea seguimiento de código. En el Cuadro 2-1, columna 4, se indican dos tipos de receptores, cada uno de los cuales utiliza distintos tipos de señal del satélite del SRNS (AMDC para la señal </w:t>
      </w:r>
      <w:r w:rsidRPr="008D007B">
        <w:rPr>
          <w:lang w:val="es-ES_tradnl" w:eastAsia="ja-JP"/>
        </w:rPr>
        <w:t>E5a</w:t>
      </w:r>
      <w:r w:rsidRPr="00636777">
        <w:rPr>
          <w:rStyle w:val="FootnoteReference"/>
          <w:lang w:eastAsia="ja-JP"/>
        </w:rPr>
        <w:footnoteReference w:id="7"/>
      </w:r>
      <w:r>
        <w:rPr>
          <w:lang w:val="es-ES_tradnl"/>
        </w:rPr>
        <w:t xml:space="preserve"> o AMDF) y diferentes gamas de frecuencias y anchuras de banda del filtro de precorrelación. Los criterios de protección y las restantes características son iguales.</w:t>
      </w:r>
    </w:p>
    <w:p w:rsidR="003714D4" w:rsidRDefault="003714D4" w:rsidP="003714D4">
      <w:pPr>
        <w:pStyle w:val="Heading2"/>
        <w:rPr>
          <w:lang w:val="es-ES_tradnl"/>
        </w:rPr>
      </w:pPr>
      <w:r w:rsidRPr="008E4EFA">
        <w:rPr>
          <w:lang w:val="es-ES_tradnl"/>
        </w:rPr>
        <w:t>2.4</w:t>
      </w:r>
      <w:r w:rsidRPr="008E4EFA">
        <w:rPr>
          <w:lang w:val="es-ES_tradnl"/>
        </w:rPr>
        <w:tab/>
      </w:r>
      <w:r>
        <w:rPr>
          <w:lang w:val="es-ES_tradnl"/>
        </w:rPr>
        <w:t>Receptor polivalente</w:t>
      </w:r>
    </w:p>
    <w:p w:rsidR="003714D4" w:rsidRPr="00453CEF" w:rsidRDefault="003714D4" w:rsidP="003714D4">
      <w:pPr>
        <w:rPr>
          <w:lang w:val="es-ES_tradnl"/>
        </w:rPr>
      </w:pPr>
      <w:r>
        <w:rPr>
          <w:lang w:val="es-ES_tradnl"/>
        </w:rPr>
        <w:t xml:space="preserve">La categoría polivalente representa diversos tipos de receptores del SRNS. Estos receptores están diseñados para navegación en vehículos, navegación peatonal, posicionamiento general, etc. En el Cuadro 2-1, columna 5 aparecen dos tipos de receptor, cada uno de los cuales utiliza diferentes tipos de señal del satélite del SRNS (AMDC, para la señal </w:t>
      </w:r>
      <w:r w:rsidRPr="00453CEF">
        <w:rPr>
          <w:lang w:val="es-ES_tradnl" w:eastAsia="ja-JP"/>
        </w:rPr>
        <w:t>B2</w:t>
      </w:r>
      <w:r w:rsidRPr="00636777">
        <w:rPr>
          <w:rStyle w:val="FootnoteReference"/>
          <w:lang w:eastAsia="ja-JP"/>
        </w:rPr>
        <w:footnoteReference w:id="8"/>
      </w:r>
      <w:r>
        <w:rPr>
          <w:lang w:val="es-ES_tradnl"/>
        </w:rPr>
        <w:t xml:space="preserve"> o AMDF) y distintas gamas de frecuencia. Los criterios de protección y las restantes características son iguales.</w:t>
      </w:r>
    </w:p>
    <w:p w:rsidR="003714D4" w:rsidRDefault="003714D4" w:rsidP="003714D4">
      <w:pPr>
        <w:pStyle w:val="Heading1"/>
        <w:rPr>
          <w:lang w:val="es-ES_tradnl"/>
        </w:rPr>
      </w:pPr>
      <w:r w:rsidRPr="008E4EFA">
        <w:rPr>
          <w:lang w:val="es-ES_tradnl"/>
        </w:rPr>
        <w:t>3</w:t>
      </w:r>
      <w:r w:rsidRPr="008E4EFA">
        <w:rPr>
          <w:lang w:val="es-ES_tradnl"/>
        </w:rPr>
        <w:tab/>
      </w:r>
      <w:r>
        <w:rPr>
          <w:lang w:val="es-ES_tradnl"/>
        </w:rPr>
        <w:t>Interferencia impulsiva</w:t>
      </w:r>
    </w:p>
    <w:p w:rsidR="003714D4" w:rsidRDefault="003714D4" w:rsidP="003714D4">
      <w:pPr>
        <w:rPr>
          <w:lang w:val="es-ES_tradnl"/>
        </w:rPr>
      </w:pPr>
      <w:r>
        <w:rPr>
          <w:lang w:val="es-ES_tradnl"/>
        </w:rPr>
        <w:t xml:space="preserve">Los receptores del SRNS que funcionan en la banda de frecuencias </w:t>
      </w:r>
      <w:r w:rsidRPr="00042E65">
        <w:rPr>
          <w:snapToGrid w:val="0"/>
          <w:lang w:val="es-ES_tradnl"/>
        </w:rPr>
        <w:t>1 164</w:t>
      </w:r>
      <w:r>
        <w:rPr>
          <w:snapToGrid w:val="0"/>
          <w:lang w:val="es-ES_tradnl"/>
        </w:rPr>
        <w:noBreakHyphen/>
      </w:r>
      <w:r w:rsidRPr="00042E65">
        <w:rPr>
          <w:snapToGrid w:val="0"/>
          <w:lang w:val="es-ES_tradnl"/>
        </w:rPr>
        <w:t>1 215 MHz</w:t>
      </w:r>
      <w:r>
        <w:rPr>
          <w:lang w:val="es-ES_tradnl"/>
        </w:rPr>
        <w:t xml:space="preserve"> probablemente se encontrarán con interferencia de RF impulsiva dentro de la banda procedente de estaciones en tierra y a bordo de aeronave del SRNA, además de la interferencia continua dentro de la banda causada por las estaciones espaciales del SRNS y otras fuentes continuas. Para un receptor del SRNS a bordo de aeronave, se sabe que la interferencia de RF impulsiva combinada es más intensa a mayores altitudes donde más estaciones en tierra del SRNA se encuentran dentro del horizonte radioeléctrico. La intensidad de la interferencia de RF impulsiva disminuye hasta un valor menor cerca del suelo, a medida que disminuye igualmente el horizonte radioeléctrico.</w:t>
      </w:r>
    </w:p>
    <w:p w:rsidR="003714D4" w:rsidRDefault="003714D4" w:rsidP="00DF44F2">
      <w:pPr>
        <w:rPr>
          <w:lang w:val="es-ES_tradnl"/>
        </w:rPr>
      </w:pPr>
      <w:r>
        <w:rPr>
          <w:lang w:val="es-ES_tradnl"/>
        </w:rPr>
        <w:t xml:space="preserve">Se necesita un método de análisis de la interferencia de RF distinto para tener en cuenta la intensa interferencia de RF impulsiva en la banda </w:t>
      </w:r>
      <w:r w:rsidRPr="00775EBB">
        <w:rPr>
          <w:snapToGrid w:val="0"/>
          <w:lang w:val="es-ES_tradnl"/>
        </w:rPr>
        <w:t>1 164</w:t>
      </w:r>
      <w:r>
        <w:rPr>
          <w:snapToGrid w:val="0"/>
          <w:lang w:val="es-ES_tradnl"/>
        </w:rPr>
        <w:noBreakHyphen/>
      </w:r>
      <w:r w:rsidRPr="00775EBB">
        <w:rPr>
          <w:snapToGrid w:val="0"/>
          <w:lang w:val="es-ES_tradnl"/>
        </w:rPr>
        <w:t>1 215 MHz</w:t>
      </w:r>
      <w:r>
        <w:rPr>
          <w:lang w:val="es-ES_tradnl"/>
        </w:rPr>
        <w:t xml:space="preserve"> que, por ejemplo, en la banda </w:t>
      </w:r>
      <w:r w:rsidRPr="00775EBB">
        <w:rPr>
          <w:snapToGrid w:val="0"/>
          <w:lang w:val="es-ES_tradnl"/>
        </w:rPr>
        <w:t>1 559</w:t>
      </w:r>
      <w:r>
        <w:rPr>
          <w:snapToGrid w:val="0"/>
          <w:lang w:val="es-ES_tradnl"/>
        </w:rPr>
        <w:noBreakHyphen/>
      </w:r>
      <w:r w:rsidRPr="00775EBB">
        <w:rPr>
          <w:snapToGrid w:val="0"/>
          <w:lang w:val="es-ES_tradnl"/>
        </w:rPr>
        <w:t>1 610 MHz</w:t>
      </w:r>
      <w:r>
        <w:rPr>
          <w:lang w:val="es-ES_tradnl"/>
        </w:rPr>
        <w:t>, donde dicha interferencia de RF impulsiva es casi insignificante. Los estudios realizados por dos organizaciones de norma</w:t>
      </w:r>
      <w:r w:rsidR="00DF44F2">
        <w:rPr>
          <w:lang w:val="es-ES_tradnl"/>
        </w:rPr>
        <w:t>s</w:t>
      </w:r>
      <w:r>
        <w:rPr>
          <w:lang w:val="es-ES_tradnl"/>
        </w:rPr>
        <w:t xml:space="preserve"> de aviación</w:t>
      </w:r>
      <w:r w:rsidRPr="00636777">
        <w:rPr>
          <w:rStyle w:val="FootnoteReference"/>
        </w:rPr>
        <w:footnoteReference w:id="9"/>
      </w:r>
      <w:r>
        <w:rPr>
          <w:lang w:val="es-ES_tradnl"/>
        </w:rPr>
        <w:t xml:space="preserve"> han identificado un método de análisis que aborda el efecto combinado de la interferencia de RF</w:t>
      </w:r>
      <w:r w:rsidRPr="00636777">
        <w:rPr>
          <w:rStyle w:val="FootnoteReference"/>
        </w:rPr>
        <w:footnoteReference w:id="10"/>
      </w:r>
      <w:r>
        <w:rPr>
          <w:lang w:val="es-ES_tradnl"/>
        </w:rPr>
        <w:t xml:space="preserve"> impulsiva y continua. Se obtuvieron dos variaciones del método básico: una para un receptor de navegación aérea del SRNS (con una interferencia de RF impulsiva de elevado ciclo acti</w:t>
      </w:r>
      <w:r w:rsidR="00DF44F2">
        <w:rPr>
          <w:lang w:val="es-ES_tradnl"/>
        </w:rPr>
        <w:t>v</w:t>
      </w:r>
      <w:r>
        <w:rPr>
          <w:lang w:val="es-ES_tradnl"/>
        </w:rPr>
        <w:t>o) y otra para receptores del SRNS más polivalentes (con una interferencia de RF impulsiva de bajo ciclo activo).</w:t>
      </w:r>
    </w:p>
    <w:p w:rsidR="00643418" w:rsidRDefault="00643418">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3714D4" w:rsidRPr="00042E65" w:rsidRDefault="003714D4" w:rsidP="003714D4">
      <w:pPr>
        <w:rPr>
          <w:lang w:val="es-ES_tradnl"/>
        </w:rPr>
      </w:pPr>
      <w:r>
        <w:rPr>
          <w:lang w:val="es-ES_tradnl"/>
        </w:rPr>
        <w:lastRenderedPageBreak/>
        <w:t xml:space="preserve">Los estudios de las dos organizaciones de normas de aviación han demostrado que los niveles más elevados de interferencia de RF impulsiva que afecta a los receptores de navegación aérea del SRNS que funcionan a un nivel de vuelo 200 o superior (6 096 m por encima del nivel medio del mar) se producen en varias regiones localizadas alrededor del mundo. De esas regiones, la mayor intensidad aparece en la Unión Europea en las proximidades de Frankfurt (Alemania) en </w:t>
      </w:r>
      <w:r w:rsidRPr="007142CA">
        <w:rPr>
          <w:lang w:val="es-ES_tradnl"/>
        </w:rPr>
        <w:t>50,5° N,</w:t>
      </w:r>
      <w:r>
        <w:rPr>
          <w:lang w:val="es-ES_tradnl"/>
        </w:rPr>
        <w:t xml:space="preserve"> </w:t>
      </w:r>
      <w:r w:rsidRPr="007142CA">
        <w:rPr>
          <w:lang w:val="es-ES_tradnl"/>
        </w:rPr>
        <w:t xml:space="preserve">9° E </w:t>
      </w:r>
      <w:r>
        <w:rPr>
          <w:lang w:val="es-ES_tradnl"/>
        </w:rPr>
        <w:t>y</w:t>
      </w:r>
      <w:r w:rsidRPr="007142CA">
        <w:rPr>
          <w:lang w:val="es-ES_tradnl"/>
        </w:rPr>
        <w:t xml:space="preserve"> 12 190 m</w:t>
      </w:r>
      <w:r>
        <w:rPr>
          <w:lang w:val="es-ES_tradnl"/>
        </w:rPr>
        <w:t xml:space="preserve"> de altitud. El siguiente emplazamiento con valor más elevado se encuentra en Estados Unidos de América, cerca de Harrisburg, Pensilvania; a </w:t>
      </w:r>
      <w:r w:rsidRPr="007142CA">
        <w:rPr>
          <w:lang w:val="es-ES_tradnl"/>
        </w:rPr>
        <w:t xml:space="preserve">40° N, 76° W, </w:t>
      </w:r>
      <w:r>
        <w:rPr>
          <w:lang w:val="es-ES_tradnl"/>
        </w:rPr>
        <w:t>y</w:t>
      </w:r>
      <w:r w:rsidRPr="007142CA">
        <w:rPr>
          <w:lang w:val="es-ES_tradnl"/>
        </w:rPr>
        <w:t xml:space="preserve"> 12 190 m</w:t>
      </w:r>
      <w:r>
        <w:rPr>
          <w:lang w:val="es-ES_tradnl"/>
        </w:rPr>
        <w:t xml:space="preserve"> de altitud, En esos dos puntos, la evaluación de los parámetros de interferencia de RF impulsiva básicos arrojó valores del porcentaje de supresión entre el 60% y el 65% para el procesamiento de la señal recibida causada por los impulsos de alto nivel de la interferencia de RF.</w:t>
      </w:r>
    </w:p>
    <w:p w:rsidR="003714D4" w:rsidRPr="00F001A5" w:rsidRDefault="003714D4" w:rsidP="00DF44F2">
      <w:pPr>
        <w:rPr>
          <w:lang w:val="es-ES_tradnl"/>
        </w:rPr>
      </w:pPr>
      <w:r>
        <w:rPr>
          <w:lang w:val="es-ES_tradnl"/>
        </w:rPr>
        <w:t xml:space="preserve">Adicionalmente, los impulsos de menor nivel que también están presentes contribuyen a un efecto de la interferencia de RF media equivalente a un incremento del 100% al 150% en el ruido del sistema del SRNS. En comparación, la evaluación cerca del punto «caliente» de </w:t>
      </w:r>
      <w:r w:rsidR="00DF44F2">
        <w:rPr>
          <w:lang w:val="es-ES_tradnl"/>
        </w:rPr>
        <w:t>Estados Unidos de América</w:t>
      </w:r>
      <w:r>
        <w:rPr>
          <w:lang w:val="es-ES_tradnl"/>
        </w:rPr>
        <w:t xml:space="preserve"> a baja altitud (menos de 600 m por encima del nivel medio del mar) muestra una caída del porcentaje de supresión de impulsos de alto nivel del 31% aproximadamente y el efecto medio del impulso de bajo nivel cae a un 45% de incremento en el ruido del sistema receptor. La presencia de estos valores de la interferencia de RF impulsiva relativamente elevados limita el volumen de interferencia de RF continua que puede tolerar un receptor del SRNS teniendo en cuenta las limitaciones en la señal de satélite y en la tecnología del receptor que determinan el máximo efecto de la interferencia.</w:t>
      </w:r>
    </w:p>
    <w:p w:rsidR="003714D4" w:rsidRPr="00D545DB" w:rsidRDefault="003714D4" w:rsidP="003714D4">
      <w:pPr>
        <w:rPr>
          <w:szCs w:val="24"/>
          <w:lang w:val="es-ES_tradnl"/>
        </w:rPr>
      </w:pPr>
      <w:r>
        <w:rPr>
          <w:lang w:val="es-ES_tradnl"/>
        </w:rPr>
        <w:t xml:space="preserve">No se han establecido umbrales de interferencia para el funcionamiento del receptor a altitudes comprendidas entre esos dos casos límite (es decir, entre </w:t>
      </w:r>
      <w:r w:rsidRPr="00D545DB">
        <w:rPr>
          <w:szCs w:val="24"/>
          <w:lang w:val="es-ES_tradnl"/>
        </w:rPr>
        <w:t xml:space="preserve">6 096 </w:t>
      </w:r>
      <w:r>
        <w:rPr>
          <w:szCs w:val="24"/>
          <w:lang w:val="es-ES_tradnl"/>
        </w:rPr>
        <w:t>y</w:t>
      </w:r>
      <w:r w:rsidRPr="00D545DB">
        <w:rPr>
          <w:szCs w:val="24"/>
          <w:lang w:val="es-ES_tradnl"/>
        </w:rPr>
        <w:t xml:space="preserve"> 610 m (20 000 </w:t>
      </w:r>
      <w:r>
        <w:rPr>
          <w:szCs w:val="24"/>
          <w:lang w:val="es-ES_tradnl"/>
        </w:rPr>
        <w:t>y</w:t>
      </w:r>
      <w:r w:rsidRPr="00D545DB">
        <w:rPr>
          <w:szCs w:val="24"/>
          <w:lang w:val="es-ES_tradnl"/>
        </w:rPr>
        <w:t xml:space="preserve"> 2 000 </w:t>
      </w:r>
      <w:r>
        <w:rPr>
          <w:szCs w:val="24"/>
          <w:lang w:val="es-ES_tradnl"/>
        </w:rPr>
        <w:t>pies</w:t>
      </w:r>
      <w:r w:rsidRPr="00D545DB">
        <w:rPr>
          <w:szCs w:val="24"/>
          <w:lang w:val="es-ES_tradnl"/>
        </w:rPr>
        <w:t>)</w:t>
      </w:r>
      <w:r>
        <w:rPr>
          <w:lang w:val="es-ES_tradnl"/>
        </w:rPr>
        <w:t xml:space="preserve"> por encima del nivel medio del mar). Se sabe que los parámetros de la interferencia impulsiva dependen del número y el tipo de estaciones en tierra del SRNA situadas en el radio de visibilidad directa del receptor del SRNS. Sin embargo, la relación exacta ent</w:t>
      </w:r>
      <w:r w:rsidR="00DF44F2">
        <w:rPr>
          <w:lang w:val="es-ES_tradnl"/>
        </w:rPr>
        <w:t>r</w:t>
      </w:r>
      <w:r>
        <w:rPr>
          <w:lang w:val="es-ES_tradnl"/>
        </w:rPr>
        <w:t>e los umbrales de interferencia del receptor y la altitud en las regiones de mayor concentración de fuentes del SRNA debe ser objeto de más estudios.</w:t>
      </w:r>
    </w:p>
    <w:p w:rsidR="003714D4" w:rsidRPr="00332691" w:rsidRDefault="003714D4" w:rsidP="003714D4">
      <w:pPr>
        <w:rPr>
          <w:szCs w:val="24"/>
          <w:lang w:val="es-ES_tradnl"/>
        </w:rPr>
      </w:pPr>
      <w:r>
        <w:rPr>
          <w:lang w:val="es-ES_tradnl"/>
        </w:rPr>
        <w:t>También son necesarios nuevos estudios para elaborar un método general que evalúe la repercusión de la interferencia del RF impulsiva en los receptores del SRNS.</w:t>
      </w:r>
    </w:p>
    <w:p w:rsidR="003714D4" w:rsidRDefault="003714D4" w:rsidP="003714D4">
      <w:pPr>
        <w:pStyle w:val="Heading1"/>
        <w:rPr>
          <w:lang w:val="es-ES_tradnl"/>
        </w:rPr>
      </w:pPr>
      <w:r w:rsidRPr="00CF72CF">
        <w:rPr>
          <w:lang w:val="es-ES_tradnl"/>
        </w:rPr>
        <w:t>4</w:t>
      </w:r>
      <w:r w:rsidRPr="00CF72CF">
        <w:rPr>
          <w:lang w:val="es-ES_tradnl"/>
        </w:rPr>
        <w:tab/>
      </w:r>
      <w:r>
        <w:rPr>
          <w:lang w:val="es-ES_tradnl"/>
        </w:rPr>
        <w:t>Características técnicas y criterios de protección del receptor del SRNS</w:t>
      </w:r>
    </w:p>
    <w:p w:rsidR="003714D4" w:rsidRPr="00CF72CF" w:rsidRDefault="003714D4" w:rsidP="003714D4">
      <w:pPr>
        <w:rPr>
          <w:lang w:val="es-ES_tradnl"/>
        </w:rPr>
      </w:pPr>
      <w:r>
        <w:rPr>
          <w:lang w:val="es-ES_tradnl"/>
        </w:rPr>
        <w:t xml:space="preserve">En el Cuadro 2-1 aparecen las características técnicas y los criterios de protección (máximos valores umbral de la interferencia combinada) para varios receptores del SRNS representativos y aplicaciones en la banda </w:t>
      </w:r>
      <w:r w:rsidRPr="00CF72CF">
        <w:rPr>
          <w:lang w:val="es-ES_tradnl"/>
        </w:rPr>
        <w:t>1 164-1 215 MHz</w:t>
      </w:r>
      <w:r>
        <w:rPr>
          <w:lang w:val="es-ES_tradnl"/>
        </w:rPr>
        <w:t>. En la Recomendación UIT-R</w:t>
      </w:r>
      <w:r w:rsidRPr="00CF72CF">
        <w:rPr>
          <w:lang w:val="es-ES_tradnl"/>
        </w:rPr>
        <w:t> M.1787</w:t>
      </w:r>
      <w:r>
        <w:rPr>
          <w:lang w:val="es-ES_tradnl"/>
        </w:rPr>
        <w:t xml:space="preserve"> aparece más información sobre la señal del SRNS.</w:t>
      </w:r>
    </w:p>
    <w:p w:rsidR="003714D4" w:rsidRPr="00CD6E77" w:rsidRDefault="003714D4" w:rsidP="003714D4">
      <w:pPr>
        <w:rPr>
          <w:lang w:val="es-ES_tradnl"/>
        </w:rPr>
      </w:pPr>
      <w:r>
        <w:rPr>
          <w:lang w:val="es-ES_tradnl"/>
        </w:rPr>
        <w:t>Las características técnicas y los criterios de protección dependen del tipo de aplicación del SRNS. En el Cuadro 2-1 se han incluido los siguientes receptores y aplicaciones del SRNS:</w:t>
      </w:r>
    </w:p>
    <w:p w:rsidR="003714D4" w:rsidRPr="00E05D7C" w:rsidRDefault="003714D4" w:rsidP="003714D4">
      <w:pPr>
        <w:pStyle w:val="enumlev1"/>
        <w:rPr>
          <w:bCs/>
          <w:lang w:val="es-ES_tradnl"/>
        </w:rPr>
      </w:pPr>
      <w:r w:rsidRPr="00E05D7C">
        <w:rPr>
          <w:lang w:val="es-ES_tradnl"/>
        </w:rPr>
        <w:t>–</w:t>
      </w:r>
      <w:r w:rsidRPr="00E05D7C">
        <w:rPr>
          <w:lang w:val="es-ES_tradnl"/>
        </w:rPr>
        <w:tab/>
      </w:r>
      <w:r w:rsidRPr="00E05D7C">
        <w:rPr>
          <w:bCs/>
          <w:lang w:val="es-ES_tradnl"/>
        </w:rPr>
        <w:t>Receptores de navegación (2 tipos) (v</w:t>
      </w:r>
      <w:r>
        <w:rPr>
          <w:bCs/>
          <w:lang w:val="es-ES_tradnl"/>
        </w:rPr>
        <w:t>éase el</w:t>
      </w:r>
      <w:r w:rsidRPr="00E05D7C">
        <w:rPr>
          <w:bCs/>
          <w:lang w:val="es-ES_tradnl"/>
        </w:rPr>
        <w:t xml:space="preserve"> § 2.1 </w:t>
      </w:r>
      <w:r>
        <w:rPr>
          <w:bCs/>
          <w:lang w:val="es-ES_tradnl"/>
        </w:rPr>
        <w:t>y el</w:t>
      </w:r>
      <w:r w:rsidRPr="00E05D7C">
        <w:rPr>
          <w:bCs/>
          <w:lang w:val="es-ES_tradnl"/>
        </w:rPr>
        <w:t xml:space="preserve"> </w:t>
      </w:r>
      <w:r>
        <w:rPr>
          <w:bCs/>
          <w:lang w:val="es-ES_tradnl"/>
        </w:rPr>
        <w:t>Cuadro</w:t>
      </w:r>
      <w:r w:rsidRPr="00E05D7C">
        <w:rPr>
          <w:bCs/>
          <w:lang w:val="es-ES_tradnl"/>
        </w:rPr>
        <w:t xml:space="preserve"> 2-1, column</w:t>
      </w:r>
      <w:r>
        <w:rPr>
          <w:bCs/>
          <w:lang w:val="es-ES_tradnl"/>
        </w:rPr>
        <w:t>a</w:t>
      </w:r>
      <w:r w:rsidRPr="00E05D7C">
        <w:rPr>
          <w:bCs/>
          <w:lang w:val="es-ES_tradnl"/>
        </w:rPr>
        <w:t xml:space="preserve">s 1 </w:t>
      </w:r>
      <w:r>
        <w:rPr>
          <w:bCs/>
          <w:lang w:val="es-ES_tradnl"/>
        </w:rPr>
        <w:t>y</w:t>
      </w:r>
      <w:r w:rsidRPr="00E05D7C">
        <w:rPr>
          <w:bCs/>
          <w:lang w:val="es-ES_tradnl"/>
        </w:rPr>
        <w:t xml:space="preserve"> 2).</w:t>
      </w:r>
    </w:p>
    <w:p w:rsidR="003714D4" w:rsidRPr="00E05D7C" w:rsidRDefault="003714D4" w:rsidP="003714D4">
      <w:pPr>
        <w:pStyle w:val="enumlev1"/>
        <w:rPr>
          <w:bCs/>
          <w:lang w:val="es-ES_tradnl"/>
        </w:rPr>
      </w:pPr>
      <w:r w:rsidRPr="00E05D7C">
        <w:rPr>
          <w:bCs/>
          <w:lang w:val="es-ES_tradnl"/>
        </w:rPr>
        <w:t>–</w:t>
      </w:r>
      <w:r w:rsidRPr="00E05D7C">
        <w:rPr>
          <w:bCs/>
          <w:lang w:val="es-ES_tradnl"/>
        </w:rPr>
        <w:tab/>
      </w:r>
      <w:r>
        <w:rPr>
          <w:bCs/>
          <w:lang w:val="es-ES_tradnl"/>
        </w:rPr>
        <w:t>Receptores de alta precisión</w:t>
      </w:r>
      <w:r w:rsidRPr="00E05D7C">
        <w:rPr>
          <w:bCs/>
          <w:lang w:val="es-ES_tradnl"/>
        </w:rPr>
        <w:t xml:space="preserve"> (2 tipos) (véase el § 2.2 </w:t>
      </w:r>
      <w:r>
        <w:rPr>
          <w:bCs/>
          <w:lang w:val="es-ES_tradnl"/>
        </w:rPr>
        <w:t>y el</w:t>
      </w:r>
      <w:r w:rsidRPr="00E05D7C">
        <w:rPr>
          <w:bCs/>
          <w:lang w:val="es-ES_tradnl"/>
        </w:rPr>
        <w:t xml:space="preserve"> </w:t>
      </w:r>
      <w:r>
        <w:rPr>
          <w:bCs/>
          <w:lang w:val="es-ES_tradnl"/>
        </w:rPr>
        <w:t>Cuadro</w:t>
      </w:r>
      <w:r w:rsidRPr="00E05D7C">
        <w:rPr>
          <w:bCs/>
          <w:lang w:val="es-ES_tradnl"/>
        </w:rPr>
        <w:t xml:space="preserve"> 2-1, column</w:t>
      </w:r>
      <w:r>
        <w:rPr>
          <w:bCs/>
          <w:lang w:val="es-ES_tradnl"/>
        </w:rPr>
        <w:t>a</w:t>
      </w:r>
      <w:r w:rsidRPr="00E05D7C">
        <w:rPr>
          <w:bCs/>
          <w:lang w:val="es-ES_tradnl"/>
        </w:rPr>
        <w:t xml:space="preserve"> 3).</w:t>
      </w:r>
    </w:p>
    <w:p w:rsidR="003714D4" w:rsidRPr="00E05D7C" w:rsidRDefault="003714D4" w:rsidP="009313E0">
      <w:pPr>
        <w:pStyle w:val="enumlev1"/>
        <w:rPr>
          <w:bCs/>
          <w:lang w:val="es-ES_tradnl" w:eastAsia="ja-JP"/>
        </w:rPr>
      </w:pPr>
      <w:r w:rsidRPr="00E05D7C">
        <w:rPr>
          <w:bCs/>
          <w:lang w:val="es-ES_tradnl"/>
        </w:rPr>
        <w:t>–</w:t>
      </w:r>
      <w:r w:rsidRPr="00E05D7C">
        <w:rPr>
          <w:bCs/>
          <w:lang w:val="es-ES_tradnl"/>
        </w:rPr>
        <w:tab/>
      </w:r>
      <w:r>
        <w:rPr>
          <w:bCs/>
          <w:lang w:val="es-ES_tradnl"/>
        </w:rPr>
        <w:t>Receptores de posicionamiento</w:t>
      </w:r>
      <w:r w:rsidR="009313E0">
        <w:rPr>
          <w:bCs/>
          <w:lang w:val="es-ES_tradnl"/>
        </w:rPr>
        <w:t xml:space="preserve"> en interiores</w:t>
      </w:r>
      <w:r w:rsidRPr="00E05D7C">
        <w:rPr>
          <w:bCs/>
          <w:lang w:val="es-ES_tradnl"/>
        </w:rPr>
        <w:t xml:space="preserve"> (2 tipos) (véase el § 2.3 </w:t>
      </w:r>
      <w:r>
        <w:rPr>
          <w:bCs/>
          <w:lang w:val="es-ES_tradnl"/>
        </w:rPr>
        <w:t>y el</w:t>
      </w:r>
      <w:r w:rsidRPr="00E05D7C">
        <w:rPr>
          <w:bCs/>
          <w:lang w:val="es-ES_tradnl"/>
        </w:rPr>
        <w:t xml:space="preserve"> </w:t>
      </w:r>
      <w:r>
        <w:rPr>
          <w:bCs/>
          <w:lang w:val="es-ES_tradnl"/>
        </w:rPr>
        <w:t>Cuadro</w:t>
      </w:r>
      <w:r w:rsidRPr="00E05D7C">
        <w:rPr>
          <w:bCs/>
          <w:lang w:val="es-ES_tradnl"/>
        </w:rPr>
        <w:t xml:space="preserve"> 2-1, column</w:t>
      </w:r>
      <w:r>
        <w:rPr>
          <w:bCs/>
          <w:lang w:val="es-ES_tradnl"/>
        </w:rPr>
        <w:t>a</w:t>
      </w:r>
      <w:r w:rsidR="009313E0">
        <w:rPr>
          <w:bCs/>
          <w:lang w:val="es-ES_tradnl"/>
        </w:rPr>
        <w:t> </w:t>
      </w:r>
      <w:r w:rsidRPr="00E05D7C">
        <w:rPr>
          <w:bCs/>
          <w:lang w:val="es-ES_tradnl"/>
        </w:rPr>
        <w:t>4).</w:t>
      </w:r>
    </w:p>
    <w:p w:rsidR="003714D4" w:rsidRPr="00E05D7C" w:rsidRDefault="003714D4" w:rsidP="003714D4">
      <w:pPr>
        <w:pStyle w:val="enumlev1"/>
        <w:rPr>
          <w:lang w:val="es-ES_tradnl"/>
        </w:rPr>
      </w:pPr>
      <w:r w:rsidRPr="00E05D7C">
        <w:rPr>
          <w:bCs/>
          <w:lang w:val="es-ES_tradnl"/>
        </w:rPr>
        <w:t>–</w:t>
      </w:r>
      <w:r w:rsidRPr="00E05D7C">
        <w:rPr>
          <w:bCs/>
          <w:lang w:val="es-ES_tradnl"/>
        </w:rPr>
        <w:tab/>
      </w:r>
      <w:r>
        <w:rPr>
          <w:bCs/>
          <w:lang w:val="es-ES_tradnl"/>
        </w:rPr>
        <w:t>Receptores polivalentes</w:t>
      </w:r>
      <w:r w:rsidRPr="00E05D7C">
        <w:rPr>
          <w:lang w:val="es-ES_tradnl"/>
        </w:rPr>
        <w:t xml:space="preserve"> (2 </w:t>
      </w:r>
      <w:r w:rsidRPr="00E05D7C">
        <w:rPr>
          <w:bCs/>
          <w:lang w:val="es-ES_tradnl"/>
        </w:rPr>
        <w:t>tipos</w:t>
      </w:r>
      <w:r w:rsidRPr="00E05D7C">
        <w:rPr>
          <w:lang w:val="es-ES_tradnl"/>
        </w:rPr>
        <w:t>) (</w:t>
      </w:r>
      <w:r w:rsidRPr="00E05D7C">
        <w:rPr>
          <w:bCs/>
          <w:lang w:val="es-ES_tradnl"/>
        </w:rPr>
        <w:t>v</w:t>
      </w:r>
      <w:r>
        <w:rPr>
          <w:bCs/>
          <w:lang w:val="es-ES_tradnl"/>
        </w:rPr>
        <w:t>éase el</w:t>
      </w:r>
      <w:r w:rsidRPr="00E05D7C">
        <w:rPr>
          <w:lang w:val="es-ES_tradnl"/>
        </w:rPr>
        <w:t xml:space="preserve"> § 2.4 </w:t>
      </w:r>
      <w:r>
        <w:rPr>
          <w:bCs/>
          <w:lang w:val="es-ES_tradnl"/>
        </w:rPr>
        <w:t>y el</w:t>
      </w:r>
      <w:r w:rsidRPr="00E05D7C">
        <w:rPr>
          <w:bCs/>
          <w:lang w:val="es-ES_tradnl"/>
        </w:rPr>
        <w:t xml:space="preserve"> </w:t>
      </w:r>
      <w:r>
        <w:rPr>
          <w:bCs/>
          <w:lang w:val="es-ES_tradnl"/>
        </w:rPr>
        <w:t>Cuadro</w:t>
      </w:r>
      <w:r w:rsidRPr="00E05D7C">
        <w:rPr>
          <w:lang w:val="es-ES_tradnl"/>
        </w:rPr>
        <w:t xml:space="preserve"> 2-1, column</w:t>
      </w:r>
      <w:r>
        <w:rPr>
          <w:lang w:val="es-ES_tradnl"/>
        </w:rPr>
        <w:t>a</w:t>
      </w:r>
      <w:r w:rsidRPr="00E05D7C">
        <w:rPr>
          <w:lang w:val="es-ES_tradnl"/>
        </w:rPr>
        <w:t xml:space="preserve"> 5). </w:t>
      </w:r>
    </w:p>
    <w:p w:rsidR="003714D4" w:rsidRPr="00E05D7C" w:rsidRDefault="003714D4" w:rsidP="003714D4">
      <w:pPr>
        <w:pStyle w:val="enumlev1"/>
        <w:rPr>
          <w:szCs w:val="24"/>
          <w:lang w:val="es-ES_tradnl"/>
        </w:rPr>
      </w:pPr>
    </w:p>
    <w:p w:rsidR="003714D4" w:rsidRPr="00E05D7C" w:rsidRDefault="003714D4" w:rsidP="003714D4">
      <w:pPr>
        <w:rPr>
          <w:szCs w:val="24"/>
          <w:lang w:val="es-ES_tradnl"/>
        </w:rPr>
      </w:pPr>
    </w:p>
    <w:p w:rsidR="003714D4" w:rsidRPr="00E05D7C" w:rsidRDefault="003714D4" w:rsidP="003714D4">
      <w:pPr>
        <w:rPr>
          <w:szCs w:val="24"/>
          <w:lang w:val="es-ES_tradnl"/>
        </w:rPr>
        <w:sectPr w:rsidR="003714D4" w:rsidRPr="00E05D7C" w:rsidSect="008F350E">
          <w:headerReference w:type="even" r:id="rId15"/>
          <w:headerReference w:type="default" r:id="rId16"/>
          <w:footerReference w:type="default" r:id="rId17"/>
          <w:footerReference w:type="first" r:id="rId18"/>
          <w:pgSz w:w="11907" w:h="16834" w:code="9"/>
          <w:pgMar w:top="1418" w:right="1134" w:bottom="1418" w:left="1134" w:header="720" w:footer="720" w:gutter="0"/>
          <w:paperSrc w:first="15" w:other="15"/>
          <w:pgNumType w:start="1"/>
          <w:cols w:space="720"/>
        </w:sectPr>
      </w:pPr>
    </w:p>
    <w:p w:rsidR="003714D4" w:rsidRPr="000B541D" w:rsidRDefault="003714D4" w:rsidP="0055532F">
      <w:pPr>
        <w:pStyle w:val="TableNo"/>
        <w:spacing w:before="0"/>
        <w:rPr>
          <w:lang w:val="es-ES_tradnl" w:eastAsia="ru-RU"/>
        </w:rPr>
      </w:pPr>
      <w:r w:rsidRPr="000B541D">
        <w:rPr>
          <w:lang w:val="es-ES_tradnl" w:eastAsia="ru-RU"/>
        </w:rPr>
        <w:lastRenderedPageBreak/>
        <w:t>CUADRO 2-1</w:t>
      </w:r>
    </w:p>
    <w:p w:rsidR="003714D4" w:rsidRPr="000B541D" w:rsidRDefault="003714D4" w:rsidP="00643418">
      <w:pPr>
        <w:pStyle w:val="Tabletitle"/>
        <w:rPr>
          <w:lang w:val="es-ES_tradnl"/>
        </w:rPr>
      </w:pPr>
      <w:r w:rsidRPr="000B541D">
        <w:rPr>
          <w:lang w:val="es-ES_tradnl"/>
        </w:rPr>
        <w:t>Característica técnicas y criterios de protección para los receptores del SRNS (</w:t>
      </w:r>
      <w:r>
        <w:rPr>
          <w:lang w:val="es-ES_tradnl"/>
        </w:rPr>
        <w:t>espacio</w:t>
      </w:r>
      <w:r w:rsidRPr="000B541D">
        <w:rPr>
          <w:lang w:val="es-ES_tradnl"/>
        </w:rPr>
        <w:t>-</w:t>
      </w:r>
      <w:r>
        <w:rPr>
          <w:lang w:val="es-ES_tradnl"/>
        </w:rPr>
        <w:t>Tierra</w:t>
      </w:r>
      <w:r w:rsidRPr="000B541D">
        <w:rPr>
          <w:lang w:val="es-ES_tradnl"/>
        </w:rPr>
        <w:t>)</w:t>
      </w:r>
      <w:r w:rsidR="00643418">
        <w:rPr>
          <w:lang w:val="es-ES_tradnl"/>
        </w:rPr>
        <w:br/>
      </w:r>
      <w:r>
        <w:rPr>
          <w:lang w:val="es-ES_tradnl"/>
        </w:rPr>
        <w:t>que funcionan en la</w:t>
      </w:r>
      <w:r w:rsidRPr="000B541D">
        <w:rPr>
          <w:lang w:val="es-ES_tradnl"/>
        </w:rPr>
        <w:t xml:space="preserve"> band</w:t>
      </w:r>
      <w:r>
        <w:rPr>
          <w:lang w:val="es-ES_tradnl"/>
        </w:rPr>
        <w:t>a</w:t>
      </w:r>
      <w:r w:rsidRPr="000B541D">
        <w:rPr>
          <w:lang w:val="es-ES_tradnl"/>
        </w:rPr>
        <w:t xml:space="preserve"> 1 164</w:t>
      </w:r>
      <w:r w:rsidRPr="000B541D">
        <w:rPr>
          <w:lang w:val="es-ES_tradnl"/>
        </w:rPr>
        <w:noBreakHyphen/>
        <w:t>1 215 MHz</w:t>
      </w:r>
    </w:p>
    <w:tbl>
      <w:tblPr>
        <w:tblW w:w="14459" w:type="dxa"/>
        <w:jc w:val="center"/>
        <w:tblLayout w:type="fixed"/>
        <w:tblLook w:val="0000" w:firstRow="0" w:lastRow="0" w:firstColumn="0" w:lastColumn="0" w:noHBand="0" w:noVBand="0"/>
      </w:tblPr>
      <w:tblGrid>
        <w:gridCol w:w="5796"/>
        <w:gridCol w:w="1624"/>
        <w:gridCol w:w="2011"/>
        <w:gridCol w:w="751"/>
        <w:gridCol w:w="836"/>
        <w:gridCol w:w="713"/>
        <w:gridCol w:w="85"/>
        <w:gridCol w:w="889"/>
        <w:gridCol w:w="700"/>
        <w:gridCol w:w="1054"/>
      </w:tblGrid>
      <w:tr w:rsidR="003714D4" w:rsidRPr="00636777" w:rsidTr="008F350E">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lang w:val="es-ES_tradnl"/>
              </w:rPr>
            </w:pPr>
          </w:p>
        </w:tc>
        <w:tc>
          <w:tcPr>
            <w:tcW w:w="1624" w:type="dxa"/>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rPr>
            </w:pPr>
            <w:r w:rsidRPr="000B541D">
              <w:rPr>
                <w:rFonts w:eastAsia="MS PGothic"/>
                <w:sz w:val="20"/>
              </w:rPr>
              <w:t>1</w:t>
            </w:r>
          </w:p>
        </w:tc>
        <w:tc>
          <w:tcPr>
            <w:tcW w:w="2011" w:type="dxa"/>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rPr>
            </w:pPr>
            <w:r w:rsidRPr="000B541D">
              <w:rPr>
                <w:rFonts w:eastAsia="MS PGothic"/>
                <w:sz w:val="20"/>
              </w:rPr>
              <w:t>2</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sz w:val="20"/>
              </w:rPr>
            </w:pPr>
            <w:r w:rsidRPr="000B541D">
              <w:rPr>
                <w:sz w:val="20"/>
              </w:rPr>
              <w:t>3</w:t>
            </w:r>
          </w:p>
        </w:tc>
        <w:tc>
          <w:tcPr>
            <w:tcW w:w="1687" w:type="dxa"/>
            <w:gridSpan w:val="3"/>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sz w:val="20"/>
              </w:rPr>
            </w:pPr>
            <w:r w:rsidRPr="000B541D">
              <w:rPr>
                <w:sz w:val="20"/>
              </w:rPr>
              <w:t>4</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rPr>
            </w:pPr>
            <w:r w:rsidRPr="000B541D">
              <w:rPr>
                <w:rFonts w:eastAsia="MS PGothic"/>
                <w:sz w:val="20"/>
              </w:rPr>
              <w:t>5</w:t>
            </w:r>
          </w:p>
        </w:tc>
      </w:tr>
      <w:tr w:rsidR="003714D4" w:rsidRPr="000B541D" w:rsidTr="008F350E">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rPr>
            </w:pPr>
            <w:r w:rsidRPr="000B541D">
              <w:rPr>
                <w:rFonts w:eastAsia="MS PGothic"/>
                <w:sz w:val="20"/>
              </w:rPr>
              <w:t>Parámetro</w:t>
            </w:r>
          </w:p>
        </w:tc>
        <w:tc>
          <w:tcPr>
            <w:tcW w:w="1624" w:type="dxa"/>
            <w:tcBorders>
              <w:top w:val="single" w:sz="4" w:space="0" w:color="auto"/>
              <w:left w:val="single" w:sz="4" w:space="0" w:color="auto"/>
              <w:bottom w:val="single" w:sz="4" w:space="0" w:color="auto"/>
              <w:right w:val="single" w:sz="4" w:space="0" w:color="auto"/>
            </w:tcBorders>
            <w:vAlign w:val="center"/>
          </w:tcPr>
          <w:p w:rsidR="003714D4" w:rsidRPr="000B541D" w:rsidRDefault="003714D4" w:rsidP="009C478A">
            <w:pPr>
              <w:pStyle w:val="Tablehead"/>
              <w:rPr>
                <w:rFonts w:eastAsia="MS PGothic"/>
                <w:sz w:val="20"/>
                <w:highlight w:val="yellow"/>
                <w:lang w:val="es-ES_tradnl"/>
              </w:rPr>
            </w:pPr>
            <w:r w:rsidRPr="000B541D">
              <w:rPr>
                <w:rFonts w:eastAsia="MS PGothic"/>
                <w:sz w:val="20"/>
                <w:lang w:val="es-ES_tradnl"/>
              </w:rPr>
              <w:t>Receptor de navegación aérea N</w:t>
            </w:r>
            <w:r w:rsidR="009C478A">
              <w:rPr>
                <w:rFonts w:eastAsia="MS PGothic"/>
                <w:sz w:val="20"/>
                <w:lang w:val="es-ES_tradnl"/>
              </w:rPr>
              <w:t>°</w:t>
            </w:r>
            <w:r w:rsidRPr="000B541D">
              <w:rPr>
                <w:rFonts w:eastAsia="MS PGothic"/>
                <w:sz w:val="20"/>
                <w:lang w:val="es-ES_tradnl"/>
              </w:rPr>
              <w:t> 1</w:t>
            </w:r>
          </w:p>
        </w:tc>
        <w:tc>
          <w:tcPr>
            <w:tcW w:w="2011" w:type="dxa"/>
            <w:tcBorders>
              <w:top w:val="single" w:sz="4" w:space="0" w:color="auto"/>
              <w:left w:val="single" w:sz="4" w:space="0" w:color="auto"/>
              <w:bottom w:val="single" w:sz="4" w:space="0" w:color="auto"/>
              <w:right w:val="single" w:sz="4" w:space="0" w:color="auto"/>
            </w:tcBorders>
            <w:vAlign w:val="center"/>
          </w:tcPr>
          <w:p w:rsidR="003714D4" w:rsidRPr="008E4EFA" w:rsidRDefault="003714D4" w:rsidP="009C478A">
            <w:pPr>
              <w:pStyle w:val="Tablehead"/>
              <w:rPr>
                <w:rFonts w:eastAsia="MS PGothic"/>
                <w:sz w:val="20"/>
                <w:lang w:val="es-ES_tradnl"/>
              </w:rPr>
            </w:pPr>
            <w:r w:rsidRPr="008E4EFA">
              <w:rPr>
                <w:rFonts w:eastAsia="MS PGothic"/>
                <w:sz w:val="20"/>
                <w:lang w:val="es-ES_tradnl"/>
              </w:rPr>
              <w:t>Receptor de navegación</w:t>
            </w:r>
            <w:r w:rsidRPr="008E4EFA">
              <w:rPr>
                <w:rFonts w:eastAsia="MS PGothic"/>
                <w:sz w:val="20"/>
                <w:lang w:val="es-ES_tradnl"/>
              </w:rPr>
              <w:br/>
              <w:t>aérea N</w:t>
            </w:r>
            <w:r w:rsidR="009C478A">
              <w:rPr>
                <w:rFonts w:eastAsia="MS PGothic"/>
                <w:sz w:val="20"/>
                <w:lang w:val="es-ES_tradnl"/>
              </w:rPr>
              <w:t>°</w:t>
            </w:r>
            <w:r w:rsidRPr="008E4EFA">
              <w:rPr>
                <w:rFonts w:eastAsia="MS PGothic"/>
                <w:sz w:val="20"/>
                <w:lang w:val="es-ES_tradnl"/>
              </w:rPr>
              <w:t> 2</w:t>
            </w:r>
            <w:r w:rsidRPr="008E4EFA">
              <w:rPr>
                <w:rFonts w:eastAsia="MS PGothic"/>
                <w:sz w:val="20"/>
                <w:lang w:val="es-ES_tradnl"/>
              </w:rPr>
              <w:br/>
              <w:t>(Nota 9)</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sz w:val="20"/>
                <w:lang w:val="es-ES_tradnl"/>
              </w:rPr>
            </w:pPr>
            <w:r w:rsidRPr="000B541D">
              <w:rPr>
                <w:sz w:val="20"/>
                <w:lang w:val="es-ES_tradnl"/>
              </w:rPr>
              <w:t>Receptores</w:t>
            </w:r>
            <w:r w:rsidRPr="000B541D">
              <w:rPr>
                <w:sz w:val="20"/>
                <w:lang w:val="es-ES_tradnl"/>
              </w:rPr>
              <w:br/>
              <w:t xml:space="preserve">de alta precisión </w:t>
            </w:r>
            <w:r w:rsidRPr="000B541D">
              <w:rPr>
                <w:sz w:val="20"/>
                <w:lang w:val="es-ES_tradnl"/>
              </w:rPr>
              <w:br/>
              <w:t>(Nota 12)</w:t>
            </w:r>
          </w:p>
        </w:tc>
        <w:tc>
          <w:tcPr>
            <w:tcW w:w="1687" w:type="dxa"/>
            <w:gridSpan w:val="3"/>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highlight w:val="lightGray"/>
                <w:lang w:val="es-ES_tradnl"/>
              </w:rPr>
            </w:pPr>
            <w:r w:rsidRPr="000B541D">
              <w:rPr>
                <w:sz w:val="20"/>
                <w:lang w:val="es-ES_tradnl"/>
              </w:rPr>
              <w:t>Receptores</w:t>
            </w:r>
            <w:r>
              <w:rPr>
                <w:sz w:val="20"/>
                <w:lang w:val="es-ES_tradnl"/>
              </w:rPr>
              <w:t xml:space="preserve"> </w:t>
            </w:r>
            <w:r w:rsidRPr="000B541D">
              <w:rPr>
                <w:sz w:val="20"/>
                <w:lang w:val="es-ES_tradnl"/>
              </w:rPr>
              <w:t>de posicionamiento en interiores</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3714D4" w:rsidRPr="000B541D" w:rsidRDefault="003714D4" w:rsidP="008F350E">
            <w:pPr>
              <w:pStyle w:val="Tablehead"/>
              <w:rPr>
                <w:rFonts w:eastAsia="MS PGothic"/>
                <w:sz w:val="20"/>
                <w:highlight w:val="lightGray"/>
                <w:lang w:val="en-US"/>
              </w:rPr>
            </w:pPr>
            <w:r>
              <w:rPr>
                <w:rFonts w:eastAsia="MS PGothic"/>
                <w:sz w:val="20"/>
                <w:lang w:val="en-US"/>
              </w:rPr>
              <w:t>Receptores</w:t>
            </w:r>
            <w:r>
              <w:rPr>
                <w:rFonts w:eastAsia="MS PGothic"/>
                <w:sz w:val="20"/>
                <w:lang w:val="en-US"/>
              </w:rPr>
              <w:br/>
              <w:t>polivalentes</w:t>
            </w:r>
          </w:p>
        </w:tc>
      </w:tr>
      <w:tr w:rsidR="003714D4" w:rsidRPr="00DF44F2" w:rsidTr="008F350E">
        <w:trPr>
          <w:cantSplit/>
          <w:trHeight w:val="2098"/>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6122AB">
            <w:pPr>
              <w:pStyle w:val="Tabletext"/>
              <w:jc w:val="left"/>
              <w:rPr>
                <w:rFonts w:eastAsia="MS PGothic"/>
                <w:sz w:val="20"/>
                <w:lang w:val="es-ES_tradnl"/>
              </w:rPr>
            </w:pPr>
            <w:r w:rsidRPr="005A0721">
              <w:rPr>
                <w:rFonts w:eastAsia="MS PGothic"/>
                <w:sz w:val="20"/>
                <w:lang w:val="es-ES_tradnl"/>
              </w:rPr>
              <w:t>Gama de frecuencias de la señal (MHz)</w:t>
            </w:r>
          </w:p>
        </w:tc>
        <w:tc>
          <w:tcPr>
            <w:tcW w:w="1624" w:type="dxa"/>
            <w:tcBorders>
              <w:top w:val="single" w:sz="4" w:space="0" w:color="auto"/>
              <w:left w:val="single" w:sz="4" w:space="0" w:color="auto"/>
              <w:bottom w:val="single" w:sz="4" w:space="0" w:color="auto"/>
              <w:right w:val="single" w:sz="4" w:space="0" w:color="auto"/>
            </w:tcBorders>
            <w:vAlign w:val="center"/>
          </w:tcPr>
          <w:p w:rsidR="003714D4" w:rsidRPr="000B541D" w:rsidRDefault="003714D4" w:rsidP="00DF44F2">
            <w:pPr>
              <w:pStyle w:val="Tabletext"/>
              <w:jc w:val="center"/>
              <w:rPr>
                <w:rFonts w:eastAsia="MS PGothic"/>
                <w:sz w:val="20"/>
              </w:rPr>
            </w:pPr>
            <w:r w:rsidRPr="000B541D">
              <w:rPr>
                <w:rFonts w:eastAsia="MS PGothic"/>
                <w:sz w:val="20"/>
                <w:lang w:val="en-US"/>
              </w:rPr>
              <w:t>1 176</w:t>
            </w:r>
            <w:r>
              <w:rPr>
                <w:rFonts w:eastAsia="MS PGothic"/>
                <w:sz w:val="20"/>
                <w:lang w:val="en-US"/>
              </w:rPr>
              <w:t>,</w:t>
            </w:r>
            <w:r w:rsidRPr="000B541D">
              <w:rPr>
                <w:rFonts w:eastAsia="MS PGothic"/>
                <w:sz w:val="20"/>
              </w:rPr>
              <w:t xml:space="preserve">45 </w:t>
            </w:r>
            <w:r w:rsidR="00DF44F2">
              <w:rPr>
                <w:rFonts w:eastAsia="MS PGothic"/>
                <w:sz w:val="20"/>
              </w:rPr>
              <w:t>±</w:t>
            </w:r>
            <w:r w:rsidRPr="000B541D">
              <w:rPr>
                <w:rFonts w:eastAsia="MS PGothic"/>
                <w:sz w:val="20"/>
              </w:rPr>
              <w:t xml:space="preserve"> 12</w:t>
            </w:r>
          </w:p>
        </w:tc>
        <w:tc>
          <w:tcPr>
            <w:tcW w:w="2011" w:type="dxa"/>
            <w:tcBorders>
              <w:top w:val="single" w:sz="4" w:space="0" w:color="auto"/>
              <w:left w:val="single" w:sz="4" w:space="0" w:color="auto"/>
              <w:bottom w:val="single" w:sz="4" w:space="0" w:color="auto"/>
              <w:right w:val="single" w:sz="4" w:space="0" w:color="auto"/>
            </w:tcBorders>
            <w:vAlign w:val="center"/>
          </w:tcPr>
          <w:p w:rsidR="003714D4" w:rsidRPr="00DF44F2" w:rsidRDefault="003714D4" w:rsidP="00DF44F2">
            <w:pPr>
              <w:pStyle w:val="Tabletext"/>
              <w:jc w:val="center"/>
              <w:rPr>
                <w:rFonts w:eastAsia="MS PGothic"/>
                <w:sz w:val="20"/>
                <w:lang w:val="es-ES_tradnl"/>
              </w:rPr>
            </w:pPr>
            <w:r w:rsidRPr="00DF44F2">
              <w:rPr>
                <w:sz w:val="20"/>
                <w:lang w:val="es-ES_tradnl"/>
              </w:rPr>
              <w:t xml:space="preserve">1 204,704 </w:t>
            </w:r>
            <w:r w:rsidR="00DF44F2">
              <w:rPr>
                <w:sz w:val="20"/>
                <w:lang w:val="es-ES_tradnl"/>
              </w:rPr>
              <w:t>+</w:t>
            </w:r>
            <w:r w:rsidRPr="00DF44F2">
              <w:rPr>
                <w:sz w:val="20"/>
                <w:lang w:val="es-ES_tradnl"/>
              </w:rPr>
              <w:t xml:space="preserve"> 0,423</w:t>
            </w:r>
            <w:r w:rsidRPr="00DF44F2">
              <w:rPr>
                <w:i/>
                <w:iCs/>
                <w:sz w:val="20"/>
                <w:lang w:val="es-ES_tradnl"/>
              </w:rPr>
              <w:t>K</w:t>
            </w:r>
            <w:r w:rsidRPr="00DF44F2">
              <w:rPr>
                <w:sz w:val="20"/>
                <w:lang w:val="es-ES_tradnl"/>
              </w:rPr>
              <w:t xml:space="preserve"> </w:t>
            </w:r>
            <w:r w:rsidR="00DF44F2" w:rsidRPr="00DF44F2">
              <w:rPr>
                <w:sz w:val="20"/>
                <w:lang w:val="es-ES_tradnl"/>
              </w:rPr>
              <w:br/>
            </w:r>
            <w:r w:rsidR="00DF44F2" w:rsidRPr="00DF44F2">
              <w:rPr>
                <w:rFonts w:eastAsia="MS PGothic"/>
                <w:sz w:val="20"/>
                <w:lang w:val="es-ES_tradnl"/>
              </w:rPr>
              <w:t>±</w:t>
            </w:r>
            <w:r w:rsidRPr="00DF44F2">
              <w:rPr>
                <w:sz w:val="20"/>
                <w:lang w:val="es-ES_tradnl"/>
              </w:rPr>
              <w:t xml:space="preserve"> 4,095, donde </w:t>
            </w:r>
            <w:r w:rsidRPr="00DF44F2">
              <w:rPr>
                <w:sz w:val="20"/>
                <w:lang w:val="es-ES_tradnl"/>
              </w:rPr>
              <w:br/>
            </w:r>
            <w:r w:rsidRPr="00DF44F2">
              <w:rPr>
                <w:i/>
                <w:iCs/>
                <w:sz w:val="20"/>
                <w:lang w:val="es-ES_tradnl"/>
              </w:rPr>
              <w:t>K</w:t>
            </w:r>
            <w:r w:rsidRPr="00DF44F2">
              <w:rPr>
                <w:sz w:val="20"/>
                <w:lang w:val="es-ES_tradnl"/>
              </w:rPr>
              <w:t xml:space="preserve"> = –7, …, </w:t>
            </w:r>
            <w:r w:rsidR="00DF44F2">
              <w:rPr>
                <w:sz w:val="20"/>
                <w:lang w:val="es-ES_tradnl"/>
              </w:rPr>
              <w:t>+</w:t>
            </w:r>
            <w:r w:rsidRPr="00DF44F2">
              <w:rPr>
                <w:sz w:val="20"/>
                <w:lang w:val="es-ES_tradnl"/>
              </w:rPr>
              <w:t>12 (Not</w:t>
            </w:r>
            <w:r w:rsidRPr="00DF44F2">
              <w:rPr>
                <w:rFonts w:eastAsia="MS PGothic"/>
                <w:sz w:val="20"/>
                <w:lang w:val="es-ES_tradnl"/>
              </w:rPr>
              <w:t>a</w:t>
            </w:r>
            <w:r w:rsidRPr="00DF44F2">
              <w:rPr>
                <w:sz w:val="20"/>
                <w:lang w:val="es-ES_tradnl"/>
              </w:rPr>
              <w:t> 10)</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3714D4" w:rsidRPr="00DF44F2" w:rsidRDefault="003714D4" w:rsidP="006122AB">
            <w:pPr>
              <w:pStyle w:val="Tabletext"/>
              <w:jc w:val="center"/>
              <w:rPr>
                <w:rFonts w:eastAsia="MS PGothic"/>
                <w:bCs/>
                <w:sz w:val="20"/>
                <w:lang w:val="es-ES_tradnl" w:eastAsia="ja-JP"/>
              </w:rPr>
            </w:pPr>
            <w:r w:rsidRPr="00DF44F2">
              <w:rPr>
                <w:rFonts w:eastAsia="MS PGothic"/>
                <w:sz w:val="20"/>
                <w:lang w:val="es-ES_tradnl"/>
              </w:rPr>
              <w:t xml:space="preserve">1 176,45 </w:t>
            </w:r>
            <w:r w:rsidRPr="000B541D">
              <w:rPr>
                <w:rFonts w:eastAsia="MS PGothic"/>
                <w:sz w:val="20"/>
              </w:rPr>
              <w:sym w:font="Symbol" w:char="00B1"/>
            </w:r>
            <w:r w:rsidRPr="00DF44F2">
              <w:rPr>
                <w:rFonts w:eastAsia="MS PGothic"/>
                <w:sz w:val="20"/>
                <w:lang w:val="es-ES_tradnl"/>
              </w:rPr>
              <w:t xml:space="preserve"> 12</w:t>
            </w:r>
          </w:p>
        </w:tc>
        <w:tc>
          <w:tcPr>
            <w:tcW w:w="836" w:type="dxa"/>
            <w:tcBorders>
              <w:top w:val="single" w:sz="4" w:space="0" w:color="auto"/>
              <w:left w:val="single" w:sz="4" w:space="0" w:color="auto"/>
              <w:bottom w:val="single" w:sz="4" w:space="0" w:color="auto"/>
              <w:right w:val="single" w:sz="4" w:space="0" w:color="auto"/>
            </w:tcBorders>
            <w:textDirection w:val="btLr"/>
            <w:vAlign w:val="center"/>
          </w:tcPr>
          <w:p w:rsidR="003714D4" w:rsidRPr="00DF44F2" w:rsidRDefault="003714D4" w:rsidP="006122AB">
            <w:pPr>
              <w:pStyle w:val="Tabletext"/>
              <w:jc w:val="center"/>
              <w:rPr>
                <w:rFonts w:eastAsia="MS PGothic"/>
                <w:bCs/>
                <w:sz w:val="20"/>
                <w:lang w:val="es-ES_tradnl" w:eastAsia="ja-JP"/>
              </w:rPr>
            </w:pPr>
            <w:r w:rsidRPr="00DF44F2">
              <w:rPr>
                <w:sz w:val="20"/>
                <w:lang w:val="es-ES_tradnl"/>
              </w:rPr>
              <w:t>1 204,704 + 0,423</w:t>
            </w:r>
            <w:r w:rsidRPr="00DF44F2">
              <w:rPr>
                <w:i/>
                <w:iCs/>
                <w:sz w:val="20"/>
                <w:lang w:val="es-ES_tradnl"/>
              </w:rPr>
              <w:t>K</w:t>
            </w:r>
            <w:r w:rsidRPr="00DF44F2">
              <w:rPr>
                <w:sz w:val="20"/>
                <w:lang w:val="es-ES_tradnl"/>
              </w:rPr>
              <w:t xml:space="preserve"> </w:t>
            </w:r>
            <w:r w:rsidR="00DF44F2">
              <w:rPr>
                <w:sz w:val="20"/>
                <w:lang w:val="es-ES_tradnl"/>
              </w:rPr>
              <w:br/>
            </w:r>
            <w:r w:rsidR="00DF44F2">
              <w:rPr>
                <w:rFonts w:eastAsia="MS PGothic"/>
                <w:sz w:val="20"/>
              </w:rPr>
              <w:t>±</w:t>
            </w:r>
            <w:r w:rsidRPr="00DF44F2">
              <w:rPr>
                <w:sz w:val="20"/>
                <w:lang w:val="es-ES_tradnl"/>
              </w:rPr>
              <w:t xml:space="preserve"> 4,095, donde</w:t>
            </w:r>
            <w:r w:rsidRPr="00DF44F2">
              <w:rPr>
                <w:sz w:val="20"/>
                <w:lang w:val="es-ES_tradnl"/>
              </w:rPr>
              <w:br/>
            </w:r>
            <w:r w:rsidRPr="00DF44F2">
              <w:rPr>
                <w:i/>
                <w:iCs/>
                <w:sz w:val="20"/>
                <w:lang w:val="es-ES_tradnl"/>
              </w:rPr>
              <w:t>K</w:t>
            </w:r>
            <w:r w:rsidRPr="00DF44F2">
              <w:rPr>
                <w:sz w:val="20"/>
                <w:lang w:val="es-ES_tradnl"/>
              </w:rPr>
              <w:t> = –7, …, +12</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3714D4" w:rsidRPr="00DF44F2" w:rsidRDefault="003714D4" w:rsidP="006122AB">
            <w:pPr>
              <w:pStyle w:val="Tabletext"/>
              <w:jc w:val="center"/>
              <w:rPr>
                <w:rFonts w:eastAsia="MS PGothic"/>
                <w:sz w:val="20"/>
                <w:lang w:val="es-ES_tradnl"/>
              </w:rPr>
            </w:pPr>
            <w:r w:rsidRPr="00DF44F2">
              <w:rPr>
                <w:rFonts w:eastAsia="MS PGothic"/>
                <w:sz w:val="20"/>
                <w:lang w:val="es-ES_tradnl"/>
              </w:rPr>
              <w:t xml:space="preserve">1 176,45 </w:t>
            </w:r>
            <w:r w:rsidR="00DF44F2">
              <w:rPr>
                <w:rFonts w:eastAsia="MS PGothic"/>
                <w:sz w:val="20"/>
              </w:rPr>
              <w:t>±</w:t>
            </w:r>
            <w:r w:rsidRPr="00DF44F2">
              <w:rPr>
                <w:rFonts w:eastAsia="MS PGothic"/>
                <w:sz w:val="20"/>
                <w:lang w:val="es-ES_tradnl"/>
              </w:rPr>
              <w:t xml:space="preserve"> 12</w:t>
            </w:r>
          </w:p>
        </w:tc>
        <w:tc>
          <w:tcPr>
            <w:tcW w:w="974" w:type="dxa"/>
            <w:gridSpan w:val="2"/>
            <w:tcBorders>
              <w:top w:val="single" w:sz="4" w:space="0" w:color="auto"/>
              <w:left w:val="single" w:sz="4" w:space="0" w:color="auto"/>
              <w:bottom w:val="single" w:sz="4" w:space="0" w:color="auto"/>
              <w:right w:val="single" w:sz="4" w:space="0" w:color="auto"/>
            </w:tcBorders>
            <w:textDirection w:val="btLr"/>
            <w:vAlign w:val="center"/>
          </w:tcPr>
          <w:p w:rsidR="003714D4" w:rsidRPr="00DF44F2" w:rsidRDefault="003714D4" w:rsidP="006122AB">
            <w:pPr>
              <w:pStyle w:val="Tabletext"/>
              <w:jc w:val="center"/>
              <w:rPr>
                <w:rFonts w:eastAsia="MS PGothic"/>
                <w:sz w:val="20"/>
                <w:lang w:val="es-ES_tradnl"/>
              </w:rPr>
            </w:pPr>
            <w:r w:rsidRPr="00DF44F2">
              <w:rPr>
                <w:sz w:val="20"/>
                <w:lang w:val="es-ES_tradnl"/>
              </w:rPr>
              <w:t>1 204,704 + 0,423</w:t>
            </w:r>
            <w:r w:rsidRPr="00DF44F2">
              <w:rPr>
                <w:i/>
                <w:iCs/>
                <w:sz w:val="20"/>
                <w:lang w:val="es-ES_tradnl"/>
              </w:rPr>
              <w:t>K</w:t>
            </w:r>
            <w:r w:rsidRPr="00DF44F2">
              <w:rPr>
                <w:sz w:val="20"/>
                <w:lang w:val="es-ES_tradnl"/>
              </w:rPr>
              <w:t xml:space="preserve"> </w:t>
            </w:r>
            <w:r w:rsidR="00DF44F2">
              <w:rPr>
                <w:sz w:val="20"/>
                <w:lang w:val="es-ES_tradnl"/>
              </w:rPr>
              <w:br/>
            </w:r>
            <w:r w:rsidR="00DF44F2" w:rsidRPr="00DF44F2">
              <w:rPr>
                <w:rFonts w:eastAsia="MS PGothic"/>
                <w:sz w:val="20"/>
                <w:lang w:val="es-ES_tradnl"/>
              </w:rPr>
              <w:t>±</w:t>
            </w:r>
            <w:r w:rsidRPr="00DF44F2">
              <w:rPr>
                <w:sz w:val="20"/>
                <w:lang w:val="es-ES_tradnl"/>
              </w:rPr>
              <w:t xml:space="preserve"> 4,095, donde</w:t>
            </w:r>
            <w:r w:rsidRPr="00DF44F2">
              <w:rPr>
                <w:sz w:val="20"/>
                <w:lang w:val="es-ES_tradnl"/>
              </w:rPr>
              <w:br/>
            </w:r>
            <w:r w:rsidRPr="00DF44F2">
              <w:rPr>
                <w:i/>
                <w:iCs/>
                <w:sz w:val="20"/>
                <w:lang w:val="es-ES_tradnl"/>
              </w:rPr>
              <w:t>K</w:t>
            </w:r>
            <w:r w:rsidRPr="00DF44F2">
              <w:rPr>
                <w:sz w:val="20"/>
                <w:lang w:val="es-ES_tradnl"/>
              </w:rPr>
              <w:t> = –7, …, +12</w:t>
            </w:r>
          </w:p>
        </w:tc>
        <w:tc>
          <w:tcPr>
            <w:tcW w:w="700" w:type="dxa"/>
            <w:tcBorders>
              <w:top w:val="single" w:sz="4" w:space="0" w:color="auto"/>
              <w:left w:val="single" w:sz="4" w:space="0" w:color="auto"/>
              <w:bottom w:val="single" w:sz="4" w:space="0" w:color="auto"/>
              <w:right w:val="single" w:sz="4" w:space="0" w:color="auto"/>
            </w:tcBorders>
            <w:textDirection w:val="btLr"/>
            <w:vAlign w:val="center"/>
          </w:tcPr>
          <w:p w:rsidR="003714D4" w:rsidRPr="00DF44F2" w:rsidRDefault="003714D4" w:rsidP="006122AB">
            <w:pPr>
              <w:pStyle w:val="Tabletext"/>
              <w:jc w:val="center"/>
              <w:rPr>
                <w:rFonts w:eastAsia="MS PGothic"/>
                <w:sz w:val="20"/>
                <w:lang w:val="es-ES_tradnl"/>
              </w:rPr>
            </w:pPr>
            <w:r w:rsidRPr="00DF44F2">
              <w:rPr>
                <w:rFonts w:eastAsia="MS PGothic"/>
                <w:sz w:val="20"/>
                <w:lang w:val="es-ES_tradnl"/>
              </w:rPr>
              <w:t xml:space="preserve">1 207,14 </w:t>
            </w:r>
            <w:r w:rsidR="00DF44F2">
              <w:rPr>
                <w:rFonts w:eastAsia="MS PGothic"/>
                <w:sz w:val="20"/>
              </w:rPr>
              <w:t>±</w:t>
            </w:r>
            <w:r w:rsidRPr="00DF44F2">
              <w:rPr>
                <w:rFonts w:eastAsia="MS PGothic"/>
                <w:sz w:val="20"/>
                <w:lang w:val="es-ES_tradnl"/>
              </w:rPr>
              <w:t xml:space="preserve"> 12 </w:t>
            </w:r>
            <w:r w:rsidRPr="00DF44F2">
              <w:rPr>
                <w:rFonts w:eastAsia="MS PGothic"/>
                <w:sz w:val="20"/>
                <w:lang w:val="es-ES_tradnl"/>
              </w:rPr>
              <w:br/>
            </w:r>
            <w:r w:rsidRPr="00DF44F2">
              <w:rPr>
                <w:sz w:val="20"/>
                <w:lang w:val="es-ES_tradnl"/>
              </w:rPr>
              <w:t xml:space="preserve">1 176,45 </w:t>
            </w:r>
            <w:r w:rsidR="00DF44F2">
              <w:rPr>
                <w:rFonts w:eastAsia="MS PGothic"/>
                <w:sz w:val="20"/>
              </w:rPr>
              <w:t>±</w:t>
            </w:r>
            <w:r w:rsidRPr="00DF44F2">
              <w:rPr>
                <w:rFonts w:eastAsia="MS PGothic"/>
                <w:sz w:val="20"/>
                <w:lang w:val="es-ES_tradnl"/>
              </w:rPr>
              <w:t xml:space="preserve"> </w:t>
            </w:r>
            <w:r w:rsidRPr="00DF44F2">
              <w:rPr>
                <w:sz w:val="20"/>
                <w:lang w:val="es-ES_tradnl"/>
              </w:rPr>
              <w:t>12</w:t>
            </w:r>
          </w:p>
        </w:tc>
        <w:tc>
          <w:tcPr>
            <w:tcW w:w="1054" w:type="dxa"/>
            <w:tcBorders>
              <w:top w:val="single" w:sz="4" w:space="0" w:color="auto"/>
              <w:left w:val="single" w:sz="4" w:space="0" w:color="auto"/>
              <w:bottom w:val="single" w:sz="4" w:space="0" w:color="auto"/>
              <w:right w:val="single" w:sz="4" w:space="0" w:color="auto"/>
            </w:tcBorders>
            <w:textDirection w:val="btLr"/>
            <w:vAlign w:val="center"/>
          </w:tcPr>
          <w:p w:rsidR="003714D4" w:rsidRPr="00DF44F2" w:rsidRDefault="003714D4" w:rsidP="009C478A">
            <w:pPr>
              <w:pStyle w:val="Tabletext"/>
              <w:jc w:val="center"/>
              <w:rPr>
                <w:rFonts w:eastAsia="MS PGothic"/>
                <w:sz w:val="20"/>
                <w:lang w:val="es-ES_tradnl"/>
              </w:rPr>
            </w:pPr>
            <w:r w:rsidRPr="00DF44F2">
              <w:rPr>
                <w:sz w:val="20"/>
                <w:lang w:val="es-ES_tradnl"/>
              </w:rPr>
              <w:t>1 204,704 + 0</w:t>
            </w:r>
            <w:r w:rsidR="009C478A">
              <w:rPr>
                <w:sz w:val="20"/>
                <w:lang w:val="es-ES_tradnl"/>
              </w:rPr>
              <w:t>,</w:t>
            </w:r>
            <w:r w:rsidRPr="00DF44F2">
              <w:rPr>
                <w:sz w:val="20"/>
                <w:lang w:val="es-ES_tradnl"/>
              </w:rPr>
              <w:t>423</w:t>
            </w:r>
            <w:r w:rsidRPr="00DF44F2">
              <w:rPr>
                <w:i/>
                <w:iCs/>
                <w:sz w:val="20"/>
                <w:lang w:val="es-ES_tradnl"/>
              </w:rPr>
              <w:t>K</w:t>
            </w:r>
            <w:r w:rsidRPr="00DF44F2">
              <w:rPr>
                <w:sz w:val="20"/>
                <w:lang w:val="es-ES_tradnl"/>
              </w:rPr>
              <w:t xml:space="preserve"> </w:t>
            </w:r>
            <w:r w:rsidR="00DF44F2">
              <w:rPr>
                <w:sz w:val="20"/>
                <w:lang w:val="es-ES_tradnl"/>
              </w:rPr>
              <w:br/>
            </w:r>
            <w:r w:rsidR="00DF44F2" w:rsidRPr="00DF44F2">
              <w:rPr>
                <w:rFonts w:eastAsia="MS PGothic"/>
                <w:sz w:val="20"/>
                <w:lang w:val="es-ES_tradnl"/>
              </w:rPr>
              <w:t>±</w:t>
            </w:r>
            <w:r w:rsidRPr="00DF44F2">
              <w:rPr>
                <w:sz w:val="20"/>
                <w:lang w:val="es-ES_tradnl"/>
              </w:rPr>
              <w:t xml:space="preserve"> 4,095, donde</w:t>
            </w:r>
            <w:r w:rsidRPr="00DF44F2">
              <w:rPr>
                <w:sz w:val="20"/>
                <w:lang w:val="es-ES_tradnl"/>
              </w:rPr>
              <w:br/>
            </w:r>
            <w:r w:rsidRPr="00DF44F2">
              <w:rPr>
                <w:i/>
                <w:iCs/>
                <w:sz w:val="20"/>
                <w:lang w:val="es-ES_tradnl"/>
              </w:rPr>
              <w:t>K</w:t>
            </w:r>
            <w:r w:rsidRPr="00DF44F2">
              <w:rPr>
                <w:sz w:val="20"/>
                <w:lang w:val="es-ES_tradnl"/>
              </w:rPr>
              <w:t> = –7, …,</w:t>
            </w:r>
            <w:r w:rsidR="00DF44F2">
              <w:rPr>
                <w:sz w:val="20"/>
                <w:lang w:val="es-ES_tradnl"/>
              </w:rPr>
              <w:t>+</w:t>
            </w:r>
            <w:r w:rsidRPr="00DF44F2">
              <w:rPr>
                <w:sz w:val="20"/>
                <w:lang w:val="es-ES_tradnl"/>
              </w:rPr>
              <w:t>12</w:t>
            </w:r>
          </w:p>
        </w:tc>
      </w:tr>
      <w:tr w:rsidR="003714D4" w:rsidRPr="00DF44F2"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6122AB">
            <w:pPr>
              <w:pStyle w:val="Tabletext"/>
              <w:jc w:val="left"/>
              <w:rPr>
                <w:rFonts w:eastAsia="MS PGothic"/>
                <w:sz w:val="20"/>
                <w:lang w:val="es-ES_tradnl"/>
              </w:rPr>
            </w:pPr>
            <w:r w:rsidRPr="005A0721">
              <w:rPr>
                <w:rFonts w:eastAsia="MS PGothic"/>
                <w:sz w:val="20"/>
                <w:lang w:val="es-ES_tradnl"/>
              </w:rPr>
              <w:t>Máxima ganancia de la antena receptora en el hemisferio superior (dBi)</w:t>
            </w:r>
          </w:p>
        </w:tc>
        <w:tc>
          <w:tcPr>
            <w:tcW w:w="1624" w:type="dxa"/>
            <w:tcBorders>
              <w:top w:val="single" w:sz="4" w:space="0" w:color="auto"/>
              <w:left w:val="single" w:sz="4" w:space="0" w:color="auto"/>
              <w:bottom w:val="single" w:sz="4" w:space="0" w:color="auto"/>
              <w:right w:val="single" w:sz="4" w:space="0" w:color="auto"/>
            </w:tcBorders>
          </w:tcPr>
          <w:p w:rsidR="003714D4" w:rsidRPr="00DF44F2" w:rsidRDefault="003714D4" w:rsidP="009C478A">
            <w:pPr>
              <w:pStyle w:val="Tabletext"/>
              <w:jc w:val="center"/>
              <w:rPr>
                <w:rFonts w:eastAsia="MS PGothic"/>
                <w:sz w:val="20"/>
                <w:lang w:val="es-ES_tradnl"/>
              </w:rPr>
            </w:pPr>
            <w:r w:rsidRPr="00DF44F2">
              <w:rPr>
                <w:rFonts w:eastAsia="MS PGothic"/>
                <w:sz w:val="20"/>
                <w:lang w:val="es-ES_tradnl"/>
              </w:rPr>
              <w:t>+3 (circular) (Nota 2)</w:t>
            </w:r>
          </w:p>
        </w:tc>
        <w:tc>
          <w:tcPr>
            <w:tcW w:w="2011" w:type="dxa"/>
            <w:tcBorders>
              <w:top w:val="single" w:sz="4" w:space="0" w:color="auto"/>
              <w:left w:val="single" w:sz="4" w:space="0" w:color="auto"/>
              <w:bottom w:val="single" w:sz="4" w:space="0" w:color="auto"/>
              <w:right w:val="single" w:sz="4" w:space="0" w:color="auto"/>
            </w:tcBorders>
          </w:tcPr>
          <w:p w:rsidR="003714D4" w:rsidRPr="00DF44F2" w:rsidRDefault="003714D4" w:rsidP="009C478A">
            <w:pPr>
              <w:pStyle w:val="Tabletext"/>
              <w:jc w:val="center"/>
              <w:rPr>
                <w:rFonts w:eastAsia="MS PGothic"/>
                <w:bCs/>
                <w:sz w:val="20"/>
                <w:lang w:val="es-ES_tradnl" w:eastAsia="ja-JP"/>
              </w:rPr>
            </w:pPr>
            <w:r w:rsidRPr="00DF44F2">
              <w:rPr>
                <w:snapToGrid w:val="0"/>
                <w:sz w:val="20"/>
                <w:lang w:val="es-ES_tradnl"/>
              </w:rPr>
              <w:t xml:space="preserve">7 </w:t>
            </w:r>
            <w:r w:rsidRPr="00DF44F2">
              <w:rPr>
                <w:snapToGrid w:val="0"/>
                <w:sz w:val="20"/>
                <w:lang w:val="es-ES_tradnl"/>
              </w:rPr>
              <w:br/>
              <w:t>(Not</w:t>
            </w:r>
            <w:r w:rsidRPr="00DF44F2">
              <w:rPr>
                <w:rFonts w:eastAsia="MS PGothic"/>
                <w:sz w:val="20"/>
                <w:lang w:val="es-ES_tradnl"/>
              </w:rPr>
              <w:t>a</w:t>
            </w:r>
            <w:r w:rsidRPr="00DF44F2">
              <w:rPr>
                <w:snapToGrid w:val="0"/>
                <w:sz w:val="20"/>
                <w:lang w:val="es-ES_tradnl"/>
              </w:rPr>
              <w:t xml:space="preserve"> 11)</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DF44F2" w:rsidRDefault="003714D4" w:rsidP="009C478A">
            <w:pPr>
              <w:pStyle w:val="Tabletext"/>
              <w:jc w:val="center"/>
              <w:rPr>
                <w:rFonts w:eastAsia="MS PGothic"/>
                <w:bCs/>
                <w:sz w:val="20"/>
                <w:lang w:val="es-ES_tradnl" w:eastAsia="ja-JP"/>
              </w:rPr>
            </w:pPr>
            <w:r w:rsidRPr="00DF44F2">
              <w:rPr>
                <w:rFonts w:eastAsia="MS PGothic"/>
                <w:bCs/>
                <w:sz w:val="20"/>
                <w:lang w:val="es-ES_tradnl" w:eastAsia="ja-JP"/>
              </w:rPr>
              <w:t>3,0 circular</w:t>
            </w:r>
          </w:p>
        </w:tc>
        <w:tc>
          <w:tcPr>
            <w:tcW w:w="1687" w:type="dxa"/>
            <w:gridSpan w:val="3"/>
            <w:tcBorders>
              <w:top w:val="single" w:sz="4" w:space="0" w:color="auto"/>
              <w:left w:val="single" w:sz="4" w:space="0" w:color="auto"/>
              <w:bottom w:val="single" w:sz="4" w:space="0" w:color="auto"/>
              <w:right w:val="single" w:sz="4" w:space="0" w:color="auto"/>
            </w:tcBorders>
          </w:tcPr>
          <w:p w:rsidR="003714D4" w:rsidRPr="00DF44F2" w:rsidRDefault="003714D4" w:rsidP="009C478A">
            <w:pPr>
              <w:pStyle w:val="Tabletext"/>
              <w:jc w:val="center"/>
              <w:rPr>
                <w:rFonts w:eastAsia="MS PGothic"/>
                <w:sz w:val="20"/>
                <w:lang w:val="es-ES_tradnl"/>
              </w:rPr>
            </w:pPr>
            <w:r w:rsidRPr="00DF44F2">
              <w:rPr>
                <w:rFonts w:eastAsia="MS PGothic"/>
                <w:sz w:val="20"/>
                <w:lang w:val="es-ES_tradnl"/>
              </w:rPr>
              <w:t>3</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DF44F2" w:rsidRDefault="003714D4" w:rsidP="009C478A">
            <w:pPr>
              <w:pStyle w:val="Tabletext"/>
              <w:jc w:val="center"/>
              <w:rPr>
                <w:snapToGrid w:val="0"/>
                <w:sz w:val="20"/>
                <w:lang w:val="es-ES_tradnl" w:eastAsia="zh-CN"/>
              </w:rPr>
            </w:pPr>
            <w:r w:rsidRPr="00DF44F2">
              <w:rPr>
                <w:snapToGrid w:val="0"/>
                <w:sz w:val="20"/>
                <w:lang w:val="es-ES_tradnl" w:eastAsia="zh-CN"/>
              </w:rPr>
              <w:t>3</w:t>
            </w:r>
          </w:p>
        </w:tc>
      </w:tr>
      <w:tr w:rsidR="003714D4" w:rsidRPr="00636777"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6122AB">
            <w:pPr>
              <w:pStyle w:val="Tabletext"/>
              <w:jc w:val="left"/>
              <w:rPr>
                <w:rFonts w:eastAsia="MS PGothic"/>
                <w:sz w:val="20"/>
                <w:lang w:val="es-ES_tradnl"/>
              </w:rPr>
            </w:pPr>
            <w:r w:rsidRPr="005A0721">
              <w:rPr>
                <w:rFonts w:eastAsia="MS PGothic"/>
                <w:sz w:val="20"/>
                <w:lang w:val="es-ES_tradnl"/>
              </w:rPr>
              <w:t xml:space="preserve">Máxima ganancia de la antena receptora en el hemisferio </w:t>
            </w:r>
            <w:r>
              <w:rPr>
                <w:rFonts w:eastAsia="MS PGothic"/>
                <w:sz w:val="20"/>
                <w:lang w:val="es-ES_tradnl"/>
              </w:rPr>
              <w:t>inferior</w:t>
            </w:r>
            <w:r w:rsidRPr="005A0721">
              <w:rPr>
                <w:rFonts w:eastAsia="MS PGothic"/>
                <w:sz w:val="20"/>
                <w:lang w:val="es-ES_tradnl"/>
              </w:rPr>
              <w:t xml:space="preserve"> (dBi)</w:t>
            </w:r>
          </w:p>
        </w:tc>
        <w:tc>
          <w:tcPr>
            <w:tcW w:w="1624"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–5 (linea</w:t>
            </w:r>
            <w:r>
              <w:rPr>
                <w:rFonts w:eastAsia="MS PGothic"/>
                <w:sz w:val="20"/>
              </w:rPr>
              <w:t>l</w:t>
            </w:r>
            <w:r w:rsidRPr="000B541D">
              <w:rPr>
                <w:rFonts w:eastAsia="MS PGothic"/>
                <w:sz w:val="20"/>
              </w:rPr>
              <w:t>)</w:t>
            </w:r>
            <w:r w:rsidRPr="000B541D">
              <w:rPr>
                <w:rFonts w:eastAsia="MS PGothic"/>
                <w:sz w:val="20"/>
              </w:rPr>
              <w:br/>
              <w:t>(Not</w:t>
            </w:r>
            <w:r>
              <w:rPr>
                <w:rFonts w:eastAsia="MS PGothic"/>
                <w:sz w:val="20"/>
              </w:rPr>
              <w:t>a</w:t>
            </w:r>
            <w:r w:rsidRPr="000B541D">
              <w:rPr>
                <w:rFonts w:eastAsia="MS PGothic"/>
                <w:sz w:val="20"/>
              </w:rPr>
              <w:t xml:space="preserve"> 3)</w:t>
            </w:r>
          </w:p>
        </w:tc>
        <w:tc>
          <w:tcPr>
            <w:tcW w:w="2011"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bCs/>
                <w:sz w:val="20"/>
                <w:lang w:eastAsia="ja-JP"/>
              </w:rPr>
            </w:pPr>
            <w:r w:rsidRPr="000B541D">
              <w:rPr>
                <w:snapToGrid w:val="0"/>
                <w:sz w:val="20"/>
              </w:rPr>
              <w:t>−10</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bCs/>
                <w:sz w:val="20"/>
                <w:lang w:eastAsia="ja-JP"/>
              </w:rPr>
            </w:pPr>
            <w:r w:rsidRPr="000B541D">
              <w:rPr>
                <w:rFonts w:eastAsia="MS PGothic"/>
                <w:bCs/>
                <w:sz w:val="20"/>
                <w:lang w:eastAsia="ja-JP"/>
              </w:rPr>
              <w:t>−7 (linea</w:t>
            </w:r>
            <w:r>
              <w:rPr>
                <w:rFonts w:eastAsia="MS PGothic"/>
                <w:bCs/>
                <w:sz w:val="20"/>
                <w:lang w:eastAsia="ja-JP"/>
              </w:rPr>
              <w:t>l</w:t>
            </w:r>
            <w:r w:rsidRPr="000B541D">
              <w:rPr>
                <w:rFonts w:eastAsia="MS PGothic"/>
                <w:sz w:val="20"/>
              </w:rPr>
              <w:t>)</w:t>
            </w:r>
            <w:r w:rsidRPr="000B541D">
              <w:rPr>
                <w:rFonts w:eastAsia="MS PGothic"/>
                <w:sz w:val="20"/>
              </w:rPr>
              <w:br/>
              <w:t xml:space="preserve">(elev. </w:t>
            </w:r>
            <w:r w:rsidR="00DF44F2">
              <w:rPr>
                <w:rFonts w:eastAsia="MS PGothic"/>
                <w:sz w:val="20"/>
              </w:rPr>
              <w:sym w:font="Symbol" w:char="F0A3"/>
            </w:r>
            <w:r w:rsidRPr="000B541D">
              <w:rPr>
                <w:rFonts w:eastAsia="MS PGothic"/>
                <w:sz w:val="20"/>
              </w:rPr>
              <w:t xml:space="preserve"> +10°)</w:t>
            </w:r>
          </w:p>
        </w:tc>
        <w:tc>
          <w:tcPr>
            <w:tcW w:w="1687" w:type="dxa"/>
            <w:gridSpan w:val="3"/>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–9</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napToGrid w:val="0"/>
                <w:sz w:val="20"/>
                <w:lang w:eastAsia="zh-CN"/>
              </w:rPr>
            </w:pPr>
            <w:r w:rsidRPr="000B541D">
              <w:rPr>
                <w:snapToGrid w:val="0"/>
                <w:sz w:val="20"/>
              </w:rPr>
              <w:t>−</w:t>
            </w:r>
            <w:r w:rsidRPr="000B541D">
              <w:rPr>
                <w:snapToGrid w:val="0"/>
                <w:sz w:val="20"/>
                <w:lang w:eastAsia="zh-CN"/>
              </w:rPr>
              <w:t>10</w:t>
            </w:r>
          </w:p>
        </w:tc>
      </w:tr>
      <w:tr w:rsidR="003714D4" w:rsidRPr="00636777"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6122AB">
            <w:pPr>
              <w:pStyle w:val="Tabletext"/>
              <w:jc w:val="left"/>
              <w:rPr>
                <w:rFonts w:eastAsia="MS PGothic"/>
                <w:sz w:val="20"/>
                <w:lang w:val="es-ES_tradnl"/>
              </w:rPr>
            </w:pPr>
            <w:r w:rsidRPr="005A0721">
              <w:rPr>
                <w:rFonts w:eastAsia="MS PGothic"/>
                <w:sz w:val="20"/>
                <w:lang w:val="es-ES_tradnl"/>
              </w:rPr>
              <w:t>Anchura de banda a 3dB del filtro de RF (MHz)</w:t>
            </w:r>
          </w:p>
        </w:tc>
        <w:tc>
          <w:tcPr>
            <w:tcW w:w="1624"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24</w:t>
            </w:r>
            <w:r>
              <w:rPr>
                <w:rFonts w:eastAsia="MS PGothic"/>
                <w:sz w:val="20"/>
              </w:rPr>
              <w:t>,</w:t>
            </w:r>
            <w:r w:rsidRPr="000B541D">
              <w:rPr>
                <w:rFonts w:eastAsia="MS PGothic"/>
                <w:sz w:val="20"/>
              </w:rPr>
              <w:t>0</w:t>
            </w:r>
          </w:p>
        </w:tc>
        <w:tc>
          <w:tcPr>
            <w:tcW w:w="2011"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eastAsia="ja-JP"/>
              </w:rPr>
            </w:pPr>
            <w:r w:rsidRPr="000B541D">
              <w:rPr>
                <w:snapToGrid w:val="0"/>
                <w:sz w:val="20"/>
              </w:rPr>
              <w:t>17</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lang w:eastAsia="ja-JP"/>
              </w:rPr>
              <w:t>24</w:t>
            </w:r>
            <w:r>
              <w:rPr>
                <w:rFonts w:eastAsia="MS PGothic"/>
                <w:sz w:val="20"/>
                <w:lang w:eastAsia="ja-JP"/>
              </w:rPr>
              <w:t>,</w:t>
            </w:r>
            <w:r w:rsidRPr="000B541D">
              <w:rPr>
                <w:rFonts w:eastAsia="MS PGothic"/>
                <w:sz w:val="20"/>
                <w:lang w:eastAsia="ja-JP"/>
              </w:rPr>
              <w:t xml:space="preserve">0 </w:t>
            </w:r>
            <w:r>
              <w:rPr>
                <w:rFonts w:eastAsia="MS PGothic"/>
                <w:sz w:val="20"/>
                <w:lang w:eastAsia="ja-JP"/>
              </w:rPr>
              <w:t>ó</w:t>
            </w:r>
            <w:r w:rsidRPr="000B541D">
              <w:rPr>
                <w:rFonts w:eastAsia="MS PGothic"/>
                <w:sz w:val="20"/>
                <w:lang w:eastAsia="ja-JP"/>
              </w:rPr>
              <w:t xml:space="preserve"> 24</w:t>
            </w:r>
            <w:r>
              <w:rPr>
                <w:rFonts w:eastAsia="MS PGothic"/>
                <w:sz w:val="20"/>
                <w:lang w:eastAsia="ja-JP"/>
              </w:rPr>
              <w:t>,</w:t>
            </w:r>
            <w:r w:rsidRPr="000B541D">
              <w:rPr>
                <w:rFonts w:eastAsia="MS PGothic"/>
                <w:sz w:val="20"/>
                <w:lang w:eastAsia="ja-JP"/>
              </w:rPr>
              <w:t>9</w:t>
            </w:r>
          </w:p>
        </w:tc>
        <w:tc>
          <w:tcPr>
            <w:tcW w:w="1687" w:type="dxa"/>
            <w:gridSpan w:val="3"/>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24</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napToGrid w:val="0"/>
                <w:sz w:val="20"/>
                <w:lang w:eastAsia="zh-CN"/>
              </w:rPr>
            </w:pPr>
            <w:r w:rsidRPr="000B541D">
              <w:rPr>
                <w:snapToGrid w:val="0"/>
                <w:sz w:val="20"/>
                <w:lang w:eastAsia="zh-CN"/>
              </w:rPr>
              <w:t>24</w:t>
            </w:r>
          </w:p>
        </w:tc>
      </w:tr>
      <w:tr w:rsidR="003714D4" w:rsidRPr="00636777"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6122AB">
            <w:pPr>
              <w:pStyle w:val="Tabletext"/>
              <w:jc w:val="left"/>
              <w:rPr>
                <w:rFonts w:eastAsia="MS PGothic"/>
                <w:sz w:val="20"/>
                <w:lang w:val="es-ES_tradnl"/>
              </w:rPr>
            </w:pPr>
            <w:r w:rsidRPr="005A0721">
              <w:rPr>
                <w:rFonts w:eastAsia="MS PGothic"/>
                <w:sz w:val="20"/>
                <w:lang w:val="es-ES_tradnl"/>
              </w:rPr>
              <w:t xml:space="preserve">Anchura de banda a 3dB del filtro de </w:t>
            </w:r>
            <w:r>
              <w:rPr>
                <w:rFonts w:eastAsia="MS PGothic"/>
                <w:sz w:val="20"/>
                <w:lang w:val="es-ES_tradnl"/>
              </w:rPr>
              <w:t>precorrelación</w:t>
            </w:r>
            <w:r w:rsidRPr="005A0721">
              <w:rPr>
                <w:rFonts w:eastAsia="MS PGothic"/>
                <w:sz w:val="20"/>
                <w:lang w:val="es-ES_tradnl"/>
              </w:rPr>
              <w:t xml:space="preserve"> (MHz)</w:t>
            </w:r>
          </w:p>
        </w:tc>
        <w:tc>
          <w:tcPr>
            <w:tcW w:w="1624"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20</w:t>
            </w:r>
            <w:r>
              <w:rPr>
                <w:rFonts w:eastAsia="MS PGothic"/>
                <w:sz w:val="20"/>
              </w:rPr>
              <w:t>,</w:t>
            </w:r>
            <w:r w:rsidRPr="000B541D">
              <w:rPr>
                <w:rFonts w:eastAsia="MS PGothic"/>
                <w:sz w:val="20"/>
              </w:rPr>
              <w:t>46</w:t>
            </w:r>
          </w:p>
        </w:tc>
        <w:tc>
          <w:tcPr>
            <w:tcW w:w="2011"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z w:val="20"/>
                <w:lang w:eastAsia="ja-JP"/>
              </w:rPr>
            </w:pPr>
            <w:r w:rsidRPr="000B541D">
              <w:rPr>
                <w:snapToGrid w:val="0"/>
                <w:sz w:val="20"/>
              </w:rPr>
              <w:t>17</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sz w:val="20"/>
                <w:lang w:eastAsia="ja-JP"/>
              </w:rPr>
              <w:t>20</w:t>
            </w:r>
            <w:r>
              <w:rPr>
                <w:sz w:val="20"/>
                <w:lang w:eastAsia="ja-JP"/>
              </w:rPr>
              <w:t>,</w:t>
            </w:r>
            <w:r w:rsidRPr="000B541D">
              <w:rPr>
                <w:sz w:val="20"/>
                <w:lang w:eastAsia="ja-JP"/>
              </w:rPr>
              <w:t>46</w:t>
            </w:r>
          </w:p>
        </w:tc>
        <w:tc>
          <w:tcPr>
            <w:tcW w:w="798"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20</w:t>
            </w:r>
            <w:r>
              <w:rPr>
                <w:rFonts w:eastAsia="MS PGothic"/>
                <w:sz w:val="20"/>
              </w:rPr>
              <w:t>,</w:t>
            </w:r>
            <w:r w:rsidRPr="000B541D">
              <w:rPr>
                <w:rFonts w:eastAsia="MS PGothic"/>
                <w:sz w:val="20"/>
              </w:rPr>
              <w:t>46</w:t>
            </w:r>
          </w:p>
        </w:tc>
        <w:tc>
          <w:tcPr>
            <w:tcW w:w="889"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17</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napToGrid w:val="0"/>
                <w:sz w:val="20"/>
                <w:lang w:eastAsia="zh-CN"/>
              </w:rPr>
            </w:pPr>
            <w:r w:rsidRPr="000B541D">
              <w:rPr>
                <w:snapToGrid w:val="0"/>
                <w:sz w:val="20"/>
                <w:lang w:eastAsia="zh-CN"/>
              </w:rPr>
              <w:t>20</w:t>
            </w:r>
            <w:r>
              <w:rPr>
                <w:snapToGrid w:val="0"/>
                <w:sz w:val="20"/>
                <w:lang w:eastAsia="zh-CN"/>
              </w:rPr>
              <w:t>,</w:t>
            </w:r>
            <w:r w:rsidRPr="000B541D">
              <w:rPr>
                <w:snapToGrid w:val="0"/>
                <w:sz w:val="20"/>
                <w:lang w:eastAsia="zh-CN"/>
              </w:rPr>
              <w:t>46</w:t>
            </w:r>
          </w:p>
        </w:tc>
      </w:tr>
      <w:tr w:rsidR="003714D4" w:rsidRPr="00636777"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6122AB">
            <w:pPr>
              <w:pStyle w:val="Tabletext"/>
              <w:jc w:val="left"/>
              <w:rPr>
                <w:rFonts w:eastAsia="MS PGothic"/>
                <w:sz w:val="20"/>
                <w:lang w:val="es-ES_tradnl"/>
              </w:rPr>
            </w:pPr>
            <w:r w:rsidRPr="005A0721">
              <w:rPr>
                <w:rFonts w:eastAsia="MS PGothic"/>
                <w:sz w:val="20"/>
                <w:lang w:val="es-ES_tradnl"/>
              </w:rPr>
              <w:t>Temperatura de ruido del sistema receptor (K)</w:t>
            </w:r>
          </w:p>
        </w:tc>
        <w:tc>
          <w:tcPr>
            <w:tcW w:w="1624"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727</w:t>
            </w:r>
          </w:p>
        </w:tc>
        <w:tc>
          <w:tcPr>
            <w:tcW w:w="2011"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z w:val="20"/>
                <w:lang w:eastAsia="ja-JP"/>
              </w:rPr>
            </w:pPr>
            <w:r w:rsidRPr="000B541D">
              <w:rPr>
                <w:sz w:val="20"/>
              </w:rPr>
              <w:t>400</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sz w:val="20"/>
                <w:lang w:eastAsia="ja-JP"/>
              </w:rPr>
              <w:t>513</w:t>
            </w:r>
          </w:p>
        </w:tc>
        <w:tc>
          <w:tcPr>
            <w:tcW w:w="1687" w:type="dxa"/>
            <w:gridSpan w:val="3"/>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rPr>
            </w:pPr>
            <w:r w:rsidRPr="000B541D">
              <w:rPr>
                <w:rFonts w:eastAsia="MS PGothic"/>
                <w:sz w:val="20"/>
              </w:rPr>
              <w:t>330</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napToGrid w:val="0"/>
                <w:sz w:val="20"/>
                <w:lang w:eastAsia="zh-CN"/>
              </w:rPr>
            </w:pPr>
            <w:r w:rsidRPr="000B541D">
              <w:rPr>
                <w:snapToGrid w:val="0"/>
                <w:sz w:val="20"/>
                <w:lang w:eastAsia="zh-CN"/>
              </w:rPr>
              <w:t>330</w:t>
            </w:r>
          </w:p>
        </w:tc>
      </w:tr>
      <w:tr w:rsidR="003714D4" w:rsidRPr="00921BEE"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9C478A">
            <w:pPr>
              <w:pStyle w:val="Tabletext"/>
              <w:jc w:val="left"/>
              <w:rPr>
                <w:rFonts w:eastAsia="MS PGothic"/>
                <w:sz w:val="20"/>
                <w:lang w:val="es-ES_tradnl"/>
              </w:rPr>
            </w:pPr>
            <w:r w:rsidRPr="005A0721">
              <w:rPr>
                <w:rFonts w:eastAsia="MS PGothic"/>
                <w:sz w:val="20"/>
                <w:lang w:val="es-ES_tradnl"/>
              </w:rPr>
              <w:t>Nivel de potencia umbral en modo seguimiento de la interferencia de</w:t>
            </w:r>
            <w:r w:rsidR="009C478A">
              <w:rPr>
                <w:rFonts w:eastAsia="MS PGothic"/>
                <w:sz w:val="20"/>
                <w:lang w:val="es-ES_tradnl"/>
              </w:rPr>
              <w:t> </w:t>
            </w:r>
            <w:r w:rsidRPr="005A0721">
              <w:rPr>
                <w:rFonts w:eastAsia="MS PGothic"/>
                <w:sz w:val="20"/>
                <w:lang w:val="es-ES_tradnl"/>
              </w:rPr>
              <w:t>banda estrecha combinada a la salida de la antena pasiva (dBW)</w:t>
            </w:r>
            <w:r>
              <w:rPr>
                <w:rFonts w:eastAsia="MS PGothic"/>
                <w:sz w:val="20"/>
                <w:lang w:val="es-ES_tradnl"/>
              </w:rPr>
              <w:t xml:space="preserve"> </w:t>
            </w:r>
            <w:r w:rsidRPr="005A0721">
              <w:rPr>
                <w:rFonts w:eastAsia="MS PGothic"/>
                <w:sz w:val="20"/>
                <w:lang w:val="es-ES_tradnl"/>
              </w:rPr>
              <w:t>(Not</w:t>
            </w:r>
            <w:r>
              <w:rPr>
                <w:rFonts w:eastAsia="MS PGothic"/>
                <w:sz w:val="20"/>
                <w:lang w:val="es-ES_tradnl"/>
              </w:rPr>
              <w:t>a</w:t>
            </w:r>
            <w:r w:rsidRPr="005A0721">
              <w:rPr>
                <w:rFonts w:eastAsia="MS PGothic"/>
                <w:sz w:val="20"/>
                <w:lang w:val="es-ES_tradnl"/>
              </w:rPr>
              <w:t xml:space="preserve"> 1)</w:t>
            </w:r>
          </w:p>
        </w:tc>
        <w:tc>
          <w:tcPr>
            <w:tcW w:w="1624"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val="en-US"/>
              </w:rPr>
            </w:pPr>
            <w:r w:rsidRPr="000B541D">
              <w:rPr>
                <w:rFonts w:eastAsia="MS PGothic"/>
                <w:sz w:val="20"/>
                <w:lang w:val="en-US"/>
              </w:rPr>
              <w:t>–154</w:t>
            </w:r>
            <w:r>
              <w:rPr>
                <w:rFonts w:eastAsia="MS PGothic"/>
                <w:sz w:val="20"/>
                <w:lang w:val="en-US"/>
              </w:rPr>
              <w:t>,</w:t>
            </w:r>
            <w:r w:rsidRPr="000B541D">
              <w:rPr>
                <w:rFonts w:eastAsia="MS PGothic"/>
                <w:sz w:val="20"/>
                <w:lang w:val="en-US"/>
              </w:rPr>
              <w:t xml:space="preserve">8 </w:t>
            </w:r>
            <w:r w:rsidRPr="000B541D">
              <w:rPr>
                <w:rFonts w:eastAsia="MS PGothic"/>
                <w:sz w:val="20"/>
                <w:lang w:val="en-US"/>
              </w:rPr>
              <w:br/>
              <w:t>(Not</w:t>
            </w:r>
            <w:r>
              <w:rPr>
                <w:rFonts w:eastAsia="MS PGothic"/>
                <w:sz w:val="20"/>
              </w:rPr>
              <w:t>a</w:t>
            </w:r>
            <w:r w:rsidRPr="000B541D">
              <w:rPr>
                <w:rFonts w:eastAsia="MS PGothic"/>
                <w:sz w:val="20"/>
                <w:lang w:val="en-US"/>
              </w:rPr>
              <w:t>s 4, 5)</w:t>
            </w:r>
          </w:p>
        </w:tc>
        <w:tc>
          <w:tcPr>
            <w:tcW w:w="2011"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val="en-US"/>
              </w:rPr>
            </w:pPr>
            <w:r w:rsidRPr="000B541D">
              <w:rPr>
                <w:snapToGrid w:val="0"/>
                <w:sz w:val="20"/>
                <w:lang w:val="en-US"/>
              </w:rPr>
              <w:t xml:space="preserve">−143 </w:t>
            </w:r>
            <w:r w:rsidRPr="000B541D">
              <w:rPr>
                <w:snapToGrid w:val="0"/>
                <w:sz w:val="20"/>
                <w:lang w:val="en-US"/>
              </w:rPr>
              <w:br/>
              <w:t>(Not</w:t>
            </w:r>
            <w:r>
              <w:rPr>
                <w:rFonts w:eastAsia="MS PGothic"/>
                <w:sz w:val="20"/>
              </w:rPr>
              <w:t>a</w:t>
            </w:r>
            <w:r w:rsidRPr="000B541D">
              <w:rPr>
                <w:snapToGrid w:val="0"/>
                <w:sz w:val="20"/>
                <w:lang w:val="en-US"/>
              </w:rPr>
              <w:t xml:space="preserve"> 13)</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bCs/>
                <w:sz w:val="20"/>
                <w:lang w:val="en-US" w:eastAsia="ja-JP"/>
              </w:rPr>
            </w:pPr>
            <w:r w:rsidRPr="000B541D">
              <w:rPr>
                <w:rFonts w:eastAsia="MS PGothic"/>
                <w:sz w:val="20"/>
                <w:lang w:val="en-US"/>
              </w:rPr>
              <w:t>–157</w:t>
            </w:r>
            <w:r>
              <w:rPr>
                <w:rFonts w:eastAsia="MS PGothic"/>
                <w:sz w:val="20"/>
                <w:lang w:val="en-US"/>
              </w:rPr>
              <w:t>,</w:t>
            </w:r>
            <w:r w:rsidRPr="000B541D">
              <w:rPr>
                <w:rFonts w:eastAsia="MS PGothic"/>
                <w:sz w:val="20"/>
                <w:lang w:val="en-US"/>
              </w:rPr>
              <w:t>4</w:t>
            </w:r>
          </w:p>
        </w:tc>
        <w:tc>
          <w:tcPr>
            <w:tcW w:w="1687" w:type="dxa"/>
            <w:gridSpan w:val="3"/>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val="en-US"/>
              </w:rPr>
            </w:pPr>
            <w:r w:rsidRPr="000B541D">
              <w:rPr>
                <w:rFonts w:eastAsia="MS PGothic"/>
                <w:sz w:val="20"/>
                <w:lang w:val="en-US"/>
              </w:rPr>
              <w:t>–193</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napToGrid w:val="0"/>
                <w:sz w:val="20"/>
                <w:lang w:val="en-US" w:eastAsia="zh-CN"/>
              </w:rPr>
            </w:pPr>
            <w:r w:rsidRPr="000B541D">
              <w:rPr>
                <w:snapToGrid w:val="0"/>
                <w:sz w:val="20"/>
                <w:lang w:val="en-US"/>
              </w:rPr>
              <w:t>−</w:t>
            </w:r>
            <w:r w:rsidRPr="000B541D">
              <w:rPr>
                <w:snapToGrid w:val="0"/>
                <w:sz w:val="20"/>
                <w:lang w:val="en-US" w:eastAsia="zh-CN"/>
              </w:rPr>
              <w:t>150</w:t>
            </w:r>
          </w:p>
        </w:tc>
      </w:tr>
      <w:tr w:rsidR="003714D4" w:rsidRPr="00921BEE"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5A0721" w:rsidRDefault="003714D4" w:rsidP="009C478A">
            <w:pPr>
              <w:pStyle w:val="Tabletext"/>
              <w:jc w:val="left"/>
              <w:rPr>
                <w:rFonts w:eastAsia="MS PGothic"/>
                <w:sz w:val="20"/>
                <w:lang w:val="es-ES_tradnl"/>
              </w:rPr>
            </w:pPr>
            <w:r w:rsidRPr="005A0721">
              <w:rPr>
                <w:rFonts w:eastAsia="MS PGothic"/>
                <w:sz w:val="20"/>
                <w:lang w:val="es-ES_tradnl"/>
              </w:rPr>
              <w:t xml:space="preserve">Nivel de potencia umbral en modo </w:t>
            </w:r>
            <w:r>
              <w:rPr>
                <w:rFonts w:eastAsia="MS PGothic"/>
                <w:sz w:val="20"/>
                <w:lang w:val="es-ES_tradnl"/>
              </w:rPr>
              <w:t>adquisición</w:t>
            </w:r>
            <w:r w:rsidRPr="005A0721">
              <w:rPr>
                <w:rFonts w:eastAsia="MS PGothic"/>
                <w:sz w:val="20"/>
                <w:lang w:val="es-ES_tradnl"/>
              </w:rPr>
              <w:t xml:space="preserve"> de la interferencia de</w:t>
            </w:r>
            <w:r w:rsidR="009C478A">
              <w:rPr>
                <w:rFonts w:eastAsia="MS PGothic"/>
                <w:sz w:val="20"/>
                <w:lang w:val="es-ES_tradnl"/>
              </w:rPr>
              <w:t> </w:t>
            </w:r>
            <w:r w:rsidRPr="005A0721">
              <w:rPr>
                <w:rFonts w:eastAsia="MS PGothic"/>
                <w:sz w:val="20"/>
                <w:lang w:val="es-ES_tradnl"/>
              </w:rPr>
              <w:t>banda estrecha combinada a la salida de la antena pasiva (dBW)</w:t>
            </w:r>
            <w:r>
              <w:rPr>
                <w:rFonts w:eastAsia="MS PGothic"/>
                <w:sz w:val="20"/>
                <w:lang w:val="es-ES_tradnl"/>
              </w:rPr>
              <w:t xml:space="preserve"> </w:t>
            </w:r>
            <w:r w:rsidRPr="005A0721">
              <w:rPr>
                <w:rFonts w:eastAsia="MS PGothic"/>
                <w:sz w:val="20"/>
                <w:lang w:val="es-ES_tradnl"/>
              </w:rPr>
              <w:t>(Not</w:t>
            </w:r>
            <w:r>
              <w:rPr>
                <w:rFonts w:eastAsia="MS PGothic"/>
                <w:sz w:val="20"/>
                <w:lang w:val="es-ES_tradnl"/>
              </w:rPr>
              <w:t>a</w:t>
            </w:r>
            <w:r w:rsidRPr="005A0721">
              <w:rPr>
                <w:rFonts w:eastAsia="MS PGothic"/>
                <w:sz w:val="20"/>
                <w:lang w:val="es-ES_tradnl"/>
              </w:rPr>
              <w:t xml:space="preserve"> 1)</w:t>
            </w:r>
          </w:p>
        </w:tc>
        <w:tc>
          <w:tcPr>
            <w:tcW w:w="1624"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val="en-US"/>
              </w:rPr>
            </w:pPr>
            <w:r w:rsidRPr="000B541D">
              <w:rPr>
                <w:rFonts w:eastAsia="MS PGothic"/>
                <w:sz w:val="20"/>
                <w:lang w:val="en-US"/>
              </w:rPr>
              <w:t>–158</w:t>
            </w:r>
            <w:r>
              <w:rPr>
                <w:rFonts w:eastAsia="MS PGothic"/>
                <w:sz w:val="20"/>
                <w:lang w:val="en-US"/>
              </w:rPr>
              <w:t>,</w:t>
            </w:r>
            <w:r w:rsidRPr="000B541D">
              <w:rPr>
                <w:rFonts w:eastAsia="MS PGothic"/>
                <w:sz w:val="20"/>
                <w:lang w:val="en-US"/>
              </w:rPr>
              <w:t xml:space="preserve">7 </w:t>
            </w:r>
            <w:r w:rsidRPr="000B541D">
              <w:rPr>
                <w:rFonts w:eastAsia="MS PGothic"/>
                <w:sz w:val="20"/>
                <w:lang w:val="en-US"/>
              </w:rPr>
              <w:br/>
              <w:t>(Not</w:t>
            </w:r>
            <w:r>
              <w:rPr>
                <w:rFonts w:eastAsia="MS PGothic"/>
                <w:sz w:val="20"/>
              </w:rPr>
              <w:t>a</w:t>
            </w:r>
            <w:r w:rsidRPr="000B541D">
              <w:rPr>
                <w:rFonts w:eastAsia="MS PGothic"/>
                <w:sz w:val="20"/>
                <w:lang w:val="en-US"/>
              </w:rPr>
              <w:t>s 4, 6)</w:t>
            </w:r>
          </w:p>
        </w:tc>
        <w:tc>
          <w:tcPr>
            <w:tcW w:w="2011" w:type="dxa"/>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val="en-US"/>
              </w:rPr>
            </w:pPr>
            <w:r w:rsidRPr="000B541D">
              <w:rPr>
                <w:snapToGrid w:val="0"/>
                <w:sz w:val="20"/>
                <w:lang w:val="en-US"/>
              </w:rPr>
              <w:t xml:space="preserve">−149 </w:t>
            </w:r>
            <w:r w:rsidRPr="000B541D">
              <w:rPr>
                <w:snapToGrid w:val="0"/>
                <w:sz w:val="20"/>
                <w:lang w:val="en-US"/>
              </w:rPr>
              <w:br/>
              <w:t>(Not</w:t>
            </w:r>
            <w:r>
              <w:rPr>
                <w:rFonts w:eastAsia="MS PGothic"/>
                <w:sz w:val="20"/>
              </w:rPr>
              <w:t>a</w:t>
            </w:r>
            <w:r w:rsidRPr="000B541D">
              <w:rPr>
                <w:snapToGrid w:val="0"/>
                <w:sz w:val="20"/>
                <w:lang w:val="en-US"/>
              </w:rPr>
              <w:t> 13)</w:t>
            </w:r>
          </w:p>
        </w:tc>
        <w:tc>
          <w:tcPr>
            <w:tcW w:w="1587"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bCs/>
                <w:sz w:val="20"/>
                <w:lang w:val="en-US" w:eastAsia="ja-JP"/>
              </w:rPr>
            </w:pPr>
            <w:r w:rsidRPr="000B541D">
              <w:rPr>
                <w:rFonts w:eastAsia="MS PGothic"/>
                <w:sz w:val="20"/>
                <w:lang w:val="en-US"/>
              </w:rPr>
              <w:t>–157</w:t>
            </w:r>
            <w:r>
              <w:rPr>
                <w:rFonts w:eastAsia="MS PGothic"/>
                <w:sz w:val="20"/>
                <w:lang w:val="en-US"/>
              </w:rPr>
              <w:t>,</w:t>
            </w:r>
            <w:r w:rsidRPr="000B541D">
              <w:rPr>
                <w:rFonts w:eastAsia="MS PGothic"/>
                <w:sz w:val="20"/>
                <w:lang w:val="en-US"/>
              </w:rPr>
              <w:t>4</w:t>
            </w:r>
          </w:p>
        </w:tc>
        <w:tc>
          <w:tcPr>
            <w:tcW w:w="1687" w:type="dxa"/>
            <w:gridSpan w:val="3"/>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rFonts w:eastAsia="MS PGothic"/>
                <w:sz w:val="20"/>
                <w:lang w:val="en-US"/>
              </w:rPr>
            </w:pPr>
            <w:r w:rsidRPr="000B541D">
              <w:rPr>
                <w:rFonts w:eastAsia="MS PGothic"/>
                <w:sz w:val="20"/>
                <w:lang w:val="en-US"/>
              </w:rPr>
              <w:t>–199</w:t>
            </w:r>
          </w:p>
        </w:tc>
        <w:tc>
          <w:tcPr>
            <w:tcW w:w="1754" w:type="dxa"/>
            <w:gridSpan w:val="2"/>
            <w:tcBorders>
              <w:top w:val="single" w:sz="4" w:space="0" w:color="auto"/>
              <w:left w:val="single" w:sz="4" w:space="0" w:color="auto"/>
              <w:bottom w:val="single" w:sz="4" w:space="0" w:color="auto"/>
              <w:right w:val="single" w:sz="4" w:space="0" w:color="auto"/>
            </w:tcBorders>
          </w:tcPr>
          <w:p w:rsidR="003714D4" w:rsidRPr="000B541D" w:rsidRDefault="003714D4" w:rsidP="009C478A">
            <w:pPr>
              <w:pStyle w:val="Tabletext"/>
              <w:jc w:val="center"/>
              <w:rPr>
                <w:snapToGrid w:val="0"/>
                <w:sz w:val="20"/>
                <w:lang w:val="en-US" w:eastAsia="zh-CN"/>
              </w:rPr>
            </w:pPr>
            <w:r w:rsidRPr="000B541D">
              <w:rPr>
                <w:snapToGrid w:val="0"/>
                <w:sz w:val="20"/>
                <w:lang w:val="en-US"/>
              </w:rPr>
              <w:t>−</w:t>
            </w:r>
            <w:r w:rsidRPr="000B541D">
              <w:rPr>
                <w:snapToGrid w:val="0"/>
                <w:sz w:val="20"/>
                <w:lang w:val="en-US" w:eastAsia="zh-CN"/>
              </w:rPr>
              <w:t>156</w:t>
            </w:r>
          </w:p>
        </w:tc>
      </w:tr>
      <w:tr w:rsidR="00643418" w:rsidRPr="00355410"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43418" w:rsidRPr="00355410" w:rsidRDefault="00643418" w:rsidP="00643418">
            <w:pPr>
              <w:pStyle w:val="Tabletext"/>
              <w:jc w:val="left"/>
              <w:rPr>
                <w:rFonts w:eastAsia="MS PGothic"/>
                <w:sz w:val="20"/>
                <w:lang w:val="es-ES_tradnl"/>
              </w:rPr>
            </w:pPr>
            <w:r w:rsidRPr="00355410">
              <w:rPr>
                <w:rFonts w:eastAsia="MS PGothic"/>
                <w:sz w:val="20"/>
                <w:lang w:val="es-ES_tradnl"/>
              </w:rPr>
              <w:t xml:space="preserve">Nivel de densidad de potencia umbral en modo </w:t>
            </w:r>
            <w:r>
              <w:rPr>
                <w:rFonts w:eastAsia="MS PGothic"/>
                <w:sz w:val="20"/>
                <w:lang w:val="es-ES_tradnl"/>
              </w:rPr>
              <w:t xml:space="preserve">seguimiento de la interferencia de banda amplia combinada a la salida de la antena pasiva </w:t>
            </w:r>
            <w:r w:rsidRPr="00355410">
              <w:rPr>
                <w:rFonts w:eastAsia="MS PGothic"/>
                <w:sz w:val="20"/>
                <w:lang w:val="es-ES_tradnl"/>
              </w:rPr>
              <w:t>(dB(W/MHz)) (Not</w:t>
            </w:r>
            <w:r>
              <w:rPr>
                <w:rFonts w:eastAsia="MS PGothic"/>
                <w:sz w:val="20"/>
                <w:lang w:val="es-ES_tradnl"/>
              </w:rPr>
              <w:t>a</w:t>
            </w:r>
            <w:r w:rsidRPr="00355410">
              <w:rPr>
                <w:rFonts w:eastAsia="MS PGothic"/>
                <w:sz w:val="20"/>
                <w:lang w:val="es-ES_tradnl"/>
              </w:rPr>
              <w:t> 1)</w:t>
            </w:r>
          </w:p>
        </w:tc>
        <w:tc>
          <w:tcPr>
            <w:tcW w:w="1624" w:type="dxa"/>
            <w:tcBorders>
              <w:top w:val="single" w:sz="4" w:space="0" w:color="auto"/>
              <w:left w:val="single" w:sz="4" w:space="0" w:color="auto"/>
              <w:bottom w:val="single" w:sz="4" w:space="0" w:color="auto"/>
              <w:right w:val="single" w:sz="4" w:space="0" w:color="auto"/>
            </w:tcBorders>
          </w:tcPr>
          <w:p w:rsidR="00643418" w:rsidRPr="00355410" w:rsidRDefault="00643418" w:rsidP="009C478A">
            <w:pPr>
              <w:pStyle w:val="Tabletext"/>
              <w:jc w:val="center"/>
              <w:rPr>
                <w:rFonts w:eastAsia="MS PGothic"/>
                <w:sz w:val="20"/>
              </w:rPr>
            </w:pPr>
            <w:r w:rsidRPr="00355410">
              <w:rPr>
                <w:rFonts w:eastAsia="MS PGothic"/>
                <w:sz w:val="20"/>
              </w:rPr>
              <w:t>–144</w:t>
            </w:r>
            <w:r>
              <w:rPr>
                <w:rFonts w:eastAsia="MS PGothic"/>
                <w:sz w:val="20"/>
              </w:rPr>
              <w:t>,</w:t>
            </w:r>
            <w:r w:rsidRPr="00355410">
              <w:rPr>
                <w:rFonts w:eastAsia="MS PGothic"/>
                <w:sz w:val="20"/>
              </w:rPr>
              <w:t xml:space="preserve">8 </w:t>
            </w:r>
            <w:r w:rsidRPr="00355410">
              <w:rPr>
                <w:rFonts w:eastAsia="MS PGothic"/>
                <w:sz w:val="20"/>
              </w:rPr>
              <w:br/>
              <w:t>(Not</w:t>
            </w:r>
            <w:r>
              <w:rPr>
                <w:rFonts w:eastAsia="MS PGothic"/>
                <w:sz w:val="20"/>
              </w:rPr>
              <w:t>a</w:t>
            </w:r>
            <w:r w:rsidRPr="00355410">
              <w:rPr>
                <w:rFonts w:eastAsia="MS PGothic"/>
                <w:sz w:val="20"/>
              </w:rPr>
              <w:t>s 4, 5)</w:t>
            </w:r>
          </w:p>
        </w:tc>
        <w:tc>
          <w:tcPr>
            <w:tcW w:w="2011" w:type="dxa"/>
            <w:tcBorders>
              <w:top w:val="single" w:sz="4" w:space="0" w:color="auto"/>
              <w:left w:val="single" w:sz="4" w:space="0" w:color="auto"/>
              <w:bottom w:val="single" w:sz="4" w:space="0" w:color="auto"/>
              <w:right w:val="single" w:sz="4" w:space="0" w:color="auto"/>
            </w:tcBorders>
          </w:tcPr>
          <w:p w:rsidR="00643418" w:rsidRPr="00355410" w:rsidRDefault="00643418" w:rsidP="0055532F">
            <w:pPr>
              <w:pStyle w:val="Tabletext"/>
              <w:jc w:val="center"/>
              <w:rPr>
                <w:rFonts w:eastAsia="MS PGothic"/>
                <w:sz w:val="20"/>
              </w:rPr>
            </w:pPr>
            <w:r w:rsidRPr="00355410">
              <w:rPr>
                <w:snapToGrid w:val="0"/>
                <w:sz w:val="20"/>
              </w:rPr>
              <w:t>−140</w:t>
            </w:r>
            <w:r w:rsidR="0055532F">
              <w:rPr>
                <w:snapToGrid w:val="0"/>
                <w:sz w:val="20"/>
              </w:rPr>
              <w:br/>
            </w:r>
            <w:r w:rsidRPr="00355410">
              <w:rPr>
                <w:snapToGrid w:val="0"/>
                <w:sz w:val="20"/>
              </w:rPr>
              <w:t>(Not</w:t>
            </w:r>
            <w:r>
              <w:rPr>
                <w:snapToGrid w:val="0"/>
                <w:sz w:val="20"/>
              </w:rPr>
              <w:t>a</w:t>
            </w:r>
            <w:r w:rsidRPr="00355410">
              <w:rPr>
                <w:snapToGrid w:val="0"/>
                <w:sz w:val="20"/>
              </w:rPr>
              <w:t xml:space="preserve"> 13)</w:t>
            </w:r>
          </w:p>
        </w:tc>
        <w:tc>
          <w:tcPr>
            <w:tcW w:w="1587" w:type="dxa"/>
            <w:gridSpan w:val="2"/>
            <w:tcBorders>
              <w:top w:val="single" w:sz="4" w:space="0" w:color="auto"/>
              <w:left w:val="single" w:sz="4" w:space="0" w:color="auto"/>
              <w:bottom w:val="single" w:sz="4" w:space="0" w:color="auto"/>
              <w:right w:val="single" w:sz="4" w:space="0" w:color="auto"/>
            </w:tcBorders>
          </w:tcPr>
          <w:p w:rsidR="00643418" w:rsidRPr="00355410" w:rsidRDefault="00643418" w:rsidP="009C478A">
            <w:pPr>
              <w:pStyle w:val="Tabletext"/>
              <w:jc w:val="center"/>
              <w:rPr>
                <w:rFonts w:eastAsia="MS PGothic"/>
                <w:bCs/>
                <w:sz w:val="20"/>
                <w:lang w:eastAsia="ja-JP"/>
              </w:rPr>
            </w:pPr>
            <w:r w:rsidRPr="00355410">
              <w:rPr>
                <w:rFonts w:eastAsia="MS PGothic"/>
                <w:sz w:val="20"/>
              </w:rPr>
              <w:t>–147</w:t>
            </w:r>
            <w:r>
              <w:rPr>
                <w:rFonts w:eastAsia="MS PGothic"/>
                <w:sz w:val="20"/>
              </w:rPr>
              <w:t>,</w:t>
            </w:r>
            <w:r w:rsidRPr="00355410">
              <w:rPr>
                <w:rFonts w:eastAsia="MS PGothic"/>
                <w:sz w:val="20"/>
              </w:rPr>
              <w:t>4</w:t>
            </w:r>
          </w:p>
        </w:tc>
        <w:tc>
          <w:tcPr>
            <w:tcW w:w="1687" w:type="dxa"/>
            <w:gridSpan w:val="3"/>
            <w:tcBorders>
              <w:top w:val="single" w:sz="4" w:space="0" w:color="auto"/>
              <w:left w:val="single" w:sz="4" w:space="0" w:color="auto"/>
              <w:bottom w:val="single" w:sz="4" w:space="0" w:color="auto"/>
              <w:right w:val="single" w:sz="4" w:space="0" w:color="auto"/>
            </w:tcBorders>
          </w:tcPr>
          <w:p w:rsidR="00643418" w:rsidRPr="00355410" w:rsidRDefault="00643418" w:rsidP="009C478A">
            <w:pPr>
              <w:pStyle w:val="Tabletext"/>
              <w:jc w:val="center"/>
              <w:rPr>
                <w:rFonts w:eastAsia="MS PGothic"/>
                <w:sz w:val="20"/>
              </w:rPr>
            </w:pPr>
            <w:r w:rsidRPr="00355410">
              <w:rPr>
                <w:rFonts w:eastAsia="MS PGothic"/>
                <w:sz w:val="20"/>
              </w:rPr>
              <w:t>–150</w:t>
            </w:r>
          </w:p>
        </w:tc>
        <w:tc>
          <w:tcPr>
            <w:tcW w:w="1754" w:type="dxa"/>
            <w:gridSpan w:val="2"/>
            <w:tcBorders>
              <w:top w:val="single" w:sz="4" w:space="0" w:color="auto"/>
              <w:left w:val="single" w:sz="4" w:space="0" w:color="auto"/>
              <w:bottom w:val="single" w:sz="4" w:space="0" w:color="auto"/>
              <w:right w:val="single" w:sz="4" w:space="0" w:color="auto"/>
            </w:tcBorders>
          </w:tcPr>
          <w:p w:rsidR="00643418" w:rsidRPr="00355410" w:rsidRDefault="00643418" w:rsidP="009C478A">
            <w:pPr>
              <w:pStyle w:val="Tabletext"/>
              <w:jc w:val="center"/>
              <w:rPr>
                <w:snapToGrid w:val="0"/>
                <w:sz w:val="20"/>
                <w:lang w:eastAsia="zh-CN"/>
              </w:rPr>
            </w:pPr>
            <w:r w:rsidRPr="00355410">
              <w:rPr>
                <w:snapToGrid w:val="0"/>
                <w:sz w:val="20"/>
              </w:rPr>
              <w:t>−</w:t>
            </w:r>
            <w:r w:rsidRPr="00355410">
              <w:rPr>
                <w:snapToGrid w:val="0"/>
                <w:sz w:val="20"/>
                <w:lang w:eastAsia="zh-CN"/>
              </w:rPr>
              <w:t>140</w:t>
            </w:r>
          </w:p>
        </w:tc>
      </w:tr>
    </w:tbl>
    <w:p w:rsidR="00643418" w:rsidRDefault="00643418" w:rsidP="00643418">
      <w:pPr>
        <w:pStyle w:val="Tablefin"/>
      </w:pPr>
    </w:p>
    <w:p w:rsidR="003714D4" w:rsidRPr="000B541D" w:rsidRDefault="003714D4" w:rsidP="006122AB">
      <w:pPr>
        <w:pStyle w:val="TableNo"/>
        <w:rPr>
          <w:lang w:val="es-ES_tradnl" w:eastAsia="ru-RU"/>
        </w:rPr>
      </w:pPr>
      <w:r w:rsidRPr="000B541D">
        <w:rPr>
          <w:lang w:val="es-ES_tradnl" w:eastAsia="ru-RU"/>
        </w:rPr>
        <w:lastRenderedPageBreak/>
        <w:t>CUADRO 2-1</w:t>
      </w:r>
      <w:r>
        <w:rPr>
          <w:lang w:val="es-ES_tradnl" w:eastAsia="ru-RU"/>
        </w:rPr>
        <w:t xml:space="preserve"> (</w:t>
      </w:r>
      <w:r w:rsidR="006122AB">
        <w:rPr>
          <w:i/>
          <w:iCs/>
          <w:lang w:val="es-ES_tradnl" w:eastAsia="ru-RU"/>
        </w:rPr>
        <w:t>F</w:t>
      </w:r>
      <w:r w:rsidRPr="00355410">
        <w:rPr>
          <w:i/>
          <w:iCs/>
          <w:lang w:val="es-ES_tradnl" w:eastAsia="ru-RU"/>
        </w:rPr>
        <w:t>in</w:t>
      </w:r>
      <w:r>
        <w:rPr>
          <w:lang w:val="es-ES_tradnl" w:eastAsia="ru-RU"/>
        </w:rPr>
        <w:t>)</w:t>
      </w:r>
    </w:p>
    <w:tbl>
      <w:tblPr>
        <w:tblW w:w="14459" w:type="dxa"/>
        <w:jc w:val="center"/>
        <w:tblLayout w:type="fixed"/>
        <w:tblLook w:val="0000" w:firstRow="0" w:lastRow="0" w:firstColumn="0" w:lastColumn="0" w:noHBand="0" w:noVBand="0"/>
      </w:tblPr>
      <w:tblGrid>
        <w:gridCol w:w="5796"/>
        <w:gridCol w:w="1624"/>
        <w:gridCol w:w="2011"/>
        <w:gridCol w:w="1587"/>
        <w:gridCol w:w="1687"/>
        <w:gridCol w:w="1754"/>
      </w:tblGrid>
      <w:tr w:rsidR="003714D4" w:rsidRPr="00355410" w:rsidTr="008F350E">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lang w:val="es-ES_tradnl"/>
              </w:rPr>
            </w:pPr>
          </w:p>
        </w:tc>
        <w:tc>
          <w:tcPr>
            <w:tcW w:w="1624"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rPr>
            </w:pPr>
            <w:r w:rsidRPr="00355410">
              <w:rPr>
                <w:rFonts w:eastAsia="MS PGothic"/>
                <w:sz w:val="20"/>
              </w:rPr>
              <w:t>1</w:t>
            </w:r>
          </w:p>
        </w:tc>
        <w:tc>
          <w:tcPr>
            <w:tcW w:w="2011"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snapToGrid w:val="0"/>
                <w:sz w:val="20"/>
              </w:rPr>
            </w:pPr>
            <w:r w:rsidRPr="00355410">
              <w:rPr>
                <w:snapToGrid w:val="0"/>
                <w:sz w:val="20"/>
              </w:rPr>
              <w:t>2</w:t>
            </w:r>
          </w:p>
        </w:tc>
        <w:tc>
          <w:tcPr>
            <w:tcW w:w="1587"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rPr>
            </w:pPr>
            <w:r w:rsidRPr="00355410">
              <w:rPr>
                <w:rFonts w:eastAsia="MS PGothic"/>
                <w:sz w:val="20"/>
              </w:rPr>
              <w:t>3</w:t>
            </w:r>
          </w:p>
        </w:tc>
        <w:tc>
          <w:tcPr>
            <w:tcW w:w="1687"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rPr>
            </w:pPr>
            <w:r w:rsidRPr="00355410">
              <w:rPr>
                <w:rFonts w:eastAsia="MS PGothic"/>
                <w:sz w:val="20"/>
              </w:rPr>
              <w:t>4</w:t>
            </w:r>
          </w:p>
        </w:tc>
        <w:tc>
          <w:tcPr>
            <w:tcW w:w="1754"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snapToGrid w:val="0"/>
                <w:sz w:val="20"/>
              </w:rPr>
            </w:pPr>
            <w:r w:rsidRPr="00355410">
              <w:rPr>
                <w:snapToGrid w:val="0"/>
                <w:sz w:val="20"/>
              </w:rPr>
              <w:t>5</w:t>
            </w:r>
          </w:p>
        </w:tc>
      </w:tr>
      <w:tr w:rsidR="003714D4" w:rsidRPr="00355410" w:rsidTr="008F350E">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rPr>
            </w:pPr>
            <w:r w:rsidRPr="00355410">
              <w:rPr>
                <w:rFonts w:eastAsia="MS PGothic"/>
                <w:sz w:val="20"/>
              </w:rPr>
              <w:t>Parámetro</w:t>
            </w:r>
          </w:p>
        </w:tc>
        <w:tc>
          <w:tcPr>
            <w:tcW w:w="1624"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highlight w:val="yellow"/>
                <w:lang w:val="es-ES_tradnl"/>
              </w:rPr>
            </w:pPr>
            <w:r w:rsidRPr="00355410">
              <w:rPr>
                <w:rFonts w:eastAsia="MS PGothic"/>
                <w:sz w:val="20"/>
                <w:lang w:val="es-ES_tradnl"/>
              </w:rPr>
              <w:t xml:space="preserve">Receptor de navegación aérea </w:t>
            </w:r>
            <w:r w:rsidR="009C478A" w:rsidRPr="000B541D">
              <w:rPr>
                <w:rFonts w:eastAsia="MS PGothic"/>
                <w:sz w:val="20"/>
                <w:lang w:val="es-ES_tradnl"/>
              </w:rPr>
              <w:t>N</w:t>
            </w:r>
            <w:r w:rsidR="009C478A">
              <w:rPr>
                <w:rFonts w:eastAsia="MS PGothic"/>
                <w:sz w:val="20"/>
                <w:lang w:val="es-ES_tradnl"/>
              </w:rPr>
              <w:t>°</w:t>
            </w:r>
            <w:r w:rsidRPr="00355410">
              <w:rPr>
                <w:rFonts w:eastAsia="MS PGothic"/>
                <w:sz w:val="20"/>
                <w:lang w:val="es-ES_tradnl"/>
              </w:rPr>
              <w:t> 1</w:t>
            </w:r>
          </w:p>
        </w:tc>
        <w:tc>
          <w:tcPr>
            <w:tcW w:w="2011"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lang w:val="es-ES_tradnl"/>
              </w:rPr>
            </w:pPr>
            <w:r w:rsidRPr="00355410">
              <w:rPr>
                <w:rFonts w:eastAsia="MS PGothic"/>
                <w:sz w:val="20"/>
                <w:lang w:val="es-ES_tradnl"/>
              </w:rPr>
              <w:t>Receptor de navegación</w:t>
            </w:r>
            <w:r w:rsidRPr="00355410">
              <w:rPr>
                <w:rFonts w:eastAsia="MS PGothic"/>
                <w:sz w:val="20"/>
                <w:lang w:val="es-ES_tradnl"/>
              </w:rPr>
              <w:br/>
              <w:t xml:space="preserve">aérea </w:t>
            </w:r>
            <w:r w:rsidR="009C478A" w:rsidRPr="000B541D">
              <w:rPr>
                <w:rFonts w:eastAsia="MS PGothic"/>
                <w:sz w:val="20"/>
                <w:lang w:val="es-ES_tradnl"/>
              </w:rPr>
              <w:t>N</w:t>
            </w:r>
            <w:r w:rsidR="009C478A">
              <w:rPr>
                <w:rFonts w:eastAsia="MS PGothic"/>
                <w:sz w:val="20"/>
                <w:lang w:val="es-ES_tradnl"/>
              </w:rPr>
              <w:t>°</w:t>
            </w:r>
            <w:r w:rsidRPr="00355410">
              <w:rPr>
                <w:rFonts w:eastAsia="MS PGothic"/>
                <w:sz w:val="20"/>
                <w:lang w:val="es-ES_tradnl"/>
              </w:rPr>
              <w:t> 2</w:t>
            </w:r>
            <w:r w:rsidRPr="00355410">
              <w:rPr>
                <w:rFonts w:eastAsia="MS PGothic"/>
                <w:sz w:val="20"/>
                <w:lang w:val="es-ES_tradnl"/>
              </w:rPr>
              <w:br/>
              <w:t>(Nota 9)</w:t>
            </w:r>
          </w:p>
        </w:tc>
        <w:tc>
          <w:tcPr>
            <w:tcW w:w="1587"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sz w:val="20"/>
                <w:lang w:val="es-ES_tradnl"/>
              </w:rPr>
            </w:pPr>
            <w:r w:rsidRPr="00355410">
              <w:rPr>
                <w:sz w:val="20"/>
                <w:lang w:val="es-ES_tradnl"/>
              </w:rPr>
              <w:t>Receptores</w:t>
            </w:r>
            <w:r w:rsidRPr="00355410">
              <w:rPr>
                <w:sz w:val="20"/>
                <w:lang w:val="es-ES_tradnl"/>
              </w:rPr>
              <w:br/>
              <w:t xml:space="preserve">de alta precisión </w:t>
            </w:r>
            <w:r w:rsidRPr="00355410">
              <w:rPr>
                <w:sz w:val="20"/>
                <w:lang w:val="es-ES_tradnl"/>
              </w:rPr>
              <w:br/>
              <w:t>(Nota 12)</w:t>
            </w:r>
          </w:p>
        </w:tc>
        <w:tc>
          <w:tcPr>
            <w:tcW w:w="1687"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DF44F2">
            <w:pPr>
              <w:pStyle w:val="Tablehead"/>
              <w:rPr>
                <w:rFonts w:eastAsia="MS PGothic"/>
                <w:sz w:val="20"/>
                <w:highlight w:val="lightGray"/>
                <w:lang w:val="es-ES_tradnl"/>
              </w:rPr>
            </w:pPr>
            <w:r w:rsidRPr="00355410">
              <w:rPr>
                <w:sz w:val="20"/>
                <w:lang w:val="es-ES_tradnl"/>
              </w:rPr>
              <w:t>Receptores</w:t>
            </w:r>
            <w:r w:rsidR="00DF44F2">
              <w:rPr>
                <w:sz w:val="20"/>
                <w:lang w:val="es-ES_tradnl"/>
              </w:rPr>
              <w:t xml:space="preserve"> </w:t>
            </w:r>
            <w:r w:rsidRPr="00355410">
              <w:rPr>
                <w:sz w:val="20"/>
                <w:lang w:val="es-ES_tradnl"/>
              </w:rPr>
              <w:t>de posicionamiento en interiores</w:t>
            </w:r>
          </w:p>
        </w:tc>
        <w:tc>
          <w:tcPr>
            <w:tcW w:w="1754"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8F350E">
            <w:pPr>
              <w:pStyle w:val="Tablehead"/>
              <w:rPr>
                <w:rFonts w:eastAsia="MS PGothic"/>
                <w:sz w:val="20"/>
                <w:highlight w:val="lightGray"/>
                <w:lang w:val="en-US"/>
              </w:rPr>
            </w:pPr>
            <w:r w:rsidRPr="00355410">
              <w:rPr>
                <w:rFonts w:eastAsia="MS PGothic"/>
                <w:sz w:val="20"/>
                <w:lang w:val="en-US"/>
              </w:rPr>
              <w:t>Receptores</w:t>
            </w:r>
            <w:r w:rsidRPr="00355410">
              <w:rPr>
                <w:rFonts w:eastAsia="MS PGothic"/>
                <w:sz w:val="20"/>
                <w:lang w:val="en-US"/>
              </w:rPr>
              <w:br/>
              <w:t>polivalentes</w:t>
            </w:r>
          </w:p>
        </w:tc>
      </w:tr>
      <w:tr w:rsidR="003714D4" w:rsidRPr="00355410"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6122AB">
            <w:pPr>
              <w:pStyle w:val="Tabletext"/>
              <w:jc w:val="left"/>
              <w:rPr>
                <w:rFonts w:eastAsia="MS PGothic"/>
                <w:sz w:val="20"/>
                <w:lang w:val="es-ES_tradnl"/>
              </w:rPr>
            </w:pPr>
            <w:r w:rsidRPr="00355410">
              <w:rPr>
                <w:rFonts w:eastAsia="MS PGothic"/>
                <w:sz w:val="20"/>
                <w:lang w:val="es-ES_tradnl"/>
              </w:rPr>
              <w:t xml:space="preserve">Nivel de densidad de potencia umbral en modo </w:t>
            </w:r>
            <w:r>
              <w:rPr>
                <w:rFonts w:eastAsia="MS PGothic"/>
                <w:sz w:val="20"/>
                <w:lang w:val="es-ES_tradnl"/>
              </w:rPr>
              <w:t>adquisición de la interferencia de banda amplia combinada a la salida de la antena pasiva</w:t>
            </w:r>
            <w:r w:rsidRPr="00355410">
              <w:rPr>
                <w:rFonts w:eastAsia="MS PGothic"/>
                <w:sz w:val="20"/>
                <w:lang w:val="es-ES_tradnl"/>
              </w:rPr>
              <w:t xml:space="preserve"> (dB(W/MHz)) (Nota 1)</w:t>
            </w:r>
          </w:p>
        </w:tc>
        <w:tc>
          <w:tcPr>
            <w:tcW w:w="162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highlight w:val="green"/>
              </w:rPr>
            </w:pPr>
            <w:r w:rsidRPr="00355410">
              <w:rPr>
                <w:rFonts w:eastAsia="MS PGothic"/>
                <w:sz w:val="20"/>
              </w:rPr>
              <w:t>–148</w:t>
            </w:r>
            <w:r>
              <w:rPr>
                <w:rFonts w:eastAsia="MS PGothic"/>
                <w:sz w:val="20"/>
              </w:rPr>
              <w:t>,</w:t>
            </w:r>
            <w:r w:rsidRPr="00355410">
              <w:rPr>
                <w:rFonts w:eastAsia="MS PGothic"/>
                <w:sz w:val="20"/>
              </w:rPr>
              <w:t xml:space="preserve">7 </w:t>
            </w:r>
            <w:r w:rsidRPr="00355410">
              <w:rPr>
                <w:rFonts w:eastAsia="MS PGothic"/>
                <w:sz w:val="20"/>
              </w:rPr>
              <w:br/>
              <w:t>(Not</w:t>
            </w:r>
            <w:r>
              <w:rPr>
                <w:rFonts w:eastAsia="MS PGothic"/>
                <w:sz w:val="20"/>
              </w:rPr>
              <w:t>a</w:t>
            </w:r>
            <w:r w:rsidRPr="00355410">
              <w:rPr>
                <w:rFonts w:eastAsia="MS PGothic"/>
                <w:sz w:val="20"/>
              </w:rPr>
              <w:t>s 4, 6)</w:t>
            </w:r>
          </w:p>
        </w:tc>
        <w:tc>
          <w:tcPr>
            <w:tcW w:w="2011"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napToGrid w:val="0"/>
                <w:sz w:val="20"/>
              </w:rPr>
            </w:pPr>
            <w:r w:rsidRPr="00355410">
              <w:rPr>
                <w:snapToGrid w:val="0"/>
                <w:sz w:val="20"/>
              </w:rPr>
              <w:t>−146</w:t>
            </w:r>
          </w:p>
          <w:p w:rsidR="003714D4" w:rsidRPr="00355410" w:rsidRDefault="003714D4" w:rsidP="009C478A">
            <w:pPr>
              <w:pStyle w:val="Tabletext"/>
              <w:jc w:val="center"/>
              <w:rPr>
                <w:rFonts w:eastAsia="MS PGothic"/>
                <w:sz w:val="20"/>
              </w:rPr>
            </w:pPr>
            <w:r w:rsidRPr="00355410">
              <w:rPr>
                <w:snapToGrid w:val="0"/>
                <w:sz w:val="20"/>
              </w:rPr>
              <w:t>(Not</w:t>
            </w:r>
            <w:r>
              <w:rPr>
                <w:snapToGrid w:val="0"/>
                <w:sz w:val="20"/>
              </w:rPr>
              <w:t>a</w:t>
            </w:r>
            <w:r w:rsidRPr="00355410">
              <w:rPr>
                <w:snapToGrid w:val="0"/>
                <w:sz w:val="20"/>
              </w:rPr>
              <w:t xml:space="preserve"> 13)</w:t>
            </w:r>
          </w:p>
        </w:tc>
        <w:tc>
          <w:tcPr>
            <w:tcW w:w="15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bCs/>
                <w:sz w:val="20"/>
                <w:lang w:eastAsia="ja-JP"/>
              </w:rPr>
            </w:pPr>
            <w:r w:rsidRPr="00355410">
              <w:rPr>
                <w:rFonts w:eastAsia="MS PGothic"/>
                <w:sz w:val="20"/>
              </w:rPr>
              <w:t>–147</w:t>
            </w:r>
            <w:r>
              <w:rPr>
                <w:rFonts w:eastAsia="MS PGothic"/>
                <w:sz w:val="20"/>
              </w:rPr>
              <w:t>,</w:t>
            </w:r>
            <w:r w:rsidRPr="00355410">
              <w:rPr>
                <w:rFonts w:eastAsia="MS PGothic"/>
                <w:sz w:val="20"/>
              </w:rPr>
              <w:t>4</w:t>
            </w:r>
          </w:p>
        </w:tc>
        <w:tc>
          <w:tcPr>
            <w:tcW w:w="16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rFonts w:eastAsia="MS PGothic"/>
                <w:sz w:val="20"/>
              </w:rPr>
              <w:t>–156</w:t>
            </w:r>
          </w:p>
        </w:tc>
        <w:tc>
          <w:tcPr>
            <w:tcW w:w="175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napToGrid w:val="0"/>
                <w:sz w:val="20"/>
                <w:lang w:eastAsia="zh-CN"/>
              </w:rPr>
            </w:pPr>
            <w:r w:rsidRPr="00355410">
              <w:rPr>
                <w:snapToGrid w:val="0"/>
                <w:sz w:val="20"/>
              </w:rPr>
              <w:t>−</w:t>
            </w:r>
            <w:r w:rsidRPr="00355410">
              <w:rPr>
                <w:snapToGrid w:val="0"/>
                <w:sz w:val="20"/>
                <w:lang w:eastAsia="zh-CN"/>
              </w:rPr>
              <w:t>146</w:t>
            </w:r>
          </w:p>
        </w:tc>
      </w:tr>
      <w:tr w:rsidR="003714D4" w:rsidRPr="00355410"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6122AB">
            <w:pPr>
              <w:pStyle w:val="Tabletext"/>
              <w:jc w:val="left"/>
              <w:rPr>
                <w:sz w:val="20"/>
                <w:lang w:val="es-ES_tradnl"/>
              </w:rPr>
            </w:pPr>
            <w:r w:rsidRPr="00355410">
              <w:rPr>
                <w:sz w:val="20"/>
                <w:lang w:val="es-ES_tradnl" w:eastAsia="ja-JP"/>
              </w:rPr>
              <w:t>Nivel de compresión a la entrada del receptor</w:t>
            </w:r>
            <w:r w:rsidRPr="00355410">
              <w:rPr>
                <w:sz w:val="20"/>
                <w:lang w:val="es-ES_tradnl"/>
              </w:rPr>
              <w:t xml:space="preserve"> (dBW)</w:t>
            </w:r>
          </w:p>
        </w:tc>
        <w:tc>
          <w:tcPr>
            <w:tcW w:w="162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rFonts w:eastAsia="MS PGothic"/>
                <w:sz w:val="20"/>
              </w:rPr>
              <w:t>–114 (Not</w:t>
            </w:r>
            <w:r>
              <w:rPr>
                <w:rFonts w:eastAsia="MS PGothic"/>
                <w:sz w:val="20"/>
              </w:rPr>
              <w:t>a</w:t>
            </w:r>
            <w:r w:rsidRPr="00355410">
              <w:rPr>
                <w:rFonts w:eastAsia="MS PGothic"/>
                <w:sz w:val="20"/>
              </w:rPr>
              <w:t xml:space="preserve"> 7)</w:t>
            </w:r>
          </w:p>
        </w:tc>
        <w:tc>
          <w:tcPr>
            <w:tcW w:w="2011"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z w:val="20"/>
                <w:lang w:eastAsia="ja-JP"/>
              </w:rPr>
            </w:pPr>
            <w:r w:rsidRPr="00355410">
              <w:rPr>
                <w:snapToGrid w:val="0"/>
                <w:sz w:val="20"/>
              </w:rPr>
              <w:t>−80</w:t>
            </w:r>
          </w:p>
        </w:tc>
        <w:tc>
          <w:tcPr>
            <w:tcW w:w="15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p>
        </w:tc>
        <w:tc>
          <w:tcPr>
            <w:tcW w:w="16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snapToGrid w:val="0"/>
                <w:sz w:val="20"/>
              </w:rPr>
              <w:t>−</w:t>
            </w:r>
            <w:r w:rsidRPr="00355410">
              <w:rPr>
                <w:snapToGrid w:val="0"/>
                <w:sz w:val="20"/>
                <w:lang w:eastAsia="zh-CN"/>
              </w:rPr>
              <w:t>100</w:t>
            </w:r>
          </w:p>
        </w:tc>
        <w:tc>
          <w:tcPr>
            <w:tcW w:w="175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napToGrid w:val="0"/>
                <w:sz w:val="20"/>
                <w:lang w:eastAsia="zh-CN"/>
              </w:rPr>
            </w:pPr>
            <w:r w:rsidRPr="00355410">
              <w:rPr>
                <w:snapToGrid w:val="0"/>
                <w:sz w:val="20"/>
              </w:rPr>
              <w:t>−</w:t>
            </w:r>
            <w:r w:rsidRPr="00355410">
              <w:rPr>
                <w:snapToGrid w:val="0"/>
                <w:sz w:val="20"/>
                <w:lang w:eastAsia="zh-CN"/>
              </w:rPr>
              <w:t>100</w:t>
            </w:r>
          </w:p>
        </w:tc>
      </w:tr>
      <w:tr w:rsidR="003714D4" w:rsidRPr="00355410"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355410" w:rsidRDefault="003714D4" w:rsidP="006122AB">
            <w:pPr>
              <w:pStyle w:val="Tabletext"/>
              <w:jc w:val="left"/>
              <w:rPr>
                <w:sz w:val="20"/>
                <w:lang w:val="es-ES_tradnl"/>
              </w:rPr>
            </w:pPr>
            <w:r w:rsidRPr="00355410">
              <w:rPr>
                <w:sz w:val="20"/>
                <w:lang w:val="es-ES_tradnl" w:eastAsia="ja-JP"/>
              </w:rPr>
              <w:t>Nivel de supervivencia del receptor</w:t>
            </w:r>
            <w:r w:rsidRPr="00355410">
              <w:rPr>
                <w:sz w:val="20"/>
                <w:lang w:val="es-ES_tradnl"/>
              </w:rPr>
              <w:t xml:space="preserve"> (dBW)</w:t>
            </w:r>
          </w:p>
        </w:tc>
        <w:tc>
          <w:tcPr>
            <w:tcW w:w="162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rFonts w:eastAsia="MS PGothic"/>
                <w:sz w:val="20"/>
              </w:rPr>
              <w:t>0</w:t>
            </w:r>
            <w:r w:rsidR="009C478A">
              <w:rPr>
                <w:rFonts w:eastAsia="MS PGothic"/>
                <w:sz w:val="20"/>
              </w:rPr>
              <w:br/>
            </w:r>
            <w:r w:rsidRPr="00355410">
              <w:rPr>
                <w:rFonts w:eastAsia="MS PGothic"/>
                <w:sz w:val="20"/>
              </w:rPr>
              <w:t>(Not</w:t>
            </w:r>
            <w:r>
              <w:rPr>
                <w:rFonts w:eastAsia="MS PGothic"/>
                <w:sz w:val="20"/>
              </w:rPr>
              <w:t>a</w:t>
            </w:r>
            <w:r w:rsidRPr="00355410">
              <w:rPr>
                <w:rFonts w:eastAsia="MS PGothic"/>
                <w:sz w:val="20"/>
              </w:rPr>
              <w:t xml:space="preserve"> 8)</w:t>
            </w:r>
          </w:p>
        </w:tc>
        <w:tc>
          <w:tcPr>
            <w:tcW w:w="2011"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z w:val="20"/>
                <w:lang w:eastAsia="ja-JP"/>
              </w:rPr>
            </w:pPr>
            <w:r w:rsidRPr="00355410">
              <w:rPr>
                <w:snapToGrid w:val="0"/>
                <w:sz w:val="20"/>
              </w:rPr>
              <w:t>–1</w:t>
            </w:r>
          </w:p>
        </w:tc>
        <w:tc>
          <w:tcPr>
            <w:tcW w:w="15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p>
        </w:tc>
        <w:tc>
          <w:tcPr>
            <w:tcW w:w="16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snapToGrid w:val="0"/>
                <w:sz w:val="20"/>
              </w:rPr>
              <w:t>−</w:t>
            </w:r>
            <w:r w:rsidRPr="00355410">
              <w:rPr>
                <w:snapToGrid w:val="0"/>
                <w:sz w:val="20"/>
                <w:lang w:eastAsia="zh-CN"/>
              </w:rPr>
              <w:t>17</w:t>
            </w:r>
          </w:p>
        </w:tc>
        <w:tc>
          <w:tcPr>
            <w:tcW w:w="175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napToGrid w:val="0"/>
                <w:sz w:val="20"/>
                <w:lang w:eastAsia="zh-CN"/>
              </w:rPr>
            </w:pPr>
            <w:r w:rsidRPr="00355410">
              <w:rPr>
                <w:snapToGrid w:val="0"/>
                <w:sz w:val="20"/>
              </w:rPr>
              <w:t>−</w:t>
            </w:r>
            <w:r w:rsidRPr="00355410">
              <w:rPr>
                <w:snapToGrid w:val="0"/>
                <w:sz w:val="20"/>
                <w:lang w:eastAsia="zh-CN"/>
              </w:rPr>
              <w:t>17</w:t>
            </w:r>
          </w:p>
        </w:tc>
      </w:tr>
      <w:tr w:rsidR="003714D4" w:rsidRPr="00355410" w:rsidTr="009C478A">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3714D4" w:rsidRPr="003545E1" w:rsidRDefault="003714D4" w:rsidP="006122AB">
            <w:pPr>
              <w:pStyle w:val="Tabletext"/>
              <w:jc w:val="left"/>
              <w:rPr>
                <w:sz w:val="20"/>
                <w:lang w:val="es-ES_tradnl"/>
              </w:rPr>
            </w:pPr>
            <w:r w:rsidRPr="003545E1">
              <w:rPr>
                <w:sz w:val="20"/>
                <w:lang w:val="es-ES_tradnl"/>
              </w:rPr>
              <w:t>Tiempo de recuperación de sobrecarg</w:t>
            </w:r>
            <w:r>
              <w:rPr>
                <w:sz w:val="20"/>
                <w:lang w:val="es-ES_tradnl"/>
              </w:rPr>
              <w:t>a</w:t>
            </w:r>
            <w:r w:rsidRPr="003545E1">
              <w:rPr>
                <w:sz w:val="20"/>
                <w:lang w:val="es-ES_tradnl"/>
              </w:rPr>
              <w:t xml:space="preserve"> (s)</w:t>
            </w:r>
          </w:p>
        </w:tc>
        <w:tc>
          <w:tcPr>
            <w:tcW w:w="162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rFonts w:eastAsia="MS PGothic"/>
                <w:sz w:val="20"/>
              </w:rPr>
              <w:t>1 × 10</w:t>
            </w:r>
            <w:r w:rsidRPr="00355410">
              <w:rPr>
                <w:rFonts w:eastAsia="MS PGothic"/>
                <w:sz w:val="20"/>
                <w:vertAlign w:val="superscript"/>
              </w:rPr>
              <w:t>−6</w:t>
            </w:r>
          </w:p>
        </w:tc>
        <w:tc>
          <w:tcPr>
            <w:tcW w:w="2011"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z w:val="20"/>
                <w:lang w:eastAsia="ja-JP"/>
              </w:rPr>
            </w:pPr>
            <w:r w:rsidRPr="00355410">
              <w:rPr>
                <w:snapToGrid w:val="0"/>
                <w:sz w:val="20"/>
              </w:rPr>
              <w:t>(1−30) </w:t>
            </w:r>
            <w:r w:rsidRPr="00355410">
              <w:rPr>
                <w:rFonts w:eastAsia="MS PGothic"/>
                <w:sz w:val="20"/>
              </w:rPr>
              <w:t>× </w:t>
            </w:r>
            <w:r w:rsidRPr="00355410">
              <w:rPr>
                <w:snapToGrid w:val="0"/>
                <w:sz w:val="20"/>
              </w:rPr>
              <w:t>10</w:t>
            </w:r>
            <w:r w:rsidRPr="00355410">
              <w:rPr>
                <w:snapToGrid w:val="0"/>
                <w:sz w:val="20"/>
                <w:vertAlign w:val="superscript"/>
              </w:rPr>
              <w:t>−6</w:t>
            </w:r>
          </w:p>
        </w:tc>
        <w:tc>
          <w:tcPr>
            <w:tcW w:w="15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snapToGrid w:val="0"/>
                <w:sz w:val="20"/>
              </w:rPr>
              <w:t>30 </w:t>
            </w:r>
            <w:r w:rsidRPr="00355410">
              <w:rPr>
                <w:rFonts w:eastAsia="MS PGothic"/>
                <w:sz w:val="20"/>
              </w:rPr>
              <w:t>× </w:t>
            </w:r>
            <w:r w:rsidRPr="00355410">
              <w:rPr>
                <w:snapToGrid w:val="0"/>
                <w:sz w:val="20"/>
              </w:rPr>
              <w:t>10</w:t>
            </w:r>
            <w:r w:rsidRPr="00355410">
              <w:rPr>
                <w:snapToGrid w:val="0"/>
                <w:sz w:val="20"/>
                <w:vertAlign w:val="superscript"/>
              </w:rPr>
              <w:t>−6</w:t>
            </w:r>
          </w:p>
        </w:tc>
        <w:tc>
          <w:tcPr>
            <w:tcW w:w="1687"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rFonts w:eastAsia="MS PGothic"/>
                <w:sz w:val="20"/>
              </w:rPr>
            </w:pPr>
            <w:r w:rsidRPr="00355410">
              <w:rPr>
                <w:snapToGrid w:val="0"/>
                <w:sz w:val="20"/>
              </w:rPr>
              <w:t>30</w:t>
            </w:r>
            <w:r w:rsidRPr="00355410">
              <w:rPr>
                <w:rFonts w:eastAsia="MS PGothic"/>
                <w:sz w:val="20"/>
              </w:rPr>
              <w:t> × </w:t>
            </w:r>
            <w:r w:rsidRPr="00355410">
              <w:rPr>
                <w:snapToGrid w:val="0"/>
                <w:sz w:val="20"/>
              </w:rPr>
              <w:t>10</w:t>
            </w:r>
            <w:r w:rsidRPr="00355410">
              <w:rPr>
                <w:snapToGrid w:val="0"/>
                <w:sz w:val="20"/>
                <w:vertAlign w:val="superscript"/>
              </w:rPr>
              <w:t>−6</w:t>
            </w:r>
          </w:p>
        </w:tc>
        <w:tc>
          <w:tcPr>
            <w:tcW w:w="1754" w:type="dxa"/>
            <w:tcBorders>
              <w:top w:val="single" w:sz="4" w:space="0" w:color="auto"/>
              <w:left w:val="single" w:sz="4" w:space="0" w:color="auto"/>
              <w:bottom w:val="single" w:sz="4" w:space="0" w:color="auto"/>
              <w:right w:val="single" w:sz="4" w:space="0" w:color="auto"/>
            </w:tcBorders>
          </w:tcPr>
          <w:p w:rsidR="003714D4" w:rsidRPr="00355410" w:rsidRDefault="003714D4" w:rsidP="009C478A">
            <w:pPr>
              <w:pStyle w:val="Tabletext"/>
              <w:jc w:val="center"/>
              <w:rPr>
                <w:snapToGrid w:val="0"/>
                <w:sz w:val="20"/>
                <w:lang w:eastAsia="zh-CN"/>
              </w:rPr>
            </w:pPr>
            <w:r w:rsidRPr="00355410">
              <w:rPr>
                <w:snapToGrid w:val="0"/>
                <w:sz w:val="20"/>
              </w:rPr>
              <w:t>30</w:t>
            </w:r>
            <w:r w:rsidRPr="00355410">
              <w:rPr>
                <w:rFonts w:eastAsia="MS PGothic"/>
                <w:sz w:val="20"/>
              </w:rPr>
              <w:t> × </w:t>
            </w:r>
            <w:r w:rsidRPr="00355410">
              <w:rPr>
                <w:snapToGrid w:val="0"/>
                <w:sz w:val="20"/>
              </w:rPr>
              <w:t>10</w:t>
            </w:r>
            <w:r w:rsidRPr="00355410">
              <w:rPr>
                <w:snapToGrid w:val="0"/>
                <w:sz w:val="20"/>
                <w:vertAlign w:val="superscript"/>
              </w:rPr>
              <w:t>−6</w:t>
            </w:r>
          </w:p>
        </w:tc>
      </w:tr>
      <w:tr w:rsidR="003714D4" w:rsidRPr="00915A38" w:rsidTr="008F350E">
        <w:trPr>
          <w:jc w:val="center"/>
        </w:trPr>
        <w:tc>
          <w:tcPr>
            <w:tcW w:w="14459" w:type="dxa"/>
            <w:gridSpan w:val="6"/>
            <w:vAlign w:val="center"/>
          </w:tcPr>
          <w:p w:rsidR="003714D4" w:rsidRPr="00915A38" w:rsidRDefault="003714D4" w:rsidP="009C478A">
            <w:pPr>
              <w:pStyle w:val="TableLegendNote"/>
              <w:spacing w:before="160"/>
              <w:rPr>
                <w:sz w:val="20"/>
              </w:rPr>
            </w:pPr>
            <w:r w:rsidRPr="00915A38">
              <w:rPr>
                <w:sz w:val="20"/>
              </w:rPr>
              <w:t>NOTA 1 − Se considera que la interferencia continua de banda estrecha tiene una anchura de banda inferior a 700 Hz. Se considera que la interferencia continua de banda amplia tiene una anchura de banda inferior a 1 MHz. Los umbrales de la banda de la interferencia entre 700 Hz y 1 MHz están siendo objeto de estudio.</w:t>
            </w:r>
          </w:p>
          <w:p w:rsidR="003714D4" w:rsidRPr="00915A38" w:rsidRDefault="003714D4" w:rsidP="00915A38">
            <w:pPr>
              <w:pStyle w:val="TableLegendNote"/>
              <w:rPr>
                <w:sz w:val="20"/>
              </w:rPr>
            </w:pPr>
            <w:r w:rsidRPr="00915A38">
              <w:rPr>
                <w:sz w:val="20"/>
              </w:rPr>
              <w:t>NOTA 2 − La máxima ganancia en el hemisferio superior aparece para un ángulo de elevación de 75° o más respecto al plano horizontal de la antena.</w:t>
            </w:r>
          </w:p>
          <w:p w:rsidR="003714D4" w:rsidRPr="00915A38" w:rsidRDefault="003714D4" w:rsidP="00915A38">
            <w:pPr>
              <w:pStyle w:val="TableLegendNote"/>
              <w:rPr>
                <w:sz w:val="20"/>
              </w:rPr>
            </w:pPr>
            <w:r w:rsidRPr="00915A38">
              <w:rPr>
                <w:sz w:val="20"/>
              </w:rPr>
              <w:t>NOTA 3 − El máximo valor de ganancia en el hemisferio interior se produce para un ángulo de elevación de 0°. Para ángulos de elevación comprendidos entre 0° y −30°, la máxima ganancia disminuye con el ángulo de elevación hasta −10 dBi a −30° y permanece constante a −10 dBi para ángulos de elevación entre −30° y −90°.</w:t>
            </w:r>
          </w:p>
          <w:p w:rsidR="003714D4" w:rsidRPr="00915A38" w:rsidRDefault="003714D4" w:rsidP="00915A38">
            <w:pPr>
              <w:pStyle w:val="TableLegendNote"/>
              <w:rPr>
                <w:sz w:val="20"/>
              </w:rPr>
            </w:pPr>
            <w:r w:rsidRPr="00915A38">
              <w:rPr>
                <w:sz w:val="20"/>
              </w:rPr>
              <w:t>NOTA 4 − Cuando se utiliza en el modelo de evaluación de la interferencia de la Recomendación UT-R M.1318-1, el valor umbral se inserta en la Línea (a) y 6 dB (el margen de seguridad descrito en el Anexo 1) se inserta en la Línea (b) de la plantilla de evaluación.</w:t>
            </w:r>
          </w:p>
          <w:p w:rsidR="003714D4" w:rsidRPr="00915A38" w:rsidRDefault="003714D4" w:rsidP="00915A38">
            <w:pPr>
              <w:pStyle w:val="TableLegendNote"/>
              <w:rPr>
                <w:sz w:val="20"/>
              </w:rPr>
            </w:pPr>
            <w:r w:rsidRPr="00915A38">
              <w:rPr>
                <w:sz w:val="20"/>
              </w:rPr>
              <w:t xml:space="preserve">NOTA 5 − El valor umbral de interferencia de RF continua se aplica al funcionamiento de los receptores a bordo de aeronaves situadas a una altitud superior a 6 096 m (20 000 pies) sobre el nivel medio del mar. Los valores del modo de seguimiento para el funcionamiento a bordo de aeronave a una altitud inferior a 610 m (2 000 pies) sobre el nivel del suelo son </w:t>
            </w:r>
            <w:r w:rsidRPr="00915A38">
              <w:rPr>
                <w:rFonts w:eastAsia="MS PGothic"/>
                <w:sz w:val="20"/>
              </w:rPr>
              <w:t>−143,0 dBW</w:t>
            </w:r>
            <w:r w:rsidRPr="00915A38">
              <w:rPr>
                <w:sz w:val="20"/>
              </w:rPr>
              <w:t xml:space="preserve"> (banda estrecha) y </w:t>
            </w:r>
            <w:r w:rsidRPr="00915A38">
              <w:rPr>
                <w:rFonts w:eastAsia="MS PGothic"/>
                <w:sz w:val="20"/>
              </w:rPr>
              <w:t>−133,0 dB(W/MHz)</w:t>
            </w:r>
            <w:r w:rsidRPr="00915A38">
              <w:rPr>
                <w:sz w:val="20"/>
              </w:rPr>
              <w:t xml:space="preserve"> (banda amplia).</w:t>
            </w:r>
          </w:p>
          <w:p w:rsidR="003714D4" w:rsidRPr="00915A38" w:rsidRDefault="003714D4" w:rsidP="00915A38">
            <w:pPr>
              <w:pStyle w:val="TableLegendNote"/>
              <w:rPr>
                <w:sz w:val="20"/>
              </w:rPr>
            </w:pPr>
            <w:r w:rsidRPr="00915A38">
              <w:rPr>
                <w:sz w:val="20"/>
              </w:rPr>
              <w:t xml:space="preserve">NOTA 6 − El valor umbral de la interferencia de RF continua se aplica al funcionamiento de los receptores a bordo de aeronaves situados a una altitud superior a 6 096 m (20 000 pies) sobre el nivel medio del mar. Los valores del modo de adquisición para el funcionamiento a bordo de aeronave a una altitud inferior a 610 m (2 000 pies) sobre el nivel del suelo son </w:t>
            </w:r>
            <w:r w:rsidRPr="00915A38">
              <w:rPr>
                <w:rFonts w:eastAsia="MS PGothic"/>
                <w:sz w:val="20"/>
              </w:rPr>
              <w:t>−143,1 dBW</w:t>
            </w:r>
            <w:r w:rsidRPr="00915A38">
              <w:rPr>
                <w:sz w:val="20"/>
              </w:rPr>
              <w:t xml:space="preserve"> (banda estrecha) y </w:t>
            </w:r>
            <w:r w:rsidRPr="00915A38">
              <w:rPr>
                <w:rFonts w:eastAsia="MS PGothic"/>
                <w:sz w:val="20"/>
              </w:rPr>
              <w:t>−133,1 dB(W/MHz)</w:t>
            </w:r>
            <w:r w:rsidRPr="00915A38">
              <w:rPr>
                <w:sz w:val="20"/>
              </w:rPr>
              <w:t xml:space="preserve"> (banda amplia).</w:t>
            </w:r>
          </w:p>
          <w:p w:rsidR="003714D4" w:rsidRPr="00915A38" w:rsidRDefault="003714D4" w:rsidP="00915A38">
            <w:pPr>
              <w:pStyle w:val="TableLegendNote"/>
              <w:rPr>
                <w:sz w:val="20"/>
              </w:rPr>
            </w:pPr>
            <w:r w:rsidRPr="00915A38">
              <w:rPr>
                <w:sz w:val="20"/>
              </w:rPr>
              <w:t>NOTA 7 − El nivel de compresión a la entrada se refiere a la potencia en una anchura de banda del filtro precorrelados de 20 MHz.</w:t>
            </w:r>
          </w:p>
          <w:p w:rsidR="003714D4" w:rsidRDefault="003714D4" w:rsidP="00915A38">
            <w:pPr>
              <w:pStyle w:val="TableLegendNote"/>
              <w:rPr>
                <w:sz w:val="20"/>
              </w:rPr>
            </w:pPr>
            <w:r w:rsidRPr="00915A38">
              <w:rPr>
                <w:sz w:val="20"/>
              </w:rPr>
              <w:t>NOTA 8 − El nivel de supervivencia es el nivel de potencia de cresta para una señal impulsiva con un factor de actividad máximo del 10%.</w:t>
            </w:r>
          </w:p>
          <w:p w:rsidR="009C478A" w:rsidRPr="00915A38" w:rsidRDefault="009C478A" w:rsidP="009C478A">
            <w:pPr>
              <w:pStyle w:val="TableLegendNote"/>
              <w:rPr>
                <w:sz w:val="20"/>
              </w:rPr>
            </w:pPr>
            <w:r w:rsidRPr="00915A38">
              <w:rPr>
                <w:sz w:val="20"/>
              </w:rPr>
              <w:t>NOTA 9 − Los valores indicados representan las características típicas de los receptores. Bajo ciertas condiciones, podrían exigirse valores más rígidos para algunos parámetros (por ejemplo, tiempo de recuperación tras una sobrecarga, valores umbral de interferencia combinada, etc.).</w:t>
            </w:r>
          </w:p>
          <w:p w:rsidR="009C478A" w:rsidRPr="009C478A" w:rsidRDefault="009C478A" w:rsidP="009C478A">
            <w:pPr>
              <w:pStyle w:val="TableLegendNote"/>
              <w:rPr>
                <w:sz w:val="20"/>
              </w:rPr>
            </w:pPr>
            <w:r w:rsidRPr="00915A38">
              <w:rPr>
                <w:sz w:val="20"/>
              </w:rPr>
              <w:t xml:space="preserve">NOTA 10 − Este tipo de receptor funciona en varias frecuencias portadoras simultáneamente, las frecuencias portadoras se definen por </w:t>
            </w:r>
            <w:r w:rsidRPr="00915A38">
              <w:rPr>
                <w:i/>
                <w:iCs/>
                <w:sz w:val="20"/>
              </w:rPr>
              <w:t>f</w:t>
            </w:r>
            <w:r w:rsidRPr="00915A38">
              <w:rPr>
                <w:sz w:val="20"/>
                <w:vertAlign w:val="subscript"/>
              </w:rPr>
              <w:t>c</w:t>
            </w:r>
            <w:r w:rsidRPr="00915A38">
              <w:rPr>
                <w:sz w:val="20"/>
              </w:rPr>
              <w:t xml:space="preserve"> (MHz) = 1 204,704 + 0,423</w:t>
            </w:r>
            <w:r w:rsidRPr="00915A38">
              <w:rPr>
                <w:i/>
                <w:iCs/>
                <w:sz w:val="20"/>
              </w:rPr>
              <w:t>K</w:t>
            </w:r>
            <w:r w:rsidRPr="00915A38">
              <w:rPr>
                <w:sz w:val="20"/>
              </w:rPr>
              <w:t xml:space="preserve">, siendo </w:t>
            </w:r>
            <w:r w:rsidRPr="00915A38">
              <w:rPr>
                <w:i/>
                <w:iCs/>
                <w:sz w:val="20"/>
              </w:rPr>
              <w:t>K</w:t>
            </w:r>
            <w:r w:rsidRPr="00915A38">
              <w:rPr>
                <w:sz w:val="20"/>
              </w:rPr>
              <w:t> = −7 a +12 (señales del SRNS).</w:t>
            </w:r>
          </w:p>
        </w:tc>
      </w:tr>
    </w:tbl>
    <w:p w:rsidR="009C478A" w:rsidRDefault="009C478A" w:rsidP="009C478A">
      <w:pPr>
        <w:pStyle w:val="Tablefin"/>
      </w:pPr>
    </w:p>
    <w:tbl>
      <w:tblPr>
        <w:tblW w:w="14459" w:type="dxa"/>
        <w:jc w:val="center"/>
        <w:tblLayout w:type="fixed"/>
        <w:tblLook w:val="0000" w:firstRow="0" w:lastRow="0" w:firstColumn="0" w:lastColumn="0" w:noHBand="0" w:noVBand="0"/>
      </w:tblPr>
      <w:tblGrid>
        <w:gridCol w:w="14459"/>
      </w:tblGrid>
      <w:tr w:rsidR="003714D4" w:rsidRPr="00915A38" w:rsidTr="008F350E">
        <w:trPr>
          <w:jc w:val="center"/>
        </w:trPr>
        <w:tc>
          <w:tcPr>
            <w:tcW w:w="14459" w:type="dxa"/>
            <w:vAlign w:val="center"/>
          </w:tcPr>
          <w:p w:rsidR="009C478A" w:rsidRPr="009C478A" w:rsidRDefault="009C478A" w:rsidP="00915A38">
            <w:pPr>
              <w:pStyle w:val="TableLegendNote"/>
              <w:rPr>
                <w:i/>
                <w:iCs/>
                <w:sz w:val="20"/>
              </w:rPr>
            </w:pPr>
            <w:r w:rsidRPr="009C478A">
              <w:rPr>
                <w:i/>
                <w:iCs/>
              </w:rPr>
              <w:lastRenderedPageBreak/>
              <w:t>Notas relativas al Cuadro 2-1 (continuación):</w:t>
            </w:r>
          </w:p>
          <w:p w:rsidR="003714D4" w:rsidRPr="00915A38" w:rsidRDefault="003714D4" w:rsidP="009C478A">
            <w:pPr>
              <w:pStyle w:val="TableLegendNote"/>
              <w:spacing w:before="160"/>
              <w:rPr>
                <w:sz w:val="20"/>
              </w:rPr>
            </w:pPr>
            <w:r w:rsidRPr="00915A38">
              <w:rPr>
                <w:sz w:val="20"/>
              </w:rPr>
              <w:t>NOTA</w:t>
            </w:r>
            <w:r w:rsidR="009C478A">
              <w:rPr>
                <w:sz w:val="20"/>
              </w:rPr>
              <w:t> </w:t>
            </w:r>
            <w:r w:rsidRPr="00915A38">
              <w:rPr>
                <w:sz w:val="20"/>
              </w:rPr>
              <w:t>11</w:t>
            </w:r>
            <w:r w:rsidR="009C478A">
              <w:rPr>
                <w:sz w:val="20"/>
              </w:rPr>
              <w:t> </w:t>
            </w:r>
            <w:r w:rsidR="009C478A" w:rsidRPr="00915A38">
              <w:rPr>
                <w:sz w:val="20"/>
              </w:rPr>
              <w:t>−</w:t>
            </w:r>
            <w:r w:rsidR="009C478A">
              <w:rPr>
                <w:sz w:val="20"/>
              </w:rPr>
              <w:t> </w:t>
            </w:r>
            <w:r w:rsidRPr="00915A38">
              <w:rPr>
                <w:sz w:val="20"/>
              </w:rPr>
              <w:t>La mínima ganancia de antena del receptor para un ángulo de elevación de 5º es −4,5 dBi.</w:t>
            </w:r>
          </w:p>
          <w:p w:rsidR="003714D4" w:rsidRPr="00915A38" w:rsidRDefault="003714D4" w:rsidP="009C478A">
            <w:pPr>
              <w:pStyle w:val="TableLegendNote"/>
              <w:rPr>
                <w:sz w:val="20"/>
              </w:rPr>
            </w:pPr>
            <w:r w:rsidRPr="00915A38">
              <w:rPr>
                <w:sz w:val="20"/>
              </w:rPr>
              <w:t>NOTA</w:t>
            </w:r>
            <w:r w:rsidR="009C478A">
              <w:rPr>
                <w:sz w:val="20"/>
              </w:rPr>
              <w:t> </w:t>
            </w:r>
            <w:r w:rsidRPr="00915A38">
              <w:rPr>
                <w:sz w:val="20"/>
              </w:rPr>
              <w:t>12</w:t>
            </w:r>
            <w:r w:rsidR="009C478A">
              <w:rPr>
                <w:sz w:val="20"/>
              </w:rPr>
              <w:t> </w:t>
            </w:r>
            <w:r w:rsidR="009C478A" w:rsidRPr="00915A38">
              <w:rPr>
                <w:sz w:val="20"/>
              </w:rPr>
              <w:t>−</w:t>
            </w:r>
            <w:r w:rsidR="009C478A">
              <w:rPr>
                <w:sz w:val="20"/>
              </w:rPr>
              <w:t> </w:t>
            </w:r>
            <w:r w:rsidRPr="00915A38">
              <w:rPr>
                <w:sz w:val="20"/>
              </w:rPr>
              <w:t>Esta columna del Cuadro cubre las características y umbrales de receptores que funcionan en la banda 1</w:t>
            </w:r>
            <w:r w:rsidR="009C478A">
              <w:rPr>
                <w:sz w:val="20"/>
              </w:rPr>
              <w:t> </w:t>
            </w:r>
            <w:r w:rsidRPr="00915A38">
              <w:rPr>
                <w:sz w:val="20"/>
              </w:rPr>
              <w:t>164-1</w:t>
            </w:r>
            <w:r w:rsidR="009C478A">
              <w:rPr>
                <w:sz w:val="20"/>
              </w:rPr>
              <w:t> </w:t>
            </w:r>
            <w:r w:rsidRPr="00915A38">
              <w:rPr>
                <w:sz w:val="20"/>
              </w:rPr>
              <w:t>215 MHz. Para las características y umbrales de receptores que también realizan la adquisición y el seguimiento de señales del SRNS en las bandas 1 215-1 300 MHz y/o 1</w:t>
            </w:r>
            <w:r w:rsidR="009C478A">
              <w:rPr>
                <w:sz w:val="20"/>
              </w:rPr>
              <w:t> </w:t>
            </w:r>
            <w:r w:rsidRPr="00915A38">
              <w:rPr>
                <w:sz w:val="20"/>
              </w:rPr>
              <w:t>559-1</w:t>
            </w:r>
            <w:r w:rsidR="009C478A">
              <w:rPr>
                <w:sz w:val="20"/>
              </w:rPr>
              <w:t> </w:t>
            </w:r>
            <w:r w:rsidRPr="00915A38">
              <w:rPr>
                <w:sz w:val="20"/>
              </w:rPr>
              <w:t>610 MHz véanse además las Recomendaciones UIT</w:t>
            </w:r>
            <w:r w:rsidRPr="00915A38">
              <w:rPr>
                <w:sz w:val="20"/>
              </w:rPr>
              <w:noBreakHyphen/>
              <w:t>R M.1902 y/o UIT</w:t>
            </w:r>
            <w:r w:rsidRPr="00915A38">
              <w:rPr>
                <w:sz w:val="20"/>
              </w:rPr>
              <w:noBreakHyphen/>
              <w:t>R M.1903. Las características y los niveles de protección indicados en esta columna también se aplican a los receptores del SRNS diseñados para funcionar en aplicaciones del SRNS especializadas (véase en el §</w:t>
            </w:r>
            <w:r w:rsidR="009C478A">
              <w:rPr>
                <w:sz w:val="20"/>
              </w:rPr>
              <w:t> </w:t>
            </w:r>
            <w:r w:rsidRPr="00915A38">
              <w:rPr>
                <w:sz w:val="20"/>
              </w:rPr>
              <w:t>2.2 la definición de alta precisión). Los parámetros de la respuesta al impulso para este tipo de receptor deben ser objeto de más estudio en el marco de los trabajos del UIT-R sobre un método de evaluación general de la interferencia de RF impulsiva.</w:t>
            </w:r>
          </w:p>
          <w:p w:rsidR="003714D4" w:rsidRPr="00915A38" w:rsidRDefault="003714D4" w:rsidP="009C478A">
            <w:pPr>
              <w:pStyle w:val="TableLegendNote"/>
              <w:rPr>
                <w:sz w:val="20"/>
              </w:rPr>
            </w:pPr>
            <w:r w:rsidRPr="00915A38">
              <w:rPr>
                <w:sz w:val="20"/>
              </w:rPr>
              <w:t>NOTA</w:t>
            </w:r>
            <w:r w:rsidR="009C478A">
              <w:rPr>
                <w:sz w:val="20"/>
              </w:rPr>
              <w:t> </w:t>
            </w:r>
            <w:r w:rsidRPr="00915A38">
              <w:rPr>
                <w:sz w:val="20"/>
              </w:rPr>
              <w:t>13</w:t>
            </w:r>
            <w:r w:rsidR="009C478A">
              <w:rPr>
                <w:sz w:val="20"/>
              </w:rPr>
              <w:t> </w:t>
            </w:r>
            <w:r w:rsidRPr="00915A38">
              <w:rPr>
                <w:sz w:val="20"/>
              </w:rPr>
              <w:t>−</w:t>
            </w:r>
            <w:r w:rsidR="009C478A">
              <w:rPr>
                <w:sz w:val="20"/>
              </w:rPr>
              <w:t> </w:t>
            </w:r>
            <w:r w:rsidRPr="00915A38">
              <w:rPr>
                <w:sz w:val="20"/>
              </w:rPr>
              <w:t>Este umbral debe tener en cuenta toda la interferencia combinada. El valor umbral no incluye ningún margen de seguridad. Para el procesamiento de la señal con AMDF se considera que la interferencia continua de banda estrecha tiene una anchura de banda inferior a 1</w:t>
            </w:r>
            <w:r w:rsidR="009C478A">
              <w:rPr>
                <w:sz w:val="20"/>
              </w:rPr>
              <w:t> </w:t>
            </w:r>
            <w:r w:rsidRPr="00915A38">
              <w:rPr>
                <w:sz w:val="20"/>
              </w:rPr>
              <w:t>kHz. Se considera que la interferencia continua de banda amplia tiene una anchura de banda superior a 500 kHz.</w:t>
            </w:r>
          </w:p>
        </w:tc>
      </w:tr>
    </w:tbl>
    <w:p w:rsidR="009C478A" w:rsidRDefault="009C478A" w:rsidP="009C478A">
      <w:pPr>
        <w:pStyle w:val="Tablefin"/>
      </w:pPr>
    </w:p>
    <w:p w:rsidR="00A6617B" w:rsidRDefault="00A6617B" w:rsidP="006122AB">
      <w:pPr>
        <w:rPr>
          <w:lang w:val="es-ES_tradnl"/>
        </w:rPr>
      </w:pPr>
    </w:p>
    <w:p w:rsidR="009C478A" w:rsidRPr="008F350E" w:rsidRDefault="009C478A" w:rsidP="006122AB">
      <w:pPr>
        <w:rPr>
          <w:lang w:val="es-ES_tradnl"/>
        </w:rPr>
      </w:pPr>
    </w:p>
    <w:p w:rsidR="006122AB" w:rsidRPr="008F350E" w:rsidRDefault="006122AB" w:rsidP="006122AB">
      <w:pPr>
        <w:pStyle w:val="Line"/>
        <w:ind w:left="6237" w:right="6237"/>
        <w:rPr>
          <w:lang w:val="es-ES_tradnl"/>
        </w:rPr>
      </w:pPr>
    </w:p>
    <w:sectPr w:rsidR="006122AB" w:rsidRPr="008F350E" w:rsidSect="00643418">
      <w:headerReference w:type="even" r:id="rId19"/>
      <w:headerReference w:type="default" r:id="rId20"/>
      <w:footerReference w:type="default" r:id="rId21"/>
      <w:pgSz w:w="16834" w:h="11907" w:orient="landscape" w:code="9"/>
      <w:pgMar w:top="1418"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C23" w:rsidRDefault="00F31C23">
      <w:r>
        <w:separator/>
      </w:r>
    </w:p>
  </w:endnote>
  <w:endnote w:type="continuationSeparator" w:id="0">
    <w:p w:rsidR="00F31C23" w:rsidRDefault="00F31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Pr="00915A38" w:rsidRDefault="00F31C23" w:rsidP="00915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Pr="00554160" w:rsidRDefault="00F31C23">
    <w:pPr>
      <w:pStyle w:val="Footer"/>
      <w:rPr>
        <w:lang w:val="en-US"/>
      </w:rPr>
    </w:pPr>
    <w:r>
      <w:fldChar w:fldCharType="begin"/>
    </w:r>
    <w:r w:rsidRPr="00554160">
      <w:rPr>
        <w:lang w:val="en-US"/>
      </w:rPr>
      <w:instrText xml:space="preserve"> FILENAME \p  \* MERGEFORMAT </w:instrText>
    </w:r>
    <w:r>
      <w:fldChar w:fldCharType="separate"/>
    </w:r>
    <w:r>
      <w:rPr>
        <w:lang w:val="en-US"/>
      </w:rPr>
      <w:t>P:\QPUB\BR\REC\M\1905\M1905S.DOCX</w:t>
    </w:r>
    <w:r>
      <w:fldChar w:fldCharType="end"/>
    </w:r>
    <w:r w:rsidRPr="00554160">
      <w:rPr>
        <w:lang w:val="en-US"/>
      </w:rPr>
      <w:t xml:space="preserve"> (314429)</w:t>
    </w:r>
    <w:r w:rsidRPr="00554160">
      <w:rPr>
        <w:lang w:val="en-US"/>
      </w:rPr>
      <w:tab/>
    </w:r>
    <w:r>
      <w:fldChar w:fldCharType="begin"/>
    </w:r>
    <w:r>
      <w:instrText xml:space="preserve"> SAVEDATE \@ DD.MM.YY </w:instrText>
    </w:r>
    <w:r>
      <w:fldChar w:fldCharType="separate"/>
    </w:r>
    <w:r w:rsidR="004D174B">
      <w:t>22.06.12</w:t>
    </w:r>
    <w:r>
      <w:fldChar w:fldCharType="end"/>
    </w:r>
    <w:r w:rsidRPr="00554160">
      <w:rPr>
        <w:lang w:val="en-US"/>
      </w:rPr>
      <w:tab/>
    </w:r>
    <w:r>
      <w:fldChar w:fldCharType="begin"/>
    </w:r>
    <w:r>
      <w:instrText xml:space="preserve"> PRINTDATE \@ DD.MM.YY </w:instrText>
    </w:r>
    <w:r>
      <w:fldChar w:fldCharType="separate"/>
    </w:r>
    <w:r>
      <w:t>22.06.12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Pr="00915A38" w:rsidRDefault="00F31C23" w:rsidP="00915A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C23" w:rsidRDefault="00F31C23">
      <w:r>
        <w:separator/>
      </w:r>
    </w:p>
  </w:footnote>
  <w:footnote w:type="continuationSeparator" w:id="0">
    <w:p w:rsidR="00F31C23" w:rsidRDefault="00F31C23">
      <w:r>
        <w:continuationSeparator/>
      </w:r>
    </w:p>
  </w:footnote>
  <w:footnote w:id="1">
    <w:p w:rsidR="00F31C23" w:rsidRPr="009E5EE2" w:rsidRDefault="00F31C23" w:rsidP="003714D4">
      <w:pPr>
        <w:pStyle w:val="FootnoteText"/>
        <w:rPr>
          <w:lang w:val="es-ES_tradnl"/>
        </w:rPr>
      </w:pPr>
      <w:r>
        <w:rPr>
          <w:rStyle w:val="FootnoteReference"/>
        </w:rPr>
        <w:footnoteRef/>
      </w:r>
      <w:r w:rsidRPr="009E5EE2">
        <w:rPr>
          <w:lang w:val="es-ES_tradnl"/>
        </w:rPr>
        <w:t xml:space="preserve"> </w:t>
      </w:r>
      <w:r>
        <w:rPr>
          <w:lang w:val="es-ES_tradnl"/>
        </w:rPr>
        <w:tab/>
      </w:r>
      <w:r w:rsidRPr="00507A54">
        <w:rPr>
          <w:lang w:val="es-ES_tradnl"/>
        </w:rPr>
        <w:t>Este texto aparece en el Anexo 5 a la anterior Recomenda</w:t>
      </w:r>
      <w:r>
        <w:rPr>
          <w:lang w:val="es-ES_tradnl"/>
        </w:rPr>
        <w:t>ció</w:t>
      </w:r>
      <w:r w:rsidRPr="00507A54">
        <w:rPr>
          <w:lang w:val="es-ES_tradnl"/>
        </w:rPr>
        <w:t>n U</w:t>
      </w:r>
      <w:r>
        <w:rPr>
          <w:lang w:val="es-ES_tradnl"/>
        </w:rPr>
        <w:t>IT</w:t>
      </w:r>
      <w:r>
        <w:rPr>
          <w:lang w:val="es-ES_tradnl"/>
        </w:rPr>
        <w:noBreakHyphen/>
      </w:r>
      <w:r w:rsidRPr="00507A54">
        <w:rPr>
          <w:lang w:val="es-ES_tradnl"/>
        </w:rPr>
        <w:t>R M.1477 (G</w:t>
      </w:r>
      <w:r>
        <w:rPr>
          <w:lang w:val="es-ES_tradnl"/>
        </w:rPr>
        <w:t>inebra</w:t>
      </w:r>
      <w:r w:rsidRPr="00507A54">
        <w:rPr>
          <w:lang w:val="es-ES_tradnl"/>
        </w:rPr>
        <w:t>, 2000).</w:t>
      </w:r>
    </w:p>
  </w:footnote>
  <w:footnote w:id="2">
    <w:p w:rsidR="00F31C23" w:rsidRPr="00A06A72" w:rsidRDefault="00F31C23" w:rsidP="003714D4">
      <w:pPr>
        <w:pStyle w:val="FootnoteText"/>
        <w:rPr>
          <w:lang w:val="es-ES_tradnl"/>
        </w:rPr>
      </w:pPr>
      <w:r>
        <w:rPr>
          <w:rStyle w:val="FootnoteReference"/>
        </w:rPr>
        <w:footnoteRef/>
      </w:r>
      <w:r w:rsidRPr="00A06A72">
        <w:rPr>
          <w:lang w:val="es-ES_tradnl"/>
        </w:rPr>
        <w:tab/>
        <w:t>GNSS se refiere al sistema mundial de navegación por satélite, que es un conjunto de sistemas del SRNS que proporciona señales de sat</w:t>
      </w:r>
      <w:r>
        <w:rPr>
          <w:lang w:val="es-ES_tradnl"/>
        </w:rPr>
        <w:t>élite para la radionavegación aeronáutica reconocidas por la OACI</w:t>
      </w:r>
      <w:r w:rsidRPr="00A06A72">
        <w:rPr>
          <w:lang w:val="es-ES_tradnl"/>
        </w:rPr>
        <w:t>.</w:t>
      </w:r>
    </w:p>
  </w:footnote>
  <w:footnote w:id="3">
    <w:p w:rsidR="00F31C23" w:rsidRPr="001E07AF" w:rsidRDefault="00F31C23" w:rsidP="003714D4">
      <w:pPr>
        <w:pStyle w:val="FootnoteText"/>
        <w:rPr>
          <w:lang w:val="es-ES_tradnl"/>
        </w:rPr>
      </w:pPr>
      <w:r>
        <w:rPr>
          <w:rStyle w:val="FootnoteReference"/>
        </w:rPr>
        <w:footnoteRef/>
      </w:r>
      <w:r w:rsidRPr="001E07AF">
        <w:rPr>
          <w:lang w:val="es-ES_tradnl"/>
        </w:rPr>
        <w:tab/>
        <w:t>La interferencia no aeronáutica se refiere a la interferencia procedente de fuentes distintas a las del equipo de medici</w:t>
      </w:r>
      <w:r>
        <w:rPr>
          <w:lang w:val="es-ES_tradnl"/>
        </w:rPr>
        <w:t>ón de distancias (DME), a las del sistema de navegación táctica aérea (TACAN) y a los equipos instalados en aeronaves equipadas con receptores del GNSS</w:t>
      </w:r>
      <w:r w:rsidRPr="001E07AF">
        <w:rPr>
          <w:lang w:val="es-ES_tradnl"/>
        </w:rPr>
        <w:t>.</w:t>
      </w:r>
    </w:p>
  </w:footnote>
  <w:footnote w:id="4">
    <w:p w:rsidR="00F31C23" w:rsidRPr="00617224" w:rsidRDefault="00F31C23" w:rsidP="003714D4">
      <w:pPr>
        <w:pStyle w:val="FootnoteText"/>
        <w:rPr>
          <w:lang w:val="es-ES_tradnl"/>
        </w:rPr>
      </w:pPr>
      <w:r>
        <w:rPr>
          <w:rStyle w:val="FootnoteReference"/>
        </w:rPr>
        <w:footnoteRef/>
      </w:r>
      <w:r w:rsidRPr="00617224">
        <w:rPr>
          <w:lang w:val="es-ES_tradnl"/>
        </w:rPr>
        <w:tab/>
        <w:t>SBAS se refiere al sistema de aumento basado en satélite que es un m</w:t>
      </w:r>
      <w:r>
        <w:rPr>
          <w:lang w:val="es-ES_tradnl"/>
        </w:rPr>
        <w:t>étodo para proporcionar la corrección de errores en las mediciones regionales y datos de integridad del SRNS a través de una señal de satélite geoestacionario</w:t>
      </w:r>
      <w:r w:rsidRPr="00617224">
        <w:rPr>
          <w:lang w:val="es-ES_tradnl"/>
        </w:rPr>
        <w:t>.</w:t>
      </w:r>
    </w:p>
  </w:footnote>
  <w:footnote w:id="5">
    <w:p w:rsidR="00F31C23" w:rsidRPr="001533F3" w:rsidRDefault="00F31C23" w:rsidP="003714D4">
      <w:pPr>
        <w:pStyle w:val="FootnoteText"/>
        <w:rPr>
          <w:lang w:val="es-ES_tradnl"/>
        </w:rPr>
      </w:pPr>
      <w:r>
        <w:rPr>
          <w:rStyle w:val="FootnoteReference"/>
        </w:rPr>
        <w:footnoteRef/>
      </w:r>
      <w:r w:rsidRPr="001533F3">
        <w:rPr>
          <w:lang w:val="es-ES_tradnl"/>
        </w:rPr>
        <w:tab/>
        <w:t>La expresión «señales del SRNS y del SBAS con AMDC» se refiere a la utilizaci</w:t>
      </w:r>
      <w:r>
        <w:rPr>
          <w:lang w:val="es-ES_tradnl"/>
        </w:rPr>
        <w:t>ón de una técnica en la que todos los satélites del</w:t>
      </w:r>
      <w:r w:rsidRPr="001533F3">
        <w:rPr>
          <w:lang w:val="es-ES_tradnl"/>
        </w:rPr>
        <w:t xml:space="preserve"> RNSS </w:t>
      </w:r>
      <w:r>
        <w:rPr>
          <w:lang w:val="es-ES_tradnl"/>
        </w:rPr>
        <w:t>y el</w:t>
      </w:r>
      <w:r w:rsidRPr="001533F3">
        <w:rPr>
          <w:lang w:val="es-ES_tradnl"/>
        </w:rPr>
        <w:t xml:space="preserve"> SBAS </w:t>
      </w:r>
      <w:r>
        <w:rPr>
          <w:lang w:val="es-ES_tradnl"/>
        </w:rPr>
        <w:t>transmiten en la misma frecuencia portadora pero con distintos códigos de modulación</w:t>
      </w:r>
      <w:r w:rsidRPr="001533F3">
        <w:rPr>
          <w:lang w:val="es-ES_tradnl"/>
        </w:rPr>
        <w:t xml:space="preserve">. </w:t>
      </w:r>
      <w:r>
        <w:rPr>
          <w:lang w:val="es-ES_tradnl"/>
        </w:rPr>
        <w:t>En el</w:t>
      </w:r>
      <w:r w:rsidRPr="001533F3">
        <w:rPr>
          <w:lang w:val="es-ES_tradnl"/>
        </w:rPr>
        <w:t xml:space="preserve"> Anex</w:t>
      </w:r>
      <w:r>
        <w:rPr>
          <w:lang w:val="es-ES_tradnl"/>
        </w:rPr>
        <w:t>o</w:t>
      </w:r>
      <w:r w:rsidRPr="001533F3">
        <w:rPr>
          <w:lang w:val="es-ES_tradnl"/>
        </w:rPr>
        <w:t xml:space="preserve"> 2 (GPS) </w:t>
      </w:r>
      <w:r>
        <w:rPr>
          <w:lang w:val="es-ES_tradnl"/>
        </w:rPr>
        <w:t xml:space="preserve">de la </w:t>
      </w:r>
      <w:r w:rsidRPr="001533F3">
        <w:rPr>
          <w:lang w:val="es-ES_tradnl"/>
        </w:rPr>
        <w:t>Recomenda</w:t>
      </w:r>
      <w:r>
        <w:rPr>
          <w:lang w:val="es-ES_tradnl"/>
        </w:rPr>
        <w:t>ció</w:t>
      </w:r>
      <w:r w:rsidRPr="001533F3">
        <w:rPr>
          <w:lang w:val="es-ES_tradnl"/>
        </w:rPr>
        <w:t>n U</w:t>
      </w:r>
      <w:r>
        <w:rPr>
          <w:lang w:val="es-ES_tradnl"/>
        </w:rPr>
        <w:t>IT</w:t>
      </w:r>
      <w:r w:rsidRPr="001533F3">
        <w:rPr>
          <w:lang w:val="es-ES_tradnl"/>
        </w:rPr>
        <w:noBreakHyphen/>
        <w:t>R M.1787</w:t>
      </w:r>
      <w:r>
        <w:rPr>
          <w:lang w:val="es-ES_tradnl"/>
        </w:rPr>
        <w:t xml:space="preserve"> aparecen más detalles sobre la señal</w:t>
      </w:r>
      <w:r w:rsidRPr="001533F3">
        <w:rPr>
          <w:lang w:val="es-ES_tradnl"/>
        </w:rPr>
        <w:t>.</w:t>
      </w:r>
    </w:p>
  </w:footnote>
  <w:footnote w:id="6">
    <w:p w:rsidR="00F31C23" w:rsidRPr="00FC3522" w:rsidRDefault="00F31C23" w:rsidP="003714D4">
      <w:pPr>
        <w:pStyle w:val="FootnoteText"/>
        <w:rPr>
          <w:lang w:val="es-ES_tradnl"/>
        </w:rPr>
      </w:pPr>
      <w:r>
        <w:rPr>
          <w:rStyle w:val="FootnoteReference"/>
        </w:rPr>
        <w:footnoteRef/>
      </w:r>
      <w:r w:rsidRPr="00FC3522">
        <w:rPr>
          <w:lang w:val="es-ES_tradnl"/>
        </w:rPr>
        <w:tab/>
      </w:r>
      <w:r w:rsidRPr="001533F3">
        <w:rPr>
          <w:lang w:val="es-ES_tradnl"/>
        </w:rPr>
        <w:t>La expresión «señales del SRNS con AMDC» se refiere</w:t>
      </w:r>
      <w:r>
        <w:rPr>
          <w:lang w:val="es-ES_tradnl"/>
        </w:rPr>
        <w:t xml:space="preserve"> a una técnica en la que todos los satélites del SRNS utilizan el mismo código de modulación pero cada satélite transmite en una frecuencia portadora distinta. En el Anexo 1 (GLONASS) a la Recomendación UIT-R M.1787 aparecen más detalles sobre la señal.</w:t>
      </w:r>
    </w:p>
  </w:footnote>
  <w:footnote w:id="7">
    <w:p w:rsidR="00F31C23" w:rsidRPr="008D007B" w:rsidRDefault="00F31C23" w:rsidP="003714D4">
      <w:pPr>
        <w:pStyle w:val="FootnoteText"/>
        <w:rPr>
          <w:lang w:val="es-ES_tradnl"/>
        </w:rPr>
      </w:pPr>
      <w:r>
        <w:rPr>
          <w:rStyle w:val="FootnoteReference"/>
        </w:rPr>
        <w:footnoteRef/>
      </w:r>
      <w:r w:rsidRPr="008D007B">
        <w:rPr>
          <w:lang w:val="es-ES_tradnl"/>
        </w:rPr>
        <w:tab/>
        <w:t>En el Anexo 3 (Galileo) a la Recomendaci</w:t>
      </w:r>
      <w:r>
        <w:rPr>
          <w:lang w:val="es-ES_tradnl"/>
        </w:rPr>
        <w:t>ó</w:t>
      </w:r>
      <w:r w:rsidRPr="008D007B">
        <w:rPr>
          <w:lang w:val="es-ES_tradnl"/>
        </w:rPr>
        <w:t>n U</w:t>
      </w:r>
      <w:r>
        <w:rPr>
          <w:lang w:val="es-ES_tradnl"/>
        </w:rPr>
        <w:t>IT</w:t>
      </w:r>
      <w:r w:rsidRPr="008D007B">
        <w:rPr>
          <w:lang w:val="es-ES_tradnl"/>
        </w:rPr>
        <w:noBreakHyphen/>
        <w:t xml:space="preserve">R M.1787 </w:t>
      </w:r>
      <w:r>
        <w:rPr>
          <w:lang w:val="es-ES_tradnl"/>
        </w:rPr>
        <w:t>aparecen más detalles sobre la señal E5a</w:t>
      </w:r>
      <w:r w:rsidRPr="008D007B">
        <w:rPr>
          <w:lang w:val="es-ES_tradnl"/>
        </w:rPr>
        <w:t>.</w:t>
      </w:r>
    </w:p>
  </w:footnote>
  <w:footnote w:id="8">
    <w:p w:rsidR="00F31C23" w:rsidRPr="00453CEF" w:rsidRDefault="00F31C23" w:rsidP="003714D4">
      <w:pPr>
        <w:pStyle w:val="FootnoteText"/>
        <w:rPr>
          <w:lang w:val="es-ES_tradnl"/>
        </w:rPr>
      </w:pPr>
      <w:r>
        <w:rPr>
          <w:rStyle w:val="FootnoteReference"/>
        </w:rPr>
        <w:footnoteRef/>
      </w:r>
      <w:r w:rsidRPr="00453CEF">
        <w:rPr>
          <w:lang w:val="es-ES_tradnl"/>
        </w:rPr>
        <w:tab/>
      </w:r>
      <w:r w:rsidRPr="008D007B">
        <w:rPr>
          <w:lang w:val="es-ES_tradnl"/>
        </w:rPr>
        <w:t xml:space="preserve">En el Anexo </w:t>
      </w:r>
      <w:r>
        <w:rPr>
          <w:lang w:val="es-ES_tradnl"/>
        </w:rPr>
        <w:t>7</w:t>
      </w:r>
      <w:r w:rsidRPr="008D007B">
        <w:rPr>
          <w:lang w:val="es-ES_tradnl"/>
        </w:rPr>
        <w:t xml:space="preserve"> </w:t>
      </w:r>
      <w:r w:rsidRPr="00453CEF">
        <w:rPr>
          <w:lang w:val="es-ES_tradnl"/>
        </w:rPr>
        <w:t xml:space="preserve">(COMPASS) </w:t>
      </w:r>
      <w:r w:rsidRPr="008D007B">
        <w:rPr>
          <w:lang w:val="es-ES_tradnl"/>
        </w:rPr>
        <w:t>a la Recomendaci</w:t>
      </w:r>
      <w:r>
        <w:rPr>
          <w:lang w:val="es-ES_tradnl"/>
        </w:rPr>
        <w:t>ó</w:t>
      </w:r>
      <w:r w:rsidRPr="008D007B">
        <w:rPr>
          <w:lang w:val="es-ES_tradnl"/>
        </w:rPr>
        <w:t>n U</w:t>
      </w:r>
      <w:r>
        <w:rPr>
          <w:lang w:val="es-ES_tradnl"/>
        </w:rPr>
        <w:t>IT</w:t>
      </w:r>
      <w:r w:rsidRPr="008D007B">
        <w:rPr>
          <w:lang w:val="es-ES_tradnl"/>
        </w:rPr>
        <w:noBreakHyphen/>
        <w:t xml:space="preserve">R M.1787 </w:t>
      </w:r>
      <w:r>
        <w:rPr>
          <w:lang w:val="es-ES_tradnl"/>
        </w:rPr>
        <w:t>aparecen más detalles sobre la señal </w:t>
      </w:r>
      <w:r w:rsidRPr="009F2634">
        <w:rPr>
          <w:lang w:val="es-ES_tradnl"/>
        </w:rPr>
        <w:t>B2</w:t>
      </w:r>
      <w:r w:rsidRPr="008D007B">
        <w:rPr>
          <w:lang w:val="es-ES_tradnl"/>
        </w:rPr>
        <w:t>.</w:t>
      </w:r>
    </w:p>
  </w:footnote>
  <w:footnote w:id="9">
    <w:p w:rsidR="00F31C23" w:rsidRPr="00B6757E" w:rsidRDefault="00F31C23" w:rsidP="003714D4">
      <w:pPr>
        <w:pStyle w:val="FootnoteText"/>
        <w:rPr>
          <w:lang w:val="es-ES_tradnl"/>
        </w:rPr>
      </w:pPr>
      <w:r>
        <w:rPr>
          <w:rStyle w:val="FootnoteReference"/>
        </w:rPr>
        <w:footnoteRef/>
      </w:r>
      <w:r w:rsidRPr="00B6757E">
        <w:rPr>
          <w:lang w:val="es-ES_tradnl"/>
        </w:rPr>
        <w:tab/>
        <w:t xml:space="preserve">RTCA, con sede en Estados Unidos de América, </w:t>
      </w:r>
      <w:r>
        <w:rPr>
          <w:lang w:val="es-ES_tradnl"/>
        </w:rPr>
        <w:t>y</w:t>
      </w:r>
      <w:r w:rsidRPr="00B6757E">
        <w:rPr>
          <w:lang w:val="es-ES_tradnl"/>
        </w:rPr>
        <w:t xml:space="preserve"> EUROCAE </w:t>
      </w:r>
      <w:r>
        <w:rPr>
          <w:lang w:val="es-ES_tradnl"/>
        </w:rPr>
        <w:t>con sede en</w:t>
      </w:r>
      <w:r w:rsidRPr="00B6757E">
        <w:rPr>
          <w:lang w:val="es-ES_tradnl"/>
        </w:rPr>
        <w:t xml:space="preserve"> Europ</w:t>
      </w:r>
      <w:r>
        <w:rPr>
          <w:lang w:val="es-ES_tradnl"/>
        </w:rPr>
        <w:t>a</w:t>
      </w:r>
      <w:r w:rsidRPr="00B6757E">
        <w:rPr>
          <w:lang w:val="es-ES_tradnl"/>
        </w:rPr>
        <w:t>.</w:t>
      </w:r>
    </w:p>
  </w:footnote>
  <w:footnote w:id="10">
    <w:p w:rsidR="00F31C23" w:rsidRDefault="00F31C23" w:rsidP="003714D4">
      <w:pPr>
        <w:pStyle w:val="FootnoteText"/>
        <w:rPr>
          <w:lang w:val="en-US"/>
        </w:rPr>
      </w:pPr>
      <w:r>
        <w:rPr>
          <w:rStyle w:val="FootnoteReference"/>
        </w:rPr>
        <w:footnoteRef/>
      </w:r>
      <w:r w:rsidRPr="00666EA9">
        <w:rPr>
          <w:lang w:val="en-US"/>
        </w:rPr>
        <w:tab/>
        <w:t>RTCA SC-</w:t>
      </w:r>
      <w:r>
        <w:rPr>
          <w:lang w:val="en-US"/>
        </w:rPr>
        <w:t>159</w:t>
      </w:r>
      <w:r w:rsidRPr="00666EA9">
        <w:rPr>
          <w:lang w:val="en-US"/>
        </w:rPr>
        <w:t xml:space="preserve">, </w:t>
      </w:r>
      <w:r>
        <w:rPr>
          <w:lang w:val="en-US"/>
        </w:rPr>
        <w:t>«</w:t>
      </w:r>
      <w:r w:rsidRPr="00666EA9">
        <w:rPr>
          <w:lang w:val="en-US"/>
        </w:rPr>
        <w:t>Assessment of the Radio Frequency Interference Relevant to the GNSS L5/E5A Frequency Band</w:t>
      </w:r>
      <w:r>
        <w:rPr>
          <w:lang w:val="en-US"/>
        </w:rPr>
        <w:t>»</w:t>
      </w:r>
      <w:r w:rsidRPr="00666EA9">
        <w:rPr>
          <w:lang w:val="en-US"/>
        </w:rPr>
        <w:t>, RTCA Document N</w:t>
      </w:r>
      <w:r>
        <w:rPr>
          <w:lang w:val="en-US"/>
        </w:rPr>
        <w:t>º</w:t>
      </w:r>
      <w:r w:rsidRPr="00666EA9">
        <w:rPr>
          <w:lang w:val="en-US"/>
        </w:rPr>
        <w:t> </w:t>
      </w:r>
      <w:r w:rsidRPr="00B6757E">
        <w:rPr>
          <w:lang w:val="en-US"/>
        </w:rPr>
        <w:t>RTCA/DO-292, Washington, DC, 29 </w:t>
      </w:r>
      <w:r>
        <w:rPr>
          <w:lang w:val="en-US"/>
        </w:rPr>
        <w:t xml:space="preserve">de julio de </w:t>
      </w:r>
      <w:r w:rsidRPr="00B6757E">
        <w:rPr>
          <w:lang w:val="en-US"/>
        </w:rPr>
        <w:t>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Default="00F31C2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Default="00F31C23" w:rsidP="008F350E">
    <w:pPr>
      <w:ind w:right="360" w:firstLine="360"/>
    </w:pPr>
    <w:r>
      <w:rPr>
        <w:noProof/>
        <w:lang w:val="en-US" w:eastAsia="zh-CN"/>
      </w:rPr>
      <w:drawing>
        <wp:anchor distT="0" distB="0" distL="114300" distR="114300" simplePos="0" relativeHeight="251659264" behindDoc="1" locked="0" layoutInCell="1" allowOverlap="1" wp14:anchorId="75E9047D" wp14:editId="075E1EF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Default="00F31C23" w:rsidP="008F350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D174B">
      <w:rPr>
        <w:rStyle w:val="PageNumber"/>
        <w:b/>
        <w:bCs/>
        <w:noProof/>
      </w:rPr>
      <w:t>ii</w:t>
    </w:r>
    <w:r>
      <w:rPr>
        <w:rStyle w:val="PageNumber"/>
        <w:b/>
        <w:bCs/>
      </w:rPr>
      <w:fldChar w:fldCharType="end"/>
    </w:r>
    <w:r>
      <w:tab/>
    </w:r>
    <w:r w:rsidR="004D174B">
      <w:fldChar w:fldCharType="begin"/>
    </w:r>
    <w:r w:rsidR="004D174B">
      <w:instrText xml:space="preserve"> DOCPROPERTY "Header" \* MERGEFORMAT </w:instrText>
    </w:r>
    <w:r w:rsidR="004D174B">
      <w:fldChar w:fldCharType="separate"/>
    </w:r>
    <w:r w:rsidRPr="00F31C23">
      <w:rPr>
        <w:b/>
        <w:bCs/>
      </w:rPr>
      <w:t xml:space="preserve">Rec. </w:t>
    </w:r>
    <w:r w:rsidR="004D174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D174B">
      <w:rPr>
        <w:b/>
        <w:bCs/>
        <w:noProof/>
      </w:rPr>
      <w:t>ITU-R  M.1905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Default="00F31C23">
    <w:r>
      <w:tab/>
    </w:r>
    <w:r w:rsidR="004D174B">
      <w:fldChar w:fldCharType="begin"/>
    </w:r>
    <w:r w:rsidR="004D174B">
      <w:instrText xml:space="preserve"> DOCPROPERTY "Header" \* MERGEFORMAT </w:instrText>
    </w:r>
    <w:r w:rsidR="004D174B">
      <w:fldChar w:fldCharType="separate"/>
    </w:r>
    <w:r w:rsidRPr="00F31C23">
      <w:rPr>
        <w:b/>
        <w:bCs/>
      </w:rPr>
      <w:t xml:space="preserve">Rec. </w:t>
    </w:r>
    <w:r w:rsidR="004D174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M.1905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Pr="00FC42AF" w:rsidRDefault="00F31C23" w:rsidP="008F350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D174B">
      <w:rPr>
        <w:rStyle w:val="PageNumber"/>
        <w:b/>
        <w:bCs/>
        <w:noProof/>
      </w:rPr>
      <w:t>6</w:t>
    </w:r>
    <w:r>
      <w:rPr>
        <w:rStyle w:val="PageNumber"/>
        <w:b/>
        <w:bCs/>
      </w:rPr>
      <w:fldChar w:fldCharType="end"/>
    </w:r>
    <w:r w:rsidRPr="00FC42AF">
      <w:tab/>
    </w:r>
    <w:r w:rsidR="004D174B">
      <w:fldChar w:fldCharType="begin"/>
    </w:r>
    <w:r w:rsidR="004D174B">
      <w:instrText xml:space="preserve"> DOCPROPERTY "Header" \* MERGEFORMAT </w:instrText>
    </w:r>
    <w:r w:rsidR="004D174B">
      <w:fldChar w:fldCharType="separate"/>
    </w:r>
    <w:r w:rsidRPr="00F31C23">
      <w:rPr>
        <w:b/>
        <w:bCs/>
      </w:rPr>
      <w:t xml:space="preserve">Rec. </w:t>
    </w:r>
    <w:r w:rsidR="004D174B">
      <w:rPr>
        <w:b/>
        <w:bCs/>
      </w:rPr>
      <w:fldChar w:fldCharType="end"/>
    </w:r>
    <w:r>
      <w:rPr>
        <w:b/>
        <w:bCs/>
      </w:rPr>
      <w:t xml:space="preserve"> ITU-R  M.1905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Pr="008738B5" w:rsidRDefault="00F31C23" w:rsidP="008F350E">
    <w:pPr>
      <w:pStyle w:val="Header"/>
      <w:jc w:val="left"/>
    </w:pPr>
    <w:r w:rsidRPr="00FC42AF">
      <w:tab/>
    </w:r>
    <w:r w:rsidR="004D174B">
      <w:fldChar w:fldCharType="begin"/>
    </w:r>
    <w:r w:rsidR="004D174B">
      <w:instrText xml:space="preserve"> DOCPROPERTY "Header" \* MERGEFORMAT </w:instrText>
    </w:r>
    <w:r w:rsidR="004D174B">
      <w:fldChar w:fldCharType="separate"/>
    </w:r>
    <w:r w:rsidRPr="00F31C23">
      <w:rPr>
        <w:b/>
        <w:bCs/>
      </w:rPr>
      <w:t xml:space="preserve">Rec. </w:t>
    </w:r>
    <w:r w:rsidR="004D174B">
      <w:rPr>
        <w:b/>
        <w:bCs/>
      </w:rPr>
      <w:fldChar w:fldCharType="end"/>
    </w:r>
    <w:r>
      <w:rPr>
        <w:b/>
        <w:bCs/>
      </w:rPr>
      <w:t xml:space="preserve"> ITU-R  M.1905</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D174B">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Default="00F31C23" w:rsidP="0055532F">
    <w:pPr>
      <w:pStyle w:val="Header"/>
      <w:tabs>
        <w:tab w:val="clear" w:pos="4848"/>
        <w:tab w:val="clear" w:pos="9696"/>
        <w:tab w:val="center" w:pos="7116"/>
        <w:tab w:val="right" w:pos="14487"/>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174B">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31C2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D174B">
      <w:rPr>
        <w:b/>
        <w:bCs/>
        <w:noProof/>
      </w:rPr>
      <w:t>ITU-R  M.1905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C23" w:rsidRDefault="00F31C23" w:rsidP="0055532F">
    <w:pPr>
      <w:pStyle w:val="Header"/>
      <w:tabs>
        <w:tab w:val="clear" w:pos="4848"/>
        <w:tab w:val="clear" w:pos="9696"/>
        <w:tab w:val="center" w:pos="7116"/>
        <w:tab w:val="right" w:pos="14487"/>
      </w:tabs>
    </w:pPr>
    <w:r>
      <w:ptab w:relativeTo="margin" w:alignment="center" w:leader="none"/>
    </w:r>
    <w:r w:rsidR="004D174B">
      <w:fldChar w:fldCharType="begin"/>
    </w:r>
    <w:r w:rsidR="004D174B">
      <w:instrText xml:space="preserve"> DOCPROPERTY "Header" \* MERGEFORMAT </w:instrText>
    </w:r>
    <w:r w:rsidR="004D174B">
      <w:fldChar w:fldCharType="separate"/>
    </w:r>
    <w:r w:rsidRPr="00F31C23">
      <w:rPr>
        <w:b/>
        <w:bCs/>
      </w:rPr>
      <w:t xml:space="preserve">Rec. </w:t>
    </w:r>
    <w:r w:rsidR="004D174B">
      <w:rPr>
        <w:b/>
        <w:bCs/>
      </w:rPr>
      <w:fldChar w:fldCharType="end"/>
    </w:r>
    <w:r>
      <w:rPr>
        <w:b/>
        <w:bCs/>
      </w:rPr>
      <w:t xml:space="preserve"> </w:t>
    </w:r>
    <w:r>
      <w:rPr>
        <w:b/>
        <w:bCs/>
      </w:rPr>
      <w:fldChar w:fldCharType="begin"/>
    </w:r>
    <w:r>
      <w:rPr>
        <w:b/>
        <w:bCs/>
      </w:rPr>
      <w:instrText>styleref href</w:instrText>
    </w:r>
    <w:r>
      <w:rPr>
        <w:b/>
        <w:bCs/>
      </w:rPr>
      <w:fldChar w:fldCharType="separate"/>
    </w:r>
    <w:r w:rsidR="004D174B">
      <w:rPr>
        <w:b/>
        <w:bCs/>
        <w:noProof/>
      </w:rPr>
      <w:t>ITU-R  M.1905</w:t>
    </w:r>
    <w:r>
      <w:rPr>
        <w:b/>
        <w:bCs/>
      </w:rPr>
      <w:fldChar w:fldCharType="end"/>
    </w:r>
    <w:r>
      <w:rPr>
        <w:b/>
        <w:bCs/>
      </w:rPr>
      <w:tab/>
    </w:r>
    <w:r w:rsidRPr="00577E5F">
      <w:rPr>
        <w:b/>
        <w:bCs/>
      </w:rPr>
      <w:fldChar w:fldCharType="begin"/>
    </w:r>
    <w:r w:rsidRPr="00577E5F">
      <w:rPr>
        <w:b/>
        <w:bCs/>
      </w:rPr>
      <w:instrText xml:space="preserve"> PAGE   \* MERGEFORMAT </w:instrText>
    </w:r>
    <w:r w:rsidRPr="00577E5F">
      <w:rPr>
        <w:b/>
        <w:bCs/>
      </w:rPr>
      <w:fldChar w:fldCharType="separate"/>
    </w:r>
    <w:r w:rsidR="004D174B">
      <w:rPr>
        <w:b/>
        <w:bCs/>
        <w:noProof/>
      </w:rPr>
      <w:t>9</w:t>
    </w:r>
    <w:r w:rsidRPr="00577E5F">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AAC9AA"/>
    <w:lvl w:ilvl="0">
      <w:start w:val="1"/>
      <w:numFmt w:val="decimal"/>
      <w:lvlText w:val="%1."/>
      <w:lvlJc w:val="left"/>
      <w:pPr>
        <w:tabs>
          <w:tab w:val="num" w:pos="1492"/>
        </w:tabs>
        <w:ind w:left="1492" w:hanging="360"/>
      </w:pPr>
    </w:lvl>
  </w:abstractNum>
  <w:abstractNum w:abstractNumId="1">
    <w:nsid w:val="FFFFFF7D"/>
    <w:multiLevelType w:val="singleLevel"/>
    <w:tmpl w:val="0F9C2BD4"/>
    <w:lvl w:ilvl="0">
      <w:start w:val="1"/>
      <w:numFmt w:val="decimal"/>
      <w:lvlText w:val="%1."/>
      <w:lvlJc w:val="left"/>
      <w:pPr>
        <w:tabs>
          <w:tab w:val="num" w:pos="1209"/>
        </w:tabs>
        <w:ind w:left="1209" w:hanging="360"/>
      </w:pPr>
    </w:lvl>
  </w:abstractNum>
  <w:abstractNum w:abstractNumId="2">
    <w:nsid w:val="FFFFFF7E"/>
    <w:multiLevelType w:val="singleLevel"/>
    <w:tmpl w:val="4282E4E0"/>
    <w:lvl w:ilvl="0">
      <w:start w:val="1"/>
      <w:numFmt w:val="decimal"/>
      <w:lvlText w:val="%1."/>
      <w:lvlJc w:val="left"/>
      <w:pPr>
        <w:tabs>
          <w:tab w:val="num" w:pos="926"/>
        </w:tabs>
        <w:ind w:left="926" w:hanging="360"/>
      </w:pPr>
    </w:lvl>
  </w:abstractNum>
  <w:abstractNum w:abstractNumId="3">
    <w:nsid w:val="FFFFFF7F"/>
    <w:multiLevelType w:val="singleLevel"/>
    <w:tmpl w:val="792899B6"/>
    <w:lvl w:ilvl="0">
      <w:start w:val="1"/>
      <w:numFmt w:val="decimal"/>
      <w:lvlText w:val="%1."/>
      <w:lvlJc w:val="left"/>
      <w:pPr>
        <w:tabs>
          <w:tab w:val="num" w:pos="643"/>
        </w:tabs>
        <w:ind w:left="643" w:hanging="360"/>
      </w:pPr>
    </w:lvl>
  </w:abstractNum>
  <w:abstractNum w:abstractNumId="4">
    <w:nsid w:val="FFFFFF80"/>
    <w:multiLevelType w:val="singleLevel"/>
    <w:tmpl w:val="35F0C6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1070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6CE4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5605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A67EB6"/>
    <w:lvl w:ilvl="0">
      <w:start w:val="1"/>
      <w:numFmt w:val="decimal"/>
      <w:lvlText w:val="%1."/>
      <w:lvlJc w:val="left"/>
      <w:pPr>
        <w:tabs>
          <w:tab w:val="num" w:pos="360"/>
        </w:tabs>
        <w:ind w:left="360" w:hanging="360"/>
      </w:pPr>
    </w:lvl>
  </w:abstractNum>
  <w:abstractNum w:abstractNumId="9">
    <w:nsid w:val="FFFFFF89"/>
    <w:multiLevelType w:val="singleLevel"/>
    <w:tmpl w:val="18F4AAF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D4"/>
    <w:rsid w:val="000E4E45"/>
    <w:rsid w:val="00217EBF"/>
    <w:rsid w:val="00224D54"/>
    <w:rsid w:val="00242AEE"/>
    <w:rsid w:val="002D76C4"/>
    <w:rsid w:val="003714D4"/>
    <w:rsid w:val="003A5662"/>
    <w:rsid w:val="00443541"/>
    <w:rsid w:val="004D174B"/>
    <w:rsid w:val="0052529D"/>
    <w:rsid w:val="0055532F"/>
    <w:rsid w:val="00577E5F"/>
    <w:rsid w:val="00607D68"/>
    <w:rsid w:val="006122AB"/>
    <w:rsid w:val="00643418"/>
    <w:rsid w:val="007468DA"/>
    <w:rsid w:val="0078400D"/>
    <w:rsid w:val="008F350E"/>
    <w:rsid w:val="00915A38"/>
    <w:rsid w:val="009313E0"/>
    <w:rsid w:val="009C478A"/>
    <w:rsid w:val="009E00A8"/>
    <w:rsid w:val="00A6617B"/>
    <w:rsid w:val="00A9137E"/>
    <w:rsid w:val="00A92104"/>
    <w:rsid w:val="00AA1CB1"/>
    <w:rsid w:val="00AB0DC8"/>
    <w:rsid w:val="00B44E24"/>
    <w:rsid w:val="00CE5F4D"/>
    <w:rsid w:val="00DE11B8"/>
    <w:rsid w:val="00DF4176"/>
    <w:rsid w:val="00DF44F2"/>
    <w:rsid w:val="00EB023E"/>
    <w:rsid w:val="00F07A7E"/>
    <w:rsid w:val="00F31C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714D4"/>
    <w:rPr>
      <w:color w:val="0000FF"/>
      <w:u w:val="single"/>
    </w:rPr>
  </w:style>
  <w:style w:type="character" w:customStyle="1" w:styleId="Heading1Char">
    <w:name w:val="Heading 1 Char"/>
    <w:basedOn w:val="DefaultParagraphFont"/>
    <w:link w:val="Heading1"/>
    <w:rsid w:val="003714D4"/>
    <w:rPr>
      <w:b/>
      <w:sz w:val="24"/>
      <w:lang w:val="fr-FR" w:eastAsia="en-US"/>
    </w:rPr>
  </w:style>
  <w:style w:type="character" w:customStyle="1" w:styleId="Heading2Char">
    <w:name w:val="Heading 2 Char"/>
    <w:basedOn w:val="DefaultParagraphFont"/>
    <w:link w:val="Heading2"/>
    <w:rsid w:val="003714D4"/>
    <w:rPr>
      <w:b/>
      <w:sz w:val="24"/>
      <w:lang w:val="fr-FR" w:eastAsia="en-US"/>
    </w:rPr>
  </w:style>
  <w:style w:type="character" w:customStyle="1" w:styleId="HeaderChar">
    <w:name w:val="Header Char"/>
    <w:basedOn w:val="DefaultParagraphFont"/>
    <w:link w:val="Header"/>
    <w:rsid w:val="003714D4"/>
    <w:rPr>
      <w:sz w:val="24"/>
      <w:lang w:val="fr-FR" w:eastAsia="en-US"/>
    </w:rPr>
  </w:style>
  <w:style w:type="character" w:customStyle="1" w:styleId="FooterChar">
    <w:name w:val="Footer Char"/>
    <w:basedOn w:val="DefaultParagraphFont"/>
    <w:link w:val="Footer"/>
    <w:rsid w:val="003714D4"/>
    <w:rPr>
      <w:noProof/>
      <w:sz w:val="18"/>
      <w:lang w:val="fr-FR" w:eastAsia="en-US"/>
    </w:rPr>
  </w:style>
  <w:style w:type="character" w:customStyle="1" w:styleId="FootnoteTextChar">
    <w:name w:val="Footnote Text Char"/>
    <w:basedOn w:val="DefaultParagraphFont"/>
    <w:link w:val="FootnoteText"/>
    <w:rsid w:val="003714D4"/>
    <w:rPr>
      <w:sz w:val="22"/>
      <w:lang w:val="fr-FR" w:eastAsia="en-US"/>
    </w:rPr>
  </w:style>
  <w:style w:type="character" w:customStyle="1" w:styleId="enumlev1Char">
    <w:name w:val="enumlev1 Char"/>
    <w:link w:val="enumlev1"/>
    <w:locked/>
    <w:rsid w:val="003714D4"/>
    <w:rPr>
      <w:sz w:val="24"/>
      <w:lang w:val="fr-FR" w:eastAsia="en-US"/>
    </w:rPr>
  </w:style>
  <w:style w:type="character" w:customStyle="1" w:styleId="Rectitle0">
    <w:name w:val="Rec_title Знак"/>
    <w:link w:val="Rectitle"/>
    <w:locked/>
    <w:rsid w:val="003714D4"/>
    <w:rPr>
      <w:b/>
      <w:sz w:val="28"/>
      <w:lang w:val="fr-FR" w:eastAsia="en-US"/>
    </w:rPr>
  </w:style>
  <w:style w:type="character" w:customStyle="1" w:styleId="TableNoChar">
    <w:name w:val="Table_No Char"/>
    <w:link w:val="TableNo"/>
    <w:locked/>
    <w:rsid w:val="003714D4"/>
    <w:rPr>
      <w:sz w:val="24"/>
      <w:lang w:val="fr-FR" w:eastAsia="en-US"/>
    </w:rPr>
  </w:style>
  <w:style w:type="character" w:customStyle="1" w:styleId="Tabletitle0">
    <w:name w:val="Table_title Знак"/>
    <w:link w:val="Tabletitle"/>
    <w:locked/>
    <w:rsid w:val="003714D4"/>
    <w:rPr>
      <w:b/>
      <w:sz w:val="24"/>
      <w:lang w:val="fr-FR" w:eastAsia="en-US"/>
    </w:rPr>
  </w:style>
  <w:style w:type="paragraph" w:customStyle="1" w:styleId="Reasons">
    <w:name w:val="Reasons"/>
    <w:basedOn w:val="Normal"/>
    <w:qFormat/>
    <w:rsid w:val="003714D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78400D"/>
    <w:pPr>
      <w:spacing w:before="0"/>
    </w:pPr>
    <w:rPr>
      <w:rFonts w:ascii="Tahoma" w:hAnsi="Tahoma" w:cs="Tahoma"/>
      <w:sz w:val="16"/>
      <w:szCs w:val="16"/>
    </w:rPr>
  </w:style>
  <w:style w:type="character" w:customStyle="1" w:styleId="BalloonTextChar">
    <w:name w:val="Balloon Text Char"/>
    <w:basedOn w:val="DefaultParagraphFont"/>
    <w:link w:val="BalloonText"/>
    <w:rsid w:val="0078400D"/>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714D4"/>
    <w:rPr>
      <w:color w:val="0000FF"/>
      <w:u w:val="single"/>
    </w:rPr>
  </w:style>
  <w:style w:type="character" w:customStyle="1" w:styleId="Heading1Char">
    <w:name w:val="Heading 1 Char"/>
    <w:basedOn w:val="DefaultParagraphFont"/>
    <w:link w:val="Heading1"/>
    <w:rsid w:val="003714D4"/>
    <w:rPr>
      <w:b/>
      <w:sz w:val="24"/>
      <w:lang w:val="fr-FR" w:eastAsia="en-US"/>
    </w:rPr>
  </w:style>
  <w:style w:type="character" w:customStyle="1" w:styleId="Heading2Char">
    <w:name w:val="Heading 2 Char"/>
    <w:basedOn w:val="DefaultParagraphFont"/>
    <w:link w:val="Heading2"/>
    <w:rsid w:val="003714D4"/>
    <w:rPr>
      <w:b/>
      <w:sz w:val="24"/>
      <w:lang w:val="fr-FR" w:eastAsia="en-US"/>
    </w:rPr>
  </w:style>
  <w:style w:type="character" w:customStyle="1" w:styleId="HeaderChar">
    <w:name w:val="Header Char"/>
    <w:basedOn w:val="DefaultParagraphFont"/>
    <w:link w:val="Header"/>
    <w:rsid w:val="003714D4"/>
    <w:rPr>
      <w:sz w:val="24"/>
      <w:lang w:val="fr-FR" w:eastAsia="en-US"/>
    </w:rPr>
  </w:style>
  <w:style w:type="character" w:customStyle="1" w:styleId="FooterChar">
    <w:name w:val="Footer Char"/>
    <w:basedOn w:val="DefaultParagraphFont"/>
    <w:link w:val="Footer"/>
    <w:rsid w:val="003714D4"/>
    <w:rPr>
      <w:noProof/>
      <w:sz w:val="18"/>
      <w:lang w:val="fr-FR" w:eastAsia="en-US"/>
    </w:rPr>
  </w:style>
  <w:style w:type="character" w:customStyle="1" w:styleId="FootnoteTextChar">
    <w:name w:val="Footnote Text Char"/>
    <w:basedOn w:val="DefaultParagraphFont"/>
    <w:link w:val="FootnoteText"/>
    <w:rsid w:val="003714D4"/>
    <w:rPr>
      <w:sz w:val="22"/>
      <w:lang w:val="fr-FR" w:eastAsia="en-US"/>
    </w:rPr>
  </w:style>
  <w:style w:type="character" w:customStyle="1" w:styleId="enumlev1Char">
    <w:name w:val="enumlev1 Char"/>
    <w:link w:val="enumlev1"/>
    <w:locked/>
    <w:rsid w:val="003714D4"/>
    <w:rPr>
      <w:sz w:val="24"/>
      <w:lang w:val="fr-FR" w:eastAsia="en-US"/>
    </w:rPr>
  </w:style>
  <w:style w:type="character" w:customStyle="1" w:styleId="Rectitle0">
    <w:name w:val="Rec_title Знак"/>
    <w:link w:val="Rectitle"/>
    <w:locked/>
    <w:rsid w:val="003714D4"/>
    <w:rPr>
      <w:b/>
      <w:sz w:val="28"/>
      <w:lang w:val="fr-FR" w:eastAsia="en-US"/>
    </w:rPr>
  </w:style>
  <w:style w:type="character" w:customStyle="1" w:styleId="TableNoChar">
    <w:name w:val="Table_No Char"/>
    <w:link w:val="TableNo"/>
    <w:locked/>
    <w:rsid w:val="003714D4"/>
    <w:rPr>
      <w:sz w:val="24"/>
      <w:lang w:val="fr-FR" w:eastAsia="en-US"/>
    </w:rPr>
  </w:style>
  <w:style w:type="character" w:customStyle="1" w:styleId="Tabletitle0">
    <w:name w:val="Table_title Знак"/>
    <w:link w:val="Tabletitle"/>
    <w:locked/>
    <w:rsid w:val="003714D4"/>
    <w:rPr>
      <w:b/>
      <w:sz w:val="24"/>
      <w:lang w:val="fr-FR" w:eastAsia="en-US"/>
    </w:rPr>
  </w:style>
  <w:style w:type="paragraph" w:customStyle="1" w:styleId="Reasons">
    <w:name w:val="Reasons"/>
    <w:basedOn w:val="Normal"/>
    <w:qFormat/>
    <w:rsid w:val="003714D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78400D"/>
    <w:pPr>
      <w:spacing w:before="0"/>
    </w:pPr>
    <w:rPr>
      <w:rFonts w:ascii="Tahoma" w:hAnsi="Tahoma" w:cs="Tahoma"/>
      <w:sz w:val="16"/>
      <w:szCs w:val="16"/>
    </w:rPr>
  </w:style>
  <w:style w:type="character" w:customStyle="1" w:styleId="BalloonTextChar">
    <w:name w:val="Balloon Text Char"/>
    <w:basedOn w:val="DefaultParagraphFont"/>
    <w:link w:val="BalloonText"/>
    <w:rsid w:val="0078400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728AE-468E-436B-AB23-4AEF1A49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497</TotalTime>
  <Pages>12</Pages>
  <Words>4422</Words>
  <Characters>24765</Characters>
  <Application>Microsoft Office Word</Application>
  <DocSecurity>0</DocSecurity>
  <Lines>707</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16</cp:revision>
  <cp:lastPrinted>2012-06-22T09:47:00Z</cp:lastPrinted>
  <dcterms:created xsi:type="dcterms:W3CDTF">2012-06-18T12:59:00Z</dcterms:created>
  <dcterms:modified xsi:type="dcterms:W3CDTF">2012-06-22T13:28:00Z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