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p w:rsidR="00666EA9" w:rsidRDefault="00666EA9" w:rsidP="00666EA9"/>
    <w:tbl>
      <w:tblPr>
        <w:tblW w:w="10089" w:type="dxa"/>
        <w:tblLook w:val="01E0" w:firstRow="1" w:lastRow="1" w:firstColumn="1" w:lastColumn="1" w:noHBand="0" w:noVBand="0"/>
      </w:tblPr>
      <w:tblGrid>
        <w:gridCol w:w="10089"/>
      </w:tblGrid>
      <w:tr w:rsidR="00666EA9" w:rsidRPr="00666EA9" w:rsidTr="002D07AF">
        <w:tc>
          <w:tcPr>
            <w:tcW w:w="10089" w:type="dxa"/>
          </w:tcPr>
          <w:p w:rsidR="00666EA9" w:rsidRPr="001511A6" w:rsidRDefault="00666EA9" w:rsidP="002D07AF">
            <w:pPr>
              <w:spacing w:before="380" w:line="280" w:lineRule="exact"/>
              <w:jc w:val="right"/>
              <w:rPr>
                <w:rFonts w:ascii="Tahoma" w:hAnsi="Tahoma" w:cs="Tahoma"/>
                <w:b/>
                <w:bCs/>
                <w:iCs/>
                <w:color w:val="243285"/>
                <w:sz w:val="32"/>
                <w:szCs w:val="32"/>
                <w:lang w:val="en-US"/>
              </w:rPr>
            </w:pPr>
          </w:p>
          <w:p w:rsidR="00666EA9" w:rsidRPr="00666EA9" w:rsidRDefault="00666EA9" w:rsidP="000E2AD5">
            <w:pPr>
              <w:spacing w:before="380" w:line="280" w:lineRule="exact"/>
              <w:jc w:val="right"/>
              <w:rPr>
                <w:rFonts w:ascii="Tahoma" w:hAnsi="Tahoma" w:cs="Tahoma"/>
                <w:b/>
                <w:bCs/>
                <w:iCs/>
                <w:color w:val="243285"/>
                <w:sz w:val="36"/>
                <w:szCs w:val="36"/>
                <w:lang w:val="fr-CH"/>
              </w:rPr>
            </w:pPr>
            <w:r w:rsidRPr="00666EA9">
              <w:rPr>
                <w:rFonts w:ascii="Tahoma" w:hAnsi="Tahoma" w:cs="Tahoma"/>
                <w:b/>
                <w:bCs/>
                <w:iCs/>
                <w:color w:val="243285"/>
                <w:sz w:val="36"/>
                <w:szCs w:val="36"/>
                <w:lang w:val="fr-CH"/>
              </w:rPr>
              <w:t>Recommendation  ITU-R  M.</w:t>
            </w:r>
            <w:r w:rsidR="000E2AD5">
              <w:rPr>
                <w:rFonts w:ascii="Tahoma" w:hAnsi="Tahoma" w:cs="Tahoma"/>
                <w:b/>
                <w:bCs/>
                <w:iCs/>
                <w:color w:val="243285"/>
                <w:sz w:val="36"/>
                <w:szCs w:val="36"/>
                <w:lang w:val="fr-CH"/>
              </w:rPr>
              <w:t>1905</w:t>
            </w:r>
          </w:p>
          <w:p w:rsidR="00666EA9" w:rsidRPr="00666EA9" w:rsidRDefault="00666EA9" w:rsidP="000E2AD5">
            <w:pPr>
              <w:spacing w:before="80" w:line="280" w:lineRule="exact"/>
              <w:jc w:val="right"/>
              <w:rPr>
                <w:rFonts w:ascii="Tahoma" w:hAnsi="Tahoma" w:cs="Tahoma"/>
                <w:b/>
                <w:bCs/>
                <w:iCs/>
                <w:color w:val="243285"/>
                <w:szCs w:val="24"/>
                <w:lang w:val="fr-CH"/>
              </w:rPr>
            </w:pPr>
            <w:r w:rsidRPr="00666EA9">
              <w:rPr>
                <w:rFonts w:ascii="Tahoma" w:hAnsi="Tahoma" w:cs="Tahoma"/>
                <w:b/>
                <w:bCs/>
                <w:iCs/>
                <w:color w:val="243285"/>
                <w:szCs w:val="24"/>
                <w:lang w:val="fr-CH"/>
              </w:rPr>
              <w:t>(</w:t>
            </w:r>
            <w:r w:rsidR="000E2AD5">
              <w:rPr>
                <w:rFonts w:ascii="Tahoma" w:hAnsi="Tahoma" w:cs="Tahoma"/>
                <w:b/>
                <w:bCs/>
                <w:iCs/>
                <w:color w:val="243285"/>
                <w:szCs w:val="24"/>
                <w:lang w:val="fr-CH"/>
              </w:rPr>
              <w:t>01</w:t>
            </w:r>
            <w:r w:rsidRPr="00666EA9">
              <w:rPr>
                <w:rFonts w:ascii="Tahoma" w:hAnsi="Tahoma" w:cs="Tahoma"/>
                <w:b/>
                <w:bCs/>
                <w:iCs/>
                <w:color w:val="243285"/>
                <w:szCs w:val="24"/>
                <w:lang w:val="fr-CH"/>
              </w:rPr>
              <w:t>/</w:t>
            </w:r>
            <w:r w:rsidR="000E2AD5">
              <w:rPr>
                <w:rFonts w:ascii="Tahoma" w:hAnsi="Tahoma" w:cs="Tahoma"/>
                <w:b/>
                <w:bCs/>
                <w:iCs/>
                <w:color w:val="243285"/>
                <w:szCs w:val="24"/>
                <w:lang w:val="fr-CH"/>
              </w:rPr>
              <w:t>2012</w:t>
            </w:r>
            <w:r w:rsidRPr="00666EA9">
              <w:rPr>
                <w:rFonts w:ascii="Tahoma" w:hAnsi="Tahoma" w:cs="Tahoma"/>
                <w:b/>
                <w:bCs/>
                <w:iCs/>
                <w:color w:val="243285"/>
                <w:szCs w:val="24"/>
                <w:lang w:val="fr-CH"/>
              </w:rPr>
              <w:t>)</w:t>
            </w:r>
          </w:p>
        </w:tc>
      </w:tr>
      <w:tr w:rsidR="00666EA9" w:rsidRPr="00362182" w:rsidTr="002D07AF">
        <w:tc>
          <w:tcPr>
            <w:tcW w:w="10089" w:type="dxa"/>
          </w:tcPr>
          <w:p w:rsidR="00666EA9" w:rsidRPr="00CF4941" w:rsidRDefault="00666EA9" w:rsidP="002D07AF">
            <w:pPr>
              <w:spacing w:before="80" w:line="500" w:lineRule="exact"/>
              <w:jc w:val="right"/>
              <w:rPr>
                <w:rFonts w:ascii="Tahoma" w:hAnsi="Tahoma" w:cs="Tahoma"/>
                <w:b/>
                <w:bCs/>
                <w:iCs/>
                <w:color w:val="243285"/>
                <w:sz w:val="44"/>
                <w:szCs w:val="44"/>
                <w:lang w:val="en-US"/>
              </w:rPr>
            </w:pPr>
          </w:p>
          <w:p w:rsidR="00666EA9" w:rsidRPr="001511A6" w:rsidRDefault="002D07AF" w:rsidP="00836DFC">
            <w:pPr>
              <w:spacing w:before="80" w:line="500" w:lineRule="exact"/>
              <w:jc w:val="right"/>
              <w:rPr>
                <w:rFonts w:ascii="Tahoma" w:hAnsi="Tahoma" w:cs="Tahoma"/>
                <w:b/>
                <w:bCs/>
                <w:iCs/>
                <w:color w:val="243285"/>
                <w:sz w:val="44"/>
                <w:szCs w:val="44"/>
                <w:lang w:val="en-US"/>
              </w:rPr>
            </w:pPr>
            <w:r w:rsidRPr="002D07AF">
              <w:rPr>
                <w:rFonts w:ascii="Tahoma" w:hAnsi="Tahoma" w:cs="Tahoma"/>
                <w:b/>
                <w:bCs/>
                <w:iCs/>
                <w:color w:val="243285"/>
                <w:sz w:val="44"/>
                <w:szCs w:val="44"/>
                <w:lang w:val="en-US"/>
              </w:rPr>
              <w:t>Characteristics and protection criteria for</w:t>
            </w:r>
            <w:r>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receiving earth stations</w:t>
            </w:r>
            <w:r>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in the</w:t>
            </w:r>
            <w:r>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radionavigation-satellite</w:t>
            </w:r>
            <w:r>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service</w:t>
            </w:r>
            <w:r>
              <w:rPr>
                <w:rFonts w:ascii="Tahoma" w:hAnsi="Tahoma" w:cs="Tahoma"/>
                <w:b/>
                <w:bCs/>
                <w:iCs/>
                <w:color w:val="243285"/>
                <w:sz w:val="44"/>
                <w:szCs w:val="44"/>
                <w:lang w:val="en-US"/>
              </w:rPr>
              <w:br/>
            </w:r>
            <w:r w:rsidRPr="002D07AF">
              <w:rPr>
                <w:rFonts w:ascii="Tahoma" w:hAnsi="Tahoma" w:cs="Tahoma"/>
                <w:b/>
                <w:bCs/>
                <w:iCs/>
                <w:color w:val="243285"/>
                <w:sz w:val="44"/>
                <w:szCs w:val="44"/>
                <w:lang w:val="en-US"/>
              </w:rPr>
              <w:t>(space-to-Earth)</w:t>
            </w:r>
            <w:r>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operating</w:t>
            </w:r>
            <w:r w:rsidR="000E2AD5">
              <w:rPr>
                <w:rFonts w:ascii="Tahoma" w:hAnsi="Tahoma" w:cs="Tahoma"/>
                <w:b/>
                <w:bCs/>
                <w:iCs/>
                <w:color w:val="243285"/>
                <w:sz w:val="44"/>
                <w:szCs w:val="44"/>
                <w:lang w:val="en-US"/>
              </w:rPr>
              <w:t xml:space="preserve"> </w:t>
            </w:r>
            <w:r w:rsidRPr="002D07AF">
              <w:rPr>
                <w:rFonts w:ascii="Tahoma" w:hAnsi="Tahoma" w:cs="Tahoma"/>
                <w:b/>
                <w:bCs/>
                <w:iCs/>
                <w:color w:val="243285"/>
                <w:sz w:val="44"/>
                <w:szCs w:val="44"/>
                <w:lang w:val="en-US"/>
              </w:rPr>
              <w:t>in the</w:t>
            </w:r>
            <w:r w:rsidR="000E2AD5">
              <w:rPr>
                <w:rFonts w:ascii="Tahoma" w:hAnsi="Tahoma" w:cs="Tahoma"/>
                <w:b/>
                <w:bCs/>
                <w:iCs/>
                <w:color w:val="243285"/>
                <w:sz w:val="44"/>
                <w:szCs w:val="44"/>
                <w:lang w:val="en-US"/>
              </w:rPr>
              <w:br/>
            </w:r>
            <w:r w:rsidRPr="002D07AF">
              <w:rPr>
                <w:rFonts w:ascii="Tahoma" w:hAnsi="Tahoma" w:cs="Tahoma"/>
                <w:b/>
                <w:bCs/>
                <w:iCs/>
                <w:color w:val="243285"/>
                <w:sz w:val="44"/>
                <w:szCs w:val="44"/>
                <w:lang w:val="en-US"/>
              </w:rPr>
              <w:t>band 1 164-1 215 MHz</w:t>
            </w:r>
            <w:r>
              <w:rPr>
                <w:rFonts w:ascii="Tahoma" w:hAnsi="Tahoma" w:cs="Tahoma"/>
                <w:b/>
                <w:bCs/>
                <w:iCs/>
                <w:color w:val="243285"/>
                <w:sz w:val="44"/>
                <w:szCs w:val="44"/>
                <w:lang w:val="en-US"/>
              </w:rPr>
              <w:t xml:space="preserve"> </w:t>
            </w:r>
          </w:p>
          <w:p w:rsidR="00666EA9" w:rsidRPr="001511A6" w:rsidRDefault="00666EA9" w:rsidP="002D07AF">
            <w:pPr>
              <w:spacing w:before="80" w:line="500" w:lineRule="exact"/>
              <w:jc w:val="right"/>
              <w:rPr>
                <w:rFonts w:ascii="Tahoma" w:hAnsi="Tahoma" w:cs="Tahoma"/>
                <w:b/>
                <w:bCs/>
                <w:iCs/>
                <w:color w:val="243285"/>
                <w:sz w:val="40"/>
                <w:szCs w:val="40"/>
                <w:lang w:val="en-US"/>
              </w:rPr>
            </w:pPr>
          </w:p>
        </w:tc>
      </w:tr>
      <w:tr w:rsidR="00666EA9" w:rsidTr="002D07AF">
        <w:tc>
          <w:tcPr>
            <w:tcW w:w="10089" w:type="dxa"/>
          </w:tcPr>
          <w:p w:rsidR="00666EA9" w:rsidRPr="002D07AF" w:rsidRDefault="00666EA9" w:rsidP="002D07AF">
            <w:pPr>
              <w:spacing w:before="80" w:line="280" w:lineRule="exact"/>
              <w:ind w:right="640"/>
              <w:rPr>
                <w:rFonts w:ascii="Tahoma" w:hAnsi="Tahoma" w:cs="Tahoma"/>
                <w:b/>
                <w:bCs/>
                <w:iCs/>
                <w:color w:val="243285"/>
                <w:sz w:val="32"/>
                <w:szCs w:val="32"/>
                <w:lang w:val="en-US"/>
              </w:rPr>
            </w:pPr>
          </w:p>
          <w:p w:rsidR="00666EA9" w:rsidRPr="002D07AF" w:rsidRDefault="00666EA9" w:rsidP="002D07AF">
            <w:pPr>
              <w:spacing w:before="80" w:after="180" w:line="360" w:lineRule="exact"/>
              <w:ind w:right="720"/>
              <w:rPr>
                <w:rFonts w:ascii="Tahoma" w:hAnsi="Tahoma" w:cs="Tahoma"/>
                <w:b/>
                <w:bCs/>
                <w:iCs/>
                <w:color w:val="243285"/>
                <w:sz w:val="36"/>
                <w:szCs w:val="36"/>
                <w:lang w:val="en-US"/>
              </w:rPr>
            </w:pPr>
          </w:p>
          <w:p w:rsidR="00666EA9" w:rsidRPr="001511A6" w:rsidRDefault="00666EA9" w:rsidP="002D07A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666EA9" w:rsidRDefault="00666EA9" w:rsidP="002D07AF">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666EA9" w:rsidRPr="0041667C" w:rsidRDefault="00666EA9" w:rsidP="002D07AF">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666EA9" w:rsidRDefault="00666EA9" w:rsidP="00666EA9">
      <w:pPr>
        <w:spacing w:before="80"/>
        <w:rPr>
          <w:i/>
          <w:sz w:val="22"/>
          <w:lang w:val="en-US"/>
        </w:rPr>
      </w:pPr>
    </w:p>
    <w:p w:rsidR="00666EA9" w:rsidRDefault="00666EA9" w:rsidP="00666EA9">
      <w:pPr>
        <w:spacing w:before="80"/>
        <w:rPr>
          <w:i/>
          <w:sz w:val="22"/>
          <w:lang w:val="en-US"/>
        </w:rPr>
      </w:pPr>
    </w:p>
    <w:p w:rsidR="00666EA9" w:rsidRDefault="00666EA9" w:rsidP="00666EA9">
      <w:pPr>
        <w:spacing w:before="80"/>
        <w:rPr>
          <w:i/>
          <w:sz w:val="22"/>
          <w:lang w:val="en-US"/>
        </w:rPr>
      </w:pPr>
    </w:p>
    <w:p w:rsidR="00666EA9" w:rsidRDefault="00666EA9" w:rsidP="00666EA9">
      <w:pPr>
        <w:spacing w:before="80"/>
        <w:rPr>
          <w:i/>
          <w:sz w:val="22"/>
          <w:lang w:val="en-US"/>
        </w:rPr>
      </w:pPr>
    </w:p>
    <w:p w:rsidR="00666EA9" w:rsidRDefault="00666EA9" w:rsidP="00666EA9">
      <w:pPr>
        <w:spacing w:before="80"/>
        <w:rPr>
          <w:i/>
          <w:sz w:val="22"/>
          <w:lang w:val="en-US"/>
        </w:rPr>
      </w:pPr>
    </w:p>
    <w:p w:rsidR="00666EA9" w:rsidRDefault="00666EA9" w:rsidP="00666EA9">
      <w:pPr>
        <w:spacing w:before="80"/>
        <w:rPr>
          <w:i/>
          <w:sz w:val="22"/>
          <w:lang w:val="en-US"/>
        </w:rPr>
      </w:pPr>
    </w:p>
    <w:p w:rsidR="00666EA9" w:rsidRDefault="00666EA9" w:rsidP="00666EA9">
      <w:pPr>
        <w:pStyle w:val="Equation"/>
        <w:tabs>
          <w:tab w:val="clear" w:pos="4820"/>
          <w:tab w:val="clear" w:pos="9639"/>
          <w:tab w:val="left" w:pos="1191"/>
          <w:tab w:val="left" w:pos="1588"/>
          <w:tab w:val="left" w:pos="1985"/>
        </w:tabs>
        <w:rPr>
          <w:rFonts w:ascii="Palatino Linotype" w:hAnsi="Palatino Linotype"/>
          <w:lang w:val="en-US"/>
        </w:rPr>
        <w:sectPr w:rsidR="00666EA9">
          <w:headerReference w:type="even" r:id="rId8"/>
          <w:headerReference w:type="default" r:id="rId9"/>
          <w:pgSz w:w="11907" w:h="16840" w:code="9"/>
          <w:pgMar w:top="1089" w:right="1089" w:bottom="284" w:left="1089" w:header="567" w:footer="284" w:gutter="0"/>
          <w:pgNumType w:start="1"/>
          <w:cols w:space="720"/>
        </w:sectPr>
      </w:pPr>
    </w:p>
    <w:p w:rsidR="00666EA9" w:rsidRPr="00586EF8" w:rsidRDefault="00666EA9" w:rsidP="00666E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66EA9" w:rsidRDefault="00666EA9" w:rsidP="00666EA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66EA9" w:rsidRDefault="00666EA9" w:rsidP="00666EA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66EA9" w:rsidRPr="00B714F3" w:rsidRDefault="00666EA9" w:rsidP="00666EA9">
      <w:pPr>
        <w:pStyle w:val="Heading1"/>
        <w:spacing w:before="680"/>
        <w:jc w:val="center"/>
        <w:rPr>
          <w:szCs w:val="24"/>
          <w:lang w:val="en-US"/>
        </w:rPr>
      </w:pPr>
      <w:r w:rsidRPr="00B714F3">
        <w:rPr>
          <w:szCs w:val="24"/>
          <w:lang w:val="en-US"/>
        </w:rPr>
        <w:t>Policy on Intellectual Property Right (IPR)</w:t>
      </w:r>
    </w:p>
    <w:p w:rsidR="00666EA9" w:rsidRPr="00B714F3" w:rsidRDefault="00666EA9" w:rsidP="00666EA9">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66EA9" w:rsidRDefault="00666EA9" w:rsidP="00666EA9">
      <w:pPr>
        <w:jc w:val="center"/>
        <w:rPr>
          <w:sz w:val="22"/>
          <w:lang w:val="en-US"/>
        </w:rPr>
      </w:pPr>
    </w:p>
    <w:p w:rsidR="00666EA9" w:rsidRDefault="00666EA9" w:rsidP="00666EA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6EA9" w:rsidRPr="00362182" w:rsidTr="002D07AF">
        <w:tc>
          <w:tcPr>
            <w:tcW w:w="9360" w:type="dxa"/>
            <w:gridSpan w:val="2"/>
          </w:tcPr>
          <w:p w:rsidR="00666EA9" w:rsidRPr="00036EE3" w:rsidRDefault="00666EA9" w:rsidP="002D07A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66EA9" w:rsidRPr="00036EE3"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666EA9" w:rsidRPr="00036EE3" w:rsidTr="002D07AF">
        <w:tc>
          <w:tcPr>
            <w:tcW w:w="1140" w:type="dxa"/>
          </w:tcPr>
          <w:p w:rsidR="00666EA9" w:rsidRPr="00036EE3" w:rsidRDefault="00666EA9" w:rsidP="002D07AF">
            <w:pPr>
              <w:spacing w:before="200" w:after="100"/>
              <w:ind w:left="57"/>
              <w:rPr>
                <w:b/>
                <w:bCs/>
                <w:sz w:val="20"/>
                <w:lang w:val="en-US"/>
              </w:rPr>
            </w:pPr>
            <w:r w:rsidRPr="00036EE3">
              <w:rPr>
                <w:b/>
                <w:bCs/>
                <w:sz w:val="20"/>
                <w:lang w:val="en-US"/>
              </w:rPr>
              <w:t>Series</w:t>
            </w:r>
          </w:p>
        </w:tc>
        <w:tc>
          <w:tcPr>
            <w:tcW w:w="8220" w:type="dxa"/>
          </w:tcPr>
          <w:p w:rsidR="00666EA9" w:rsidRPr="00036EE3"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BO</w:t>
            </w:r>
          </w:p>
        </w:tc>
        <w:tc>
          <w:tcPr>
            <w:tcW w:w="8220" w:type="dxa"/>
          </w:tcPr>
          <w:p w:rsidR="00666EA9" w:rsidRPr="00036EE3"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66EA9" w:rsidRPr="00362182" w:rsidTr="002D07AF">
        <w:tc>
          <w:tcPr>
            <w:tcW w:w="1140" w:type="dxa"/>
            <w:tcBorders>
              <w:bottom w:val="nil"/>
            </w:tcBorders>
          </w:tcPr>
          <w:p w:rsidR="00666EA9" w:rsidRPr="00036EE3" w:rsidRDefault="00666EA9" w:rsidP="002D07AF">
            <w:pPr>
              <w:spacing w:before="30" w:after="30"/>
              <w:ind w:left="57"/>
              <w:rPr>
                <w:b/>
                <w:bCs/>
                <w:sz w:val="20"/>
                <w:lang w:val="en-US"/>
              </w:rPr>
            </w:pPr>
            <w:r w:rsidRPr="00036EE3">
              <w:rPr>
                <w:b/>
                <w:bCs/>
                <w:sz w:val="20"/>
                <w:lang w:val="en-US"/>
              </w:rPr>
              <w:t>BR</w:t>
            </w:r>
          </w:p>
        </w:tc>
        <w:tc>
          <w:tcPr>
            <w:tcW w:w="8220" w:type="dxa"/>
            <w:tcBorders>
              <w:bottom w:val="nil"/>
            </w:tcBorders>
          </w:tcPr>
          <w:p w:rsidR="00666EA9" w:rsidRPr="00036EE3"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66EA9" w:rsidRPr="00036EE3" w:rsidTr="002D07AF">
        <w:tc>
          <w:tcPr>
            <w:tcW w:w="1140" w:type="dxa"/>
            <w:tcBorders>
              <w:top w:val="nil"/>
              <w:bottom w:val="nil"/>
            </w:tcBorders>
            <w:shd w:val="clear" w:color="auto" w:fill="auto"/>
          </w:tcPr>
          <w:p w:rsidR="00666EA9" w:rsidRPr="007D224F" w:rsidRDefault="00666EA9" w:rsidP="002D07AF">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66EA9" w:rsidRPr="007D224F"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66EA9" w:rsidRPr="00ED2695" w:rsidTr="002D07AF">
        <w:tc>
          <w:tcPr>
            <w:tcW w:w="1140" w:type="dxa"/>
            <w:tcBorders>
              <w:top w:val="nil"/>
              <w:bottom w:val="nil"/>
            </w:tcBorders>
            <w:shd w:val="clear" w:color="auto" w:fill="auto"/>
          </w:tcPr>
          <w:p w:rsidR="00666EA9" w:rsidRPr="00ED2695" w:rsidRDefault="00666EA9" w:rsidP="002D07AF">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666EA9" w:rsidRPr="00ED2695"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66EA9" w:rsidRPr="007D224F" w:rsidTr="002D07AF">
        <w:tc>
          <w:tcPr>
            <w:tcW w:w="1140" w:type="dxa"/>
            <w:tcBorders>
              <w:top w:val="nil"/>
              <w:bottom w:val="nil"/>
            </w:tcBorders>
            <w:shd w:val="clear" w:color="auto" w:fill="auto"/>
          </w:tcPr>
          <w:p w:rsidR="00666EA9" w:rsidRPr="0041667C" w:rsidRDefault="00666EA9" w:rsidP="002D07AF">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66EA9" w:rsidRPr="0041667C" w:rsidRDefault="00666EA9" w:rsidP="002D0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66EA9" w:rsidRPr="0041667C" w:rsidTr="002D07AF">
        <w:tc>
          <w:tcPr>
            <w:tcW w:w="1140" w:type="dxa"/>
            <w:tcBorders>
              <w:top w:val="nil"/>
              <w:bottom w:val="nil"/>
            </w:tcBorders>
            <w:shd w:val="clear" w:color="auto" w:fill="F3F3F3"/>
          </w:tcPr>
          <w:p w:rsidR="00666EA9" w:rsidRPr="0041667C" w:rsidRDefault="00666EA9" w:rsidP="002D07AF">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66EA9" w:rsidRPr="0041667C" w:rsidRDefault="00666EA9" w:rsidP="002D0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666EA9" w:rsidRPr="00036EE3" w:rsidTr="002D07AF">
        <w:tc>
          <w:tcPr>
            <w:tcW w:w="1140" w:type="dxa"/>
            <w:tcBorders>
              <w:top w:val="nil"/>
            </w:tcBorders>
          </w:tcPr>
          <w:p w:rsidR="00666EA9" w:rsidRPr="00036EE3" w:rsidRDefault="00666EA9" w:rsidP="002D07AF">
            <w:pPr>
              <w:spacing w:before="30" w:after="30"/>
              <w:ind w:left="57"/>
              <w:rPr>
                <w:b/>
                <w:bCs/>
                <w:sz w:val="20"/>
                <w:lang w:val="fr-CH"/>
              </w:rPr>
            </w:pPr>
            <w:r w:rsidRPr="00036EE3">
              <w:rPr>
                <w:b/>
                <w:bCs/>
                <w:sz w:val="20"/>
                <w:lang w:val="fr-CH"/>
              </w:rPr>
              <w:t>P</w:t>
            </w:r>
          </w:p>
        </w:tc>
        <w:tc>
          <w:tcPr>
            <w:tcW w:w="8220" w:type="dxa"/>
            <w:tcBorders>
              <w:top w:val="nil"/>
            </w:tcBorders>
          </w:tcPr>
          <w:p w:rsidR="00666EA9" w:rsidRPr="00036EE3" w:rsidRDefault="00666EA9" w:rsidP="002D07AF">
            <w:pPr>
              <w:spacing w:before="30" w:after="30"/>
              <w:rPr>
                <w:sz w:val="20"/>
                <w:lang w:val="fr-CH"/>
              </w:rPr>
            </w:pPr>
            <w:r w:rsidRPr="00036EE3">
              <w:rPr>
                <w:sz w:val="20"/>
                <w:lang w:val="fr-CH"/>
              </w:rPr>
              <w:t>Radiowave propagation</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RA</w:t>
            </w:r>
          </w:p>
        </w:tc>
        <w:tc>
          <w:tcPr>
            <w:tcW w:w="8220" w:type="dxa"/>
          </w:tcPr>
          <w:p w:rsidR="00666EA9" w:rsidRPr="00036EE3" w:rsidRDefault="00666EA9" w:rsidP="002D0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RS</w:t>
            </w:r>
          </w:p>
        </w:tc>
        <w:tc>
          <w:tcPr>
            <w:tcW w:w="8220" w:type="dxa"/>
          </w:tcPr>
          <w:p w:rsidR="00666EA9" w:rsidRPr="00036EE3" w:rsidRDefault="00666EA9" w:rsidP="002D07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S</w:t>
            </w:r>
          </w:p>
        </w:tc>
        <w:tc>
          <w:tcPr>
            <w:tcW w:w="8220" w:type="dxa"/>
          </w:tcPr>
          <w:p w:rsidR="00666EA9" w:rsidRPr="00036EE3" w:rsidRDefault="00666EA9" w:rsidP="002D07AF">
            <w:pPr>
              <w:spacing w:before="30" w:after="30"/>
              <w:rPr>
                <w:sz w:val="20"/>
                <w:lang w:val="en-US"/>
              </w:rPr>
            </w:pPr>
            <w:r w:rsidRPr="00036EE3">
              <w:rPr>
                <w:sz w:val="20"/>
                <w:lang w:val="en-US"/>
              </w:rPr>
              <w:t>Fixed-satellite service</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SA</w:t>
            </w:r>
          </w:p>
        </w:tc>
        <w:tc>
          <w:tcPr>
            <w:tcW w:w="8220" w:type="dxa"/>
          </w:tcPr>
          <w:p w:rsidR="00666EA9" w:rsidRPr="00036EE3" w:rsidRDefault="00666EA9" w:rsidP="002D07AF">
            <w:pPr>
              <w:spacing w:before="30" w:after="30"/>
              <w:rPr>
                <w:sz w:val="20"/>
                <w:lang w:val="en-US"/>
              </w:rPr>
            </w:pPr>
            <w:r w:rsidRPr="00036EE3">
              <w:rPr>
                <w:sz w:val="20"/>
                <w:lang w:val="en-US"/>
              </w:rPr>
              <w:t>Space applications and meteorology</w:t>
            </w:r>
          </w:p>
        </w:tc>
      </w:tr>
      <w:tr w:rsidR="00666EA9" w:rsidRPr="00362182" w:rsidTr="002D07AF">
        <w:tc>
          <w:tcPr>
            <w:tcW w:w="1140" w:type="dxa"/>
            <w:tcBorders>
              <w:bottom w:val="nil"/>
            </w:tcBorders>
          </w:tcPr>
          <w:p w:rsidR="00666EA9" w:rsidRPr="00036EE3" w:rsidRDefault="00666EA9" w:rsidP="002D07AF">
            <w:pPr>
              <w:spacing w:before="30" w:after="30"/>
              <w:ind w:left="57"/>
              <w:rPr>
                <w:b/>
                <w:bCs/>
                <w:sz w:val="20"/>
                <w:lang w:val="en-US"/>
              </w:rPr>
            </w:pPr>
            <w:r w:rsidRPr="00036EE3">
              <w:rPr>
                <w:b/>
                <w:bCs/>
                <w:sz w:val="20"/>
                <w:lang w:val="en-US"/>
              </w:rPr>
              <w:t>SF</w:t>
            </w:r>
          </w:p>
        </w:tc>
        <w:tc>
          <w:tcPr>
            <w:tcW w:w="8220" w:type="dxa"/>
            <w:tcBorders>
              <w:bottom w:val="nil"/>
            </w:tcBorders>
          </w:tcPr>
          <w:p w:rsidR="00666EA9" w:rsidRPr="00036EE3" w:rsidRDefault="00666EA9" w:rsidP="002D07AF">
            <w:pPr>
              <w:spacing w:before="30" w:after="30"/>
              <w:rPr>
                <w:sz w:val="20"/>
                <w:lang w:val="en-US"/>
              </w:rPr>
            </w:pPr>
            <w:r w:rsidRPr="00036EE3">
              <w:rPr>
                <w:sz w:val="20"/>
                <w:lang w:val="en-US"/>
              </w:rPr>
              <w:t>Frequency sharing and coordination between fixed-satellite and fixed service systems</w:t>
            </w:r>
          </w:p>
        </w:tc>
      </w:tr>
      <w:tr w:rsidR="00666EA9" w:rsidRPr="00036EE3" w:rsidTr="002D07AF">
        <w:tc>
          <w:tcPr>
            <w:tcW w:w="1140" w:type="dxa"/>
            <w:tcBorders>
              <w:top w:val="nil"/>
              <w:bottom w:val="nil"/>
            </w:tcBorders>
            <w:shd w:val="clear" w:color="auto" w:fill="auto"/>
          </w:tcPr>
          <w:p w:rsidR="00666EA9" w:rsidRPr="000A4386" w:rsidRDefault="00666EA9" w:rsidP="002D07AF">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666EA9" w:rsidRPr="000A4386" w:rsidRDefault="00666EA9" w:rsidP="002D07AF">
            <w:pPr>
              <w:spacing w:before="30" w:after="30"/>
              <w:rPr>
                <w:sz w:val="20"/>
                <w:lang w:val="en-US"/>
              </w:rPr>
            </w:pPr>
            <w:r w:rsidRPr="000A4386">
              <w:rPr>
                <w:sz w:val="20"/>
                <w:lang w:val="en-US"/>
              </w:rPr>
              <w:t>Spectrum management</w:t>
            </w:r>
          </w:p>
        </w:tc>
      </w:tr>
      <w:tr w:rsidR="00666EA9" w:rsidRPr="00036EE3" w:rsidTr="002D07AF">
        <w:tc>
          <w:tcPr>
            <w:tcW w:w="1140" w:type="dxa"/>
            <w:tcBorders>
              <w:top w:val="nil"/>
            </w:tcBorders>
          </w:tcPr>
          <w:p w:rsidR="00666EA9" w:rsidRPr="00036EE3" w:rsidRDefault="00666EA9" w:rsidP="002D07AF">
            <w:pPr>
              <w:spacing w:before="30" w:after="30"/>
              <w:ind w:left="57"/>
              <w:rPr>
                <w:b/>
                <w:bCs/>
                <w:sz w:val="20"/>
                <w:lang w:val="en-US"/>
              </w:rPr>
            </w:pPr>
            <w:r w:rsidRPr="00036EE3">
              <w:rPr>
                <w:b/>
                <w:bCs/>
                <w:sz w:val="20"/>
                <w:lang w:val="en-US"/>
              </w:rPr>
              <w:t>SNG</w:t>
            </w:r>
          </w:p>
        </w:tc>
        <w:tc>
          <w:tcPr>
            <w:tcW w:w="8220" w:type="dxa"/>
            <w:tcBorders>
              <w:top w:val="nil"/>
            </w:tcBorders>
          </w:tcPr>
          <w:p w:rsidR="00666EA9" w:rsidRPr="00036EE3" w:rsidRDefault="00666EA9" w:rsidP="002D07AF">
            <w:pPr>
              <w:spacing w:before="30" w:after="30"/>
              <w:rPr>
                <w:sz w:val="20"/>
                <w:lang w:val="en-US"/>
              </w:rPr>
            </w:pPr>
            <w:r w:rsidRPr="00036EE3">
              <w:rPr>
                <w:sz w:val="20"/>
                <w:lang w:val="en-US"/>
              </w:rPr>
              <w:t>Satellite news gathering</w:t>
            </w:r>
          </w:p>
        </w:tc>
      </w:tr>
      <w:tr w:rsidR="00666EA9" w:rsidRPr="00362182"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TF</w:t>
            </w:r>
          </w:p>
        </w:tc>
        <w:tc>
          <w:tcPr>
            <w:tcW w:w="8220" w:type="dxa"/>
          </w:tcPr>
          <w:p w:rsidR="00666EA9" w:rsidRPr="00036EE3" w:rsidRDefault="00666EA9" w:rsidP="002D07AF">
            <w:pPr>
              <w:spacing w:before="30" w:after="30"/>
              <w:rPr>
                <w:sz w:val="20"/>
                <w:lang w:val="en-US"/>
              </w:rPr>
            </w:pPr>
            <w:r w:rsidRPr="00036EE3">
              <w:rPr>
                <w:sz w:val="20"/>
                <w:lang w:val="en-US"/>
              </w:rPr>
              <w:t>Time signals and frequency standards emissions</w:t>
            </w:r>
          </w:p>
        </w:tc>
      </w:tr>
      <w:tr w:rsidR="00666EA9" w:rsidRPr="00036EE3" w:rsidTr="002D07AF">
        <w:tc>
          <w:tcPr>
            <w:tcW w:w="1140" w:type="dxa"/>
          </w:tcPr>
          <w:p w:rsidR="00666EA9" w:rsidRPr="00036EE3" w:rsidRDefault="00666EA9" w:rsidP="002D07AF">
            <w:pPr>
              <w:spacing w:before="30" w:after="30"/>
              <w:ind w:left="57"/>
              <w:rPr>
                <w:b/>
                <w:bCs/>
                <w:sz w:val="20"/>
                <w:lang w:val="en-US"/>
              </w:rPr>
            </w:pPr>
            <w:r w:rsidRPr="00036EE3">
              <w:rPr>
                <w:b/>
                <w:bCs/>
                <w:sz w:val="20"/>
                <w:lang w:val="en-US"/>
              </w:rPr>
              <w:t>V</w:t>
            </w:r>
          </w:p>
        </w:tc>
        <w:tc>
          <w:tcPr>
            <w:tcW w:w="8220" w:type="dxa"/>
          </w:tcPr>
          <w:p w:rsidR="00666EA9" w:rsidRPr="00036EE3" w:rsidRDefault="00666EA9" w:rsidP="002D07AF">
            <w:pPr>
              <w:spacing w:before="30" w:after="180"/>
              <w:rPr>
                <w:sz w:val="20"/>
                <w:lang w:val="en-US"/>
              </w:rPr>
            </w:pPr>
            <w:r w:rsidRPr="00036EE3">
              <w:rPr>
                <w:sz w:val="20"/>
                <w:lang w:val="en-US"/>
              </w:rPr>
              <w:t>Vocabulary and related subjects</w:t>
            </w:r>
          </w:p>
        </w:tc>
      </w:tr>
    </w:tbl>
    <w:p w:rsidR="00666EA9" w:rsidRPr="00036EE3" w:rsidRDefault="00666EA9" w:rsidP="00666EA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6EA9" w:rsidTr="002D07AF">
        <w:tc>
          <w:tcPr>
            <w:tcW w:w="720" w:type="dxa"/>
          </w:tcPr>
          <w:p w:rsidR="00666EA9" w:rsidRDefault="00666EA9" w:rsidP="002D07AF">
            <w:pPr>
              <w:jc w:val="center"/>
              <w:rPr>
                <w:sz w:val="22"/>
                <w:lang w:val="en-US"/>
              </w:rPr>
            </w:pPr>
          </w:p>
        </w:tc>
      </w:tr>
    </w:tbl>
    <w:p w:rsidR="00666EA9" w:rsidRPr="00036EE3" w:rsidRDefault="00666EA9" w:rsidP="00666EA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6EA9" w:rsidRPr="00362182" w:rsidTr="002D07AF">
        <w:tc>
          <w:tcPr>
            <w:tcW w:w="9360" w:type="dxa"/>
          </w:tcPr>
          <w:p w:rsidR="00666EA9" w:rsidRPr="002F5199" w:rsidRDefault="00666EA9" w:rsidP="002D07A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66EA9" w:rsidRDefault="00666EA9" w:rsidP="00666EA9">
      <w:pPr>
        <w:spacing w:before="0"/>
        <w:jc w:val="center"/>
        <w:rPr>
          <w:sz w:val="22"/>
          <w:lang w:val="en-US"/>
        </w:rPr>
      </w:pPr>
    </w:p>
    <w:p w:rsidR="00666EA9" w:rsidRDefault="00666EA9" w:rsidP="00666EA9">
      <w:pPr>
        <w:spacing w:before="0"/>
        <w:jc w:val="center"/>
        <w:rPr>
          <w:sz w:val="22"/>
          <w:lang w:val="en-US"/>
        </w:rPr>
      </w:pPr>
    </w:p>
    <w:p w:rsidR="00666EA9" w:rsidRPr="002F5199" w:rsidRDefault="00666EA9" w:rsidP="00666EA9">
      <w:pPr>
        <w:spacing w:before="0"/>
        <w:jc w:val="right"/>
        <w:rPr>
          <w:i/>
          <w:iCs/>
          <w:sz w:val="20"/>
          <w:lang w:val="en-US"/>
        </w:rPr>
      </w:pPr>
      <w:r w:rsidRPr="002F5199">
        <w:rPr>
          <w:i/>
          <w:iCs/>
          <w:sz w:val="20"/>
          <w:lang w:val="en-US"/>
        </w:rPr>
        <w:t>Electronic Publication</w:t>
      </w:r>
    </w:p>
    <w:p w:rsidR="00666EA9" w:rsidRPr="002F5199" w:rsidRDefault="00666EA9" w:rsidP="00666EA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1E005A">
        <w:rPr>
          <w:sz w:val="20"/>
          <w:lang w:val="en-US"/>
        </w:rPr>
        <w:t>12</w:t>
      </w:r>
    </w:p>
    <w:p w:rsidR="00666EA9" w:rsidRDefault="00666EA9" w:rsidP="00666EA9">
      <w:pPr>
        <w:jc w:val="center"/>
        <w:rPr>
          <w:sz w:val="22"/>
          <w:lang w:val="en-US"/>
        </w:rPr>
      </w:pPr>
    </w:p>
    <w:p w:rsidR="00666EA9" w:rsidRPr="00470E28" w:rsidRDefault="00666EA9" w:rsidP="00666EA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1E005A">
        <w:rPr>
          <w:sz w:val="20"/>
          <w:lang w:val="en-US"/>
        </w:rPr>
        <w:t>12</w:t>
      </w:r>
    </w:p>
    <w:p w:rsidR="00666EA9" w:rsidRPr="00470E28" w:rsidRDefault="00666EA9" w:rsidP="00666EA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66EA9" w:rsidRDefault="00666EA9" w:rsidP="00666EA9">
      <w:pPr>
        <w:spacing w:before="160"/>
        <w:rPr>
          <w:i/>
          <w:sz w:val="20"/>
          <w:lang w:val="en-US"/>
        </w:rPr>
        <w:sectPr w:rsidR="00666EA9" w:rsidSect="002D07A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66EA9" w:rsidRPr="00BF487A" w:rsidRDefault="00666EA9" w:rsidP="008738B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8738B5">
        <w:rPr>
          <w:rStyle w:val="href"/>
          <w:lang w:val="en-US"/>
        </w:rPr>
        <w:t>1905</w:t>
      </w:r>
    </w:p>
    <w:p w:rsidR="00666EA9" w:rsidRPr="00666EA9" w:rsidRDefault="00666EA9" w:rsidP="00666EA9">
      <w:pPr>
        <w:pStyle w:val="Rectitle"/>
        <w:rPr>
          <w:lang w:val="en-US"/>
        </w:rPr>
      </w:pPr>
      <w:r w:rsidRPr="00666EA9">
        <w:rPr>
          <w:lang w:val="en-US"/>
        </w:rPr>
        <w:t xml:space="preserve">Characteristics and protection criteria for receiving </w:t>
      </w:r>
      <w:r w:rsidRPr="00666EA9">
        <w:rPr>
          <w:lang w:val="en-US" w:eastAsia="ja-JP"/>
        </w:rPr>
        <w:t>e</w:t>
      </w:r>
      <w:r w:rsidRPr="00666EA9">
        <w:rPr>
          <w:lang w:val="en-US"/>
        </w:rPr>
        <w:t xml:space="preserve">arth stations </w:t>
      </w:r>
      <w:r w:rsidRPr="00666EA9">
        <w:rPr>
          <w:lang w:val="en-US"/>
        </w:rPr>
        <w:br/>
        <w:t xml:space="preserve">in the radionavigation-satellite service (space-to-Earth) </w:t>
      </w:r>
      <w:r w:rsidRPr="00666EA9">
        <w:rPr>
          <w:lang w:val="en-US"/>
        </w:rPr>
        <w:br/>
        <w:t>operating in the band 1 164-1 215 MHz</w:t>
      </w:r>
    </w:p>
    <w:p w:rsidR="00666EA9" w:rsidRDefault="00666EA9" w:rsidP="00666EA9">
      <w:pPr>
        <w:pStyle w:val="Recref"/>
        <w:rPr>
          <w:lang w:val="en-US"/>
        </w:rPr>
      </w:pPr>
      <w:r w:rsidRPr="00666EA9">
        <w:rPr>
          <w:lang w:val="en-US"/>
        </w:rPr>
        <w:t>(Questions ITU</w:t>
      </w:r>
      <w:r w:rsidRPr="00666EA9">
        <w:rPr>
          <w:lang w:val="en-US"/>
        </w:rPr>
        <w:noBreakHyphen/>
        <w:t>R 217-2/4 and ITU</w:t>
      </w:r>
      <w:r w:rsidRPr="00666EA9">
        <w:rPr>
          <w:lang w:val="en-US"/>
        </w:rPr>
        <w:noBreakHyphen/>
        <w:t>R 288/4)</w:t>
      </w:r>
    </w:p>
    <w:p w:rsidR="00921BEE" w:rsidRDefault="00921BEE" w:rsidP="008738B5">
      <w:pPr>
        <w:pStyle w:val="Recdate"/>
        <w:rPr>
          <w:lang w:val="en-US"/>
        </w:rPr>
      </w:pPr>
    </w:p>
    <w:p w:rsidR="008738B5" w:rsidRPr="008738B5" w:rsidRDefault="008738B5" w:rsidP="008738B5">
      <w:pPr>
        <w:pStyle w:val="Recdate"/>
        <w:rPr>
          <w:lang w:val="en-US"/>
        </w:rPr>
      </w:pPr>
      <w:r>
        <w:rPr>
          <w:lang w:val="en-US"/>
        </w:rPr>
        <w:t>(2012)</w:t>
      </w:r>
    </w:p>
    <w:p w:rsidR="00666EA9" w:rsidRPr="00836DFC" w:rsidRDefault="00666EA9" w:rsidP="00202E5C">
      <w:pPr>
        <w:pStyle w:val="HeadingSum"/>
        <w:rPr>
          <w:snapToGrid w:val="0"/>
          <w:lang w:val="en-US"/>
        </w:rPr>
      </w:pPr>
      <w:r w:rsidRPr="00836DFC">
        <w:rPr>
          <w:snapToGrid w:val="0"/>
          <w:lang w:val="en-US"/>
        </w:rPr>
        <w:t>Scope</w:t>
      </w:r>
    </w:p>
    <w:p w:rsidR="00666EA9" w:rsidRPr="00836DFC" w:rsidRDefault="00666EA9" w:rsidP="00202E5C">
      <w:pPr>
        <w:pStyle w:val="Summary"/>
        <w:rPr>
          <w:snapToGrid w:val="0"/>
          <w:lang w:val="en-US"/>
        </w:rPr>
      </w:pPr>
      <w:r w:rsidRPr="00836DFC">
        <w:rPr>
          <w:lang w:val="en-US"/>
        </w:rPr>
        <w:t xml:space="preserve">Characteristics and protection criteria for radionavigation-satellite service (RNSS) receiving earth stations operating in the band 1 164-1 215 MHz are presented in this Recommendation. This information is intended for performing analyses of radio-frequency interference impact on RNSS </w:t>
      </w:r>
      <w:r w:rsidRPr="00836DFC">
        <w:rPr>
          <w:lang w:val="en-US" w:eastAsia="ja-JP"/>
        </w:rPr>
        <w:t xml:space="preserve">(space-to-Earth) </w:t>
      </w:r>
      <w:r w:rsidRPr="00836DFC">
        <w:rPr>
          <w:lang w:val="en-US"/>
        </w:rPr>
        <w:t xml:space="preserve">receivers </w:t>
      </w:r>
      <w:r w:rsidRPr="00836DFC">
        <w:rPr>
          <w:lang w:val="en-US" w:eastAsia="ja-JP"/>
        </w:rPr>
        <w:t xml:space="preserve">operating in the band </w:t>
      </w:r>
      <w:r w:rsidRPr="00836DFC">
        <w:rPr>
          <w:lang w:val="en-US"/>
        </w:rPr>
        <w:t>1 164</w:t>
      </w:r>
      <w:r w:rsidRPr="00836DFC">
        <w:rPr>
          <w:lang w:val="en-US"/>
        </w:rPr>
        <w:noBreakHyphen/>
        <w:t>1 215 MHz from radio sources other than in the RNSS.</w:t>
      </w:r>
    </w:p>
    <w:p w:rsidR="00666EA9" w:rsidRPr="00836DFC" w:rsidRDefault="00666EA9" w:rsidP="006C3DE3">
      <w:pPr>
        <w:pStyle w:val="Normalaftertitle"/>
        <w:rPr>
          <w:snapToGrid w:val="0"/>
          <w:lang w:val="en-US"/>
        </w:rPr>
      </w:pPr>
      <w:r w:rsidRPr="00836DFC">
        <w:rPr>
          <w:snapToGrid w:val="0"/>
          <w:lang w:val="en-US"/>
        </w:rPr>
        <w:t>The ITU Radiocommunication Assembly,</w:t>
      </w:r>
    </w:p>
    <w:p w:rsidR="00666EA9" w:rsidRPr="00666EA9" w:rsidRDefault="00666EA9" w:rsidP="00666EA9">
      <w:pPr>
        <w:pStyle w:val="Call"/>
        <w:rPr>
          <w:snapToGrid w:val="0"/>
          <w:lang w:val="en-US"/>
        </w:rPr>
      </w:pPr>
      <w:r w:rsidRPr="00666EA9">
        <w:rPr>
          <w:snapToGrid w:val="0"/>
          <w:lang w:val="en-US"/>
        </w:rPr>
        <w:t>considering</w:t>
      </w:r>
    </w:p>
    <w:p w:rsidR="00666EA9" w:rsidRPr="00836DFC" w:rsidRDefault="00666EA9" w:rsidP="00666EA9">
      <w:pPr>
        <w:rPr>
          <w:lang w:val="en-US"/>
        </w:rPr>
      </w:pPr>
      <w:r w:rsidRPr="00836DFC">
        <w:rPr>
          <w:lang w:val="en-US"/>
        </w:rPr>
        <w:t>a)</w:t>
      </w:r>
      <w:r w:rsidRPr="00836DFC">
        <w:rPr>
          <w:lang w:val="en-US"/>
        </w:rPr>
        <w:tab/>
        <w:t>that systems</w:t>
      </w:r>
      <w:r w:rsidRPr="00836DFC">
        <w:rPr>
          <w:lang w:val="en-US" w:eastAsia="ja-JP"/>
        </w:rPr>
        <w:t xml:space="preserve"> and networks</w:t>
      </w:r>
      <w:r w:rsidRPr="00836DFC">
        <w:rPr>
          <w:lang w:val="en-US"/>
        </w:rPr>
        <w:t xml:space="preserve"> </w:t>
      </w:r>
      <w:r w:rsidRPr="00836DFC">
        <w:rPr>
          <w:lang w:val="en-US" w:eastAsia="ja-JP"/>
        </w:rPr>
        <w:t xml:space="preserve">in the radionavigation-satellite service (RNSS) </w:t>
      </w:r>
      <w:r w:rsidRPr="00836DFC">
        <w:rPr>
          <w:lang w:val="en-US"/>
        </w:rPr>
        <w:t xml:space="preserve">provide worldwide accurate information for many positioning, navigation and timing applications, including safety aspects for some frequency bands and under certain circumstances and applications; </w:t>
      </w:r>
    </w:p>
    <w:p w:rsidR="00666EA9" w:rsidRPr="00836DFC" w:rsidRDefault="00666EA9" w:rsidP="00666EA9">
      <w:pPr>
        <w:rPr>
          <w:lang w:val="en-US"/>
        </w:rPr>
      </w:pPr>
      <w:r w:rsidRPr="00836DFC">
        <w:rPr>
          <w:lang w:val="en-US"/>
        </w:rPr>
        <w:t>b)</w:t>
      </w:r>
      <w:r w:rsidRPr="00836DFC">
        <w:rPr>
          <w:lang w:val="en-US"/>
        </w:rPr>
        <w:tab/>
        <w:t>that there are various operating and planned systems and networks in the RNSS;</w:t>
      </w:r>
    </w:p>
    <w:p w:rsidR="00666EA9" w:rsidRPr="00836DFC" w:rsidRDefault="00666EA9" w:rsidP="00666EA9">
      <w:pPr>
        <w:rPr>
          <w:lang w:val="en-US"/>
        </w:rPr>
      </w:pPr>
      <w:r w:rsidRPr="00836DFC">
        <w:rPr>
          <w:lang w:val="en-US" w:eastAsia="ja-JP"/>
        </w:rPr>
        <w:t>c</w:t>
      </w:r>
      <w:r w:rsidRPr="00836DFC">
        <w:rPr>
          <w:lang w:val="en-US"/>
        </w:rPr>
        <w:t>)</w:t>
      </w:r>
      <w:r w:rsidRPr="00836DFC">
        <w:rPr>
          <w:lang w:val="en-US"/>
        </w:rPr>
        <w:tab/>
        <w:t>that characteristics of systems and networks in the RNSS and their protection criteria could be different subject to frequency bands and applications;</w:t>
      </w:r>
    </w:p>
    <w:p w:rsidR="00666EA9" w:rsidRPr="00836DFC" w:rsidRDefault="00666EA9" w:rsidP="00666EA9">
      <w:pPr>
        <w:rPr>
          <w:lang w:val="en-US"/>
        </w:rPr>
      </w:pPr>
      <w:r w:rsidRPr="00836DFC">
        <w:rPr>
          <w:lang w:val="en-US" w:eastAsia="ja-JP"/>
        </w:rPr>
        <w:t>d</w:t>
      </w:r>
      <w:r w:rsidRPr="00836DFC">
        <w:rPr>
          <w:lang w:val="en-US"/>
        </w:rPr>
        <w:t>)</w:t>
      </w:r>
      <w:r w:rsidRPr="00836DFC">
        <w:rPr>
          <w:lang w:val="en-US"/>
        </w:rPr>
        <w:tab/>
        <w:t xml:space="preserve">that there are studies being conducted or planned on the impact to systems and networks in the RNSS from radio sources other than in the RNSS; </w:t>
      </w:r>
    </w:p>
    <w:p w:rsidR="00666EA9" w:rsidRPr="00836DFC" w:rsidRDefault="00666EA9" w:rsidP="00666EA9">
      <w:pPr>
        <w:rPr>
          <w:lang w:val="en-US" w:eastAsia="ja-JP"/>
        </w:rPr>
      </w:pPr>
      <w:r w:rsidRPr="00836DFC">
        <w:rPr>
          <w:lang w:val="en-US" w:eastAsia="ja-JP"/>
        </w:rPr>
        <w:t>e</w:t>
      </w:r>
      <w:r w:rsidRPr="00836DFC">
        <w:rPr>
          <w:lang w:val="en-US"/>
        </w:rPr>
        <w:t>)</w:t>
      </w:r>
      <w:r w:rsidRPr="00836DFC">
        <w:rPr>
          <w:lang w:val="en-US"/>
        </w:rPr>
        <w:tab/>
        <w:t xml:space="preserve">that there are a large number of aeronautical and non-aeronautical RNSS applications used or planned for use </w:t>
      </w:r>
      <w:r w:rsidRPr="00836DFC">
        <w:rPr>
          <w:snapToGrid w:val="0"/>
          <w:lang w:val="en-US"/>
        </w:rPr>
        <w:t>in the band 1 164-1 215 MHz</w:t>
      </w:r>
      <w:r w:rsidRPr="00836DFC">
        <w:rPr>
          <w:lang w:val="en-US"/>
        </w:rPr>
        <w:t>;</w:t>
      </w:r>
    </w:p>
    <w:p w:rsidR="00666EA9" w:rsidRPr="00836DFC" w:rsidRDefault="00666EA9" w:rsidP="00666EA9">
      <w:pPr>
        <w:rPr>
          <w:lang w:val="en-US"/>
        </w:rPr>
      </w:pPr>
      <w:r w:rsidRPr="00836DFC">
        <w:rPr>
          <w:lang w:val="en-US" w:eastAsia="ja-JP"/>
        </w:rPr>
        <w:t>f</w:t>
      </w:r>
      <w:r w:rsidRPr="00836DFC">
        <w:rPr>
          <w:lang w:val="en-US"/>
        </w:rPr>
        <w:t>)</w:t>
      </w:r>
      <w:r w:rsidRPr="00836DFC">
        <w:rPr>
          <w:lang w:val="en-US"/>
        </w:rPr>
        <w:tab/>
        <w:t>that Recommendation ITU</w:t>
      </w:r>
      <w:r w:rsidRPr="00836DFC">
        <w:rPr>
          <w:lang w:val="en-US"/>
        </w:rPr>
        <w:noBreakHyphen/>
        <w:t>R </w:t>
      </w:r>
      <w:r w:rsidRPr="00636777">
        <w:t>М</w:t>
      </w:r>
      <w:r w:rsidRPr="00836DFC">
        <w:rPr>
          <w:lang w:val="en-US"/>
        </w:rPr>
        <w:t>.1787 provides technical descriptions of systems and networks in the RNSS and technical characteristics of transmitting space stations operating in the bands 1 164-1 215 MHz, 1 215-1 300 MHz and 1 559-1 610 MHz;</w:t>
      </w:r>
    </w:p>
    <w:p w:rsidR="00666EA9" w:rsidRPr="00836DFC" w:rsidRDefault="00666EA9" w:rsidP="00AD1D5C">
      <w:pPr>
        <w:rPr>
          <w:lang w:val="en-US" w:eastAsia="ja-JP"/>
        </w:rPr>
      </w:pPr>
      <w:r w:rsidRPr="00836DFC">
        <w:rPr>
          <w:lang w:val="en-US" w:eastAsia="ja-JP"/>
        </w:rPr>
        <w:t>g</w:t>
      </w:r>
      <w:r w:rsidRPr="00836DFC">
        <w:rPr>
          <w:lang w:val="en-US"/>
        </w:rPr>
        <w:t>)</w:t>
      </w:r>
      <w:r w:rsidRPr="00836DFC">
        <w:rPr>
          <w:lang w:val="en-US"/>
        </w:rPr>
        <w:tab/>
        <w:t>that Recommendation ITU</w:t>
      </w:r>
      <w:r w:rsidRPr="00836DFC">
        <w:rPr>
          <w:lang w:val="en-US"/>
        </w:rPr>
        <w:noBreakHyphen/>
        <w:t>R </w:t>
      </w:r>
      <w:r w:rsidRPr="00636777">
        <w:t>М</w:t>
      </w:r>
      <w:r w:rsidR="00202E5C" w:rsidRPr="00836DFC">
        <w:rPr>
          <w:lang w:val="en-US"/>
        </w:rPr>
        <w:t>.1904</w:t>
      </w:r>
      <w:r w:rsidRPr="00836DFC">
        <w:rPr>
          <w:lang w:val="en-US"/>
        </w:rPr>
        <w:t xml:space="preserve"> provides technical characteristics and protection criteria of receiving space stations operating in the RNSS (space-to-space) in the bands 1 164</w:t>
      </w:r>
      <w:r w:rsidR="00AD1D5C">
        <w:rPr>
          <w:lang w:val="en-US"/>
        </w:rPr>
        <w:noBreakHyphen/>
      </w:r>
      <w:r w:rsidRPr="00836DFC">
        <w:rPr>
          <w:lang w:val="en-US"/>
        </w:rPr>
        <w:t>1 215 MHz, 1 215-1 300 MHz and 1 559-1 610 MHz</w:t>
      </w:r>
      <w:r w:rsidRPr="00836DFC">
        <w:rPr>
          <w:lang w:val="en-US" w:eastAsia="ja-JP"/>
        </w:rPr>
        <w:t>;</w:t>
      </w:r>
    </w:p>
    <w:p w:rsidR="00666EA9" w:rsidRPr="00836DFC" w:rsidRDefault="00202E5C" w:rsidP="00202E5C">
      <w:pPr>
        <w:rPr>
          <w:lang w:val="en-US"/>
        </w:rPr>
      </w:pPr>
      <w:r w:rsidRPr="00836DFC">
        <w:rPr>
          <w:lang w:val="en-US"/>
        </w:rPr>
        <w:t>h)</w:t>
      </w:r>
      <w:r w:rsidRPr="00836DFC">
        <w:rPr>
          <w:lang w:val="en-US"/>
        </w:rPr>
        <w:tab/>
        <w:t>that Recommendation ITU</w:t>
      </w:r>
      <w:r w:rsidRPr="00836DFC">
        <w:rPr>
          <w:lang w:val="en-US"/>
        </w:rPr>
        <w:noBreakHyphen/>
        <w:t xml:space="preserve">R M.1901 </w:t>
      </w:r>
      <w:r w:rsidR="00666EA9" w:rsidRPr="00836DFC">
        <w:rPr>
          <w:lang w:val="en-US"/>
        </w:rPr>
        <w:t>provides guidance on this and other ITU</w:t>
      </w:r>
      <w:r w:rsidR="00666EA9" w:rsidRPr="00836DFC">
        <w:rPr>
          <w:lang w:val="en-US"/>
        </w:rPr>
        <w:noBreakHyphen/>
        <w:t xml:space="preserve">R Recommendations related to systems and networks in the </w:t>
      </w:r>
      <w:r w:rsidRPr="00836DFC">
        <w:rPr>
          <w:lang w:val="en-US"/>
        </w:rPr>
        <w:t xml:space="preserve">RNSS </w:t>
      </w:r>
      <w:r w:rsidR="00666EA9" w:rsidRPr="00836DFC">
        <w:rPr>
          <w:lang w:val="en-US"/>
        </w:rPr>
        <w:t>operating in the frequency bands 1 164-1 215 MHz, 1 215-1 300 MHz, 1 559-1 610 MHz, 5 000-5 010 MHz and 5 010</w:t>
      </w:r>
      <w:r w:rsidR="00666EA9" w:rsidRPr="00836DFC">
        <w:rPr>
          <w:lang w:val="en-US"/>
        </w:rPr>
        <w:noBreakHyphen/>
        <w:t>5 030 MHz,</w:t>
      </w:r>
    </w:p>
    <w:p w:rsidR="00666EA9" w:rsidRPr="00666EA9" w:rsidRDefault="00666EA9" w:rsidP="00666EA9">
      <w:pPr>
        <w:pStyle w:val="Call"/>
        <w:rPr>
          <w:lang w:val="en-US"/>
        </w:rPr>
      </w:pPr>
      <w:r w:rsidRPr="00666EA9">
        <w:rPr>
          <w:lang w:val="en-US"/>
        </w:rPr>
        <w:t>recognizing</w:t>
      </w:r>
    </w:p>
    <w:p w:rsidR="00666EA9" w:rsidRPr="00836DFC" w:rsidRDefault="00666EA9" w:rsidP="00666EA9">
      <w:pPr>
        <w:rPr>
          <w:lang w:val="en-US"/>
        </w:rPr>
      </w:pPr>
      <w:r w:rsidRPr="00836DFC">
        <w:rPr>
          <w:lang w:val="en-US" w:eastAsia="ja-JP"/>
        </w:rPr>
        <w:t>a</w:t>
      </w:r>
      <w:r w:rsidRPr="00836DFC">
        <w:rPr>
          <w:lang w:val="en-US"/>
        </w:rPr>
        <w:t>)</w:t>
      </w:r>
      <w:r w:rsidRPr="00836DFC">
        <w:rPr>
          <w:lang w:val="en-US"/>
        </w:rPr>
        <w:tab/>
        <w:t xml:space="preserve">that the band 1 164-1 215 MHz is allocated on a primary basis to the RNSS (space-to-Earth and space-to-space) </w:t>
      </w:r>
      <w:r w:rsidRPr="00836DFC">
        <w:rPr>
          <w:lang w:val="en-US" w:eastAsia="ja-JP"/>
        </w:rPr>
        <w:t>in all three Regions</w:t>
      </w:r>
      <w:r w:rsidRPr="00836DFC">
        <w:rPr>
          <w:lang w:val="en-US"/>
        </w:rPr>
        <w:t>;</w:t>
      </w:r>
    </w:p>
    <w:p w:rsidR="00666EA9" w:rsidRPr="00836DFC" w:rsidRDefault="00666EA9" w:rsidP="00666EA9">
      <w:pPr>
        <w:rPr>
          <w:lang w:val="en-US"/>
        </w:rPr>
      </w:pPr>
      <w:r w:rsidRPr="00836DFC">
        <w:rPr>
          <w:lang w:val="en-US" w:eastAsia="ja-JP"/>
        </w:rPr>
        <w:t>b</w:t>
      </w:r>
      <w:r w:rsidRPr="00836DFC">
        <w:rPr>
          <w:lang w:val="en-US"/>
        </w:rPr>
        <w:t>)</w:t>
      </w:r>
      <w:r w:rsidRPr="00836DFC">
        <w:rPr>
          <w:lang w:val="en-US"/>
        </w:rPr>
        <w:tab/>
        <w:t xml:space="preserve">that the band 1 164-1 215 MHz is also allocated on a primary basis to the aeronautical radionavigation service (ARNS) </w:t>
      </w:r>
      <w:r w:rsidRPr="00836DFC">
        <w:rPr>
          <w:lang w:val="en-US" w:eastAsia="ja-JP"/>
        </w:rPr>
        <w:t>in all three Regions</w:t>
      </w:r>
      <w:r w:rsidRPr="00836DFC">
        <w:rPr>
          <w:lang w:val="en-US"/>
        </w:rPr>
        <w:t>;</w:t>
      </w:r>
    </w:p>
    <w:p w:rsidR="00666EA9" w:rsidRPr="00836DFC" w:rsidRDefault="00666EA9" w:rsidP="00666EA9">
      <w:pPr>
        <w:rPr>
          <w:lang w:val="en-US" w:eastAsia="ja-JP"/>
        </w:rPr>
      </w:pPr>
      <w:r w:rsidRPr="00836DFC">
        <w:rPr>
          <w:lang w:val="en-US" w:eastAsia="ja-JP"/>
        </w:rPr>
        <w:t>c)</w:t>
      </w:r>
      <w:r w:rsidRPr="00836DFC">
        <w:rPr>
          <w:lang w:val="en-US" w:eastAsia="ja-JP"/>
        </w:rPr>
        <w:tab/>
      </w:r>
      <w:r w:rsidRPr="00836DFC">
        <w:rPr>
          <w:lang w:val="en-US"/>
        </w:rPr>
        <w:t>that No. </w:t>
      </w:r>
      <w:r w:rsidRPr="00836DFC">
        <w:rPr>
          <w:b/>
          <w:lang w:val="en-US"/>
        </w:rPr>
        <w:t>5.328A</w:t>
      </w:r>
      <w:r w:rsidRPr="00836DFC">
        <w:rPr>
          <w:lang w:val="en-US"/>
        </w:rPr>
        <w:t xml:space="preserve"> of the Radio Regulations </w:t>
      </w:r>
      <w:r w:rsidRPr="00836DFC">
        <w:rPr>
          <w:lang w:val="en-US" w:eastAsia="ja-JP"/>
        </w:rPr>
        <w:t xml:space="preserve">(RR) </w:t>
      </w:r>
      <w:r w:rsidRPr="00836DFC">
        <w:rPr>
          <w:lang w:val="en-US"/>
        </w:rPr>
        <w:t>states that “stations in the radionavigation-satellite service in the band 1 164-1 215 MHz shall operate in accordance with the provisions of Resolution 609 (WRC</w:t>
      </w:r>
      <w:r w:rsidRPr="00836DFC">
        <w:rPr>
          <w:lang w:val="en-US"/>
        </w:rPr>
        <w:noBreakHyphen/>
        <w:t>03) and shall not claim protection from stations in the aeronautical radionavigation service in the band 960-1 215 MHz. No. </w:t>
      </w:r>
      <w:r w:rsidRPr="00836DFC">
        <w:rPr>
          <w:b/>
          <w:bCs/>
          <w:lang w:val="en-US"/>
        </w:rPr>
        <w:t>5.43A</w:t>
      </w:r>
      <w:r w:rsidRPr="00836DFC">
        <w:rPr>
          <w:lang w:val="en-US"/>
        </w:rPr>
        <w:t xml:space="preserve"> </w:t>
      </w:r>
      <w:r w:rsidR="00202E5C" w:rsidRPr="00836DFC">
        <w:rPr>
          <w:lang w:val="en-US"/>
        </w:rPr>
        <w:t xml:space="preserve">of the RR </w:t>
      </w:r>
      <w:r w:rsidRPr="00836DFC">
        <w:rPr>
          <w:lang w:val="en-US"/>
        </w:rPr>
        <w:t>does not apply. The provisions of No. 21.18 shall apply”;</w:t>
      </w:r>
    </w:p>
    <w:p w:rsidR="00666EA9" w:rsidRPr="00666EA9" w:rsidRDefault="00666EA9" w:rsidP="00666EA9">
      <w:pPr>
        <w:pStyle w:val="Call"/>
        <w:rPr>
          <w:snapToGrid w:val="0"/>
          <w:lang w:val="en-US"/>
        </w:rPr>
      </w:pPr>
      <w:r w:rsidRPr="00666EA9">
        <w:rPr>
          <w:snapToGrid w:val="0"/>
          <w:lang w:val="en-US"/>
        </w:rPr>
        <w:t>recommends</w:t>
      </w:r>
    </w:p>
    <w:p w:rsidR="00666EA9" w:rsidRPr="00836DFC" w:rsidRDefault="00666EA9" w:rsidP="00666EA9">
      <w:pPr>
        <w:rPr>
          <w:snapToGrid w:val="0"/>
          <w:lang w:val="en-US"/>
        </w:rPr>
      </w:pPr>
      <w:r w:rsidRPr="00836DFC">
        <w:rPr>
          <w:b/>
          <w:bCs/>
          <w:snapToGrid w:val="0"/>
          <w:lang w:val="en-US" w:eastAsia="ja-JP"/>
        </w:rPr>
        <w:t>1</w:t>
      </w:r>
      <w:r w:rsidRPr="00836DFC">
        <w:rPr>
          <w:snapToGrid w:val="0"/>
          <w:lang w:val="en-US" w:eastAsia="ja-JP"/>
        </w:rPr>
        <w:tab/>
      </w:r>
      <w:r w:rsidRPr="00836DFC">
        <w:rPr>
          <w:snapToGrid w:val="0"/>
          <w:lang w:val="en-US"/>
        </w:rPr>
        <w:t>that the characteristics and protection criteria of receiving earth stations given in Annex</w:t>
      </w:r>
      <w:r w:rsidRPr="00836DFC">
        <w:rPr>
          <w:snapToGrid w:val="0"/>
          <w:lang w:val="en-US" w:eastAsia="ja-JP"/>
        </w:rPr>
        <w:t> </w:t>
      </w:r>
      <w:r w:rsidRPr="00836DFC">
        <w:rPr>
          <w:snapToGrid w:val="0"/>
          <w:lang w:val="en-US"/>
        </w:rPr>
        <w:t>2 should be used in performing analyses of the interference impact on RNSS (space-to Earth) receivers operating in the band 1 164-1 215 MHz from radio sources other than in the RNSS;</w:t>
      </w:r>
    </w:p>
    <w:p w:rsidR="00666EA9" w:rsidRPr="00836DFC" w:rsidRDefault="00666EA9" w:rsidP="00666EA9">
      <w:pPr>
        <w:rPr>
          <w:snapToGrid w:val="0"/>
          <w:lang w:val="en-US"/>
        </w:rPr>
      </w:pPr>
      <w:r w:rsidRPr="00836DFC">
        <w:rPr>
          <w:b/>
          <w:lang w:val="en-US"/>
        </w:rPr>
        <w:t>2</w:t>
      </w:r>
      <w:r w:rsidRPr="00836DFC">
        <w:rPr>
          <w:lang w:val="en-US"/>
        </w:rPr>
        <w:tab/>
        <w:t xml:space="preserve">that a safety margin, as discussed in Annex 1, </w:t>
      </w:r>
      <w:r w:rsidRPr="00836DFC">
        <w:rPr>
          <w:snapToGrid w:val="0"/>
          <w:lang w:val="en-US"/>
        </w:rPr>
        <w:t xml:space="preserve">should </w:t>
      </w:r>
      <w:r w:rsidRPr="00836DFC">
        <w:rPr>
          <w:lang w:val="en-US"/>
        </w:rPr>
        <w:t>be applied for the protection of the safety aspects and applications of the RNSS when performing interference analyses</w:t>
      </w:r>
      <w:r w:rsidRPr="00836DFC">
        <w:rPr>
          <w:snapToGrid w:val="0"/>
          <w:lang w:val="en-US"/>
        </w:rPr>
        <w:t>;</w:t>
      </w:r>
    </w:p>
    <w:p w:rsidR="00666EA9" w:rsidRPr="00836DFC" w:rsidRDefault="00666EA9" w:rsidP="00666EA9">
      <w:pPr>
        <w:rPr>
          <w:lang w:val="en-US"/>
        </w:rPr>
      </w:pPr>
      <w:r w:rsidRPr="00836DFC">
        <w:rPr>
          <w:b/>
          <w:lang w:val="en-US"/>
        </w:rPr>
        <w:t>3</w:t>
      </w:r>
      <w:r w:rsidRPr="00836DFC">
        <w:rPr>
          <w:lang w:val="en-US"/>
        </w:rPr>
        <w:tab/>
        <w:t>that the following Note should be considered as part of this Recommendation.</w:t>
      </w:r>
    </w:p>
    <w:p w:rsidR="00666EA9" w:rsidRPr="00836DFC" w:rsidRDefault="00666EA9" w:rsidP="00CD0887">
      <w:pPr>
        <w:rPr>
          <w:snapToGrid w:val="0"/>
          <w:lang w:val="en-US"/>
        </w:rPr>
      </w:pPr>
      <w:r w:rsidRPr="00836DFC">
        <w:rPr>
          <w:lang w:val="en-US"/>
        </w:rPr>
        <w:t xml:space="preserve">NOTE 1 – The 6 dB aeronautical safety margin, as discussed in </w:t>
      </w:r>
      <w:r w:rsidR="00CD0887" w:rsidRPr="00362182">
        <w:rPr>
          <w:szCs w:val="24"/>
          <w:lang w:val="en-US"/>
        </w:rPr>
        <w:t>§</w:t>
      </w:r>
      <w:r w:rsidRPr="00836DFC">
        <w:rPr>
          <w:lang w:val="en-US"/>
        </w:rPr>
        <w:t> 3.2 of Annex 1, was developed for a specific aeronautical radionavigation application of the RNSS in the band 1 164</w:t>
      </w:r>
      <w:r w:rsidR="00AD1D5C">
        <w:rPr>
          <w:lang w:val="en-US"/>
        </w:rPr>
        <w:noBreakHyphen/>
      </w:r>
      <w:r w:rsidRPr="00836DFC">
        <w:rPr>
          <w:lang w:val="en-US"/>
        </w:rPr>
        <w:t>1 215 MHz, and was not intended to be applied to non-aeronautical applications. The level of the safety margin, if any, to be applied to non-aeronautical safety applications of RNSS is to be established on the basis of further study.</w:t>
      </w:r>
    </w:p>
    <w:p w:rsidR="00666EA9" w:rsidRPr="00836DFC" w:rsidRDefault="00666EA9" w:rsidP="00666EA9">
      <w:pPr>
        <w:rPr>
          <w:lang w:val="en-US"/>
        </w:rPr>
      </w:pPr>
    </w:p>
    <w:p w:rsidR="00666EA9" w:rsidRPr="00836DFC" w:rsidRDefault="00666EA9" w:rsidP="00666EA9">
      <w:pPr>
        <w:rPr>
          <w:lang w:val="en-US"/>
        </w:rPr>
      </w:pPr>
    </w:p>
    <w:p w:rsidR="00666EA9" w:rsidRPr="00202E5C" w:rsidRDefault="00666EA9" w:rsidP="00202E5C">
      <w:pPr>
        <w:pStyle w:val="AnnexNoTitle"/>
        <w:rPr>
          <w:lang w:val="en-US"/>
        </w:rPr>
      </w:pPr>
      <w:r w:rsidRPr="00202E5C">
        <w:rPr>
          <w:lang w:val="en-US"/>
        </w:rPr>
        <w:t>Annex 1</w:t>
      </w:r>
      <w:r w:rsidR="00202E5C" w:rsidRPr="00202E5C">
        <w:rPr>
          <w:lang w:val="en-US"/>
        </w:rPr>
        <w:br/>
      </w:r>
      <w:r w:rsidR="00202E5C" w:rsidRPr="00202E5C">
        <w:rPr>
          <w:lang w:val="en-US"/>
        </w:rPr>
        <w:br/>
      </w:r>
      <w:r w:rsidRPr="00202E5C">
        <w:rPr>
          <w:lang w:val="en-US"/>
        </w:rPr>
        <w:t>Margin for safety applications in the RNSS</w:t>
      </w:r>
    </w:p>
    <w:p w:rsidR="00666EA9" w:rsidRPr="00666EA9" w:rsidRDefault="00666EA9" w:rsidP="00666EA9">
      <w:pPr>
        <w:pStyle w:val="Heading1"/>
        <w:rPr>
          <w:lang w:val="en-US"/>
        </w:rPr>
      </w:pPr>
      <w:r w:rsidRPr="00666EA9">
        <w:rPr>
          <w:lang w:val="en-US"/>
        </w:rPr>
        <w:t>1</w:t>
      </w:r>
      <w:r w:rsidRPr="00666EA9">
        <w:rPr>
          <w:lang w:val="en-US"/>
        </w:rPr>
        <w:tab/>
        <w:t>Introduction</w:t>
      </w:r>
    </w:p>
    <w:p w:rsidR="00666EA9" w:rsidRPr="00836DFC" w:rsidRDefault="00666EA9" w:rsidP="00202E5C">
      <w:pPr>
        <w:rPr>
          <w:lang w:val="en-US"/>
        </w:rPr>
      </w:pPr>
      <w:r w:rsidRPr="00836DFC">
        <w:rPr>
          <w:lang w:val="en-US"/>
        </w:rPr>
        <w:t xml:space="preserve">There is a long history within ITU and </w:t>
      </w:r>
      <w:r w:rsidR="00202E5C" w:rsidRPr="00836DFC">
        <w:rPr>
          <w:lang w:val="en-US"/>
        </w:rPr>
        <w:t>the International Civil Aviation Organization (</w:t>
      </w:r>
      <w:r w:rsidRPr="00836DFC">
        <w:rPr>
          <w:lang w:val="en-US"/>
        </w:rPr>
        <w:t>ICAO</w:t>
      </w:r>
      <w:r w:rsidR="00202E5C" w:rsidRPr="00836DFC">
        <w:rPr>
          <w:lang w:val="en-US"/>
        </w:rPr>
        <w:t>)</w:t>
      </w:r>
      <w:r w:rsidRPr="00836DFC">
        <w:rPr>
          <w:lang w:val="en-US"/>
        </w:rPr>
        <w:t xml:space="preserve"> of reserving a portion of the interference link budget for a margin in order to ensure that the safety aspects of the radionavigation service are protected. These margin values typically lie in the range of 6 to 10 dB, or more. Furthermore, there is ample precedent for a safety margin for radionavigation safety applications in ITU, for example:</w:t>
      </w:r>
    </w:p>
    <w:p w:rsidR="00666EA9" w:rsidRPr="00836DFC" w:rsidRDefault="00666EA9" w:rsidP="00666EA9">
      <w:pPr>
        <w:rPr>
          <w:highlight w:val="yellow"/>
          <w:lang w:val="en-US"/>
        </w:rPr>
      </w:pPr>
      <w:r w:rsidRPr="00836DFC">
        <w:rPr>
          <w:lang w:val="en-US"/>
        </w:rPr>
        <w:t>“Regardless of the original intentions of radio spectrum planners, there can be no doubt that the pressure on the radio spectrum for additional allocations to the various radio communication services can result in aeronautical protection criteria being effectively regarded as non-aeronautical sharing criteria. As a consequence, a safety service must take considerable precautions to ensure that any radio service sharing the same radio band is constrained sufficiently to leave an adequate margin under all likely circumstances so that the aggregate harmful interference never exceeds the required protection criteria.”</w:t>
      </w:r>
      <w:r w:rsidRPr="00636777">
        <w:rPr>
          <w:rStyle w:val="FootnoteReference"/>
        </w:rPr>
        <w:footnoteReference w:id="1"/>
      </w:r>
      <w:r w:rsidRPr="00836DFC">
        <w:rPr>
          <w:lang w:val="en-US"/>
        </w:rPr>
        <w:t xml:space="preserve"> </w:t>
      </w:r>
    </w:p>
    <w:p w:rsidR="00666EA9" w:rsidRPr="00836DFC" w:rsidRDefault="00666EA9" w:rsidP="00666EA9">
      <w:pPr>
        <w:rPr>
          <w:lang w:val="en-US"/>
        </w:rPr>
      </w:pPr>
      <w:r w:rsidRPr="00836DFC">
        <w:rPr>
          <w:lang w:val="en-US"/>
        </w:rPr>
        <w:t>Also, Recommendation ITU</w:t>
      </w:r>
      <w:r w:rsidRPr="00836DFC">
        <w:rPr>
          <w:lang w:val="en-US"/>
        </w:rPr>
        <w:noBreakHyphen/>
        <w:t>R M.1318-1 contains, in its Annex, a model for the evaluation of interference to RNSS receivers from radio sources other than in the RNSS. That model includes the use of a factor called “protection margin (dB)”. Its description states that it is used “to ensure protection as provided by RR. No. 4.10”.</w:t>
      </w:r>
    </w:p>
    <w:p w:rsidR="00666EA9" w:rsidRPr="00666EA9" w:rsidRDefault="00666EA9" w:rsidP="00666EA9">
      <w:pPr>
        <w:pStyle w:val="Heading1"/>
        <w:rPr>
          <w:lang w:val="en-US"/>
        </w:rPr>
      </w:pPr>
      <w:r w:rsidRPr="00666EA9">
        <w:rPr>
          <w:lang w:val="en-US"/>
        </w:rPr>
        <w:t>2</w:t>
      </w:r>
      <w:r w:rsidRPr="00666EA9">
        <w:rPr>
          <w:lang w:val="en-US"/>
        </w:rPr>
        <w:tab/>
        <w:t>Purpose of safety margin</w:t>
      </w:r>
    </w:p>
    <w:p w:rsidR="00666EA9" w:rsidRPr="00836DFC" w:rsidRDefault="00666EA9" w:rsidP="00666EA9">
      <w:pPr>
        <w:rPr>
          <w:lang w:val="en-US"/>
        </w:rPr>
      </w:pPr>
      <w:r w:rsidRPr="00836DFC">
        <w:rPr>
          <w:lang w:val="en-US"/>
        </w:rPr>
        <w:t>A safety margin, (which may also be called a public safety factor), is critical for safety-of-life applications in order to account for risk of loss of life due to radio-frequency interference that is real but not quantifiable. To support safety-of-life applications, all interference sources must be accounted for.</w:t>
      </w:r>
    </w:p>
    <w:p w:rsidR="00666EA9" w:rsidRPr="00666EA9" w:rsidRDefault="00666EA9" w:rsidP="00666EA9">
      <w:pPr>
        <w:pStyle w:val="Heading1"/>
        <w:rPr>
          <w:lang w:val="en-US"/>
        </w:rPr>
      </w:pPr>
      <w:r w:rsidRPr="00666EA9">
        <w:rPr>
          <w:lang w:val="en-US"/>
        </w:rPr>
        <w:t>3</w:t>
      </w:r>
      <w:r w:rsidRPr="00666EA9">
        <w:rPr>
          <w:lang w:val="en-US"/>
        </w:rPr>
        <w:tab/>
        <w:t>Aeronautical radionavigation applications of safety margin</w:t>
      </w:r>
    </w:p>
    <w:p w:rsidR="00666EA9" w:rsidRPr="00666EA9" w:rsidRDefault="00666EA9" w:rsidP="00666EA9">
      <w:pPr>
        <w:pStyle w:val="Heading2"/>
        <w:rPr>
          <w:lang w:val="en-US"/>
        </w:rPr>
      </w:pPr>
      <w:r w:rsidRPr="00666EA9">
        <w:rPr>
          <w:lang w:val="en-US"/>
        </w:rPr>
        <w:t>3.1</w:t>
      </w:r>
      <w:r w:rsidRPr="00666EA9">
        <w:rPr>
          <w:lang w:val="en-US"/>
        </w:rPr>
        <w:tab/>
        <w:t>Aeronautical radionavigation safety margin background</w:t>
      </w:r>
    </w:p>
    <w:p w:rsidR="00666EA9" w:rsidRPr="00836DFC" w:rsidRDefault="00666EA9" w:rsidP="00666EA9">
      <w:pPr>
        <w:rPr>
          <w:lang w:val="en-US"/>
        </w:rPr>
      </w:pPr>
      <w:r w:rsidRPr="00836DFC">
        <w:rPr>
          <w:lang w:val="en-US"/>
        </w:rPr>
        <w:t>The utilization of safety margins in navigation systems is well established. ICAO specifies a safety margin for the microwave landing system (MLS) of 6 dB (Annex 10 to ICAO Convention: International Standards and Recommended practices Aeronautical Telecommunications, Vol. 1 – Radio Navigation Aids (Attachment G, Table G-2)). The instrument landing system (ILS) applies a safety margin of 8 dB (see Recommendation ITU</w:t>
      </w:r>
      <w:r w:rsidRPr="00836DFC">
        <w:rPr>
          <w:lang w:val="en-US"/>
        </w:rPr>
        <w:noBreakHyphen/>
        <w:t>R SM.1009</w:t>
      </w:r>
      <w:r w:rsidRPr="00836DFC">
        <w:rPr>
          <w:lang w:val="en-US"/>
        </w:rPr>
        <w:noBreakHyphen/>
        <w:t>1, Appendix 3 to Annex 2). In each case the margin is defined with respect to the navigation system carrier power. That is, to test system performance for these systems, the desired signal power is reduced from the nominal level by the safety margin, then tested to determine whether the system provides the required performance in the presence of interference. In other words, the manufacturer must design the equipment to handle the highest anticipated interference level while receiving a desired signal level lower (by the safety margin) than would be otherwise received.</w:t>
      </w:r>
    </w:p>
    <w:p w:rsidR="00666EA9" w:rsidRPr="00836DFC" w:rsidRDefault="00666EA9" w:rsidP="00666EA9">
      <w:pPr>
        <w:rPr>
          <w:lang w:val="en-US"/>
        </w:rPr>
      </w:pPr>
      <w:r w:rsidRPr="00202E5C">
        <w:rPr>
          <w:lang w:val="en-US"/>
        </w:rPr>
        <w:t xml:space="preserve">With </w:t>
      </w:r>
      <w:r w:rsidR="00202E5C" w:rsidRPr="00202E5C">
        <w:rPr>
          <w:lang w:val="en-US"/>
        </w:rPr>
        <w:t>glo</w:t>
      </w:r>
      <w:r w:rsidR="00202E5C">
        <w:rPr>
          <w:lang w:val="en-US"/>
        </w:rPr>
        <w:t>bal navigation satellite system</w:t>
      </w:r>
      <w:r w:rsidR="00202E5C" w:rsidRPr="00202E5C">
        <w:rPr>
          <w:lang w:val="en-US"/>
        </w:rPr>
        <w:t xml:space="preserve"> </w:t>
      </w:r>
      <w:r w:rsidR="00202E5C">
        <w:rPr>
          <w:lang w:val="en-US"/>
        </w:rPr>
        <w:t>(</w:t>
      </w:r>
      <w:r w:rsidRPr="00202E5C">
        <w:rPr>
          <w:lang w:val="en-US"/>
        </w:rPr>
        <w:t>GNSS</w:t>
      </w:r>
      <w:r w:rsidR="00202E5C">
        <w:rPr>
          <w:lang w:val="en-US"/>
        </w:rPr>
        <w:t>)</w:t>
      </w:r>
      <w:r w:rsidRPr="00636777">
        <w:rPr>
          <w:rStyle w:val="FootnoteReference"/>
        </w:rPr>
        <w:footnoteReference w:id="2"/>
      </w:r>
      <w:r w:rsidRPr="00202E5C">
        <w:rPr>
          <w:lang w:val="en-US"/>
        </w:rPr>
        <w:t xml:space="preserve"> this approach is not feasible because received GNSS satellite power is quite low and relatively constrained, and thus GNSS receivers operate over a limited signal dynamic range. </w:t>
      </w:r>
      <w:r w:rsidRPr="00836DFC">
        <w:rPr>
          <w:lang w:val="en-US"/>
        </w:rPr>
        <w:t xml:space="preserve">For GNSS receivers, the principal received signal quality measure is the </w:t>
      </w:r>
      <w:r w:rsidRPr="00836DFC">
        <w:rPr>
          <w:i/>
          <w:lang w:val="en-US"/>
        </w:rPr>
        <w:t>C</w:t>
      </w:r>
      <w:r w:rsidRPr="00836DFC">
        <w:rPr>
          <w:lang w:val="en-US"/>
        </w:rPr>
        <w:t>/</w:t>
      </w:r>
      <w:r w:rsidRPr="00836DFC">
        <w:rPr>
          <w:i/>
          <w:lang w:val="en-US"/>
        </w:rPr>
        <w:t>N</w:t>
      </w:r>
      <w:r w:rsidRPr="00836DFC">
        <w:rPr>
          <w:iCs/>
          <w:vertAlign w:val="subscript"/>
          <w:lang w:val="en-US"/>
        </w:rPr>
        <w:t>0,</w:t>
      </w:r>
      <w:r w:rsidRPr="00836DFC">
        <w:rPr>
          <w:i/>
          <w:vertAlign w:val="subscript"/>
          <w:lang w:val="en-US"/>
        </w:rPr>
        <w:t>EFF</w:t>
      </w:r>
      <w:r w:rsidRPr="00836DFC">
        <w:rPr>
          <w:lang w:val="en-US"/>
        </w:rPr>
        <w:t xml:space="preserve"> ratio, the ratio of the recovered carrier power, </w:t>
      </w:r>
      <w:r w:rsidRPr="00836DFC">
        <w:rPr>
          <w:i/>
          <w:lang w:val="en-US"/>
        </w:rPr>
        <w:t>C</w:t>
      </w:r>
      <w:r w:rsidRPr="00836DFC">
        <w:rPr>
          <w:lang w:val="en-US"/>
        </w:rPr>
        <w:t xml:space="preserve">, to the effective noise + interference power spectral density, </w:t>
      </w:r>
      <w:r w:rsidRPr="00836DFC">
        <w:rPr>
          <w:i/>
          <w:lang w:val="en-US"/>
        </w:rPr>
        <w:t>N</w:t>
      </w:r>
      <w:r w:rsidRPr="00836DFC">
        <w:rPr>
          <w:iCs/>
          <w:position w:val="-4"/>
          <w:sz w:val="16"/>
          <w:lang w:val="en-US"/>
        </w:rPr>
        <w:t>0,</w:t>
      </w:r>
      <w:r w:rsidRPr="00836DFC">
        <w:rPr>
          <w:i/>
          <w:position w:val="-4"/>
          <w:sz w:val="16"/>
          <w:lang w:val="en-US"/>
        </w:rPr>
        <w:t>EFF</w:t>
      </w:r>
      <w:r w:rsidRPr="00836DFC">
        <w:rPr>
          <w:szCs w:val="24"/>
          <w:lang w:val="en-US"/>
        </w:rPr>
        <w:t>.</w:t>
      </w:r>
      <w:r w:rsidRPr="00836DFC">
        <w:rPr>
          <w:lang w:val="en-US"/>
        </w:rPr>
        <w:t xml:space="preserve"> GNSS receivers must be capable of operating near the minimum </w:t>
      </w:r>
      <w:r w:rsidRPr="00836DFC">
        <w:rPr>
          <w:i/>
          <w:lang w:val="en-US"/>
        </w:rPr>
        <w:t>C</w:t>
      </w:r>
      <w:r w:rsidRPr="00836DFC">
        <w:rPr>
          <w:lang w:val="en-US"/>
        </w:rPr>
        <w:t>/</w:t>
      </w:r>
      <w:r w:rsidRPr="00836DFC">
        <w:rPr>
          <w:i/>
          <w:lang w:val="en-US"/>
        </w:rPr>
        <w:t>N</w:t>
      </w:r>
      <w:r w:rsidRPr="00836DFC">
        <w:rPr>
          <w:iCs/>
          <w:vertAlign w:val="subscript"/>
          <w:lang w:val="en-US"/>
        </w:rPr>
        <w:t>0,</w:t>
      </w:r>
      <w:r w:rsidRPr="00836DFC">
        <w:rPr>
          <w:i/>
          <w:vertAlign w:val="subscript"/>
          <w:lang w:val="en-US"/>
        </w:rPr>
        <w:t>EFF</w:t>
      </w:r>
      <w:r w:rsidRPr="00836DFC">
        <w:rPr>
          <w:lang w:val="en-US"/>
        </w:rPr>
        <w:t xml:space="preserve"> value, a region where important performance parameters, such as detected word error rate or carrier phase error, rise rapidly for small reductions in </w:t>
      </w:r>
      <w:r w:rsidRPr="00836DFC">
        <w:rPr>
          <w:i/>
          <w:lang w:val="en-US"/>
        </w:rPr>
        <w:t>C</w:t>
      </w:r>
      <w:r w:rsidRPr="00836DFC">
        <w:rPr>
          <w:lang w:val="en-US"/>
        </w:rPr>
        <w:t>/</w:t>
      </w:r>
      <w:r w:rsidRPr="00836DFC">
        <w:rPr>
          <w:i/>
          <w:lang w:val="en-US"/>
        </w:rPr>
        <w:t>N</w:t>
      </w:r>
      <w:r w:rsidRPr="00836DFC">
        <w:rPr>
          <w:iCs/>
          <w:vertAlign w:val="subscript"/>
          <w:lang w:val="en-US"/>
        </w:rPr>
        <w:t>0,</w:t>
      </w:r>
      <w:r w:rsidRPr="00836DFC">
        <w:rPr>
          <w:i/>
          <w:vertAlign w:val="subscript"/>
          <w:lang w:val="en-US"/>
        </w:rPr>
        <w:t>EFF</w:t>
      </w:r>
      <w:r w:rsidRPr="00836DFC">
        <w:rPr>
          <w:lang w:val="en-US"/>
        </w:rPr>
        <w:t xml:space="preserve"> due, for example, to interference.</w:t>
      </w:r>
    </w:p>
    <w:p w:rsidR="00666EA9" w:rsidRPr="00666EA9" w:rsidRDefault="00666EA9" w:rsidP="00666EA9">
      <w:pPr>
        <w:pStyle w:val="Heading2"/>
        <w:rPr>
          <w:lang w:val="en-US"/>
        </w:rPr>
      </w:pPr>
      <w:r w:rsidRPr="00666EA9">
        <w:rPr>
          <w:lang w:val="en-US"/>
        </w:rPr>
        <w:t>3.2</w:t>
      </w:r>
      <w:r w:rsidRPr="00666EA9">
        <w:rPr>
          <w:lang w:val="en-US"/>
        </w:rPr>
        <w:tab/>
        <w:t xml:space="preserve">Safety margin approach for the GNSS in the band 1 164-1 215 MHz </w:t>
      </w:r>
    </w:p>
    <w:p w:rsidR="00666EA9" w:rsidRPr="00836DFC" w:rsidRDefault="00666EA9" w:rsidP="00666EA9">
      <w:pPr>
        <w:rPr>
          <w:i/>
          <w:lang w:val="en-US"/>
        </w:rPr>
      </w:pPr>
      <w:r w:rsidRPr="00836DFC">
        <w:rPr>
          <w:lang w:val="en-US"/>
        </w:rPr>
        <w:t>As with the MLS and ILS, the approach for the GNSS is to define a level of non-aeronautical radio-frequency interference (RFI)</w:t>
      </w:r>
      <w:r w:rsidRPr="00636777">
        <w:rPr>
          <w:rStyle w:val="FootnoteReference"/>
        </w:rPr>
        <w:footnoteReference w:id="3"/>
      </w:r>
      <w:r w:rsidRPr="00836DFC">
        <w:rPr>
          <w:lang w:val="en-US"/>
        </w:rPr>
        <w:t xml:space="preserve"> that the receiver must be able to accept and still meet performance specifications. For the GNSS, the receiver RFI test limit (i.e. the design threshold) exceeds the maximum allowable environmental aggregate interference level by a safety margin. Specifically, if the aggregate continuous interference test limit for GNSS is </w:t>
      </w:r>
      <w:r w:rsidRPr="00836DFC">
        <w:rPr>
          <w:i/>
          <w:lang w:val="en-US"/>
        </w:rPr>
        <w:t>J</w:t>
      </w:r>
      <w:r w:rsidRPr="00836DFC">
        <w:rPr>
          <w:i/>
          <w:iCs/>
          <w:vertAlign w:val="subscript"/>
          <w:lang w:val="en-US"/>
        </w:rPr>
        <w:t>agg</w:t>
      </w:r>
      <w:r w:rsidRPr="00836DFC">
        <w:rPr>
          <w:vertAlign w:val="subscript"/>
          <w:lang w:val="en-US"/>
        </w:rPr>
        <w:t>,max</w:t>
      </w:r>
      <w:r w:rsidRPr="00836DFC">
        <w:rPr>
          <w:iCs/>
          <w:lang w:val="en-US"/>
        </w:rPr>
        <w:t xml:space="preserve"> (dBW) </w:t>
      </w:r>
      <w:r w:rsidRPr="00836DFC">
        <w:rPr>
          <w:lang w:val="en-US"/>
        </w:rPr>
        <w:t xml:space="preserve">and a safety margin, </w:t>
      </w:r>
      <w:r w:rsidRPr="00836DFC">
        <w:rPr>
          <w:i/>
          <w:lang w:val="en-US"/>
        </w:rPr>
        <w:t>M</w:t>
      </w:r>
      <w:r w:rsidRPr="00836DFC">
        <w:rPr>
          <w:iCs/>
          <w:lang w:val="en-US"/>
        </w:rPr>
        <w:t> (dB),</w:t>
      </w:r>
      <w:r w:rsidRPr="00836DFC">
        <w:rPr>
          <w:lang w:val="en-US"/>
        </w:rPr>
        <w:t xml:space="preserve"> is used, then the maximum safe environmental aggregate continuous RFI, </w:t>
      </w:r>
      <w:r w:rsidRPr="00836DFC">
        <w:rPr>
          <w:i/>
          <w:lang w:val="en-US"/>
        </w:rPr>
        <w:t>J</w:t>
      </w:r>
      <w:r w:rsidRPr="00836DFC">
        <w:rPr>
          <w:i/>
          <w:vertAlign w:val="subscript"/>
          <w:lang w:val="en-US"/>
        </w:rPr>
        <w:t>safe</w:t>
      </w:r>
      <w:r w:rsidRPr="00836DFC">
        <w:rPr>
          <w:vertAlign w:val="subscript"/>
          <w:lang w:val="en-US"/>
        </w:rPr>
        <w:t>,max</w:t>
      </w:r>
      <w:r w:rsidRPr="00836DFC">
        <w:rPr>
          <w:lang w:val="en-US"/>
        </w:rPr>
        <w:t xml:space="preserve"> (dBW) is:</w:t>
      </w:r>
    </w:p>
    <w:p w:rsidR="00666EA9" w:rsidRPr="00666EA9" w:rsidRDefault="00666EA9" w:rsidP="00666EA9">
      <w:pPr>
        <w:pStyle w:val="Equation"/>
        <w:rPr>
          <w:lang w:val="en-US"/>
        </w:rPr>
      </w:pPr>
      <w:r w:rsidRPr="00666EA9">
        <w:rPr>
          <w:i/>
          <w:lang w:val="en-US"/>
        </w:rPr>
        <w:tab/>
      </w:r>
      <w:r w:rsidRPr="00666EA9">
        <w:rPr>
          <w:i/>
          <w:lang w:val="en-US"/>
        </w:rPr>
        <w:tab/>
        <w:t>J</w:t>
      </w:r>
      <w:r w:rsidRPr="00666EA9">
        <w:rPr>
          <w:i/>
          <w:iCs/>
          <w:vertAlign w:val="subscript"/>
          <w:lang w:val="en-US"/>
        </w:rPr>
        <w:t>safe,</w:t>
      </w:r>
      <w:r w:rsidRPr="00666EA9">
        <w:rPr>
          <w:vertAlign w:val="subscript"/>
          <w:lang w:val="en-US"/>
        </w:rPr>
        <w:t>max</w:t>
      </w:r>
      <w:r w:rsidRPr="00666EA9">
        <w:rPr>
          <w:lang w:val="en-US"/>
        </w:rPr>
        <w:t xml:space="preserve"> = </w:t>
      </w:r>
      <w:r w:rsidRPr="00666EA9">
        <w:rPr>
          <w:i/>
          <w:lang w:val="en-US"/>
        </w:rPr>
        <w:t>J</w:t>
      </w:r>
      <w:r w:rsidRPr="00666EA9">
        <w:rPr>
          <w:i/>
          <w:iCs/>
          <w:vertAlign w:val="subscript"/>
          <w:lang w:val="en-US"/>
        </w:rPr>
        <w:t>agg,</w:t>
      </w:r>
      <w:r w:rsidRPr="00666EA9">
        <w:rPr>
          <w:vertAlign w:val="subscript"/>
          <w:lang w:val="en-US"/>
        </w:rPr>
        <w:t>max</w:t>
      </w:r>
      <w:r w:rsidRPr="00666EA9">
        <w:rPr>
          <w:lang w:val="en-US"/>
        </w:rPr>
        <w:t xml:space="preserve"> – </w:t>
      </w:r>
      <w:r w:rsidRPr="00666EA9">
        <w:rPr>
          <w:i/>
          <w:lang w:val="en-US"/>
        </w:rPr>
        <w:t>M</w:t>
      </w:r>
    </w:p>
    <w:p w:rsidR="00921BEE" w:rsidRDefault="00921BEE" w:rsidP="00921BEE">
      <w:pPr>
        <w:pStyle w:val="Blanc"/>
      </w:pPr>
    </w:p>
    <w:p w:rsidR="00666EA9" w:rsidRPr="002F46BD" w:rsidRDefault="00666EA9" w:rsidP="002F46BD">
      <w:pPr>
        <w:rPr>
          <w:lang w:val="en-US"/>
        </w:rPr>
      </w:pPr>
      <w:r w:rsidRPr="002F46BD">
        <w:rPr>
          <w:lang w:val="en-US"/>
        </w:rPr>
        <w:t>As with the GNSS in the 1 559-1 610 MHz ba</w:t>
      </w:r>
      <w:r w:rsidR="002F46BD">
        <w:rPr>
          <w:lang w:val="en-US"/>
        </w:rPr>
        <w:t>nd (see Recommendation ITU</w:t>
      </w:r>
      <w:r w:rsidR="002F46BD">
        <w:rPr>
          <w:lang w:val="en-US"/>
        </w:rPr>
        <w:noBreakHyphen/>
        <w:t>R M.1903</w:t>
      </w:r>
      <w:r w:rsidRPr="002F46BD">
        <w:rPr>
          <w:lang w:val="en-US"/>
        </w:rPr>
        <w:t xml:space="preserve">, Annex 1), the necessary safety margin, </w:t>
      </w:r>
      <w:r w:rsidRPr="002F46BD">
        <w:rPr>
          <w:i/>
          <w:lang w:val="en-US"/>
        </w:rPr>
        <w:t>M</w:t>
      </w:r>
      <w:r w:rsidRPr="002F46BD">
        <w:rPr>
          <w:lang w:val="en-US"/>
        </w:rPr>
        <w:t> (dB), is 6 dB.</w:t>
      </w:r>
    </w:p>
    <w:p w:rsidR="00666EA9" w:rsidRPr="002F46BD" w:rsidRDefault="00666EA9" w:rsidP="00921BEE">
      <w:pPr>
        <w:pStyle w:val="AnnexNoTitle"/>
        <w:rPr>
          <w:lang w:val="en-US"/>
        </w:rPr>
      </w:pPr>
      <w:r w:rsidRPr="002F46BD">
        <w:rPr>
          <w:lang w:val="en-US"/>
        </w:rPr>
        <w:t>Annex 2</w:t>
      </w:r>
      <w:r w:rsidR="002F46BD" w:rsidRPr="002F46BD">
        <w:rPr>
          <w:lang w:val="en-US"/>
        </w:rPr>
        <w:br/>
      </w:r>
      <w:r w:rsidR="002F46BD" w:rsidRPr="002F46BD">
        <w:rPr>
          <w:lang w:val="en-US"/>
        </w:rPr>
        <w:br/>
      </w:r>
      <w:r w:rsidRPr="002F46BD">
        <w:rPr>
          <w:lang w:val="en-US"/>
        </w:rPr>
        <w:t>Technical characteristics and protection criteria for receiving earth stations</w:t>
      </w:r>
      <w:r w:rsidR="00921BEE">
        <w:rPr>
          <w:lang w:val="en-US"/>
        </w:rPr>
        <w:br/>
      </w:r>
      <w:r w:rsidRPr="002F46BD">
        <w:rPr>
          <w:lang w:val="en-US"/>
        </w:rPr>
        <w:t>in</w:t>
      </w:r>
      <w:r w:rsidR="00921BEE">
        <w:rPr>
          <w:lang w:val="en-US"/>
        </w:rPr>
        <w:t xml:space="preserve"> </w:t>
      </w:r>
      <w:r w:rsidRPr="002F46BD">
        <w:rPr>
          <w:lang w:val="en-US"/>
        </w:rPr>
        <w:t>the RNSS (space-to-Earth) operating in the band 1 164-1 215 MHz</w:t>
      </w:r>
    </w:p>
    <w:p w:rsidR="00666EA9" w:rsidRPr="00666EA9" w:rsidRDefault="00666EA9" w:rsidP="00666EA9">
      <w:pPr>
        <w:pStyle w:val="Heading1"/>
        <w:rPr>
          <w:lang w:val="en-US" w:eastAsia="ja-JP"/>
        </w:rPr>
      </w:pPr>
      <w:r w:rsidRPr="00666EA9">
        <w:rPr>
          <w:lang w:val="en-US"/>
        </w:rPr>
        <w:t>1</w:t>
      </w:r>
      <w:r w:rsidRPr="00666EA9">
        <w:rPr>
          <w:lang w:val="en-US"/>
        </w:rPr>
        <w:tab/>
        <w:t>Introduction</w:t>
      </w:r>
    </w:p>
    <w:p w:rsidR="00666EA9" w:rsidRPr="00836DFC" w:rsidRDefault="00666EA9" w:rsidP="00666EA9">
      <w:pPr>
        <w:rPr>
          <w:snapToGrid w:val="0"/>
          <w:lang w:val="en-US"/>
        </w:rPr>
      </w:pPr>
      <w:r w:rsidRPr="00836DFC">
        <w:rPr>
          <w:lang w:val="en-US"/>
        </w:rPr>
        <w:t>Several classes of receivers that vary in terms of function and performance are likely to use the RNSS satellite signals in this frequency band. Table 2</w:t>
      </w:r>
      <w:r w:rsidRPr="00836DFC">
        <w:rPr>
          <w:lang w:val="en-US"/>
        </w:rPr>
        <w:noBreakHyphen/>
        <w:t>1 in this Annex provides characteristics and protection criteria for several types of RNSS receivers including two types that</w:t>
      </w:r>
      <w:r w:rsidRPr="00836DFC">
        <w:rPr>
          <w:snapToGrid w:val="0"/>
          <w:lang w:val="en-US"/>
        </w:rPr>
        <w:t xml:space="preserve"> represent air</w:t>
      </w:r>
      <w:r w:rsidRPr="00836DFC">
        <w:rPr>
          <w:snapToGrid w:val="0"/>
          <w:lang w:val="en-US"/>
        </w:rPr>
        <w:noBreakHyphen/>
        <w:t>navigation receivers. One air-navigation receiver type also uses an SBAS</w:t>
      </w:r>
      <w:r w:rsidRPr="00636777">
        <w:rPr>
          <w:rStyle w:val="FootnoteReference"/>
          <w:snapToGrid w:val="0"/>
        </w:rPr>
        <w:footnoteReference w:id="4"/>
      </w:r>
      <w:r w:rsidRPr="00836DFC">
        <w:rPr>
          <w:snapToGrid w:val="0"/>
          <w:lang w:val="en-US"/>
        </w:rPr>
        <w:t xml:space="preserve"> signal transmitted on the same carrier centre frequency as the RNSS signal. Other types listed include high-precision (e.g. surveying), indoor positioning, and general-purpose RNSS receivers. More details of the RNSS and SBAS signals are contained in Recommendation ITU</w:t>
      </w:r>
      <w:r w:rsidRPr="00836DFC">
        <w:rPr>
          <w:snapToGrid w:val="0"/>
          <w:lang w:val="en-US"/>
        </w:rPr>
        <w:noBreakHyphen/>
        <w:t>R M.1787. As the RNSS continues to evolve, RNSS applications using receivers that have more susceptibility to RFI may come into use, requiring this Recommendation to be updated to take them into account.</w:t>
      </w:r>
    </w:p>
    <w:p w:rsidR="00666EA9" w:rsidRPr="00666EA9" w:rsidRDefault="00666EA9" w:rsidP="00666EA9">
      <w:pPr>
        <w:pStyle w:val="Heading1"/>
        <w:rPr>
          <w:lang w:val="en-US"/>
        </w:rPr>
      </w:pPr>
      <w:r w:rsidRPr="00666EA9">
        <w:rPr>
          <w:lang w:val="en-US"/>
        </w:rPr>
        <w:t>2</w:t>
      </w:r>
      <w:r w:rsidRPr="00666EA9">
        <w:rPr>
          <w:lang w:val="en-US"/>
        </w:rPr>
        <w:tab/>
        <w:t>Receiver type and application descriptions</w:t>
      </w:r>
    </w:p>
    <w:p w:rsidR="00666EA9" w:rsidRPr="00836DFC" w:rsidRDefault="00666EA9" w:rsidP="00666EA9">
      <w:pPr>
        <w:rPr>
          <w:lang w:val="en-US"/>
        </w:rPr>
      </w:pPr>
      <w:r w:rsidRPr="00836DFC">
        <w:rPr>
          <w:lang w:val="en-US"/>
        </w:rPr>
        <w:t>This section describes several types of current and prospective RNSS receivers.</w:t>
      </w:r>
    </w:p>
    <w:p w:rsidR="00666EA9" w:rsidRPr="00666EA9" w:rsidRDefault="00666EA9" w:rsidP="00666EA9">
      <w:pPr>
        <w:pStyle w:val="Heading2"/>
        <w:rPr>
          <w:lang w:val="en-US"/>
        </w:rPr>
      </w:pPr>
      <w:r w:rsidRPr="00666EA9">
        <w:rPr>
          <w:lang w:val="en-US"/>
        </w:rPr>
        <w:t>2.1</w:t>
      </w:r>
      <w:r w:rsidRPr="00666EA9">
        <w:rPr>
          <w:lang w:val="en-US"/>
        </w:rPr>
        <w:tab/>
        <w:t>Air-navigation receiver</w:t>
      </w:r>
    </w:p>
    <w:p w:rsidR="00666EA9" w:rsidRPr="00836DFC" w:rsidRDefault="00666EA9" w:rsidP="00666EA9">
      <w:pPr>
        <w:rPr>
          <w:lang w:val="en-US"/>
        </w:rPr>
      </w:pPr>
      <w:r w:rsidRPr="00836DFC">
        <w:rPr>
          <w:lang w:val="en-US"/>
        </w:rPr>
        <w:t>The air-navigation category</w:t>
      </w:r>
      <w:r w:rsidRPr="00836DFC">
        <w:rPr>
          <w:b/>
          <w:lang w:val="en-US"/>
        </w:rPr>
        <w:t xml:space="preserve"> </w:t>
      </w:r>
      <w:r w:rsidRPr="00836DFC">
        <w:rPr>
          <w:lang w:val="en-US"/>
        </w:rPr>
        <w:t>represents several types of RNSS receivers. These receivers represent high integrity airborne receivers for operation in all flight phases and have specific measures to mitigate pulsed interference. Characteristics and protection criteria for two types of RNSS receivers are listed in Table 2-1. Air-navigation receiver No. 1 uses CDMA RNSS and SBAS signals</w:t>
      </w:r>
      <w:r w:rsidRPr="00636777">
        <w:rPr>
          <w:rStyle w:val="FootnoteReference"/>
        </w:rPr>
        <w:footnoteReference w:id="5"/>
      </w:r>
      <w:r w:rsidRPr="00836DFC">
        <w:rPr>
          <w:lang w:val="en-US"/>
        </w:rPr>
        <w:t>. Interference thresholds for air-navigation receiver No. 1 represent the lowest applicable limits for the set of RNSS and SBAS signals used in that receiver (see Table 2-1, column 1). Air-navigation receiver No. 2 uses FDMA RNSS signals</w:t>
      </w:r>
      <w:r w:rsidRPr="00636777">
        <w:rPr>
          <w:rStyle w:val="FootnoteReference"/>
        </w:rPr>
        <w:footnoteReference w:id="6"/>
      </w:r>
      <w:r w:rsidRPr="00836DFC">
        <w:rPr>
          <w:lang w:val="en-US"/>
        </w:rPr>
        <w:t xml:space="preserve"> and operates on several carrier frequencies simultaneously (see Table 2</w:t>
      </w:r>
      <w:r w:rsidRPr="00836DFC">
        <w:rPr>
          <w:lang w:val="en-US"/>
        </w:rPr>
        <w:noBreakHyphen/>
        <w:t>1, column 2).</w:t>
      </w:r>
    </w:p>
    <w:p w:rsidR="00666EA9" w:rsidRPr="00836DFC" w:rsidRDefault="00666EA9" w:rsidP="00666EA9">
      <w:pPr>
        <w:rPr>
          <w:lang w:val="en-US"/>
        </w:rPr>
      </w:pPr>
      <w:r w:rsidRPr="00836DFC">
        <w:rPr>
          <w:lang w:val="en-US"/>
        </w:rPr>
        <w:t>Characteristics for the air</w:t>
      </w:r>
      <w:r w:rsidRPr="00836DFC">
        <w:rPr>
          <w:snapToGrid w:val="0"/>
          <w:lang w:val="en-US"/>
        </w:rPr>
        <w:t>-n</w:t>
      </w:r>
      <w:r w:rsidRPr="00836DFC">
        <w:rPr>
          <w:lang w:val="en-US"/>
        </w:rPr>
        <w:t xml:space="preserve">avigation receiver No. 2 may also apply to receivers developed for land or maritime applications that are not described in this Annex. </w:t>
      </w:r>
    </w:p>
    <w:p w:rsidR="00666EA9" w:rsidRPr="00666EA9" w:rsidRDefault="00666EA9" w:rsidP="002F46BD">
      <w:pPr>
        <w:pStyle w:val="Heading2"/>
        <w:rPr>
          <w:lang w:val="en-US"/>
        </w:rPr>
      </w:pPr>
      <w:r w:rsidRPr="00666EA9">
        <w:rPr>
          <w:lang w:val="en-US"/>
        </w:rPr>
        <w:t>2.2</w:t>
      </w:r>
      <w:r w:rsidRPr="00666EA9">
        <w:rPr>
          <w:lang w:val="en-US"/>
        </w:rPr>
        <w:tab/>
        <w:t>High-precision receiver</w:t>
      </w:r>
    </w:p>
    <w:p w:rsidR="00666EA9" w:rsidRPr="00836DFC" w:rsidRDefault="00666EA9" w:rsidP="00666EA9">
      <w:pPr>
        <w:rPr>
          <w:color w:val="000000"/>
          <w:lang w:val="en-US"/>
        </w:rPr>
      </w:pPr>
      <w:r w:rsidRPr="00836DFC">
        <w:rPr>
          <w:lang w:val="en-US" w:eastAsia="ja-JP"/>
        </w:rPr>
        <w:t xml:space="preserve">The high-precision category represents RNSS receivers that are used in applications requiring </w:t>
      </w:r>
      <w:r w:rsidRPr="00836DFC">
        <w:rPr>
          <w:lang w:val="en-US"/>
        </w:rPr>
        <w:t xml:space="preserve">high positioning accuracy </w:t>
      </w:r>
      <w:r w:rsidRPr="00836DFC">
        <w:rPr>
          <w:szCs w:val="28"/>
          <w:lang w:val="en-US"/>
        </w:rPr>
        <w:t>(e.g. surveying, scientific, and agricultural applications).</w:t>
      </w:r>
      <w:r w:rsidRPr="00836DFC">
        <w:rPr>
          <w:lang w:val="en-US"/>
        </w:rPr>
        <w:t xml:space="preserve"> </w:t>
      </w:r>
      <w:r w:rsidRPr="00836DFC">
        <w:rPr>
          <w:szCs w:val="24"/>
          <w:lang w:val="en-US"/>
        </w:rPr>
        <w:t xml:space="preserve">High-precision </w:t>
      </w:r>
      <w:r w:rsidRPr="00836DFC">
        <w:rPr>
          <w:lang w:val="en-US"/>
        </w:rPr>
        <w:t>receivers use various techniques (e.g. semi-codeless techniques) to acquire and track RNSS signals in two or three RNSS frequency bands</w:t>
      </w:r>
      <w:r w:rsidRPr="00836DFC">
        <w:rPr>
          <w:szCs w:val="24"/>
          <w:lang w:val="en-US"/>
        </w:rPr>
        <w:t xml:space="preserve"> for carrier phase ambiguity resolution</w:t>
      </w:r>
      <w:r w:rsidRPr="00836DFC">
        <w:rPr>
          <w:lang w:val="en-US"/>
        </w:rPr>
        <w:t>, and require protection</w:t>
      </w:r>
      <w:r w:rsidRPr="00836DFC">
        <w:rPr>
          <w:szCs w:val="24"/>
          <w:lang w:val="en-US"/>
        </w:rPr>
        <w:t xml:space="preserve"> </w:t>
      </w:r>
      <w:r w:rsidRPr="00836DFC">
        <w:rPr>
          <w:color w:val="000000"/>
          <w:szCs w:val="24"/>
          <w:lang w:val="en-US"/>
        </w:rPr>
        <w:t xml:space="preserve">in all bands used. </w:t>
      </w:r>
      <w:r w:rsidRPr="00836DFC">
        <w:rPr>
          <w:color w:val="000000"/>
          <w:lang w:val="en-US"/>
        </w:rPr>
        <w:t xml:space="preserve">The characteristics and protection levels for high-precision receivers also apply to RNSS receivers that are designed to operate in specialized RNSS applications (e.g. single-frequency ground networks, and precision navigation). </w:t>
      </w:r>
    </w:p>
    <w:p w:rsidR="00666EA9" w:rsidRPr="00836DFC" w:rsidRDefault="00666EA9" w:rsidP="00666EA9">
      <w:pPr>
        <w:rPr>
          <w:b/>
          <w:lang w:val="en-US"/>
        </w:rPr>
      </w:pPr>
      <w:r w:rsidRPr="00836DFC">
        <w:rPr>
          <w:lang w:val="en-US"/>
        </w:rPr>
        <w:t>High-precision RNSS receivers and receivers designed to operate in specialized RNSS applications also can operate in stressed environments (e.g. under foliage).</w:t>
      </w:r>
      <w:r w:rsidRPr="00836DFC">
        <w:rPr>
          <w:lang w:val="en-US" w:eastAsia="ja-JP"/>
        </w:rPr>
        <w:t xml:space="preserve"> Two receiver types are listed in </w:t>
      </w:r>
      <w:r w:rsidRPr="00836DFC">
        <w:rPr>
          <w:lang w:val="en-US"/>
        </w:rPr>
        <w:t>Table 2</w:t>
      </w:r>
      <w:r w:rsidRPr="00836DFC">
        <w:rPr>
          <w:lang w:val="en-US"/>
        </w:rPr>
        <w:noBreakHyphen/>
        <w:t xml:space="preserve">1, column 3; each of </w:t>
      </w:r>
      <w:r w:rsidRPr="00836DFC">
        <w:rPr>
          <w:lang w:val="en-US" w:eastAsia="ja-JP"/>
        </w:rPr>
        <w:t xml:space="preserve">which uses a different RNSS satellite signal type (either </w:t>
      </w:r>
      <w:r w:rsidR="00CF4941">
        <w:rPr>
          <w:lang w:val="en-US" w:eastAsia="ja-JP"/>
        </w:rPr>
        <w:t>code division multiple access (</w:t>
      </w:r>
      <w:r w:rsidRPr="00836DFC">
        <w:rPr>
          <w:lang w:val="en-US" w:eastAsia="ja-JP"/>
        </w:rPr>
        <w:t>CDMA</w:t>
      </w:r>
      <w:r w:rsidR="00CF4941">
        <w:rPr>
          <w:lang w:val="en-US" w:eastAsia="ja-JP"/>
        </w:rPr>
        <w:t>)</w:t>
      </w:r>
      <w:r w:rsidRPr="00836DFC">
        <w:rPr>
          <w:lang w:val="en-US" w:eastAsia="ja-JP"/>
        </w:rPr>
        <w:t xml:space="preserve"> or </w:t>
      </w:r>
      <w:r w:rsidR="00CF4941" w:rsidRPr="002F46BD">
        <w:rPr>
          <w:lang w:val="en-US" w:eastAsia="ja-JP"/>
        </w:rPr>
        <w:t>frequenc</w:t>
      </w:r>
      <w:r w:rsidR="00CF4941">
        <w:rPr>
          <w:lang w:val="en-US" w:eastAsia="ja-JP"/>
        </w:rPr>
        <w:t>y</w:t>
      </w:r>
      <w:r w:rsidR="00CF4941" w:rsidRPr="002F46BD">
        <w:rPr>
          <w:lang w:val="en-US" w:eastAsia="ja-JP"/>
        </w:rPr>
        <w:t xml:space="preserve"> division multiple access </w:t>
      </w:r>
      <w:r w:rsidR="00CF4941">
        <w:rPr>
          <w:lang w:val="en-US" w:eastAsia="ja-JP"/>
        </w:rPr>
        <w:t>(</w:t>
      </w:r>
      <w:r w:rsidRPr="00836DFC">
        <w:rPr>
          <w:lang w:val="en-US" w:eastAsia="ja-JP"/>
        </w:rPr>
        <w:t>FDMA</w:t>
      </w:r>
      <w:r w:rsidR="00CF4941">
        <w:rPr>
          <w:lang w:val="en-US" w:eastAsia="ja-JP"/>
        </w:rPr>
        <w:t>)</w:t>
      </w:r>
      <w:r w:rsidRPr="00836DFC">
        <w:rPr>
          <w:lang w:val="en-US" w:eastAsia="ja-JP"/>
        </w:rPr>
        <w:t>) and frequency range. The protection criteria and remaining characteristics are the same.</w:t>
      </w:r>
    </w:p>
    <w:p w:rsidR="00666EA9" w:rsidRPr="00666EA9" w:rsidRDefault="00666EA9" w:rsidP="00666EA9">
      <w:pPr>
        <w:pStyle w:val="Heading2"/>
        <w:rPr>
          <w:lang w:val="en-US"/>
        </w:rPr>
      </w:pPr>
      <w:r w:rsidRPr="00666EA9">
        <w:rPr>
          <w:lang w:val="en-US"/>
        </w:rPr>
        <w:t>2.3</w:t>
      </w:r>
      <w:r w:rsidRPr="00666EA9">
        <w:rPr>
          <w:lang w:val="en-US"/>
        </w:rPr>
        <w:tab/>
        <w:t>Indoor positioning receiver</w:t>
      </w:r>
    </w:p>
    <w:p w:rsidR="00666EA9" w:rsidRPr="00836DFC" w:rsidRDefault="00666EA9" w:rsidP="00CC0C60">
      <w:pPr>
        <w:rPr>
          <w:b/>
          <w:lang w:val="en-US"/>
        </w:rPr>
      </w:pPr>
      <w:r w:rsidRPr="00836DFC">
        <w:rPr>
          <w:lang w:val="en-US"/>
        </w:rPr>
        <w:t xml:space="preserve">The indoor positioning category represents RNSS receivers intended </w:t>
      </w:r>
      <w:r w:rsidRPr="00836DFC">
        <w:rPr>
          <w:lang w:val="en-US" w:eastAsia="ja-JP"/>
        </w:rPr>
        <w:t>for indoor use</w:t>
      </w:r>
      <w:r w:rsidRPr="00836DFC">
        <w:rPr>
          <w:lang w:val="en-US"/>
        </w:rPr>
        <w:t xml:space="preserve"> and that typically have a low </w:t>
      </w:r>
      <w:r w:rsidRPr="00836DFC">
        <w:rPr>
          <w:i/>
          <w:iCs/>
          <w:lang w:val="en-US"/>
        </w:rPr>
        <w:t>C</w:t>
      </w:r>
      <w:r w:rsidRPr="00836DFC">
        <w:rPr>
          <w:lang w:val="en-US"/>
        </w:rPr>
        <w:t>/</w:t>
      </w:r>
      <w:r w:rsidRPr="00836DFC">
        <w:rPr>
          <w:i/>
          <w:iCs/>
          <w:lang w:val="en-US"/>
        </w:rPr>
        <w:t>N</w:t>
      </w:r>
      <w:r w:rsidRPr="00836DFC">
        <w:rPr>
          <w:vertAlign w:val="subscript"/>
          <w:lang w:val="en-US"/>
        </w:rPr>
        <w:t>0</w:t>
      </w:r>
      <w:r w:rsidRPr="00836DFC">
        <w:rPr>
          <w:lang w:val="en-US"/>
        </w:rPr>
        <w:t xml:space="preserve"> capability (i.e. very sensitive receivers).</w:t>
      </w:r>
      <w:r w:rsidRPr="00836DFC">
        <w:rPr>
          <w:lang w:val="en-US" w:eastAsia="ja-JP"/>
        </w:rPr>
        <w:t xml:space="preserve"> Because carrier tracking cannot be used with the low-power signals present in indoor environments, only</w:t>
      </w:r>
      <w:r w:rsidRPr="00836DFC">
        <w:rPr>
          <w:lang w:val="en-US"/>
        </w:rPr>
        <w:t xml:space="preserve"> code tracking </w:t>
      </w:r>
      <w:r w:rsidRPr="00836DFC">
        <w:rPr>
          <w:lang w:val="en-US" w:eastAsia="ja-JP"/>
        </w:rPr>
        <w:t>is used in this type of receiver.</w:t>
      </w:r>
      <w:r w:rsidRPr="00836DFC">
        <w:rPr>
          <w:lang w:val="en-US"/>
        </w:rPr>
        <w:t xml:space="preserve"> </w:t>
      </w:r>
      <w:r w:rsidRPr="002F46BD">
        <w:rPr>
          <w:lang w:val="en-US" w:eastAsia="ja-JP"/>
        </w:rPr>
        <w:t xml:space="preserve">Two receiver types are listed in </w:t>
      </w:r>
      <w:r w:rsidRPr="002F46BD">
        <w:rPr>
          <w:lang w:val="en-US"/>
        </w:rPr>
        <w:t>Table 2</w:t>
      </w:r>
      <w:r w:rsidRPr="002F46BD">
        <w:rPr>
          <w:lang w:val="en-US"/>
        </w:rPr>
        <w:noBreakHyphen/>
        <w:t xml:space="preserve">1, column 4; each of </w:t>
      </w:r>
      <w:r w:rsidRPr="002F46BD">
        <w:rPr>
          <w:lang w:val="en-US" w:eastAsia="ja-JP"/>
        </w:rPr>
        <w:t>which uses a different RNSS satellite signal type (either CDMA, for the E5a</w:t>
      </w:r>
      <w:r w:rsidRPr="00636777">
        <w:rPr>
          <w:rStyle w:val="FootnoteReference"/>
          <w:lang w:eastAsia="ja-JP"/>
        </w:rPr>
        <w:footnoteReference w:id="7"/>
      </w:r>
      <w:r w:rsidRPr="002F46BD">
        <w:rPr>
          <w:lang w:val="en-US" w:eastAsia="ja-JP"/>
        </w:rPr>
        <w:t xml:space="preserve"> signal, or FDMA</w:t>
      </w:r>
      <w:r w:rsidR="00CF4941">
        <w:rPr>
          <w:lang w:val="en-US" w:eastAsia="ja-JP"/>
        </w:rPr>
        <w:t>)</w:t>
      </w:r>
      <w:r w:rsidRPr="002F46BD">
        <w:rPr>
          <w:lang w:val="en-US" w:eastAsia="ja-JP"/>
        </w:rPr>
        <w:t xml:space="preserve">, frequency range and pre-correlator filter bandwidth. </w:t>
      </w:r>
      <w:r w:rsidRPr="00836DFC">
        <w:rPr>
          <w:lang w:val="en-US" w:eastAsia="ja-JP"/>
        </w:rPr>
        <w:t>The protection criteria and remaining characteristics are the same.</w:t>
      </w:r>
    </w:p>
    <w:p w:rsidR="00666EA9" w:rsidRPr="00666EA9" w:rsidRDefault="00666EA9" w:rsidP="00666EA9">
      <w:pPr>
        <w:pStyle w:val="Heading2"/>
        <w:rPr>
          <w:lang w:val="en-US"/>
        </w:rPr>
      </w:pPr>
      <w:r w:rsidRPr="00666EA9">
        <w:rPr>
          <w:lang w:val="en-US"/>
        </w:rPr>
        <w:t>2.4</w:t>
      </w:r>
      <w:r w:rsidRPr="00666EA9">
        <w:rPr>
          <w:lang w:val="en-US"/>
        </w:rPr>
        <w:tab/>
        <w:t>General-purpose receiver</w:t>
      </w:r>
    </w:p>
    <w:p w:rsidR="00666EA9" w:rsidRPr="00836DFC" w:rsidRDefault="00666EA9" w:rsidP="00666EA9">
      <w:pPr>
        <w:rPr>
          <w:snapToGrid w:val="0"/>
          <w:lang w:val="en-US"/>
        </w:rPr>
      </w:pPr>
      <w:r w:rsidRPr="00836DFC">
        <w:rPr>
          <w:lang w:val="en-US"/>
        </w:rPr>
        <w:t xml:space="preserve">The general-purpose category represents several types of RNSS receivers. These receivers are designed for vehicular navigation, pedestrian navigation, general positioning, etc. </w:t>
      </w:r>
      <w:r w:rsidRPr="00836DFC">
        <w:rPr>
          <w:lang w:val="en-US" w:eastAsia="ja-JP"/>
        </w:rPr>
        <w:t xml:space="preserve">Two receiver types are listed in </w:t>
      </w:r>
      <w:r w:rsidRPr="00836DFC">
        <w:rPr>
          <w:lang w:val="en-US"/>
        </w:rPr>
        <w:t>Table 2</w:t>
      </w:r>
      <w:r w:rsidRPr="00836DFC">
        <w:rPr>
          <w:lang w:val="en-US"/>
        </w:rPr>
        <w:noBreakHyphen/>
        <w:t xml:space="preserve">1, column 5; each of </w:t>
      </w:r>
      <w:r w:rsidRPr="00836DFC">
        <w:rPr>
          <w:lang w:val="en-US" w:eastAsia="ja-JP"/>
        </w:rPr>
        <w:t>which uses a different RNSS satellite signal type (either CDMA, for the B2</w:t>
      </w:r>
      <w:r w:rsidRPr="00636777">
        <w:rPr>
          <w:rStyle w:val="FootnoteReference"/>
          <w:lang w:eastAsia="ja-JP"/>
        </w:rPr>
        <w:footnoteReference w:id="8"/>
      </w:r>
      <w:r w:rsidRPr="00836DFC">
        <w:rPr>
          <w:lang w:val="en-US" w:eastAsia="ja-JP"/>
        </w:rPr>
        <w:t xml:space="preserve"> signal, or FDMA) and frequency range. The protection criteria and remaining characteristics are the same.</w:t>
      </w:r>
    </w:p>
    <w:p w:rsidR="00666EA9" w:rsidRPr="00666EA9" w:rsidRDefault="00666EA9" w:rsidP="00666EA9">
      <w:pPr>
        <w:pStyle w:val="Heading1"/>
        <w:rPr>
          <w:lang w:val="en-US"/>
        </w:rPr>
      </w:pPr>
      <w:r w:rsidRPr="00666EA9">
        <w:rPr>
          <w:lang w:val="en-US"/>
        </w:rPr>
        <w:t>3</w:t>
      </w:r>
      <w:r w:rsidRPr="00666EA9">
        <w:rPr>
          <w:lang w:val="en-US"/>
        </w:rPr>
        <w:tab/>
        <w:t>Pulsed interference</w:t>
      </w:r>
    </w:p>
    <w:p w:rsidR="00666EA9" w:rsidRPr="00836DFC" w:rsidRDefault="00666EA9" w:rsidP="002F46BD">
      <w:pPr>
        <w:rPr>
          <w:snapToGrid w:val="0"/>
          <w:lang w:val="en-US"/>
        </w:rPr>
      </w:pPr>
      <w:r w:rsidRPr="002F46BD">
        <w:rPr>
          <w:lang w:val="en-US"/>
        </w:rPr>
        <w:t xml:space="preserve">RNSS receivers operating in the frequency band </w:t>
      </w:r>
      <w:r w:rsidRPr="002F46BD">
        <w:rPr>
          <w:snapToGrid w:val="0"/>
          <w:lang w:val="en-US"/>
        </w:rPr>
        <w:t>1 164 to 1 215 MHz are likely to encounter in</w:t>
      </w:r>
      <w:r w:rsidRPr="002F46BD">
        <w:rPr>
          <w:snapToGrid w:val="0"/>
          <w:lang w:val="en-US"/>
        </w:rPr>
        <w:noBreakHyphen/>
        <w:t xml:space="preserve">band pulsed RFI from ground and airborne stations in the ARNS in addition to in-band continuous interference from RNSS space stations and other continuous sources. </w:t>
      </w:r>
      <w:r w:rsidRPr="00836DFC">
        <w:rPr>
          <w:snapToGrid w:val="0"/>
          <w:lang w:val="en-US"/>
        </w:rPr>
        <w:t>For an airborne RNSS receiver, the aggregate pulsed RFI is known to be stronger at higher altitudes where more ARNS ground stations are within the radio horizon. The pulsed RFI intensity decreases to a smaller amount near the ground as the radio horizon decreases.</w:t>
      </w:r>
    </w:p>
    <w:p w:rsidR="00666EA9" w:rsidRPr="00836DFC" w:rsidRDefault="00666EA9" w:rsidP="00666EA9">
      <w:pPr>
        <w:rPr>
          <w:lang w:val="en-US"/>
        </w:rPr>
      </w:pPr>
      <w:r w:rsidRPr="00836DFC">
        <w:rPr>
          <w:snapToGrid w:val="0"/>
          <w:lang w:val="en-US"/>
        </w:rPr>
        <w:t xml:space="preserve">A different RFI analysis method is needed to account for strong pulsed RFI in the 1 164 to 1 215 MHz band than, for example, the 1 559 to 1 610 MHz band, where pulsed RFI is rather insignificant. </w:t>
      </w:r>
      <w:r w:rsidRPr="00836DFC">
        <w:rPr>
          <w:lang w:val="en-US"/>
        </w:rPr>
        <w:t>Studies by two aviation standards organizations</w:t>
      </w:r>
      <w:r w:rsidRPr="00636777">
        <w:rPr>
          <w:rStyle w:val="FootnoteReference"/>
        </w:rPr>
        <w:footnoteReference w:id="9"/>
      </w:r>
      <w:r w:rsidRPr="00836DFC">
        <w:rPr>
          <w:lang w:val="en-US"/>
        </w:rPr>
        <w:t xml:space="preserve"> have identified an analysis method that addresses the combined effect of pulsed and continuous RFI</w:t>
      </w:r>
      <w:r w:rsidRPr="00636777">
        <w:rPr>
          <w:rStyle w:val="FootnoteReference"/>
        </w:rPr>
        <w:footnoteReference w:id="10"/>
      </w:r>
      <w:r w:rsidRPr="00836DFC">
        <w:rPr>
          <w:lang w:val="en-US"/>
        </w:rPr>
        <w:t xml:space="preserve">. </w:t>
      </w:r>
      <w:r w:rsidRPr="00836DFC">
        <w:rPr>
          <w:snapToGrid w:val="0"/>
          <w:lang w:val="en-US"/>
        </w:rPr>
        <w:t>Two variations in the basic method were derived: one for an RNSS air-navigation receiver (with high duty cycle pulsed RFI), and one for more general purpose RNSS receivers (with low duty cycle pulsed RFI).</w:t>
      </w:r>
    </w:p>
    <w:p w:rsidR="00666EA9" w:rsidRPr="00836DFC" w:rsidRDefault="00666EA9" w:rsidP="00666EA9">
      <w:pPr>
        <w:rPr>
          <w:lang w:val="en-US"/>
        </w:rPr>
      </w:pPr>
      <w:r w:rsidRPr="00836DFC">
        <w:rPr>
          <w:lang w:val="en-US"/>
        </w:rPr>
        <w:t xml:space="preserve">The studies of the two aviation standards organizations have shown that the highest levels of pulsed RFI impacting RNSS air-navigation receivers operating at or above flight level 200 (6 096 m above mean sea level (MSL)) occur in several localized regions around the world. Of those regions, the highest intensity occurs in the European Union (EU) in the vicinity of Frankfurt, Germany at 50.5° N,  9° E and 12 190 m altitude. </w:t>
      </w:r>
      <w:r w:rsidRPr="002F46BD">
        <w:rPr>
          <w:lang w:val="en-US"/>
        </w:rPr>
        <w:t>The next highest spot is in the United States</w:t>
      </w:r>
      <w:r w:rsidR="002F46BD" w:rsidRPr="002F46BD">
        <w:rPr>
          <w:lang w:val="en-US"/>
        </w:rPr>
        <w:t xml:space="preserve"> of America</w:t>
      </w:r>
      <w:r w:rsidRPr="002F46BD">
        <w:rPr>
          <w:lang w:val="en-US"/>
        </w:rPr>
        <w:t xml:space="preserve"> near Harrisburg, Pennsylvania, at 40° N, 76° W, and 12 190 m altitude. </w:t>
      </w:r>
      <w:r w:rsidRPr="00836DFC">
        <w:rPr>
          <w:lang w:val="en-US"/>
        </w:rPr>
        <w:t xml:space="preserve">For those two hot spots, evaluation of the basic pulsed RFI parameters yields values for the blanking percentage between 60 and 65% for receiver signal processing caused by high-level RFI pulses. </w:t>
      </w:r>
    </w:p>
    <w:p w:rsidR="00666EA9" w:rsidRPr="00836DFC" w:rsidRDefault="00666EA9" w:rsidP="00666EA9">
      <w:pPr>
        <w:rPr>
          <w:szCs w:val="24"/>
          <w:lang w:val="en-US"/>
        </w:rPr>
      </w:pPr>
      <w:r w:rsidRPr="00836DFC">
        <w:rPr>
          <w:lang w:val="en-US"/>
        </w:rPr>
        <w:t>Additionally, lower level pulses that are also present contribute an average RFI effect equivalent to a 100 to 150% increase in the RNSS system noise. By comparison, the evaluation near the US hot spot at low altitude (less than 600 m above MSL) shows the high-level pulse blanking percentage drops to about 31% and the low-level pulse average effect drops to a 45% increase in receive system noise. The presence of these relatively large pulse RFI values limits the amount of continuous RFI that the RNSS receiver can tolerate given the satellite signal and receiver technology limitations that determine the maximum</w:t>
      </w:r>
      <w:r w:rsidRPr="00836DFC">
        <w:rPr>
          <w:iCs/>
          <w:lang w:val="en-US"/>
        </w:rPr>
        <w:t xml:space="preserve"> interference effect</w:t>
      </w:r>
      <w:r w:rsidRPr="00836DFC">
        <w:rPr>
          <w:lang w:val="en-US"/>
        </w:rPr>
        <w:t>.</w:t>
      </w:r>
    </w:p>
    <w:p w:rsidR="00666EA9" w:rsidRPr="00836DFC" w:rsidRDefault="00666EA9" w:rsidP="00666EA9">
      <w:pPr>
        <w:rPr>
          <w:szCs w:val="24"/>
          <w:lang w:val="en-US"/>
        </w:rPr>
      </w:pPr>
      <w:r w:rsidRPr="00836DFC">
        <w:rPr>
          <w:szCs w:val="24"/>
          <w:lang w:val="en-US"/>
        </w:rPr>
        <w:t>Interference thresholds have not been established for receiver operation at altitudes between these two limiting cases (i.e. between 6 096 and 610 m (20 000 and 2 000 feet) above MSL). Pulsed interference parameters are known to be dependent on the number and type of ARNS ground stations within the radio line-of-sight to the RNSS receiver. However, the exact relationship of receiver interference thresholds to altitude in the regions of highest ARNS source concentration requires extensive further study.</w:t>
      </w:r>
    </w:p>
    <w:p w:rsidR="00666EA9" w:rsidRPr="00836DFC" w:rsidRDefault="00666EA9" w:rsidP="00666EA9">
      <w:pPr>
        <w:rPr>
          <w:lang w:val="en-US"/>
        </w:rPr>
      </w:pPr>
      <w:r w:rsidRPr="00836DFC">
        <w:rPr>
          <w:lang w:val="en-US"/>
        </w:rPr>
        <w:t>Further ITU</w:t>
      </w:r>
      <w:r w:rsidRPr="00836DFC">
        <w:rPr>
          <w:lang w:val="en-US"/>
        </w:rPr>
        <w:noBreakHyphen/>
        <w:t>R study is required to develop a general method for evaluating pulsed RFI impact on RNSS receivers.</w:t>
      </w:r>
    </w:p>
    <w:p w:rsidR="00666EA9" w:rsidRPr="00666EA9" w:rsidRDefault="00666EA9" w:rsidP="00666EA9">
      <w:pPr>
        <w:pStyle w:val="Heading1"/>
        <w:rPr>
          <w:lang w:val="en-US"/>
        </w:rPr>
      </w:pPr>
      <w:r w:rsidRPr="00666EA9">
        <w:rPr>
          <w:lang w:val="en-US"/>
        </w:rPr>
        <w:t>4</w:t>
      </w:r>
      <w:r w:rsidRPr="00666EA9">
        <w:rPr>
          <w:lang w:val="en-US"/>
        </w:rPr>
        <w:tab/>
        <w:t>RNSS receiver technical characteristics and protection criteria</w:t>
      </w:r>
    </w:p>
    <w:p w:rsidR="00666EA9" w:rsidRPr="00836DFC" w:rsidRDefault="00666EA9" w:rsidP="00666EA9">
      <w:pPr>
        <w:rPr>
          <w:lang w:val="en-US"/>
        </w:rPr>
      </w:pPr>
      <w:r w:rsidRPr="00836DFC">
        <w:rPr>
          <w:lang w:val="en-US"/>
        </w:rPr>
        <w:t>Table 2-1 lists technical characteristics and protection criteria (maximum aggregate interference thresholds) for several representative RNSS receivers and applications in the 1 164-1 215 MHz band. More RNSS signal information can be found in Recommendation ITU</w:t>
      </w:r>
      <w:r w:rsidRPr="00836DFC">
        <w:rPr>
          <w:lang w:val="en-US"/>
        </w:rPr>
        <w:noBreakHyphen/>
        <w:t>R M.1787.</w:t>
      </w:r>
    </w:p>
    <w:p w:rsidR="00666EA9" w:rsidRPr="00836DFC" w:rsidRDefault="00666EA9" w:rsidP="00666EA9">
      <w:pPr>
        <w:rPr>
          <w:lang w:val="en-US"/>
        </w:rPr>
      </w:pPr>
      <w:r w:rsidRPr="00836DFC">
        <w:rPr>
          <w:lang w:val="en-US"/>
        </w:rPr>
        <w:t>Technical characteristics and levels of protection depend on the type of RNSS application. The following RNSS receivers and applications have been included in Table 2</w:t>
      </w:r>
      <w:r w:rsidRPr="00836DFC">
        <w:rPr>
          <w:lang w:val="en-US"/>
        </w:rPr>
        <w:noBreakHyphen/>
        <w:t>1:</w:t>
      </w:r>
    </w:p>
    <w:p w:rsidR="00666EA9" w:rsidRPr="00092112" w:rsidRDefault="00666EA9" w:rsidP="00666EA9">
      <w:pPr>
        <w:pStyle w:val="enumlev1"/>
        <w:rPr>
          <w:bCs/>
          <w:lang w:val="en-US"/>
        </w:rPr>
      </w:pPr>
      <w:r w:rsidRPr="00666EA9">
        <w:rPr>
          <w:lang w:val="en-US"/>
        </w:rPr>
        <w:t>–</w:t>
      </w:r>
      <w:r w:rsidRPr="00666EA9">
        <w:rPr>
          <w:lang w:val="en-US"/>
        </w:rPr>
        <w:tab/>
      </w:r>
      <w:r w:rsidRPr="00092112">
        <w:rPr>
          <w:bCs/>
          <w:lang w:val="en-US"/>
        </w:rPr>
        <w:t>Air-navigation receivers (2 types) (see § 2.1 and Table 2-1, columns 1 and 2).</w:t>
      </w:r>
    </w:p>
    <w:p w:rsidR="00666EA9" w:rsidRPr="00092112" w:rsidRDefault="00666EA9" w:rsidP="00666EA9">
      <w:pPr>
        <w:pStyle w:val="enumlev1"/>
        <w:rPr>
          <w:bCs/>
          <w:lang w:val="en-US"/>
        </w:rPr>
      </w:pPr>
      <w:r w:rsidRPr="00092112">
        <w:rPr>
          <w:bCs/>
          <w:lang w:val="en-US"/>
        </w:rPr>
        <w:t>–</w:t>
      </w:r>
      <w:r w:rsidRPr="00092112">
        <w:rPr>
          <w:bCs/>
          <w:lang w:val="en-US"/>
        </w:rPr>
        <w:tab/>
        <w:t>High-precision receivers (2 types) (see § 2.2 and Table 2-1, column 3).</w:t>
      </w:r>
    </w:p>
    <w:p w:rsidR="00666EA9" w:rsidRPr="00092112" w:rsidRDefault="00666EA9" w:rsidP="00666EA9">
      <w:pPr>
        <w:pStyle w:val="enumlev1"/>
        <w:rPr>
          <w:bCs/>
          <w:lang w:val="en-US" w:eastAsia="ja-JP"/>
        </w:rPr>
      </w:pPr>
      <w:r w:rsidRPr="00092112">
        <w:rPr>
          <w:bCs/>
          <w:lang w:val="en-US"/>
        </w:rPr>
        <w:t>–</w:t>
      </w:r>
      <w:r w:rsidRPr="00092112">
        <w:rPr>
          <w:bCs/>
          <w:lang w:val="en-US"/>
        </w:rPr>
        <w:tab/>
        <w:t>Indoor positioning receivers (2 types) (see § 2.3 and Table 2-1, column 4).</w:t>
      </w:r>
    </w:p>
    <w:p w:rsidR="00666EA9" w:rsidRPr="00666EA9" w:rsidRDefault="00666EA9" w:rsidP="00666EA9">
      <w:pPr>
        <w:pStyle w:val="enumlev1"/>
        <w:rPr>
          <w:lang w:val="en-US"/>
        </w:rPr>
      </w:pPr>
      <w:r w:rsidRPr="00092112">
        <w:rPr>
          <w:bCs/>
          <w:lang w:val="en-US"/>
        </w:rPr>
        <w:t>–</w:t>
      </w:r>
      <w:r w:rsidRPr="00092112">
        <w:rPr>
          <w:bCs/>
          <w:lang w:val="en-US"/>
        </w:rPr>
        <w:tab/>
        <w:t>General-purpose receivers</w:t>
      </w:r>
      <w:r w:rsidRPr="00666EA9">
        <w:rPr>
          <w:lang w:val="en-US"/>
        </w:rPr>
        <w:t xml:space="preserve"> (2 types) (see § 2.4 and Table 2-1, column 5). </w:t>
      </w:r>
    </w:p>
    <w:p w:rsidR="00666EA9" w:rsidRPr="00666EA9" w:rsidRDefault="00666EA9" w:rsidP="00666EA9">
      <w:pPr>
        <w:pStyle w:val="enumlev1"/>
        <w:rPr>
          <w:szCs w:val="24"/>
          <w:lang w:val="en-US"/>
        </w:rPr>
      </w:pPr>
    </w:p>
    <w:p w:rsidR="00D910E0" w:rsidRPr="00836DFC" w:rsidRDefault="00D910E0">
      <w:pPr>
        <w:tabs>
          <w:tab w:val="clear" w:pos="794"/>
          <w:tab w:val="clear" w:pos="1191"/>
          <w:tab w:val="clear" w:pos="1588"/>
          <w:tab w:val="clear" w:pos="1985"/>
        </w:tabs>
        <w:overflowPunct/>
        <w:autoSpaceDE/>
        <w:autoSpaceDN/>
        <w:adjustRightInd/>
        <w:spacing w:before="0"/>
        <w:jc w:val="left"/>
        <w:textAlignment w:val="auto"/>
        <w:rPr>
          <w:szCs w:val="24"/>
          <w:lang w:val="en-US"/>
        </w:rPr>
      </w:pPr>
    </w:p>
    <w:p w:rsidR="00666EA9" w:rsidRPr="00836DFC" w:rsidRDefault="00666EA9" w:rsidP="00666EA9">
      <w:pPr>
        <w:overflowPunct/>
        <w:autoSpaceDE/>
        <w:autoSpaceDN/>
        <w:adjustRightInd/>
        <w:spacing w:before="0"/>
        <w:rPr>
          <w:szCs w:val="24"/>
          <w:lang w:val="en-US"/>
        </w:rPr>
        <w:sectPr w:rsidR="00666EA9" w:rsidRPr="00836DFC" w:rsidSect="008738B5">
          <w:headerReference w:type="even" r:id="rId14"/>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sectPr>
      </w:pPr>
    </w:p>
    <w:p w:rsidR="00666EA9" w:rsidRPr="00666EA9" w:rsidRDefault="00666EA9" w:rsidP="00666EA9">
      <w:pPr>
        <w:pStyle w:val="TableNo"/>
        <w:rPr>
          <w:lang w:val="en-US" w:eastAsia="ru-RU"/>
        </w:rPr>
      </w:pPr>
      <w:r w:rsidRPr="00666EA9">
        <w:rPr>
          <w:lang w:val="en-US" w:eastAsia="ru-RU"/>
        </w:rPr>
        <w:t>TABLE 2-1</w:t>
      </w:r>
    </w:p>
    <w:p w:rsidR="00666EA9" w:rsidRPr="00666EA9" w:rsidRDefault="00666EA9" w:rsidP="00666EA9">
      <w:pPr>
        <w:pStyle w:val="Tabletitle"/>
        <w:rPr>
          <w:lang w:val="en-US"/>
        </w:rPr>
      </w:pPr>
      <w:r w:rsidRPr="00666EA9">
        <w:rPr>
          <w:lang w:val="en-US"/>
        </w:rPr>
        <w:t>Technical characteristics and protection criteria for RNSS receivers (space-to-Earth) operating in the band 1 164</w:t>
      </w:r>
      <w:r w:rsidRPr="00666EA9">
        <w:rPr>
          <w:lang w:val="en-US"/>
        </w:rPr>
        <w:noBreakHyphen/>
        <w:t>1 215 MHz</w:t>
      </w:r>
    </w:p>
    <w:tbl>
      <w:tblPr>
        <w:tblW w:w="14459" w:type="dxa"/>
        <w:jc w:val="center"/>
        <w:tblLayout w:type="fixed"/>
        <w:tblLook w:val="0000" w:firstRow="0" w:lastRow="0" w:firstColumn="0" w:lastColumn="0" w:noHBand="0" w:noVBand="0"/>
      </w:tblPr>
      <w:tblGrid>
        <w:gridCol w:w="5796"/>
        <w:gridCol w:w="1624"/>
        <w:gridCol w:w="2011"/>
        <w:gridCol w:w="751"/>
        <w:gridCol w:w="836"/>
        <w:gridCol w:w="713"/>
        <w:gridCol w:w="85"/>
        <w:gridCol w:w="799"/>
        <w:gridCol w:w="790"/>
        <w:gridCol w:w="1054"/>
      </w:tblGrid>
      <w:tr w:rsidR="00666EA9" w:rsidRPr="00636777" w:rsidTr="006C3DE3">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head"/>
              <w:rPr>
                <w:rFonts w:eastAsia="MS PGothic"/>
                <w:lang w:val="en-US"/>
              </w:rPr>
            </w:pP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rPr>
            </w:pPr>
            <w:r w:rsidRPr="00636777">
              <w:rPr>
                <w:rFonts w:eastAsia="MS PGothic"/>
              </w:rPr>
              <w:t>1</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rPr>
            </w:pPr>
            <w:r w:rsidRPr="00636777">
              <w:rPr>
                <w:rFonts w:eastAsia="MS PGothic"/>
              </w:rPr>
              <w:t>2</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pPr>
            <w:r w:rsidRPr="00636777">
              <w:t>3</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pPr>
            <w:r w:rsidRPr="00636777">
              <w:t>4</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rPr>
            </w:pPr>
            <w:r w:rsidRPr="00636777">
              <w:rPr>
                <w:rFonts w:eastAsia="MS PGothic"/>
              </w:rPr>
              <w:t>5</w:t>
            </w:r>
          </w:p>
        </w:tc>
      </w:tr>
      <w:tr w:rsidR="00666EA9" w:rsidRPr="00636777" w:rsidTr="006C3DE3">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092112">
            <w:pPr>
              <w:pStyle w:val="Tablehead"/>
              <w:rPr>
                <w:rFonts w:eastAsia="MS PGothic"/>
              </w:rPr>
            </w:pPr>
            <w:r w:rsidRPr="00636777">
              <w:rPr>
                <w:rFonts w:eastAsia="MS PGothic"/>
              </w:rPr>
              <w:t>Parameter</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highlight w:val="yellow"/>
              </w:rPr>
            </w:pPr>
            <w:r w:rsidRPr="00636777">
              <w:rPr>
                <w:rFonts w:eastAsia="MS PGothic"/>
              </w:rPr>
              <w:t>Air-navigation receiver No. 1</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head"/>
              <w:rPr>
                <w:rFonts w:eastAsia="MS PGothic"/>
                <w:lang w:val="en-US"/>
              </w:rPr>
            </w:pPr>
            <w:r w:rsidRPr="00666EA9">
              <w:rPr>
                <w:rFonts w:eastAsia="MS PGothic"/>
                <w:lang w:val="en-US"/>
              </w:rPr>
              <w:t>Air-navigation receiver No. 2</w:t>
            </w:r>
            <w:r w:rsidRPr="00666EA9">
              <w:rPr>
                <w:rFonts w:eastAsia="MS PGothic"/>
                <w:lang w:val="en-US"/>
              </w:rPr>
              <w:br/>
              <w:t>(Note 9)</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pPr>
            <w:r w:rsidRPr="00636777">
              <w:t xml:space="preserve">High-precision receivers </w:t>
            </w:r>
            <w:r w:rsidRPr="00636777">
              <w:br/>
              <w:t>(Note 12)</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highlight w:val="lightGray"/>
              </w:rPr>
            </w:pPr>
            <w:r w:rsidRPr="00636777">
              <w:t>Indoor positioning receivers</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head"/>
              <w:rPr>
                <w:rFonts w:eastAsia="MS PGothic"/>
                <w:highlight w:val="lightGray"/>
              </w:rPr>
            </w:pPr>
            <w:r w:rsidRPr="00636777">
              <w:rPr>
                <w:rFonts w:eastAsia="MS PGothic"/>
              </w:rPr>
              <w:t xml:space="preserve">General-purpose receivers </w:t>
            </w:r>
          </w:p>
        </w:tc>
      </w:tr>
      <w:tr w:rsidR="00666EA9" w:rsidRPr="00636777" w:rsidTr="006C3DE3">
        <w:trPr>
          <w:cantSplit/>
          <w:trHeight w:val="2098"/>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rPr>
                <w:rFonts w:eastAsia="MS PGothic"/>
              </w:rPr>
            </w:pPr>
            <w:r w:rsidRPr="00636777">
              <w:rPr>
                <w:rFonts w:eastAsia="MS PGothic"/>
              </w:rPr>
              <w:t>Signal frequency range (MHz)</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 xml:space="preserve">1 176.45 </w:t>
            </w:r>
            <w:r w:rsidRPr="00636777">
              <w:rPr>
                <w:rFonts w:eastAsia="MS PGothic"/>
              </w:rPr>
              <w:sym w:font="Symbol" w:char="00B1"/>
            </w:r>
            <w:r w:rsidRPr="00636777">
              <w:rPr>
                <w:rFonts w:eastAsia="MS PGothic"/>
              </w:rPr>
              <w:t xml:space="preserve"> 12</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D910E0">
            <w:pPr>
              <w:pStyle w:val="Tabletext"/>
              <w:keepNext/>
              <w:spacing w:before="20" w:after="20"/>
              <w:jc w:val="center"/>
              <w:rPr>
                <w:rFonts w:eastAsia="MS PGothic"/>
              </w:rPr>
            </w:pPr>
            <w:r w:rsidRPr="00636777">
              <w:t>1 204.704 + 0.423</w:t>
            </w:r>
            <w:r w:rsidRPr="00D910E0">
              <w:rPr>
                <w:i/>
                <w:iCs/>
              </w:rPr>
              <w:t>K</w:t>
            </w:r>
            <w:r w:rsidRPr="00636777">
              <w:t xml:space="preserve"> ± 4.095, where </w:t>
            </w:r>
            <w:r w:rsidRPr="00636777">
              <w:br/>
            </w:r>
            <w:r w:rsidRPr="00D910E0">
              <w:rPr>
                <w:i/>
                <w:iCs/>
              </w:rPr>
              <w:t>K</w:t>
            </w:r>
            <w:r w:rsidRPr="00636777">
              <w:t> = –7, …, +12 (Note 10)</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2D07AF">
            <w:pPr>
              <w:pStyle w:val="Tabletext"/>
              <w:keepNext/>
              <w:spacing w:before="20" w:after="20"/>
              <w:jc w:val="center"/>
              <w:rPr>
                <w:rFonts w:eastAsia="MS PGothic"/>
                <w:bCs/>
                <w:lang w:eastAsia="ja-JP"/>
              </w:rPr>
            </w:pPr>
            <w:r w:rsidRPr="00636777">
              <w:rPr>
                <w:rFonts w:eastAsia="MS PGothic"/>
              </w:rPr>
              <w:t xml:space="preserve">1 176.45 </w:t>
            </w:r>
            <w:r w:rsidRPr="00636777">
              <w:rPr>
                <w:rFonts w:eastAsia="MS PGothic"/>
              </w:rPr>
              <w:sym w:font="Symbol" w:char="00B1"/>
            </w:r>
            <w:r w:rsidRPr="00636777">
              <w:rPr>
                <w:rFonts w:eastAsia="MS PGothic"/>
              </w:rPr>
              <w:t xml:space="preserve"> 12 </w:t>
            </w:r>
          </w:p>
        </w:tc>
        <w:tc>
          <w:tcPr>
            <w:tcW w:w="836" w:type="dxa"/>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D910E0">
            <w:pPr>
              <w:pStyle w:val="Tabletext"/>
              <w:keepNext/>
              <w:spacing w:before="20" w:after="20"/>
              <w:jc w:val="center"/>
              <w:rPr>
                <w:rFonts w:eastAsia="MS PGothic"/>
                <w:bCs/>
                <w:lang w:eastAsia="ja-JP"/>
              </w:rPr>
            </w:pPr>
            <w:r w:rsidRPr="00636777">
              <w:t>1 204.704 + 0.423</w:t>
            </w:r>
            <w:r w:rsidRPr="00D910E0">
              <w:rPr>
                <w:i/>
                <w:iCs/>
              </w:rPr>
              <w:t>K</w:t>
            </w:r>
            <w:r w:rsidRPr="00636777">
              <w:t xml:space="preserve"> ± 4.095, where</w:t>
            </w:r>
            <w:r w:rsidRPr="00636777">
              <w:br/>
            </w:r>
            <w:r w:rsidRPr="00D910E0">
              <w:rPr>
                <w:i/>
                <w:iCs/>
              </w:rPr>
              <w:t>K</w:t>
            </w:r>
            <w:r w:rsidRPr="00636777">
              <w:t> = –7, …, +12</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 xml:space="preserve">1 176.45 </w:t>
            </w:r>
            <w:r w:rsidRPr="00636777">
              <w:rPr>
                <w:rFonts w:eastAsia="MS PGothic"/>
              </w:rPr>
              <w:sym w:font="Symbol" w:char="00B1"/>
            </w:r>
            <w:r w:rsidRPr="00636777">
              <w:rPr>
                <w:rFonts w:eastAsia="MS PGothic"/>
              </w:rPr>
              <w:t xml:space="preserve"> 12</w:t>
            </w:r>
          </w:p>
        </w:tc>
        <w:tc>
          <w:tcPr>
            <w:tcW w:w="884" w:type="dxa"/>
            <w:gridSpan w:val="2"/>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D910E0">
            <w:pPr>
              <w:pStyle w:val="Tabletext"/>
              <w:keepNext/>
              <w:spacing w:before="20" w:after="20"/>
              <w:jc w:val="center"/>
              <w:rPr>
                <w:rFonts w:eastAsia="MS PGothic"/>
              </w:rPr>
            </w:pPr>
            <w:r w:rsidRPr="00636777">
              <w:t>1 204.704 + 0.423</w:t>
            </w:r>
            <w:r w:rsidRPr="00D910E0">
              <w:rPr>
                <w:i/>
                <w:iCs/>
              </w:rPr>
              <w:t>K</w:t>
            </w:r>
            <w:r w:rsidRPr="00636777">
              <w:t xml:space="preserve"> ± 4.095, where</w:t>
            </w:r>
            <w:r w:rsidRPr="00636777">
              <w:br/>
            </w:r>
            <w:r w:rsidRPr="00D910E0">
              <w:rPr>
                <w:i/>
                <w:iCs/>
              </w:rPr>
              <w:t>K</w:t>
            </w:r>
            <w:r w:rsidRPr="00636777">
              <w:t> = –7, …, +12</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 xml:space="preserve">1 207.14 </w:t>
            </w:r>
            <w:r w:rsidRPr="00636777">
              <w:rPr>
                <w:rFonts w:eastAsia="MS PGothic"/>
              </w:rPr>
              <w:sym w:font="Symbol" w:char="00B1"/>
            </w:r>
            <w:r w:rsidRPr="00636777">
              <w:rPr>
                <w:rFonts w:eastAsia="MS PGothic"/>
              </w:rPr>
              <w:t xml:space="preserve"> 12 </w:t>
            </w:r>
            <w:r w:rsidRPr="00636777">
              <w:rPr>
                <w:rFonts w:eastAsia="MS PGothic"/>
              </w:rPr>
              <w:br/>
            </w:r>
            <w:r w:rsidRPr="00636777">
              <w:t xml:space="preserve">1 176.45 </w:t>
            </w:r>
            <w:r w:rsidRPr="00636777">
              <w:rPr>
                <w:rFonts w:eastAsia="MS PGothic"/>
              </w:rPr>
              <w:sym w:font="Symbol" w:char="00B1"/>
            </w:r>
            <w:r w:rsidRPr="00636777">
              <w:rPr>
                <w:rFonts w:eastAsia="MS PGothic"/>
              </w:rPr>
              <w:t xml:space="preserve"> </w:t>
            </w:r>
            <w:r w:rsidRPr="00636777">
              <w:t>12</w:t>
            </w:r>
          </w:p>
        </w:tc>
        <w:tc>
          <w:tcPr>
            <w:tcW w:w="1054" w:type="dxa"/>
            <w:tcBorders>
              <w:top w:val="single" w:sz="4" w:space="0" w:color="auto"/>
              <w:left w:val="single" w:sz="4" w:space="0" w:color="auto"/>
              <w:bottom w:val="single" w:sz="4" w:space="0" w:color="auto"/>
              <w:right w:val="single" w:sz="4" w:space="0" w:color="auto"/>
            </w:tcBorders>
            <w:textDirection w:val="btLr"/>
            <w:vAlign w:val="center"/>
          </w:tcPr>
          <w:p w:rsidR="00666EA9" w:rsidRPr="00636777" w:rsidRDefault="00666EA9" w:rsidP="00D910E0">
            <w:pPr>
              <w:pStyle w:val="Tabletext"/>
              <w:keepNext/>
              <w:spacing w:before="20" w:after="20"/>
              <w:jc w:val="center"/>
              <w:rPr>
                <w:rFonts w:eastAsia="MS PGothic"/>
              </w:rPr>
            </w:pPr>
            <w:r w:rsidRPr="00636777">
              <w:t>1 204.704 + 0.423</w:t>
            </w:r>
            <w:r w:rsidRPr="00D910E0">
              <w:rPr>
                <w:i/>
                <w:iCs/>
              </w:rPr>
              <w:t>K</w:t>
            </w:r>
            <w:r w:rsidRPr="00636777">
              <w:t xml:space="preserve"> ± 4.095, where</w:t>
            </w:r>
            <w:r w:rsidRPr="00636777">
              <w:br/>
            </w:r>
            <w:r w:rsidRPr="00D910E0">
              <w:rPr>
                <w:i/>
                <w:iCs/>
              </w:rPr>
              <w:t>K</w:t>
            </w:r>
            <w:r w:rsidRPr="00636777">
              <w:t> = –7, …,+12</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text"/>
              <w:keepNext/>
              <w:spacing w:before="20" w:after="20"/>
              <w:rPr>
                <w:rFonts w:eastAsia="MS PGothic"/>
                <w:lang w:val="en-US"/>
              </w:rPr>
            </w:pPr>
            <w:r w:rsidRPr="00666EA9">
              <w:rPr>
                <w:rFonts w:eastAsia="MS PGothic"/>
                <w:lang w:val="en-US"/>
              </w:rPr>
              <w:t>Maximum receiver antenna gain in upper hemisphere (dBi)</w:t>
            </w:r>
          </w:p>
        </w:tc>
        <w:tc>
          <w:tcPr>
            <w:tcW w:w="1624"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rPr>
              <w:t>+3 (circular) (Note 2)</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bCs/>
                <w:lang w:eastAsia="ja-JP"/>
              </w:rPr>
            </w:pPr>
            <w:r w:rsidRPr="00636777">
              <w:rPr>
                <w:snapToGrid w:val="0"/>
              </w:rPr>
              <w:t xml:space="preserve">7 </w:t>
            </w:r>
            <w:r w:rsidRPr="00636777">
              <w:rPr>
                <w:snapToGrid w:val="0"/>
              </w:rPr>
              <w:br/>
              <w:t>(Note 11)</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bCs/>
                <w:lang w:eastAsia="ja-JP"/>
              </w:rPr>
            </w:pPr>
            <w:r w:rsidRPr="00636777">
              <w:rPr>
                <w:rFonts w:eastAsia="MS PGothic"/>
                <w:bCs/>
                <w:lang w:eastAsia="ja-JP"/>
              </w:rPr>
              <w:t>3.0 circular</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spacing w:before="20" w:after="20"/>
              <w:jc w:val="center"/>
              <w:rPr>
                <w:snapToGrid w:val="0"/>
                <w:lang w:eastAsia="zh-CN"/>
              </w:rPr>
            </w:pPr>
            <w:r w:rsidRPr="00636777">
              <w:rPr>
                <w:snapToGrid w:val="0"/>
                <w:lang w:eastAsia="zh-CN"/>
              </w:rPr>
              <w:t>3</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text"/>
              <w:keepNext/>
              <w:spacing w:before="20" w:after="20"/>
              <w:rPr>
                <w:rFonts w:eastAsia="MS PGothic"/>
                <w:lang w:val="en-US"/>
              </w:rPr>
            </w:pPr>
            <w:r w:rsidRPr="00666EA9">
              <w:rPr>
                <w:rFonts w:eastAsia="MS PGothic"/>
                <w:lang w:val="en-US"/>
              </w:rPr>
              <w:t>Maximum receiver antenna gain in lower hemisphere (dBi)</w:t>
            </w:r>
          </w:p>
        </w:tc>
        <w:tc>
          <w:tcPr>
            <w:tcW w:w="1624"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rPr>
              <w:t>–5 (linear)</w:t>
            </w:r>
            <w:r w:rsidRPr="00636777">
              <w:rPr>
                <w:rFonts w:eastAsia="MS PGothic"/>
              </w:rPr>
              <w:br/>
              <w:t>(Note 3)</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bCs/>
                <w:lang w:eastAsia="ja-JP"/>
              </w:rPr>
            </w:pPr>
            <w:r w:rsidRPr="00636777">
              <w:rPr>
                <w:snapToGrid w:val="0"/>
              </w:rPr>
              <w:t>−10</w:t>
            </w:r>
          </w:p>
        </w:tc>
        <w:tc>
          <w:tcPr>
            <w:tcW w:w="1587"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bCs/>
                <w:lang w:eastAsia="ja-JP"/>
              </w:rPr>
            </w:pPr>
            <w:r w:rsidRPr="00636777">
              <w:rPr>
                <w:rFonts w:eastAsia="MS PGothic"/>
                <w:bCs/>
                <w:lang w:eastAsia="ja-JP"/>
              </w:rPr>
              <w:t>−7 (linear</w:t>
            </w:r>
            <w:r w:rsidRPr="00636777">
              <w:rPr>
                <w:rFonts w:eastAsia="MS PGothic"/>
              </w:rPr>
              <w:t>)</w:t>
            </w:r>
            <w:r w:rsidRPr="00636777">
              <w:rPr>
                <w:rFonts w:eastAsia="MS PGothic"/>
              </w:rPr>
              <w:br/>
              <w:t xml:space="preserve">(elev. </w:t>
            </w:r>
            <w:r w:rsidRPr="00636777">
              <w:rPr>
                <w:rFonts w:eastAsia="MS PGothic"/>
              </w:rPr>
              <w:sym w:font="Symbol" w:char="00A3"/>
            </w:r>
            <w:r w:rsidRPr="00636777">
              <w:rPr>
                <w:rFonts w:eastAsia="MS PGothic"/>
              </w:rPr>
              <w:t xml:space="preserve"> +10°)</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–9</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spacing w:before="20" w:after="20"/>
              <w:jc w:val="center"/>
              <w:rPr>
                <w:snapToGrid w:val="0"/>
                <w:lang w:eastAsia="zh-CN"/>
              </w:rPr>
            </w:pPr>
            <w:r w:rsidRPr="00636777">
              <w:rPr>
                <w:snapToGrid w:val="0"/>
              </w:rPr>
              <w:t>−</w:t>
            </w:r>
            <w:r w:rsidRPr="00636777">
              <w:rPr>
                <w:snapToGrid w:val="0"/>
                <w:lang w:eastAsia="zh-CN"/>
              </w:rPr>
              <w:t>10</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text"/>
              <w:keepNext/>
              <w:spacing w:before="20" w:after="20"/>
              <w:rPr>
                <w:rFonts w:eastAsia="MS PGothic"/>
                <w:lang w:val="en-US"/>
              </w:rPr>
            </w:pPr>
            <w:r w:rsidRPr="00666EA9">
              <w:rPr>
                <w:rFonts w:eastAsia="MS PGothic"/>
                <w:lang w:val="en-US"/>
              </w:rPr>
              <w:t>RF filter 3 dB bandwidth (MHz)</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24.0</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lang w:eastAsia="ja-JP"/>
              </w:rPr>
            </w:pPr>
            <w:r w:rsidRPr="00636777">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lang w:eastAsia="ja-JP"/>
              </w:rPr>
              <w:t>24.0 or 24.9</w:t>
            </w:r>
          </w:p>
        </w:tc>
        <w:tc>
          <w:tcPr>
            <w:tcW w:w="1597" w:type="dxa"/>
            <w:gridSpan w:val="3"/>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rPr>
              <w:t>24</w:t>
            </w:r>
          </w:p>
        </w:tc>
        <w:tc>
          <w:tcPr>
            <w:tcW w:w="1844"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spacing w:before="20" w:after="20"/>
              <w:jc w:val="center"/>
              <w:rPr>
                <w:snapToGrid w:val="0"/>
                <w:lang w:eastAsia="zh-CN"/>
              </w:rPr>
            </w:pPr>
            <w:r w:rsidRPr="00636777">
              <w:rPr>
                <w:snapToGrid w:val="0"/>
                <w:lang w:eastAsia="zh-CN"/>
              </w:rPr>
              <w:t>24</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rPr>
                <w:rFonts w:eastAsia="MS PGothic"/>
              </w:rPr>
            </w:pPr>
            <w:r w:rsidRPr="00636777">
              <w:rPr>
                <w:rFonts w:eastAsia="MS PGothic"/>
              </w:rPr>
              <w:t>Pre-correlation filter 3 dB bandwidth (MHz)</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spacing w:before="20" w:after="20"/>
              <w:jc w:val="center"/>
              <w:rPr>
                <w:rFonts w:eastAsia="MS PGothic"/>
              </w:rPr>
            </w:pPr>
            <w:r w:rsidRPr="00636777">
              <w:rPr>
                <w:rFonts w:eastAsia="MS PGothic"/>
              </w:rPr>
              <w:t>20.46</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lang w:eastAsia="ja-JP"/>
              </w:rPr>
            </w:pPr>
            <w:r w:rsidRPr="00636777">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lang w:eastAsia="ja-JP"/>
              </w:rPr>
              <w:t>20.46</w:t>
            </w:r>
          </w:p>
        </w:tc>
        <w:tc>
          <w:tcPr>
            <w:tcW w:w="798"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rPr>
              <w:t>20.46</w:t>
            </w:r>
          </w:p>
        </w:tc>
        <w:tc>
          <w:tcPr>
            <w:tcW w:w="799"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rFonts w:eastAsia="MS PGothic"/>
              </w:rPr>
              <w:t>17</w:t>
            </w:r>
          </w:p>
        </w:tc>
        <w:tc>
          <w:tcPr>
            <w:tcW w:w="1844"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spacing w:before="20" w:after="20"/>
              <w:jc w:val="center"/>
              <w:rPr>
                <w:snapToGrid w:val="0"/>
                <w:lang w:eastAsia="zh-CN"/>
              </w:rPr>
            </w:pPr>
            <w:r w:rsidRPr="00636777">
              <w:rPr>
                <w:snapToGrid w:val="0"/>
                <w:lang w:eastAsia="zh-CN"/>
              </w:rPr>
              <w:t>20.46</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2D07AF">
            <w:pPr>
              <w:pStyle w:val="Tabletext"/>
              <w:keepNext/>
              <w:keepLines/>
              <w:spacing w:before="20" w:after="20"/>
              <w:rPr>
                <w:rFonts w:eastAsia="MS PGothic"/>
                <w:lang w:val="en-US"/>
              </w:rPr>
            </w:pPr>
            <w:r w:rsidRPr="00666EA9">
              <w:rPr>
                <w:rFonts w:eastAsia="MS PGothic"/>
                <w:lang w:val="en-US"/>
              </w:rPr>
              <w:t>Receiver system noise temperature (K)</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2D07AF">
            <w:pPr>
              <w:pStyle w:val="Tabletext"/>
              <w:keepNext/>
              <w:keepLines/>
              <w:spacing w:before="20" w:after="20"/>
              <w:jc w:val="center"/>
              <w:rPr>
                <w:rFonts w:eastAsia="MS PGothic"/>
              </w:rPr>
            </w:pPr>
            <w:r w:rsidRPr="00636777">
              <w:rPr>
                <w:rFonts w:eastAsia="MS PGothic"/>
              </w:rPr>
              <w:t>727</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lang w:eastAsia="ja-JP"/>
              </w:rPr>
            </w:pPr>
            <w:r w:rsidRPr="00636777">
              <w:t>400</w:t>
            </w:r>
          </w:p>
        </w:tc>
        <w:tc>
          <w:tcPr>
            <w:tcW w:w="1587"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spacing w:before="20" w:after="20"/>
              <w:jc w:val="center"/>
              <w:rPr>
                <w:rFonts w:eastAsia="MS PGothic"/>
              </w:rPr>
            </w:pPr>
            <w:r w:rsidRPr="00636777">
              <w:rPr>
                <w:lang w:eastAsia="ja-JP"/>
              </w:rPr>
              <w:t>513</w:t>
            </w:r>
          </w:p>
        </w:tc>
        <w:tc>
          <w:tcPr>
            <w:tcW w:w="1597" w:type="dxa"/>
            <w:gridSpan w:val="3"/>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keepNext/>
              <w:keepLines/>
              <w:spacing w:before="20" w:after="20"/>
              <w:jc w:val="center"/>
              <w:rPr>
                <w:rFonts w:eastAsia="MS PGothic"/>
              </w:rPr>
            </w:pPr>
            <w:r w:rsidRPr="00636777">
              <w:rPr>
                <w:rFonts w:eastAsia="MS PGothic"/>
              </w:rPr>
              <w:t>330</w:t>
            </w:r>
          </w:p>
        </w:tc>
        <w:tc>
          <w:tcPr>
            <w:tcW w:w="1844" w:type="dxa"/>
            <w:gridSpan w:val="2"/>
            <w:tcBorders>
              <w:top w:val="single" w:sz="4" w:space="0" w:color="auto"/>
              <w:left w:val="single" w:sz="4" w:space="0" w:color="auto"/>
              <w:bottom w:val="single" w:sz="4" w:space="0" w:color="auto"/>
              <w:right w:val="single" w:sz="4" w:space="0" w:color="auto"/>
            </w:tcBorders>
          </w:tcPr>
          <w:p w:rsidR="00666EA9" w:rsidRPr="00636777" w:rsidRDefault="00666EA9" w:rsidP="002D07AF">
            <w:pPr>
              <w:pStyle w:val="Tabletext"/>
              <w:spacing w:before="20" w:after="20"/>
              <w:jc w:val="center"/>
              <w:rPr>
                <w:snapToGrid w:val="0"/>
                <w:lang w:eastAsia="zh-CN"/>
              </w:rPr>
            </w:pPr>
            <w:r w:rsidRPr="00636777">
              <w:rPr>
                <w:snapToGrid w:val="0"/>
                <w:lang w:eastAsia="zh-CN"/>
              </w:rPr>
              <w:t>330</w:t>
            </w:r>
          </w:p>
        </w:tc>
      </w:tr>
      <w:tr w:rsidR="00666EA9" w:rsidRPr="00921BEE"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921BEE">
            <w:pPr>
              <w:pStyle w:val="Tabletext"/>
              <w:keepNext/>
              <w:spacing w:before="20" w:after="20"/>
              <w:rPr>
                <w:rFonts w:eastAsia="MS PGothic"/>
                <w:lang w:val="en-US"/>
              </w:rPr>
            </w:pPr>
            <w:r w:rsidRPr="00666EA9">
              <w:rPr>
                <w:rFonts w:eastAsia="MS PGothic"/>
                <w:lang w:val="en-US"/>
              </w:rPr>
              <w:t>Tracking mode threshold power level of aggregate narrow-band interference</w:t>
            </w:r>
            <w:r w:rsidRPr="00666EA9">
              <w:rPr>
                <w:rFonts w:eastAsia="MS PGothic"/>
                <w:lang w:val="en-US" w:eastAsia="ja-JP"/>
              </w:rPr>
              <w:t xml:space="preserve"> at the passive antenna output</w:t>
            </w:r>
            <w:r w:rsidRPr="00666EA9">
              <w:rPr>
                <w:rFonts w:eastAsia="MS PGothic"/>
                <w:lang w:val="en-US"/>
              </w:rPr>
              <w:t xml:space="preserve"> (dBW)</w:t>
            </w:r>
            <w:r w:rsidR="00921BEE">
              <w:rPr>
                <w:rFonts w:eastAsia="MS PGothic"/>
                <w:lang w:val="en-US"/>
              </w:rPr>
              <w:br/>
            </w:r>
            <w:r w:rsidRPr="00666EA9">
              <w:rPr>
                <w:rFonts w:eastAsia="MS PGothic"/>
                <w:lang w:val="en-US"/>
              </w:rPr>
              <w:t>(Note 1)</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rFonts w:eastAsia="MS PGothic"/>
                <w:lang w:val="en-US"/>
              </w:rPr>
              <w:t xml:space="preserve">–154.8 </w:t>
            </w:r>
            <w:r w:rsidRPr="00921BEE">
              <w:rPr>
                <w:rFonts w:eastAsia="MS PGothic"/>
                <w:lang w:val="en-US"/>
              </w:rPr>
              <w:br/>
              <w:t>(Notes 4, 5)</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snapToGrid w:val="0"/>
                <w:lang w:val="en-US"/>
              </w:rPr>
              <w:t xml:space="preserve">−143 </w:t>
            </w:r>
            <w:r w:rsidRPr="00921BEE">
              <w:rPr>
                <w:snapToGrid w:val="0"/>
                <w:lang w:val="en-US"/>
              </w:rPr>
              <w:br/>
              <w:t>(Note 13)</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bCs/>
                <w:lang w:val="en-US" w:eastAsia="ja-JP"/>
              </w:rPr>
            </w:pPr>
            <w:r w:rsidRPr="00921BEE">
              <w:rPr>
                <w:rFonts w:eastAsia="MS PGothic"/>
                <w:lang w:val="en-US"/>
              </w:rPr>
              <w:t>–157.4</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rFonts w:eastAsia="MS PGothic"/>
                <w:lang w:val="en-US"/>
              </w:rPr>
              <w:t>–193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spacing w:before="20" w:after="20"/>
              <w:jc w:val="center"/>
              <w:rPr>
                <w:snapToGrid w:val="0"/>
                <w:lang w:val="en-US" w:eastAsia="zh-CN"/>
              </w:rPr>
            </w:pPr>
            <w:r w:rsidRPr="00921BEE">
              <w:rPr>
                <w:snapToGrid w:val="0"/>
                <w:lang w:val="en-US"/>
              </w:rPr>
              <w:t>−</w:t>
            </w:r>
            <w:r w:rsidRPr="00921BEE">
              <w:rPr>
                <w:snapToGrid w:val="0"/>
                <w:lang w:val="en-US" w:eastAsia="zh-CN"/>
              </w:rPr>
              <w:t>150</w:t>
            </w:r>
          </w:p>
        </w:tc>
      </w:tr>
      <w:tr w:rsidR="00666EA9" w:rsidRPr="00921BEE"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921BEE">
            <w:pPr>
              <w:pStyle w:val="Tabletext"/>
              <w:keepNext/>
              <w:spacing w:before="20" w:after="20"/>
              <w:rPr>
                <w:rFonts w:eastAsia="MS PGothic"/>
                <w:lang w:val="en-US"/>
              </w:rPr>
            </w:pPr>
            <w:r w:rsidRPr="00666EA9">
              <w:rPr>
                <w:rFonts w:eastAsia="MS PGothic"/>
                <w:lang w:val="en-US"/>
              </w:rPr>
              <w:t xml:space="preserve">Acquisition mode threshold power level of aggregate narrow-band interference </w:t>
            </w:r>
            <w:r w:rsidRPr="00666EA9">
              <w:rPr>
                <w:rFonts w:eastAsia="MS PGothic"/>
                <w:lang w:val="en-US" w:eastAsia="ja-JP"/>
              </w:rPr>
              <w:t>at the passive antenna output</w:t>
            </w:r>
            <w:r w:rsidRPr="00666EA9">
              <w:rPr>
                <w:rFonts w:eastAsia="MS PGothic"/>
                <w:lang w:val="en-US"/>
              </w:rPr>
              <w:t xml:space="preserve"> (dBW)</w:t>
            </w:r>
            <w:r w:rsidR="00921BEE">
              <w:rPr>
                <w:rFonts w:eastAsia="MS PGothic"/>
                <w:lang w:val="en-US"/>
              </w:rPr>
              <w:br/>
            </w:r>
            <w:r w:rsidRPr="00666EA9">
              <w:rPr>
                <w:rFonts w:eastAsia="MS PGothic"/>
                <w:lang w:val="en-US"/>
              </w:rPr>
              <w:t>(Note 1)</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rFonts w:eastAsia="MS PGothic"/>
                <w:lang w:val="en-US"/>
              </w:rPr>
              <w:t xml:space="preserve">–158.7 </w:t>
            </w:r>
            <w:r w:rsidRPr="00921BEE">
              <w:rPr>
                <w:rFonts w:eastAsia="MS PGothic"/>
                <w:lang w:val="en-US"/>
              </w:rPr>
              <w:br/>
              <w:t>(Notes 4, 6)</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snapToGrid w:val="0"/>
                <w:lang w:val="en-US"/>
              </w:rPr>
              <w:t xml:space="preserve">−149 </w:t>
            </w:r>
            <w:r w:rsidRPr="00921BEE">
              <w:rPr>
                <w:snapToGrid w:val="0"/>
                <w:lang w:val="en-US"/>
              </w:rPr>
              <w:br/>
              <w:t>(Note 13)</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bCs/>
                <w:lang w:val="en-US" w:eastAsia="ja-JP"/>
              </w:rPr>
            </w:pPr>
            <w:r w:rsidRPr="00921BEE">
              <w:rPr>
                <w:rFonts w:eastAsia="MS PGothic"/>
                <w:lang w:val="en-US"/>
              </w:rPr>
              <w:t>–157.4</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keepNext/>
              <w:spacing w:before="20" w:after="20"/>
              <w:jc w:val="center"/>
              <w:rPr>
                <w:rFonts w:eastAsia="MS PGothic"/>
                <w:lang w:val="en-US"/>
              </w:rPr>
            </w:pPr>
            <w:r w:rsidRPr="00921BEE">
              <w:rPr>
                <w:rFonts w:eastAsia="MS PGothic"/>
                <w:lang w:val="en-US"/>
              </w:rPr>
              <w:t>–199</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666EA9" w:rsidRPr="00921BEE" w:rsidRDefault="00666EA9" w:rsidP="002D07AF">
            <w:pPr>
              <w:pStyle w:val="Tabletext"/>
              <w:spacing w:before="20" w:after="20"/>
              <w:jc w:val="center"/>
              <w:rPr>
                <w:snapToGrid w:val="0"/>
                <w:lang w:val="en-US" w:eastAsia="zh-CN"/>
              </w:rPr>
            </w:pPr>
            <w:r w:rsidRPr="00921BEE">
              <w:rPr>
                <w:snapToGrid w:val="0"/>
                <w:lang w:val="en-US"/>
              </w:rPr>
              <w:t>−</w:t>
            </w:r>
            <w:r w:rsidRPr="00921BEE">
              <w:rPr>
                <w:snapToGrid w:val="0"/>
                <w:lang w:val="en-US" w:eastAsia="zh-CN"/>
              </w:rPr>
              <w:t>156</w:t>
            </w:r>
          </w:p>
        </w:tc>
      </w:tr>
    </w:tbl>
    <w:p w:rsidR="00EC02CB" w:rsidRDefault="00EC02CB" w:rsidP="00921BEE">
      <w:pPr>
        <w:pStyle w:val="Tablefin"/>
      </w:pPr>
    </w:p>
    <w:p w:rsidR="00EC02CB" w:rsidRPr="00921BEE" w:rsidRDefault="00EC02CB">
      <w:pPr>
        <w:rPr>
          <w:lang w:val="en-US"/>
        </w:rPr>
      </w:pPr>
    </w:p>
    <w:p w:rsidR="00EC02CB" w:rsidRPr="00666EA9" w:rsidRDefault="00EC02CB" w:rsidP="00EC02CB">
      <w:pPr>
        <w:pStyle w:val="TableNo"/>
        <w:rPr>
          <w:lang w:val="en-US" w:eastAsia="ru-RU"/>
        </w:rPr>
      </w:pPr>
      <w:r w:rsidRPr="00666EA9">
        <w:rPr>
          <w:lang w:val="en-US" w:eastAsia="ru-RU"/>
        </w:rPr>
        <w:t>TABLE 2-1</w:t>
      </w:r>
      <w:r w:rsidR="006B0F53">
        <w:rPr>
          <w:lang w:val="en-US" w:eastAsia="ru-RU"/>
        </w:rPr>
        <w:t xml:space="preserve"> (</w:t>
      </w:r>
      <w:r w:rsidR="006B0F53" w:rsidRPr="006B0F53">
        <w:rPr>
          <w:i/>
          <w:iCs/>
          <w:lang w:val="en-US" w:eastAsia="ru-RU"/>
        </w:rPr>
        <w:t>end</w:t>
      </w:r>
      <w:r w:rsidR="006B0F53">
        <w:rPr>
          <w:lang w:val="en-US" w:eastAsia="ru-RU"/>
        </w:rPr>
        <w:t>)</w:t>
      </w:r>
    </w:p>
    <w:p w:rsidR="00EC02CB" w:rsidRPr="00666EA9" w:rsidRDefault="00EC02CB" w:rsidP="00E32B1F">
      <w:pPr>
        <w:pStyle w:val="Tabletitle"/>
        <w:rPr>
          <w:lang w:val="en-US"/>
        </w:rPr>
      </w:pPr>
      <w:r w:rsidRPr="00666EA9">
        <w:rPr>
          <w:lang w:val="en-US"/>
        </w:rPr>
        <w:t>Technical characteristics and protection criteria for RNSS receivers (space-to-Earth) operating in the band 1 164</w:t>
      </w:r>
      <w:r w:rsidRPr="00666EA9">
        <w:rPr>
          <w:lang w:val="en-US"/>
        </w:rPr>
        <w:noBreakHyphen/>
        <w:t>1 215 MHz</w:t>
      </w:r>
    </w:p>
    <w:tbl>
      <w:tblPr>
        <w:tblW w:w="14459" w:type="dxa"/>
        <w:jc w:val="center"/>
        <w:tblLayout w:type="fixed"/>
        <w:tblLook w:val="0000" w:firstRow="0" w:lastRow="0" w:firstColumn="0" w:lastColumn="0" w:noHBand="0" w:noVBand="0"/>
      </w:tblPr>
      <w:tblGrid>
        <w:gridCol w:w="5796"/>
        <w:gridCol w:w="1624"/>
        <w:gridCol w:w="2011"/>
        <w:gridCol w:w="1587"/>
        <w:gridCol w:w="1597"/>
        <w:gridCol w:w="1844"/>
      </w:tblGrid>
      <w:tr w:rsidR="00EC02CB"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EC02CB" w:rsidRPr="00666EA9" w:rsidRDefault="00EC02CB" w:rsidP="00EC02CB">
            <w:pPr>
              <w:pStyle w:val="Tablehead"/>
              <w:rPr>
                <w:rFonts w:eastAsia="MS PGothic"/>
                <w:lang w:val="en-US"/>
              </w:rPr>
            </w:pPr>
          </w:p>
        </w:tc>
        <w:tc>
          <w:tcPr>
            <w:tcW w:w="1624" w:type="dxa"/>
            <w:tcBorders>
              <w:top w:val="single" w:sz="4" w:space="0" w:color="auto"/>
              <w:left w:val="single" w:sz="4" w:space="0" w:color="auto"/>
              <w:bottom w:val="single" w:sz="4" w:space="0" w:color="auto"/>
              <w:right w:val="single" w:sz="4" w:space="0" w:color="auto"/>
            </w:tcBorders>
            <w:vAlign w:val="center"/>
          </w:tcPr>
          <w:p w:rsidR="00EC02CB" w:rsidRPr="00636777" w:rsidRDefault="00EC02CB" w:rsidP="00EC02CB">
            <w:pPr>
              <w:pStyle w:val="Tablehead"/>
              <w:rPr>
                <w:rFonts w:eastAsia="MS PGothic"/>
              </w:rPr>
            </w:pPr>
            <w:r w:rsidRPr="00636777">
              <w:rPr>
                <w:rFonts w:eastAsia="MS PGothic"/>
              </w:rPr>
              <w:t>1</w:t>
            </w:r>
          </w:p>
        </w:tc>
        <w:tc>
          <w:tcPr>
            <w:tcW w:w="2011"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snapToGrid w:val="0"/>
              </w:rPr>
            </w:pPr>
            <w:r w:rsidRPr="00EC02CB">
              <w:rPr>
                <w:snapToGrid w:val="0"/>
              </w:rPr>
              <w:t>2</w:t>
            </w:r>
          </w:p>
        </w:tc>
        <w:tc>
          <w:tcPr>
            <w:tcW w:w="1587"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rPr>
            </w:pPr>
            <w:r w:rsidRPr="00EC02CB">
              <w:rPr>
                <w:rFonts w:eastAsia="MS PGothic"/>
              </w:rPr>
              <w:t>3</w:t>
            </w:r>
          </w:p>
        </w:tc>
        <w:tc>
          <w:tcPr>
            <w:tcW w:w="1597"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rPr>
            </w:pPr>
            <w:r w:rsidRPr="00EC02CB">
              <w:rPr>
                <w:rFonts w:eastAsia="MS PGothic"/>
              </w:rPr>
              <w:t>4</w:t>
            </w:r>
          </w:p>
        </w:tc>
        <w:tc>
          <w:tcPr>
            <w:tcW w:w="1844"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snapToGrid w:val="0"/>
              </w:rPr>
            </w:pPr>
            <w:r w:rsidRPr="00EC02CB">
              <w:rPr>
                <w:snapToGrid w:val="0"/>
              </w:rPr>
              <w:t>5</w:t>
            </w:r>
          </w:p>
        </w:tc>
      </w:tr>
      <w:tr w:rsidR="00EC02CB"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lang w:val="en-US"/>
              </w:rPr>
            </w:pPr>
            <w:r w:rsidRPr="00EC02CB">
              <w:rPr>
                <w:rFonts w:eastAsia="MS PGothic"/>
                <w:lang w:val="en-US"/>
              </w:rPr>
              <w:t>Parameter</w:t>
            </w:r>
          </w:p>
        </w:tc>
        <w:tc>
          <w:tcPr>
            <w:tcW w:w="1624"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rPr>
            </w:pPr>
            <w:r w:rsidRPr="00636777">
              <w:rPr>
                <w:rFonts w:eastAsia="MS PGothic"/>
              </w:rPr>
              <w:t>Air-navigation receiver No. 1</w:t>
            </w:r>
          </w:p>
        </w:tc>
        <w:tc>
          <w:tcPr>
            <w:tcW w:w="2011"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snapToGrid w:val="0"/>
                <w:lang w:val="en-US"/>
              </w:rPr>
            </w:pPr>
            <w:r w:rsidRPr="00EC02CB">
              <w:rPr>
                <w:snapToGrid w:val="0"/>
                <w:lang w:val="en-US"/>
              </w:rPr>
              <w:t>Air-navigation receiver No. 2</w:t>
            </w:r>
            <w:r w:rsidRPr="00EC02CB">
              <w:rPr>
                <w:snapToGrid w:val="0"/>
                <w:lang w:val="en-US"/>
              </w:rPr>
              <w:br/>
              <w:t>(Note 9)</w:t>
            </w:r>
          </w:p>
        </w:tc>
        <w:tc>
          <w:tcPr>
            <w:tcW w:w="1587"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rPr>
            </w:pPr>
            <w:r w:rsidRPr="00EC02CB">
              <w:rPr>
                <w:rFonts w:eastAsia="MS PGothic"/>
              </w:rPr>
              <w:t xml:space="preserve">High-precision receivers </w:t>
            </w:r>
            <w:r w:rsidRPr="00EC02CB">
              <w:rPr>
                <w:rFonts w:eastAsia="MS PGothic"/>
              </w:rPr>
              <w:br/>
              <w:t>(Note 12)</w:t>
            </w:r>
          </w:p>
        </w:tc>
        <w:tc>
          <w:tcPr>
            <w:tcW w:w="1597"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rFonts w:eastAsia="MS PGothic"/>
              </w:rPr>
            </w:pPr>
            <w:r w:rsidRPr="00EC02CB">
              <w:rPr>
                <w:rFonts w:eastAsia="MS PGothic"/>
              </w:rPr>
              <w:t>Indoor positioning receivers</w:t>
            </w:r>
          </w:p>
        </w:tc>
        <w:tc>
          <w:tcPr>
            <w:tcW w:w="1844" w:type="dxa"/>
            <w:tcBorders>
              <w:top w:val="single" w:sz="4" w:space="0" w:color="auto"/>
              <w:left w:val="single" w:sz="4" w:space="0" w:color="auto"/>
              <w:bottom w:val="single" w:sz="4" w:space="0" w:color="auto"/>
              <w:right w:val="single" w:sz="4" w:space="0" w:color="auto"/>
            </w:tcBorders>
            <w:vAlign w:val="center"/>
          </w:tcPr>
          <w:p w:rsidR="00EC02CB" w:rsidRPr="00EC02CB" w:rsidRDefault="00EC02CB" w:rsidP="00EC02CB">
            <w:pPr>
              <w:pStyle w:val="Tablehead"/>
              <w:rPr>
                <w:snapToGrid w:val="0"/>
              </w:rPr>
            </w:pPr>
            <w:r w:rsidRPr="00EC02CB">
              <w:rPr>
                <w:snapToGrid w:val="0"/>
              </w:rPr>
              <w:t xml:space="preserve">General-purpose receivers </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EC02CB">
            <w:pPr>
              <w:pStyle w:val="Tabletext"/>
              <w:rPr>
                <w:rFonts w:eastAsia="MS PGothic"/>
                <w:lang w:val="en-US"/>
              </w:rPr>
            </w:pPr>
            <w:r w:rsidRPr="00666EA9">
              <w:rPr>
                <w:rFonts w:eastAsia="MS PGothic"/>
                <w:lang w:val="en-US"/>
              </w:rPr>
              <w:t xml:space="preserve">Tracking mode threshold power density level of aggregate wideband interference </w:t>
            </w:r>
            <w:r w:rsidRPr="00666EA9">
              <w:rPr>
                <w:rFonts w:eastAsia="MS PGothic"/>
                <w:lang w:val="en-US" w:eastAsia="ja-JP"/>
              </w:rPr>
              <w:t>at the passive antenna output</w:t>
            </w:r>
            <w:r w:rsidRPr="00666EA9">
              <w:rPr>
                <w:rFonts w:eastAsia="MS PGothic"/>
                <w:lang w:val="en-US"/>
              </w:rPr>
              <w:t xml:space="preserve"> (dB(W/MHz)) (Note 1)</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 xml:space="preserve">–144.8 </w:t>
            </w:r>
            <w:r w:rsidRPr="00636777">
              <w:rPr>
                <w:rFonts w:eastAsia="MS PGothic"/>
              </w:rPr>
              <w:br/>
              <w:t>(Notes 4, 5)</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snapToGrid w:val="0"/>
              </w:rPr>
              <w:t>−140 (Note 13)</w:t>
            </w:r>
          </w:p>
        </w:tc>
        <w:tc>
          <w:tcPr>
            <w:tcW w:w="158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bCs/>
                <w:lang w:eastAsia="ja-JP"/>
              </w:rPr>
            </w:pPr>
            <w:r w:rsidRPr="00636777">
              <w:rPr>
                <w:rFonts w:eastAsia="MS PGothic"/>
              </w:rPr>
              <w:t>–147.4</w:t>
            </w:r>
          </w:p>
        </w:tc>
        <w:tc>
          <w:tcPr>
            <w:tcW w:w="159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–150</w:t>
            </w:r>
          </w:p>
        </w:tc>
        <w:tc>
          <w:tcPr>
            <w:tcW w:w="184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lang w:eastAsia="zh-CN"/>
              </w:rPr>
            </w:pPr>
            <w:r w:rsidRPr="00636777">
              <w:rPr>
                <w:snapToGrid w:val="0"/>
              </w:rPr>
              <w:t>−</w:t>
            </w:r>
            <w:r w:rsidRPr="00636777">
              <w:rPr>
                <w:snapToGrid w:val="0"/>
                <w:lang w:eastAsia="zh-CN"/>
              </w:rPr>
              <w:t>140</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EC02CB">
            <w:pPr>
              <w:pStyle w:val="Tabletext"/>
              <w:spacing w:before="20" w:after="20"/>
              <w:rPr>
                <w:rFonts w:eastAsia="MS PGothic"/>
                <w:lang w:val="en-US"/>
              </w:rPr>
            </w:pPr>
            <w:r w:rsidRPr="00666EA9">
              <w:rPr>
                <w:rFonts w:eastAsia="MS PGothic"/>
                <w:lang w:val="en-US"/>
              </w:rPr>
              <w:t xml:space="preserve">Acquisition mode threshold power density level of aggregate wideband interference at </w:t>
            </w:r>
            <w:r w:rsidRPr="00666EA9">
              <w:rPr>
                <w:rFonts w:eastAsia="MS PGothic"/>
                <w:lang w:val="en-US" w:eastAsia="ja-JP"/>
              </w:rPr>
              <w:t>passive antenna output</w:t>
            </w:r>
            <w:r w:rsidRPr="00666EA9">
              <w:rPr>
                <w:rFonts w:eastAsia="MS PGothic"/>
                <w:lang w:val="en-US"/>
              </w:rPr>
              <w:t xml:space="preserve"> (dB(W/MHz)) (Note 1)</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highlight w:val="green"/>
              </w:rPr>
            </w:pPr>
            <w:r w:rsidRPr="00636777">
              <w:rPr>
                <w:rFonts w:eastAsia="MS PGothic"/>
              </w:rPr>
              <w:t xml:space="preserve">–148.7 </w:t>
            </w:r>
            <w:r w:rsidRPr="00636777">
              <w:rPr>
                <w:rFonts w:eastAsia="MS PGothic"/>
              </w:rPr>
              <w:br/>
              <w:t>(Notes 4, 6)</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rPr>
            </w:pPr>
            <w:r w:rsidRPr="00636777">
              <w:rPr>
                <w:snapToGrid w:val="0"/>
              </w:rPr>
              <w:t xml:space="preserve">−146 </w:t>
            </w:r>
          </w:p>
          <w:p w:rsidR="00666EA9" w:rsidRPr="00636777" w:rsidRDefault="00666EA9" w:rsidP="00EC02CB">
            <w:pPr>
              <w:pStyle w:val="Tabletext"/>
              <w:spacing w:before="20" w:after="20"/>
              <w:jc w:val="center"/>
              <w:rPr>
                <w:rFonts w:eastAsia="MS PGothic"/>
              </w:rPr>
            </w:pPr>
            <w:r w:rsidRPr="00636777">
              <w:rPr>
                <w:snapToGrid w:val="0"/>
              </w:rPr>
              <w:t>(Note 13)</w:t>
            </w:r>
          </w:p>
        </w:tc>
        <w:tc>
          <w:tcPr>
            <w:tcW w:w="158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bCs/>
                <w:lang w:eastAsia="ja-JP"/>
              </w:rPr>
            </w:pPr>
            <w:r w:rsidRPr="00636777">
              <w:rPr>
                <w:rFonts w:eastAsia="MS PGothic"/>
              </w:rPr>
              <w:t>–147.4</w:t>
            </w:r>
          </w:p>
        </w:tc>
        <w:tc>
          <w:tcPr>
            <w:tcW w:w="159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–156</w:t>
            </w:r>
          </w:p>
        </w:tc>
        <w:tc>
          <w:tcPr>
            <w:tcW w:w="184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lang w:eastAsia="zh-CN"/>
              </w:rPr>
            </w:pPr>
            <w:r w:rsidRPr="00636777">
              <w:rPr>
                <w:snapToGrid w:val="0"/>
              </w:rPr>
              <w:t>−</w:t>
            </w:r>
            <w:r w:rsidRPr="00636777">
              <w:rPr>
                <w:snapToGrid w:val="0"/>
                <w:lang w:eastAsia="zh-CN"/>
              </w:rPr>
              <w:t>146</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66EA9" w:rsidRDefault="00666EA9" w:rsidP="00EC02CB">
            <w:pPr>
              <w:pStyle w:val="Tabletext"/>
              <w:spacing w:before="20" w:after="20"/>
              <w:rPr>
                <w:lang w:val="en-US"/>
              </w:rPr>
            </w:pPr>
            <w:r w:rsidRPr="00666EA9">
              <w:rPr>
                <w:lang w:val="en-US" w:eastAsia="ja-JP"/>
              </w:rPr>
              <w:t>Receiver input compression</w:t>
            </w:r>
            <w:r w:rsidRPr="00666EA9">
              <w:rPr>
                <w:lang w:val="en-US"/>
              </w:rPr>
              <w:t xml:space="preserve"> level (dBW)</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–114 (Note 7)</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lang w:eastAsia="ja-JP"/>
              </w:rPr>
            </w:pPr>
            <w:r w:rsidRPr="00636777">
              <w:rPr>
                <w:snapToGrid w:val="0"/>
              </w:rPr>
              <w:t>−80</w:t>
            </w:r>
          </w:p>
        </w:tc>
        <w:tc>
          <w:tcPr>
            <w:tcW w:w="158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p>
        </w:tc>
        <w:tc>
          <w:tcPr>
            <w:tcW w:w="159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snapToGrid w:val="0"/>
              </w:rPr>
              <w:t>−</w:t>
            </w:r>
            <w:r w:rsidRPr="00636777">
              <w:rPr>
                <w:snapToGrid w:val="0"/>
                <w:lang w:eastAsia="zh-CN"/>
              </w:rPr>
              <w:t>100</w:t>
            </w:r>
          </w:p>
        </w:tc>
        <w:tc>
          <w:tcPr>
            <w:tcW w:w="184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lang w:eastAsia="zh-CN"/>
              </w:rPr>
            </w:pPr>
            <w:r w:rsidRPr="00636777">
              <w:rPr>
                <w:snapToGrid w:val="0"/>
              </w:rPr>
              <w:t>−</w:t>
            </w:r>
            <w:r w:rsidRPr="00636777">
              <w:rPr>
                <w:snapToGrid w:val="0"/>
                <w:lang w:eastAsia="zh-CN"/>
              </w:rPr>
              <w:t>100</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pPr>
            <w:r w:rsidRPr="00636777">
              <w:rPr>
                <w:lang w:eastAsia="ja-JP"/>
              </w:rPr>
              <w:t>Receiver survival</w:t>
            </w:r>
            <w:r w:rsidRPr="00636777">
              <w:t xml:space="preserve"> level (dBW)</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0 (Note 8)</w:t>
            </w:r>
          </w:p>
        </w:tc>
        <w:tc>
          <w:tcPr>
            <w:tcW w:w="2011"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lang w:eastAsia="ja-JP"/>
              </w:rPr>
            </w:pPr>
            <w:r w:rsidRPr="00636777">
              <w:rPr>
                <w:snapToGrid w:val="0"/>
              </w:rPr>
              <w:t>–1</w:t>
            </w:r>
          </w:p>
        </w:tc>
        <w:tc>
          <w:tcPr>
            <w:tcW w:w="158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p>
        </w:tc>
        <w:tc>
          <w:tcPr>
            <w:tcW w:w="159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snapToGrid w:val="0"/>
              </w:rPr>
              <w:t>−</w:t>
            </w:r>
            <w:r w:rsidRPr="00636777">
              <w:rPr>
                <w:snapToGrid w:val="0"/>
                <w:lang w:eastAsia="zh-CN"/>
              </w:rPr>
              <w:t>17</w:t>
            </w:r>
          </w:p>
        </w:tc>
        <w:tc>
          <w:tcPr>
            <w:tcW w:w="184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lang w:eastAsia="zh-CN"/>
              </w:rPr>
            </w:pPr>
            <w:r w:rsidRPr="00636777">
              <w:rPr>
                <w:snapToGrid w:val="0"/>
              </w:rPr>
              <w:t>−</w:t>
            </w:r>
            <w:r w:rsidRPr="00636777">
              <w:rPr>
                <w:snapToGrid w:val="0"/>
                <w:lang w:eastAsia="zh-CN"/>
              </w:rPr>
              <w:t>17</w:t>
            </w:r>
          </w:p>
        </w:tc>
      </w:tr>
      <w:tr w:rsidR="00666EA9" w:rsidRPr="00636777"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pPr>
            <w:r w:rsidRPr="00636777">
              <w:t>Overload recovery time (s)</w:t>
            </w:r>
          </w:p>
        </w:tc>
        <w:tc>
          <w:tcPr>
            <w:tcW w:w="162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rFonts w:eastAsia="MS PGothic"/>
              </w:rPr>
              <w:t>1 × 10</w:t>
            </w:r>
            <w:r w:rsidRPr="00636777">
              <w:rPr>
                <w:rFonts w:eastAsia="MS PGothic"/>
                <w:vertAlign w:val="superscript"/>
              </w:rPr>
              <w:t>−6</w:t>
            </w:r>
          </w:p>
        </w:tc>
        <w:tc>
          <w:tcPr>
            <w:tcW w:w="2011" w:type="dxa"/>
            <w:tcBorders>
              <w:top w:val="single" w:sz="4" w:space="0" w:color="auto"/>
              <w:left w:val="single" w:sz="4" w:space="0" w:color="auto"/>
              <w:bottom w:val="single" w:sz="4" w:space="0" w:color="auto"/>
              <w:right w:val="single" w:sz="4" w:space="0" w:color="auto"/>
            </w:tcBorders>
          </w:tcPr>
          <w:p w:rsidR="00666EA9" w:rsidRPr="00636777" w:rsidRDefault="00666EA9" w:rsidP="00EC02CB">
            <w:pPr>
              <w:pStyle w:val="Tabletext"/>
              <w:spacing w:before="20" w:after="20"/>
              <w:jc w:val="center"/>
              <w:rPr>
                <w:lang w:eastAsia="ja-JP"/>
              </w:rPr>
            </w:pPr>
            <w:r w:rsidRPr="00636777">
              <w:rPr>
                <w:snapToGrid w:val="0"/>
              </w:rPr>
              <w:t>(1−30) </w:t>
            </w:r>
            <w:r w:rsidRPr="00636777">
              <w:rPr>
                <w:rFonts w:eastAsia="MS PGothic"/>
              </w:rPr>
              <w:t>× </w:t>
            </w:r>
            <w:r w:rsidRPr="00636777">
              <w:rPr>
                <w:snapToGrid w:val="0"/>
              </w:rPr>
              <w:t>10</w:t>
            </w:r>
            <w:r w:rsidRPr="00636777">
              <w:rPr>
                <w:snapToGrid w:val="0"/>
                <w:vertAlign w:val="superscript"/>
              </w:rPr>
              <w:t>−6</w:t>
            </w:r>
          </w:p>
        </w:tc>
        <w:tc>
          <w:tcPr>
            <w:tcW w:w="158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snapToGrid w:val="0"/>
              </w:rPr>
              <w:t>30 </w:t>
            </w:r>
            <w:r w:rsidRPr="00636777">
              <w:rPr>
                <w:rFonts w:eastAsia="MS PGothic"/>
              </w:rPr>
              <w:t>× </w:t>
            </w:r>
            <w:r w:rsidRPr="00636777">
              <w:rPr>
                <w:snapToGrid w:val="0"/>
              </w:rPr>
              <w:t>10</w:t>
            </w:r>
            <w:r w:rsidRPr="00636777">
              <w:rPr>
                <w:snapToGrid w:val="0"/>
                <w:vertAlign w:val="superscript"/>
              </w:rPr>
              <w:t>−6</w:t>
            </w:r>
          </w:p>
        </w:tc>
        <w:tc>
          <w:tcPr>
            <w:tcW w:w="1597"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rFonts w:eastAsia="MS PGothic"/>
              </w:rPr>
            </w:pPr>
            <w:r w:rsidRPr="00636777">
              <w:rPr>
                <w:snapToGrid w:val="0"/>
              </w:rPr>
              <w:t>30</w:t>
            </w:r>
            <w:r w:rsidRPr="00636777">
              <w:rPr>
                <w:rFonts w:eastAsia="MS PGothic"/>
              </w:rPr>
              <w:t> × </w:t>
            </w:r>
            <w:r w:rsidRPr="00636777">
              <w:rPr>
                <w:snapToGrid w:val="0"/>
              </w:rPr>
              <w:t>10</w:t>
            </w:r>
            <w:r w:rsidRPr="00636777">
              <w:rPr>
                <w:snapToGrid w:val="0"/>
                <w:vertAlign w:val="superscript"/>
              </w:rPr>
              <w:t>−6</w:t>
            </w:r>
          </w:p>
        </w:tc>
        <w:tc>
          <w:tcPr>
            <w:tcW w:w="1844" w:type="dxa"/>
            <w:tcBorders>
              <w:top w:val="single" w:sz="4" w:space="0" w:color="auto"/>
              <w:left w:val="single" w:sz="4" w:space="0" w:color="auto"/>
              <w:bottom w:val="single" w:sz="4" w:space="0" w:color="auto"/>
              <w:right w:val="single" w:sz="4" w:space="0" w:color="auto"/>
            </w:tcBorders>
            <w:vAlign w:val="center"/>
          </w:tcPr>
          <w:p w:rsidR="00666EA9" w:rsidRPr="00636777" w:rsidRDefault="00666EA9" w:rsidP="00EC02CB">
            <w:pPr>
              <w:pStyle w:val="Tabletext"/>
              <w:spacing w:before="20" w:after="20"/>
              <w:jc w:val="center"/>
              <w:rPr>
                <w:snapToGrid w:val="0"/>
                <w:lang w:eastAsia="zh-CN"/>
              </w:rPr>
            </w:pPr>
            <w:r w:rsidRPr="00636777">
              <w:rPr>
                <w:snapToGrid w:val="0"/>
              </w:rPr>
              <w:t>30</w:t>
            </w:r>
            <w:r w:rsidRPr="00636777">
              <w:rPr>
                <w:rFonts w:eastAsia="MS PGothic"/>
              </w:rPr>
              <w:t> × </w:t>
            </w:r>
            <w:r w:rsidRPr="00636777">
              <w:rPr>
                <w:snapToGrid w:val="0"/>
              </w:rPr>
              <w:t>10</w:t>
            </w:r>
            <w:r w:rsidRPr="00636777">
              <w:rPr>
                <w:snapToGrid w:val="0"/>
                <w:vertAlign w:val="superscript"/>
              </w:rPr>
              <w:t>−6</w:t>
            </w:r>
          </w:p>
        </w:tc>
      </w:tr>
    </w:tbl>
    <w:p w:rsidR="00666EA9" w:rsidRPr="00636777" w:rsidRDefault="00666EA9" w:rsidP="006C3DE3">
      <w:pPr>
        <w:pStyle w:val="Tablefin"/>
        <w:rPr>
          <w:snapToGrid w:val="0"/>
          <w:lang w:eastAsia="zh-CN"/>
        </w:rPr>
      </w:pPr>
      <w:bookmarkStart w:id="3" w:name="_GoBack"/>
      <w:bookmarkEnd w:id="3"/>
    </w:p>
    <w:tbl>
      <w:tblPr>
        <w:tblW w:w="14459" w:type="dxa"/>
        <w:jc w:val="center"/>
        <w:tblLayout w:type="fixed"/>
        <w:tblLook w:val="0000" w:firstRow="0" w:lastRow="0" w:firstColumn="0" w:lastColumn="0" w:noHBand="0" w:noVBand="0"/>
      </w:tblPr>
      <w:tblGrid>
        <w:gridCol w:w="14459"/>
      </w:tblGrid>
      <w:tr w:rsidR="00666EA9" w:rsidRPr="00362182" w:rsidTr="006C3DE3">
        <w:trPr>
          <w:jc w:val="center"/>
        </w:trPr>
        <w:tc>
          <w:tcPr>
            <w:tcW w:w="14459" w:type="dxa"/>
            <w:vAlign w:val="center"/>
          </w:tcPr>
          <w:p w:rsidR="00666EA9" w:rsidRPr="00666EA9" w:rsidRDefault="00666EA9" w:rsidP="006C3DE3">
            <w:pPr>
              <w:pStyle w:val="TableLegendNote"/>
            </w:pPr>
            <w:r w:rsidRPr="00666EA9">
              <w:t>NOTE 1 − Narrow-band continuous interference is considered to have a bandwidth less than 700 Hz. Wideband continuous interference is considered to have a bandwidth greater than 1 MHz. Thresholds for interference bandwidths between 700 Hz and 1 MHz are under study.</w:t>
            </w:r>
          </w:p>
          <w:p w:rsidR="00666EA9" w:rsidRPr="00666EA9" w:rsidRDefault="00666EA9" w:rsidP="006C3DE3">
            <w:pPr>
              <w:pStyle w:val="TableLegendNote"/>
            </w:pPr>
            <w:r w:rsidRPr="00666EA9">
              <w:t>NOTE 2 − The maximum upper hemisphere gain applies for an elevation angle of 75° or more with respect to the antenna horizontal plane.</w:t>
            </w:r>
          </w:p>
          <w:p w:rsidR="00666EA9" w:rsidRPr="00666EA9" w:rsidRDefault="00666EA9" w:rsidP="006C3DE3">
            <w:pPr>
              <w:pStyle w:val="TableLegendNote"/>
            </w:pPr>
            <w:r w:rsidRPr="00666EA9">
              <w:t>NOTE 3 − The maximum gain value in the lower hemisphere applies at 0° elevation. For elevation angles between 0° and −30°, the maximum gain decreases with elevation angle to −10 dBi at −30° and remains constant at −10 dBi for elevation angles between −30° and −90°.</w:t>
            </w:r>
          </w:p>
          <w:p w:rsidR="00666EA9" w:rsidRPr="00666EA9" w:rsidRDefault="00666EA9" w:rsidP="006C3DE3">
            <w:pPr>
              <w:pStyle w:val="TableLegendNote"/>
            </w:pPr>
            <w:r w:rsidRPr="00666EA9">
              <w:t>NOTE 4 − When used in the Recommendation ITU</w:t>
            </w:r>
            <w:r w:rsidRPr="00666EA9">
              <w:noBreakHyphen/>
              <w:t>R M.1318-1 interference evaluation model, the threshold value is inserted in Line (a) and 6 dB (the safety margin, as described in Annex 1) is inserted in Line (b) of the evaluation template.</w:t>
            </w:r>
          </w:p>
          <w:p w:rsidR="00666EA9" w:rsidRPr="00666EA9" w:rsidRDefault="00666EA9" w:rsidP="006C3DE3">
            <w:pPr>
              <w:pStyle w:val="TableLegendNote"/>
            </w:pPr>
            <w:r w:rsidRPr="00666EA9">
              <w:t xml:space="preserve">NOTE 5 − The continuous RFI threshold value applies to airborne receiver operations above 6 096 m (20 000 feet) altitude above MSL. The tracking mode values for airborne operations below 610 m (2 000 feet) altitude above ground level are </w:t>
            </w:r>
            <w:r w:rsidRPr="00666EA9">
              <w:rPr>
                <w:rFonts w:eastAsia="MS PGothic"/>
              </w:rPr>
              <w:t>−143.0 dBW</w:t>
            </w:r>
            <w:r w:rsidRPr="00666EA9">
              <w:t xml:space="preserve"> (narrow-band) and </w:t>
            </w:r>
            <w:r w:rsidRPr="00666EA9">
              <w:rPr>
                <w:rFonts w:eastAsia="MS PGothic"/>
              </w:rPr>
              <w:t>−133.0 dB(W/MHz)</w:t>
            </w:r>
            <w:r w:rsidRPr="00666EA9">
              <w:t xml:space="preserve"> (wideband).</w:t>
            </w:r>
          </w:p>
          <w:p w:rsidR="00666EA9" w:rsidRPr="00666EA9" w:rsidRDefault="00666EA9" w:rsidP="006C3DE3">
            <w:pPr>
              <w:pStyle w:val="TableLegendNote"/>
            </w:pPr>
            <w:r w:rsidRPr="00666EA9">
              <w:t xml:space="preserve">NOTE 6 − The continuous RFI threshold value applies to airborne receiver operations above 6 096 m (20 000 feet) altitude above MSL. The acquisition mode values for airborne operations below 610 m (2 000 feet) altitude above ground level are </w:t>
            </w:r>
            <w:r w:rsidRPr="00666EA9">
              <w:rPr>
                <w:rFonts w:eastAsia="MS PGothic"/>
              </w:rPr>
              <w:t>−143.1 dBW</w:t>
            </w:r>
            <w:r w:rsidRPr="00666EA9">
              <w:t xml:space="preserve"> (narrow-band) and </w:t>
            </w:r>
            <w:r w:rsidRPr="00666EA9">
              <w:rPr>
                <w:rFonts w:eastAsia="MS PGothic"/>
              </w:rPr>
              <w:t>−133.1 dB(W/MHz)</w:t>
            </w:r>
            <w:r w:rsidRPr="00666EA9">
              <w:t xml:space="preserve"> (wideband).</w:t>
            </w:r>
          </w:p>
          <w:p w:rsidR="00666EA9" w:rsidRPr="00666EA9" w:rsidRDefault="00666EA9" w:rsidP="006C3DE3">
            <w:pPr>
              <w:pStyle w:val="TableLegendNote"/>
            </w:pPr>
            <w:r w:rsidRPr="00666EA9">
              <w:t>NOTE 7 − The input compression level is for power in the 20 MHz pre-correlator bandwidth.</w:t>
            </w:r>
          </w:p>
          <w:p w:rsidR="00666EA9" w:rsidRPr="00666EA9" w:rsidRDefault="00666EA9" w:rsidP="00921BEE">
            <w:pPr>
              <w:pStyle w:val="TableLegendNote"/>
              <w:rPr>
                <w:snapToGrid w:val="0"/>
                <w:lang w:eastAsia="zh-CN"/>
              </w:rPr>
            </w:pPr>
            <w:r w:rsidRPr="00666EA9">
              <w:t>NOTE 8 − The survival level is the peak power level for a pulsed signal with 10% maximum duty factor.</w:t>
            </w:r>
          </w:p>
        </w:tc>
      </w:tr>
      <w:tr w:rsidR="00F13EA4" w:rsidRPr="00362182" w:rsidTr="006C3DE3">
        <w:trPr>
          <w:jc w:val="center"/>
        </w:trPr>
        <w:tc>
          <w:tcPr>
            <w:tcW w:w="14459" w:type="dxa"/>
            <w:vAlign w:val="center"/>
          </w:tcPr>
          <w:p w:rsidR="00EC02CB" w:rsidRPr="00666EA9" w:rsidRDefault="00EC02CB" w:rsidP="006C3DE3">
            <w:pPr>
              <w:pStyle w:val="TableLegendNote"/>
              <w:rPr>
                <w:rFonts w:eastAsia="MS PGothic"/>
              </w:rPr>
            </w:pPr>
            <w:r w:rsidRPr="00666EA9">
              <w:t>NOTE 9 − Given values represent typical characteristics of receivers. Under certain conditions more rigid values for some parameters could be required (e.g. recovery time after overload, threshold values of aggregate interference, etc.).</w:t>
            </w:r>
          </w:p>
          <w:p w:rsidR="00EC02CB" w:rsidRPr="00666EA9" w:rsidRDefault="00EC02CB" w:rsidP="006C3DE3">
            <w:pPr>
              <w:pStyle w:val="TableLegendNote"/>
              <w:rPr>
                <w:rFonts w:eastAsia="MS PGothic"/>
              </w:rPr>
            </w:pPr>
            <w:r w:rsidRPr="00666EA9">
              <w:rPr>
                <w:rFonts w:eastAsia="MS PGothic"/>
              </w:rPr>
              <w:t xml:space="preserve">NOTE 10 − This receiver type operates on several carrier frequencies simultaneously. The carrier frequencies are defined by </w:t>
            </w:r>
            <w:r w:rsidRPr="00666EA9">
              <w:rPr>
                <w:rFonts w:eastAsia="MS PGothic"/>
                <w:i/>
              </w:rPr>
              <w:t>f</w:t>
            </w:r>
            <w:r w:rsidRPr="00666EA9">
              <w:rPr>
                <w:rFonts w:eastAsia="MS PGothic"/>
                <w:i/>
                <w:vertAlign w:val="subscript"/>
              </w:rPr>
              <w:t>c</w:t>
            </w:r>
            <w:r w:rsidRPr="00666EA9">
              <w:rPr>
                <w:rFonts w:eastAsia="MS PGothic"/>
                <w:i/>
              </w:rPr>
              <w:t xml:space="preserve"> </w:t>
            </w:r>
            <w:r w:rsidRPr="00666EA9">
              <w:rPr>
                <w:rFonts w:eastAsia="MS PGothic"/>
              </w:rPr>
              <w:t>(MHz) = 1 204.704 + 0.423</w:t>
            </w:r>
            <w:r w:rsidRPr="00F13EA4">
              <w:rPr>
                <w:rFonts w:eastAsia="MS PGothic"/>
                <w:i/>
                <w:iCs/>
              </w:rPr>
              <w:t>K</w:t>
            </w:r>
            <w:r w:rsidRPr="00666EA9">
              <w:rPr>
                <w:rFonts w:eastAsia="MS PGothic"/>
              </w:rPr>
              <w:t xml:space="preserve">, where </w:t>
            </w:r>
            <w:r w:rsidRPr="00F13EA4">
              <w:rPr>
                <w:rFonts w:eastAsia="MS PGothic"/>
                <w:i/>
                <w:iCs/>
              </w:rPr>
              <w:t>K</w:t>
            </w:r>
            <w:r w:rsidRPr="00666EA9">
              <w:rPr>
                <w:rFonts w:eastAsia="MS PGothic"/>
              </w:rPr>
              <w:t> = −7 to +12 (RNSS signals).</w:t>
            </w:r>
          </w:p>
          <w:p w:rsidR="00EC02CB" w:rsidRPr="00666EA9" w:rsidRDefault="00EC02CB" w:rsidP="006C3DE3">
            <w:pPr>
              <w:pStyle w:val="TableLegendNote"/>
            </w:pPr>
            <w:r w:rsidRPr="00666EA9">
              <w:t xml:space="preserve">NOTE 11 </w:t>
            </w:r>
            <w:r w:rsidRPr="00666EA9">
              <w:rPr>
                <w:rFonts w:eastAsia="MS PGothic"/>
              </w:rPr>
              <w:t>−</w:t>
            </w:r>
            <w:r w:rsidRPr="00666EA9">
              <w:t xml:space="preserve"> Minimum receiver antenna gain at 5 degrees elevation angle is −4.5 dBi.</w:t>
            </w:r>
          </w:p>
          <w:p w:rsidR="00F13EA4" w:rsidRPr="00666EA9" w:rsidRDefault="00F13EA4" w:rsidP="006C3DE3">
            <w:pPr>
              <w:pStyle w:val="TableLegendNote"/>
            </w:pPr>
            <w:r w:rsidRPr="00666EA9">
              <w:t>NOTE 12 − This table column covers characteristics and thresholds for receivers that operate in the band 1 164-1 215 MHz. For characteristics and thresholds for receivers that also acquire and track RNSS signals in the 1 215-1 300 MHz and/or 1 559-1 610 MHz bands, refer also to Recommendations ITU</w:t>
            </w:r>
            <w:r w:rsidRPr="00666EA9">
              <w:noBreakHyphen/>
              <w:t>R M</w:t>
            </w:r>
            <w:r>
              <w:t>.1902 and/or ITU</w:t>
            </w:r>
            <w:r>
              <w:noBreakHyphen/>
              <w:t xml:space="preserve">R M.1903. </w:t>
            </w:r>
            <w:bookmarkStart w:id="4" w:name="OLE_LINK1"/>
            <w:bookmarkStart w:id="5" w:name="OLE_LINK2"/>
            <w:r w:rsidRPr="00666EA9">
              <w:t>The characteristics and protection levels provided in this column also apply to RNSS receivers that are designed to operate in specialized RNSS applications</w:t>
            </w:r>
            <w:bookmarkEnd w:id="4"/>
            <w:bookmarkEnd w:id="5"/>
            <w:r w:rsidRPr="00666EA9">
              <w:t xml:space="preserve"> (see </w:t>
            </w:r>
            <w:r w:rsidR="00CD0887" w:rsidRPr="00CD0887">
              <w:rPr>
                <w:szCs w:val="22"/>
              </w:rPr>
              <w:t>§</w:t>
            </w:r>
            <w:r w:rsidRPr="00666EA9">
              <w:t xml:space="preserve"> 2.2 high-precision definition above). Pulse response parameters for this receiver type are subject to further study in conjunction with ITU</w:t>
            </w:r>
            <w:r w:rsidRPr="00666EA9">
              <w:noBreakHyphen/>
              <w:t>R work on a general pulsed RFI evaluation method.</w:t>
            </w:r>
          </w:p>
          <w:p w:rsidR="00F13EA4" w:rsidRPr="00666EA9" w:rsidRDefault="00F13EA4" w:rsidP="006C3DE3">
            <w:pPr>
              <w:pStyle w:val="TableLegendNote"/>
            </w:pPr>
            <w:r w:rsidRPr="00666EA9">
              <w:rPr>
                <w:bCs/>
                <w:iCs/>
              </w:rPr>
              <w:t>NOTE 13 − This threshold should account for all aggregate interference. The threshold value does not include any safety margin. For FDMA signal processing, narrow-band continuous interference is considered to have a bandwidth less than 1 kHz. Wideband continuous interference is considered to have a bandwidth greater than 500 kHz.</w:t>
            </w:r>
          </w:p>
        </w:tc>
      </w:tr>
    </w:tbl>
    <w:p w:rsidR="00666EA9" w:rsidRPr="00836DFC" w:rsidRDefault="00666EA9" w:rsidP="00921BEE">
      <w:pPr>
        <w:pStyle w:val="Tablefin"/>
        <w:rPr>
          <w:lang w:eastAsia="zh-CN"/>
        </w:rPr>
      </w:pPr>
    </w:p>
    <w:p w:rsidR="00666EA9" w:rsidRDefault="00666EA9" w:rsidP="00921BEE">
      <w:pPr>
        <w:rPr>
          <w:lang w:val="en-US" w:eastAsia="zh-CN"/>
        </w:rPr>
      </w:pPr>
    </w:p>
    <w:p w:rsidR="00921BEE" w:rsidRDefault="00921BEE" w:rsidP="00921BEE">
      <w:pPr>
        <w:rPr>
          <w:lang w:val="en-US" w:eastAsia="zh-CN"/>
        </w:rPr>
      </w:pPr>
    </w:p>
    <w:p w:rsidR="00921BEE" w:rsidRPr="00836DFC" w:rsidRDefault="00921BEE" w:rsidP="00921BEE">
      <w:pPr>
        <w:pStyle w:val="Line"/>
        <w:ind w:left="6350" w:right="6350"/>
        <w:rPr>
          <w:lang w:eastAsia="zh-CN"/>
        </w:rPr>
      </w:pPr>
    </w:p>
    <w:sectPr w:rsidR="00921BEE" w:rsidRPr="00836DFC" w:rsidSect="00921BEE">
      <w:headerReference w:type="even" r:id="rId18"/>
      <w:headerReference w:type="default" r:id="rId19"/>
      <w:pgSz w:w="16834" w:h="11907" w:orient="landscape"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05A" w:rsidRDefault="001E005A">
      <w:r>
        <w:separator/>
      </w:r>
    </w:p>
  </w:endnote>
  <w:endnote w:type="continuationSeparator" w:id="0">
    <w:p w:rsidR="001E005A" w:rsidRDefault="001E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Pr="008738B5" w:rsidRDefault="001E005A" w:rsidP="008738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362182">
    <w:pPr>
      <w:pStyle w:val="Footer"/>
    </w:pPr>
    <w:r>
      <w:fldChar w:fldCharType="begin"/>
    </w:r>
    <w:r>
      <w:instrText xml:space="preserve"> FILENAME \p  \* MERGEFORMAT </w:instrText>
    </w:r>
    <w:r>
      <w:fldChar w:fldCharType="separate"/>
    </w:r>
    <w:r w:rsidR="001E005A">
      <w:t>P:\QPUB\BR\REC\M\1905\M1905E.docx</w:t>
    </w:r>
    <w:r>
      <w:fldChar w:fldCharType="end"/>
    </w:r>
    <w:r w:rsidR="001E005A">
      <w:t xml:space="preserve"> (314429)</w:t>
    </w:r>
    <w:r w:rsidR="001E005A">
      <w:tab/>
    </w:r>
    <w:r w:rsidR="001E005A">
      <w:fldChar w:fldCharType="begin"/>
    </w:r>
    <w:r w:rsidR="001E005A">
      <w:instrText xml:space="preserve"> SAVEDATE \@ DD.MM.YY </w:instrText>
    </w:r>
    <w:r w:rsidR="001E005A">
      <w:fldChar w:fldCharType="separate"/>
    </w:r>
    <w:r w:rsidR="00CD0887">
      <w:t>06.12.11</w:t>
    </w:r>
    <w:r w:rsidR="001E005A">
      <w:fldChar w:fldCharType="end"/>
    </w:r>
    <w:r w:rsidR="001E005A">
      <w:tab/>
    </w:r>
    <w:r w:rsidR="001E005A">
      <w:fldChar w:fldCharType="begin"/>
    </w:r>
    <w:r w:rsidR="001E005A">
      <w:instrText xml:space="preserve"> PRINTDATE \@ DD.MM.YY </w:instrText>
    </w:r>
    <w:r w:rsidR="001E005A">
      <w:fldChar w:fldCharType="separate"/>
    </w:r>
    <w:r w:rsidR="001E005A">
      <w:t>10.02.05</w:t>
    </w:r>
    <w:r w:rsidR="001E00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05A" w:rsidRDefault="001E005A">
      <w:r>
        <w:separator/>
      </w:r>
    </w:p>
  </w:footnote>
  <w:footnote w:type="continuationSeparator" w:id="0">
    <w:p w:rsidR="001E005A" w:rsidRDefault="001E005A">
      <w:r>
        <w:continuationSeparator/>
      </w:r>
    </w:p>
  </w:footnote>
  <w:footnote w:id="1">
    <w:p w:rsidR="001E005A" w:rsidRDefault="001E005A" w:rsidP="00666EA9">
      <w:pPr>
        <w:pStyle w:val="FootnoteText"/>
        <w:rPr>
          <w:lang w:val="en-US"/>
        </w:rPr>
      </w:pPr>
      <w:r>
        <w:rPr>
          <w:rStyle w:val="FootnoteReference"/>
        </w:rPr>
        <w:footnoteRef/>
      </w:r>
      <w:r w:rsidRPr="00666EA9">
        <w:rPr>
          <w:lang w:val="en-US"/>
        </w:rPr>
        <w:t xml:space="preserve"> </w:t>
      </w:r>
      <w:r w:rsidRPr="00666EA9">
        <w:rPr>
          <w:lang w:val="en-US"/>
        </w:rPr>
        <w:tab/>
        <w:t>This text appeared in Annex 5 of former Recommendation ITU</w:t>
      </w:r>
      <w:r w:rsidRPr="00666EA9">
        <w:rPr>
          <w:lang w:val="en-US"/>
        </w:rPr>
        <w:noBreakHyphen/>
        <w:t>R M.1477 (Geneva, 2000).</w:t>
      </w:r>
    </w:p>
  </w:footnote>
  <w:footnote w:id="2">
    <w:p w:rsidR="001E005A" w:rsidRPr="00666EA9" w:rsidRDefault="001E005A" w:rsidP="00666EA9">
      <w:pPr>
        <w:pStyle w:val="FootnoteText"/>
        <w:rPr>
          <w:lang w:val="en-US"/>
        </w:rPr>
      </w:pPr>
      <w:r>
        <w:rPr>
          <w:rStyle w:val="FootnoteReference"/>
        </w:rPr>
        <w:footnoteRef/>
      </w:r>
      <w:r w:rsidRPr="00666EA9">
        <w:rPr>
          <w:lang w:val="en-US"/>
        </w:rPr>
        <w:tab/>
        <w:t xml:space="preserve">GNSS refers to global navigation satellite system, a set of RNSS systems providing aeronautical </w:t>
      </w:r>
      <w:r>
        <w:rPr>
          <w:lang w:val="en-US"/>
        </w:rPr>
        <w:t>radionavigation</w:t>
      </w:r>
      <w:r w:rsidRPr="00666EA9">
        <w:rPr>
          <w:lang w:val="en-US"/>
        </w:rPr>
        <w:t xml:space="preserve"> satellite signals as recognized by ICAO.</w:t>
      </w:r>
    </w:p>
  </w:footnote>
  <w:footnote w:id="3">
    <w:p w:rsidR="001E005A" w:rsidRDefault="001E005A" w:rsidP="00666EA9">
      <w:pPr>
        <w:pStyle w:val="FootnoteText"/>
        <w:rPr>
          <w:lang w:val="en-US"/>
        </w:rPr>
      </w:pPr>
      <w:r>
        <w:rPr>
          <w:rStyle w:val="FootnoteReference"/>
        </w:rPr>
        <w:footnoteRef/>
      </w:r>
      <w:r w:rsidRPr="00666EA9">
        <w:rPr>
          <w:lang w:val="en-US"/>
        </w:rPr>
        <w:tab/>
      </w:r>
      <w:r>
        <w:rPr>
          <w:lang w:val="en-US"/>
        </w:rPr>
        <w:t>Non-aeronautical interference refers to interference from sources other than the distance measuring equipment (DME), tactical air navigation system (TACAN) and equipment installed on the GNSS receiver-equipped aircraft.</w:t>
      </w:r>
    </w:p>
  </w:footnote>
  <w:footnote w:id="4">
    <w:p w:rsidR="001E005A" w:rsidRDefault="001E005A" w:rsidP="00666EA9">
      <w:pPr>
        <w:pStyle w:val="FootnoteText"/>
        <w:rPr>
          <w:lang w:val="en-US"/>
        </w:rPr>
      </w:pPr>
      <w:r>
        <w:rPr>
          <w:rStyle w:val="FootnoteReference"/>
        </w:rPr>
        <w:footnoteRef/>
      </w:r>
      <w:r w:rsidRPr="00666EA9">
        <w:rPr>
          <w:lang w:val="en-US"/>
        </w:rPr>
        <w:tab/>
      </w:r>
      <w:r>
        <w:rPr>
          <w:lang w:val="en-US"/>
        </w:rPr>
        <w:t>SBAS refers to the satellite-based augmentation system, a means for providing RNSS regional measurement error correction and integrity data through a GSO satellite signal.</w:t>
      </w:r>
    </w:p>
  </w:footnote>
  <w:footnote w:id="5">
    <w:p w:rsidR="001E005A" w:rsidRDefault="001E005A" w:rsidP="00666EA9">
      <w:pPr>
        <w:pStyle w:val="FootnoteText"/>
        <w:rPr>
          <w:lang w:val="en-US"/>
        </w:rPr>
      </w:pPr>
      <w:r>
        <w:rPr>
          <w:rStyle w:val="FootnoteReference"/>
        </w:rPr>
        <w:footnoteRef/>
      </w:r>
      <w:r w:rsidRPr="00666EA9">
        <w:rPr>
          <w:lang w:val="en-US"/>
        </w:rPr>
        <w:tab/>
        <w:t>The phrase “CDMA RNSS and SBAS signals” refers to the use of a technique in which all the RNSS and SBAS satellites transmit on the same carrier frequency but with different modulation codes. Further signal details are contained in Annex 2 (GPS) of Recommendation ITU</w:t>
      </w:r>
      <w:r w:rsidRPr="00666EA9">
        <w:rPr>
          <w:lang w:val="en-US"/>
        </w:rPr>
        <w:noBreakHyphen/>
        <w:t>R M.1787.</w:t>
      </w:r>
    </w:p>
  </w:footnote>
  <w:footnote w:id="6">
    <w:p w:rsidR="001E005A" w:rsidRDefault="001E005A" w:rsidP="00666EA9">
      <w:pPr>
        <w:pStyle w:val="FootnoteText"/>
        <w:rPr>
          <w:lang w:val="en-US"/>
        </w:rPr>
      </w:pPr>
      <w:r>
        <w:rPr>
          <w:rStyle w:val="FootnoteReference"/>
        </w:rPr>
        <w:footnoteRef/>
      </w:r>
      <w:r w:rsidRPr="00666EA9">
        <w:rPr>
          <w:lang w:val="en-US"/>
        </w:rPr>
        <w:tab/>
        <w:t>The phrase “FDMA RNSS signals” refers to a technique in which all the RNSS satellites use the same modulation code but each satellite transmits on a different carrier frequency. Further signal details are contained in Annex 1 (GLONASS) of Recommendation ITU</w:t>
      </w:r>
      <w:r w:rsidRPr="00666EA9">
        <w:rPr>
          <w:lang w:val="en-US"/>
        </w:rPr>
        <w:noBreakHyphen/>
        <w:t>R M.1787.</w:t>
      </w:r>
    </w:p>
  </w:footnote>
  <w:footnote w:id="7">
    <w:p w:rsidR="001E005A" w:rsidRDefault="001E005A" w:rsidP="00666EA9">
      <w:pPr>
        <w:pStyle w:val="FootnoteText"/>
        <w:rPr>
          <w:lang w:val="en-US"/>
        </w:rPr>
      </w:pPr>
      <w:r>
        <w:rPr>
          <w:rStyle w:val="FootnoteReference"/>
        </w:rPr>
        <w:footnoteRef/>
      </w:r>
      <w:r w:rsidRPr="00666EA9">
        <w:rPr>
          <w:lang w:val="en-US"/>
        </w:rPr>
        <w:tab/>
        <w:t>Further details of the E5a signal are found in Annex 3 (Galileo) of Recommendation ITU</w:t>
      </w:r>
      <w:r w:rsidRPr="00666EA9">
        <w:rPr>
          <w:lang w:val="en-US"/>
        </w:rPr>
        <w:noBreakHyphen/>
        <w:t>R M.1787.</w:t>
      </w:r>
    </w:p>
  </w:footnote>
  <w:footnote w:id="8">
    <w:p w:rsidR="001E005A" w:rsidRDefault="001E005A" w:rsidP="00666EA9">
      <w:pPr>
        <w:pStyle w:val="FootnoteText"/>
        <w:rPr>
          <w:lang w:val="en-US"/>
        </w:rPr>
      </w:pPr>
      <w:r>
        <w:rPr>
          <w:rStyle w:val="FootnoteReference"/>
        </w:rPr>
        <w:footnoteRef/>
      </w:r>
      <w:r w:rsidRPr="00666EA9">
        <w:rPr>
          <w:lang w:val="en-US"/>
        </w:rPr>
        <w:tab/>
        <w:t>Further details of the B2 signal are found in Annex 7 (COMPASS) of Recommendation ITU</w:t>
      </w:r>
      <w:r w:rsidRPr="00666EA9">
        <w:rPr>
          <w:lang w:val="en-US"/>
        </w:rPr>
        <w:noBreakHyphen/>
        <w:t>R M.1787.</w:t>
      </w:r>
    </w:p>
  </w:footnote>
  <w:footnote w:id="9">
    <w:p w:rsidR="001E005A" w:rsidRDefault="001E005A" w:rsidP="00666EA9">
      <w:pPr>
        <w:pStyle w:val="FootnoteText"/>
        <w:rPr>
          <w:lang w:val="en-US"/>
        </w:rPr>
      </w:pPr>
      <w:r>
        <w:rPr>
          <w:rStyle w:val="FootnoteReference"/>
        </w:rPr>
        <w:footnoteRef/>
      </w:r>
      <w:r w:rsidRPr="00666EA9">
        <w:rPr>
          <w:lang w:val="en-US"/>
        </w:rPr>
        <w:tab/>
      </w:r>
      <w:r>
        <w:rPr>
          <w:lang w:val="en-US"/>
        </w:rPr>
        <w:t>RTCA</w:t>
      </w:r>
      <w:r w:rsidRPr="00666EA9">
        <w:rPr>
          <w:lang w:val="en-US"/>
        </w:rPr>
        <w:t>, headquartered in the United States</w:t>
      </w:r>
      <w:r>
        <w:rPr>
          <w:lang w:val="en-US"/>
        </w:rPr>
        <w:t xml:space="preserve"> of America</w:t>
      </w:r>
      <w:r w:rsidRPr="00666EA9">
        <w:rPr>
          <w:lang w:val="en-US"/>
        </w:rPr>
        <w:t>, and EUROCAE in Europe.</w:t>
      </w:r>
    </w:p>
  </w:footnote>
  <w:footnote w:id="10">
    <w:p w:rsidR="001E005A" w:rsidRDefault="001E005A" w:rsidP="00666EA9">
      <w:pPr>
        <w:pStyle w:val="FootnoteText"/>
        <w:rPr>
          <w:lang w:val="en-US"/>
        </w:rPr>
      </w:pPr>
      <w:r>
        <w:rPr>
          <w:rStyle w:val="FootnoteReference"/>
        </w:rPr>
        <w:footnoteRef/>
      </w:r>
      <w:r w:rsidRPr="00666EA9">
        <w:rPr>
          <w:lang w:val="en-US"/>
        </w:rPr>
        <w:tab/>
        <w:t>RTCA SC-</w:t>
      </w:r>
      <w:r>
        <w:rPr>
          <w:lang w:val="en-US"/>
        </w:rPr>
        <w:t>159</w:t>
      </w:r>
      <w:r w:rsidRPr="00666EA9">
        <w:rPr>
          <w:lang w:val="en-US"/>
        </w:rPr>
        <w:t>, “Assessment of the Radio Frequency Interference Relevant to the GNSS L5/E5A Frequency Band”, RTCA Document No. </w:t>
      </w:r>
      <w:r>
        <w:t xml:space="preserve">RTCA/DO-292,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29 July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1E005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1E005A" w:rsidP="002D07AF">
    <w:pPr>
      <w:pStyle w:val="Header"/>
      <w:ind w:right="360" w:firstLine="360"/>
    </w:pPr>
    <w:r>
      <w:rPr>
        <w:noProof/>
        <w:lang w:val="en-US" w:eastAsia="zh-CN"/>
      </w:rPr>
      <w:drawing>
        <wp:anchor distT="0" distB="0" distL="114300" distR="114300" simplePos="0" relativeHeight="251659264" behindDoc="1" locked="0" layoutInCell="1" allowOverlap="1" wp14:anchorId="68F83808" wp14:editId="158A853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Pr="00FC42AF" w:rsidRDefault="001E005A" w:rsidP="002D07A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62182">
      <w:rPr>
        <w:rStyle w:val="PageNumber"/>
        <w:b/>
        <w:bCs/>
        <w:noProof/>
      </w:rPr>
      <w:t>ii</w:t>
    </w:r>
    <w:r>
      <w:rPr>
        <w:rStyle w:val="PageNumber"/>
        <w:b/>
        <w:bCs/>
      </w:rPr>
      <w:fldChar w:fldCharType="end"/>
    </w:r>
    <w:r w:rsidRPr="00FC42AF">
      <w:tab/>
    </w:r>
    <w:r w:rsidR="00362182">
      <w:fldChar w:fldCharType="begin"/>
    </w:r>
    <w:r w:rsidR="00362182">
      <w:instrText xml:space="preserve"> DOCPROPERTY "Header" \* MERGEFORMAT </w:instrText>
    </w:r>
    <w:r w:rsidR="00362182">
      <w:fldChar w:fldCharType="separate"/>
    </w:r>
    <w:r w:rsidRPr="00921BEE">
      <w:rPr>
        <w:b/>
        <w:bCs/>
      </w:rPr>
      <w:t xml:space="preserve">Rec. </w:t>
    </w:r>
    <w:r w:rsidR="00362182">
      <w:rPr>
        <w:b/>
        <w:bCs/>
      </w:rPr>
      <w:fldChar w:fldCharType="end"/>
    </w:r>
    <w:r>
      <w:rPr>
        <w:b/>
        <w:bCs/>
      </w:rPr>
      <w:t xml:space="preserve"> ITU-R  M.1905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1E005A">
    <w:pPr>
      <w:pStyle w:val="Header"/>
    </w:pPr>
    <w:r>
      <w:tab/>
    </w:r>
    <w:r w:rsidR="00362182">
      <w:fldChar w:fldCharType="begin"/>
    </w:r>
    <w:r w:rsidR="00362182">
      <w:instrText xml:space="preserve"> DOCPROPERTY "Header" \* MERGEFORMAT </w:instrText>
    </w:r>
    <w:r w:rsidR="00362182">
      <w:fldChar w:fldCharType="separate"/>
    </w:r>
    <w:r w:rsidRPr="00921BEE">
      <w:rPr>
        <w:b/>
        <w:bCs/>
      </w:rPr>
      <w:t xml:space="preserve">Rec. </w:t>
    </w:r>
    <w:r w:rsidR="00362182">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M.1905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Pr="00FC42AF" w:rsidRDefault="001E005A" w:rsidP="002D07A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62182">
      <w:rPr>
        <w:rStyle w:val="PageNumber"/>
        <w:b/>
        <w:bCs/>
        <w:noProof/>
      </w:rPr>
      <w:t>6</w:t>
    </w:r>
    <w:r>
      <w:rPr>
        <w:rStyle w:val="PageNumber"/>
        <w:b/>
        <w:bCs/>
      </w:rPr>
      <w:fldChar w:fldCharType="end"/>
    </w:r>
    <w:r w:rsidRPr="00FC42AF">
      <w:tab/>
    </w:r>
    <w:r w:rsidR="00362182">
      <w:fldChar w:fldCharType="begin"/>
    </w:r>
    <w:r w:rsidR="00362182">
      <w:instrText xml:space="preserve"> DOCPROPERTY "Header" \* MERGEFORMAT </w:instrText>
    </w:r>
    <w:r w:rsidR="00362182">
      <w:fldChar w:fldCharType="separate"/>
    </w:r>
    <w:r w:rsidRPr="00921BEE">
      <w:rPr>
        <w:b/>
        <w:bCs/>
      </w:rPr>
      <w:t xml:space="preserve">Rec. </w:t>
    </w:r>
    <w:r w:rsidR="00362182">
      <w:rPr>
        <w:b/>
        <w:bCs/>
      </w:rPr>
      <w:fldChar w:fldCharType="end"/>
    </w:r>
    <w:r>
      <w:rPr>
        <w:b/>
        <w:bCs/>
      </w:rPr>
      <w:t xml:space="preserve"> ITU-R  M.1905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Pr="008738B5" w:rsidRDefault="001E005A" w:rsidP="008738B5">
    <w:pPr>
      <w:pStyle w:val="Header"/>
      <w:jc w:val="left"/>
    </w:pPr>
    <w:r w:rsidRPr="00FC42AF">
      <w:tab/>
    </w:r>
    <w:r w:rsidR="00362182">
      <w:fldChar w:fldCharType="begin"/>
    </w:r>
    <w:r w:rsidR="00362182">
      <w:instrText xml:space="preserve"> DOCPROPERTY "Header" \* MERGEFORMAT </w:instrText>
    </w:r>
    <w:r w:rsidR="00362182">
      <w:fldChar w:fldCharType="separate"/>
    </w:r>
    <w:r w:rsidRPr="00921BEE">
      <w:rPr>
        <w:b/>
        <w:bCs/>
      </w:rPr>
      <w:t xml:space="preserve">Rec. </w:t>
    </w:r>
    <w:r w:rsidR="00362182">
      <w:rPr>
        <w:b/>
        <w:bCs/>
      </w:rPr>
      <w:fldChar w:fldCharType="end"/>
    </w:r>
    <w:r>
      <w:rPr>
        <w:b/>
        <w:bCs/>
      </w:rPr>
      <w:t xml:space="preserve"> ITU-R  M.1905</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62182">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1E005A" w:rsidP="0052276E">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2182">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21B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62182">
      <w:rPr>
        <w:b/>
        <w:bCs/>
        <w:noProof/>
      </w:rPr>
      <w:t>ITU-R  M.1905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5A" w:rsidRDefault="001E005A" w:rsidP="0052276E">
    <w:pPr>
      <w:pStyle w:val="Header"/>
      <w:tabs>
        <w:tab w:val="clear" w:pos="4848"/>
        <w:tab w:val="clear" w:pos="9696"/>
        <w:tab w:val="center" w:pos="7088"/>
        <w:tab w:val="right" w:pos="14487"/>
      </w:tabs>
    </w:pPr>
    <w:r>
      <w:tab/>
    </w:r>
    <w:r w:rsidR="00362182">
      <w:fldChar w:fldCharType="begin"/>
    </w:r>
    <w:r w:rsidR="00362182">
      <w:instrText xml:space="preserve"> DOCPROPERTY "Header" \* MERGEFORMAT </w:instrText>
    </w:r>
    <w:r w:rsidR="00362182">
      <w:fldChar w:fldCharType="separate"/>
    </w:r>
    <w:r w:rsidRPr="00921BEE">
      <w:rPr>
        <w:b/>
        <w:bCs/>
      </w:rPr>
      <w:t xml:space="preserve">Rec. </w:t>
    </w:r>
    <w:r w:rsidR="00362182">
      <w:rPr>
        <w:b/>
        <w:bCs/>
      </w:rPr>
      <w:fldChar w:fldCharType="end"/>
    </w:r>
    <w:r>
      <w:rPr>
        <w:b/>
        <w:bCs/>
      </w:rPr>
      <w:t xml:space="preserve"> </w:t>
    </w:r>
    <w:r>
      <w:rPr>
        <w:b/>
        <w:bCs/>
      </w:rPr>
      <w:fldChar w:fldCharType="begin"/>
    </w:r>
    <w:r>
      <w:rPr>
        <w:b/>
        <w:bCs/>
      </w:rPr>
      <w:instrText>styleref href</w:instrText>
    </w:r>
    <w:r>
      <w:rPr>
        <w:b/>
        <w:bCs/>
      </w:rPr>
      <w:fldChar w:fldCharType="separate"/>
    </w:r>
    <w:r w:rsidR="00362182">
      <w:rPr>
        <w:b/>
        <w:bCs/>
        <w:noProof/>
      </w:rPr>
      <w:t>ITU-R  M.1905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62182">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EA9"/>
    <w:rsid w:val="00092112"/>
    <w:rsid w:val="000E2AD5"/>
    <w:rsid w:val="001E005A"/>
    <w:rsid w:val="00202E5C"/>
    <w:rsid w:val="00217EBF"/>
    <w:rsid w:val="00242AEE"/>
    <w:rsid w:val="002D07AF"/>
    <w:rsid w:val="002D76C4"/>
    <w:rsid w:val="002F46BD"/>
    <w:rsid w:val="00362182"/>
    <w:rsid w:val="0052276E"/>
    <w:rsid w:val="0052529D"/>
    <w:rsid w:val="005740DD"/>
    <w:rsid w:val="00607D68"/>
    <w:rsid w:val="00666EA9"/>
    <w:rsid w:val="006B0F53"/>
    <w:rsid w:val="006C3DE3"/>
    <w:rsid w:val="007468DA"/>
    <w:rsid w:val="00836DFC"/>
    <w:rsid w:val="008738B5"/>
    <w:rsid w:val="00921BEE"/>
    <w:rsid w:val="00977158"/>
    <w:rsid w:val="009A5E73"/>
    <w:rsid w:val="009C7490"/>
    <w:rsid w:val="009E00A8"/>
    <w:rsid w:val="00A6617B"/>
    <w:rsid w:val="00AB0DC8"/>
    <w:rsid w:val="00AD1D5C"/>
    <w:rsid w:val="00B14ACD"/>
    <w:rsid w:val="00B44E24"/>
    <w:rsid w:val="00CC0C60"/>
    <w:rsid w:val="00CD0887"/>
    <w:rsid w:val="00CF4941"/>
    <w:rsid w:val="00D910E0"/>
    <w:rsid w:val="00DF4176"/>
    <w:rsid w:val="00E32B1F"/>
    <w:rsid w:val="00EC02CB"/>
    <w:rsid w:val="00F13E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D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C3DE3"/>
    <w:pPr>
      <w:keepNext/>
      <w:keepLines/>
      <w:spacing w:before="480"/>
      <w:ind w:left="794" w:hanging="794"/>
      <w:outlineLvl w:val="0"/>
    </w:pPr>
    <w:rPr>
      <w:b/>
    </w:rPr>
  </w:style>
  <w:style w:type="paragraph" w:styleId="Heading2">
    <w:name w:val="heading 2"/>
    <w:basedOn w:val="Heading1"/>
    <w:next w:val="Normal"/>
    <w:link w:val="Heading2Char"/>
    <w:qFormat/>
    <w:rsid w:val="006C3DE3"/>
    <w:pPr>
      <w:spacing w:before="320"/>
      <w:outlineLvl w:val="1"/>
    </w:pPr>
  </w:style>
  <w:style w:type="paragraph" w:styleId="Heading3">
    <w:name w:val="heading 3"/>
    <w:basedOn w:val="Heading1"/>
    <w:next w:val="Normal"/>
    <w:qFormat/>
    <w:rsid w:val="006C3DE3"/>
    <w:pPr>
      <w:spacing w:before="200"/>
      <w:outlineLvl w:val="2"/>
    </w:pPr>
  </w:style>
  <w:style w:type="paragraph" w:styleId="Heading4">
    <w:name w:val="heading 4"/>
    <w:basedOn w:val="Heading3"/>
    <w:next w:val="Normal"/>
    <w:qFormat/>
    <w:rsid w:val="006C3DE3"/>
    <w:pPr>
      <w:tabs>
        <w:tab w:val="clear" w:pos="794"/>
        <w:tab w:val="left" w:pos="992"/>
      </w:tabs>
      <w:ind w:left="992" w:hanging="992"/>
      <w:outlineLvl w:val="3"/>
    </w:pPr>
  </w:style>
  <w:style w:type="paragraph" w:styleId="Heading5">
    <w:name w:val="heading 5"/>
    <w:basedOn w:val="Heading4"/>
    <w:next w:val="Normal"/>
    <w:qFormat/>
    <w:rsid w:val="006C3DE3"/>
    <w:pPr>
      <w:outlineLvl w:val="4"/>
    </w:pPr>
  </w:style>
  <w:style w:type="paragraph" w:styleId="Heading6">
    <w:name w:val="heading 6"/>
    <w:basedOn w:val="Heading4"/>
    <w:next w:val="Normal"/>
    <w:qFormat/>
    <w:rsid w:val="006C3DE3"/>
    <w:pPr>
      <w:tabs>
        <w:tab w:val="clear" w:pos="992"/>
        <w:tab w:val="clear" w:pos="1191"/>
      </w:tabs>
      <w:ind w:left="1588" w:hanging="1588"/>
      <w:outlineLvl w:val="5"/>
    </w:pPr>
  </w:style>
  <w:style w:type="paragraph" w:styleId="Heading7">
    <w:name w:val="heading 7"/>
    <w:basedOn w:val="Heading6"/>
    <w:next w:val="Normal"/>
    <w:qFormat/>
    <w:rsid w:val="006C3DE3"/>
    <w:pPr>
      <w:outlineLvl w:val="6"/>
    </w:pPr>
  </w:style>
  <w:style w:type="paragraph" w:styleId="Heading8">
    <w:name w:val="heading 8"/>
    <w:basedOn w:val="Heading6"/>
    <w:next w:val="Normal"/>
    <w:qFormat/>
    <w:rsid w:val="006C3DE3"/>
    <w:pPr>
      <w:outlineLvl w:val="7"/>
    </w:pPr>
  </w:style>
  <w:style w:type="paragraph" w:styleId="Heading9">
    <w:name w:val="heading 9"/>
    <w:basedOn w:val="Heading6"/>
    <w:next w:val="Normal"/>
    <w:qFormat/>
    <w:rsid w:val="006C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3D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C3D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C3DE3"/>
  </w:style>
  <w:style w:type="paragraph" w:customStyle="1" w:styleId="Headingb">
    <w:name w:val="Heading_b"/>
    <w:basedOn w:val="Heading3"/>
    <w:next w:val="Normal"/>
    <w:rsid w:val="006C3DE3"/>
    <w:pPr>
      <w:spacing w:before="160"/>
      <w:ind w:left="0" w:firstLine="0"/>
      <w:outlineLvl w:val="9"/>
    </w:pPr>
  </w:style>
  <w:style w:type="paragraph" w:customStyle="1" w:styleId="Headingi">
    <w:name w:val="Heading_i"/>
    <w:basedOn w:val="Heading3"/>
    <w:next w:val="Normal"/>
    <w:rsid w:val="006C3DE3"/>
    <w:pPr>
      <w:spacing w:before="160"/>
      <w:ind w:left="0" w:firstLine="0"/>
    </w:pPr>
    <w:rPr>
      <w:b w:val="0"/>
      <w:i/>
    </w:rPr>
  </w:style>
  <w:style w:type="character" w:customStyle="1" w:styleId="href">
    <w:name w:val="href"/>
    <w:basedOn w:val="DefaultParagraphFont"/>
    <w:rsid w:val="006C3DE3"/>
  </w:style>
  <w:style w:type="paragraph" w:customStyle="1" w:styleId="enumlev1">
    <w:name w:val="enumlev1"/>
    <w:basedOn w:val="Normal"/>
    <w:link w:val="enumlev1Char"/>
    <w:rsid w:val="006C3DE3"/>
    <w:pPr>
      <w:spacing w:before="80"/>
      <w:ind w:left="794" w:hanging="794"/>
    </w:pPr>
  </w:style>
  <w:style w:type="paragraph" w:customStyle="1" w:styleId="enumlev2">
    <w:name w:val="enumlev2"/>
    <w:basedOn w:val="enumlev1"/>
    <w:rsid w:val="006C3DE3"/>
    <w:pPr>
      <w:ind w:left="1191" w:hanging="397"/>
    </w:pPr>
  </w:style>
  <w:style w:type="paragraph" w:customStyle="1" w:styleId="enumlev3">
    <w:name w:val="enumlev3"/>
    <w:basedOn w:val="enumlev2"/>
    <w:rsid w:val="006C3DE3"/>
    <w:pPr>
      <w:ind w:left="1588"/>
    </w:pPr>
  </w:style>
  <w:style w:type="paragraph" w:customStyle="1" w:styleId="Normalaftertitle">
    <w:name w:val="Normal_after_title"/>
    <w:basedOn w:val="Normal"/>
    <w:next w:val="Normal"/>
    <w:rsid w:val="006C3DE3"/>
    <w:pPr>
      <w:spacing w:before="320"/>
    </w:pPr>
  </w:style>
  <w:style w:type="paragraph" w:customStyle="1" w:styleId="Note">
    <w:name w:val="Note"/>
    <w:basedOn w:val="Normal"/>
    <w:rsid w:val="006C3D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C3D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C3DE3"/>
    <w:pPr>
      <w:spacing w:before="240"/>
    </w:pPr>
    <w:rPr>
      <w:sz w:val="22"/>
      <w:lang w:val="es-ES_tradnl"/>
    </w:rPr>
  </w:style>
  <w:style w:type="paragraph" w:customStyle="1" w:styleId="Recref">
    <w:name w:val="Rec_ref"/>
    <w:basedOn w:val="Normal"/>
    <w:next w:val="Recdate"/>
    <w:rsid w:val="006C3DE3"/>
    <w:pPr>
      <w:jc w:val="center"/>
    </w:pPr>
  </w:style>
  <w:style w:type="paragraph" w:customStyle="1" w:styleId="Recdate">
    <w:name w:val="Rec_date"/>
    <w:basedOn w:val="Recref"/>
    <w:next w:val="Normalaftertitle"/>
    <w:rsid w:val="006C3DE3"/>
    <w:pPr>
      <w:jc w:val="right"/>
    </w:pPr>
  </w:style>
  <w:style w:type="paragraph" w:customStyle="1" w:styleId="AnnexNoTitle">
    <w:name w:val="Annex_NoTitle"/>
    <w:basedOn w:val="Normal"/>
    <w:next w:val="Normalaftertitle"/>
    <w:rsid w:val="006C3DE3"/>
    <w:pPr>
      <w:keepNext/>
      <w:keepLines/>
      <w:spacing w:before="480" w:after="80"/>
      <w:jc w:val="center"/>
    </w:pPr>
    <w:rPr>
      <w:b/>
      <w:sz w:val="28"/>
    </w:rPr>
  </w:style>
  <w:style w:type="paragraph" w:customStyle="1" w:styleId="AppendixNoTitle">
    <w:name w:val="Appendix_NoTitle"/>
    <w:basedOn w:val="AnnexNoTitle"/>
    <w:next w:val="Normal"/>
    <w:rsid w:val="006C3DE3"/>
  </w:style>
  <w:style w:type="paragraph" w:customStyle="1" w:styleId="Tablefin">
    <w:name w:val="Table_fin"/>
    <w:basedOn w:val="Normal"/>
    <w:next w:val="Normal"/>
    <w:rsid w:val="006C3DE3"/>
    <w:pPr>
      <w:spacing w:before="0"/>
    </w:pPr>
    <w:rPr>
      <w:sz w:val="20"/>
      <w:lang w:val="en-GB"/>
    </w:rPr>
  </w:style>
  <w:style w:type="paragraph" w:customStyle="1" w:styleId="Tablehead">
    <w:name w:val="Table_head"/>
    <w:basedOn w:val="Normal"/>
    <w:next w:val="Normal"/>
    <w:rsid w:val="006C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C3DE3"/>
    <w:pPr>
      <w:keepNext/>
      <w:spacing w:before="360" w:after="120"/>
      <w:jc w:val="center"/>
    </w:pPr>
  </w:style>
  <w:style w:type="paragraph" w:customStyle="1" w:styleId="Tabletext">
    <w:name w:val="Table_text"/>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C3DE3"/>
    <w:pPr>
      <w:tabs>
        <w:tab w:val="clear" w:pos="1191"/>
        <w:tab w:val="clear" w:pos="1588"/>
        <w:tab w:val="clear" w:pos="1985"/>
        <w:tab w:val="center" w:pos="4820"/>
        <w:tab w:val="right" w:pos="9639"/>
      </w:tabs>
    </w:pPr>
  </w:style>
  <w:style w:type="paragraph" w:customStyle="1" w:styleId="Equationlegend">
    <w:name w:val="Equation_legend"/>
    <w:basedOn w:val="NormalIndent"/>
    <w:rsid w:val="006C3D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C3DE3"/>
    <w:pPr>
      <w:ind w:left="794"/>
    </w:pPr>
  </w:style>
  <w:style w:type="paragraph" w:customStyle="1" w:styleId="Figurelegend">
    <w:name w:val="Figure_legend"/>
    <w:basedOn w:val="Normal"/>
    <w:rsid w:val="006C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DE3"/>
    <w:pPr>
      <w:keepNext/>
      <w:keepLines/>
      <w:spacing w:before="480" w:after="80"/>
      <w:jc w:val="center"/>
    </w:pPr>
    <w:rPr>
      <w:caps/>
      <w:sz w:val="18"/>
    </w:rPr>
  </w:style>
  <w:style w:type="paragraph" w:customStyle="1" w:styleId="tocpart">
    <w:name w:val="tocpart"/>
    <w:basedOn w:val="Normal"/>
    <w:rsid w:val="006C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C3DE3"/>
    <w:pPr>
      <w:keepNext/>
      <w:keepLines/>
      <w:spacing w:before="480"/>
      <w:jc w:val="center"/>
    </w:pPr>
    <w:rPr>
      <w:sz w:val="28"/>
    </w:rPr>
  </w:style>
  <w:style w:type="paragraph" w:customStyle="1" w:styleId="Arttitle">
    <w:name w:val="Art_title"/>
    <w:basedOn w:val="Normal"/>
    <w:next w:val="Normalaftertitle"/>
    <w:rsid w:val="006C3DE3"/>
    <w:pPr>
      <w:keepNext/>
      <w:keepLines/>
      <w:spacing w:before="240"/>
      <w:jc w:val="center"/>
    </w:pPr>
    <w:rPr>
      <w:b/>
      <w:sz w:val="28"/>
    </w:rPr>
  </w:style>
  <w:style w:type="paragraph" w:customStyle="1" w:styleId="Blanc">
    <w:name w:val="Blanc"/>
    <w:basedOn w:val="Normal"/>
    <w:next w:val="Tabletext"/>
    <w:rsid w:val="006C3D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C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C3DE3"/>
    <w:pPr>
      <w:keepNext/>
      <w:keepLines/>
      <w:spacing w:before="160"/>
      <w:ind w:left="794"/>
    </w:pPr>
    <w:rPr>
      <w:i/>
    </w:rPr>
  </w:style>
  <w:style w:type="paragraph" w:customStyle="1" w:styleId="ChapNo">
    <w:name w:val="Chap_No"/>
    <w:basedOn w:val="ArtNo"/>
    <w:next w:val="Chaptitle"/>
    <w:rsid w:val="006C3DE3"/>
    <w:rPr>
      <w:b/>
    </w:rPr>
  </w:style>
  <w:style w:type="paragraph" w:customStyle="1" w:styleId="Chaptitle">
    <w:name w:val="Chap_title"/>
    <w:basedOn w:val="Arttitle"/>
    <w:next w:val="Normalaftertitle"/>
    <w:rsid w:val="006C3DE3"/>
  </w:style>
  <w:style w:type="character" w:styleId="FootnoteReference">
    <w:name w:val="footnote reference"/>
    <w:basedOn w:val="DefaultParagraphFont"/>
    <w:rsid w:val="006C3DE3"/>
    <w:rPr>
      <w:position w:val="6"/>
      <w:sz w:val="18"/>
    </w:rPr>
  </w:style>
  <w:style w:type="paragraph" w:styleId="FootnoteText">
    <w:name w:val="footnote text"/>
    <w:basedOn w:val="Normal"/>
    <w:link w:val="FootnoteTextChar"/>
    <w:rsid w:val="006C3DE3"/>
    <w:pPr>
      <w:keepLines/>
      <w:tabs>
        <w:tab w:val="left" w:pos="255"/>
      </w:tabs>
      <w:ind w:left="255" w:hanging="255"/>
    </w:pPr>
    <w:rPr>
      <w:sz w:val="22"/>
    </w:rPr>
  </w:style>
  <w:style w:type="paragraph" w:styleId="Index1">
    <w:name w:val="index 1"/>
    <w:basedOn w:val="Normal"/>
    <w:next w:val="Normal"/>
    <w:semiHidden/>
    <w:rsid w:val="006C3DE3"/>
  </w:style>
  <w:style w:type="paragraph" w:styleId="Index2">
    <w:name w:val="index 2"/>
    <w:basedOn w:val="Normal"/>
    <w:next w:val="Normal"/>
    <w:semiHidden/>
    <w:rsid w:val="006C3DE3"/>
    <w:pPr>
      <w:ind w:left="283"/>
    </w:pPr>
  </w:style>
  <w:style w:type="paragraph" w:styleId="Index3">
    <w:name w:val="index 3"/>
    <w:basedOn w:val="Normal"/>
    <w:next w:val="Normal"/>
    <w:semiHidden/>
    <w:rsid w:val="006C3DE3"/>
    <w:pPr>
      <w:ind w:left="566"/>
    </w:pPr>
  </w:style>
  <w:style w:type="paragraph" w:styleId="IndexHeading">
    <w:name w:val="index heading"/>
    <w:basedOn w:val="Normal"/>
    <w:next w:val="Index1"/>
    <w:semiHidden/>
    <w:rsid w:val="006C3DE3"/>
  </w:style>
  <w:style w:type="paragraph" w:customStyle="1" w:styleId="Line">
    <w:name w:val="Line"/>
    <w:basedOn w:val="Normal"/>
    <w:next w:val="Normal"/>
    <w:rsid w:val="006C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C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C3DE3"/>
  </w:style>
  <w:style w:type="paragraph" w:customStyle="1" w:styleId="Partref">
    <w:name w:val="Part_ref"/>
    <w:basedOn w:val="Normal"/>
    <w:next w:val="Normal"/>
    <w:rsid w:val="006C3DE3"/>
    <w:pPr>
      <w:keepNext/>
      <w:keepLines/>
      <w:spacing w:after="280"/>
      <w:jc w:val="center"/>
    </w:pPr>
  </w:style>
  <w:style w:type="paragraph" w:customStyle="1" w:styleId="Parttitle">
    <w:name w:val="Part_title"/>
    <w:basedOn w:val="Normal"/>
    <w:next w:val="Normalaftertitle"/>
    <w:rsid w:val="006C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C3DE3"/>
  </w:style>
  <w:style w:type="paragraph" w:customStyle="1" w:styleId="QuestionNo">
    <w:name w:val="Question_No"/>
    <w:basedOn w:val="RecNo"/>
    <w:next w:val="Normal"/>
    <w:rsid w:val="006C3DE3"/>
  </w:style>
  <w:style w:type="paragraph" w:customStyle="1" w:styleId="Questionref">
    <w:name w:val="Question_ref"/>
    <w:basedOn w:val="Recref"/>
    <w:next w:val="Questiondate"/>
    <w:rsid w:val="006C3DE3"/>
  </w:style>
  <w:style w:type="paragraph" w:customStyle="1" w:styleId="Questiontitle">
    <w:name w:val="Question_title"/>
    <w:basedOn w:val="Normal"/>
    <w:next w:val="Questionref"/>
    <w:rsid w:val="006C3DE3"/>
  </w:style>
  <w:style w:type="paragraph" w:customStyle="1" w:styleId="Reftext">
    <w:name w:val="Ref_text"/>
    <w:basedOn w:val="Normal"/>
    <w:rsid w:val="006C3DE3"/>
    <w:pPr>
      <w:ind w:left="794" w:hanging="794"/>
    </w:pPr>
    <w:rPr>
      <w:sz w:val="22"/>
    </w:rPr>
  </w:style>
  <w:style w:type="paragraph" w:customStyle="1" w:styleId="Reftitle">
    <w:name w:val="Ref_title"/>
    <w:basedOn w:val="Normal"/>
    <w:next w:val="Reftext"/>
    <w:rsid w:val="006C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C3DE3"/>
  </w:style>
  <w:style w:type="paragraph" w:customStyle="1" w:styleId="RepNo">
    <w:name w:val="Rep_No"/>
    <w:basedOn w:val="RecNo"/>
    <w:next w:val="Reptitle"/>
    <w:rsid w:val="006C3DE3"/>
  </w:style>
  <w:style w:type="paragraph" w:customStyle="1" w:styleId="Repref">
    <w:name w:val="Rep_ref"/>
    <w:basedOn w:val="Recref"/>
    <w:next w:val="Repdate"/>
    <w:rsid w:val="006C3DE3"/>
  </w:style>
  <w:style w:type="paragraph" w:customStyle="1" w:styleId="Reptitle">
    <w:name w:val="Rep_title"/>
    <w:basedOn w:val="Rectitle"/>
    <w:next w:val="Repref"/>
    <w:rsid w:val="006C3DE3"/>
  </w:style>
  <w:style w:type="paragraph" w:customStyle="1" w:styleId="Resdate">
    <w:name w:val="Res_date"/>
    <w:basedOn w:val="Recdate"/>
    <w:next w:val="Normalaftertitle"/>
    <w:rsid w:val="006C3DE3"/>
  </w:style>
  <w:style w:type="paragraph" w:customStyle="1" w:styleId="ResNo">
    <w:name w:val="Res_No"/>
    <w:basedOn w:val="RecNo"/>
    <w:next w:val="Restitle"/>
    <w:rsid w:val="006C3DE3"/>
  </w:style>
  <w:style w:type="paragraph" w:customStyle="1" w:styleId="Resref">
    <w:name w:val="Res_ref"/>
    <w:basedOn w:val="Recref"/>
    <w:next w:val="Resdate"/>
    <w:rsid w:val="006C3DE3"/>
  </w:style>
  <w:style w:type="paragraph" w:customStyle="1" w:styleId="Restitle">
    <w:name w:val="Res_title"/>
    <w:basedOn w:val="Normal"/>
    <w:next w:val="Resref"/>
    <w:rsid w:val="006C3DE3"/>
    <w:pPr>
      <w:spacing w:before="240"/>
      <w:jc w:val="center"/>
    </w:pPr>
    <w:rPr>
      <w:b/>
      <w:sz w:val="28"/>
    </w:rPr>
  </w:style>
  <w:style w:type="paragraph" w:customStyle="1" w:styleId="SectionNo">
    <w:name w:val="Section_No"/>
    <w:basedOn w:val="Normal"/>
    <w:next w:val="Normal"/>
    <w:rsid w:val="006C3DE3"/>
  </w:style>
  <w:style w:type="paragraph" w:customStyle="1" w:styleId="Sectiontitle">
    <w:name w:val="Section_title"/>
    <w:basedOn w:val="Normal"/>
    <w:next w:val="Normalaftertitle"/>
    <w:rsid w:val="006C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C3DE3"/>
    <w:pPr>
      <w:tabs>
        <w:tab w:val="clear" w:pos="794"/>
        <w:tab w:val="clear" w:pos="1191"/>
        <w:tab w:val="clear" w:pos="1588"/>
        <w:tab w:val="clear" w:pos="1985"/>
        <w:tab w:val="right" w:pos="9611"/>
      </w:tabs>
    </w:pPr>
    <w:rPr>
      <w:i/>
    </w:rPr>
  </w:style>
  <w:style w:type="paragraph" w:styleId="TOC1">
    <w:name w:val="toc 1"/>
    <w:basedOn w:val="Normal"/>
    <w:semiHidden/>
    <w:rsid w:val="006C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C3DE3"/>
    <w:pPr>
      <w:tabs>
        <w:tab w:val="clear" w:pos="567"/>
        <w:tab w:val="left" w:pos="1276"/>
      </w:tabs>
      <w:spacing w:before="160"/>
      <w:ind w:left="1276" w:hanging="709"/>
    </w:pPr>
  </w:style>
  <w:style w:type="paragraph" w:styleId="TOC3">
    <w:name w:val="toc 3"/>
    <w:basedOn w:val="TOC2"/>
    <w:semiHidden/>
    <w:rsid w:val="006C3DE3"/>
    <w:pPr>
      <w:tabs>
        <w:tab w:val="clear" w:pos="1276"/>
        <w:tab w:val="left" w:pos="2155"/>
      </w:tabs>
      <w:ind w:left="2155" w:hanging="879"/>
    </w:pPr>
  </w:style>
  <w:style w:type="paragraph" w:styleId="TOC4">
    <w:name w:val="toc 4"/>
    <w:basedOn w:val="TOC3"/>
    <w:semiHidden/>
    <w:rsid w:val="006C3DE3"/>
    <w:pPr>
      <w:tabs>
        <w:tab w:val="left" w:pos="3261"/>
      </w:tabs>
      <w:spacing w:before="80"/>
      <w:ind w:left="3261" w:hanging="993"/>
    </w:pPr>
  </w:style>
  <w:style w:type="paragraph" w:styleId="TOC5">
    <w:name w:val="toc 5"/>
    <w:basedOn w:val="TOC4"/>
    <w:semiHidden/>
    <w:rsid w:val="006C3DE3"/>
  </w:style>
  <w:style w:type="paragraph" w:styleId="TOC6">
    <w:name w:val="toc 6"/>
    <w:basedOn w:val="TOC4"/>
    <w:semiHidden/>
    <w:rsid w:val="006C3DE3"/>
  </w:style>
  <w:style w:type="paragraph" w:styleId="TOC7">
    <w:name w:val="toc 7"/>
    <w:basedOn w:val="TOC4"/>
    <w:semiHidden/>
    <w:rsid w:val="006C3DE3"/>
  </w:style>
  <w:style w:type="paragraph" w:styleId="TOC8">
    <w:name w:val="toc 8"/>
    <w:basedOn w:val="TOC4"/>
    <w:semiHidden/>
    <w:rsid w:val="006C3DE3"/>
  </w:style>
  <w:style w:type="paragraph" w:customStyle="1" w:styleId="Rectitle">
    <w:name w:val="Rec_title"/>
    <w:basedOn w:val="Normal"/>
    <w:next w:val="Recref"/>
    <w:link w:val="Rectitle0"/>
    <w:rsid w:val="006C3DE3"/>
    <w:pPr>
      <w:keepNext/>
      <w:keepLines/>
      <w:spacing w:before="240"/>
      <w:jc w:val="center"/>
    </w:pPr>
    <w:rPr>
      <w:b/>
      <w:sz w:val="28"/>
    </w:rPr>
  </w:style>
  <w:style w:type="paragraph" w:customStyle="1" w:styleId="Annexref">
    <w:name w:val="Annex_ref"/>
    <w:basedOn w:val="Normal"/>
    <w:next w:val="Normalaftertitle"/>
    <w:rsid w:val="006C3DE3"/>
    <w:pPr>
      <w:keepNext/>
      <w:keepLines/>
      <w:spacing w:after="280"/>
      <w:jc w:val="center"/>
    </w:pPr>
  </w:style>
  <w:style w:type="paragraph" w:customStyle="1" w:styleId="Appendixref">
    <w:name w:val="Appendix_ref"/>
    <w:basedOn w:val="Annexref"/>
    <w:next w:val="Normalaftertitle"/>
    <w:rsid w:val="006C3DE3"/>
  </w:style>
  <w:style w:type="paragraph" w:customStyle="1" w:styleId="Figuretitle">
    <w:name w:val="Figure_title"/>
    <w:basedOn w:val="Normal"/>
    <w:next w:val="Figure"/>
    <w:rsid w:val="006C3DE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6C3DE3"/>
    <w:pPr>
      <w:keepNext/>
      <w:spacing w:before="0" w:after="120"/>
      <w:jc w:val="center"/>
    </w:pPr>
    <w:rPr>
      <w:b/>
    </w:rPr>
  </w:style>
  <w:style w:type="paragraph" w:customStyle="1" w:styleId="Summary">
    <w:name w:val="Summary"/>
    <w:basedOn w:val="Normal"/>
    <w:next w:val="Normalaftertitle"/>
    <w:autoRedefine/>
    <w:rsid w:val="006C3DE3"/>
    <w:pPr>
      <w:spacing w:after="480"/>
    </w:pPr>
    <w:rPr>
      <w:sz w:val="22"/>
      <w:lang w:val="es-ES_tradnl"/>
    </w:rPr>
  </w:style>
  <w:style w:type="paragraph" w:customStyle="1" w:styleId="TableLegendNote">
    <w:name w:val="Table_Legend_Note"/>
    <w:basedOn w:val="Tablelegend"/>
    <w:next w:val="Tablelegend"/>
    <w:rsid w:val="006C3DE3"/>
    <w:pPr>
      <w:ind w:left="-85" w:firstLine="0"/>
    </w:pPr>
    <w:rPr>
      <w:lang w:val="en-US"/>
    </w:rPr>
  </w:style>
  <w:style w:type="paragraph" w:customStyle="1" w:styleId="Figure">
    <w:name w:val="Figure"/>
    <w:basedOn w:val="FigureNo"/>
    <w:next w:val="Normal"/>
    <w:rsid w:val="006C3DE3"/>
    <w:pPr>
      <w:keepNext w:val="0"/>
      <w:spacing w:before="0" w:after="240"/>
    </w:pPr>
  </w:style>
  <w:style w:type="character" w:customStyle="1" w:styleId="Heading1Char">
    <w:name w:val="Heading 1 Char"/>
    <w:basedOn w:val="DefaultParagraphFont"/>
    <w:link w:val="Heading1"/>
    <w:rsid w:val="00666EA9"/>
    <w:rPr>
      <w:b/>
      <w:sz w:val="24"/>
      <w:lang w:val="fr-FR" w:eastAsia="en-US"/>
    </w:rPr>
  </w:style>
  <w:style w:type="character" w:customStyle="1" w:styleId="Heading2Char">
    <w:name w:val="Heading 2 Char"/>
    <w:basedOn w:val="DefaultParagraphFont"/>
    <w:link w:val="Heading2"/>
    <w:rsid w:val="00666EA9"/>
    <w:rPr>
      <w:b/>
      <w:sz w:val="24"/>
      <w:lang w:val="fr-FR" w:eastAsia="en-US"/>
    </w:rPr>
  </w:style>
  <w:style w:type="character" w:customStyle="1" w:styleId="FooterChar">
    <w:name w:val="Footer Char"/>
    <w:basedOn w:val="DefaultParagraphFont"/>
    <w:link w:val="Footer"/>
    <w:rsid w:val="00666EA9"/>
    <w:rPr>
      <w:noProof/>
      <w:sz w:val="18"/>
      <w:lang w:val="fr-FR" w:eastAsia="en-US"/>
    </w:rPr>
  </w:style>
  <w:style w:type="character" w:customStyle="1" w:styleId="FootnoteTextChar">
    <w:name w:val="Footnote Text Char"/>
    <w:basedOn w:val="DefaultParagraphFont"/>
    <w:link w:val="FootnoteText"/>
    <w:rsid w:val="00666EA9"/>
    <w:rPr>
      <w:sz w:val="22"/>
      <w:lang w:val="fr-FR" w:eastAsia="en-US"/>
    </w:rPr>
  </w:style>
  <w:style w:type="character" w:customStyle="1" w:styleId="HeaderChar">
    <w:name w:val="Header Char"/>
    <w:basedOn w:val="DefaultParagraphFont"/>
    <w:link w:val="Header"/>
    <w:rsid w:val="00666EA9"/>
    <w:rPr>
      <w:sz w:val="24"/>
      <w:lang w:val="fr-FR" w:eastAsia="en-US"/>
    </w:rPr>
  </w:style>
  <w:style w:type="character" w:customStyle="1" w:styleId="enumlev1Char">
    <w:name w:val="enumlev1 Char"/>
    <w:link w:val="enumlev1"/>
    <w:locked/>
    <w:rsid w:val="00666EA9"/>
    <w:rPr>
      <w:sz w:val="24"/>
      <w:lang w:val="fr-FR" w:eastAsia="en-US"/>
    </w:rPr>
  </w:style>
  <w:style w:type="character" w:customStyle="1" w:styleId="Rectitle0">
    <w:name w:val="Rec_title Знак"/>
    <w:link w:val="Rectitle"/>
    <w:locked/>
    <w:rsid w:val="00666EA9"/>
    <w:rPr>
      <w:b/>
      <w:sz w:val="28"/>
      <w:lang w:val="fr-FR" w:eastAsia="en-US"/>
    </w:rPr>
  </w:style>
  <w:style w:type="character" w:customStyle="1" w:styleId="TableNoChar">
    <w:name w:val="Table_No Char"/>
    <w:link w:val="TableNo"/>
    <w:locked/>
    <w:rsid w:val="00666EA9"/>
    <w:rPr>
      <w:sz w:val="24"/>
      <w:lang w:val="fr-FR" w:eastAsia="en-US"/>
    </w:rPr>
  </w:style>
  <w:style w:type="character" w:customStyle="1" w:styleId="Tabletitle0">
    <w:name w:val="Table_title Знак"/>
    <w:link w:val="Tabletitle"/>
    <w:locked/>
    <w:rsid w:val="00666EA9"/>
    <w:rPr>
      <w:b/>
      <w:sz w:val="24"/>
      <w:lang w:val="fr-FR" w:eastAsia="en-US"/>
    </w:rPr>
  </w:style>
  <w:style w:type="character" w:styleId="Hyperlink">
    <w:name w:val="Hyperlink"/>
    <w:basedOn w:val="DefaultParagraphFont"/>
    <w:rsid w:val="00666E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D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C3DE3"/>
    <w:pPr>
      <w:keepNext/>
      <w:keepLines/>
      <w:spacing w:before="480"/>
      <w:ind w:left="794" w:hanging="794"/>
      <w:outlineLvl w:val="0"/>
    </w:pPr>
    <w:rPr>
      <w:b/>
    </w:rPr>
  </w:style>
  <w:style w:type="paragraph" w:styleId="Heading2">
    <w:name w:val="heading 2"/>
    <w:basedOn w:val="Heading1"/>
    <w:next w:val="Normal"/>
    <w:link w:val="Heading2Char"/>
    <w:qFormat/>
    <w:rsid w:val="006C3DE3"/>
    <w:pPr>
      <w:spacing w:before="320"/>
      <w:outlineLvl w:val="1"/>
    </w:pPr>
  </w:style>
  <w:style w:type="paragraph" w:styleId="Heading3">
    <w:name w:val="heading 3"/>
    <w:basedOn w:val="Heading1"/>
    <w:next w:val="Normal"/>
    <w:qFormat/>
    <w:rsid w:val="006C3DE3"/>
    <w:pPr>
      <w:spacing w:before="200"/>
      <w:outlineLvl w:val="2"/>
    </w:pPr>
  </w:style>
  <w:style w:type="paragraph" w:styleId="Heading4">
    <w:name w:val="heading 4"/>
    <w:basedOn w:val="Heading3"/>
    <w:next w:val="Normal"/>
    <w:qFormat/>
    <w:rsid w:val="006C3DE3"/>
    <w:pPr>
      <w:tabs>
        <w:tab w:val="clear" w:pos="794"/>
        <w:tab w:val="left" w:pos="992"/>
      </w:tabs>
      <w:ind w:left="992" w:hanging="992"/>
      <w:outlineLvl w:val="3"/>
    </w:pPr>
  </w:style>
  <w:style w:type="paragraph" w:styleId="Heading5">
    <w:name w:val="heading 5"/>
    <w:basedOn w:val="Heading4"/>
    <w:next w:val="Normal"/>
    <w:qFormat/>
    <w:rsid w:val="006C3DE3"/>
    <w:pPr>
      <w:outlineLvl w:val="4"/>
    </w:pPr>
  </w:style>
  <w:style w:type="paragraph" w:styleId="Heading6">
    <w:name w:val="heading 6"/>
    <w:basedOn w:val="Heading4"/>
    <w:next w:val="Normal"/>
    <w:qFormat/>
    <w:rsid w:val="006C3DE3"/>
    <w:pPr>
      <w:tabs>
        <w:tab w:val="clear" w:pos="992"/>
        <w:tab w:val="clear" w:pos="1191"/>
      </w:tabs>
      <w:ind w:left="1588" w:hanging="1588"/>
      <w:outlineLvl w:val="5"/>
    </w:pPr>
  </w:style>
  <w:style w:type="paragraph" w:styleId="Heading7">
    <w:name w:val="heading 7"/>
    <w:basedOn w:val="Heading6"/>
    <w:next w:val="Normal"/>
    <w:qFormat/>
    <w:rsid w:val="006C3DE3"/>
    <w:pPr>
      <w:outlineLvl w:val="6"/>
    </w:pPr>
  </w:style>
  <w:style w:type="paragraph" w:styleId="Heading8">
    <w:name w:val="heading 8"/>
    <w:basedOn w:val="Heading6"/>
    <w:next w:val="Normal"/>
    <w:qFormat/>
    <w:rsid w:val="006C3DE3"/>
    <w:pPr>
      <w:outlineLvl w:val="7"/>
    </w:pPr>
  </w:style>
  <w:style w:type="paragraph" w:styleId="Heading9">
    <w:name w:val="heading 9"/>
    <w:basedOn w:val="Heading6"/>
    <w:next w:val="Normal"/>
    <w:qFormat/>
    <w:rsid w:val="006C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3DE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C3DE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C3DE3"/>
  </w:style>
  <w:style w:type="paragraph" w:customStyle="1" w:styleId="Headingb">
    <w:name w:val="Heading_b"/>
    <w:basedOn w:val="Heading3"/>
    <w:next w:val="Normal"/>
    <w:rsid w:val="006C3DE3"/>
    <w:pPr>
      <w:spacing w:before="160"/>
      <w:ind w:left="0" w:firstLine="0"/>
      <w:outlineLvl w:val="9"/>
    </w:pPr>
  </w:style>
  <w:style w:type="paragraph" w:customStyle="1" w:styleId="Headingi">
    <w:name w:val="Heading_i"/>
    <w:basedOn w:val="Heading3"/>
    <w:next w:val="Normal"/>
    <w:rsid w:val="006C3DE3"/>
    <w:pPr>
      <w:spacing w:before="160"/>
      <w:ind w:left="0" w:firstLine="0"/>
    </w:pPr>
    <w:rPr>
      <w:b w:val="0"/>
      <w:i/>
    </w:rPr>
  </w:style>
  <w:style w:type="character" w:customStyle="1" w:styleId="href">
    <w:name w:val="href"/>
    <w:basedOn w:val="DefaultParagraphFont"/>
    <w:rsid w:val="006C3DE3"/>
  </w:style>
  <w:style w:type="paragraph" w:customStyle="1" w:styleId="enumlev1">
    <w:name w:val="enumlev1"/>
    <w:basedOn w:val="Normal"/>
    <w:link w:val="enumlev1Char"/>
    <w:rsid w:val="006C3DE3"/>
    <w:pPr>
      <w:spacing w:before="80"/>
      <w:ind w:left="794" w:hanging="794"/>
    </w:pPr>
  </w:style>
  <w:style w:type="paragraph" w:customStyle="1" w:styleId="enumlev2">
    <w:name w:val="enumlev2"/>
    <w:basedOn w:val="enumlev1"/>
    <w:rsid w:val="006C3DE3"/>
    <w:pPr>
      <w:ind w:left="1191" w:hanging="397"/>
    </w:pPr>
  </w:style>
  <w:style w:type="paragraph" w:customStyle="1" w:styleId="enumlev3">
    <w:name w:val="enumlev3"/>
    <w:basedOn w:val="enumlev2"/>
    <w:rsid w:val="006C3DE3"/>
    <w:pPr>
      <w:ind w:left="1588"/>
    </w:pPr>
  </w:style>
  <w:style w:type="paragraph" w:customStyle="1" w:styleId="Normalaftertitle">
    <w:name w:val="Normal_after_title"/>
    <w:basedOn w:val="Normal"/>
    <w:next w:val="Normal"/>
    <w:rsid w:val="006C3DE3"/>
    <w:pPr>
      <w:spacing w:before="320"/>
    </w:pPr>
  </w:style>
  <w:style w:type="paragraph" w:customStyle="1" w:styleId="Note">
    <w:name w:val="Note"/>
    <w:basedOn w:val="Normal"/>
    <w:rsid w:val="006C3D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C3D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C3DE3"/>
    <w:pPr>
      <w:spacing w:before="240"/>
    </w:pPr>
    <w:rPr>
      <w:sz w:val="22"/>
      <w:lang w:val="es-ES_tradnl"/>
    </w:rPr>
  </w:style>
  <w:style w:type="paragraph" w:customStyle="1" w:styleId="Recref">
    <w:name w:val="Rec_ref"/>
    <w:basedOn w:val="Normal"/>
    <w:next w:val="Recdate"/>
    <w:rsid w:val="006C3DE3"/>
    <w:pPr>
      <w:jc w:val="center"/>
    </w:pPr>
  </w:style>
  <w:style w:type="paragraph" w:customStyle="1" w:styleId="Recdate">
    <w:name w:val="Rec_date"/>
    <w:basedOn w:val="Recref"/>
    <w:next w:val="Normalaftertitle"/>
    <w:rsid w:val="006C3DE3"/>
    <w:pPr>
      <w:jc w:val="right"/>
    </w:pPr>
  </w:style>
  <w:style w:type="paragraph" w:customStyle="1" w:styleId="AnnexNoTitle">
    <w:name w:val="Annex_NoTitle"/>
    <w:basedOn w:val="Normal"/>
    <w:next w:val="Normalaftertitle"/>
    <w:rsid w:val="006C3DE3"/>
    <w:pPr>
      <w:keepNext/>
      <w:keepLines/>
      <w:spacing w:before="480" w:after="80"/>
      <w:jc w:val="center"/>
    </w:pPr>
    <w:rPr>
      <w:b/>
      <w:sz w:val="28"/>
    </w:rPr>
  </w:style>
  <w:style w:type="paragraph" w:customStyle="1" w:styleId="AppendixNoTitle">
    <w:name w:val="Appendix_NoTitle"/>
    <w:basedOn w:val="AnnexNoTitle"/>
    <w:next w:val="Normal"/>
    <w:rsid w:val="006C3DE3"/>
  </w:style>
  <w:style w:type="paragraph" w:customStyle="1" w:styleId="Tablefin">
    <w:name w:val="Table_fin"/>
    <w:basedOn w:val="Normal"/>
    <w:next w:val="Normal"/>
    <w:rsid w:val="006C3DE3"/>
    <w:pPr>
      <w:spacing w:before="0"/>
    </w:pPr>
    <w:rPr>
      <w:sz w:val="20"/>
      <w:lang w:val="en-GB"/>
    </w:rPr>
  </w:style>
  <w:style w:type="paragraph" w:customStyle="1" w:styleId="Tablehead">
    <w:name w:val="Table_head"/>
    <w:basedOn w:val="Normal"/>
    <w:next w:val="Normal"/>
    <w:rsid w:val="006C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C3DE3"/>
    <w:pPr>
      <w:keepNext/>
      <w:spacing w:before="360" w:after="120"/>
      <w:jc w:val="center"/>
    </w:pPr>
  </w:style>
  <w:style w:type="paragraph" w:customStyle="1" w:styleId="Tabletext">
    <w:name w:val="Table_text"/>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C3DE3"/>
    <w:pPr>
      <w:tabs>
        <w:tab w:val="clear" w:pos="1191"/>
        <w:tab w:val="clear" w:pos="1588"/>
        <w:tab w:val="clear" w:pos="1985"/>
        <w:tab w:val="center" w:pos="4820"/>
        <w:tab w:val="right" w:pos="9639"/>
      </w:tabs>
    </w:pPr>
  </w:style>
  <w:style w:type="paragraph" w:customStyle="1" w:styleId="Equationlegend">
    <w:name w:val="Equation_legend"/>
    <w:basedOn w:val="NormalIndent"/>
    <w:rsid w:val="006C3D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C3DE3"/>
    <w:pPr>
      <w:ind w:left="794"/>
    </w:pPr>
  </w:style>
  <w:style w:type="paragraph" w:customStyle="1" w:styleId="Figurelegend">
    <w:name w:val="Figure_legend"/>
    <w:basedOn w:val="Normal"/>
    <w:rsid w:val="006C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DE3"/>
    <w:pPr>
      <w:keepNext/>
      <w:keepLines/>
      <w:spacing w:before="480" w:after="80"/>
      <w:jc w:val="center"/>
    </w:pPr>
    <w:rPr>
      <w:caps/>
      <w:sz w:val="18"/>
    </w:rPr>
  </w:style>
  <w:style w:type="paragraph" w:customStyle="1" w:styleId="tocpart">
    <w:name w:val="tocpart"/>
    <w:basedOn w:val="Normal"/>
    <w:rsid w:val="006C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C3DE3"/>
    <w:pPr>
      <w:keepNext/>
      <w:keepLines/>
      <w:spacing w:before="480"/>
      <w:jc w:val="center"/>
    </w:pPr>
    <w:rPr>
      <w:sz w:val="28"/>
    </w:rPr>
  </w:style>
  <w:style w:type="paragraph" w:customStyle="1" w:styleId="Arttitle">
    <w:name w:val="Art_title"/>
    <w:basedOn w:val="Normal"/>
    <w:next w:val="Normalaftertitle"/>
    <w:rsid w:val="006C3DE3"/>
    <w:pPr>
      <w:keepNext/>
      <w:keepLines/>
      <w:spacing w:before="240"/>
      <w:jc w:val="center"/>
    </w:pPr>
    <w:rPr>
      <w:b/>
      <w:sz w:val="28"/>
    </w:rPr>
  </w:style>
  <w:style w:type="paragraph" w:customStyle="1" w:styleId="Blanc">
    <w:name w:val="Blanc"/>
    <w:basedOn w:val="Normal"/>
    <w:next w:val="Tabletext"/>
    <w:rsid w:val="006C3D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C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C3DE3"/>
    <w:pPr>
      <w:keepNext/>
      <w:keepLines/>
      <w:spacing w:before="160"/>
      <w:ind w:left="794"/>
    </w:pPr>
    <w:rPr>
      <w:i/>
    </w:rPr>
  </w:style>
  <w:style w:type="paragraph" w:customStyle="1" w:styleId="ChapNo">
    <w:name w:val="Chap_No"/>
    <w:basedOn w:val="ArtNo"/>
    <w:next w:val="Chaptitle"/>
    <w:rsid w:val="006C3DE3"/>
    <w:rPr>
      <w:b/>
    </w:rPr>
  </w:style>
  <w:style w:type="paragraph" w:customStyle="1" w:styleId="Chaptitle">
    <w:name w:val="Chap_title"/>
    <w:basedOn w:val="Arttitle"/>
    <w:next w:val="Normalaftertitle"/>
    <w:rsid w:val="006C3DE3"/>
  </w:style>
  <w:style w:type="character" w:styleId="FootnoteReference">
    <w:name w:val="footnote reference"/>
    <w:basedOn w:val="DefaultParagraphFont"/>
    <w:rsid w:val="006C3DE3"/>
    <w:rPr>
      <w:position w:val="6"/>
      <w:sz w:val="18"/>
    </w:rPr>
  </w:style>
  <w:style w:type="paragraph" w:styleId="FootnoteText">
    <w:name w:val="footnote text"/>
    <w:basedOn w:val="Normal"/>
    <w:link w:val="FootnoteTextChar"/>
    <w:rsid w:val="006C3DE3"/>
    <w:pPr>
      <w:keepLines/>
      <w:tabs>
        <w:tab w:val="left" w:pos="255"/>
      </w:tabs>
      <w:ind w:left="255" w:hanging="255"/>
    </w:pPr>
    <w:rPr>
      <w:sz w:val="22"/>
    </w:rPr>
  </w:style>
  <w:style w:type="paragraph" w:styleId="Index1">
    <w:name w:val="index 1"/>
    <w:basedOn w:val="Normal"/>
    <w:next w:val="Normal"/>
    <w:semiHidden/>
    <w:rsid w:val="006C3DE3"/>
  </w:style>
  <w:style w:type="paragraph" w:styleId="Index2">
    <w:name w:val="index 2"/>
    <w:basedOn w:val="Normal"/>
    <w:next w:val="Normal"/>
    <w:semiHidden/>
    <w:rsid w:val="006C3DE3"/>
    <w:pPr>
      <w:ind w:left="283"/>
    </w:pPr>
  </w:style>
  <w:style w:type="paragraph" w:styleId="Index3">
    <w:name w:val="index 3"/>
    <w:basedOn w:val="Normal"/>
    <w:next w:val="Normal"/>
    <w:semiHidden/>
    <w:rsid w:val="006C3DE3"/>
    <w:pPr>
      <w:ind w:left="566"/>
    </w:pPr>
  </w:style>
  <w:style w:type="paragraph" w:styleId="IndexHeading">
    <w:name w:val="index heading"/>
    <w:basedOn w:val="Normal"/>
    <w:next w:val="Index1"/>
    <w:semiHidden/>
    <w:rsid w:val="006C3DE3"/>
  </w:style>
  <w:style w:type="paragraph" w:customStyle="1" w:styleId="Line">
    <w:name w:val="Line"/>
    <w:basedOn w:val="Normal"/>
    <w:next w:val="Normal"/>
    <w:rsid w:val="006C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C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C3DE3"/>
  </w:style>
  <w:style w:type="paragraph" w:customStyle="1" w:styleId="Partref">
    <w:name w:val="Part_ref"/>
    <w:basedOn w:val="Normal"/>
    <w:next w:val="Normal"/>
    <w:rsid w:val="006C3DE3"/>
    <w:pPr>
      <w:keepNext/>
      <w:keepLines/>
      <w:spacing w:after="280"/>
      <w:jc w:val="center"/>
    </w:pPr>
  </w:style>
  <w:style w:type="paragraph" w:customStyle="1" w:styleId="Parttitle">
    <w:name w:val="Part_title"/>
    <w:basedOn w:val="Normal"/>
    <w:next w:val="Normalaftertitle"/>
    <w:rsid w:val="006C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C3DE3"/>
  </w:style>
  <w:style w:type="paragraph" w:customStyle="1" w:styleId="QuestionNo">
    <w:name w:val="Question_No"/>
    <w:basedOn w:val="RecNo"/>
    <w:next w:val="Normal"/>
    <w:rsid w:val="006C3DE3"/>
  </w:style>
  <w:style w:type="paragraph" w:customStyle="1" w:styleId="Questionref">
    <w:name w:val="Question_ref"/>
    <w:basedOn w:val="Recref"/>
    <w:next w:val="Questiondate"/>
    <w:rsid w:val="006C3DE3"/>
  </w:style>
  <w:style w:type="paragraph" w:customStyle="1" w:styleId="Questiontitle">
    <w:name w:val="Question_title"/>
    <w:basedOn w:val="Normal"/>
    <w:next w:val="Questionref"/>
    <w:rsid w:val="006C3DE3"/>
  </w:style>
  <w:style w:type="paragraph" w:customStyle="1" w:styleId="Reftext">
    <w:name w:val="Ref_text"/>
    <w:basedOn w:val="Normal"/>
    <w:rsid w:val="006C3DE3"/>
    <w:pPr>
      <w:ind w:left="794" w:hanging="794"/>
    </w:pPr>
    <w:rPr>
      <w:sz w:val="22"/>
    </w:rPr>
  </w:style>
  <w:style w:type="paragraph" w:customStyle="1" w:styleId="Reftitle">
    <w:name w:val="Ref_title"/>
    <w:basedOn w:val="Normal"/>
    <w:next w:val="Reftext"/>
    <w:rsid w:val="006C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C3DE3"/>
  </w:style>
  <w:style w:type="paragraph" w:customStyle="1" w:styleId="RepNo">
    <w:name w:val="Rep_No"/>
    <w:basedOn w:val="RecNo"/>
    <w:next w:val="Reptitle"/>
    <w:rsid w:val="006C3DE3"/>
  </w:style>
  <w:style w:type="paragraph" w:customStyle="1" w:styleId="Repref">
    <w:name w:val="Rep_ref"/>
    <w:basedOn w:val="Recref"/>
    <w:next w:val="Repdate"/>
    <w:rsid w:val="006C3DE3"/>
  </w:style>
  <w:style w:type="paragraph" w:customStyle="1" w:styleId="Reptitle">
    <w:name w:val="Rep_title"/>
    <w:basedOn w:val="Rectitle"/>
    <w:next w:val="Repref"/>
    <w:rsid w:val="006C3DE3"/>
  </w:style>
  <w:style w:type="paragraph" w:customStyle="1" w:styleId="Resdate">
    <w:name w:val="Res_date"/>
    <w:basedOn w:val="Recdate"/>
    <w:next w:val="Normalaftertitle"/>
    <w:rsid w:val="006C3DE3"/>
  </w:style>
  <w:style w:type="paragraph" w:customStyle="1" w:styleId="ResNo">
    <w:name w:val="Res_No"/>
    <w:basedOn w:val="RecNo"/>
    <w:next w:val="Restitle"/>
    <w:rsid w:val="006C3DE3"/>
  </w:style>
  <w:style w:type="paragraph" w:customStyle="1" w:styleId="Resref">
    <w:name w:val="Res_ref"/>
    <w:basedOn w:val="Recref"/>
    <w:next w:val="Resdate"/>
    <w:rsid w:val="006C3DE3"/>
  </w:style>
  <w:style w:type="paragraph" w:customStyle="1" w:styleId="Restitle">
    <w:name w:val="Res_title"/>
    <w:basedOn w:val="Normal"/>
    <w:next w:val="Resref"/>
    <w:rsid w:val="006C3DE3"/>
    <w:pPr>
      <w:spacing w:before="240"/>
      <w:jc w:val="center"/>
    </w:pPr>
    <w:rPr>
      <w:b/>
      <w:sz w:val="28"/>
    </w:rPr>
  </w:style>
  <w:style w:type="paragraph" w:customStyle="1" w:styleId="SectionNo">
    <w:name w:val="Section_No"/>
    <w:basedOn w:val="Normal"/>
    <w:next w:val="Normal"/>
    <w:rsid w:val="006C3DE3"/>
  </w:style>
  <w:style w:type="paragraph" w:customStyle="1" w:styleId="Sectiontitle">
    <w:name w:val="Section_title"/>
    <w:basedOn w:val="Normal"/>
    <w:next w:val="Normalaftertitle"/>
    <w:rsid w:val="006C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C3DE3"/>
    <w:pPr>
      <w:tabs>
        <w:tab w:val="clear" w:pos="794"/>
        <w:tab w:val="clear" w:pos="1191"/>
        <w:tab w:val="clear" w:pos="1588"/>
        <w:tab w:val="clear" w:pos="1985"/>
        <w:tab w:val="right" w:pos="9611"/>
      </w:tabs>
    </w:pPr>
    <w:rPr>
      <w:i/>
    </w:rPr>
  </w:style>
  <w:style w:type="paragraph" w:styleId="TOC1">
    <w:name w:val="toc 1"/>
    <w:basedOn w:val="Normal"/>
    <w:semiHidden/>
    <w:rsid w:val="006C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C3DE3"/>
    <w:pPr>
      <w:tabs>
        <w:tab w:val="clear" w:pos="567"/>
        <w:tab w:val="left" w:pos="1276"/>
      </w:tabs>
      <w:spacing w:before="160"/>
      <w:ind w:left="1276" w:hanging="709"/>
    </w:pPr>
  </w:style>
  <w:style w:type="paragraph" w:styleId="TOC3">
    <w:name w:val="toc 3"/>
    <w:basedOn w:val="TOC2"/>
    <w:semiHidden/>
    <w:rsid w:val="006C3DE3"/>
    <w:pPr>
      <w:tabs>
        <w:tab w:val="clear" w:pos="1276"/>
        <w:tab w:val="left" w:pos="2155"/>
      </w:tabs>
      <w:ind w:left="2155" w:hanging="879"/>
    </w:pPr>
  </w:style>
  <w:style w:type="paragraph" w:styleId="TOC4">
    <w:name w:val="toc 4"/>
    <w:basedOn w:val="TOC3"/>
    <w:semiHidden/>
    <w:rsid w:val="006C3DE3"/>
    <w:pPr>
      <w:tabs>
        <w:tab w:val="left" w:pos="3261"/>
      </w:tabs>
      <w:spacing w:before="80"/>
      <w:ind w:left="3261" w:hanging="993"/>
    </w:pPr>
  </w:style>
  <w:style w:type="paragraph" w:styleId="TOC5">
    <w:name w:val="toc 5"/>
    <w:basedOn w:val="TOC4"/>
    <w:semiHidden/>
    <w:rsid w:val="006C3DE3"/>
  </w:style>
  <w:style w:type="paragraph" w:styleId="TOC6">
    <w:name w:val="toc 6"/>
    <w:basedOn w:val="TOC4"/>
    <w:semiHidden/>
    <w:rsid w:val="006C3DE3"/>
  </w:style>
  <w:style w:type="paragraph" w:styleId="TOC7">
    <w:name w:val="toc 7"/>
    <w:basedOn w:val="TOC4"/>
    <w:semiHidden/>
    <w:rsid w:val="006C3DE3"/>
  </w:style>
  <w:style w:type="paragraph" w:styleId="TOC8">
    <w:name w:val="toc 8"/>
    <w:basedOn w:val="TOC4"/>
    <w:semiHidden/>
    <w:rsid w:val="006C3DE3"/>
  </w:style>
  <w:style w:type="paragraph" w:customStyle="1" w:styleId="Rectitle">
    <w:name w:val="Rec_title"/>
    <w:basedOn w:val="Normal"/>
    <w:next w:val="Recref"/>
    <w:link w:val="Rectitle0"/>
    <w:rsid w:val="006C3DE3"/>
    <w:pPr>
      <w:keepNext/>
      <w:keepLines/>
      <w:spacing w:before="240"/>
      <w:jc w:val="center"/>
    </w:pPr>
    <w:rPr>
      <w:b/>
      <w:sz w:val="28"/>
    </w:rPr>
  </w:style>
  <w:style w:type="paragraph" w:customStyle="1" w:styleId="Annexref">
    <w:name w:val="Annex_ref"/>
    <w:basedOn w:val="Normal"/>
    <w:next w:val="Normalaftertitle"/>
    <w:rsid w:val="006C3DE3"/>
    <w:pPr>
      <w:keepNext/>
      <w:keepLines/>
      <w:spacing w:after="280"/>
      <w:jc w:val="center"/>
    </w:pPr>
  </w:style>
  <w:style w:type="paragraph" w:customStyle="1" w:styleId="Appendixref">
    <w:name w:val="Appendix_ref"/>
    <w:basedOn w:val="Annexref"/>
    <w:next w:val="Normalaftertitle"/>
    <w:rsid w:val="006C3DE3"/>
  </w:style>
  <w:style w:type="paragraph" w:customStyle="1" w:styleId="Figuretitle">
    <w:name w:val="Figure_title"/>
    <w:basedOn w:val="Normal"/>
    <w:next w:val="Figure"/>
    <w:rsid w:val="006C3DE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6C3DE3"/>
    <w:pPr>
      <w:keepNext/>
      <w:spacing w:before="0" w:after="120"/>
      <w:jc w:val="center"/>
    </w:pPr>
    <w:rPr>
      <w:b/>
    </w:rPr>
  </w:style>
  <w:style w:type="paragraph" w:customStyle="1" w:styleId="Summary">
    <w:name w:val="Summary"/>
    <w:basedOn w:val="Normal"/>
    <w:next w:val="Normalaftertitle"/>
    <w:autoRedefine/>
    <w:rsid w:val="006C3DE3"/>
    <w:pPr>
      <w:spacing w:after="480"/>
    </w:pPr>
    <w:rPr>
      <w:sz w:val="22"/>
      <w:lang w:val="es-ES_tradnl"/>
    </w:rPr>
  </w:style>
  <w:style w:type="paragraph" w:customStyle="1" w:styleId="TableLegendNote">
    <w:name w:val="Table_Legend_Note"/>
    <w:basedOn w:val="Tablelegend"/>
    <w:next w:val="Tablelegend"/>
    <w:rsid w:val="006C3DE3"/>
    <w:pPr>
      <w:ind w:left="-85" w:firstLine="0"/>
    </w:pPr>
    <w:rPr>
      <w:lang w:val="en-US"/>
    </w:rPr>
  </w:style>
  <w:style w:type="paragraph" w:customStyle="1" w:styleId="Figure">
    <w:name w:val="Figure"/>
    <w:basedOn w:val="FigureNo"/>
    <w:next w:val="Normal"/>
    <w:rsid w:val="006C3DE3"/>
    <w:pPr>
      <w:keepNext w:val="0"/>
      <w:spacing w:before="0" w:after="240"/>
    </w:pPr>
  </w:style>
  <w:style w:type="character" w:customStyle="1" w:styleId="Heading1Char">
    <w:name w:val="Heading 1 Char"/>
    <w:basedOn w:val="DefaultParagraphFont"/>
    <w:link w:val="Heading1"/>
    <w:rsid w:val="00666EA9"/>
    <w:rPr>
      <w:b/>
      <w:sz w:val="24"/>
      <w:lang w:val="fr-FR" w:eastAsia="en-US"/>
    </w:rPr>
  </w:style>
  <w:style w:type="character" w:customStyle="1" w:styleId="Heading2Char">
    <w:name w:val="Heading 2 Char"/>
    <w:basedOn w:val="DefaultParagraphFont"/>
    <w:link w:val="Heading2"/>
    <w:rsid w:val="00666EA9"/>
    <w:rPr>
      <w:b/>
      <w:sz w:val="24"/>
      <w:lang w:val="fr-FR" w:eastAsia="en-US"/>
    </w:rPr>
  </w:style>
  <w:style w:type="character" w:customStyle="1" w:styleId="FooterChar">
    <w:name w:val="Footer Char"/>
    <w:basedOn w:val="DefaultParagraphFont"/>
    <w:link w:val="Footer"/>
    <w:rsid w:val="00666EA9"/>
    <w:rPr>
      <w:noProof/>
      <w:sz w:val="18"/>
      <w:lang w:val="fr-FR" w:eastAsia="en-US"/>
    </w:rPr>
  </w:style>
  <w:style w:type="character" w:customStyle="1" w:styleId="FootnoteTextChar">
    <w:name w:val="Footnote Text Char"/>
    <w:basedOn w:val="DefaultParagraphFont"/>
    <w:link w:val="FootnoteText"/>
    <w:rsid w:val="00666EA9"/>
    <w:rPr>
      <w:sz w:val="22"/>
      <w:lang w:val="fr-FR" w:eastAsia="en-US"/>
    </w:rPr>
  </w:style>
  <w:style w:type="character" w:customStyle="1" w:styleId="HeaderChar">
    <w:name w:val="Header Char"/>
    <w:basedOn w:val="DefaultParagraphFont"/>
    <w:link w:val="Header"/>
    <w:rsid w:val="00666EA9"/>
    <w:rPr>
      <w:sz w:val="24"/>
      <w:lang w:val="fr-FR" w:eastAsia="en-US"/>
    </w:rPr>
  </w:style>
  <w:style w:type="character" w:customStyle="1" w:styleId="enumlev1Char">
    <w:name w:val="enumlev1 Char"/>
    <w:link w:val="enumlev1"/>
    <w:locked/>
    <w:rsid w:val="00666EA9"/>
    <w:rPr>
      <w:sz w:val="24"/>
      <w:lang w:val="fr-FR" w:eastAsia="en-US"/>
    </w:rPr>
  </w:style>
  <w:style w:type="character" w:customStyle="1" w:styleId="Rectitle0">
    <w:name w:val="Rec_title Знак"/>
    <w:link w:val="Rectitle"/>
    <w:locked/>
    <w:rsid w:val="00666EA9"/>
    <w:rPr>
      <w:b/>
      <w:sz w:val="28"/>
      <w:lang w:val="fr-FR" w:eastAsia="en-US"/>
    </w:rPr>
  </w:style>
  <w:style w:type="character" w:customStyle="1" w:styleId="TableNoChar">
    <w:name w:val="Table_No Char"/>
    <w:link w:val="TableNo"/>
    <w:locked/>
    <w:rsid w:val="00666EA9"/>
    <w:rPr>
      <w:sz w:val="24"/>
      <w:lang w:val="fr-FR" w:eastAsia="en-US"/>
    </w:rPr>
  </w:style>
  <w:style w:type="character" w:customStyle="1" w:styleId="Tabletitle0">
    <w:name w:val="Table_title Знак"/>
    <w:link w:val="Tabletitle"/>
    <w:locked/>
    <w:rsid w:val="00666EA9"/>
    <w:rPr>
      <w:b/>
      <w:sz w:val="24"/>
      <w:lang w:val="fr-FR" w:eastAsia="en-US"/>
    </w:rPr>
  </w:style>
  <w:style w:type="character" w:styleId="Hyperlink">
    <w:name w:val="Hyperlink"/>
    <w:basedOn w:val="DefaultParagraphFont"/>
    <w:rsid w:val="00666E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3D148-659C-42DD-94BE-3F039C6A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11</Pages>
  <Words>3752</Words>
  <Characters>20694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RECOMMENDATION  ITU-R  M.1905 - Characteristics and protection criteria for receiving earth stations  in the radionavigation-satellite service (space-to-Earth)  operating in the band 1 164-1 215 MHz</vt:lpstr>
    </vt:vector>
  </TitlesOfParts>
  <Manager/>
  <Company>ITU</Company>
  <LinksUpToDate>false</LinksUpToDate>
  <CharactersWithSpaces>24398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M.1905 - Characteristics and protection criteria for receiving earth stations  in the radionavigation-satellite service (space-to-Earth)  operating in the band 1 164-1 215 MHz</dc:title>
  <dc:subject>M Series = Mobile, radiodetermination, amateur and related satellite services</dc:subject>
  <dc:creator>ITU Radiocommunication Bureau (BR)</dc:creator>
  <cp:keywords>M,1905</cp:keywords>
  <dc:description>Santosbo, 24.11.2011, MSB106309</dc:description>
  <cp:lastModifiedBy>Rose Yonga Omondi</cp:lastModifiedBy>
  <cp:revision>20</cp:revision>
  <cp:lastPrinted>2005-02-10T15:54:00Z</cp:lastPrinted>
  <dcterms:created xsi:type="dcterms:W3CDTF">2011-11-18T14:12:00Z</dcterms:created>
  <dcterms:modified xsi:type="dcterms:W3CDTF">2011-12-06T14:19:00Z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24. novembre 2011</vt:lpwstr>
  </property>
</Properties>
</file>